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A23D9" w14:textId="77777777" w:rsidR="00F235FE" w:rsidRDefault="00F235FE" w:rsidP="00E20A60">
      <w:pPr>
        <w:spacing w:after="0" w:line="240" w:lineRule="auto"/>
        <w:jc w:val="right"/>
        <w:rPr>
          <w:rFonts w:ascii="Arial" w:hAnsi="Arial" w:cs="Arial"/>
          <w:b/>
          <w:bCs/>
          <w:sz w:val="36"/>
          <w:szCs w:val="36"/>
        </w:rPr>
      </w:pPr>
      <w:r w:rsidRPr="00F235FE">
        <w:rPr>
          <w:rFonts w:ascii="Arial" w:hAnsi="Arial" w:cs="Arial"/>
          <w:b/>
          <w:bCs/>
          <w:sz w:val="36"/>
          <w:szCs w:val="36"/>
        </w:rPr>
        <w:t>Original Research Article</w:t>
      </w:r>
    </w:p>
    <w:p w14:paraId="556617EF" w14:textId="77777777" w:rsidR="00F235FE" w:rsidRDefault="00F235FE" w:rsidP="00E20A60">
      <w:pPr>
        <w:spacing w:after="0" w:line="240" w:lineRule="auto"/>
        <w:jc w:val="right"/>
        <w:rPr>
          <w:rFonts w:ascii="Arial" w:hAnsi="Arial" w:cs="Arial"/>
          <w:b/>
          <w:bCs/>
          <w:sz w:val="36"/>
          <w:szCs w:val="36"/>
        </w:rPr>
      </w:pPr>
    </w:p>
    <w:p w14:paraId="695D0680" w14:textId="387E03D7" w:rsidR="004C0085" w:rsidRPr="00795114" w:rsidRDefault="004C0085" w:rsidP="00E20A60">
      <w:pPr>
        <w:spacing w:after="0" w:line="240" w:lineRule="auto"/>
        <w:jc w:val="right"/>
        <w:rPr>
          <w:rFonts w:ascii="Arial" w:hAnsi="Arial" w:cs="Arial"/>
          <w:b/>
          <w:bCs/>
          <w:sz w:val="36"/>
          <w:szCs w:val="36"/>
        </w:rPr>
      </w:pPr>
      <w:r w:rsidRPr="00795114">
        <w:rPr>
          <w:rFonts w:ascii="Arial" w:hAnsi="Arial" w:cs="Arial"/>
          <w:b/>
          <w:bCs/>
          <w:sz w:val="36"/>
          <w:szCs w:val="36"/>
        </w:rPr>
        <w:t xml:space="preserve">A Boosted Regression Tree Approach to Modeling </w:t>
      </w:r>
      <w:r w:rsidRPr="00795114">
        <w:rPr>
          <w:rFonts w:ascii="Arial" w:hAnsi="Arial" w:cs="Arial"/>
          <w:b/>
          <w:bCs/>
          <w:i/>
          <w:iCs/>
          <w:sz w:val="36"/>
          <w:szCs w:val="36"/>
        </w:rPr>
        <w:t>Coilia dussumieri</w:t>
      </w:r>
      <w:r w:rsidRPr="00795114">
        <w:rPr>
          <w:rFonts w:ascii="Arial" w:hAnsi="Arial" w:cs="Arial"/>
          <w:b/>
          <w:bCs/>
          <w:sz w:val="36"/>
          <w:szCs w:val="36"/>
        </w:rPr>
        <w:t xml:space="preserve"> Distribution in Relation to Environmental </w:t>
      </w:r>
      <w:r w:rsidR="002D4B20" w:rsidRPr="00795114">
        <w:rPr>
          <w:rFonts w:ascii="Arial" w:hAnsi="Arial" w:cs="Arial"/>
          <w:b/>
          <w:bCs/>
          <w:sz w:val="36"/>
          <w:szCs w:val="36"/>
        </w:rPr>
        <w:t>Variables</w:t>
      </w:r>
      <w:r w:rsidRPr="00795114">
        <w:rPr>
          <w:rFonts w:ascii="Arial" w:hAnsi="Arial" w:cs="Arial"/>
          <w:b/>
          <w:bCs/>
          <w:sz w:val="36"/>
          <w:szCs w:val="36"/>
        </w:rPr>
        <w:t xml:space="preserve"> off Mumbai</w:t>
      </w:r>
    </w:p>
    <w:p w14:paraId="77DF28F3" w14:textId="77777777" w:rsidR="00996D49" w:rsidRDefault="00996D49" w:rsidP="00E20A60">
      <w:pPr>
        <w:spacing w:after="0" w:line="360" w:lineRule="auto"/>
        <w:jc w:val="right"/>
        <w:rPr>
          <w:rFonts w:ascii="Arial" w:hAnsi="Arial" w:cs="Arial"/>
          <w:b/>
          <w:bCs/>
          <w:sz w:val="24"/>
          <w:szCs w:val="24"/>
        </w:rPr>
      </w:pPr>
    </w:p>
    <w:p w14:paraId="67CB5970" w14:textId="1DF61E4C" w:rsidR="002B3201" w:rsidRDefault="002B3201" w:rsidP="00FF58BF">
      <w:pPr>
        <w:spacing w:after="0" w:line="360" w:lineRule="auto"/>
        <w:jc w:val="right"/>
        <w:rPr>
          <w:rFonts w:ascii="Arial" w:hAnsi="Arial" w:cs="Arial"/>
          <w:i/>
          <w:iCs/>
          <w:sz w:val="20"/>
        </w:rPr>
      </w:pPr>
    </w:p>
    <w:p w14:paraId="05F508C7" w14:textId="77777777" w:rsidR="009B2C59" w:rsidRPr="00795114" w:rsidRDefault="009B2C59" w:rsidP="00FF58BF">
      <w:pPr>
        <w:spacing w:after="0" w:line="360" w:lineRule="auto"/>
        <w:jc w:val="right"/>
        <w:rPr>
          <w:rFonts w:ascii="Arial" w:hAnsi="Arial" w:cs="Arial"/>
          <w:i/>
          <w:iCs/>
          <w:sz w:val="20"/>
        </w:rPr>
      </w:pPr>
    </w:p>
    <w:p w14:paraId="712FE589" w14:textId="2F6AF983" w:rsidR="00DA3A4F" w:rsidRPr="00795114" w:rsidRDefault="00DA3A4F" w:rsidP="00FF58BF">
      <w:pPr>
        <w:spacing w:after="0" w:line="360" w:lineRule="auto"/>
        <w:jc w:val="right"/>
        <w:rPr>
          <w:rFonts w:ascii="Arial" w:hAnsi="Arial" w:cs="Arial"/>
          <w:i/>
          <w:iCs/>
          <w:sz w:val="20"/>
        </w:rPr>
      </w:pPr>
      <w:r w:rsidRPr="00795114">
        <w:rPr>
          <w:rFonts w:ascii="Arial" w:hAnsi="Arial" w:cs="Arial"/>
          <w:i/>
          <w:iCs/>
          <w:sz w:val="20"/>
        </w:rPr>
        <w:t xml:space="preserve"> </w:t>
      </w:r>
    </w:p>
    <w:p w14:paraId="47515E11" w14:textId="357AFC23" w:rsidR="00F453A6" w:rsidRPr="00FF58BF" w:rsidRDefault="00FF58BF" w:rsidP="0058711A">
      <w:pPr>
        <w:spacing w:after="0" w:line="360" w:lineRule="auto"/>
        <w:jc w:val="both"/>
        <w:rPr>
          <w:rFonts w:ascii="Arial" w:hAnsi="Arial" w:cs="Arial"/>
          <w:b/>
          <w:bCs/>
          <w:szCs w:val="22"/>
        </w:rPr>
      </w:pPr>
      <w:r w:rsidRPr="00FF58BF">
        <w:rPr>
          <w:rFonts w:ascii="Arial" w:hAnsi="Arial" w:cs="Arial"/>
          <w:b/>
          <w:bCs/>
          <w:szCs w:val="22"/>
        </w:rPr>
        <w:t>ABSTRACT</w:t>
      </w:r>
    </w:p>
    <w:p w14:paraId="44267CD5" w14:textId="197B3027" w:rsidR="00F17382" w:rsidRPr="00795114" w:rsidRDefault="00403030" w:rsidP="0058711A">
      <w:pPr>
        <w:spacing w:after="0" w:line="360" w:lineRule="auto"/>
        <w:jc w:val="both"/>
        <w:rPr>
          <w:rFonts w:ascii="Arial" w:hAnsi="Arial" w:cs="Arial"/>
          <w:sz w:val="20"/>
        </w:rPr>
      </w:pPr>
      <w:r w:rsidRPr="00795114">
        <w:rPr>
          <w:rFonts w:ascii="Arial" w:hAnsi="Arial" w:cs="Arial"/>
          <w:sz w:val="20"/>
        </w:rPr>
        <w:t xml:space="preserve">India is a major player in global fisheries, with </w:t>
      </w:r>
      <w:r w:rsidRPr="00795114">
        <w:rPr>
          <w:rFonts w:ascii="Arial" w:hAnsi="Arial" w:cs="Arial"/>
          <w:i/>
          <w:iCs/>
          <w:sz w:val="20"/>
        </w:rPr>
        <w:t>Coilia dussumieri</w:t>
      </w:r>
      <w:r w:rsidRPr="00795114">
        <w:rPr>
          <w:rFonts w:ascii="Arial" w:hAnsi="Arial" w:cs="Arial"/>
          <w:sz w:val="20"/>
        </w:rPr>
        <w:t xml:space="preserve"> being a significant species. This study investigates the spatiotemporal distribution of </w:t>
      </w:r>
      <w:commentRangeStart w:id="0"/>
      <w:r w:rsidRPr="00795114">
        <w:rPr>
          <w:rFonts w:ascii="Arial" w:hAnsi="Arial" w:cs="Arial"/>
          <w:sz w:val="20"/>
        </w:rPr>
        <w:t>C</w:t>
      </w:r>
      <w:commentRangeEnd w:id="0"/>
      <w:r w:rsidR="00953F06">
        <w:rPr>
          <w:rStyle w:val="CommentReference"/>
        </w:rPr>
        <w:commentReference w:id="0"/>
      </w:r>
      <w:r w:rsidRPr="00795114">
        <w:rPr>
          <w:rFonts w:ascii="Arial" w:hAnsi="Arial" w:cs="Arial"/>
          <w:sz w:val="20"/>
        </w:rPr>
        <w:t>. dussumieri along the Mumbai coast, focusing on the influence of environmental factors. Data on fish catch and environmental variables (</w:t>
      </w:r>
      <w:commentRangeStart w:id="1"/>
      <w:r w:rsidRPr="00795114">
        <w:rPr>
          <w:rFonts w:ascii="Arial" w:hAnsi="Arial" w:cs="Arial"/>
          <w:sz w:val="20"/>
        </w:rPr>
        <w:t>SST</w:t>
      </w:r>
      <w:commentRangeEnd w:id="1"/>
      <w:r w:rsidR="00953F06">
        <w:rPr>
          <w:rStyle w:val="CommentReference"/>
        </w:rPr>
        <w:commentReference w:id="1"/>
      </w:r>
      <w:r w:rsidRPr="00795114">
        <w:rPr>
          <w:rFonts w:ascii="Arial" w:hAnsi="Arial" w:cs="Arial"/>
          <w:sz w:val="20"/>
        </w:rPr>
        <w:t xml:space="preserve">, salinity, pH, SSH, current speed, and chlorophyll-a) were collected during fortnightly surveys. </w:t>
      </w:r>
      <w:r w:rsidR="00DD2DE5" w:rsidRPr="00795114">
        <w:rPr>
          <w:rFonts w:ascii="Arial" w:hAnsi="Arial" w:cs="Arial"/>
          <w:sz w:val="20"/>
        </w:rPr>
        <w:t xml:space="preserve">The association between these factors and Catch Per Unit Effort (CPUE) was </w:t>
      </w:r>
      <w:r w:rsidR="00A802A9" w:rsidRPr="00795114">
        <w:rPr>
          <w:rFonts w:ascii="Arial" w:hAnsi="Arial" w:cs="Arial"/>
          <w:sz w:val="20"/>
        </w:rPr>
        <w:t>modelled</w:t>
      </w:r>
      <w:r w:rsidR="00DD2DE5" w:rsidRPr="00795114">
        <w:rPr>
          <w:rFonts w:ascii="Arial" w:hAnsi="Arial" w:cs="Arial"/>
          <w:sz w:val="20"/>
        </w:rPr>
        <w:t xml:space="preserve"> using Boosted Regression Trees (BRT). </w:t>
      </w:r>
      <w:r w:rsidRPr="00795114">
        <w:rPr>
          <w:rFonts w:ascii="Arial" w:hAnsi="Arial" w:cs="Arial"/>
          <w:sz w:val="20"/>
        </w:rPr>
        <w:t xml:space="preserve">Results revealed that salinity, chlorophyll-a, and SST were the most influential factors, with optimal ranges observed for each. The model demonstrated a non-linear and interactive effect of salinity and chlorophyll-a on CPUE. </w:t>
      </w:r>
      <w:r w:rsidR="00F17382" w:rsidRPr="00795114">
        <w:rPr>
          <w:rFonts w:ascii="Arial" w:hAnsi="Arial" w:cs="Arial"/>
          <w:sz w:val="20"/>
        </w:rPr>
        <w:t xml:space="preserve">A greater percentage of juveniles were found in the catch, according to an analysis of length-frequency data, underscoring the need of taking juvenile populations into account when developing management plans. This work provides significant insight on the ecological needs of </w:t>
      </w:r>
      <w:commentRangeStart w:id="2"/>
      <w:r w:rsidR="00F17382" w:rsidRPr="00795114">
        <w:rPr>
          <w:rFonts w:ascii="Arial" w:hAnsi="Arial" w:cs="Arial"/>
          <w:sz w:val="20"/>
        </w:rPr>
        <w:t xml:space="preserve">C. dussumieri </w:t>
      </w:r>
      <w:commentRangeEnd w:id="2"/>
      <w:r w:rsidR="00953F06">
        <w:rPr>
          <w:rStyle w:val="CommentReference"/>
        </w:rPr>
        <w:commentReference w:id="2"/>
      </w:r>
      <w:r w:rsidR="00F17382" w:rsidRPr="00795114">
        <w:rPr>
          <w:rFonts w:ascii="Arial" w:hAnsi="Arial" w:cs="Arial"/>
          <w:sz w:val="20"/>
        </w:rPr>
        <w:t>and highlights the necessity of managing fisheries using an ecosystem-based strategy that takes environmental factors and juvenile population dynamics into account.</w:t>
      </w:r>
    </w:p>
    <w:p w14:paraId="7CFB7D6C" w14:textId="677DD933" w:rsidR="002D4B20" w:rsidRPr="00803DEA" w:rsidRDefault="002D4B20" w:rsidP="00187A74">
      <w:pPr>
        <w:spacing w:before="240" w:after="0" w:line="360" w:lineRule="auto"/>
        <w:jc w:val="both"/>
        <w:rPr>
          <w:rFonts w:ascii="Arial" w:hAnsi="Arial" w:cs="Arial"/>
          <w:b/>
          <w:bCs/>
          <w:i/>
          <w:iCs/>
          <w:sz w:val="20"/>
        </w:rPr>
      </w:pPr>
      <w:r w:rsidRPr="00803DEA">
        <w:rPr>
          <w:rFonts w:ascii="Arial" w:hAnsi="Arial" w:cs="Arial"/>
          <w:b/>
          <w:bCs/>
          <w:i/>
          <w:iCs/>
          <w:sz w:val="20"/>
        </w:rPr>
        <w:t xml:space="preserve">Keywords: </w:t>
      </w:r>
      <w:r w:rsidRPr="00803DEA">
        <w:rPr>
          <w:rFonts w:ascii="Arial" w:hAnsi="Arial" w:cs="Arial"/>
          <w:i/>
          <w:iCs/>
          <w:sz w:val="20"/>
        </w:rPr>
        <w:t>Coilia dussumeiri, Juvenile population, CPUE,</w:t>
      </w:r>
      <w:r w:rsidRPr="00803DEA">
        <w:rPr>
          <w:rFonts w:ascii="Arial" w:hAnsi="Arial" w:cs="Arial"/>
          <w:b/>
          <w:bCs/>
          <w:i/>
          <w:iCs/>
          <w:sz w:val="20"/>
        </w:rPr>
        <w:t xml:space="preserve"> </w:t>
      </w:r>
      <w:r w:rsidRPr="00803DEA">
        <w:rPr>
          <w:rFonts w:ascii="Arial" w:hAnsi="Arial" w:cs="Arial"/>
          <w:i/>
          <w:iCs/>
          <w:sz w:val="20"/>
        </w:rPr>
        <w:t>length-frequency.</w:t>
      </w:r>
    </w:p>
    <w:p w14:paraId="18C9826D" w14:textId="3C2D2776" w:rsidR="00C0545C"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1. </w:t>
      </w:r>
      <w:r w:rsidR="00FF58BF" w:rsidRPr="00FF58BF">
        <w:rPr>
          <w:rFonts w:ascii="Arial" w:hAnsi="Arial" w:cs="Arial"/>
          <w:b/>
          <w:bCs/>
          <w:szCs w:val="22"/>
        </w:rPr>
        <w:t xml:space="preserve">INTRODUCTION </w:t>
      </w:r>
    </w:p>
    <w:p w14:paraId="0A9DDCB6" w14:textId="1A435D77" w:rsidR="003B178F" w:rsidRPr="00795114" w:rsidRDefault="00CC4428" w:rsidP="00187A74">
      <w:pPr>
        <w:spacing w:before="240" w:after="0" w:line="360" w:lineRule="auto"/>
        <w:jc w:val="both"/>
        <w:rPr>
          <w:rFonts w:ascii="Arial" w:hAnsi="Arial" w:cs="Arial"/>
          <w:color w:val="131313"/>
          <w:kern w:val="0"/>
          <w:sz w:val="20"/>
        </w:rPr>
      </w:pPr>
      <w:r w:rsidRPr="00795114">
        <w:rPr>
          <w:rFonts w:ascii="Arial" w:hAnsi="Arial" w:cs="Arial"/>
          <w:sz w:val="20"/>
        </w:rPr>
        <w:t>The world's third-largest fish producer is India. With its rich history and expertise, the marine fishing industry in India is one of the biggest employers</w:t>
      </w:r>
      <w:r w:rsidR="00BD0A3E" w:rsidRPr="00795114">
        <w:rPr>
          <w:rFonts w:ascii="Arial" w:hAnsi="Arial" w:cs="Arial"/>
          <w:i/>
          <w:iCs/>
          <w:sz w:val="20"/>
        </w:rPr>
        <w:t xml:space="preserve">. </w:t>
      </w:r>
      <w:r w:rsidRPr="00795114">
        <w:rPr>
          <w:rFonts w:ascii="Arial" w:hAnsi="Arial" w:cs="Arial"/>
          <w:sz w:val="20"/>
        </w:rPr>
        <w:t xml:space="preserve">The goldspotted grenadier anchovy, or </w:t>
      </w:r>
      <w:r w:rsidRPr="00795114">
        <w:rPr>
          <w:rFonts w:ascii="Arial" w:hAnsi="Arial" w:cs="Arial"/>
          <w:i/>
          <w:iCs/>
          <w:sz w:val="20"/>
        </w:rPr>
        <w:t>Coilia dussumieri</w:t>
      </w:r>
      <w:r w:rsidRPr="00795114">
        <w:rPr>
          <w:rFonts w:ascii="Arial" w:hAnsi="Arial" w:cs="Arial"/>
          <w:sz w:val="20"/>
        </w:rPr>
        <w:t xml:space="preserve">, is a ray-finned fish species that belongs to the Engraulidae family. It is found in estuaries and </w:t>
      </w:r>
      <w:commentRangeStart w:id="3"/>
      <w:r w:rsidRPr="00795114">
        <w:rPr>
          <w:rFonts w:ascii="Arial" w:hAnsi="Arial" w:cs="Arial"/>
          <w:sz w:val="20"/>
        </w:rPr>
        <w:t>marine</w:t>
      </w:r>
      <w:commentRangeEnd w:id="3"/>
      <w:r w:rsidR="00953F06">
        <w:rPr>
          <w:rStyle w:val="CommentReference"/>
        </w:rPr>
        <w:commentReference w:id="3"/>
      </w:r>
      <w:r w:rsidRPr="00795114">
        <w:rPr>
          <w:rFonts w:ascii="Arial" w:hAnsi="Arial" w:cs="Arial"/>
          <w:sz w:val="20"/>
        </w:rPr>
        <w:t xml:space="preserve"> seas that border India, Bangladesh, and Myanmar. Furthermore, it is distributed from Java and the Malay Peninsula to the southern part of Thailand</w:t>
      </w:r>
      <w:r w:rsidR="002317EA" w:rsidRPr="00795114">
        <w:rPr>
          <w:rFonts w:ascii="Arial" w:hAnsi="Arial" w:cs="Arial"/>
          <w:sz w:val="20"/>
        </w:rPr>
        <w:t xml:space="preserve"> (Akhter et al., 2024)</w:t>
      </w:r>
      <w:r w:rsidRPr="00795114">
        <w:rPr>
          <w:rFonts w:ascii="Arial" w:hAnsi="Arial" w:cs="Arial"/>
          <w:sz w:val="20"/>
        </w:rPr>
        <w:t xml:space="preserve">. Common forage fish found in tropical and subtropical seas are anchovies. </w:t>
      </w:r>
      <w:commentRangeStart w:id="4"/>
      <w:r w:rsidRPr="00795114">
        <w:rPr>
          <w:rFonts w:ascii="Arial" w:hAnsi="Arial" w:cs="Arial"/>
          <w:sz w:val="20"/>
        </w:rPr>
        <w:t>Known</w:t>
      </w:r>
      <w:commentRangeEnd w:id="4"/>
      <w:r w:rsidR="00953F06">
        <w:rPr>
          <w:rStyle w:val="CommentReference"/>
        </w:rPr>
        <w:commentReference w:id="4"/>
      </w:r>
      <w:r w:rsidRPr="00795114">
        <w:rPr>
          <w:rFonts w:ascii="Arial" w:hAnsi="Arial" w:cs="Arial"/>
          <w:sz w:val="20"/>
        </w:rPr>
        <w:t xml:space="preserve"> as gold-spotted grenadier anchovies in England, Mandeli in </w:t>
      </w:r>
      <w:commentRangeStart w:id="5"/>
      <w:r w:rsidRPr="00795114">
        <w:rPr>
          <w:rFonts w:ascii="Arial" w:hAnsi="Arial" w:cs="Arial"/>
          <w:sz w:val="20"/>
        </w:rPr>
        <w:t>Bombay</w:t>
      </w:r>
      <w:commentRangeEnd w:id="5"/>
      <w:r w:rsidR="00953F06">
        <w:rPr>
          <w:rStyle w:val="CommentReference"/>
        </w:rPr>
        <w:commentReference w:id="5"/>
      </w:r>
      <w:r w:rsidRPr="00795114">
        <w:rPr>
          <w:rFonts w:ascii="Arial" w:hAnsi="Arial" w:cs="Arial"/>
          <w:sz w:val="20"/>
        </w:rPr>
        <w:t xml:space="preserve"> and Gujarat, and "Oluua maach" in Bangladesh's coastal regions </w:t>
      </w:r>
      <w:r w:rsidR="002317EA" w:rsidRPr="00795114">
        <w:rPr>
          <w:rFonts w:ascii="Arial" w:hAnsi="Arial" w:cs="Arial"/>
          <w:sz w:val="20"/>
        </w:rPr>
        <w:t>(Amin and Zafar, 2004)</w:t>
      </w:r>
      <w:r w:rsidRPr="00795114">
        <w:rPr>
          <w:rFonts w:ascii="Arial" w:hAnsi="Arial" w:cs="Arial"/>
          <w:sz w:val="20"/>
        </w:rPr>
        <w:t>.</w:t>
      </w:r>
      <w:r w:rsidR="003C3028" w:rsidRPr="00795114">
        <w:rPr>
          <w:rFonts w:ascii="Arial" w:hAnsi="Arial" w:cs="Arial"/>
          <w:color w:val="131313"/>
          <w:kern w:val="0"/>
          <w:sz w:val="20"/>
        </w:rPr>
        <w:t xml:space="preserve"> </w:t>
      </w:r>
      <w:r w:rsidRPr="00795114">
        <w:rPr>
          <w:rFonts w:ascii="Arial" w:hAnsi="Arial" w:cs="Arial"/>
          <w:color w:val="131313"/>
          <w:kern w:val="0"/>
          <w:sz w:val="20"/>
        </w:rPr>
        <w:t>On the coasts of Bombay, Maharashtra, and Gujarat, it is captured alongside a range of other fish by the Indigenous Dolnets (fixed bagnets) and set ba</w:t>
      </w:r>
      <w:r w:rsidR="0024541E" w:rsidRPr="00795114">
        <w:rPr>
          <w:rFonts w:ascii="Arial" w:hAnsi="Arial" w:cs="Arial"/>
          <w:color w:val="131313"/>
          <w:kern w:val="0"/>
          <w:sz w:val="20"/>
        </w:rPr>
        <w:t>g</w:t>
      </w:r>
      <w:r w:rsidRPr="00795114">
        <w:rPr>
          <w:rFonts w:ascii="Arial" w:hAnsi="Arial" w:cs="Arial"/>
          <w:color w:val="131313"/>
          <w:kern w:val="0"/>
          <w:sz w:val="20"/>
        </w:rPr>
        <w:t xml:space="preserve"> net (S.B.N.) in India </w:t>
      </w:r>
      <w:r w:rsidR="002317EA" w:rsidRPr="00795114">
        <w:rPr>
          <w:rFonts w:ascii="Arial" w:hAnsi="Arial" w:cs="Arial"/>
          <w:color w:val="131313"/>
          <w:kern w:val="0"/>
          <w:sz w:val="20"/>
        </w:rPr>
        <w:t>(</w:t>
      </w:r>
      <w:r w:rsidR="002317EA" w:rsidRPr="00795114">
        <w:rPr>
          <w:rFonts w:ascii="Arial" w:hAnsi="Arial" w:cs="Arial"/>
          <w:sz w:val="20"/>
        </w:rPr>
        <w:t xml:space="preserve">Fernandez and Devaraj, 1989) </w:t>
      </w:r>
      <w:r w:rsidR="00EB4EFF" w:rsidRPr="00795114">
        <w:rPr>
          <w:rFonts w:ascii="Arial" w:hAnsi="Arial" w:cs="Arial"/>
          <w:color w:val="131313"/>
          <w:kern w:val="0"/>
          <w:sz w:val="20"/>
        </w:rPr>
        <w:t xml:space="preserve">and in </w:t>
      </w:r>
      <w:r w:rsidR="004938C4" w:rsidRPr="00795114">
        <w:rPr>
          <w:rFonts w:ascii="Arial" w:hAnsi="Arial" w:cs="Arial"/>
          <w:color w:val="131313"/>
          <w:kern w:val="0"/>
          <w:sz w:val="20"/>
        </w:rPr>
        <w:t>the </w:t>
      </w:r>
      <w:r w:rsidR="00EB4EFF" w:rsidRPr="00795114">
        <w:rPr>
          <w:rFonts w:ascii="Arial" w:hAnsi="Arial" w:cs="Arial"/>
          <w:color w:val="131313"/>
          <w:kern w:val="0"/>
          <w:sz w:val="20"/>
        </w:rPr>
        <w:t xml:space="preserve">northeast by trawl fishery </w:t>
      </w:r>
      <w:r w:rsidR="002317EA" w:rsidRPr="00795114">
        <w:rPr>
          <w:rFonts w:ascii="Arial" w:hAnsi="Arial" w:cs="Arial"/>
          <w:color w:val="131313"/>
          <w:kern w:val="0"/>
          <w:sz w:val="20"/>
        </w:rPr>
        <w:t>(CMFRI, 2024)</w:t>
      </w:r>
      <w:r w:rsidR="00EB4EFF" w:rsidRPr="00795114">
        <w:rPr>
          <w:rFonts w:ascii="Arial" w:hAnsi="Arial" w:cs="Arial"/>
          <w:color w:val="131313"/>
          <w:kern w:val="0"/>
          <w:sz w:val="20"/>
        </w:rPr>
        <w:t xml:space="preserve">, </w:t>
      </w:r>
      <w:r w:rsidR="005424B3" w:rsidRPr="00795114">
        <w:rPr>
          <w:rFonts w:ascii="Arial" w:hAnsi="Arial" w:cs="Arial"/>
          <w:color w:val="131313"/>
          <w:kern w:val="0"/>
          <w:sz w:val="20"/>
        </w:rPr>
        <w:t xml:space="preserve">individual fish might spawn only twice </w:t>
      </w:r>
      <w:r w:rsidR="006966C8" w:rsidRPr="00795114">
        <w:rPr>
          <w:rFonts w:ascii="Arial" w:hAnsi="Arial" w:cs="Arial"/>
          <w:color w:val="131313"/>
          <w:kern w:val="0"/>
          <w:sz w:val="20"/>
        </w:rPr>
        <w:t>yearly</w:t>
      </w:r>
      <w:r w:rsidR="005424B3" w:rsidRPr="00795114">
        <w:rPr>
          <w:rFonts w:ascii="Arial" w:hAnsi="Arial" w:cs="Arial"/>
          <w:color w:val="131313"/>
          <w:kern w:val="0"/>
          <w:sz w:val="20"/>
        </w:rPr>
        <w:t xml:space="preserve"> </w:t>
      </w:r>
      <w:r w:rsidR="002317EA" w:rsidRPr="00795114">
        <w:rPr>
          <w:rFonts w:ascii="Arial" w:hAnsi="Arial" w:cs="Arial"/>
          <w:color w:val="131313"/>
          <w:kern w:val="0"/>
          <w:sz w:val="20"/>
        </w:rPr>
        <w:t>(</w:t>
      </w:r>
      <w:r w:rsidR="002317EA" w:rsidRPr="00795114">
        <w:rPr>
          <w:rFonts w:ascii="Arial" w:hAnsi="Arial" w:cs="Arial"/>
          <w:sz w:val="20"/>
        </w:rPr>
        <w:t>Fernandez and Devaraj, 1989)</w:t>
      </w:r>
      <w:r w:rsidR="005424B3" w:rsidRPr="00795114">
        <w:rPr>
          <w:rFonts w:ascii="Arial" w:hAnsi="Arial" w:cs="Arial"/>
          <w:color w:val="131313"/>
          <w:kern w:val="0"/>
          <w:sz w:val="20"/>
        </w:rPr>
        <w:t>.</w:t>
      </w:r>
      <w:r w:rsidR="00F47DB0" w:rsidRPr="00795114">
        <w:rPr>
          <w:rFonts w:ascii="Arial" w:hAnsi="Arial" w:cs="Arial"/>
          <w:color w:val="131313"/>
          <w:kern w:val="0"/>
          <w:sz w:val="20"/>
        </w:rPr>
        <w:t xml:space="preserve"> </w:t>
      </w:r>
      <w:r w:rsidR="00D22DC0" w:rsidRPr="00795114">
        <w:rPr>
          <w:rFonts w:ascii="Arial" w:hAnsi="Arial" w:cs="Arial"/>
          <w:color w:val="131313"/>
          <w:kern w:val="0"/>
          <w:sz w:val="20"/>
        </w:rPr>
        <w:t>In 2023, an estimated 3.53 million tonnes of marine fish were landed off the coast of mainland India.</w:t>
      </w:r>
      <w:r w:rsidR="006B7584" w:rsidRPr="00795114">
        <w:rPr>
          <w:rFonts w:ascii="Arial" w:hAnsi="Arial" w:cs="Arial"/>
          <w:color w:val="131313"/>
          <w:kern w:val="0"/>
          <w:sz w:val="20"/>
        </w:rPr>
        <w:t xml:space="preserve"> The anchovies group accounted for </w:t>
      </w:r>
      <w:r w:rsidR="006B7584" w:rsidRPr="00795114">
        <w:rPr>
          <w:rFonts w:ascii="Arial" w:hAnsi="Arial" w:cs="Arial"/>
          <w:color w:val="131313"/>
          <w:kern w:val="0"/>
          <w:sz w:val="20"/>
        </w:rPr>
        <w:lastRenderedPageBreak/>
        <w:t xml:space="preserve">153,000 tonnes, which is 4.33% of the total landings. Within the Clupeids fishery, </w:t>
      </w:r>
      <w:r w:rsidR="0024541E" w:rsidRPr="00795114">
        <w:rPr>
          <w:rFonts w:ascii="Arial" w:hAnsi="Arial" w:cs="Arial"/>
          <w:i/>
          <w:iCs/>
          <w:color w:val="131313"/>
          <w:kern w:val="0"/>
          <w:sz w:val="20"/>
        </w:rPr>
        <w:t>Coilia sp</w:t>
      </w:r>
      <w:r w:rsidR="006B7584" w:rsidRPr="00795114">
        <w:rPr>
          <w:rFonts w:ascii="Arial" w:hAnsi="Arial" w:cs="Arial"/>
          <w:color w:val="131313"/>
          <w:kern w:val="0"/>
          <w:sz w:val="20"/>
        </w:rPr>
        <w:t xml:space="preserve">. was the main species, contributing 22.75%. Specifically, the catch of </w:t>
      </w:r>
      <w:r w:rsidR="0024541E" w:rsidRPr="00795114">
        <w:rPr>
          <w:rFonts w:ascii="Arial" w:hAnsi="Arial" w:cs="Arial"/>
          <w:i/>
          <w:iCs/>
          <w:color w:val="131313"/>
          <w:kern w:val="0"/>
          <w:sz w:val="20"/>
        </w:rPr>
        <w:t>Coilia sp</w:t>
      </w:r>
      <w:r w:rsidR="006B7584" w:rsidRPr="00795114">
        <w:rPr>
          <w:rFonts w:ascii="Arial" w:hAnsi="Arial" w:cs="Arial"/>
          <w:color w:val="131313"/>
          <w:kern w:val="0"/>
          <w:sz w:val="20"/>
        </w:rPr>
        <w:t>. was 33,555 tonnes in 2023</w:t>
      </w:r>
      <w:r w:rsidR="00E860ED" w:rsidRPr="00795114">
        <w:rPr>
          <w:rFonts w:ascii="Arial" w:hAnsi="Arial" w:cs="Arial"/>
          <w:color w:val="131313"/>
          <w:kern w:val="0"/>
          <w:sz w:val="20"/>
        </w:rPr>
        <w:t>.</w:t>
      </w:r>
      <w:r w:rsidR="006B7584" w:rsidRPr="00795114">
        <w:rPr>
          <w:rFonts w:ascii="Arial" w:hAnsi="Arial" w:cs="Arial"/>
          <w:color w:val="131313"/>
          <w:kern w:val="0"/>
          <w:sz w:val="20"/>
        </w:rPr>
        <w:t> </w:t>
      </w:r>
      <w:r w:rsidR="00D22DC0" w:rsidRPr="00795114">
        <w:rPr>
          <w:rFonts w:ascii="Arial" w:hAnsi="Arial" w:cs="Arial"/>
          <w:color w:val="131313"/>
          <w:kern w:val="0"/>
          <w:sz w:val="20"/>
        </w:rPr>
        <w:t xml:space="preserve">Mechanized, motorized, and non-motorized fishing crafts are the three types of fishing crafts that together account for the overall amount of effort required to fish. 2.8 million tonnes (79%), 0.71 million tonnes (20%), and 0.03 million tonnes (1%), respectively, were their contributions to the total marine landings </w:t>
      </w:r>
      <w:r w:rsidR="002317EA" w:rsidRPr="00795114">
        <w:rPr>
          <w:rFonts w:ascii="Arial" w:hAnsi="Arial" w:cs="Arial"/>
          <w:color w:val="131313"/>
          <w:kern w:val="0"/>
          <w:sz w:val="20"/>
        </w:rPr>
        <w:t>(CMFRI, 2024)</w:t>
      </w:r>
      <w:r w:rsidR="00D22DC0" w:rsidRPr="00795114">
        <w:rPr>
          <w:rFonts w:ascii="Arial" w:hAnsi="Arial" w:cs="Arial"/>
          <w:color w:val="131313"/>
          <w:kern w:val="0"/>
          <w:sz w:val="20"/>
        </w:rPr>
        <w:t xml:space="preserve">. </w:t>
      </w:r>
      <w:r w:rsidR="00812ACC" w:rsidRPr="00795114">
        <w:rPr>
          <w:rFonts w:ascii="Arial" w:hAnsi="Arial" w:cs="Arial"/>
          <w:color w:val="131313"/>
          <w:kern w:val="0"/>
          <w:sz w:val="20"/>
        </w:rPr>
        <w:t xml:space="preserve">Assessing the spatial distribution of fish catches is an essential part of managing organisms that are at risk </w:t>
      </w:r>
      <w:r w:rsidR="002317EA" w:rsidRPr="00795114">
        <w:rPr>
          <w:rFonts w:ascii="Arial" w:hAnsi="Arial" w:cs="Arial"/>
          <w:color w:val="131313"/>
          <w:kern w:val="0"/>
          <w:sz w:val="20"/>
        </w:rPr>
        <w:t>(</w:t>
      </w:r>
      <w:r w:rsidR="002317EA" w:rsidRPr="00795114">
        <w:rPr>
          <w:rFonts w:ascii="Arial" w:hAnsi="Arial" w:cs="Arial"/>
          <w:sz w:val="20"/>
        </w:rPr>
        <w:t>Hildalgo et al., 2011; Campbell, 2015;</w:t>
      </w:r>
      <w:r w:rsidR="002317EA" w:rsidRPr="00795114">
        <w:rPr>
          <w:rFonts w:ascii="Arial" w:hAnsi="Arial" w:cs="Arial"/>
          <w:color w:val="131313"/>
          <w:kern w:val="0"/>
          <w:sz w:val="20"/>
        </w:rPr>
        <w:t xml:space="preserve"> </w:t>
      </w:r>
      <w:r w:rsidR="002317EA" w:rsidRPr="00795114">
        <w:rPr>
          <w:rFonts w:ascii="Arial" w:hAnsi="Arial" w:cs="Arial"/>
          <w:sz w:val="20"/>
        </w:rPr>
        <w:t>Thorson et al., 2015;</w:t>
      </w:r>
      <w:r w:rsidR="002317EA" w:rsidRPr="00795114">
        <w:rPr>
          <w:rFonts w:ascii="Arial" w:hAnsi="Arial" w:cs="Arial"/>
          <w:color w:val="131313"/>
          <w:kern w:val="0"/>
          <w:sz w:val="20"/>
        </w:rPr>
        <w:t xml:space="preserve"> </w:t>
      </w:r>
      <w:r w:rsidR="002317EA" w:rsidRPr="00795114">
        <w:rPr>
          <w:rFonts w:ascii="Arial" w:hAnsi="Arial" w:cs="Arial"/>
          <w:sz w:val="20"/>
        </w:rPr>
        <w:t>Ramteke et al., 2020</w:t>
      </w:r>
      <w:r w:rsidR="002317EA" w:rsidRPr="00795114">
        <w:rPr>
          <w:rFonts w:ascii="Arial" w:hAnsi="Arial" w:cs="Arial"/>
          <w:color w:val="131313"/>
          <w:kern w:val="0"/>
          <w:sz w:val="20"/>
        </w:rPr>
        <w:t>)</w:t>
      </w:r>
      <w:r w:rsidR="00812AC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Understanding adaptation </w:t>
      </w:r>
      <w:r w:rsidR="00D8712C" w:rsidRPr="00795114">
        <w:rPr>
          <w:rFonts w:ascii="Arial" w:hAnsi="Arial" w:cs="Arial"/>
          <w:color w:val="131313"/>
          <w:kern w:val="0"/>
          <w:sz w:val="20"/>
        </w:rPr>
        <w:t>behavior</w:t>
      </w:r>
      <w:r w:rsidR="003B178F" w:rsidRPr="00795114">
        <w:rPr>
          <w:rFonts w:ascii="Arial" w:hAnsi="Arial" w:cs="Arial"/>
          <w:color w:val="131313"/>
          <w:kern w:val="0"/>
          <w:sz w:val="20"/>
        </w:rPr>
        <w:t xml:space="preserve"> as</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 result to short and long-term environmental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changes helps to address the issue</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 spatiotemporal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movement, which is essential for</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effective stock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assessment,</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and</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lack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knowledge may contribute </w:t>
      </w:r>
      <w:r w:rsidR="00D8712C" w:rsidRPr="00795114">
        <w:rPr>
          <w:rFonts w:ascii="Arial" w:hAnsi="Arial" w:cs="Arial"/>
          <w:color w:val="131313"/>
          <w:kern w:val="0"/>
          <w:sz w:val="20"/>
        </w:rPr>
        <w:t>to</w:t>
      </w:r>
      <w:r w:rsidR="003B178F" w:rsidRPr="00795114">
        <w:rPr>
          <w:rFonts w:ascii="Arial" w:hAnsi="Arial" w:cs="Arial"/>
          <w:color w:val="131313"/>
          <w:kern w:val="0"/>
          <w:sz w:val="20"/>
        </w:rPr>
        <w:t xml:space="preserve"> a sudden collapse 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over-exploited fisheries resources</w:t>
      </w:r>
      <w:r w:rsidR="00E6710B" w:rsidRPr="00795114">
        <w:rPr>
          <w:rFonts w:ascii="Arial" w:hAnsi="Arial" w:cs="Arial"/>
          <w:color w:val="131313"/>
          <w:kern w:val="0"/>
          <w:sz w:val="20"/>
        </w:rPr>
        <w:t xml:space="preserve"> </w:t>
      </w:r>
      <w:r w:rsidR="002317EA" w:rsidRPr="00795114">
        <w:rPr>
          <w:rFonts w:ascii="Arial" w:hAnsi="Arial" w:cs="Arial"/>
          <w:color w:val="131313"/>
          <w:kern w:val="0"/>
          <w:sz w:val="20"/>
        </w:rPr>
        <w:t>(</w:t>
      </w:r>
      <w:r w:rsidR="002317EA" w:rsidRPr="00795114">
        <w:rPr>
          <w:rFonts w:ascii="Arial" w:hAnsi="Arial" w:cs="Arial"/>
          <w:sz w:val="20"/>
        </w:rPr>
        <w:t>Ramteke et al., 2020</w:t>
      </w:r>
      <w:r w:rsidR="002317EA" w:rsidRPr="00795114">
        <w:rPr>
          <w:rFonts w:ascii="Arial" w:hAnsi="Arial" w:cs="Arial"/>
          <w:color w:val="131313"/>
          <w:kern w:val="0"/>
          <w:sz w:val="20"/>
        </w:rPr>
        <w:t>)</w:t>
      </w:r>
      <w:r w:rsidR="003B178F" w:rsidRPr="00795114">
        <w:rPr>
          <w:rFonts w:ascii="Arial" w:hAnsi="Arial" w:cs="Arial"/>
          <w:color w:val="131313"/>
          <w:kern w:val="0"/>
          <w:sz w:val="20"/>
        </w:rPr>
        <w:t xml:space="preserve">. </w:t>
      </w:r>
      <w:r w:rsidR="00E6710B" w:rsidRPr="00795114">
        <w:rPr>
          <w:rFonts w:ascii="Arial" w:hAnsi="Arial" w:cs="Arial"/>
          <w:color w:val="131313"/>
          <w:kern w:val="0"/>
          <w:sz w:val="20"/>
        </w:rPr>
        <w:t xml:space="preserve">Thus, the development of fisheries management should be grounded in an understanding of how environmental factors influence the spatiotemporal distribution of fish. It is also important to consider the presence of juveniles in </w:t>
      </w:r>
      <w:r w:rsidR="00336E64" w:rsidRPr="00795114">
        <w:rPr>
          <w:rFonts w:ascii="Arial" w:hAnsi="Arial" w:cs="Arial"/>
          <w:color w:val="131313"/>
          <w:kern w:val="0"/>
          <w:sz w:val="20"/>
        </w:rPr>
        <w:t>Dolnet</w:t>
      </w:r>
      <w:r w:rsidR="00E6710B" w:rsidRPr="00795114">
        <w:rPr>
          <w:rFonts w:ascii="Arial" w:hAnsi="Arial" w:cs="Arial"/>
          <w:color w:val="131313"/>
          <w:kern w:val="0"/>
          <w:sz w:val="20"/>
        </w:rPr>
        <w:t xml:space="preserve"> catches along the Maharashtra coast.</w:t>
      </w:r>
      <w:r w:rsidR="00F371EB" w:rsidRPr="00795114">
        <w:rPr>
          <w:rFonts w:ascii="Arial" w:hAnsi="Arial" w:cs="Arial"/>
          <w:color w:val="131313"/>
          <w:kern w:val="0"/>
          <w:sz w:val="20"/>
        </w:rPr>
        <w:t xml:space="preserve"> We revealed the response characteristics and influence mechanisms of SST, </w:t>
      </w:r>
      <w:r w:rsidR="004E3E20" w:rsidRPr="00795114">
        <w:rPr>
          <w:rFonts w:ascii="Arial" w:hAnsi="Arial" w:cs="Arial"/>
          <w:color w:val="131313"/>
          <w:kern w:val="0"/>
          <w:sz w:val="20"/>
        </w:rPr>
        <w:t xml:space="preserve">salinity, pH, SSH, current speed, and </w:t>
      </w:r>
      <w:commentRangeStart w:id="6"/>
      <w:r w:rsidR="004E3E20" w:rsidRPr="00795114">
        <w:rPr>
          <w:rFonts w:ascii="Arial" w:hAnsi="Arial" w:cs="Arial"/>
          <w:color w:val="131313"/>
          <w:kern w:val="0"/>
          <w:sz w:val="20"/>
        </w:rPr>
        <w:t>chla</w:t>
      </w:r>
      <w:commentRangeEnd w:id="6"/>
      <w:r w:rsidR="006C6A69">
        <w:rPr>
          <w:rStyle w:val="CommentReference"/>
        </w:rPr>
        <w:commentReference w:id="6"/>
      </w:r>
      <w:r w:rsidR="00F371EB" w:rsidRPr="00795114">
        <w:rPr>
          <w:rFonts w:ascii="Arial" w:hAnsi="Arial" w:cs="Arial"/>
          <w:color w:val="131313"/>
          <w:kern w:val="0"/>
          <w:sz w:val="20"/>
        </w:rPr>
        <w:t>, which are typical environmental factors in Mumbai coastal water.</w:t>
      </w:r>
    </w:p>
    <w:p w14:paraId="01BEA04F" w14:textId="482D8BB7" w:rsidR="00F23FE7" w:rsidRPr="00FF58BF" w:rsidRDefault="00803DEA" w:rsidP="00187A74">
      <w:pPr>
        <w:spacing w:before="240" w:after="0" w:line="360" w:lineRule="auto"/>
        <w:jc w:val="both"/>
        <w:rPr>
          <w:rFonts w:ascii="Arial" w:hAnsi="Arial" w:cs="Arial"/>
          <w:b/>
          <w:bCs/>
          <w:color w:val="131313"/>
          <w:kern w:val="0"/>
          <w:szCs w:val="22"/>
        </w:rPr>
      </w:pPr>
      <w:r>
        <w:rPr>
          <w:rFonts w:ascii="Arial" w:hAnsi="Arial" w:cs="Arial"/>
          <w:b/>
          <w:bCs/>
          <w:color w:val="131313"/>
          <w:kern w:val="0"/>
          <w:szCs w:val="22"/>
        </w:rPr>
        <w:t xml:space="preserve">2. </w:t>
      </w:r>
      <w:r w:rsidR="00FF58BF" w:rsidRPr="00FF58BF">
        <w:rPr>
          <w:rFonts w:ascii="Arial" w:hAnsi="Arial" w:cs="Arial"/>
          <w:b/>
          <w:bCs/>
          <w:color w:val="131313"/>
          <w:kern w:val="0"/>
          <w:szCs w:val="22"/>
        </w:rPr>
        <w:t>MATERIAL AND METHODS</w:t>
      </w:r>
    </w:p>
    <w:p w14:paraId="5E234C64" w14:textId="204D6F58" w:rsidR="0080237C" w:rsidRPr="00795114" w:rsidRDefault="00F267D3" w:rsidP="00187A74">
      <w:pPr>
        <w:autoSpaceDE w:val="0"/>
        <w:autoSpaceDN w:val="0"/>
        <w:adjustRightInd w:val="0"/>
        <w:spacing w:before="240" w:line="360" w:lineRule="auto"/>
        <w:jc w:val="both"/>
        <w:rPr>
          <w:rFonts w:ascii="Arial" w:hAnsi="Arial" w:cs="Arial"/>
          <w:sz w:val="20"/>
        </w:rPr>
      </w:pPr>
      <w:r w:rsidRPr="00795114">
        <w:rPr>
          <w:rFonts w:ascii="Arial" w:hAnsi="Arial" w:cs="Arial"/>
          <w:sz w:val="20"/>
        </w:rPr>
        <w:t xml:space="preserve">environmental factors' effects on temporal dispersion </w:t>
      </w:r>
      <w:r w:rsidR="00E15D47" w:rsidRPr="00795114">
        <w:rPr>
          <w:rFonts w:ascii="Arial" w:hAnsi="Arial" w:cs="Arial"/>
          <w:sz w:val="20"/>
        </w:rPr>
        <w:t>i</w:t>
      </w:r>
      <w:r w:rsidRPr="00795114">
        <w:rPr>
          <w:rFonts w:ascii="Arial" w:hAnsi="Arial" w:cs="Arial"/>
          <w:sz w:val="20"/>
        </w:rPr>
        <w:t xml:space="preserve">n order to get fish catch data from Mumbai's coastal regions, a biweekly independent fisheries resource survey was conducted from December 2022 to May 2023 utilizing M.F.V NARMADA (IV), I </w:t>
      </w:r>
      <w:commentRangeStart w:id="7"/>
      <w:r w:rsidRPr="00795114">
        <w:rPr>
          <w:rFonts w:ascii="Arial" w:hAnsi="Arial" w:cs="Arial"/>
          <w:sz w:val="20"/>
        </w:rPr>
        <w:t>CAR</w:t>
      </w:r>
      <w:commentRangeEnd w:id="7"/>
      <w:r w:rsidR="006C6A69">
        <w:rPr>
          <w:rStyle w:val="CommentReference"/>
        </w:rPr>
        <w:commentReference w:id="7"/>
      </w:r>
      <w:r w:rsidRPr="00795114">
        <w:rPr>
          <w:rFonts w:ascii="Arial" w:hAnsi="Arial" w:cs="Arial"/>
          <w:sz w:val="20"/>
        </w:rPr>
        <w:t xml:space="preserve">-Central Institute of Fisheries Education, Mumbai (Fig. 1). </w:t>
      </w:r>
      <w:r w:rsidR="008020B1" w:rsidRPr="00795114">
        <w:rPr>
          <w:rFonts w:ascii="Arial" w:hAnsi="Arial" w:cs="Arial"/>
          <w:color w:val="131313"/>
          <w:kern w:val="0"/>
          <w:sz w:val="20"/>
        </w:rPr>
        <w:t xml:space="preserve">During the survey, identical net setting and hauling procedure was implemented, using 35 m </w:t>
      </w:r>
      <w:r w:rsidR="00336E64" w:rsidRPr="00795114">
        <w:rPr>
          <w:rFonts w:ascii="Arial" w:hAnsi="Arial" w:cs="Arial"/>
          <w:color w:val="131313"/>
          <w:kern w:val="0"/>
          <w:sz w:val="20"/>
        </w:rPr>
        <w:t>Dolnet</w:t>
      </w:r>
      <w:r w:rsidR="008020B1" w:rsidRPr="00795114">
        <w:rPr>
          <w:rFonts w:ascii="Arial" w:hAnsi="Arial" w:cs="Arial"/>
          <w:color w:val="131313"/>
          <w:kern w:val="0"/>
          <w:sz w:val="20"/>
        </w:rPr>
        <w:t xml:space="preserve"> of 10 mm mesh size cod end. </w:t>
      </w:r>
      <w:r w:rsidRPr="00795114">
        <w:rPr>
          <w:rFonts w:ascii="Arial" w:hAnsi="Arial" w:cs="Arial"/>
          <w:color w:val="131313"/>
          <w:kern w:val="0"/>
          <w:sz w:val="20"/>
        </w:rPr>
        <w:t>Following their collection, the fish samples were taken to the lab for species-level identification. Weight and length were measured to the closest 0.01 g and 1 mm, respectively.</w:t>
      </w:r>
      <w:r w:rsidR="006A3254" w:rsidRPr="00795114">
        <w:rPr>
          <w:rFonts w:ascii="Arial" w:hAnsi="Arial" w:cs="Arial"/>
          <w:sz w:val="20"/>
        </w:rPr>
        <w:t xml:space="preserve"> </w:t>
      </w:r>
      <w:r w:rsidRPr="00795114">
        <w:rPr>
          <w:rFonts w:ascii="Arial" w:hAnsi="Arial" w:cs="Arial"/>
          <w:sz w:val="20"/>
        </w:rPr>
        <w:t>Utilizing data from the E.U. Copernicus Marine Service</w:t>
      </w:r>
      <w:r w:rsidR="00AC2857" w:rsidRPr="00795114">
        <w:rPr>
          <w:rFonts w:ascii="Arial" w:hAnsi="Arial" w:cs="Arial"/>
          <w:sz w:val="20"/>
        </w:rPr>
        <w:t xml:space="preserve"> </w:t>
      </w:r>
      <w:r w:rsidR="00CD6DF6" w:rsidRPr="00795114">
        <w:rPr>
          <w:rFonts w:ascii="Arial" w:hAnsi="Arial" w:cs="Arial"/>
          <w:sz w:val="20"/>
        </w:rPr>
        <w:t>(2024</w:t>
      </w:r>
      <w:r w:rsidR="00F63927" w:rsidRPr="00795114">
        <w:rPr>
          <w:rFonts w:ascii="Arial" w:hAnsi="Arial" w:cs="Arial"/>
          <w:sz w:val="20"/>
        </w:rPr>
        <w:t xml:space="preserve"> and</w:t>
      </w:r>
      <w:r w:rsidR="00CD6DF6" w:rsidRPr="00795114">
        <w:rPr>
          <w:rFonts w:ascii="Arial" w:hAnsi="Arial" w:cs="Arial"/>
          <w:sz w:val="20"/>
        </w:rPr>
        <w:t xml:space="preserve"> 2016)</w:t>
      </w:r>
      <w:r w:rsidRPr="00795114">
        <w:rPr>
          <w:rFonts w:ascii="Arial" w:hAnsi="Arial" w:cs="Arial"/>
          <w:sz w:val="20"/>
        </w:rPr>
        <w:t xml:space="preserve">, this study examines the association between catch per unit effort (CPUE) and sea surface temperature (SST), salinity, pH, sea surface height (SSH), chlorophyll-a (Chla), and current speed (CS). </w:t>
      </w:r>
      <w:r w:rsidR="006A3254" w:rsidRPr="00795114">
        <w:rPr>
          <w:rFonts w:ascii="Arial" w:hAnsi="Arial" w:cs="Arial"/>
          <w:sz w:val="20"/>
        </w:rPr>
        <w:t>An analysis using boosted regression trees (</w:t>
      </w:r>
      <w:r w:rsidR="00922CE8" w:rsidRPr="00795114">
        <w:rPr>
          <w:rFonts w:ascii="Arial" w:hAnsi="Arial" w:cs="Arial"/>
          <w:sz w:val="20"/>
        </w:rPr>
        <w:t>BRT</w:t>
      </w:r>
      <w:r w:rsidR="006A3254" w:rsidRPr="00795114">
        <w:rPr>
          <w:rFonts w:ascii="Arial" w:hAnsi="Arial" w:cs="Arial"/>
          <w:sz w:val="20"/>
        </w:rPr>
        <w:t xml:space="preserve">) to determine environmental variables' impact on the spatiotemporal distribution of fish </w:t>
      </w:r>
      <w:r w:rsidR="00336E64" w:rsidRPr="00795114">
        <w:rPr>
          <w:rFonts w:ascii="Arial" w:hAnsi="Arial" w:cs="Arial"/>
          <w:i/>
          <w:iCs/>
          <w:sz w:val="20"/>
        </w:rPr>
        <w:t>Coilia dussumieri</w:t>
      </w:r>
      <w:r w:rsidR="006A3254" w:rsidRPr="00795114">
        <w:rPr>
          <w:rFonts w:ascii="Arial" w:hAnsi="Arial" w:cs="Arial"/>
          <w:i/>
          <w:iCs/>
          <w:sz w:val="20"/>
        </w:rPr>
        <w:t xml:space="preserve">. </w:t>
      </w:r>
      <w:r w:rsidR="0080237C" w:rsidRPr="00795114">
        <w:rPr>
          <w:rFonts w:ascii="Arial" w:hAnsi="Arial" w:cs="Arial"/>
          <w:sz w:val="20"/>
        </w:rPr>
        <w:t>By fitting many models and integrating them for prediction, BRT is one of various methods that seek to enhance the performance of a single model. BRT employs two algorithms: boosting constructs and combines a set of models, and regression trees from the classification and regression tree (decision tree) groups of models.</w:t>
      </w:r>
    </w:p>
    <w:p w14:paraId="5ABD5F28" w14:textId="2EF7A3A0" w:rsidR="001005FB" w:rsidRPr="00FF58BF" w:rsidRDefault="00803DEA" w:rsidP="00187A74">
      <w:pPr>
        <w:autoSpaceDE w:val="0"/>
        <w:autoSpaceDN w:val="0"/>
        <w:adjustRightInd w:val="0"/>
        <w:spacing w:line="360" w:lineRule="auto"/>
        <w:jc w:val="both"/>
        <w:rPr>
          <w:rFonts w:ascii="Arial" w:hAnsi="Arial" w:cs="Arial"/>
          <w:b/>
          <w:bCs/>
          <w:color w:val="0F0F0F"/>
          <w:kern w:val="0"/>
          <w:szCs w:val="22"/>
        </w:rPr>
      </w:pPr>
      <w:r>
        <w:rPr>
          <w:rFonts w:ascii="Arial" w:hAnsi="Arial" w:cs="Arial"/>
          <w:b/>
          <w:bCs/>
          <w:color w:val="0F0F0F"/>
          <w:kern w:val="0"/>
          <w:szCs w:val="22"/>
        </w:rPr>
        <w:t xml:space="preserve">3. </w:t>
      </w:r>
      <w:r w:rsidR="00FF58BF" w:rsidRPr="00FF58BF">
        <w:rPr>
          <w:rFonts w:ascii="Arial" w:hAnsi="Arial" w:cs="Arial"/>
          <w:b/>
          <w:bCs/>
          <w:color w:val="0F0F0F"/>
          <w:kern w:val="0"/>
          <w:szCs w:val="22"/>
        </w:rPr>
        <w:t>RESULT</w:t>
      </w:r>
    </w:p>
    <w:p w14:paraId="11A91789" w14:textId="14A8F33A" w:rsidR="00805B8C" w:rsidRPr="00795114" w:rsidRDefault="0056075B" w:rsidP="00187A74">
      <w:pPr>
        <w:spacing w:line="360" w:lineRule="auto"/>
        <w:jc w:val="both"/>
        <w:rPr>
          <w:rFonts w:ascii="Arial" w:hAnsi="Arial" w:cs="Arial"/>
          <w:color w:val="0F0F0F"/>
          <w:kern w:val="0"/>
          <w:sz w:val="20"/>
        </w:rPr>
      </w:pPr>
      <w:r w:rsidRPr="00795114">
        <w:rPr>
          <w:rFonts w:ascii="Arial" w:hAnsi="Arial" w:cs="Arial"/>
          <w:color w:val="0F0F0F"/>
          <w:kern w:val="0"/>
          <w:sz w:val="20"/>
        </w:rPr>
        <w:t>The spatial and temporal variability of SST is evident across seasons and years.</w:t>
      </w:r>
      <w:r w:rsidR="00D66062" w:rsidRPr="00795114">
        <w:rPr>
          <w:rFonts w:ascii="Arial" w:hAnsi="Arial" w:cs="Arial"/>
          <w:color w:val="0F0F0F"/>
          <w:kern w:val="0"/>
          <w:sz w:val="20"/>
        </w:rPr>
        <w:t xml:space="preserve"> </w:t>
      </w:r>
      <w:r w:rsidRPr="00795114">
        <w:rPr>
          <w:rFonts w:ascii="Arial" w:hAnsi="Arial" w:cs="Arial"/>
          <w:color w:val="0F0F0F"/>
          <w:kern w:val="0"/>
          <w:sz w:val="20"/>
        </w:rPr>
        <w:t xml:space="preserve">Their </w:t>
      </w:r>
      <w:r w:rsidR="00D66062" w:rsidRPr="00795114">
        <w:rPr>
          <w:rFonts w:ascii="Arial" w:hAnsi="Arial" w:cs="Arial"/>
          <w:color w:val="0F0F0F"/>
          <w:kern w:val="0"/>
          <w:sz w:val="20"/>
        </w:rPr>
        <w:t>distribution along a coastal region for different seasons (Pre-monsoon, Monsoon, and Post-monsoon) in 2021 and 2022</w:t>
      </w:r>
      <w:r w:rsidRPr="00795114">
        <w:rPr>
          <w:rFonts w:ascii="Arial" w:hAnsi="Arial" w:cs="Arial"/>
          <w:color w:val="0F0F0F"/>
          <w:kern w:val="0"/>
          <w:sz w:val="20"/>
        </w:rPr>
        <w:t>(Fig 1)</w:t>
      </w:r>
      <w:r w:rsidR="00D66062" w:rsidRPr="00795114">
        <w:rPr>
          <w:rFonts w:ascii="Arial" w:hAnsi="Arial" w:cs="Arial"/>
          <w:color w:val="0F0F0F"/>
          <w:kern w:val="0"/>
          <w:sz w:val="20"/>
        </w:rPr>
        <w:t>. The SST is represented using a color gradient, ranging from 5.4 °C (blue) to 39.9 °C (red). The spatial and temporal analysis of Sea Surface Temperature (SST) revealed distinct seasonal patterns along the coastal region. SST peaked during the monsoon season (reaching up to 39.9 °C)</w:t>
      </w:r>
      <w:r w:rsidR="007D4150" w:rsidRPr="00795114">
        <w:rPr>
          <w:rFonts w:ascii="Arial" w:hAnsi="Arial" w:cs="Arial"/>
          <w:color w:val="0F0F0F"/>
          <w:kern w:val="0"/>
          <w:sz w:val="20"/>
        </w:rPr>
        <w:t xml:space="preserve"> </w:t>
      </w:r>
      <w:r w:rsidR="00D66062" w:rsidRPr="00795114">
        <w:rPr>
          <w:rFonts w:ascii="Arial" w:hAnsi="Arial" w:cs="Arial"/>
          <w:color w:val="0F0F0F"/>
          <w:kern w:val="0"/>
          <w:sz w:val="20"/>
        </w:rPr>
        <w:t>in</w:t>
      </w:r>
      <w:r w:rsidR="007D4150" w:rsidRPr="00795114">
        <w:rPr>
          <w:rFonts w:ascii="Arial" w:hAnsi="Arial" w:cs="Arial"/>
          <w:color w:val="0F0F0F"/>
          <w:kern w:val="0"/>
          <w:sz w:val="20"/>
        </w:rPr>
        <w:t xml:space="preserve"> coastal</w:t>
      </w:r>
      <w:r w:rsidR="00D66062" w:rsidRPr="00795114">
        <w:rPr>
          <w:rFonts w:ascii="Arial" w:hAnsi="Arial" w:cs="Arial"/>
          <w:color w:val="0F0F0F"/>
          <w:kern w:val="0"/>
          <w:sz w:val="20"/>
        </w:rPr>
        <w:t xml:space="preserve"> areas, reflecting higher thermal energy accumulation. Pre-monsoon and post-</w:t>
      </w:r>
      <w:r w:rsidR="00D66062" w:rsidRPr="00795114">
        <w:rPr>
          <w:rFonts w:ascii="Arial" w:hAnsi="Arial" w:cs="Arial"/>
          <w:color w:val="0F0F0F"/>
          <w:kern w:val="0"/>
          <w:sz w:val="20"/>
        </w:rPr>
        <w:lastRenderedPageBreak/>
        <w:t>monsoon periods exhibited relatively cooler SST values, suggesting seasonal cooling and stabilization of thermal dynamics.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6B3713AE" w14:textId="77777777" w:rsidTr="00274904">
        <w:tc>
          <w:tcPr>
            <w:tcW w:w="9242" w:type="dxa"/>
          </w:tcPr>
          <w:p w14:paraId="09D5D41D" w14:textId="7007A937" w:rsidR="00E74381" w:rsidRPr="00795114" w:rsidRDefault="00A66BA5" w:rsidP="00F76F03">
            <w:pPr>
              <w:spacing w:line="360" w:lineRule="auto"/>
              <w:jc w:val="center"/>
              <w:rPr>
                <w:rFonts w:ascii="Arial" w:hAnsi="Arial" w:cs="Arial"/>
                <w:b/>
                <w:bCs/>
                <w:color w:val="0F0F0F"/>
                <w:kern w:val="0"/>
                <w:sz w:val="20"/>
              </w:rPr>
            </w:pPr>
            <w:r w:rsidRPr="00795114">
              <w:rPr>
                <w:rFonts w:ascii="Arial" w:hAnsi="Arial" w:cs="Arial"/>
                <w:noProof/>
                <w:sz w:val="20"/>
              </w:rPr>
              <w:drawing>
                <wp:anchor distT="0" distB="0" distL="114300" distR="114300" simplePos="0" relativeHeight="251666432" behindDoc="0" locked="0" layoutInCell="1" allowOverlap="1" wp14:anchorId="47344208" wp14:editId="0D1C2947">
                  <wp:simplePos x="0" y="0"/>
                  <wp:positionH relativeFrom="column">
                    <wp:posOffset>160655</wp:posOffset>
                  </wp:positionH>
                  <wp:positionV relativeFrom="paragraph">
                    <wp:posOffset>115570</wp:posOffset>
                  </wp:positionV>
                  <wp:extent cx="5477510" cy="3872865"/>
                  <wp:effectExtent l="0" t="0" r="0" b="0"/>
                  <wp:wrapTopAndBottom/>
                  <wp:docPr id="105452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7510" cy="3872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1:- </w:t>
            </w:r>
            <w:r w:rsidR="00BC23AB" w:rsidRPr="00795114">
              <w:rPr>
                <w:rFonts w:ascii="Arial" w:hAnsi="Arial" w:cs="Arial"/>
                <w:color w:val="0F0F0F"/>
                <w:kern w:val="0"/>
                <w:sz w:val="20"/>
              </w:rPr>
              <w:t>Seasonal and inter-annual variability in</w:t>
            </w:r>
            <w:r w:rsidR="0068153E" w:rsidRPr="00795114">
              <w:rPr>
                <w:rFonts w:ascii="Arial" w:hAnsi="Arial" w:cs="Arial"/>
                <w:color w:val="0F0F0F"/>
                <w:kern w:val="0"/>
                <w:sz w:val="20"/>
              </w:rPr>
              <w:t xml:space="preserve"> </w:t>
            </w:r>
            <w:r w:rsidR="000A4454" w:rsidRPr="00795114">
              <w:rPr>
                <w:rFonts w:ascii="Arial" w:hAnsi="Arial" w:cs="Arial"/>
                <w:color w:val="0F0F0F"/>
                <w:kern w:val="0"/>
                <w:sz w:val="20"/>
              </w:rPr>
              <w:t>environmental</w:t>
            </w:r>
            <w:r w:rsidR="0068153E" w:rsidRPr="00795114">
              <w:rPr>
                <w:rFonts w:ascii="Arial" w:hAnsi="Arial" w:cs="Arial"/>
                <w:color w:val="0F0F0F"/>
                <w:kern w:val="0"/>
                <w:sz w:val="20"/>
              </w:rPr>
              <w:t xml:space="preserve"> condition</w:t>
            </w:r>
            <w:r w:rsidR="00BC23AB" w:rsidRPr="00795114">
              <w:rPr>
                <w:rFonts w:ascii="Arial" w:hAnsi="Arial" w:cs="Arial"/>
                <w:color w:val="0F0F0F"/>
                <w:kern w:val="0"/>
                <w:sz w:val="20"/>
              </w:rPr>
              <w:t xml:space="preserve"> along </w:t>
            </w:r>
            <w:r w:rsidR="0068153E" w:rsidRPr="00795114">
              <w:rPr>
                <w:rFonts w:ascii="Arial" w:hAnsi="Arial" w:cs="Arial"/>
                <w:color w:val="0F0F0F"/>
                <w:kern w:val="0"/>
                <w:sz w:val="20"/>
              </w:rPr>
              <w:t xml:space="preserve">Mumbai </w:t>
            </w:r>
            <w:r w:rsidR="00BC23AB" w:rsidRPr="00795114">
              <w:rPr>
                <w:rFonts w:ascii="Arial" w:hAnsi="Arial" w:cs="Arial"/>
                <w:color w:val="0F0F0F"/>
                <w:kern w:val="0"/>
                <w:sz w:val="20"/>
              </w:rPr>
              <w:t>coastal regions</w:t>
            </w:r>
          </w:p>
        </w:tc>
      </w:tr>
    </w:tbl>
    <w:p w14:paraId="0B14E8BF" w14:textId="77777777" w:rsidR="00E74381" w:rsidRPr="00795114" w:rsidRDefault="00E74381" w:rsidP="0058711A">
      <w:pPr>
        <w:spacing w:after="0" w:line="360" w:lineRule="auto"/>
        <w:jc w:val="both"/>
        <w:rPr>
          <w:rFonts w:ascii="Arial" w:hAnsi="Arial" w:cs="Arial"/>
          <w:b/>
          <w:bCs/>
          <w:color w:val="0F0F0F"/>
          <w:kern w:val="0"/>
          <w:sz w:val="20"/>
        </w:rPr>
      </w:pPr>
    </w:p>
    <w:p w14:paraId="203323F1" w14:textId="353D70E7" w:rsidR="005472C5" w:rsidRPr="00795114" w:rsidRDefault="005472C5"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The plots</w:t>
      </w:r>
      <w:r w:rsidR="00295474" w:rsidRPr="00795114">
        <w:rPr>
          <w:rFonts w:ascii="Arial" w:hAnsi="Arial" w:cs="Arial"/>
          <w:color w:val="0F0F0F"/>
          <w:kern w:val="0"/>
          <w:sz w:val="20"/>
        </w:rPr>
        <w:t xml:space="preserve"> (Fig 2)</w:t>
      </w:r>
      <w:r w:rsidRPr="00795114">
        <w:rPr>
          <w:rFonts w:ascii="Arial" w:hAnsi="Arial" w:cs="Arial"/>
          <w:color w:val="0F0F0F"/>
          <w:kern w:val="0"/>
          <w:sz w:val="20"/>
        </w:rPr>
        <w:t xml:space="preserve"> show the relationship between Catch Per Unit Effort (CPUE) on the y-axis and various environmental factors on the x-axis. Each plot represents a different factor impacting CPUE. description of each</w:t>
      </w:r>
      <w:r w:rsidR="0038726F" w:rsidRPr="00795114">
        <w:rPr>
          <w:rFonts w:ascii="Arial" w:hAnsi="Arial" w:cs="Arial"/>
          <w:color w:val="0F0F0F"/>
          <w:kern w:val="0"/>
          <w:sz w:val="20"/>
        </w:rPr>
        <w:t xml:space="preserve"> </w:t>
      </w:r>
      <w:r w:rsidR="008A2217" w:rsidRPr="00795114">
        <w:rPr>
          <w:rFonts w:ascii="Arial" w:hAnsi="Arial" w:cs="Arial"/>
          <w:color w:val="0F0F0F"/>
          <w:kern w:val="0"/>
          <w:sz w:val="20"/>
        </w:rPr>
        <w:t>parameter is as follows:</w:t>
      </w:r>
      <w:r w:rsidR="0038726F" w:rsidRPr="00795114">
        <w:rPr>
          <w:rFonts w:ascii="Arial" w:hAnsi="Arial" w:cs="Arial"/>
          <w:color w:val="0F0F0F"/>
          <w:kern w:val="0"/>
          <w:sz w:val="20"/>
        </w:rPr>
        <w:t xml:space="preserve"> </w:t>
      </w:r>
      <w:r w:rsidR="00480F9C" w:rsidRPr="00795114">
        <w:rPr>
          <w:rFonts w:ascii="Arial" w:hAnsi="Arial" w:cs="Arial"/>
          <w:color w:val="0F0F0F"/>
          <w:kern w:val="0"/>
          <w:sz w:val="20"/>
        </w:rPr>
        <w:t>The relationship between salinity and CPUE (36.9%) shows a marked increase in catch rates at a salinity level of around 35.5, indicating a strong positive correlation. Higher salinity levels above this threshold appear to enhance CPUE, suggesting that specific salinity conditions are crucial for improving catch rates.</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For chlorophyll-a (34.6%), a significant rise in CPUE is observed when its concentration reaches around 1.0. This trend implies that increased chlorophyll levels are associated with higher catch rates, likely due to its role in supporting primary productivity in the water, which can attract fish.</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Sea surface temperature (SST, 13.7%) demonstrates an optimal range for CPUE, with a notable increase in catch rates between SST values of 25 and 26 °C. However, as the temperature rises to 27 °C, CPUE drops significantly, indicating that temperatures around 25-26 °C may be most favo</w:t>
      </w:r>
      <w:r w:rsidR="00937AC2" w:rsidRPr="00795114">
        <w:rPr>
          <w:rFonts w:ascii="Arial" w:hAnsi="Arial" w:cs="Arial"/>
          <w:color w:val="0F0F0F"/>
          <w:kern w:val="0"/>
          <w:sz w:val="20"/>
        </w:rPr>
        <w:t>u</w:t>
      </w:r>
      <w:r w:rsidR="00480F9C" w:rsidRPr="00795114">
        <w:rPr>
          <w:rFonts w:ascii="Arial" w:hAnsi="Arial" w:cs="Arial"/>
          <w:color w:val="0F0F0F"/>
          <w:kern w:val="0"/>
          <w:sz w:val="20"/>
        </w:rPr>
        <w:t>rable for maximizing catch efficiency.</w:t>
      </w:r>
      <w:r w:rsidR="007F5468" w:rsidRPr="00795114">
        <w:rPr>
          <w:rFonts w:ascii="Arial" w:hAnsi="Arial" w:cs="Arial"/>
          <w:color w:val="0F0F0F"/>
          <w:kern w:val="0"/>
          <w:sz w:val="20"/>
        </w:rPr>
        <w:t xml:space="preserve"> </w:t>
      </w:r>
      <w:r w:rsidR="0019392D" w:rsidRPr="00795114">
        <w:rPr>
          <w:rFonts w:ascii="Arial" w:hAnsi="Arial" w:cs="Arial"/>
          <w:color w:val="0F0F0F"/>
          <w:kern w:val="0"/>
          <w:sz w:val="20"/>
        </w:rPr>
        <w:t>Regarding</w:t>
      </w:r>
      <w:r w:rsidR="00480F9C" w:rsidRPr="00795114">
        <w:rPr>
          <w:rFonts w:ascii="Arial" w:hAnsi="Arial" w:cs="Arial"/>
          <w:color w:val="0F0F0F"/>
          <w:kern w:val="0"/>
          <w:sz w:val="20"/>
        </w:rPr>
        <w:t xml:space="preserve"> pH (5.4%), CPUE experiences a sharp rise around a pH level of 8.08, suggesting a peak in catch rates at this specific pH range. This highlights that water pH can also influence catch rates, with near-neutral to slightly alkaline conditions seeming to support higher CPUE.</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Sea surface height (SSH, 4.7%) shows a decline in CPUE at SSH values around 0.4 but a sharp increase at approximately 0.45. This relationship indicates that certain sea surface heights are beneficial for catch rates, possibly due to the influence of water column stability or nutrient distribution.</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 xml:space="preserve">Lastly, </w:t>
      </w:r>
      <w:r w:rsidR="00937AC2" w:rsidRPr="00795114">
        <w:rPr>
          <w:rFonts w:ascii="Arial" w:hAnsi="Arial" w:cs="Arial"/>
          <w:color w:val="0F0F0F"/>
          <w:kern w:val="0"/>
          <w:sz w:val="20"/>
        </w:rPr>
        <w:t xml:space="preserve">the </w:t>
      </w:r>
      <w:r w:rsidR="00480F9C" w:rsidRPr="00795114">
        <w:rPr>
          <w:rFonts w:ascii="Arial" w:hAnsi="Arial" w:cs="Arial"/>
          <w:color w:val="0F0F0F"/>
          <w:kern w:val="0"/>
          <w:sz w:val="20"/>
        </w:rPr>
        <w:t xml:space="preserve">current speed </w:t>
      </w:r>
      <w:r w:rsidR="00480F9C" w:rsidRPr="00795114">
        <w:rPr>
          <w:rFonts w:ascii="Arial" w:hAnsi="Arial" w:cs="Arial"/>
          <w:color w:val="0F0F0F"/>
          <w:kern w:val="0"/>
          <w:sz w:val="20"/>
        </w:rPr>
        <w:lastRenderedPageBreak/>
        <w:t>(CS, 4.7%) shows a sharp decline in CPUE around a speed of 0.10 m/s. This suggests that lower current speeds might be more conducive to successful catches, as higher speeds could impact fish behavior or distribution, thereby reducing catch rates.</w:t>
      </w:r>
      <w:r w:rsidR="00937AC2" w:rsidRPr="00795114">
        <w:rPr>
          <w:rFonts w:ascii="Arial" w:hAnsi="Arial" w:cs="Arial"/>
          <w:color w:val="0F0F0F"/>
          <w:kern w:val="0"/>
          <w:sz w:val="20"/>
        </w:rPr>
        <w:t xml:space="preserve"> </w:t>
      </w:r>
      <w:r w:rsidRPr="00795114">
        <w:rPr>
          <w:rFonts w:ascii="Arial" w:hAnsi="Arial" w:cs="Arial"/>
          <w:color w:val="0F0F0F"/>
          <w:kern w:val="0"/>
          <w:sz w:val="20"/>
        </w:rPr>
        <w:t>Each environmental factor's relationship with CPUE is illustrated by a solid black line and a red dashed line, highlighting specific thresholds where CPUE changes significantly</w:t>
      </w:r>
      <w:r w:rsidR="002632CE" w:rsidRPr="00795114">
        <w:rPr>
          <w:rFonts w:ascii="Arial" w:hAnsi="Arial" w:cs="Arial"/>
          <w:color w:val="0F0F0F"/>
          <w:kern w:val="0"/>
          <w:sz w:val="20"/>
        </w:rPr>
        <w:t xml:space="preserve"> (</w:t>
      </w:r>
      <w:r w:rsidR="00E53C32" w:rsidRPr="00795114">
        <w:rPr>
          <w:rFonts w:ascii="Arial" w:hAnsi="Arial" w:cs="Arial"/>
          <w:color w:val="0F0F0F"/>
          <w:kern w:val="0"/>
          <w:sz w:val="20"/>
        </w:rPr>
        <w:t>Fig2</w:t>
      </w:r>
      <w:r w:rsidR="002632CE" w:rsidRPr="00795114">
        <w:rPr>
          <w:rFonts w:ascii="Arial" w:hAnsi="Arial" w:cs="Arial"/>
          <w:color w:val="0F0F0F"/>
          <w:kern w:val="0"/>
          <w:sz w:val="20"/>
        </w:rPr>
        <w:t>)</w:t>
      </w:r>
      <w:r w:rsidRPr="00795114">
        <w:rPr>
          <w:rFonts w:ascii="Arial" w:hAnsi="Arial" w:cs="Arial"/>
          <w:color w:val="0F0F0F"/>
          <w:kern w:val="0"/>
          <w:sz w:val="20"/>
        </w:rPr>
        <w:t>. The percentages indicate the contribution of each variable to the CPUE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36BFF" w:rsidRPr="00795114" w14:paraId="3902898D" w14:textId="77777777" w:rsidTr="00274904">
        <w:tc>
          <w:tcPr>
            <w:tcW w:w="9242" w:type="dxa"/>
          </w:tcPr>
          <w:p w14:paraId="239C29F6" w14:textId="1ABC3431" w:rsidR="00836BFF" w:rsidRPr="00795114" w:rsidRDefault="00427E52" w:rsidP="00480B43">
            <w:pPr>
              <w:spacing w:line="360" w:lineRule="auto"/>
              <w:jc w:val="center"/>
              <w:rPr>
                <w:rFonts w:ascii="Arial" w:hAnsi="Arial" w:cs="Arial"/>
                <w:color w:val="0F0F0F"/>
                <w:kern w:val="0"/>
                <w:sz w:val="20"/>
              </w:rPr>
            </w:pPr>
            <w:r w:rsidRPr="00795114">
              <w:rPr>
                <w:rFonts w:ascii="Arial" w:hAnsi="Arial" w:cs="Arial"/>
                <w:noProof/>
                <w:sz w:val="20"/>
              </w:rPr>
              <w:drawing>
                <wp:anchor distT="0" distB="0" distL="114300" distR="114300" simplePos="0" relativeHeight="251650048" behindDoc="0" locked="0" layoutInCell="1" allowOverlap="1" wp14:anchorId="03106321" wp14:editId="282E23B2">
                  <wp:simplePos x="0" y="0"/>
                  <wp:positionH relativeFrom="column">
                    <wp:posOffset>-321866</wp:posOffset>
                  </wp:positionH>
                  <wp:positionV relativeFrom="paragraph">
                    <wp:posOffset>34290</wp:posOffset>
                  </wp:positionV>
                  <wp:extent cx="5945426" cy="3101340"/>
                  <wp:effectExtent l="0" t="0" r="0" b="0"/>
                  <wp:wrapTopAndBottom/>
                  <wp:docPr id="36137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3006" cy="3105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Fig 2</w:t>
            </w:r>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The BRT model's environmental predictors' relative importance, with Variable Importance (VI) scores summing up to 100</w:t>
            </w:r>
          </w:p>
        </w:tc>
      </w:tr>
    </w:tbl>
    <w:p w14:paraId="2DF4D441" w14:textId="77777777" w:rsidR="00836BFF" w:rsidRPr="00795114" w:rsidRDefault="00836BFF" w:rsidP="0058711A">
      <w:pPr>
        <w:spacing w:after="0" w:line="360" w:lineRule="auto"/>
        <w:jc w:val="both"/>
        <w:rPr>
          <w:rFonts w:ascii="Arial" w:hAnsi="Arial" w:cs="Arial"/>
          <w:color w:val="0F0F0F"/>
          <w:kern w:val="0"/>
          <w:sz w:val="20"/>
        </w:rPr>
      </w:pPr>
    </w:p>
    <w:p w14:paraId="3F3367F3"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5376879D" w14:textId="77777777" w:rsidTr="00274904">
        <w:tc>
          <w:tcPr>
            <w:tcW w:w="9242" w:type="dxa"/>
          </w:tcPr>
          <w:p w14:paraId="6F4C0C08" w14:textId="45714F7F" w:rsidR="00E74381" w:rsidRPr="00795114" w:rsidRDefault="007F3454" w:rsidP="0058711A">
            <w:pPr>
              <w:spacing w:line="360" w:lineRule="auto"/>
              <w:jc w:val="center"/>
              <w:rPr>
                <w:rFonts w:ascii="Arial" w:hAnsi="Arial" w:cs="Arial"/>
                <w:b/>
                <w:bCs/>
                <w:color w:val="0F0F0F"/>
                <w:kern w:val="0"/>
                <w:sz w:val="20"/>
              </w:rPr>
            </w:pPr>
            <w:r w:rsidRPr="00795114">
              <w:rPr>
                <w:rFonts w:ascii="Arial" w:hAnsi="Arial" w:cs="Arial"/>
                <w:noProof/>
                <w:sz w:val="20"/>
              </w:rPr>
              <w:drawing>
                <wp:anchor distT="0" distB="0" distL="114300" distR="114300" simplePos="0" relativeHeight="251662336" behindDoc="0" locked="0" layoutInCell="1" allowOverlap="1" wp14:anchorId="4E22B810" wp14:editId="245A463E">
                  <wp:simplePos x="0" y="0"/>
                  <wp:positionH relativeFrom="column">
                    <wp:posOffset>8255</wp:posOffset>
                  </wp:positionH>
                  <wp:positionV relativeFrom="paragraph">
                    <wp:posOffset>203</wp:posOffset>
                  </wp:positionV>
                  <wp:extent cx="5754760" cy="3002280"/>
                  <wp:effectExtent l="0" t="0" r="0" b="0"/>
                  <wp:wrapTopAndBottom/>
                  <wp:docPr id="870960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4760" cy="300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r w:rsidR="00E6710B" w:rsidRPr="00795114">
              <w:rPr>
                <w:rFonts w:ascii="Arial" w:hAnsi="Arial" w:cs="Arial"/>
                <w:color w:val="0F0F0F"/>
                <w:kern w:val="0"/>
                <w:sz w:val="20"/>
              </w:rPr>
              <w:t>3:</w:t>
            </w:r>
            <w:r w:rsidR="007026DC" w:rsidRPr="00795114">
              <w:rPr>
                <w:rFonts w:ascii="Arial" w:hAnsi="Arial" w:cs="Arial"/>
                <w:color w:val="0F0F0F"/>
                <w:kern w:val="0"/>
                <w:sz w:val="20"/>
              </w:rPr>
              <w:t>-</w:t>
            </w:r>
            <w:r w:rsidR="007026DC" w:rsidRPr="00795114">
              <w:rPr>
                <w:rFonts w:ascii="Arial" w:hAnsi="Arial" w:cs="Arial"/>
                <w:b/>
                <w:bCs/>
                <w:color w:val="0F0F0F"/>
                <w:kern w:val="0"/>
                <w:sz w:val="20"/>
              </w:rPr>
              <w:t xml:space="preserve"> </w:t>
            </w:r>
            <w:r w:rsidR="00641F7E" w:rsidRPr="00795114">
              <w:rPr>
                <w:rFonts w:ascii="Arial" w:hAnsi="Arial" w:cs="Arial"/>
                <w:color w:val="0F0F0F"/>
                <w:kern w:val="0"/>
                <w:sz w:val="20"/>
              </w:rPr>
              <w:t xml:space="preserve">Illustrating key environmental predictor variables related to fishing effort for </w:t>
            </w:r>
            <w:r w:rsidR="00641F7E" w:rsidRPr="00795114">
              <w:rPr>
                <w:rFonts w:ascii="Arial" w:hAnsi="Arial" w:cs="Arial"/>
                <w:i/>
                <w:iCs/>
                <w:color w:val="0F0F0F"/>
                <w:kern w:val="0"/>
                <w:sz w:val="20"/>
              </w:rPr>
              <w:t>Coilia dussumieri</w:t>
            </w:r>
          </w:p>
        </w:tc>
      </w:tr>
    </w:tbl>
    <w:p w14:paraId="346DC67D"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7859CD2F" w14:textId="77777777" w:rsidTr="00274904">
        <w:tc>
          <w:tcPr>
            <w:tcW w:w="9242" w:type="dxa"/>
          </w:tcPr>
          <w:p w14:paraId="388F9BD3" w14:textId="7CCB4F4F" w:rsidR="00E74381" w:rsidRPr="00795114" w:rsidRDefault="00427E52" w:rsidP="0058711A">
            <w:pPr>
              <w:spacing w:line="360" w:lineRule="auto"/>
              <w:jc w:val="center"/>
              <w:rPr>
                <w:rFonts w:ascii="Arial" w:hAnsi="Arial" w:cs="Arial"/>
                <w:b/>
                <w:bCs/>
                <w:color w:val="0F0F0F"/>
                <w:kern w:val="0"/>
                <w:sz w:val="20"/>
              </w:rPr>
            </w:pPr>
            <w:r w:rsidRPr="00795114">
              <w:rPr>
                <w:rFonts w:ascii="Arial" w:hAnsi="Arial" w:cs="Arial"/>
                <w:noProof/>
                <w:sz w:val="20"/>
              </w:rPr>
              <w:lastRenderedPageBreak/>
              <w:drawing>
                <wp:anchor distT="0" distB="0" distL="114300" distR="114300" simplePos="0" relativeHeight="251658240" behindDoc="0" locked="0" layoutInCell="1" allowOverlap="1" wp14:anchorId="085B0181" wp14:editId="7F35607E">
                  <wp:simplePos x="0" y="0"/>
                  <wp:positionH relativeFrom="column">
                    <wp:posOffset>1165225</wp:posOffset>
                  </wp:positionH>
                  <wp:positionV relativeFrom="paragraph">
                    <wp:posOffset>0</wp:posOffset>
                  </wp:positionV>
                  <wp:extent cx="3352800" cy="2788920"/>
                  <wp:effectExtent l="0" t="0" r="0" b="0"/>
                  <wp:wrapTopAndBottom/>
                  <wp:docPr id="162146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4079" t="9479" r="19782" b="13720"/>
                          <a:stretch/>
                        </pic:blipFill>
                        <pic:spPr bwMode="auto">
                          <a:xfrm>
                            <a:off x="0" y="0"/>
                            <a:ext cx="3352800"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Fig 4:-</w:t>
            </w:r>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 xml:space="preserve">The impact of salinity and chlorophyll-a (Chla) on the likelihood of catching </w:t>
            </w:r>
            <w:r w:rsidR="0080237C" w:rsidRPr="00795114">
              <w:rPr>
                <w:rFonts w:ascii="Arial" w:hAnsi="Arial" w:cs="Arial"/>
                <w:i/>
                <w:iCs/>
                <w:color w:val="0F0F0F"/>
                <w:kern w:val="0"/>
                <w:sz w:val="20"/>
              </w:rPr>
              <w:t>Coilia dussumieri</w:t>
            </w:r>
            <w:r w:rsidR="0080237C" w:rsidRPr="00795114">
              <w:rPr>
                <w:rFonts w:ascii="Arial" w:hAnsi="Arial" w:cs="Arial"/>
                <w:color w:val="0F0F0F"/>
                <w:kern w:val="0"/>
                <w:sz w:val="20"/>
              </w:rPr>
              <w:t xml:space="preserve"> is depicted by the connected partial dependency charts for these variables.</w:t>
            </w:r>
          </w:p>
        </w:tc>
      </w:tr>
    </w:tbl>
    <w:p w14:paraId="30D25C83" w14:textId="3A53A067" w:rsidR="00E74381" w:rsidRPr="00795114" w:rsidRDefault="001747EA"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 xml:space="preserve">Relationships fitted by the </w:t>
      </w:r>
      <w:r w:rsidR="0040263C" w:rsidRPr="00795114">
        <w:rPr>
          <w:rFonts w:ascii="Arial" w:hAnsi="Arial" w:cs="Arial"/>
          <w:color w:val="0F0F0F"/>
          <w:kern w:val="0"/>
          <w:sz w:val="20"/>
        </w:rPr>
        <w:t>Boosted Regression Tree</w:t>
      </w:r>
      <w:r w:rsidRPr="00795114">
        <w:rPr>
          <w:rFonts w:ascii="Arial" w:hAnsi="Arial" w:cs="Arial"/>
          <w:color w:val="0F0F0F"/>
          <w:kern w:val="0"/>
          <w:sz w:val="20"/>
        </w:rPr>
        <w:t xml:space="preserve"> models</w:t>
      </w:r>
      <w:r w:rsidR="0040263C" w:rsidRPr="00795114">
        <w:rPr>
          <w:rFonts w:ascii="Arial" w:hAnsi="Arial" w:cs="Arial"/>
          <w:color w:val="0F0F0F"/>
          <w:kern w:val="0"/>
          <w:sz w:val="20"/>
        </w:rPr>
        <w:t xml:space="preserve"> are </w:t>
      </w:r>
      <w:r w:rsidRPr="00795114">
        <w:rPr>
          <w:rFonts w:ascii="Arial" w:hAnsi="Arial" w:cs="Arial"/>
          <w:color w:val="0F0F0F"/>
          <w:kern w:val="0"/>
          <w:sz w:val="20"/>
        </w:rPr>
        <w:t xml:space="preserve">displayed as univariate functions (Fig. </w:t>
      </w:r>
      <w:r w:rsidR="00D42197" w:rsidRPr="00795114">
        <w:rPr>
          <w:rFonts w:ascii="Arial" w:hAnsi="Arial" w:cs="Arial"/>
          <w:color w:val="0F0F0F"/>
          <w:kern w:val="0"/>
          <w:sz w:val="20"/>
        </w:rPr>
        <w:t>4</w:t>
      </w:r>
      <w:r w:rsidRPr="00795114">
        <w:rPr>
          <w:rFonts w:ascii="Arial" w:hAnsi="Arial" w:cs="Arial"/>
          <w:color w:val="0F0F0F"/>
          <w:kern w:val="0"/>
          <w:sz w:val="20"/>
        </w:rPr>
        <w:t>).</w:t>
      </w:r>
      <w:r w:rsidR="00F23D9A" w:rsidRPr="00795114">
        <w:rPr>
          <w:rFonts w:ascii="Arial" w:hAnsi="Arial" w:cs="Arial"/>
          <w:color w:val="0F0F0F"/>
          <w:kern w:val="0"/>
          <w:sz w:val="20"/>
        </w:rPr>
        <w:t xml:space="preserve"> </w:t>
      </w:r>
      <w:r w:rsidR="009B633B" w:rsidRPr="00795114">
        <w:rPr>
          <w:rFonts w:ascii="Arial" w:hAnsi="Arial" w:cs="Arial"/>
          <w:color w:val="0F0F0F"/>
          <w:kern w:val="0"/>
          <w:sz w:val="20"/>
        </w:rPr>
        <w:t>BRT models were utilized to explore the interaction between salinity and chlorophyll-a (</w:t>
      </w:r>
      <w:r w:rsidR="00B90EB7" w:rsidRPr="00795114">
        <w:rPr>
          <w:rFonts w:ascii="Arial" w:hAnsi="Arial" w:cs="Arial"/>
          <w:color w:val="0F0F0F"/>
          <w:kern w:val="0"/>
          <w:sz w:val="20"/>
        </w:rPr>
        <w:t>C</w:t>
      </w:r>
      <w:r w:rsidR="009B633B" w:rsidRPr="00795114">
        <w:rPr>
          <w:rFonts w:ascii="Arial" w:hAnsi="Arial" w:cs="Arial"/>
          <w:color w:val="0F0F0F"/>
          <w:kern w:val="0"/>
          <w:sz w:val="20"/>
        </w:rPr>
        <w:t xml:space="preserve">hla) concentration in predicting the Catch Per Unit Effort (CPUE) of </w:t>
      </w:r>
      <w:r w:rsidR="009B633B" w:rsidRPr="00795114">
        <w:rPr>
          <w:rFonts w:ascii="Arial" w:hAnsi="Arial" w:cs="Arial"/>
          <w:i/>
          <w:iCs/>
          <w:color w:val="0F0F0F"/>
          <w:kern w:val="0"/>
          <w:sz w:val="20"/>
        </w:rPr>
        <w:t>Coilia dussumieri</w:t>
      </w:r>
      <w:r w:rsidR="009B633B" w:rsidRPr="00795114">
        <w:rPr>
          <w:rFonts w:ascii="Arial" w:hAnsi="Arial" w:cs="Arial"/>
          <w:color w:val="0F0F0F"/>
          <w:kern w:val="0"/>
          <w:sz w:val="20"/>
        </w:rPr>
        <w:t xml:space="preserve">. The 3D response surface illustrates that CPUE is minimal at low salinity (35.3) and low chla concentrations (below 0.4). However, a marked increase in CPUE is observed as either salinity or chla rises, indicating a synergistic effect between these environmental variables. </w:t>
      </w:r>
      <w:r w:rsidR="00AD265B" w:rsidRPr="00795114">
        <w:rPr>
          <w:rFonts w:ascii="Arial" w:hAnsi="Arial" w:cs="Arial"/>
          <w:color w:val="0F0F0F"/>
          <w:kern w:val="0"/>
          <w:sz w:val="20"/>
        </w:rPr>
        <w:t xml:space="preserve">The length distribution data for </w:t>
      </w:r>
      <w:r w:rsidR="00AD265B" w:rsidRPr="00795114">
        <w:rPr>
          <w:rFonts w:ascii="Arial" w:hAnsi="Arial" w:cs="Arial"/>
          <w:i/>
          <w:iCs/>
          <w:color w:val="0F0F0F"/>
          <w:kern w:val="0"/>
          <w:sz w:val="20"/>
        </w:rPr>
        <w:t>Coilia dussumieri</w:t>
      </w:r>
      <w:r w:rsidR="00AD265B" w:rsidRPr="00795114">
        <w:rPr>
          <w:rFonts w:ascii="Arial" w:hAnsi="Arial" w:cs="Arial"/>
          <w:color w:val="0F0F0F"/>
          <w:kern w:val="0"/>
          <w:sz w:val="20"/>
        </w:rPr>
        <w:t xml:space="preserve"> shows a clear distinction between juveniles and adults, with individuals measuring 130 mm or above classified as adults, and those below this length as juveniles. In the adult</w:t>
      </w:r>
      <w:r w:rsidR="00EF2778" w:rsidRPr="00795114">
        <w:rPr>
          <w:rFonts w:ascii="Arial" w:hAnsi="Arial" w:cs="Arial"/>
          <w:color w:val="0F0F0F"/>
          <w:kern w:val="0"/>
          <w:sz w:val="20"/>
        </w:rPr>
        <w:t xml:space="preserve"> (46.8%)</w:t>
      </w:r>
      <w:r w:rsidR="00AD265B" w:rsidRPr="00795114">
        <w:rPr>
          <w:rFonts w:ascii="Arial" w:hAnsi="Arial" w:cs="Arial"/>
          <w:color w:val="0F0F0F"/>
          <w:kern w:val="0"/>
          <w:sz w:val="20"/>
        </w:rPr>
        <w:t xml:space="preserve"> histogram</w:t>
      </w:r>
      <w:bookmarkStart w:id="8" w:name="_Hlk186158097"/>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(Fig 5)</w:t>
      </w:r>
      <w:r w:rsidR="00AD265B" w:rsidRPr="00795114">
        <w:rPr>
          <w:rFonts w:ascii="Arial" w:hAnsi="Arial" w:cs="Arial"/>
          <w:color w:val="0F0F0F"/>
          <w:kern w:val="0"/>
          <w:sz w:val="20"/>
        </w:rPr>
        <w:t xml:space="preserve">, </w:t>
      </w:r>
      <w:bookmarkEnd w:id="8"/>
      <w:r w:rsidR="00AD265B" w:rsidRPr="00795114">
        <w:rPr>
          <w:rFonts w:ascii="Arial" w:hAnsi="Arial" w:cs="Arial"/>
          <w:color w:val="0F0F0F"/>
          <w:kern w:val="0"/>
          <w:sz w:val="20"/>
        </w:rPr>
        <w:t>most individuals fall within the 130–170 mm range, peaking around 130–140 mm and tapering off at higher lengths, indicating a higher frequency of adults just above the maturity threshold. In contrast, the juvenile histogram shows a concentration of individuals within the 60–120 mm range, with frequencies peaking around 90–100 mm, which highlights a typical juvenile</w:t>
      </w:r>
      <w:r w:rsidR="00EF2778" w:rsidRPr="00795114">
        <w:rPr>
          <w:rFonts w:ascii="Arial" w:hAnsi="Arial" w:cs="Arial"/>
          <w:color w:val="0F0F0F"/>
          <w:kern w:val="0"/>
          <w:sz w:val="20"/>
        </w:rPr>
        <w:t xml:space="preserve"> (53.2%)</w:t>
      </w:r>
      <w:r w:rsidR="00AD265B" w:rsidRPr="00795114">
        <w:rPr>
          <w:rFonts w:ascii="Arial" w:hAnsi="Arial" w:cs="Arial"/>
          <w:color w:val="0F0F0F"/>
          <w:kern w:val="0"/>
          <w:sz w:val="20"/>
        </w:rPr>
        <w:t xml:space="preserve"> size distribution</w:t>
      </w:r>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 xml:space="preserve">(Fig </w:t>
      </w:r>
      <w:r w:rsidR="007F4F82" w:rsidRPr="00795114">
        <w:rPr>
          <w:rFonts w:ascii="Arial" w:hAnsi="Arial" w:cs="Arial"/>
          <w:color w:val="0F0F0F"/>
          <w:kern w:val="0"/>
          <w:sz w:val="20"/>
        </w:rPr>
        <w:t>5</w:t>
      </w:r>
      <w:r w:rsidR="002A5BDA" w:rsidRPr="00795114">
        <w:rPr>
          <w:rFonts w:ascii="Arial" w:hAnsi="Arial" w:cs="Arial"/>
          <w:color w:val="0F0F0F"/>
          <w:kern w:val="0"/>
          <w:sz w:val="20"/>
        </w:rPr>
        <w:t xml:space="preserve">) </w:t>
      </w:r>
      <w:r w:rsidR="00AD265B" w:rsidRPr="00795114">
        <w:rPr>
          <w:rFonts w:ascii="Arial" w:hAnsi="Arial" w:cs="Arial"/>
          <w:color w:val="0F0F0F"/>
          <w:kern w:val="0"/>
          <w:sz w:val="20"/>
        </w:rPr>
        <w:t xml:space="preserve">below the maturity length. The length distribution data for </w:t>
      </w:r>
      <w:r w:rsidR="00AD265B" w:rsidRPr="00795114">
        <w:rPr>
          <w:rFonts w:ascii="Arial" w:hAnsi="Arial" w:cs="Arial"/>
          <w:i/>
          <w:iCs/>
          <w:color w:val="0F0F0F"/>
          <w:kern w:val="0"/>
          <w:sz w:val="20"/>
        </w:rPr>
        <w:t>Coilia dussumieri</w:t>
      </w:r>
      <w:r w:rsidR="00AD265B" w:rsidRPr="00795114">
        <w:rPr>
          <w:rFonts w:ascii="Arial" w:hAnsi="Arial" w:cs="Arial"/>
          <w:color w:val="0F0F0F"/>
          <w:kern w:val="0"/>
          <w:sz w:val="20"/>
        </w:rPr>
        <w:t xml:space="preserve"> indicates a larger juvenile population compared to adults</w:t>
      </w:r>
      <w:r w:rsidR="00633578" w:rsidRPr="00795114">
        <w:rPr>
          <w:rFonts w:ascii="Arial" w:hAnsi="Arial" w:cs="Arial"/>
          <w:color w:val="0F0F0F"/>
          <w:kern w:val="0"/>
          <w:sz w:val="20"/>
        </w:rPr>
        <w:t>. This</w:t>
      </w:r>
      <w:r w:rsidR="00AD265B" w:rsidRPr="00795114">
        <w:rPr>
          <w:rFonts w:ascii="Arial" w:hAnsi="Arial" w:cs="Arial"/>
          <w:color w:val="0F0F0F"/>
          <w:kern w:val="0"/>
          <w:sz w:val="20"/>
        </w:rPr>
        <w:t xml:space="preserve"> pattern reflects a population structure with a higher proportion of juveniles, providing insights into the growth stages and demographic makeup of </w:t>
      </w:r>
      <w:r w:rsidR="00AD265B" w:rsidRPr="00795114">
        <w:rPr>
          <w:rFonts w:ascii="Arial" w:hAnsi="Arial" w:cs="Arial"/>
          <w:i/>
          <w:iCs/>
          <w:color w:val="0F0F0F"/>
          <w:kern w:val="0"/>
          <w:sz w:val="20"/>
        </w:rPr>
        <w:t>Coilia dussumieri</w:t>
      </w:r>
      <w:r w:rsidR="00AD265B" w:rsidRPr="00795114">
        <w:rPr>
          <w:rFonts w:ascii="Arial" w:hAnsi="Arial" w:cs="Arial"/>
          <w:color w:val="0F0F0F"/>
          <w:kern w:val="0"/>
          <w:sz w:val="20"/>
        </w:rPr>
        <w:t xml:space="preserve"> in the sampled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31AFDF54" w14:textId="77777777" w:rsidTr="00274904">
        <w:tc>
          <w:tcPr>
            <w:tcW w:w="9242" w:type="dxa"/>
          </w:tcPr>
          <w:p w14:paraId="6F6C8B84" w14:textId="2A0BA683" w:rsidR="00E74381" w:rsidRPr="00795114" w:rsidRDefault="007B2317" w:rsidP="00491419">
            <w:pPr>
              <w:spacing w:line="360" w:lineRule="auto"/>
              <w:jc w:val="center"/>
              <w:rPr>
                <w:rFonts w:ascii="Arial" w:hAnsi="Arial" w:cs="Arial"/>
                <w:b/>
                <w:bCs/>
                <w:color w:val="0F0F0F"/>
                <w:kern w:val="0"/>
                <w:sz w:val="20"/>
              </w:rPr>
            </w:pPr>
            <w:r w:rsidRPr="00795114">
              <w:rPr>
                <w:rFonts w:ascii="Arial" w:hAnsi="Arial" w:cs="Arial"/>
                <w:b/>
                <w:bCs/>
                <w:noProof/>
                <w:color w:val="0F0F0F"/>
                <w:kern w:val="0"/>
                <w:sz w:val="20"/>
              </w:rPr>
              <w:lastRenderedPageBreak/>
              <w:drawing>
                <wp:anchor distT="0" distB="0" distL="114300" distR="114300" simplePos="0" relativeHeight="251667456" behindDoc="0" locked="0" layoutInCell="1" allowOverlap="1" wp14:anchorId="51852FF6" wp14:editId="5EB93D14">
                  <wp:simplePos x="0" y="0"/>
                  <wp:positionH relativeFrom="column">
                    <wp:posOffset>546100</wp:posOffset>
                  </wp:positionH>
                  <wp:positionV relativeFrom="paragraph">
                    <wp:posOffset>0</wp:posOffset>
                  </wp:positionV>
                  <wp:extent cx="4640580" cy="3734780"/>
                  <wp:effectExtent l="0" t="0" r="0" b="0"/>
                  <wp:wrapTopAndBottom/>
                  <wp:docPr id="207003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0580" cy="3734780"/>
                          </a:xfrm>
                          <a:prstGeom prst="rect">
                            <a:avLst/>
                          </a:prstGeom>
                          <a:noFill/>
                          <a:ln>
                            <a:noFill/>
                          </a:ln>
                        </pic:spPr>
                      </pic:pic>
                    </a:graphicData>
                  </a:graphic>
                </wp:anchor>
              </w:drawing>
            </w:r>
          </w:p>
          <w:p w14:paraId="0E71755B" w14:textId="3AE1444B" w:rsidR="00E74381" w:rsidRPr="00795114" w:rsidRDefault="00427E52" w:rsidP="0058711A">
            <w:pPr>
              <w:spacing w:line="360" w:lineRule="auto"/>
              <w:jc w:val="center"/>
              <w:rPr>
                <w:rFonts w:ascii="Arial" w:hAnsi="Arial" w:cs="Arial"/>
                <w:color w:val="0F0F0F"/>
                <w:kern w:val="0"/>
                <w:sz w:val="20"/>
              </w:rPr>
            </w:pPr>
            <w:r w:rsidRPr="00795114">
              <w:rPr>
                <w:rFonts w:ascii="Arial" w:hAnsi="Arial" w:cs="Arial"/>
                <w:color w:val="0F0F0F"/>
                <w:kern w:val="0"/>
                <w:sz w:val="20"/>
              </w:rPr>
              <w:t xml:space="preserve">Fig 5:- </w:t>
            </w:r>
            <w:r w:rsidR="007B2317" w:rsidRPr="00795114">
              <w:rPr>
                <w:rFonts w:ascii="Arial" w:hAnsi="Arial" w:cs="Arial"/>
                <w:color w:val="0F0F0F"/>
                <w:kern w:val="0"/>
                <w:sz w:val="20"/>
              </w:rPr>
              <w:t xml:space="preserve">Comparative histogram of length data for </w:t>
            </w:r>
            <w:r w:rsidR="007B2317" w:rsidRPr="00795114">
              <w:rPr>
                <w:rFonts w:ascii="Arial" w:hAnsi="Arial" w:cs="Arial"/>
                <w:i/>
                <w:iCs/>
                <w:color w:val="0F0F0F"/>
                <w:kern w:val="0"/>
                <w:sz w:val="20"/>
              </w:rPr>
              <w:t>Coilia dussumeiri</w:t>
            </w:r>
          </w:p>
        </w:tc>
      </w:tr>
    </w:tbl>
    <w:p w14:paraId="507335CC" w14:textId="77777777" w:rsidR="00633578" w:rsidRPr="00795114" w:rsidRDefault="00633578" w:rsidP="0058711A">
      <w:pPr>
        <w:spacing w:after="0" w:line="360" w:lineRule="auto"/>
        <w:jc w:val="both"/>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33578" w:rsidRPr="00795114" w14:paraId="2BF7F45B" w14:textId="77777777" w:rsidTr="00EE06CE">
        <w:tc>
          <w:tcPr>
            <w:tcW w:w="9242" w:type="dxa"/>
          </w:tcPr>
          <w:p w14:paraId="3F5E9E9E" w14:textId="144E09DE" w:rsidR="00633578" w:rsidRPr="00795114" w:rsidRDefault="00633578" w:rsidP="0058711A">
            <w:pPr>
              <w:spacing w:line="360" w:lineRule="auto"/>
              <w:jc w:val="center"/>
              <w:rPr>
                <w:rFonts w:ascii="Arial" w:hAnsi="Arial" w:cs="Arial"/>
                <w:sz w:val="20"/>
              </w:rPr>
            </w:pPr>
            <w:r w:rsidRPr="00795114">
              <w:rPr>
                <w:rFonts w:ascii="Arial" w:hAnsi="Arial" w:cs="Arial"/>
                <w:noProof/>
                <w:sz w:val="20"/>
              </w:rPr>
              <w:drawing>
                <wp:anchor distT="0" distB="0" distL="114300" distR="114300" simplePos="0" relativeHeight="251654144" behindDoc="0" locked="0" layoutInCell="1" allowOverlap="1" wp14:anchorId="197235D7" wp14:editId="77123B6A">
                  <wp:simplePos x="0" y="0"/>
                  <wp:positionH relativeFrom="column">
                    <wp:posOffset>901700</wp:posOffset>
                  </wp:positionH>
                  <wp:positionV relativeFrom="paragraph">
                    <wp:posOffset>-2540</wp:posOffset>
                  </wp:positionV>
                  <wp:extent cx="4425950" cy="2518410"/>
                  <wp:effectExtent l="0" t="0" r="0" b="0"/>
                  <wp:wrapTopAndBottom/>
                  <wp:docPr id="152680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4125" r="3916" b="20570"/>
                          <a:stretch/>
                        </pic:blipFill>
                        <pic:spPr bwMode="auto">
                          <a:xfrm>
                            <a:off x="0" y="0"/>
                            <a:ext cx="4425950" cy="2518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114">
              <w:rPr>
                <w:rFonts w:ascii="Arial" w:hAnsi="Arial" w:cs="Arial"/>
                <w:sz w:val="20"/>
              </w:rPr>
              <w:t xml:space="preserve">Fig 6:- </w:t>
            </w:r>
            <w:r w:rsidRPr="00795114">
              <w:rPr>
                <w:rFonts w:ascii="Arial" w:hAnsi="Arial" w:cs="Arial"/>
                <w:i/>
                <w:iCs/>
                <w:sz w:val="20"/>
              </w:rPr>
              <w:t>Coilia Dussumeiri</w:t>
            </w:r>
            <w:r w:rsidRPr="00795114">
              <w:rPr>
                <w:rFonts w:ascii="Arial" w:hAnsi="Arial" w:cs="Arial"/>
                <w:sz w:val="20"/>
              </w:rPr>
              <w:t xml:space="preserve"> catch composition as adult and juvenile</w:t>
            </w:r>
          </w:p>
        </w:tc>
      </w:tr>
    </w:tbl>
    <w:p w14:paraId="0CDE8542" w14:textId="77777777" w:rsidR="00633578" w:rsidRPr="00795114" w:rsidRDefault="00633578" w:rsidP="0058711A">
      <w:pPr>
        <w:spacing w:after="0" w:line="360" w:lineRule="auto"/>
        <w:jc w:val="both"/>
        <w:rPr>
          <w:rFonts w:ascii="Arial" w:hAnsi="Arial" w:cs="Arial"/>
          <w:b/>
          <w:bCs/>
          <w:sz w:val="20"/>
        </w:rPr>
      </w:pPr>
    </w:p>
    <w:p w14:paraId="4EA694C4" w14:textId="0217F3B5" w:rsidR="00B2651F"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4. </w:t>
      </w:r>
      <w:r w:rsidR="00FF58BF" w:rsidRPr="00FF58BF">
        <w:rPr>
          <w:rFonts w:ascii="Arial" w:hAnsi="Arial" w:cs="Arial"/>
          <w:b/>
          <w:bCs/>
          <w:szCs w:val="22"/>
        </w:rPr>
        <w:t xml:space="preserve">DISCUSSION </w:t>
      </w:r>
    </w:p>
    <w:p w14:paraId="09CAC969" w14:textId="7B781473" w:rsidR="004D012B" w:rsidRPr="00795114" w:rsidRDefault="004D012B" w:rsidP="00187A74">
      <w:pPr>
        <w:spacing w:before="240" w:after="0" w:line="360" w:lineRule="auto"/>
        <w:jc w:val="both"/>
        <w:rPr>
          <w:rFonts w:ascii="Arial" w:hAnsi="Arial" w:cs="Arial"/>
          <w:sz w:val="20"/>
        </w:rPr>
      </w:pPr>
      <w:r w:rsidRPr="00795114">
        <w:rPr>
          <w:rFonts w:ascii="Arial" w:hAnsi="Arial" w:cs="Arial"/>
          <w:sz w:val="20"/>
        </w:rPr>
        <w:t xml:space="preserve">Golden anchovies play an important part in Indian coastal fisheries, however they are mostly found in the northwestern and northeastern areas. Their distribution pattern is comparable to that of other resources, such as Bombay duck and Acetes. Boosted Regression Trees (BRT) have been used to predict species distributions with great success </w:t>
      </w:r>
      <w:r w:rsidR="0028545F" w:rsidRPr="00795114">
        <w:rPr>
          <w:rFonts w:ascii="Arial" w:hAnsi="Arial" w:cs="Arial"/>
          <w:sz w:val="20"/>
        </w:rPr>
        <w:t xml:space="preserve">(Elith et al., 2008; Leathwick et al., 2006; Oppel et al., </w:t>
      </w:r>
      <w:r w:rsidR="0028545F" w:rsidRPr="00795114">
        <w:rPr>
          <w:rFonts w:ascii="Arial" w:hAnsi="Arial" w:cs="Arial"/>
          <w:sz w:val="20"/>
        </w:rPr>
        <w:lastRenderedPageBreak/>
        <w:t>2012; Ramteke et al., 2020)</w:t>
      </w:r>
      <w:r w:rsidR="005F6040" w:rsidRPr="00795114">
        <w:rPr>
          <w:rFonts w:ascii="Arial" w:hAnsi="Arial" w:cs="Arial"/>
          <w:sz w:val="20"/>
        </w:rPr>
        <w:t>.</w:t>
      </w:r>
      <w:r w:rsidRPr="00795114">
        <w:rPr>
          <w:rFonts w:ascii="Arial" w:hAnsi="Arial" w:cs="Arial"/>
          <w:sz w:val="20"/>
        </w:rPr>
        <w:t xml:space="preserve"> Temperature affects fish differently based on their habitat, feeding habits, and physiological characteristics </w:t>
      </w:r>
      <w:r w:rsidR="00DA4070" w:rsidRPr="00795114">
        <w:rPr>
          <w:rFonts w:ascii="Arial" w:hAnsi="Arial" w:cs="Arial"/>
          <w:sz w:val="20"/>
        </w:rPr>
        <w:t>(Volkoff and Rønnestad, 2020)</w:t>
      </w:r>
      <w:r w:rsidR="005F6040" w:rsidRPr="00795114">
        <w:rPr>
          <w:rFonts w:ascii="Arial" w:hAnsi="Arial" w:cs="Arial"/>
          <w:sz w:val="20"/>
        </w:rPr>
        <w:t xml:space="preserve">. </w:t>
      </w:r>
      <w:r w:rsidRPr="00795114">
        <w:rPr>
          <w:rFonts w:ascii="Arial" w:hAnsi="Arial" w:cs="Arial"/>
          <w:sz w:val="20"/>
        </w:rPr>
        <w:t xml:space="preserve">Fish demonstrate diverse habitats, feeding behaviors, and physiological characteristics, making the influence of temperature on them both complex and species-specific </w:t>
      </w:r>
      <w:r w:rsidR="00DA4070" w:rsidRPr="00795114">
        <w:rPr>
          <w:rFonts w:ascii="Arial" w:hAnsi="Arial" w:cs="Arial"/>
          <w:sz w:val="20"/>
        </w:rPr>
        <w:t>(Volkoff and Rønnestad, 2020)</w:t>
      </w:r>
      <w:r w:rsidRPr="00795114">
        <w:rPr>
          <w:rFonts w:ascii="Arial" w:hAnsi="Arial" w:cs="Arial"/>
          <w:sz w:val="20"/>
        </w:rPr>
        <w:t>. BRT models in this study indicate that optimal salinity and productivity conditions are critical for increasing catch rates. Similarly, Karankumar et al.</w:t>
      </w:r>
      <w:r w:rsidR="00DA4070" w:rsidRPr="00795114">
        <w:rPr>
          <w:rFonts w:ascii="Arial" w:hAnsi="Arial" w:cs="Arial"/>
          <w:sz w:val="20"/>
        </w:rPr>
        <w:t xml:space="preserve"> (2020)</w:t>
      </w:r>
      <w:r w:rsidRPr="00795114">
        <w:rPr>
          <w:rFonts w:ascii="Arial" w:hAnsi="Arial" w:cs="Arial"/>
          <w:sz w:val="20"/>
        </w:rPr>
        <w:t xml:space="preserve"> showed through BRT models that environmental variables significantly affect the catch rate of </w:t>
      </w:r>
      <w:r w:rsidRPr="00795114">
        <w:rPr>
          <w:rFonts w:ascii="Arial" w:hAnsi="Arial" w:cs="Arial"/>
          <w:i/>
          <w:iCs/>
          <w:sz w:val="20"/>
        </w:rPr>
        <w:t>Johnius belangeri</w:t>
      </w:r>
      <w:r w:rsidRPr="00795114">
        <w:rPr>
          <w:rFonts w:ascii="Arial" w:hAnsi="Arial" w:cs="Arial"/>
          <w:sz w:val="20"/>
        </w:rPr>
        <w:t xml:space="preserve">. Studies by Pont et al. </w:t>
      </w:r>
      <w:r w:rsidR="00DA4070" w:rsidRPr="00795114">
        <w:rPr>
          <w:rFonts w:ascii="Arial" w:hAnsi="Arial" w:cs="Arial"/>
          <w:sz w:val="20"/>
        </w:rPr>
        <w:t>(2005),</w:t>
      </w:r>
      <w:r w:rsidRPr="00795114">
        <w:rPr>
          <w:rFonts w:ascii="Arial" w:hAnsi="Arial" w:cs="Arial"/>
          <w:sz w:val="20"/>
        </w:rPr>
        <w:t xml:space="preserve"> Ansari et al.</w:t>
      </w:r>
      <w:r w:rsidR="005F6040" w:rsidRPr="00795114">
        <w:rPr>
          <w:rFonts w:ascii="Arial" w:hAnsi="Arial" w:cs="Arial"/>
          <w:sz w:val="20"/>
        </w:rPr>
        <w:t xml:space="preserve"> </w:t>
      </w:r>
      <w:r w:rsidR="00262069" w:rsidRPr="00795114">
        <w:rPr>
          <w:rFonts w:ascii="Arial" w:hAnsi="Arial" w:cs="Arial"/>
          <w:sz w:val="20"/>
        </w:rPr>
        <w:t>(1995)</w:t>
      </w:r>
      <w:r w:rsidRPr="00795114">
        <w:rPr>
          <w:rFonts w:ascii="Arial" w:hAnsi="Arial" w:cs="Arial"/>
          <w:sz w:val="20"/>
        </w:rPr>
        <w:t xml:space="preserve"> Grenouillet et al.</w:t>
      </w:r>
      <w:r w:rsidR="005F6040" w:rsidRPr="00795114">
        <w:rPr>
          <w:rFonts w:ascii="Arial" w:hAnsi="Arial" w:cs="Arial"/>
          <w:sz w:val="20"/>
        </w:rPr>
        <w:t xml:space="preserve"> </w:t>
      </w:r>
      <w:r w:rsidR="00262069" w:rsidRPr="00795114">
        <w:rPr>
          <w:rFonts w:ascii="Arial" w:hAnsi="Arial" w:cs="Arial"/>
          <w:sz w:val="20"/>
        </w:rPr>
        <w:t>(2004)</w:t>
      </w:r>
      <w:r w:rsidRPr="00795114">
        <w:rPr>
          <w:rFonts w:ascii="Arial" w:hAnsi="Arial" w:cs="Arial"/>
          <w:sz w:val="20"/>
        </w:rPr>
        <w:t xml:space="preserve"> Fernandes and Achuthankutty </w:t>
      </w:r>
      <w:r w:rsidR="00262069" w:rsidRPr="00795114">
        <w:rPr>
          <w:rFonts w:ascii="Arial" w:hAnsi="Arial" w:cs="Arial"/>
          <w:sz w:val="20"/>
        </w:rPr>
        <w:t>(2010)</w:t>
      </w:r>
      <w:r w:rsidR="005F6040" w:rsidRPr="00795114">
        <w:rPr>
          <w:rFonts w:ascii="Arial" w:hAnsi="Arial" w:cs="Arial"/>
          <w:sz w:val="20"/>
        </w:rPr>
        <w:t>,</w:t>
      </w:r>
      <w:r w:rsidRPr="00795114">
        <w:rPr>
          <w:rFonts w:ascii="Arial" w:hAnsi="Arial" w:cs="Arial"/>
          <w:sz w:val="20"/>
        </w:rPr>
        <w:t xml:space="preserve"> and Khaled et al.</w:t>
      </w:r>
      <w:r w:rsidR="005F6040" w:rsidRPr="00795114">
        <w:rPr>
          <w:rFonts w:ascii="Arial" w:hAnsi="Arial" w:cs="Arial"/>
          <w:sz w:val="20"/>
        </w:rPr>
        <w:t xml:space="preserve"> </w:t>
      </w:r>
      <w:r w:rsidR="00262069" w:rsidRPr="00795114">
        <w:rPr>
          <w:rFonts w:ascii="Arial" w:hAnsi="Arial" w:cs="Arial"/>
          <w:sz w:val="20"/>
        </w:rPr>
        <w:t>(2023)</w:t>
      </w:r>
      <w:r w:rsidRPr="00795114">
        <w:rPr>
          <w:rFonts w:ascii="Arial" w:hAnsi="Arial" w:cs="Arial"/>
          <w:sz w:val="20"/>
        </w:rPr>
        <w:t xml:space="preserve"> further demonstrated a strong link between sea surface temperature (SST) and chlorophyll-a (Chla) and their influence on fish production in certain fishing zones in the Red Sea, Egypt. When environmental variables exceed certain thresholds, their influence stabilizes or declines, underlining the non-linear and complex interactions observed in this study. Annan et al. </w:t>
      </w:r>
      <w:r w:rsidR="00262069" w:rsidRPr="00795114">
        <w:rPr>
          <w:rFonts w:ascii="Arial" w:hAnsi="Arial" w:cs="Arial"/>
          <w:sz w:val="20"/>
        </w:rPr>
        <w:t>(2024)</w:t>
      </w:r>
      <w:r w:rsidRPr="00795114">
        <w:rPr>
          <w:rFonts w:ascii="Arial" w:hAnsi="Arial" w:cs="Arial"/>
          <w:sz w:val="20"/>
        </w:rPr>
        <w:t xml:space="preserve">, also explored how changes in ecological and environmental factors affect sardine populations. These findings give information on </w:t>
      </w:r>
      <w:r w:rsidR="00336E64" w:rsidRPr="00795114">
        <w:rPr>
          <w:rFonts w:ascii="Arial" w:hAnsi="Arial" w:cs="Arial"/>
          <w:i/>
          <w:iCs/>
          <w:sz w:val="20"/>
        </w:rPr>
        <w:t>Coilia dussumieri</w:t>
      </w:r>
      <w:r w:rsidRPr="00795114">
        <w:rPr>
          <w:rFonts w:ascii="Arial" w:hAnsi="Arial" w:cs="Arial"/>
          <w:sz w:val="20"/>
        </w:rPr>
        <w:t xml:space="preserve"> ecological preferences, which will assist influence fisheries management techniques that seek to maximize catch per unit effort (CPUE) by identifying favorable environmental circumstances. Ramteke et al. </w:t>
      </w:r>
      <w:r w:rsidR="00262069" w:rsidRPr="00795114">
        <w:rPr>
          <w:rFonts w:ascii="Arial" w:hAnsi="Arial" w:cs="Arial"/>
          <w:sz w:val="20"/>
        </w:rPr>
        <w:t>(2020)</w:t>
      </w:r>
      <w:r w:rsidRPr="00795114">
        <w:rPr>
          <w:rFonts w:ascii="Arial" w:hAnsi="Arial" w:cs="Arial"/>
          <w:sz w:val="20"/>
        </w:rPr>
        <w:t xml:space="preserve"> underlined that combining ecological data with statistical models can give more detailed insights into spatiotemporal distribution patterns. </w:t>
      </w:r>
    </w:p>
    <w:p w14:paraId="12CD0088" w14:textId="0C4306B6" w:rsidR="00B851A0" w:rsidRPr="00795114" w:rsidRDefault="00E74EF0" w:rsidP="00187A74">
      <w:pPr>
        <w:spacing w:before="240" w:after="0" w:line="360" w:lineRule="auto"/>
        <w:jc w:val="both"/>
        <w:rPr>
          <w:rFonts w:ascii="Arial" w:hAnsi="Arial" w:cs="Arial"/>
          <w:sz w:val="20"/>
        </w:rPr>
      </w:pPr>
      <w:r w:rsidRPr="00795114">
        <w:rPr>
          <w:rFonts w:ascii="Arial" w:hAnsi="Arial" w:cs="Arial"/>
          <w:sz w:val="20"/>
        </w:rPr>
        <w:t xml:space="preserve">The use of an ecosystem-based approach has substantially expanded the scope of fisheries management, demanding the incorporation of new forms of data and advanced quantitative methodologies into management systems </w:t>
      </w:r>
      <w:r w:rsidR="00262069" w:rsidRPr="00795114">
        <w:rPr>
          <w:rFonts w:ascii="Arial" w:hAnsi="Arial" w:cs="Arial"/>
          <w:sz w:val="20"/>
        </w:rPr>
        <w:t>(Collie et al., 2016)</w:t>
      </w:r>
      <w:r w:rsidRPr="00795114">
        <w:rPr>
          <w:rFonts w:ascii="Arial" w:hAnsi="Arial" w:cs="Arial"/>
          <w:sz w:val="20"/>
        </w:rPr>
        <w:t xml:space="preserve">. Environmental variables significantly influence fish dispersion </w:t>
      </w:r>
      <w:r w:rsidR="00262069" w:rsidRPr="00795114">
        <w:rPr>
          <w:rFonts w:ascii="Arial" w:hAnsi="Arial" w:cs="Arial"/>
          <w:sz w:val="20"/>
        </w:rPr>
        <w:t>(Galaiduk et al., 2022)</w:t>
      </w:r>
      <w:r w:rsidRPr="00795114">
        <w:rPr>
          <w:rFonts w:ascii="Arial" w:hAnsi="Arial" w:cs="Arial"/>
          <w:sz w:val="20"/>
        </w:rPr>
        <w:t>. Satellite remote sensing has developed as an important tool for ocean</w:t>
      </w:r>
      <w:r w:rsidR="004B5BC8" w:rsidRPr="00795114">
        <w:rPr>
          <w:rFonts w:ascii="Arial" w:hAnsi="Arial" w:cs="Arial"/>
          <w:sz w:val="20"/>
        </w:rPr>
        <w:t xml:space="preserve"> research </w:t>
      </w:r>
      <w:r w:rsidR="00262069" w:rsidRPr="00795114">
        <w:rPr>
          <w:rFonts w:ascii="Arial" w:hAnsi="Arial" w:cs="Arial"/>
          <w:sz w:val="20"/>
        </w:rPr>
        <w:t>(Fan et al., 2005)</w:t>
      </w:r>
      <w:r w:rsidR="004B5BC8" w:rsidRPr="00795114">
        <w:rPr>
          <w:rFonts w:ascii="Arial" w:hAnsi="Arial" w:cs="Arial"/>
          <w:sz w:val="20"/>
        </w:rPr>
        <w:t xml:space="preserve">, providing huge volumes of data on both biotic and abiotic parameters (e.g., chlorophyll, primary production) and sea surface height. This technology enables rapid, large-scale, long-term, and synchronized observation, making data acquisition efficient </w:t>
      </w:r>
      <w:r w:rsidR="002D104F" w:rsidRPr="00795114">
        <w:rPr>
          <w:rFonts w:ascii="Arial" w:hAnsi="Arial" w:cs="Arial"/>
          <w:sz w:val="20"/>
        </w:rPr>
        <w:t>(</w:t>
      </w:r>
      <w:r w:rsidR="000922A9" w:rsidRPr="00795114">
        <w:rPr>
          <w:rFonts w:ascii="Arial" w:hAnsi="Arial" w:cs="Arial"/>
          <w:sz w:val="20"/>
        </w:rPr>
        <w:t>Strong and Elliott, 2017</w:t>
      </w:r>
      <w:r w:rsidR="002D104F" w:rsidRPr="00795114">
        <w:rPr>
          <w:rFonts w:ascii="Arial" w:hAnsi="Arial" w:cs="Arial"/>
          <w:sz w:val="20"/>
        </w:rPr>
        <w:t>; Zhang et al., 2019)</w:t>
      </w:r>
      <w:r w:rsidR="004B5BC8" w:rsidRPr="00795114">
        <w:rPr>
          <w:rFonts w:ascii="Arial" w:hAnsi="Arial" w:cs="Arial"/>
          <w:sz w:val="20"/>
        </w:rPr>
        <w:t xml:space="preserve">. Forecasting changes to fishing sites and evaluating fishery resources depend on an understanding of the relationship between environmental and fisheries data, such as catch and survey records. Fisheries and the environment have complex, non-linear, and non-additive relationships, according to research </w:t>
      </w:r>
      <w:r w:rsidR="00DD73D5" w:rsidRPr="00795114">
        <w:rPr>
          <w:rFonts w:ascii="Arial" w:hAnsi="Arial" w:cs="Arial"/>
          <w:sz w:val="20"/>
        </w:rPr>
        <w:t>(Stenseth et al., 2002; DingsØr et al., 2007)</w:t>
      </w:r>
      <w:r w:rsidR="004B5BC8" w:rsidRPr="00795114">
        <w:rPr>
          <w:rFonts w:ascii="Arial" w:hAnsi="Arial" w:cs="Arial"/>
          <w:sz w:val="20"/>
        </w:rPr>
        <w:t xml:space="preserve">. Commercially significant fish species use coastal waters as breeding, feeding, and nursery grounds, making them extremely productive and rich in fish resources. Small pelagic fish dominate these shallow waters, a pattern that has also been documented in other places. For example, Fu et al. </w:t>
      </w:r>
      <w:r w:rsidR="00DD73D5" w:rsidRPr="00795114">
        <w:rPr>
          <w:rFonts w:ascii="Arial" w:hAnsi="Arial" w:cs="Arial"/>
          <w:sz w:val="20"/>
        </w:rPr>
        <w:t>(2019)</w:t>
      </w:r>
      <w:r w:rsidR="004B5BC8" w:rsidRPr="00795114">
        <w:rPr>
          <w:rFonts w:ascii="Arial" w:hAnsi="Arial" w:cs="Arial"/>
          <w:sz w:val="20"/>
        </w:rPr>
        <w:t xml:space="preserve"> discovered that juvenile fish constituted 85.86% of the population in the northwestern Beibu Gulf's coastal waters. Similarly, Yin et al. </w:t>
      </w:r>
      <w:r w:rsidR="00DD73D5" w:rsidRPr="00795114">
        <w:rPr>
          <w:rFonts w:ascii="Arial" w:hAnsi="Arial" w:cs="Arial"/>
          <w:sz w:val="20"/>
        </w:rPr>
        <w:t>(2023)</w:t>
      </w:r>
      <w:r w:rsidR="004B5BC8" w:rsidRPr="00795114">
        <w:rPr>
          <w:rFonts w:ascii="Arial" w:hAnsi="Arial" w:cs="Arial"/>
          <w:sz w:val="20"/>
        </w:rPr>
        <w:t xml:space="preserve"> observed that coastal fish populations are primarily composed of smaller individuals.</w:t>
      </w:r>
      <w:r w:rsidR="004D012B" w:rsidRPr="00795114">
        <w:rPr>
          <w:rFonts w:ascii="Arial" w:hAnsi="Arial" w:cs="Arial"/>
          <w:sz w:val="20"/>
        </w:rPr>
        <w:t xml:space="preserve"> </w:t>
      </w:r>
    </w:p>
    <w:p w14:paraId="36324C17" w14:textId="19B1948E" w:rsidR="007E6864" w:rsidRPr="00FF58BF" w:rsidRDefault="00803DEA" w:rsidP="00187A74">
      <w:pPr>
        <w:spacing w:before="240" w:after="0" w:line="360" w:lineRule="auto"/>
        <w:jc w:val="both"/>
        <w:rPr>
          <w:rFonts w:ascii="Arial" w:hAnsi="Arial" w:cs="Arial"/>
          <w:szCs w:val="22"/>
        </w:rPr>
      </w:pPr>
      <w:r>
        <w:rPr>
          <w:rFonts w:ascii="Arial" w:hAnsi="Arial" w:cs="Arial"/>
          <w:b/>
          <w:bCs/>
          <w:color w:val="0F0F0F"/>
          <w:kern w:val="0"/>
          <w:szCs w:val="22"/>
        </w:rPr>
        <w:t xml:space="preserve">5. </w:t>
      </w:r>
      <w:r w:rsidR="00FF58BF" w:rsidRPr="00FF58BF">
        <w:rPr>
          <w:rFonts w:ascii="Arial" w:hAnsi="Arial" w:cs="Arial"/>
          <w:b/>
          <w:bCs/>
          <w:color w:val="0F0F0F"/>
          <w:kern w:val="0"/>
          <w:szCs w:val="22"/>
        </w:rPr>
        <w:t>CONCLUSION</w:t>
      </w:r>
    </w:p>
    <w:p w14:paraId="5B87B39D" w14:textId="23733C69" w:rsidR="007E6864" w:rsidRPr="00795114" w:rsidRDefault="007E6864" w:rsidP="00187A74">
      <w:pPr>
        <w:spacing w:before="240" w:line="360" w:lineRule="auto"/>
        <w:jc w:val="both"/>
        <w:rPr>
          <w:rFonts w:ascii="Arial" w:hAnsi="Arial" w:cs="Arial"/>
          <w:color w:val="0F0F0F"/>
          <w:kern w:val="0"/>
          <w:sz w:val="20"/>
        </w:rPr>
      </w:pPr>
      <w:r w:rsidRPr="00795114">
        <w:rPr>
          <w:rFonts w:ascii="Arial" w:hAnsi="Arial" w:cs="Arial"/>
          <w:color w:val="0F0F0F"/>
          <w:kern w:val="0"/>
          <w:sz w:val="20"/>
        </w:rPr>
        <w:t>The findings</w:t>
      </w:r>
      <w:r w:rsidR="00022985" w:rsidRPr="00795114">
        <w:rPr>
          <w:rFonts w:ascii="Arial" w:hAnsi="Arial" w:cs="Arial"/>
          <w:color w:val="0F0F0F"/>
          <w:kern w:val="0"/>
          <w:sz w:val="20"/>
        </w:rPr>
        <w:t xml:space="preserve"> from this research</w:t>
      </w:r>
      <w:r w:rsidRPr="00795114">
        <w:rPr>
          <w:rFonts w:ascii="Arial" w:hAnsi="Arial" w:cs="Arial"/>
          <w:color w:val="0F0F0F"/>
          <w:kern w:val="0"/>
          <w:sz w:val="20"/>
        </w:rPr>
        <w:t xml:space="preserve"> provide valuable insights into the ecological requirements of </w:t>
      </w:r>
      <w:r w:rsidRPr="00795114">
        <w:rPr>
          <w:rFonts w:ascii="Arial" w:hAnsi="Arial" w:cs="Arial"/>
          <w:i/>
          <w:iCs/>
          <w:color w:val="0F0F0F"/>
          <w:kern w:val="0"/>
          <w:sz w:val="20"/>
        </w:rPr>
        <w:t>C. dussumieri</w:t>
      </w:r>
      <w:r w:rsidRPr="00795114">
        <w:rPr>
          <w:rFonts w:ascii="Arial" w:hAnsi="Arial" w:cs="Arial"/>
          <w:color w:val="0F0F0F"/>
          <w:kern w:val="0"/>
          <w:sz w:val="20"/>
        </w:rPr>
        <w:t xml:space="preserve"> in the Mumbai region. The identified environmental drivers can inform targeted fishing strategies and contribute to the development of ecosystem-based management plans for this </w:t>
      </w:r>
      <w:r w:rsidRPr="00795114">
        <w:rPr>
          <w:rFonts w:ascii="Arial" w:hAnsi="Arial" w:cs="Arial"/>
          <w:color w:val="0F0F0F"/>
          <w:kern w:val="0"/>
          <w:sz w:val="20"/>
        </w:rPr>
        <w:lastRenderedPageBreak/>
        <w:t xml:space="preserve">important fishery resource. </w:t>
      </w:r>
      <w:r w:rsidR="00F267D3" w:rsidRPr="00795114">
        <w:rPr>
          <w:rFonts w:ascii="Arial" w:hAnsi="Arial" w:cs="Arial"/>
          <w:color w:val="0F0F0F"/>
          <w:kern w:val="0"/>
          <w:sz w:val="20"/>
        </w:rPr>
        <w:t xml:space="preserve">Long-term monitoring of fish populations and environmental conditions, high-resolution spatial data and modeling to comprehend fine-scale distribution patterns, and thorough life history studies of C. dussumieri in this area—including growth, reproduction, and migration patterns—should be the main areas of future research. These studies are crucial for efficient management. </w:t>
      </w:r>
      <w:r w:rsidRPr="00795114">
        <w:rPr>
          <w:rFonts w:ascii="Arial" w:hAnsi="Arial" w:cs="Arial"/>
          <w:color w:val="0F0F0F"/>
          <w:kern w:val="0"/>
          <w:sz w:val="20"/>
        </w:rPr>
        <w:t>By incorporating these findings and future research into fisheries management strategies, we can ensure the sustainable exploitation of C. dussumieri resources in the Mumbai coastal ecosystem.</w:t>
      </w:r>
    </w:p>
    <w:p w14:paraId="565B0817" w14:textId="77777777" w:rsidR="009B2C59" w:rsidRDefault="009B2C59" w:rsidP="00187A74">
      <w:pPr>
        <w:spacing w:before="240" w:after="0" w:line="360" w:lineRule="auto"/>
        <w:jc w:val="both"/>
        <w:rPr>
          <w:rFonts w:ascii="Arial" w:hAnsi="Arial" w:cs="Arial"/>
          <w:b/>
          <w:bCs/>
          <w:color w:val="0F0F0F"/>
          <w:kern w:val="0"/>
          <w:szCs w:val="22"/>
        </w:rPr>
      </w:pPr>
    </w:p>
    <w:p w14:paraId="63B8188B" w14:textId="245E727E" w:rsidR="00EE555E" w:rsidRPr="00FF58BF" w:rsidRDefault="000D709B" w:rsidP="00187A74">
      <w:pPr>
        <w:spacing w:before="240" w:after="0" w:line="360" w:lineRule="auto"/>
        <w:jc w:val="both"/>
        <w:rPr>
          <w:rFonts w:ascii="Arial" w:hAnsi="Arial" w:cs="Arial"/>
          <w:b/>
          <w:bCs/>
          <w:color w:val="0F0F0F"/>
          <w:kern w:val="0"/>
          <w:szCs w:val="22"/>
        </w:rPr>
      </w:pPr>
      <w:r w:rsidRPr="000D709B">
        <w:rPr>
          <w:rFonts w:ascii="Arial" w:hAnsi="Arial" w:cs="Arial"/>
          <w:b/>
          <w:bCs/>
          <w:color w:val="0F0F0F"/>
          <w:kern w:val="0"/>
          <w:szCs w:val="22"/>
        </w:rPr>
        <w:t>COMPETING INTERESTS</w:t>
      </w:r>
    </w:p>
    <w:p w14:paraId="4F12C3E3" w14:textId="10289538" w:rsidR="00EE555E" w:rsidRPr="00795114" w:rsidRDefault="00EE555E" w:rsidP="00187A74">
      <w:pPr>
        <w:spacing w:before="240" w:line="360" w:lineRule="auto"/>
        <w:jc w:val="both"/>
        <w:rPr>
          <w:rFonts w:ascii="Arial" w:hAnsi="Arial" w:cs="Arial"/>
          <w:b/>
          <w:bCs/>
          <w:color w:val="0F0F0F"/>
          <w:kern w:val="0"/>
          <w:sz w:val="20"/>
          <w:lang w:val="en-US"/>
        </w:rPr>
      </w:pPr>
      <w:r w:rsidRPr="00795114">
        <w:rPr>
          <w:rFonts w:ascii="Arial" w:hAnsi="Arial" w:cs="Arial"/>
          <w:color w:val="0F0F0F"/>
          <w:kern w:val="0"/>
          <w:sz w:val="20"/>
        </w:rPr>
        <w:t xml:space="preserve">The author declares there is no </w:t>
      </w:r>
      <w:r w:rsidR="000D709B" w:rsidRPr="000D709B">
        <w:rPr>
          <w:rFonts w:ascii="Arial" w:hAnsi="Arial" w:cs="Arial"/>
          <w:color w:val="0F0F0F"/>
          <w:kern w:val="0"/>
          <w:sz w:val="20"/>
        </w:rPr>
        <w:t>competing interests</w:t>
      </w:r>
      <w:r w:rsidRPr="00795114">
        <w:rPr>
          <w:rFonts w:ascii="Arial" w:hAnsi="Arial" w:cs="Arial"/>
          <w:color w:val="0F0F0F"/>
          <w:kern w:val="0"/>
          <w:sz w:val="20"/>
        </w:rPr>
        <w:t>. All the authors are agreed to publish this manuscript.</w:t>
      </w:r>
    </w:p>
    <w:p w14:paraId="1E94DF4A" w14:textId="2D86A68F" w:rsidR="00E22A52" w:rsidRPr="00FF58BF" w:rsidRDefault="00FF58BF" w:rsidP="00187A74">
      <w:pPr>
        <w:spacing w:line="360" w:lineRule="auto"/>
        <w:jc w:val="both"/>
        <w:rPr>
          <w:rFonts w:ascii="Arial" w:hAnsi="Arial" w:cs="Arial"/>
          <w:b/>
          <w:bCs/>
          <w:szCs w:val="22"/>
        </w:rPr>
      </w:pPr>
      <w:r w:rsidRPr="00FF58BF">
        <w:rPr>
          <w:rFonts w:ascii="Arial" w:hAnsi="Arial" w:cs="Arial"/>
          <w:b/>
          <w:bCs/>
          <w:szCs w:val="22"/>
        </w:rPr>
        <w:t>REFERENCE</w:t>
      </w:r>
    </w:p>
    <w:p w14:paraId="5046DA2C" w14:textId="77777777" w:rsidR="00E22A52" w:rsidRDefault="00E22A52" w:rsidP="00187A74">
      <w:pPr>
        <w:spacing w:line="360" w:lineRule="auto"/>
        <w:ind w:left="360"/>
        <w:jc w:val="both"/>
        <w:rPr>
          <w:rFonts w:ascii="Arial" w:hAnsi="Arial" w:cs="Arial"/>
          <w:color w:val="0F0F0F"/>
          <w:kern w:val="0"/>
          <w:sz w:val="20"/>
        </w:rPr>
      </w:pPr>
      <w:r w:rsidRPr="00A84828">
        <w:rPr>
          <w:rFonts w:ascii="Arial" w:hAnsi="Arial" w:cs="Arial"/>
          <w:sz w:val="20"/>
        </w:rPr>
        <w:t>A</w:t>
      </w:r>
      <w:r w:rsidRPr="00A84828">
        <w:rPr>
          <w:rFonts w:ascii="Arial" w:hAnsi="Arial" w:cs="Arial"/>
          <w:color w:val="0F0F0F"/>
          <w:kern w:val="0"/>
          <w:sz w:val="20"/>
        </w:rPr>
        <w:t xml:space="preserve">khter, M., Hasan, M.M., Khan, A.B.S., Ullah, M.R., Bosu, A., Yasmin, F., Haque, M.A., Islam, M.A. and Mahmud, Y., Reproductive biology and feeding habit of Coilia dussumieri Valenciennes, 1848 (Actinopteri: Engraulidae): a review, </w:t>
      </w:r>
      <w:r w:rsidRPr="00A84828">
        <w:rPr>
          <w:rFonts w:ascii="Arial" w:hAnsi="Arial" w:cs="Arial"/>
          <w:i/>
          <w:iCs/>
          <w:color w:val="0F0F0F"/>
          <w:kern w:val="0"/>
          <w:sz w:val="20"/>
        </w:rPr>
        <w:t>Int. J. Sci. Technol. Res. Arch.</w:t>
      </w:r>
      <w:r w:rsidRPr="00A84828">
        <w:rPr>
          <w:rFonts w:ascii="Arial" w:hAnsi="Arial" w:cs="Arial"/>
          <w:color w:val="0F0F0F"/>
          <w:kern w:val="0"/>
          <w:sz w:val="20"/>
        </w:rPr>
        <w:t xml:space="preserve">, 2024, vol. 6, pp. 051-056. </w:t>
      </w:r>
    </w:p>
    <w:p w14:paraId="3834E5DB" w14:textId="77777777" w:rsidR="00A84828" w:rsidRPr="00A84828" w:rsidRDefault="00A84828" w:rsidP="00A84828">
      <w:pPr>
        <w:spacing w:after="0" w:line="360" w:lineRule="auto"/>
        <w:ind w:left="360"/>
        <w:jc w:val="both"/>
        <w:rPr>
          <w:rFonts w:ascii="Arial" w:hAnsi="Arial" w:cs="Arial"/>
          <w:color w:val="0F0F0F"/>
          <w:kern w:val="0"/>
          <w:sz w:val="20"/>
        </w:rPr>
      </w:pPr>
    </w:p>
    <w:p w14:paraId="492CB4FB"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Amin, S.N. and Zafar, M., Studies on age, growth and virtual population analysis of Coilia dussumieri from the neritic water of Bangladesh, </w:t>
      </w:r>
      <w:r w:rsidRPr="00A84828">
        <w:rPr>
          <w:rFonts w:ascii="Arial" w:hAnsi="Arial" w:cs="Arial"/>
          <w:i/>
          <w:iCs/>
          <w:color w:val="0F0F0F"/>
          <w:kern w:val="0"/>
          <w:sz w:val="20"/>
        </w:rPr>
        <w:t>J. Biol. Sci.,</w:t>
      </w:r>
      <w:r w:rsidRPr="00A84828">
        <w:rPr>
          <w:rFonts w:ascii="Arial" w:hAnsi="Arial" w:cs="Arial"/>
          <w:color w:val="0F0F0F"/>
          <w:kern w:val="0"/>
          <w:sz w:val="20"/>
        </w:rPr>
        <w:t xml:space="preserve"> 2004, vol. 4, pp. 342-344. </w:t>
      </w:r>
    </w:p>
    <w:p w14:paraId="4ADC302B" w14:textId="77777777" w:rsidR="00A84828" w:rsidRDefault="00A84828" w:rsidP="00A84828">
      <w:pPr>
        <w:spacing w:after="0" w:line="360" w:lineRule="auto"/>
        <w:ind w:left="360"/>
        <w:jc w:val="both"/>
        <w:rPr>
          <w:rFonts w:ascii="Arial" w:hAnsi="Arial" w:cs="Arial"/>
          <w:color w:val="0F0F0F"/>
          <w:kern w:val="0"/>
          <w:sz w:val="20"/>
        </w:rPr>
      </w:pPr>
    </w:p>
    <w:p w14:paraId="5327E9B5" w14:textId="6062D6ED"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Annan, A., Kindong, R., Sarr, O. and Tian, S., Distribution and CPUE standardization of European Pilchard (Sardina pilchardus) in the Northwest African upwelling waters under varying climatic conditions, </w:t>
      </w:r>
      <w:r w:rsidRPr="00A84828">
        <w:rPr>
          <w:rFonts w:ascii="Arial" w:hAnsi="Arial" w:cs="Arial"/>
          <w:i/>
          <w:iCs/>
          <w:color w:val="0F0F0F"/>
          <w:kern w:val="0"/>
          <w:sz w:val="20"/>
        </w:rPr>
        <w:t xml:space="preserve">J. Coastal Conserv., </w:t>
      </w:r>
      <w:r w:rsidRPr="00A84828">
        <w:rPr>
          <w:rFonts w:ascii="Arial" w:hAnsi="Arial" w:cs="Arial"/>
          <w:color w:val="0F0F0F"/>
          <w:kern w:val="0"/>
          <w:sz w:val="20"/>
        </w:rPr>
        <w:t xml:space="preserve">2024, vol. 28, pp. 1-13. </w:t>
      </w:r>
    </w:p>
    <w:p w14:paraId="739A5ACA" w14:textId="77777777" w:rsidR="00A84828" w:rsidRDefault="00A84828" w:rsidP="00A84828">
      <w:pPr>
        <w:spacing w:after="0" w:line="360" w:lineRule="auto"/>
        <w:ind w:left="360"/>
        <w:jc w:val="both"/>
        <w:rPr>
          <w:rFonts w:ascii="Arial" w:hAnsi="Arial" w:cs="Arial"/>
          <w:color w:val="0F0F0F"/>
          <w:kern w:val="0"/>
          <w:sz w:val="20"/>
        </w:rPr>
      </w:pPr>
    </w:p>
    <w:p w14:paraId="3D3DAD81" w14:textId="7C30B4F0" w:rsidR="00E22A52"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Ansari, Z.A., Chatterji, A., Ingole, B.S., Sreepada, R.A., Rivonkar, C.U. and Parulekar, A.H., Community structure and seasonal variation of an inshore demersal fish community at Goa, West Coast of India,</w:t>
      </w:r>
      <w:r w:rsidRPr="00A84828">
        <w:rPr>
          <w:rFonts w:ascii="Arial" w:hAnsi="Arial" w:cs="Arial"/>
          <w:i/>
          <w:iCs/>
          <w:color w:val="0F0F0F"/>
          <w:kern w:val="0"/>
          <w:sz w:val="20"/>
        </w:rPr>
        <w:t xml:space="preserve"> Estuar. Coast. Shelf Sci.,</w:t>
      </w:r>
      <w:r w:rsidRPr="00A84828">
        <w:rPr>
          <w:rFonts w:ascii="Arial" w:hAnsi="Arial" w:cs="Arial"/>
          <w:color w:val="0F0F0F"/>
          <w:kern w:val="0"/>
          <w:sz w:val="20"/>
        </w:rPr>
        <w:t xml:space="preserve"> 1995, vol. 41, pp. 593-610. </w:t>
      </w:r>
    </w:p>
    <w:p w14:paraId="12A91298" w14:textId="77777777" w:rsidR="00A84828" w:rsidRPr="00A84828" w:rsidRDefault="00A84828" w:rsidP="00A84828">
      <w:pPr>
        <w:spacing w:after="0" w:line="360" w:lineRule="auto"/>
        <w:ind w:left="360"/>
        <w:jc w:val="both"/>
        <w:rPr>
          <w:rFonts w:ascii="Arial" w:hAnsi="Arial" w:cs="Arial"/>
          <w:color w:val="0F0F0F"/>
          <w:kern w:val="0"/>
          <w:sz w:val="20"/>
        </w:rPr>
      </w:pPr>
    </w:p>
    <w:p w14:paraId="02360529"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Campbell, R.A., Constructing stock abundance indices from catch and effort data: some nuts and bolts, </w:t>
      </w:r>
      <w:r w:rsidRPr="00A84828">
        <w:rPr>
          <w:rFonts w:ascii="Arial" w:hAnsi="Arial" w:cs="Arial"/>
          <w:i/>
          <w:iCs/>
          <w:color w:val="0F0F0F"/>
          <w:kern w:val="0"/>
          <w:sz w:val="20"/>
        </w:rPr>
        <w:t>Fish. Res</w:t>
      </w:r>
      <w:r w:rsidRPr="00A84828">
        <w:rPr>
          <w:rFonts w:ascii="Arial" w:hAnsi="Arial" w:cs="Arial"/>
          <w:color w:val="0F0F0F"/>
          <w:kern w:val="0"/>
          <w:sz w:val="20"/>
        </w:rPr>
        <w:t xml:space="preserve">., 2015, vol. 161, pp. 109-130, doi:10.48670/moi-00016. </w:t>
      </w:r>
    </w:p>
    <w:p w14:paraId="25F8A6C1" w14:textId="77777777" w:rsidR="00A84828" w:rsidRDefault="00A84828" w:rsidP="00A84828">
      <w:pPr>
        <w:spacing w:after="0" w:line="360" w:lineRule="auto"/>
        <w:ind w:left="360"/>
        <w:jc w:val="both"/>
        <w:rPr>
          <w:rFonts w:ascii="Arial" w:hAnsi="Arial" w:cs="Arial"/>
          <w:color w:val="0F0F0F"/>
          <w:kern w:val="0"/>
          <w:sz w:val="20"/>
        </w:rPr>
      </w:pPr>
    </w:p>
    <w:p w14:paraId="6D709A75" w14:textId="7B3B1DF1"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CMFRI, Annual Report 2023, Central Marine Fisheries Research Institute, Kochi, 2024, 286 p. </w:t>
      </w:r>
    </w:p>
    <w:p w14:paraId="11587750" w14:textId="77777777" w:rsidR="00A84828" w:rsidRDefault="00A84828" w:rsidP="00A84828">
      <w:pPr>
        <w:spacing w:after="0" w:line="360" w:lineRule="auto"/>
        <w:ind w:left="360"/>
        <w:jc w:val="both"/>
        <w:rPr>
          <w:rFonts w:ascii="Arial" w:hAnsi="Arial" w:cs="Arial"/>
          <w:color w:val="0F0F0F"/>
          <w:kern w:val="0"/>
          <w:sz w:val="20"/>
        </w:rPr>
      </w:pPr>
    </w:p>
    <w:p w14:paraId="13E26CED" w14:textId="1D4F96C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Collie, J.S., Botsford, L.W., Hastings, A., Kaplan, I.C., Largier, J.L., Livingston, P.A., Plagányi, É., Rose, K.A., Wells, B.K. and Werner, F.E., Ecosystem models for fisheries management: finding the sweet spot, </w:t>
      </w:r>
      <w:r w:rsidRPr="00A84828">
        <w:rPr>
          <w:rFonts w:ascii="Arial" w:hAnsi="Arial" w:cs="Arial"/>
          <w:i/>
          <w:iCs/>
          <w:color w:val="0F0F0F"/>
          <w:kern w:val="0"/>
          <w:sz w:val="20"/>
        </w:rPr>
        <w:t>Fish and Fish.</w:t>
      </w:r>
      <w:r w:rsidRPr="00A84828">
        <w:rPr>
          <w:rFonts w:ascii="Arial" w:hAnsi="Arial" w:cs="Arial"/>
          <w:color w:val="0F0F0F"/>
          <w:kern w:val="0"/>
          <w:sz w:val="20"/>
        </w:rPr>
        <w:t xml:space="preserve">, 2016, vol. 17, pp. 101-125. </w:t>
      </w:r>
    </w:p>
    <w:p w14:paraId="53D4C6F4" w14:textId="77777777" w:rsidR="00A84828" w:rsidRDefault="00A84828" w:rsidP="00A84828">
      <w:pPr>
        <w:spacing w:after="0" w:line="360" w:lineRule="auto"/>
        <w:ind w:left="360"/>
        <w:jc w:val="both"/>
        <w:rPr>
          <w:rFonts w:ascii="Arial" w:hAnsi="Arial" w:cs="Arial"/>
          <w:color w:val="0F0F0F"/>
          <w:kern w:val="0"/>
          <w:sz w:val="20"/>
        </w:rPr>
      </w:pPr>
    </w:p>
    <w:p w14:paraId="70797239" w14:textId="09E5E6D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Copernicus Marine Service, Global Ocean Biogeochemistry Analysis and Forecast, 2016, Available from: </w:t>
      </w:r>
      <w:hyperlink r:id="rId16" w:tgtFrame="_new" w:history="1">
        <w:r w:rsidRPr="00A84828">
          <w:rPr>
            <w:rFonts w:ascii="Arial" w:hAnsi="Arial" w:cs="Arial"/>
            <w:color w:val="0F0F0F"/>
            <w:kern w:val="0"/>
            <w:sz w:val="20"/>
          </w:rPr>
          <w:t>https://doi.org/10.48670/moi-00015</w:t>
        </w:r>
      </w:hyperlink>
      <w:r w:rsidRPr="00A84828">
        <w:rPr>
          <w:rFonts w:ascii="Arial" w:hAnsi="Arial" w:cs="Arial"/>
          <w:color w:val="0F0F0F"/>
          <w:kern w:val="0"/>
          <w:sz w:val="20"/>
        </w:rPr>
        <w:t xml:space="preserve"> (Accessed Dec 12, 2024). </w:t>
      </w:r>
    </w:p>
    <w:p w14:paraId="30D1E4A8" w14:textId="77777777" w:rsidR="00A84828" w:rsidRDefault="00A84828" w:rsidP="00A84828">
      <w:pPr>
        <w:spacing w:after="0" w:line="360" w:lineRule="auto"/>
        <w:ind w:left="360"/>
        <w:jc w:val="both"/>
        <w:rPr>
          <w:rFonts w:ascii="Arial" w:hAnsi="Arial" w:cs="Arial"/>
          <w:color w:val="0F0F0F"/>
          <w:kern w:val="0"/>
          <w:sz w:val="20"/>
        </w:rPr>
      </w:pPr>
    </w:p>
    <w:p w14:paraId="7E1FE266" w14:textId="3B79201E"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Copernicus Marine Service, Global Ocean Physics Analysis and Forecast, 2024, Available from: </w:t>
      </w:r>
      <w:hyperlink r:id="rId17" w:tgtFrame="_new" w:history="1">
        <w:r w:rsidRPr="00A84828">
          <w:rPr>
            <w:rFonts w:ascii="Arial" w:hAnsi="Arial" w:cs="Arial"/>
            <w:color w:val="0F0F0F"/>
            <w:kern w:val="0"/>
            <w:sz w:val="20"/>
          </w:rPr>
          <w:t>https://doi.org/10.48670/moi-00016</w:t>
        </w:r>
      </w:hyperlink>
      <w:r w:rsidRPr="00A84828">
        <w:rPr>
          <w:rFonts w:ascii="Arial" w:hAnsi="Arial" w:cs="Arial"/>
          <w:color w:val="0F0F0F"/>
          <w:kern w:val="0"/>
          <w:sz w:val="20"/>
        </w:rPr>
        <w:t xml:space="preserve"> (Accessed Dec 12, 2024). </w:t>
      </w:r>
    </w:p>
    <w:p w14:paraId="72A4E885" w14:textId="77777777" w:rsidR="00A84828" w:rsidRDefault="00A84828" w:rsidP="00A84828">
      <w:pPr>
        <w:spacing w:after="0" w:line="360" w:lineRule="auto"/>
        <w:ind w:left="360"/>
        <w:jc w:val="both"/>
        <w:rPr>
          <w:rFonts w:ascii="Arial" w:hAnsi="Arial" w:cs="Arial"/>
          <w:color w:val="0F0F0F"/>
          <w:kern w:val="0"/>
          <w:sz w:val="20"/>
        </w:rPr>
      </w:pPr>
    </w:p>
    <w:p w14:paraId="283D6043" w14:textId="24E14F1E"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Dingsør, G.E., Ciannelli, L., Chan, K.S., Ottersen, G. and Stenseth, N.C., Density dependence and density independence during the early life stages of four marine fish stocks,</w:t>
      </w:r>
      <w:r w:rsidRPr="00A84828">
        <w:rPr>
          <w:rFonts w:ascii="Arial" w:hAnsi="Arial" w:cs="Arial"/>
          <w:i/>
          <w:iCs/>
          <w:color w:val="0F0F0F"/>
          <w:kern w:val="0"/>
          <w:sz w:val="20"/>
        </w:rPr>
        <w:t xml:space="preserve"> Ecol</w:t>
      </w:r>
      <w:r w:rsidRPr="00A84828">
        <w:rPr>
          <w:rFonts w:ascii="Arial" w:hAnsi="Arial" w:cs="Arial"/>
          <w:color w:val="0F0F0F"/>
          <w:kern w:val="0"/>
          <w:sz w:val="20"/>
        </w:rPr>
        <w:t xml:space="preserve">., 2007, vol. 88, pp. 625-634. </w:t>
      </w:r>
    </w:p>
    <w:p w14:paraId="03A08793" w14:textId="77777777" w:rsidR="00A84828" w:rsidRDefault="00A84828" w:rsidP="00A84828">
      <w:pPr>
        <w:spacing w:after="0" w:line="360" w:lineRule="auto"/>
        <w:ind w:left="360"/>
        <w:jc w:val="both"/>
        <w:rPr>
          <w:rFonts w:ascii="Arial" w:hAnsi="Arial" w:cs="Arial"/>
          <w:color w:val="0F0F0F"/>
          <w:kern w:val="0"/>
          <w:sz w:val="20"/>
        </w:rPr>
      </w:pPr>
    </w:p>
    <w:p w14:paraId="55A2B1E5" w14:textId="7F3DDEFD"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Elith, J., Leathwick, J.R. and Hastie, T., A working guide to boosted regression trees, </w:t>
      </w:r>
      <w:r w:rsidRPr="00A84828">
        <w:rPr>
          <w:rFonts w:ascii="Arial" w:hAnsi="Arial" w:cs="Arial"/>
          <w:i/>
          <w:iCs/>
          <w:color w:val="0F0F0F"/>
          <w:kern w:val="0"/>
          <w:sz w:val="20"/>
        </w:rPr>
        <w:t>J. Anim. Ecol.,</w:t>
      </w:r>
      <w:r w:rsidRPr="00A84828">
        <w:rPr>
          <w:rFonts w:ascii="Arial" w:hAnsi="Arial" w:cs="Arial"/>
          <w:color w:val="0F0F0F"/>
          <w:kern w:val="0"/>
          <w:sz w:val="20"/>
        </w:rPr>
        <w:t xml:space="preserve"> 2008, vol. 77, pp. 802-813. </w:t>
      </w:r>
    </w:p>
    <w:p w14:paraId="3495D4FB" w14:textId="77777777" w:rsidR="00A84828" w:rsidRDefault="00A84828" w:rsidP="00A84828">
      <w:pPr>
        <w:spacing w:after="0" w:line="360" w:lineRule="auto"/>
        <w:ind w:left="360"/>
        <w:jc w:val="both"/>
        <w:rPr>
          <w:rFonts w:ascii="Arial" w:hAnsi="Arial" w:cs="Arial"/>
          <w:color w:val="0F0F0F"/>
          <w:kern w:val="0"/>
          <w:sz w:val="20"/>
        </w:rPr>
      </w:pPr>
    </w:p>
    <w:p w14:paraId="5D8F89F0" w14:textId="407DC90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Fan, W., Zhu, S. and Shen, J., An application of satellite remote sensing-derived marine environmental factors to marine fisheries: a review, </w:t>
      </w:r>
      <w:r w:rsidRPr="00A84828">
        <w:rPr>
          <w:rFonts w:ascii="Arial" w:hAnsi="Arial" w:cs="Arial"/>
          <w:i/>
          <w:iCs/>
          <w:color w:val="0F0F0F"/>
          <w:kern w:val="0"/>
          <w:sz w:val="20"/>
        </w:rPr>
        <w:t>Mar. Sci.,</w:t>
      </w:r>
      <w:r w:rsidRPr="00A84828">
        <w:rPr>
          <w:rFonts w:ascii="Arial" w:hAnsi="Arial" w:cs="Arial"/>
          <w:color w:val="0F0F0F"/>
          <w:kern w:val="0"/>
          <w:sz w:val="20"/>
        </w:rPr>
        <w:t xml:space="preserve"> 2005, vol. 29, pp. 67-72. </w:t>
      </w:r>
    </w:p>
    <w:p w14:paraId="0A320984" w14:textId="77777777" w:rsidR="00A84828" w:rsidRDefault="00A84828" w:rsidP="00A84828">
      <w:pPr>
        <w:spacing w:after="0" w:line="360" w:lineRule="auto"/>
        <w:ind w:left="360"/>
        <w:jc w:val="both"/>
        <w:rPr>
          <w:rFonts w:ascii="Arial" w:hAnsi="Arial" w:cs="Arial"/>
          <w:color w:val="0F0F0F"/>
          <w:kern w:val="0"/>
          <w:sz w:val="20"/>
        </w:rPr>
      </w:pPr>
    </w:p>
    <w:p w14:paraId="66AB9DAB" w14:textId="731866F0"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Fernandes, B. and Achuthankutty, C.T., Seasonal variation in fishery diversity of some wetlands of the Salcete Taluka, Goa, India, </w:t>
      </w:r>
      <w:r w:rsidRPr="00A84828">
        <w:rPr>
          <w:rFonts w:ascii="Arial" w:hAnsi="Arial" w:cs="Arial"/>
          <w:i/>
          <w:iCs/>
          <w:color w:val="0F0F0F"/>
          <w:kern w:val="0"/>
          <w:sz w:val="20"/>
        </w:rPr>
        <w:t>Indian J. Mar. Sci.,</w:t>
      </w:r>
      <w:r w:rsidRPr="00A84828">
        <w:rPr>
          <w:rFonts w:ascii="Arial" w:hAnsi="Arial" w:cs="Arial"/>
          <w:color w:val="0F0F0F"/>
          <w:kern w:val="0"/>
          <w:sz w:val="20"/>
        </w:rPr>
        <w:t xml:space="preserve"> 2010, vol. 39, pp. 238-247. </w:t>
      </w:r>
    </w:p>
    <w:p w14:paraId="6FD81C1D" w14:textId="77777777" w:rsidR="00A84828" w:rsidRDefault="00A84828" w:rsidP="00A84828">
      <w:pPr>
        <w:spacing w:after="0" w:line="360" w:lineRule="auto"/>
        <w:ind w:left="360"/>
        <w:jc w:val="both"/>
        <w:rPr>
          <w:rFonts w:ascii="Arial" w:hAnsi="Arial" w:cs="Arial"/>
          <w:color w:val="0F0F0F"/>
          <w:kern w:val="0"/>
          <w:sz w:val="20"/>
        </w:rPr>
      </w:pPr>
    </w:p>
    <w:p w14:paraId="60CC8F06" w14:textId="3CA3B80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Fernandez, I. and Devaraj, M., Reproductive biology of the gold spotted grenadier anchovy, Coilia dussumieri (Cuvier and Valenciennes), along the North West coast of India, </w:t>
      </w:r>
      <w:r w:rsidRPr="00A84828">
        <w:rPr>
          <w:rFonts w:ascii="Arial" w:hAnsi="Arial" w:cs="Arial"/>
          <w:i/>
          <w:iCs/>
          <w:color w:val="0F0F0F"/>
          <w:kern w:val="0"/>
          <w:sz w:val="20"/>
        </w:rPr>
        <w:t>Indian J. Fish</w:t>
      </w:r>
      <w:r w:rsidRPr="00A84828">
        <w:rPr>
          <w:rFonts w:ascii="Arial" w:hAnsi="Arial" w:cs="Arial"/>
          <w:color w:val="0F0F0F"/>
          <w:kern w:val="0"/>
          <w:sz w:val="20"/>
        </w:rPr>
        <w:t xml:space="preserve">, 1989, vol. 36, pp. 11-18. </w:t>
      </w:r>
    </w:p>
    <w:p w14:paraId="44FCD71D" w14:textId="77777777" w:rsidR="00A84828" w:rsidRDefault="00A84828" w:rsidP="00A84828">
      <w:pPr>
        <w:spacing w:after="0" w:line="360" w:lineRule="auto"/>
        <w:ind w:left="360"/>
        <w:jc w:val="both"/>
        <w:rPr>
          <w:rFonts w:ascii="Arial" w:hAnsi="Arial" w:cs="Arial"/>
          <w:color w:val="0F0F0F"/>
          <w:kern w:val="0"/>
          <w:sz w:val="20"/>
        </w:rPr>
      </w:pPr>
    </w:p>
    <w:p w14:paraId="2297B438" w14:textId="50BB857C"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Fu, X.L., Xu, Z.L., Que, J.L. and Yan, T.L., Temporal-spatial distribution characteristics of fish stocks in north-west coastal waters of Beibu Gulf, </w:t>
      </w:r>
      <w:r w:rsidRPr="00A84828">
        <w:rPr>
          <w:rFonts w:ascii="Arial" w:hAnsi="Arial" w:cs="Arial"/>
          <w:i/>
          <w:iCs/>
          <w:color w:val="0F0F0F"/>
          <w:kern w:val="0"/>
          <w:sz w:val="20"/>
        </w:rPr>
        <w:t>Fish Sci.</w:t>
      </w:r>
      <w:r w:rsidRPr="00A84828">
        <w:rPr>
          <w:rFonts w:ascii="Arial" w:hAnsi="Arial" w:cs="Arial"/>
          <w:color w:val="0F0F0F"/>
          <w:kern w:val="0"/>
          <w:sz w:val="20"/>
        </w:rPr>
        <w:t xml:space="preserve">, 2019, vol. 38, pp. 10-18. </w:t>
      </w:r>
    </w:p>
    <w:p w14:paraId="3C930736" w14:textId="77777777" w:rsidR="00A84828" w:rsidRDefault="00A84828" w:rsidP="00A84828">
      <w:pPr>
        <w:spacing w:after="0" w:line="360" w:lineRule="auto"/>
        <w:ind w:left="360"/>
        <w:jc w:val="both"/>
        <w:rPr>
          <w:rFonts w:ascii="Arial" w:hAnsi="Arial" w:cs="Arial"/>
          <w:color w:val="0F0F0F"/>
          <w:kern w:val="0"/>
          <w:sz w:val="20"/>
        </w:rPr>
      </w:pPr>
    </w:p>
    <w:p w14:paraId="30E9966C" w14:textId="32D5510C"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Galaiduk, R., Radford, B., Case, M., Bond, T., Taylor, M., Cooper, T., Smith, L. and McLean, D., Regional patterns in demersal fish assemblages among subsea pipelines and natural habitats across north-west Australia, </w:t>
      </w:r>
      <w:r w:rsidRPr="00A84828">
        <w:rPr>
          <w:rFonts w:ascii="Arial" w:hAnsi="Arial" w:cs="Arial"/>
          <w:i/>
          <w:iCs/>
          <w:color w:val="0F0F0F"/>
          <w:kern w:val="0"/>
          <w:sz w:val="20"/>
        </w:rPr>
        <w:t xml:space="preserve">Front. Mar. Sci., </w:t>
      </w:r>
      <w:r w:rsidRPr="00A84828">
        <w:rPr>
          <w:rFonts w:ascii="Arial" w:hAnsi="Arial" w:cs="Arial"/>
          <w:color w:val="0F0F0F"/>
          <w:kern w:val="0"/>
          <w:sz w:val="20"/>
        </w:rPr>
        <w:t xml:space="preserve">2022, vol. 9, pp. 979987. </w:t>
      </w:r>
    </w:p>
    <w:p w14:paraId="60861869" w14:textId="77777777" w:rsidR="00A84828" w:rsidRDefault="00A84828" w:rsidP="00A84828">
      <w:pPr>
        <w:spacing w:after="0" w:line="360" w:lineRule="auto"/>
        <w:ind w:left="360"/>
        <w:jc w:val="both"/>
        <w:rPr>
          <w:rFonts w:ascii="Arial" w:hAnsi="Arial" w:cs="Arial"/>
          <w:color w:val="0F0F0F"/>
          <w:kern w:val="0"/>
          <w:sz w:val="20"/>
        </w:rPr>
      </w:pPr>
    </w:p>
    <w:p w14:paraId="0C3C6B0E" w14:textId="6F8871E4"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Grenouillet, G., Pont, D. and Herisse, C., Within-basin fish assemblage structure: the relative influence of habitat versus stream spatial position on local species richness, </w:t>
      </w:r>
      <w:r w:rsidRPr="00A84828">
        <w:rPr>
          <w:rFonts w:ascii="Arial" w:hAnsi="Arial" w:cs="Arial"/>
          <w:i/>
          <w:iCs/>
          <w:color w:val="0F0F0F"/>
          <w:kern w:val="0"/>
          <w:sz w:val="20"/>
        </w:rPr>
        <w:t>Can. J. Fish Aquat. Sci.</w:t>
      </w:r>
      <w:r w:rsidRPr="00A84828">
        <w:rPr>
          <w:rFonts w:ascii="Arial" w:hAnsi="Arial" w:cs="Arial"/>
          <w:color w:val="0F0F0F"/>
          <w:kern w:val="0"/>
          <w:sz w:val="20"/>
        </w:rPr>
        <w:t xml:space="preserve">, 2004, vol. 61, pp. 93-102. </w:t>
      </w:r>
    </w:p>
    <w:p w14:paraId="647CC52A" w14:textId="77777777" w:rsidR="00A84828" w:rsidRDefault="00A84828" w:rsidP="00A84828">
      <w:pPr>
        <w:spacing w:after="0" w:line="360" w:lineRule="auto"/>
        <w:ind w:left="360"/>
        <w:jc w:val="both"/>
        <w:rPr>
          <w:rFonts w:ascii="Arial" w:hAnsi="Arial" w:cs="Arial"/>
          <w:color w:val="0F0F0F"/>
          <w:kern w:val="0"/>
          <w:sz w:val="20"/>
        </w:rPr>
      </w:pPr>
    </w:p>
    <w:p w14:paraId="04E3A5F2" w14:textId="1363533B"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Hildalgo, M.T., Rouyer, J.C., Molinero, J.C., Massuti, E., Moranta, B., Guijarro, J. and Stenseth, N.C., Synergistic effects of fishing induced demographic changes and climate variation on fish population dynamics,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2011, vol. 426, pp. 1-12. </w:t>
      </w:r>
    </w:p>
    <w:p w14:paraId="499C8FB7" w14:textId="77777777" w:rsidR="00A84828" w:rsidRDefault="00A84828" w:rsidP="00A84828">
      <w:pPr>
        <w:spacing w:after="0" w:line="360" w:lineRule="auto"/>
        <w:ind w:left="360"/>
        <w:jc w:val="both"/>
        <w:rPr>
          <w:rFonts w:ascii="Arial" w:hAnsi="Arial" w:cs="Arial"/>
          <w:color w:val="0F0F0F"/>
          <w:kern w:val="0"/>
          <w:sz w:val="20"/>
        </w:rPr>
      </w:pPr>
    </w:p>
    <w:p w14:paraId="2C61EEAF" w14:textId="21A4C815"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Khaled, M.A., Al-Jamali, F.H., Said, R.E., Mohammad, A.S., Ahmed, M.H. and Ahmed, H.O., Analysis of SST and Chl-a data from MODIS-Aqua in the Major Egyptian Fishing Zones of the Red Sea, </w:t>
      </w:r>
      <w:r w:rsidRPr="00A84828">
        <w:rPr>
          <w:rFonts w:ascii="Arial" w:hAnsi="Arial" w:cs="Arial"/>
          <w:i/>
          <w:iCs/>
          <w:color w:val="0F0F0F"/>
          <w:kern w:val="0"/>
          <w:sz w:val="20"/>
        </w:rPr>
        <w:t>Egyptian J. Aquat. Res.</w:t>
      </w:r>
      <w:r w:rsidRPr="00A84828">
        <w:rPr>
          <w:rFonts w:ascii="Arial" w:hAnsi="Arial" w:cs="Arial"/>
          <w:color w:val="0F0F0F"/>
          <w:kern w:val="0"/>
          <w:sz w:val="20"/>
        </w:rPr>
        <w:t xml:space="preserve">, 2023, vol. 49, pp. 520-529. </w:t>
      </w:r>
    </w:p>
    <w:p w14:paraId="06CE82C2" w14:textId="77777777" w:rsidR="00A84828" w:rsidRDefault="00A84828" w:rsidP="00A84828">
      <w:pPr>
        <w:spacing w:after="0" w:line="360" w:lineRule="auto"/>
        <w:ind w:left="360"/>
        <w:jc w:val="both"/>
        <w:rPr>
          <w:rFonts w:ascii="Arial" w:hAnsi="Arial" w:cs="Arial"/>
          <w:color w:val="0F0F0F"/>
          <w:kern w:val="0"/>
          <w:sz w:val="20"/>
        </w:rPr>
      </w:pPr>
    </w:p>
    <w:p w14:paraId="440E8B23" w14:textId="16424144"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Leathwick, J.R., Elith, J., Francis, M.P., Hastie, T. and Taylor, P., Variation in demersal fish species richness in the oceans surrounding New Zealand: an analysis using boosted regression trees,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2006, vol. 321, pp. 267-281. </w:t>
      </w:r>
    </w:p>
    <w:p w14:paraId="766F9FB1" w14:textId="77777777" w:rsidR="00A84828" w:rsidRDefault="00A84828" w:rsidP="00A84828">
      <w:pPr>
        <w:spacing w:after="0" w:line="360" w:lineRule="auto"/>
        <w:ind w:left="360"/>
        <w:jc w:val="both"/>
        <w:rPr>
          <w:rFonts w:ascii="Arial" w:hAnsi="Arial" w:cs="Arial"/>
          <w:color w:val="0F0F0F"/>
          <w:kern w:val="0"/>
          <w:sz w:val="20"/>
        </w:rPr>
      </w:pPr>
    </w:p>
    <w:p w14:paraId="7CFC9634" w14:textId="3B7AF0AB"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Oppel, S., Meirinho, A., Ramirez, I., Gardner, B., O’Connell, A.F., Miller, P.I. and Louzao, M.M., Comparison of five modelling techniques to predict the spatial distribution and abundance of seabirds, </w:t>
      </w:r>
      <w:r w:rsidRPr="00A84828">
        <w:rPr>
          <w:rFonts w:ascii="Arial" w:hAnsi="Arial" w:cs="Arial"/>
          <w:i/>
          <w:iCs/>
          <w:color w:val="0F0F0F"/>
          <w:kern w:val="0"/>
          <w:sz w:val="20"/>
        </w:rPr>
        <w:t>Biol. Conserv.,</w:t>
      </w:r>
      <w:r w:rsidRPr="00A84828">
        <w:rPr>
          <w:rFonts w:ascii="Arial" w:hAnsi="Arial" w:cs="Arial"/>
          <w:color w:val="0F0F0F"/>
          <w:kern w:val="0"/>
          <w:sz w:val="20"/>
        </w:rPr>
        <w:t xml:space="preserve"> 2012, vol. 156, pp. 94-104. </w:t>
      </w:r>
    </w:p>
    <w:p w14:paraId="5CD6F213" w14:textId="77777777" w:rsidR="00A84828" w:rsidRDefault="00A84828" w:rsidP="00A84828">
      <w:pPr>
        <w:spacing w:after="0" w:line="360" w:lineRule="auto"/>
        <w:ind w:left="360"/>
        <w:jc w:val="both"/>
        <w:rPr>
          <w:rFonts w:ascii="Arial" w:hAnsi="Arial" w:cs="Arial"/>
          <w:color w:val="0F0F0F"/>
          <w:kern w:val="0"/>
          <w:sz w:val="20"/>
        </w:rPr>
      </w:pPr>
    </w:p>
    <w:p w14:paraId="011B3697" w14:textId="334E45C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Pont, D., Hugueny, B. and Oberdorff, T., Modelling habitat requirement of European fishes: do species have similar responses to local and regional environmental constraints, </w:t>
      </w:r>
      <w:r w:rsidRPr="00A84828">
        <w:rPr>
          <w:rFonts w:ascii="Arial" w:hAnsi="Arial" w:cs="Arial"/>
          <w:i/>
          <w:iCs/>
          <w:color w:val="0F0F0F"/>
          <w:kern w:val="0"/>
          <w:sz w:val="20"/>
        </w:rPr>
        <w:t>Can. J. Fish Aquat. Sci</w:t>
      </w:r>
      <w:r w:rsidRPr="00A84828">
        <w:rPr>
          <w:rFonts w:ascii="Arial" w:hAnsi="Arial" w:cs="Arial"/>
          <w:color w:val="0F0F0F"/>
          <w:kern w:val="0"/>
          <w:sz w:val="20"/>
        </w:rPr>
        <w:t xml:space="preserve">., 2005, vol. 62, pp. 163-173. </w:t>
      </w:r>
    </w:p>
    <w:p w14:paraId="6AD332DF" w14:textId="77777777" w:rsidR="00A84828" w:rsidRDefault="00A84828" w:rsidP="00A84828">
      <w:pPr>
        <w:spacing w:after="0" w:line="360" w:lineRule="auto"/>
        <w:ind w:left="360"/>
        <w:jc w:val="both"/>
        <w:rPr>
          <w:rFonts w:ascii="Arial" w:hAnsi="Arial" w:cs="Arial"/>
          <w:color w:val="0F0F0F"/>
          <w:kern w:val="0"/>
          <w:sz w:val="20"/>
        </w:rPr>
      </w:pPr>
    </w:p>
    <w:p w14:paraId="0C09EF56" w14:textId="3D11B17F"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Ramteke, K.K., Shenoy, L., Nayak, B.B., Deshmukhe, G., Inamdar, A.B. and Singh, V.V., Environmental variables and spatiotemporal occurrence of </w:t>
      </w:r>
      <w:commentRangeStart w:id="9"/>
      <w:r w:rsidRPr="00A84828">
        <w:rPr>
          <w:rFonts w:ascii="Arial" w:hAnsi="Arial" w:cs="Arial"/>
          <w:color w:val="0F0F0F"/>
          <w:kern w:val="0"/>
          <w:sz w:val="20"/>
        </w:rPr>
        <w:t>Johnius</w:t>
      </w:r>
      <w:commentRangeEnd w:id="9"/>
      <w:r w:rsidR="006C6A69">
        <w:rPr>
          <w:rStyle w:val="CommentReference"/>
        </w:rPr>
        <w:commentReference w:id="9"/>
      </w:r>
      <w:r w:rsidRPr="00A84828">
        <w:rPr>
          <w:rFonts w:ascii="Arial" w:hAnsi="Arial" w:cs="Arial"/>
          <w:color w:val="0F0F0F"/>
          <w:kern w:val="0"/>
          <w:sz w:val="20"/>
        </w:rPr>
        <w:t xml:space="preserve"> belangerii (Cuvier, 1830) Belanger's Croaker: an analysis using boosted regression trees, </w:t>
      </w:r>
      <w:r w:rsidRPr="00A84828">
        <w:rPr>
          <w:rFonts w:ascii="Arial" w:hAnsi="Arial" w:cs="Arial"/>
          <w:i/>
          <w:iCs/>
          <w:color w:val="0F0F0F"/>
          <w:kern w:val="0"/>
          <w:sz w:val="20"/>
        </w:rPr>
        <w:t>J. Indian Fish Assoc.</w:t>
      </w:r>
      <w:r w:rsidRPr="00A84828">
        <w:rPr>
          <w:rFonts w:ascii="Arial" w:hAnsi="Arial" w:cs="Arial"/>
          <w:color w:val="0F0F0F"/>
          <w:kern w:val="0"/>
          <w:sz w:val="20"/>
        </w:rPr>
        <w:t xml:space="preserve">, n.d., vol. 47. </w:t>
      </w:r>
    </w:p>
    <w:p w14:paraId="742683A0" w14:textId="77777777" w:rsidR="00A84828" w:rsidRDefault="00A84828" w:rsidP="00A84828">
      <w:pPr>
        <w:spacing w:after="0" w:line="360" w:lineRule="auto"/>
        <w:ind w:left="360"/>
        <w:jc w:val="both"/>
        <w:rPr>
          <w:rFonts w:ascii="Arial" w:hAnsi="Arial" w:cs="Arial"/>
          <w:color w:val="0F0F0F"/>
          <w:kern w:val="0"/>
          <w:sz w:val="20"/>
        </w:rPr>
      </w:pPr>
    </w:p>
    <w:p w14:paraId="742F7DB9" w14:textId="435377C4"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Stenseth, N.C., Mysterud, A., Ottersen, G., Hurrell, J.W., Chan, K.S. and Lima, M., Ecological effects of climate fluctuations, </w:t>
      </w:r>
      <w:r w:rsidRPr="00A84828">
        <w:rPr>
          <w:rFonts w:ascii="Arial" w:hAnsi="Arial" w:cs="Arial"/>
          <w:i/>
          <w:iCs/>
          <w:color w:val="0F0F0F"/>
          <w:kern w:val="0"/>
          <w:sz w:val="20"/>
        </w:rPr>
        <w:t>Science</w:t>
      </w:r>
      <w:r w:rsidRPr="00A84828">
        <w:rPr>
          <w:rFonts w:ascii="Arial" w:hAnsi="Arial" w:cs="Arial"/>
          <w:color w:val="0F0F0F"/>
          <w:kern w:val="0"/>
          <w:sz w:val="20"/>
        </w:rPr>
        <w:t xml:space="preserve">, 2002, vol. 297, pp. 1292-1296. </w:t>
      </w:r>
    </w:p>
    <w:p w14:paraId="501CD1EB" w14:textId="77777777" w:rsidR="00A84828" w:rsidRDefault="00A84828" w:rsidP="00A84828">
      <w:pPr>
        <w:spacing w:after="0" w:line="360" w:lineRule="auto"/>
        <w:ind w:left="360"/>
        <w:jc w:val="both"/>
        <w:rPr>
          <w:rFonts w:ascii="Arial" w:hAnsi="Arial" w:cs="Arial"/>
          <w:color w:val="0F0F0F"/>
          <w:kern w:val="0"/>
          <w:sz w:val="20"/>
        </w:rPr>
      </w:pPr>
    </w:p>
    <w:p w14:paraId="5CF7127C" w14:textId="049480C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Strong, J.A. and Elliott, M., The value of remote sensing techniques in supporting effective extrapolation across multiple marine spatial scales, </w:t>
      </w:r>
      <w:r w:rsidRPr="00A84828">
        <w:rPr>
          <w:rFonts w:ascii="Arial" w:hAnsi="Arial" w:cs="Arial"/>
          <w:i/>
          <w:iCs/>
          <w:color w:val="0F0F0F"/>
          <w:kern w:val="0"/>
          <w:sz w:val="20"/>
        </w:rPr>
        <w:t>Mar. Pollut. Bull.</w:t>
      </w:r>
      <w:r w:rsidRPr="00A84828">
        <w:rPr>
          <w:rFonts w:ascii="Arial" w:hAnsi="Arial" w:cs="Arial"/>
          <w:color w:val="0F0F0F"/>
          <w:kern w:val="0"/>
          <w:sz w:val="20"/>
        </w:rPr>
        <w:t xml:space="preserve">, 2017, vol. 116, pp. 405-419. </w:t>
      </w:r>
    </w:p>
    <w:p w14:paraId="3A854936" w14:textId="77777777" w:rsidR="00A84828" w:rsidRDefault="00A84828" w:rsidP="00A84828">
      <w:pPr>
        <w:spacing w:after="0" w:line="360" w:lineRule="auto"/>
        <w:ind w:left="360"/>
        <w:jc w:val="both"/>
        <w:rPr>
          <w:rFonts w:ascii="Arial" w:hAnsi="Arial" w:cs="Arial"/>
          <w:color w:val="0F0F0F"/>
          <w:kern w:val="0"/>
          <w:sz w:val="20"/>
        </w:rPr>
      </w:pPr>
    </w:p>
    <w:p w14:paraId="0D8D136A" w14:textId="7CAE01B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Thorson, J.T., Shelton, A.O., Ward, E.J. and Skaug, H.J., Geostatistical delta generalized linear mixed models improve precision for estimated abundance indices for West Coast ground fishes, </w:t>
      </w:r>
      <w:r w:rsidRPr="00A84828">
        <w:rPr>
          <w:rFonts w:ascii="Arial" w:hAnsi="Arial" w:cs="Arial"/>
          <w:i/>
          <w:iCs/>
          <w:color w:val="0F0F0F"/>
          <w:kern w:val="0"/>
          <w:sz w:val="20"/>
        </w:rPr>
        <w:t xml:space="preserve">ICES J. Mar. Sci., </w:t>
      </w:r>
      <w:r w:rsidRPr="00A84828">
        <w:rPr>
          <w:rFonts w:ascii="Arial" w:hAnsi="Arial" w:cs="Arial"/>
          <w:color w:val="0F0F0F"/>
          <w:kern w:val="0"/>
          <w:sz w:val="20"/>
        </w:rPr>
        <w:t xml:space="preserve">2015, vol. 72, pp. 1297-1310. </w:t>
      </w:r>
    </w:p>
    <w:p w14:paraId="5DB4FC0E" w14:textId="77777777" w:rsidR="00A84828" w:rsidRDefault="00A84828" w:rsidP="00A84828">
      <w:pPr>
        <w:spacing w:after="0" w:line="360" w:lineRule="auto"/>
        <w:ind w:left="360"/>
        <w:jc w:val="both"/>
        <w:rPr>
          <w:rFonts w:ascii="Arial" w:hAnsi="Arial" w:cs="Arial"/>
          <w:color w:val="0F0F0F"/>
          <w:kern w:val="0"/>
          <w:sz w:val="20"/>
        </w:rPr>
      </w:pPr>
    </w:p>
    <w:p w14:paraId="782E805A" w14:textId="2656743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Volkoff, H. and Rønnestad, I., Effects of temperature on feeding and digestive processes in fish, </w:t>
      </w:r>
      <w:r w:rsidRPr="00A84828">
        <w:rPr>
          <w:rFonts w:ascii="Arial" w:hAnsi="Arial" w:cs="Arial"/>
          <w:i/>
          <w:iCs/>
          <w:color w:val="0F0F0F"/>
          <w:kern w:val="0"/>
          <w:sz w:val="20"/>
        </w:rPr>
        <w:t>Temperature</w:t>
      </w:r>
      <w:r w:rsidRPr="00A84828">
        <w:rPr>
          <w:rFonts w:ascii="Arial" w:hAnsi="Arial" w:cs="Arial"/>
          <w:color w:val="0F0F0F"/>
          <w:kern w:val="0"/>
          <w:sz w:val="20"/>
        </w:rPr>
        <w:t xml:space="preserve">, 2020, vol. 7, pp. 307-320. </w:t>
      </w:r>
    </w:p>
    <w:p w14:paraId="5DE68DCD" w14:textId="77777777" w:rsidR="00A84828" w:rsidRDefault="00A84828" w:rsidP="00A84828">
      <w:pPr>
        <w:spacing w:after="0" w:line="360" w:lineRule="auto"/>
        <w:ind w:left="360"/>
        <w:jc w:val="both"/>
        <w:rPr>
          <w:rFonts w:ascii="Arial" w:hAnsi="Arial" w:cs="Arial"/>
          <w:color w:val="0F0F0F"/>
          <w:kern w:val="0"/>
          <w:sz w:val="20"/>
        </w:rPr>
      </w:pPr>
    </w:p>
    <w:p w14:paraId="2AFEFB67" w14:textId="03368705"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Yin, X., Yang, D., Zhao, L., Zhong, R. and Du, R., Fishery resource evaluation with hydroacoustic and remote sensing in Yangjiang coastal waters in summer, </w:t>
      </w:r>
      <w:r w:rsidRPr="00A84828">
        <w:rPr>
          <w:rFonts w:ascii="Arial" w:hAnsi="Arial" w:cs="Arial"/>
          <w:i/>
          <w:iCs/>
          <w:color w:val="0F0F0F"/>
          <w:kern w:val="0"/>
          <w:sz w:val="20"/>
        </w:rPr>
        <w:t>Remote Sens.,</w:t>
      </w:r>
      <w:r w:rsidRPr="00A84828">
        <w:rPr>
          <w:rFonts w:ascii="Arial" w:hAnsi="Arial" w:cs="Arial"/>
          <w:color w:val="0F0F0F"/>
          <w:kern w:val="0"/>
          <w:sz w:val="20"/>
        </w:rPr>
        <w:t xml:space="preserve"> 2023, vol. 15, pp. 543.</w:t>
      </w:r>
    </w:p>
    <w:p w14:paraId="16EFCB22" w14:textId="77777777" w:rsidR="00A84828" w:rsidRDefault="00A84828" w:rsidP="00A84828">
      <w:pPr>
        <w:spacing w:after="0" w:line="360" w:lineRule="auto"/>
        <w:ind w:left="360"/>
        <w:jc w:val="both"/>
        <w:rPr>
          <w:rFonts w:ascii="Arial" w:hAnsi="Arial" w:cs="Arial"/>
          <w:color w:val="0F0F0F"/>
          <w:kern w:val="0"/>
          <w:sz w:val="20"/>
        </w:rPr>
      </w:pPr>
    </w:p>
    <w:p w14:paraId="12FF57E4" w14:textId="70DADA2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Zhang, X., Li, Z., Li, D. and He, Y., Marine environment distinctions and change the law based on recognition remote sensing technology, </w:t>
      </w:r>
      <w:r w:rsidRPr="00A84828">
        <w:rPr>
          <w:rFonts w:ascii="Arial" w:hAnsi="Arial" w:cs="Arial"/>
          <w:i/>
          <w:iCs/>
          <w:color w:val="0F0F0F"/>
          <w:kern w:val="0"/>
          <w:sz w:val="20"/>
        </w:rPr>
        <w:t>J. Coastal Res.</w:t>
      </w:r>
      <w:r w:rsidRPr="00A84828">
        <w:rPr>
          <w:rFonts w:ascii="Arial" w:hAnsi="Arial" w:cs="Arial"/>
          <w:color w:val="0F0F0F"/>
          <w:kern w:val="0"/>
          <w:sz w:val="20"/>
        </w:rPr>
        <w:t xml:space="preserve">, 2019, vol. 94, pp. 107-111. </w:t>
      </w:r>
      <w:bookmarkStart w:id="10" w:name="_GoBack"/>
      <w:bookmarkEnd w:id="10"/>
    </w:p>
    <w:sectPr w:rsidR="00E22A52" w:rsidRPr="00A8482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arvari" w:date="2026-02-18T17:36:00Z" w:initials="SN">
    <w:p w14:paraId="4A2C7C41" w14:textId="1A62A863" w:rsidR="00953F06" w:rsidRDefault="00953F06">
      <w:pPr>
        <w:pStyle w:val="CommentText"/>
      </w:pPr>
      <w:r>
        <w:rPr>
          <w:rStyle w:val="CommentReference"/>
        </w:rPr>
        <w:annotationRef/>
      </w:r>
      <w:r>
        <w:t>Scientific name in italics</w:t>
      </w:r>
    </w:p>
  </w:comment>
  <w:comment w:id="1" w:author="Sharvari" w:date="2026-02-18T17:37:00Z" w:initials="SN">
    <w:p w14:paraId="55E29E54" w14:textId="6CD5C546" w:rsidR="00953F06" w:rsidRDefault="00953F06">
      <w:pPr>
        <w:pStyle w:val="CommentText"/>
      </w:pPr>
      <w:r>
        <w:rPr>
          <w:rStyle w:val="CommentReference"/>
        </w:rPr>
        <w:annotationRef/>
      </w:r>
      <w:r>
        <w:t>Use full form</w:t>
      </w:r>
    </w:p>
  </w:comment>
  <w:comment w:id="2" w:author="Sharvari" w:date="2026-02-18T17:38:00Z" w:initials="SN">
    <w:p w14:paraId="5FFE063D" w14:textId="7FE7CBDF" w:rsidR="00953F06" w:rsidRDefault="00953F06">
      <w:pPr>
        <w:pStyle w:val="CommentText"/>
      </w:pPr>
      <w:r>
        <w:rPr>
          <w:rStyle w:val="CommentReference"/>
        </w:rPr>
        <w:annotationRef/>
      </w:r>
      <w:r>
        <w:t>Italics</w:t>
      </w:r>
    </w:p>
  </w:comment>
  <w:comment w:id="3" w:author="Sharvari" w:date="2026-02-18T17:40:00Z" w:initials="SN">
    <w:p w14:paraId="7A851A53" w14:textId="439ED3C9" w:rsidR="00953F06" w:rsidRDefault="00953F06">
      <w:pPr>
        <w:pStyle w:val="CommentText"/>
      </w:pPr>
      <w:r>
        <w:rPr>
          <w:rStyle w:val="CommentReference"/>
        </w:rPr>
        <w:annotationRef/>
      </w:r>
      <w:r>
        <w:t>Only seas, not marine seas</w:t>
      </w:r>
    </w:p>
  </w:comment>
  <w:comment w:id="4" w:author="Sharvari" w:date="2026-02-18T17:41:00Z" w:initials="SN">
    <w:p w14:paraId="3F2F8C61" w14:textId="3D48966C" w:rsidR="00953F06" w:rsidRDefault="00953F06">
      <w:pPr>
        <w:pStyle w:val="CommentText"/>
      </w:pPr>
      <w:r>
        <w:rPr>
          <w:rStyle w:val="CommentReference"/>
        </w:rPr>
        <w:annotationRef/>
      </w:r>
      <w:r>
        <w:t>These fishes are commonly known as….</w:t>
      </w:r>
    </w:p>
  </w:comment>
  <w:comment w:id="5" w:author="Sharvari" w:date="2026-02-18T17:42:00Z" w:initials="SN">
    <w:p w14:paraId="24BF8A86" w14:textId="1283C081" w:rsidR="00953F06" w:rsidRDefault="00953F06">
      <w:pPr>
        <w:pStyle w:val="CommentText"/>
      </w:pPr>
      <w:r>
        <w:rPr>
          <w:rStyle w:val="CommentReference"/>
        </w:rPr>
        <w:annotationRef/>
      </w:r>
      <w:r>
        <w:t>It is Mumbai now</w:t>
      </w:r>
    </w:p>
  </w:comment>
  <w:comment w:id="6" w:author="Sharvari" w:date="2026-02-18T17:46:00Z" w:initials="SN">
    <w:p w14:paraId="001F7A15" w14:textId="3A4EE8D0" w:rsidR="006C6A69" w:rsidRDefault="006C6A69">
      <w:pPr>
        <w:pStyle w:val="CommentText"/>
      </w:pPr>
      <w:r>
        <w:rPr>
          <w:rStyle w:val="CommentReference"/>
        </w:rPr>
        <w:annotationRef/>
      </w:r>
      <w:r>
        <w:t>Chlorophyl-a</w:t>
      </w:r>
    </w:p>
  </w:comment>
  <w:comment w:id="7" w:author="Sharvari" w:date="2026-02-18T17:47:00Z" w:initials="SN">
    <w:p w14:paraId="00465187" w14:textId="02E39FA9" w:rsidR="006C6A69" w:rsidRDefault="006C6A69">
      <w:pPr>
        <w:pStyle w:val="CommentText"/>
      </w:pPr>
      <w:r>
        <w:rPr>
          <w:rStyle w:val="CommentReference"/>
        </w:rPr>
        <w:annotationRef/>
      </w:r>
      <w:r>
        <w:t>ICAR-CIFE</w:t>
      </w:r>
    </w:p>
  </w:comment>
  <w:comment w:id="9" w:author="Sharvari" w:date="2026-02-18T17:51:00Z" w:initials="SN">
    <w:p w14:paraId="03691AE9" w14:textId="2D5BFE7D" w:rsidR="006C6A69" w:rsidRDefault="006C6A69">
      <w:pPr>
        <w:pStyle w:val="CommentText"/>
      </w:pPr>
      <w:r>
        <w:rPr>
          <w:rStyle w:val="CommentReference"/>
        </w:rPr>
        <w:annotationRef/>
      </w:r>
      <w: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C7C41" w15:done="0"/>
  <w15:commentEx w15:paraId="55E29E54" w15:done="0"/>
  <w15:commentEx w15:paraId="5FFE063D" w15:done="0"/>
  <w15:commentEx w15:paraId="7A851A53" w15:done="0"/>
  <w15:commentEx w15:paraId="3F2F8C61" w15:done="0"/>
  <w15:commentEx w15:paraId="24BF8A86" w15:done="0"/>
  <w15:commentEx w15:paraId="001F7A15" w15:done="0"/>
  <w15:commentEx w15:paraId="00465187" w15:done="0"/>
  <w15:commentEx w15:paraId="03691A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C7C41" w16cid:durableId="2D407717"/>
  <w16cid:commentId w16cid:paraId="55E29E54" w16cid:durableId="2D40775F"/>
  <w16cid:commentId w16cid:paraId="5FFE063D" w16cid:durableId="2D4077AA"/>
  <w16cid:commentId w16cid:paraId="7A851A53" w16cid:durableId="2D407809"/>
  <w16cid:commentId w16cid:paraId="3F2F8C61" w16cid:durableId="2D40785A"/>
  <w16cid:commentId w16cid:paraId="24BF8A86" w16cid:durableId="2D40789A"/>
  <w16cid:commentId w16cid:paraId="001F7A15" w16cid:durableId="2D407985"/>
  <w16cid:commentId w16cid:paraId="00465187" w16cid:durableId="2D4079C9"/>
  <w16cid:commentId w16cid:paraId="03691AE9" w16cid:durableId="2D407A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98444" w14:textId="77777777" w:rsidR="00F1746D" w:rsidRDefault="00F1746D" w:rsidP="00803DEA">
      <w:pPr>
        <w:spacing w:after="0" w:line="240" w:lineRule="auto"/>
      </w:pPr>
      <w:r>
        <w:separator/>
      </w:r>
    </w:p>
  </w:endnote>
  <w:endnote w:type="continuationSeparator" w:id="0">
    <w:p w14:paraId="5EAB0B17" w14:textId="77777777" w:rsidR="00F1746D" w:rsidRDefault="00F1746D" w:rsidP="0080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D7EC" w14:textId="77777777" w:rsidR="009B2C59" w:rsidRDefault="009B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7ABA" w14:textId="77777777" w:rsidR="009B2C59" w:rsidRDefault="009B2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E5E7" w14:textId="77777777" w:rsidR="009B2C59" w:rsidRDefault="009B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7F845" w14:textId="77777777" w:rsidR="00F1746D" w:rsidRDefault="00F1746D" w:rsidP="00803DEA">
      <w:pPr>
        <w:spacing w:after="0" w:line="240" w:lineRule="auto"/>
      </w:pPr>
      <w:r>
        <w:separator/>
      </w:r>
    </w:p>
  </w:footnote>
  <w:footnote w:type="continuationSeparator" w:id="0">
    <w:p w14:paraId="49182BD9" w14:textId="77777777" w:rsidR="00F1746D" w:rsidRDefault="00F1746D" w:rsidP="0080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0539" w14:textId="4960714A" w:rsidR="009B2C59" w:rsidRDefault="006C6A69">
    <w:pPr>
      <w:pStyle w:val="Header"/>
    </w:pPr>
    <w:r>
      <w:rPr>
        <w:noProof/>
      </w:rPr>
      <mc:AlternateContent>
        <mc:Choice Requires="wps">
          <w:drawing>
            <wp:anchor distT="0" distB="0" distL="114300" distR="114300" simplePos="0" relativeHeight="251661312" behindDoc="1" locked="0" layoutInCell="0" allowOverlap="1" wp14:anchorId="4FA3F35F" wp14:editId="6BDE4741">
              <wp:simplePos x="0" y="0"/>
              <wp:positionH relativeFrom="margin">
                <wp:align>center</wp:align>
              </wp:positionH>
              <wp:positionV relativeFrom="margin">
                <wp:align>center</wp:align>
              </wp:positionV>
              <wp:extent cx="6798310" cy="1282065"/>
              <wp:effectExtent l="0" t="2105025" r="0" b="18611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97C69" w14:textId="77777777" w:rsidR="006C6A69" w:rsidRDefault="006C6A69" w:rsidP="006C6A6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A3F35F" id="_x0000_t202" coordsize="21600,21600" o:spt="202" path="m,l,21600r21600,l21600,xe">
              <v:stroke joinstyle="miter"/>
              <v:path gradientshapeok="t" o:connecttype="rect"/>
            </v:shapetype>
            <v:shape id="WordArt 2" o:spid="_x0000_s1026" type="#_x0000_t202" style="position:absolute;margin-left:0;margin-top:0;width:535.3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U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" o:allowincell="f" filled="f" stroked="f">
              <v:stroke joinstyle="round"/>
              <o:lock v:ext="edit" shapetype="t"/>
              <v:textbox style="mso-fit-shape-to-text:t">
                <w:txbxContent>
                  <w:p w14:paraId="68F97C69" w14:textId="77777777" w:rsidR="006C6A69" w:rsidRDefault="006C6A69" w:rsidP="006C6A6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975C" w14:textId="1D08281C" w:rsidR="009B2C59" w:rsidRDefault="006C6A69">
    <w:pPr>
      <w:pStyle w:val="Header"/>
    </w:pPr>
    <w:r>
      <w:rPr>
        <w:noProof/>
      </w:rPr>
      <mc:AlternateContent>
        <mc:Choice Requires="wps">
          <w:drawing>
            <wp:anchor distT="0" distB="0" distL="114300" distR="114300" simplePos="0" relativeHeight="251663360" behindDoc="1" locked="0" layoutInCell="0" allowOverlap="1" wp14:anchorId="5DD525A4" wp14:editId="2ADA8AB6">
              <wp:simplePos x="0" y="0"/>
              <wp:positionH relativeFrom="margin">
                <wp:align>center</wp:align>
              </wp:positionH>
              <wp:positionV relativeFrom="margin">
                <wp:align>center</wp:align>
              </wp:positionV>
              <wp:extent cx="6798310" cy="1282065"/>
              <wp:effectExtent l="0" t="2105025" r="0" b="18611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66633" w14:textId="77777777" w:rsidR="006C6A69" w:rsidRDefault="006C6A69" w:rsidP="006C6A6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D525A4" id="_x0000_t202" coordsize="21600,21600" o:spt="202" path="m,l,21600r21600,l21600,xe">
              <v:stroke joinstyle="miter"/>
              <v:path gradientshapeok="t" o:connecttype="rect"/>
            </v:shapetype>
            <v:shape id="WordArt 3" o:spid="_x0000_s1027" type="#_x0000_t202" style="position:absolute;margin-left:0;margin-top:0;width:535.3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IVhwIAAAM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" o:allowincell="f" filled="f" stroked="f">
              <v:stroke joinstyle="round"/>
              <o:lock v:ext="edit" shapetype="t"/>
              <v:textbox style="mso-fit-shape-to-text:t">
                <w:txbxContent>
                  <w:p w14:paraId="63666633" w14:textId="77777777" w:rsidR="006C6A69" w:rsidRDefault="006C6A69" w:rsidP="006C6A6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6FBC" w14:textId="2CAA197A" w:rsidR="009B2C59" w:rsidRDefault="00F1746D">
    <w:pPr>
      <w:pStyle w:val="Header"/>
    </w:pPr>
    <w:r>
      <w:rPr>
        <w:noProof/>
      </w:rPr>
      <w:pict w14:anchorId="1E15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336"/>
    <w:multiLevelType w:val="hybridMultilevel"/>
    <w:tmpl w:val="9CC6BF1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D4A72"/>
    <w:multiLevelType w:val="hybridMultilevel"/>
    <w:tmpl w:val="8062C62C"/>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E0E14"/>
    <w:multiLevelType w:val="multilevel"/>
    <w:tmpl w:val="A9C8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A2B6C"/>
    <w:multiLevelType w:val="hybridMultilevel"/>
    <w:tmpl w:val="EC146DA0"/>
    <w:lvl w:ilvl="0" w:tplc="9104DBE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27591A"/>
    <w:multiLevelType w:val="hybridMultilevel"/>
    <w:tmpl w:val="BD9C91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9E22EC"/>
    <w:multiLevelType w:val="hybridMultilevel"/>
    <w:tmpl w:val="BD9C9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vari">
    <w15:presenceInfo w15:providerId="None" w15:userId="Sharv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5C"/>
    <w:rsid w:val="0000440E"/>
    <w:rsid w:val="00022985"/>
    <w:rsid w:val="00032F0A"/>
    <w:rsid w:val="00047C11"/>
    <w:rsid w:val="00051DB5"/>
    <w:rsid w:val="0006012E"/>
    <w:rsid w:val="000603C6"/>
    <w:rsid w:val="00064C70"/>
    <w:rsid w:val="00067D14"/>
    <w:rsid w:val="00080D55"/>
    <w:rsid w:val="00080FB9"/>
    <w:rsid w:val="00081107"/>
    <w:rsid w:val="0009063F"/>
    <w:rsid w:val="000922A9"/>
    <w:rsid w:val="00094525"/>
    <w:rsid w:val="000A2C31"/>
    <w:rsid w:val="000A2CD0"/>
    <w:rsid w:val="000A4454"/>
    <w:rsid w:val="000C1302"/>
    <w:rsid w:val="000C2D85"/>
    <w:rsid w:val="000C707B"/>
    <w:rsid w:val="000D709B"/>
    <w:rsid w:val="000E2402"/>
    <w:rsid w:val="000F4110"/>
    <w:rsid w:val="000F4CCF"/>
    <w:rsid w:val="000F573B"/>
    <w:rsid w:val="000F738D"/>
    <w:rsid w:val="001005FB"/>
    <w:rsid w:val="00114F44"/>
    <w:rsid w:val="00137650"/>
    <w:rsid w:val="00141EB6"/>
    <w:rsid w:val="001536BE"/>
    <w:rsid w:val="00164873"/>
    <w:rsid w:val="001747EA"/>
    <w:rsid w:val="001813E9"/>
    <w:rsid w:val="00183FB2"/>
    <w:rsid w:val="0018691F"/>
    <w:rsid w:val="00187A74"/>
    <w:rsid w:val="00192E91"/>
    <w:rsid w:val="00192F7D"/>
    <w:rsid w:val="0019392D"/>
    <w:rsid w:val="001A35F2"/>
    <w:rsid w:val="001A3C74"/>
    <w:rsid w:val="001C6FBA"/>
    <w:rsid w:val="001C71EC"/>
    <w:rsid w:val="001D547E"/>
    <w:rsid w:val="001E61D2"/>
    <w:rsid w:val="00212479"/>
    <w:rsid w:val="0021458F"/>
    <w:rsid w:val="00216A99"/>
    <w:rsid w:val="00231088"/>
    <w:rsid w:val="002317EA"/>
    <w:rsid w:val="002400AC"/>
    <w:rsid w:val="0024149A"/>
    <w:rsid w:val="002430B7"/>
    <w:rsid w:val="0024541E"/>
    <w:rsid w:val="002468AF"/>
    <w:rsid w:val="00262069"/>
    <w:rsid w:val="002632CE"/>
    <w:rsid w:val="002650BA"/>
    <w:rsid w:val="00266B07"/>
    <w:rsid w:val="00270C00"/>
    <w:rsid w:val="00274904"/>
    <w:rsid w:val="002804A4"/>
    <w:rsid w:val="0028545F"/>
    <w:rsid w:val="00291072"/>
    <w:rsid w:val="00295474"/>
    <w:rsid w:val="00295E25"/>
    <w:rsid w:val="00296512"/>
    <w:rsid w:val="002A192B"/>
    <w:rsid w:val="002A2A60"/>
    <w:rsid w:val="002A5BDA"/>
    <w:rsid w:val="002B1AD9"/>
    <w:rsid w:val="002B1D07"/>
    <w:rsid w:val="002B3201"/>
    <w:rsid w:val="002B743D"/>
    <w:rsid w:val="002C28BF"/>
    <w:rsid w:val="002D104F"/>
    <w:rsid w:val="002D4B20"/>
    <w:rsid w:val="002D5F2A"/>
    <w:rsid w:val="002E0E89"/>
    <w:rsid w:val="002F3E2B"/>
    <w:rsid w:val="00300E33"/>
    <w:rsid w:val="0031127A"/>
    <w:rsid w:val="00314796"/>
    <w:rsid w:val="0031506D"/>
    <w:rsid w:val="0032297A"/>
    <w:rsid w:val="00323576"/>
    <w:rsid w:val="0033508B"/>
    <w:rsid w:val="00336E64"/>
    <w:rsid w:val="00345D2D"/>
    <w:rsid w:val="003504D0"/>
    <w:rsid w:val="00351790"/>
    <w:rsid w:val="003666B6"/>
    <w:rsid w:val="00375270"/>
    <w:rsid w:val="00377D2B"/>
    <w:rsid w:val="0038242F"/>
    <w:rsid w:val="003853FD"/>
    <w:rsid w:val="0038726F"/>
    <w:rsid w:val="003903BC"/>
    <w:rsid w:val="00391BE3"/>
    <w:rsid w:val="003B0072"/>
    <w:rsid w:val="003B178F"/>
    <w:rsid w:val="003C3028"/>
    <w:rsid w:val="003D153D"/>
    <w:rsid w:val="003F3F96"/>
    <w:rsid w:val="003F4618"/>
    <w:rsid w:val="003F645D"/>
    <w:rsid w:val="0040263C"/>
    <w:rsid w:val="00403030"/>
    <w:rsid w:val="00427E52"/>
    <w:rsid w:val="0043086D"/>
    <w:rsid w:val="00431A43"/>
    <w:rsid w:val="00431BDF"/>
    <w:rsid w:val="004321C0"/>
    <w:rsid w:val="0043419D"/>
    <w:rsid w:val="00441ED3"/>
    <w:rsid w:val="00450A33"/>
    <w:rsid w:val="00450B75"/>
    <w:rsid w:val="004619FD"/>
    <w:rsid w:val="00462264"/>
    <w:rsid w:val="00462AEF"/>
    <w:rsid w:val="00465DDD"/>
    <w:rsid w:val="00475FEB"/>
    <w:rsid w:val="0048088C"/>
    <w:rsid w:val="00480B43"/>
    <w:rsid w:val="00480F9C"/>
    <w:rsid w:val="00483BCF"/>
    <w:rsid w:val="00485BCF"/>
    <w:rsid w:val="00485E15"/>
    <w:rsid w:val="00491419"/>
    <w:rsid w:val="004938C4"/>
    <w:rsid w:val="004A398D"/>
    <w:rsid w:val="004B0409"/>
    <w:rsid w:val="004B5BC8"/>
    <w:rsid w:val="004C0085"/>
    <w:rsid w:val="004C1830"/>
    <w:rsid w:val="004D012B"/>
    <w:rsid w:val="004E3E20"/>
    <w:rsid w:val="004F2496"/>
    <w:rsid w:val="004F2A7D"/>
    <w:rsid w:val="00520799"/>
    <w:rsid w:val="005424B3"/>
    <w:rsid w:val="00543E0E"/>
    <w:rsid w:val="0054600D"/>
    <w:rsid w:val="005472C5"/>
    <w:rsid w:val="005520A3"/>
    <w:rsid w:val="0056075B"/>
    <w:rsid w:val="00560BA9"/>
    <w:rsid w:val="005632DF"/>
    <w:rsid w:val="005664E6"/>
    <w:rsid w:val="00580F2C"/>
    <w:rsid w:val="005837BB"/>
    <w:rsid w:val="0058711A"/>
    <w:rsid w:val="005958DF"/>
    <w:rsid w:val="005A1355"/>
    <w:rsid w:val="005A23CC"/>
    <w:rsid w:val="005A3283"/>
    <w:rsid w:val="005B7699"/>
    <w:rsid w:val="005C251C"/>
    <w:rsid w:val="005C2909"/>
    <w:rsid w:val="005C519B"/>
    <w:rsid w:val="005D758E"/>
    <w:rsid w:val="005E013E"/>
    <w:rsid w:val="005F49CF"/>
    <w:rsid w:val="005F55A2"/>
    <w:rsid w:val="005F583F"/>
    <w:rsid w:val="005F6040"/>
    <w:rsid w:val="00605625"/>
    <w:rsid w:val="00614033"/>
    <w:rsid w:val="0063219D"/>
    <w:rsid w:val="00633578"/>
    <w:rsid w:val="00640B12"/>
    <w:rsid w:val="00641F7E"/>
    <w:rsid w:val="00650EFE"/>
    <w:rsid w:val="0065738B"/>
    <w:rsid w:val="00657F15"/>
    <w:rsid w:val="0066178C"/>
    <w:rsid w:val="00665732"/>
    <w:rsid w:val="0066684F"/>
    <w:rsid w:val="00670C68"/>
    <w:rsid w:val="006730B2"/>
    <w:rsid w:val="00674B7C"/>
    <w:rsid w:val="0067553D"/>
    <w:rsid w:val="0068153E"/>
    <w:rsid w:val="006823B3"/>
    <w:rsid w:val="006935FA"/>
    <w:rsid w:val="00694120"/>
    <w:rsid w:val="006966C8"/>
    <w:rsid w:val="00696A67"/>
    <w:rsid w:val="006A2473"/>
    <w:rsid w:val="006A3254"/>
    <w:rsid w:val="006A674B"/>
    <w:rsid w:val="006B6747"/>
    <w:rsid w:val="006B7584"/>
    <w:rsid w:val="006C4B74"/>
    <w:rsid w:val="006C6A69"/>
    <w:rsid w:val="006C6AE4"/>
    <w:rsid w:val="006C7130"/>
    <w:rsid w:val="006E3B7F"/>
    <w:rsid w:val="006F1683"/>
    <w:rsid w:val="006F364D"/>
    <w:rsid w:val="006F4A72"/>
    <w:rsid w:val="006F64CE"/>
    <w:rsid w:val="006F67F3"/>
    <w:rsid w:val="00700101"/>
    <w:rsid w:val="007026DC"/>
    <w:rsid w:val="00705B3E"/>
    <w:rsid w:val="00711126"/>
    <w:rsid w:val="007238F3"/>
    <w:rsid w:val="00727ED3"/>
    <w:rsid w:val="00734E7D"/>
    <w:rsid w:val="0073687A"/>
    <w:rsid w:val="00737999"/>
    <w:rsid w:val="00750ADC"/>
    <w:rsid w:val="007621E0"/>
    <w:rsid w:val="00785F53"/>
    <w:rsid w:val="00795114"/>
    <w:rsid w:val="007958B0"/>
    <w:rsid w:val="007A5A82"/>
    <w:rsid w:val="007B011C"/>
    <w:rsid w:val="007B0904"/>
    <w:rsid w:val="007B2317"/>
    <w:rsid w:val="007C1CBC"/>
    <w:rsid w:val="007C2CF0"/>
    <w:rsid w:val="007C3587"/>
    <w:rsid w:val="007C39D3"/>
    <w:rsid w:val="007C5A39"/>
    <w:rsid w:val="007D4150"/>
    <w:rsid w:val="007E6864"/>
    <w:rsid w:val="007F3454"/>
    <w:rsid w:val="007F4F82"/>
    <w:rsid w:val="007F520E"/>
    <w:rsid w:val="007F5468"/>
    <w:rsid w:val="008020B1"/>
    <w:rsid w:val="0080237C"/>
    <w:rsid w:val="00803DEA"/>
    <w:rsid w:val="00805B8C"/>
    <w:rsid w:val="00812ACC"/>
    <w:rsid w:val="00813792"/>
    <w:rsid w:val="00817667"/>
    <w:rsid w:val="00836BFF"/>
    <w:rsid w:val="00836C43"/>
    <w:rsid w:val="0085388C"/>
    <w:rsid w:val="00860394"/>
    <w:rsid w:val="008632AD"/>
    <w:rsid w:val="008743BC"/>
    <w:rsid w:val="0087638A"/>
    <w:rsid w:val="00877BE3"/>
    <w:rsid w:val="0088514C"/>
    <w:rsid w:val="00886AA3"/>
    <w:rsid w:val="0088715B"/>
    <w:rsid w:val="0089431B"/>
    <w:rsid w:val="008A2217"/>
    <w:rsid w:val="008C3699"/>
    <w:rsid w:val="008C6C63"/>
    <w:rsid w:val="008D084A"/>
    <w:rsid w:val="008D704D"/>
    <w:rsid w:val="008E172B"/>
    <w:rsid w:val="008E2142"/>
    <w:rsid w:val="008F414A"/>
    <w:rsid w:val="008F7B91"/>
    <w:rsid w:val="009005FD"/>
    <w:rsid w:val="0091218B"/>
    <w:rsid w:val="00922CE8"/>
    <w:rsid w:val="00927716"/>
    <w:rsid w:val="00937AC2"/>
    <w:rsid w:val="009477E5"/>
    <w:rsid w:val="00951EF5"/>
    <w:rsid w:val="00953F06"/>
    <w:rsid w:val="00957C81"/>
    <w:rsid w:val="00965E8A"/>
    <w:rsid w:val="00967589"/>
    <w:rsid w:val="009711BC"/>
    <w:rsid w:val="009817B0"/>
    <w:rsid w:val="00984814"/>
    <w:rsid w:val="00987DE4"/>
    <w:rsid w:val="00996D49"/>
    <w:rsid w:val="0099774A"/>
    <w:rsid w:val="009A7803"/>
    <w:rsid w:val="009B1B17"/>
    <w:rsid w:val="009B26D3"/>
    <w:rsid w:val="009B2C59"/>
    <w:rsid w:val="009B633B"/>
    <w:rsid w:val="009D5E56"/>
    <w:rsid w:val="009D7C9D"/>
    <w:rsid w:val="009F253B"/>
    <w:rsid w:val="00A1056A"/>
    <w:rsid w:val="00A176B3"/>
    <w:rsid w:val="00A2322A"/>
    <w:rsid w:val="00A24A3A"/>
    <w:rsid w:val="00A35BAD"/>
    <w:rsid w:val="00A41ED0"/>
    <w:rsid w:val="00A5176D"/>
    <w:rsid w:val="00A53DE5"/>
    <w:rsid w:val="00A55780"/>
    <w:rsid w:val="00A5787F"/>
    <w:rsid w:val="00A60D5D"/>
    <w:rsid w:val="00A63E7F"/>
    <w:rsid w:val="00A66BA5"/>
    <w:rsid w:val="00A802A9"/>
    <w:rsid w:val="00A84828"/>
    <w:rsid w:val="00A90815"/>
    <w:rsid w:val="00AA077A"/>
    <w:rsid w:val="00AB05BD"/>
    <w:rsid w:val="00AB2DBA"/>
    <w:rsid w:val="00AB4850"/>
    <w:rsid w:val="00AC2857"/>
    <w:rsid w:val="00AD265B"/>
    <w:rsid w:val="00AD3FAA"/>
    <w:rsid w:val="00AD54F3"/>
    <w:rsid w:val="00AE3C64"/>
    <w:rsid w:val="00AF785C"/>
    <w:rsid w:val="00B00E5F"/>
    <w:rsid w:val="00B04CCF"/>
    <w:rsid w:val="00B07988"/>
    <w:rsid w:val="00B126BC"/>
    <w:rsid w:val="00B12EDB"/>
    <w:rsid w:val="00B204BA"/>
    <w:rsid w:val="00B241E2"/>
    <w:rsid w:val="00B2651F"/>
    <w:rsid w:val="00B42562"/>
    <w:rsid w:val="00B45947"/>
    <w:rsid w:val="00B53C6C"/>
    <w:rsid w:val="00B57E34"/>
    <w:rsid w:val="00B606C2"/>
    <w:rsid w:val="00B63669"/>
    <w:rsid w:val="00B64BD0"/>
    <w:rsid w:val="00B71A2F"/>
    <w:rsid w:val="00B720A8"/>
    <w:rsid w:val="00B816D2"/>
    <w:rsid w:val="00B84C84"/>
    <w:rsid w:val="00B851A0"/>
    <w:rsid w:val="00B858CC"/>
    <w:rsid w:val="00B871F9"/>
    <w:rsid w:val="00B90EB7"/>
    <w:rsid w:val="00B92F67"/>
    <w:rsid w:val="00B96501"/>
    <w:rsid w:val="00B9728E"/>
    <w:rsid w:val="00B9741F"/>
    <w:rsid w:val="00BA078C"/>
    <w:rsid w:val="00BA3F4E"/>
    <w:rsid w:val="00BC0E76"/>
    <w:rsid w:val="00BC23AB"/>
    <w:rsid w:val="00BC4550"/>
    <w:rsid w:val="00BD0A3E"/>
    <w:rsid w:val="00BD122E"/>
    <w:rsid w:val="00BD17AE"/>
    <w:rsid w:val="00BD5448"/>
    <w:rsid w:val="00BD6DB8"/>
    <w:rsid w:val="00BE0E5C"/>
    <w:rsid w:val="00BF51FD"/>
    <w:rsid w:val="00C003B7"/>
    <w:rsid w:val="00C0545C"/>
    <w:rsid w:val="00C2109D"/>
    <w:rsid w:val="00C27792"/>
    <w:rsid w:val="00C4600D"/>
    <w:rsid w:val="00C64A61"/>
    <w:rsid w:val="00C76E13"/>
    <w:rsid w:val="00C8682C"/>
    <w:rsid w:val="00C914D0"/>
    <w:rsid w:val="00C927E7"/>
    <w:rsid w:val="00C93D2C"/>
    <w:rsid w:val="00CA2ADC"/>
    <w:rsid w:val="00CA4742"/>
    <w:rsid w:val="00CA4A27"/>
    <w:rsid w:val="00CB70D2"/>
    <w:rsid w:val="00CC4428"/>
    <w:rsid w:val="00CD6DF6"/>
    <w:rsid w:val="00CE154B"/>
    <w:rsid w:val="00CE15ED"/>
    <w:rsid w:val="00CE3F79"/>
    <w:rsid w:val="00CE6758"/>
    <w:rsid w:val="00CE6D2C"/>
    <w:rsid w:val="00CF0C04"/>
    <w:rsid w:val="00CF3279"/>
    <w:rsid w:val="00D06EE2"/>
    <w:rsid w:val="00D161B7"/>
    <w:rsid w:val="00D22DC0"/>
    <w:rsid w:val="00D30E8A"/>
    <w:rsid w:val="00D35494"/>
    <w:rsid w:val="00D363E0"/>
    <w:rsid w:val="00D42197"/>
    <w:rsid w:val="00D51F95"/>
    <w:rsid w:val="00D56CBB"/>
    <w:rsid w:val="00D60CE3"/>
    <w:rsid w:val="00D611AD"/>
    <w:rsid w:val="00D617AB"/>
    <w:rsid w:val="00D66062"/>
    <w:rsid w:val="00D71F3C"/>
    <w:rsid w:val="00D82971"/>
    <w:rsid w:val="00D8712C"/>
    <w:rsid w:val="00D94CD0"/>
    <w:rsid w:val="00DA010A"/>
    <w:rsid w:val="00DA2011"/>
    <w:rsid w:val="00DA3A4F"/>
    <w:rsid w:val="00DA4070"/>
    <w:rsid w:val="00DA7941"/>
    <w:rsid w:val="00DB4520"/>
    <w:rsid w:val="00DD21E8"/>
    <w:rsid w:val="00DD2DE5"/>
    <w:rsid w:val="00DD73D5"/>
    <w:rsid w:val="00DF7A9A"/>
    <w:rsid w:val="00E069A5"/>
    <w:rsid w:val="00E1135D"/>
    <w:rsid w:val="00E15D47"/>
    <w:rsid w:val="00E206AB"/>
    <w:rsid w:val="00E20A60"/>
    <w:rsid w:val="00E22A52"/>
    <w:rsid w:val="00E24FDB"/>
    <w:rsid w:val="00E250A1"/>
    <w:rsid w:val="00E35F4A"/>
    <w:rsid w:val="00E53C32"/>
    <w:rsid w:val="00E53D5D"/>
    <w:rsid w:val="00E552A2"/>
    <w:rsid w:val="00E55703"/>
    <w:rsid w:val="00E63851"/>
    <w:rsid w:val="00E63BDB"/>
    <w:rsid w:val="00E6710B"/>
    <w:rsid w:val="00E73092"/>
    <w:rsid w:val="00E74381"/>
    <w:rsid w:val="00E7499E"/>
    <w:rsid w:val="00E74EF0"/>
    <w:rsid w:val="00E81BA1"/>
    <w:rsid w:val="00E83BD1"/>
    <w:rsid w:val="00E860ED"/>
    <w:rsid w:val="00EA2013"/>
    <w:rsid w:val="00EA5E7F"/>
    <w:rsid w:val="00EA604C"/>
    <w:rsid w:val="00EB4EFF"/>
    <w:rsid w:val="00EB78B4"/>
    <w:rsid w:val="00EC5E88"/>
    <w:rsid w:val="00ED1BC6"/>
    <w:rsid w:val="00EE06CE"/>
    <w:rsid w:val="00EE555E"/>
    <w:rsid w:val="00EE72D7"/>
    <w:rsid w:val="00EE76C8"/>
    <w:rsid w:val="00EF0A22"/>
    <w:rsid w:val="00EF2778"/>
    <w:rsid w:val="00F07FDE"/>
    <w:rsid w:val="00F16092"/>
    <w:rsid w:val="00F17382"/>
    <w:rsid w:val="00F1746D"/>
    <w:rsid w:val="00F235FE"/>
    <w:rsid w:val="00F23D9A"/>
    <w:rsid w:val="00F23FE7"/>
    <w:rsid w:val="00F267D3"/>
    <w:rsid w:val="00F371EB"/>
    <w:rsid w:val="00F40782"/>
    <w:rsid w:val="00F43C86"/>
    <w:rsid w:val="00F453A6"/>
    <w:rsid w:val="00F45B0C"/>
    <w:rsid w:val="00F45ED1"/>
    <w:rsid w:val="00F47DB0"/>
    <w:rsid w:val="00F60E73"/>
    <w:rsid w:val="00F63857"/>
    <w:rsid w:val="00F63927"/>
    <w:rsid w:val="00F66667"/>
    <w:rsid w:val="00F76817"/>
    <w:rsid w:val="00F76F03"/>
    <w:rsid w:val="00F8474B"/>
    <w:rsid w:val="00F90B66"/>
    <w:rsid w:val="00F94CF1"/>
    <w:rsid w:val="00F94E52"/>
    <w:rsid w:val="00FA07A1"/>
    <w:rsid w:val="00FA0BA6"/>
    <w:rsid w:val="00FA5E08"/>
    <w:rsid w:val="00FA6925"/>
    <w:rsid w:val="00FB166C"/>
    <w:rsid w:val="00FC58F9"/>
    <w:rsid w:val="00FD6C2F"/>
    <w:rsid w:val="00FF5027"/>
    <w:rsid w:val="00FF58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431FF3"/>
  <w15:docId w15:val="{6215B4C1-D0E7-44E9-92A5-3DBC7341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C68"/>
    <w:pPr>
      <w:autoSpaceDE w:val="0"/>
      <w:autoSpaceDN w:val="0"/>
      <w:adjustRightInd w:val="0"/>
      <w:spacing w:after="0" w:line="240" w:lineRule="auto"/>
    </w:pPr>
    <w:rPr>
      <w:rFonts w:ascii="Cambria" w:hAnsi="Cambria" w:cs="Cambria"/>
      <w:color w:val="000000"/>
      <w:kern w:val="0"/>
      <w:sz w:val="24"/>
      <w:szCs w:val="24"/>
    </w:rPr>
  </w:style>
  <w:style w:type="character" w:styleId="CommentReference">
    <w:name w:val="annotation reference"/>
    <w:basedOn w:val="DefaultParagraphFont"/>
    <w:uiPriority w:val="99"/>
    <w:semiHidden/>
    <w:unhideWhenUsed/>
    <w:rsid w:val="001005FB"/>
    <w:rPr>
      <w:sz w:val="16"/>
      <w:szCs w:val="16"/>
    </w:rPr>
  </w:style>
  <w:style w:type="paragraph" w:styleId="CommentText">
    <w:name w:val="annotation text"/>
    <w:basedOn w:val="Normal"/>
    <w:link w:val="CommentTextChar"/>
    <w:uiPriority w:val="99"/>
    <w:unhideWhenUsed/>
    <w:rsid w:val="001005FB"/>
    <w:pPr>
      <w:spacing w:line="240" w:lineRule="auto"/>
    </w:pPr>
    <w:rPr>
      <w:sz w:val="20"/>
      <w:szCs w:val="18"/>
    </w:rPr>
  </w:style>
  <w:style w:type="character" w:customStyle="1" w:styleId="CommentTextChar">
    <w:name w:val="Comment Text Char"/>
    <w:basedOn w:val="DefaultParagraphFont"/>
    <w:link w:val="CommentText"/>
    <w:uiPriority w:val="99"/>
    <w:rsid w:val="001005FB"/>
    <w:rPr>
      <w:sz w:val="20"/>
      <w:szCs w:val="18"/>
    </w:rPr>
  </w:style>
  <w:style w:type="paragraph" w:styleId="CommentSubject">
    <w:name w:val="annotation subject"/>
    <w:basedOn w:val="CommentText"/>
    <w:next w:val="CommentText"/>
    <w:link w:val="CommentSubjectChar"/>
    <w:uiPriority w:val="99"/>
    <w:semiHidden/>
    <w:unhideWhenUsed/>
    <w:rsid w:val="001005FB"/>
    <w:rPr>
      <w:b/>
      <w:bCs/>
    </w:rPr>
  </w:style>
  <w:style w:type="character" w:customStyle="1" w:styleId="CommentSubjectChar">
    <w:name w:val="Comment Subject Char"/>
    <w:basedOn w:val="CommentTextChar"/>
    <w:link w:val="CommentSubject"/>
    <w:uiPriority w:val="99"/>
    <w:semiHidden/>
    <w:rsid w:val="001005FB"/>
    <w:rPr>
      <w:b/>
      <w:bCs/>
      <w:sz w:val="20"/>
      <w:szCs w:val="18"/>
    </w:rPr>
  </w:style>
  <w:style w:type="character" w:styleId="Hyperlink">
    <w:name w:val="Hyperlink"/>
    <w:basedOn w:val="DefaultParagraphFont"/>
    <w:uiPriority w:val="99"/>
    <w:unhideWhenUsed/>
    <w:rsid w:val="009817B0"/>
    <w:rPr>
      <w:color w:val="0563C1" w:themeColor="hyperlink"/>
      <w:u w:val="single"/>
    </w:rPr>
  </w:style>
  <w:style w:type="character" w:styleId="UnresolvedMention">
    <w:name w:val="Unresolved Mention"/>
    <w:basedOn w:val="DefaultParagraphFont"/>
    <w:uiPriority w:val="99"/>
    <w:semiHidden/>
    <w:unhideWhenUsed/>
    <w:rsid w:val="009817B0"/>
    <w:rPr>
      <w:color w:val="605E5C"/>
      <w:shd w:val="clear" w:color="auto" w:fill="E1DFDD"/>
    </w:rPr>
  </w:style>
  <w:style w:type="table" w:styleId="TableGrid">
    <w:name w:val="Table Grid"/>
    <w:basedOn w:val="TableNormal"/>
    <w:uiPriority w:val="39"/>
    <w:rsid w:val="00E7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00D"/>
    <w:pPr>
      <w:ind w:left="720"/>
      <w:contextualSpacing/>
    </w:pPr>
  </w:style>
  <w:style w:type="paragraph" w:styleId="Header">
    <w:name w:val="header"/>
    <w:basedOn w:val="Normal"/>
    <w:link w:val="HeaderChar"/>
    <w:uiPriority w:val="99"/>
    <w:unhideWhenUsed/>
    <w:rsid w:val="0080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DEA"/>
  </w:style>
  <w:style w:type="paragraph" w:styleId="Footer">
    <w:name w:val="footer"/>
    <w:basedOn w:val="Normal"/>
    <w:link w:val="FooterChar"/>
    <w:uiPriority w:val="99"/>
    <w:unhideWhenUsed/>
    <w:rsid w:val="0080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DEA"/>
  </w:style>
  <w:style w:type="paragraph" w:styleId="BalloonText">
    <w:name w:val="Balloon Text"/>
    <w:basedOn w:val="Normal"/>
    <w:link w:val="BalloonTextChar"/>
    <w:uiPriority w:val="99"/>
    <w:semiHidden/>
    <w:unhideWhenUsed/>
    <w:rsid w:val="00953F0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53F06"/>
    <w:rPr>
      <w:rFonts w:ascii="Segoe UI" w:hAnsi="Segoe UI" w:cs="Mangal"/>
      <w:sz w:val="18"/>
      <w:szCs w:val="16"/>
    </w:rPr>
  </w:style>
  <w:style w:type="paragraph" w:styleId="NormalWeb">
    <w:name w:val="Normal (Web)"/>
    <w:basedOn w:val="Normal"/>
    <w:uiPriority w:val="99"/>
    <w:semiHidden/>
    <w:unhideWhenUsed/>
    <w:rsid w:val="006C6A69"/>
    <w:pPr>
      <w:spacing w:before="100" w:beforeAutospacing="1" w:after="100" w:afterAutospacing="1" w:line="240" w:lineRule="auto"/>
    </w:pPr>
    <w:rPr>
      <w:rFonts w:ascii="Times New Roman" w:eastAsiaTheme="minorEastAsia" w:hAnsi="Times New Roman" w:cs="Times New Roman"/>
      <w:kern w:val="0"/>
      <w:sz w:val="24"/>
      <w:szCs w:val="24"/>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0801">
      <w:bodyDiv w:val="1"/>
      <w:marLeft w:val="0"/>
      <w:marRight w:val="0"/>
      <w:marTop w:val="0"/>
      <w:marBottom w:val="0"/>
      <w:divBdr>
        <w:top w:val="none" w:sz="0" w:space="0" w:color="auto"/>
        <w:left w:val="none" w:sz="0" w:space="0" w:color="auto"/>
        <w:bottom w:val="none" w:sz="0" w:space="0" w:color="auto"/>
        <w:right w:val="none" w:sz="0" w:space="0" w:color="auto"/>
      </w:divBdr>
    </w:div>
    <w:div w:id="284778263">
      <w:bodyDiv w:val="1"/>
      <w:marLeft w:val="0"/>
      <w:marRight w:val="0"/>
      <w:marTop w:val="0"/>
      <w:marBottom w:val="0"/>
      <w:divBdr>
        <w:top w:val="none" w:sz="0" w:space="0" w:color="auto"/>
        <w:left w:val="none" w:sz="0" w:space="0" w:color="auto"/>
        <w:bottom w:val="none" w:sz="0" w:space="0" w:color="auto"/>
        <w:right w:val="none" w:sz="0" w:space="0" w:color="auto"/>
      </w:divBdr>
    </w:div>
    <w:div w:id="432289192">
      <w:bodyDiv w:val="1"/>
      <w:marLeft w:val="0"/>
      <w:marRight w:val="0"/>
      <w:marTop w:val="0"/>
      <w:marBottom w:val="0"/>
      <w:divBdr>
        <w:top w:val="none" w:sz="0" w:space="0" w:color="auto"/>
        <w:left w:val="none" w:sz="0" w:space="0" w:color="auto"/>
        <w:bottom w:val="none" w:sz="0" w:space="0" w:color="auto"/>
        <w:right w:val="none" w:sz="0" w:space="0" w:color="auto"/>
      </w:divBdr>
    </w:div>
    <w:div w:id="987708347">
      <w:bodyDiv w:val="1"/>
      <w:marLeft w:val="0"/>
      <w:marRight w:val="0"/>
      <w:marTop w:val="0"/>
      <w:marBottom w:val="0"/>
      <w:divBdr>
        <w:top w:val="none" w:sz="0" w:space="0" w:color="auto"/>
        <w:left w:val="none" w:sz="0" w:space="0" w:color="auto"/>
        <w:bottom w:val="none" w:sz="0" w:space="0" w:color="auto"/>
        <w:right w:val="none" w:sz="0" w:space="0" w:color="auto"/>
      </w:divBdr>
    </w:div>
    <w:div w:id="1045370475">
      <w:bodyDiv w:val="1"/>
      <w:marLeft w:val="0"/>
      <w:marRight w:val="0"/>
      <w:marTop w:val="0"/>
      <w:marBottom w:val="0"/>
      <w:divBdr>
        <w:top w:val="none" w:sz="0" w:space="0" w:color="auto"/>
        <w:left w:val="none" w:sz="0" w:space="0" w:color="auto"/>
        <w:bottom w:val="none" w:sz="0" w:space="0" w:color="auto"/>
        <w:right w:val="none" w:sz="0" w:space="0" w:color="auto"/>
      </w:divBdr>
    </w:div>
    <w:div w:id="1111323287">
      <w:bodyDiv w:val="1"/>
      <w:marLeft w:val="0"/>
      <w:marRight w:val="0"/>
      <w:marTop w:val="0"/>
      <w:marBottom w:val="0"/>
      <w:divBdr>
        <w:top w:val="none" w:sz="0" w:space="0" w:color="auto"/>
        <w:left w:val="none" w:sz="0" w:space="0" w:color="auto"/>
        <w:bottom w:val="none" w:sz="0" w:space="0" w:color="auto"/>
        <w:right w:val="none" w:sz="0" w:space="0" w:color="auto"/>
      </w:divBdr>
    </w:div>
    <w:div w:id="1283999665">
      <w:bodyDiv w:val="1"/>
      <w:marLeft w:val="0"/>
      <w:marRight w:val="0"/>
      <w:marTop w:val="0"/>
      <w:marBottom w:val="0"/>
      <w:divBdr>
        <w:top w:val="none" w:sz="0" w:space="0" w:color="auto"/>
        <w:left w:val="none" w:sz="0" w:space="0" w:color="auto"/>
        <w:bottom w:val="none" w:sz="0" w:space="0" w:color="auto"/>
        <w:right w:val="none" w:sz="0" w:space="0" w:color="auto"/>
      </w:divBdr>
    </w:div>
    <w:div w:id="1334338423">
      <w:bodyDiv w:val="1"/>
      <w:marLeft w:val="0"/>
      <w:marRight w:val="0"/>
      <w:marTop w:val="0"/>
      <w:marBottom w:val="0"/>
      <w:divBdr>
        <w:top w:val="none" w:sz="0" w:space="0" w:color="auto"/>
        <w:left w:val="none" w:sz="0" w:space="0" w:color="auto"/>
        <w:bottom w:val="none" w:sz="0" w:space="0" w:color="auto"/>
        <w:right w:val="none" w:sz="0" w:space="0" w:color="auto"/>
      </w:divBdr>
    </w:div>
    <w:div w:id="1538817037">
      <w:bodyDiv w:val="1"/>
      <w:marLeft w:val="0"/>
      <w:marRight w:val="0"/>
      <w:marTop w:val="0"/>
      <w:marBottom w:val="0"/>
      <w:divBdr>
        <w:top w:val="none" w:sz="0" w:space="0" w:color="auto"/>
        <w:left w:val="none" w:sz="0" w:space="0" w:color="auto"/>
        <w:bottom w:val="none" w:sz="0" w:space="0" w:color="auto"/>
        <w:right w:val="none" w:sz="0" w:space="0" w:color="auto"/>
      </w:divBdr>
    </w:div>
    <w:div w:id="1612087245">
      <w:bodyDiv w:val="1"/>
      <w:marLeft w:val="0"/>
      <w:marRight w:val="0"/>
      <w:marTop w:val="0"/>
      <w:marBottom w:val="0"/>
      <w:divBdr>
        <w:top w:val="none" w:sz="0" w:space="0" w:color="auto"/>
        <w:left w:val="none" w:sz="0" w:space="0" w:color="auto"/>
        <w:bottom w:val="none" w:sz="0" w:space="0" w:color="auto"/>
        <w:right w:val="none" w:sz="0" w:space="0" w:color="auto"/>
      </w:divBdr>
    </w:div>
    <w:div w:id="1649167169">
      <w:bodyDiv w:val="1"/>
      <w:marLeft w:val="0"/>
      <w:marRight w:val="0"/>
      <w:marTop w:val="0"/>
      <w:marBottom w:val="0"/>
      <w:divBdr>
        <w:top w:val="none" w:sz="0" w:space="0" w:color="auto"/>
        <w:left w:val="none" w:sz="0" w:space="0" w:color="auto"/>
        <w:bottom w:val="none" w:sz="0" w:space="0" w:color="auto"/>
        <w:right w:val="none" w:sz="0" w:space="0" w:color="auto"/>
      </w:divBdr>
    </w:div>
    <w:div w:id="1689984432">
      <w:bodyDiv w:val="1"/>
      <w:marLeft w:val="0"/>
      <w:marRight w:val="0"/>
      <w:marTop w:val="0"/>
      <w:marBottom w:val="0"/>
      <w:divBdr>
        <w:top w:val="none" w:sz="0" w:space="0" w:color="auto"/>
        <w:left w:val="none" w:sz="0" w:space="0" w:color="auto"/>
        <w:bottom w:val="none" w:sz="0" w:space="0" w:color="auto"/>
        <w:right w:val="none" w:sz="0" w:space="0" w:color="auto"/>
      </w:divBdr>
    </w:div>
    <w:div w:id="1690138331">
      <w:bodyDiv w:val="1"/>
      <w:marLeft w:val="0"/>
      <w:marRight w:val="0"/>
      <w:marTop w:val="0"/>
      <w:marBottom w:val="0"/>
      <w:divBdr>
        <w:top w:val="none" w:sz="0" w:space="0" w:color="auto"/>
        <w:left w:val="none" w:sz="0" w:space="0" w:color="auto"/>
        <w:bottom w:val="none" w:sz="0" w:space="0" w:color="auto"/>
        <w:right w:val="none" w:sz="0" w:space="0" w:color="auto"/>
      </w:divBdr>
    </w:div>
    <w:div w:id="1827091834">
      <w:bodyDiv w:val="1"/>
      <w:marLeft w:val="0"/>
      <w:marRight w:val="0"/>
      <w:marTop w:val="0"/>
      <w:marBottom w:val="0"/>
      <w:divBdr>
        <w:top w:val="none" w:sz="0" w:space="0" w:color="auto"/>
        <w:left w:val="none" w:sz="0" w:space="0" w:color="auto"/>
        <w:bottom w:val="none" w:sz="0" w:space="0" w:color="auto"/>
        <w:right w:val="none" w:sz="0" w:space="0" w:color="auto"/>
      </w:divBdr>
    </w:div>
    <w:div w:id="1854760080">
      <w:bodyDiv w:val="1"/>
      <w:marLeft w:val="0"/>
      <w:marRight w:val="0"/>
      <w:marTop w:val="0"/>
      <w:marBottom w:val="0"/>
      <w:divBdr>
        <w:top w:val="none" w:sz="0" w:space="0" w:color="auto"/>
        <w:left w:val="none" w:sz="0" w:space="0" w:color="auto"/>
        <w:bottom w:val="none" w:sz="0" w:space="0" w:color="auto"/>
        <w:right w:val="none" w:sz="0" w:space="0" w:color="auto"/>
      </w:divBdr>
    </w:div>
    <w:div w:id="2126458303">
      <w:bodyDiv w:val="1"/>
      <w:marLeft w:val="0"/>
      <w:marRight w:val="0"/>
      <w:marTop w:val="0"/>
      <w:marBottom w:val="0"/>
      <w:divBdr>
        <w:top w:val="none" w:sz="0" w:space="0" w:color="auto"/>
        <w:left w:val="none" w:sz="0" w:space="0" w:color="auto"/>
        <w:bottom w:val="none" w:sz="0" w:space="0" w:color="auto"/>
        <w:right w:val="none" w:sz="0" w:space="0" w:color="auto"/>
      </w:divBdr>
      <w:divsChild>
        <w:div w:id="620693781">
          <w:marLeft w:val="0"/>
          <w:marRight w:val="0"/>
          <w:marTop w:val="0"/>
          <w:marBottom w:val="0"/>
          <w:divBdr>
            <w:top w:val="none" w:sz="0" w:space="0" w:color="auto"/>
            <w:left w:val="none" w:sz="0" w:space="0" w:color="auto"/>
            <w:bottom w:val="none" w:sz="0" w:space="0" w:color="auto"/>
            <w:right w:val="none" w:sz="0" w:space="0" w:color="auto"/>
          </w:divBdr>
          <w:divsChild>
            <w:div w:id="1614089084">
              <w:marLeft w:val="0"/>
              <w:marRight w:val="0"/>
              <w:marTop w:val="0"/>
              <w:marBottom w:val="0"/>
              <w:divBdr>
                <w:top w:val="none" w:sz="0" w:space="0" w:color="auto"/>
                <w:left w:val="none" w:sz="0" w:space="0" w:color="auto"/>
                <w:bottom w:val="none" w:sz="0" w:space="0" w:color="auto"/>
                <w:right w:val="none" w:sz="0" w:space="0" w:color="auto"/>
              </w:divBdr>
              <w:divsChild>
                <w:div w:id="1179125019">
                  <w:marLeft w:val="0"/>
                  <w:marRight w:val="0"/>
                  <w:marTop w:val="0"/>
                  <w:marBottom w:val="0"/>
                  <w:divBdr>
                    <w:top w:val="none" w:sz="0" w:space="0" w:color="auto"/>
                    <w:left w:val="none" w:sz="0" w:space="0" w:color="auto"/>
                    <w:bottom w:val="none" w:sz="0" w:space="0" w:color="auto"/>
                    <w:right w:val="none" w:sz="0" w:space="0" w:color="auto"/>
                  </w:divBdr>
                  <w:divsChild>
                    <w:div w:id="915094811">
                      <w:marLeft w:val="0"/>
                      <w:marRight w:val="0"/>
                      <w:marTop w:val="0"/>
                      <w:marBottom w:val="0"/>
                      <w:divBdr>
                        <w:top w:val="none" w:sz="0" w:space="0" w:color="auto"/>
                        <w:left w:val="none" w:sz="0" w:space="0" w:color="auto"/>
                        <w:bottom w:val="none" w:sz="0" w:space="0" w:color="auto"/>
                        <w:right w:val="none" w:sz="0" w:space="0" w:color="auto"/>
                      </w:divBdr>
                      <w:divsChild>
                        <w:div w:id="862132490">
                          <w:marLeft w:val="0"/>
                          <w:marRight w:val="0"/>
                          <w:marTop w:val="0"/>
                          <w:marBottom w:val="0"/>
                          <w:divBdr>
                            <w:top w:val="none" w:sz="0" w:space="0" w:color="auto"/>
                            <w:left w:val="none" w:sz="0" w:space="0" w:color="auto"/>
                            <w:bottom w:val="none" w:sz="0" w:space="0" w:color="auto"/>
                            <w:right w:val="none" w:sz="0" w:space="0" w:color="auto"/>
                          </w:divBdr>
                          <w:divsChild>
                            <w:div w:id="6667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8121">
      <w:bodyDiv w:val="1"/>
      <w:marLeft w:val="0"/>
      <w:marRight w:val="0"/>
      <w:marTop w:val="0"/>
      <w:marBottom w:val="0"/>
      <w:divBdr>
        <w:top w:val="none" w:sz="0" w:space="0" w:color="auto"/>
        <w:left w:val="none" w:sz="0" w:space="0" w:color="auto"/>
        <w:bottom w:val="none" w:sz="0" w:space="0" w:color="auto"/>
        <w:right w:val="none" w:sz="0" w:space="0" w:color="auto"/>
      </w:divBdr>
      <w:divsChild>
        <w:div w:id="157115212">
          <w:marLeft w:val="0"/>
          <w:marRight w:val="0"/>
          <w:marTop w:val="0"/>
          <w:marBottom w:val="0"/>
          <w:divBdr>
            <w:top w:val="none" w:sz="0" w:space="0" w:color="auto"/>
            <w:left w:val="none" w:sz="0" w:space="0" w:color="auto"/>
            <w:bottom w:val="none" w:sz="0" w:space="0" w:color="auto"/>
            <w:right w:val="none" w:sz="0" w:space="0" w:color="auto"/>
          </w:divBdr>
          <w:divsChild>
            <w:div w:id="619457883">
              <w:marLeft w:val="0"/>
              <w:marRight w:val="0"/>
              <w:marTop w:val="0"/>
              <w:marBottom w:val="0"/>
              <w:divBdr>
                <w:top w:val="none" w:sz="0" w:space="0" w:color="auto"/>
                <w:left w:val="none" w:sz="0" w:space="0" w:color="auto"/>
                <w:bottom w:val="none" w:sz="0" w:space="0" w:color="auto"/>
                <w:right w:val="none" w:sz="0" w:space="0" w:color="auto"/>
              </w:divBdr>
              <w:divsChild>
                <w:div w:id="1801873466">
                  <w:marLeft w:val="0"/>
                  <w:marRight w:val="0"/>
                  <w:marTop w:val="0"/>
                  <w:marBottom w:val="0"/>
                  <w:divBdr>
                    <w:top w:val="none" w:sz="0" w:space="0" w:color="auto"/>
                    <w:left w:val="none" w:sz="0" w:space="0" w:color="auto"/>
                    <w:bottom w:val="none" w:sz="0" w:space="0" w:color="auto"/>
                    <w:right w:val="none" w:sz="0" w:space="0" w:color="auto"/>
                  </w:divBdr>
                  <w:divsChild>
                    <w:div w:id="1391735828">
                      <w:marLeft w:val="0"/>
                      <w:marRight w:val="0"/>
                      <w:marTop w:val="0"/>
                      <w:marBottom w:val="0"/>
                      <w:divBdr>
                        <w:top w:val="none" w:sz="0" w:space="0" w:color="auto"/>
                        <w:left w:val="none" w:sz="0" w:space="0" w:color="auto"/>
                        <w:bottom w:val="none" w:sz="0" w:space="0" w:color="auto"/>
                        <w:right w:val="none" w:sz="0" w:space="0" w:color="auto"/>
                      </w:divBdr>
                      <w:divsChild>
                        <w:div w:id="140732479">
                          <w:marLeft w:val="0"/>
                          <w:marRight w:val="0"/>
                          <w:marTop w:val="0"/>
                          <w:marBottom w:val="0"/>
                          <w:divBdr>
                            <w:top w:val="none" w:sz="0" w:space="0" w:color="auto"/>
                            <w:left w:val="none" w:sz="0" w:space="0" w:color="auto"/>
                            <w:bottom w:val="none" w:sz="0" w:space="0" w:color="auto"/>
                            <w:right w:val="none" w:sz="0" w:space="0" w:color="auto"/>
                          </w:divBdr>
                          <w:divsChild>
                            <w:div w:id="407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yperlink" Target="https://doi.org/10.48670/moi-00016"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48670/moi-000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Sharvari</cp:lastModifiedBy>
  <cp:revision>2</cp:revision>
  <dcterms:created xsi:type="dcterms:W3CDTF">2026-02-18T12:23:00Z</dcterms:created>
  <dcterms:modified xsi:type="dcterms:W3CDTF">2026-02-18T12:23:00Z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2dbf9ab91756cc87c84d6a62f5de0bef62b20f8785a23d5a2c1a356d3f041d88</vt:lpwstr>
  </property>
</Properties>
</file>