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9B5C9" w14:textId="0DA97D2F" w:rsidR="007126A8" w:rsidRDefault="007126A8" w:rsidP="007126A8">
      <w:pPr>
        <w:jc w:val="center"/>
        <w:rPr>
          <w:rFonts w:cs="Times New Roman"/>
          <w:b/>
          <w:sz w:val="36"/>
        </w:rPr>
      </w:pPr>
      <w:r w:rsidRPr="007126A8">
        <w:rPr>
          <w:rFonts w:cs="Times New Roman"/>
          <w:b/>
          <w:sz w:val="36"/>
        </w:rPr>
        <w:t xml:space="preserve">Injectable Biomaterial Scaffolds for Post-Prostate Cancer Tissue Regeneration: Materials, Methods, Limitations, and </w:t>
      </w:r>
      <w:commentRangeStart w:id="0"/>
      <w:r w:rsidRPr="0079150F">
        <w:rPr>
          <w:rFonts w:cs="Times New Roman"/>
          <w:b/>
          <w:sz w:val="36"/>
          <w:highlight w:val="yellow"/>
        </w:rPr>
        <w:t>Emerging</w:t>
      </w:r>
      <w:commentRangeEnd w:id="0"/>
      <w:r w:rsidR="0079150F">
        <w:rPr>
          <w:rStyle w:val="CommentReference"/>
        </w:rPr>
        <w:commentReference w:id="0"/>
      </w:r>
      <w:r w:rsidRPr="007126A8">
        <w:rPr>
          <w:rFonts w:cs="Times New Roman"/>
          <w:b/>
          <w:sz w:val="36"/>
        </w:rPr>
        <w:t xml:space="preserve"> Approaches</w:t>
      </w:r>
    </w:p>
    <w:p w14:paraId="6642BB63" w14:textId="77777777" w:rsidR="007126A8" w:rsidRDefault="007126A8" w:rsidP="007126A8">
      <w:pPr>
        <w:jc w:val="center"/>
      </w:pPr>
    </w:p>
    <w:p w14:paraId="291BB715" w14:textId="77777777" w:rsidR="00D928FC" w:rsidRPr="00D928FC" w:rsidRDefault="004973A0" w:rsidP="00D928FC">
      <w:pPr>
        <w:pStyle w:val="Heading1"/>
      </w:pPr>
      <w:r w:rsidRPr="004973A0">
        <w:t>Abstract</w:t>
      </w:r>
    </w:p>
    <w:p w14:paraId="274B6C9C" w14:textId="77777777" w:rsidR="00D928FC" w:rsidRPr="00D928FC" w:rsidRDefault="00D928FC" w:rsidP="004973A0">
      <w:pPr>
        <w:spacing w:before="100" w:beforeAutospacing="1" w:after="100" w:afterAutospacing="1" w:line="240" w:lineRule="auto"/>
        <w:rPr>
          <w:rFonts w:cs="Times New Roman"/>
        </w:rPr>
      </w:pPr>
      <w:r w:rsidRPr="00D928FC">
        <w:rPr>
          <w:rFonts w:cs="Times New Roman"/>
        </w:rPr>
        <w:t>Prostate cancer treatments, particularly radical prostatectomy and radiotherapy, frequently result in extensive tissue loss, fibrosis, vascular injury, and functional complications such as urinary incontinence and erectile dysfunction. Current therapeutic options rarely achieve meaningful structural or functional regeneration, highlighting the need for advanced regenerative strategies. Injectable scaffolds have emerged as minimally invasive biomaterials capable of reconstructing extracellular matrix architecture, guiding stromal and epithelial repair, promoting angiogenesis, and attenuating fibrotic responses. Their regenerative mechanisms include providing a three-dimensional framework for cell adhesion and proliferation, enabling localized delivery of bioactive molecules, modulating inflammatory reactions, and supporting tissue remodeling processes. The incorporation of growth factors such as vascular endothelial growth factor (VEGF), fibroblast growth factor (FGF), platelet-derived growth factor (PDGF), and transforming growth factor-beta (TGF-β) further enhances vascularization, epithelial repair, and stromal integration. This review outlines recent progress in injectable scaffold systems for post–prostate cancer tissue regeneration, encompassing natural biomaterials including chitosan, collagen, hyaluronic acid, alginate, and gelatin, alongside synthetic platforms such as PEG, PLGA, PCL, self-assembling peptides, and thermo-responsive hydrogels. Emerging bioactive approaches, including nanocomposites, cell-laden constructs, exosome-enriched hydrogels, and smart materials responsive to biochemical or mechanical cues, are also discussed. In addition, fabrication strategies, delivery routes, preclinical evaluation methods, and key translational challenges are examined. Injectable scaffold platforms demonstrate significant potential to restore prostate stromal architecture, regenerate neurovascular bundles, and re-establish glandular function. However, optimization of biocompatibility, biodegradation, safety, regulatory considerations, and cancer recurrence risk remains essential to facilitate successful clinical translation in post–prostate cancer regenerative therapy.</w:t>
      </w:r>
    </w:p>
    <w:p w14:paraId="13925732" w14:textId="77777777" w:rsidR="004973A0" w:rsidRDefault="004973A0" w:rsidP="004973A0">
      <w:pPr>
        <w:spacing w:before="100" w:beforeAutospacing="1" w:after="100" w:afterAutospacing="1" w:line="240" w:lineRule="auto"/>
        <w:rPr>
          <w:rFonts w:eastAsia="Times New Roman" w:cs="Times New Roman"/>
          <w:szCs w:val="24"/>
        </w:rPr>
      </w:pPr>
      <w:r w:rsidRPr="004973A0">
        <w:rPr>
          <w:rFonts w:eastAsia="Times New Roman" w:cs="Times New Roman"/>
          <w:b/>
          <w:bCs/>
          <w:szCs w:val="24"/>
        </w:rPr>
        <w:t>Keywords:</w:t>
      </w:r>
      <w:r w:rsidR="00771D56">
        <w:rPr>
          <w:rFonts w:eastAsia="Times New Roman" w:cs="Times New Roman"/>
          <w:szCs w:val="24"/>
        </w:rPr>
        <w:t xml:space="preserve"> Injectable scaffold; Prostate cancer; Tissue regeneration; Biomaterials; </w:t>
      </w:r>
      <w:r w:rsidRPr="004973A0">
        <w:rPr>
          <w:rFonts w:eastAsia="Times New Roman" w:cs="Times New Roman"/>
          <w:szCs w:val="24"/>
        </w:rPr>
        <w:t>Hydrogel</w:t>
      </w:r>
    </w:p>
    <w:p w14:paraId="7027C751" w14:textId="77777777" w:rsidR="005B57B7" w:rsidRDefault="009D62A7" w:rsidP="005B57B7">
      <w:pPr>
        <w:spacing w:before="100" w:beforeAutospacing="1" w:after="100" w:afterAutospacing="1" w:line="240" w:lineRule="auto"/>
        <w:jc w:val="center"/>
        <w:rPr>
          <w:rFonts w:eastAsia="Times New Roman" w:cs="Times New Roman"/>
          <w:szCs w:val="24"/>
        </w:rPr>
      </w:pPr>
      <w:r w:rsidRPr="009D62A7">
        <w:rPr>
          <w:rFonts w:eastAsia="Times New Roman" w:cs="Times New Roman"/>
          <w:noProof/>
          <w:szCs w:val="24"/>
        </w:rPr>
        <w:lastRenderedPageBreak/>
        <w:drawing>
          <wp:inline distT="0" distB="0" distL="0" distR="0" wp14:anchorId="1A63BA0E" wp14:editId="7EE55BC9">
            <wp:extent cx="5875529" cy="248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5529" cy="2484335"/>
                    </a:xfrm>
                    <a:prstGeom prst="rect">
                      <a:avLst/>
                    </a:prstGeom>
                  </pic:spPr>
                </pic:pic>
              </a:graphicData>
            </a:graphic>
          </wp:inline>
        </w:drawing>
      </w:r>
    </w:p>
    <w:p w14:paraId="41166A6F" w14:textId="4721036B" w:rsidR="00454FB1" w:rsidRPr="005B57B7" w:rsidRDefault="00442985" w:rsidP="005B57B7">
      <w:pPr>
        <w:spacing w:before="100" w:beforeAutospacing="1" w:after="100" w:afterAutospacing="1" w:line="240" w:lineRule="auto"/>
        <w:jc w:val="center"/>
        <w:rPr>
          <w:rFonts w:eastAsia="Times New Roman" w:cs="Times New Roman"/>
          <w:color w:val="5B9BD5" w:themeColor="accent1"/>
          <w:sz w:val="32"/>
          <w:szCs w:val="24"/>
        </w:rPr>
      </w:pPr>
      <w:r>
        <w:rPr>
          <w:rFonts w:eastAsia="Times New Roman" w:cs="Times New Roman"/>
          <w:color w:val="5B9BD5" w:themeColor="accent1"/>
          <w:sz w:val="32"/>
          <w:szCs w:val="24"/>
        </w:rPr>
        <w:t>Picture</w:t>
      </w:r>
      <w:r w:rsidR="00AD7941">
        <w:rPr>
          <w:rFonts w:eastAsia="Times New Roman" w:cs="Times New Roman"/>
          <w:color w:val="5B9BD5" w:themeColor="accent1"/>
          <w:sz w:val="32"/>
          <w:szCs w:val="24"/>
        </w:rPr>
        <w:t xml:space="preserve"> 1. </w:t>
      </w:r>
      <w:r w:rsidR="005B57B7" w:rsidRPr="005B57B7">
        <w:rPr>
          <w:rFonts w:eastAsia="Times New Roman" w:cs="Times New Roman"/>
          <w:color w:val="5B9BD5" w:themeColor="accent1"/>
          <w:sz w:val="32"/>
          <w:szCs w:val="24"/>
        </w:rPr>
        <w:t xml:space="preserve">Graphical Abstract </w:t>
      </w:r>
    </w:p>
    <w:p w14:paraId="13FDEF7B" w14:textId="77777777" w:rsidR="006B4332" w:rsidRPr="006B4332" w:rsidRDefault="004973A0" w:rsidP="00AD5A31">
      <w:pPr>
        <w:pStyle w:val="Heading1"/>
      </w:pPr>
      <w:r w:rsidRPr="004973A0">
        <w:t>1. Introduction</w:t>
      </w:r>
    </w:p>
    <w:p w14:paraId="0FD8FC48" w14:textId="77777777" w:rsidR="00D928FC" w:rsidRPr="00D928FC"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Prostate cancer is among the most commonly diagnosed cancers in men globally, with rising incidence in aging populations and high mortality rates at advanced stages (Swami et al., 2020). While clinical interventions such as radical prostatectomy, external beam radiotherapy, brachytherapy, and hormone deprivation therapy are effective in controlling disease progression, they frequently result in significant structural damage to prostate tissues. These treatments are often associated with loss of stromal organization, injury to neurovascular bundles, degeneration of glandular epithelium, and excessive fibrotic tissue formation (Michaelson et al., 2008; Wirth et al., 2007). Consequently, patients may experience persistent complications including urinary incontinence, erectile dysfunction, chronic pelvic discomfort, and impaired glandular secretory activity (Patel et al., 2025). Despite improvements in surgical techniques, robotic platforms, and radiation delivery, treatment-related tissue injury continues to pose a major clinical challenge (Litwin &amp; Tan, 2017).</w:t>
      </w:r>
    </w:p>
    <w:p w14:paraId="12530B49" w14:textId="77777777" w:rsidR="00D928FC" w:rsidRPr="00D928FC"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Efforts to regenerate prostate tissue following cancer therapy are further hindered by the complex biological composition of the prostate microenvironment. The prostate consists of an intricate arrangement of epithelial cells, smooth muscle fibers, fibroblasts, extracellular matrix components, autonomic nerves, and specialized glandular units that function in close coordination (Litwin &amp; Tan, 2017). Surgical resection and radiation exposure simultaneously damage multiple cellular and structural elements, resulting in a regenerative deficit that cannot be adequately corrected through pharmacological or surgical interventions alone (</w:t>
      </w:r>
      <w:proofErr w:type="spellStart"/>
      <w:r w:rsidRPr="00D928FC">
        <w:rPr>
          <w:rFonts w:eastAsia="Times New Roman" w:cs="Times New Roman"/>
          <w:szCs w:val="24"/>
        </w:rPr>
        <w:t>Denmeade</w:t>
      </w:r>
      <w:proofErr w:type="spellEnd"/>
      <w:r w:rsidRPr="00D928FC">
        <w:rPr>
          <w:rFonts w:eastAsia="Times New Roman" w:cs="Times New Roman"/>
          <w:szCs w:val="24"/>
        </w:rPr>
        <w:t xml:space="preserve"> &amp; Isaacs, 2004). In this context, tissue engineering approaches provide a promising avenue to restore structural and functional integrity by employing biomaterials that recreate a supportive extracellular matrix niche (Guo et al., 2025).</w:t>
      </w:r>
    </w:p>
    <w:p w14:paraId="16E49AAE" w14:textId="77777777" w:rsidR="006D553D"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 xml:space="preserve">Injectable scaffolds have therefore gained attention as a versatile class of biomaterials engineered to occupy tissue voids, regulate the local microenvironment, and promote cellular repopulation using minimally invasive delivery methods (Spector &amp; Lim, 2016). In contrast to preformed </w:t>
      </w:r>
      <w:r w:rsidRPr="00D928FC">
        <w:rPr>
          <w:rFonts w:eastAsia="Times New Roman" w:cs="Times New Roman"/>
          <w:szCs w:val="24"/>
        </w:rPr>
        <w:lastRenderedPageBreak/>
        <w:t>scaffolds, injectable systems can adapt to irregular defect geometries, minimize procedural trauma, and readily incorporate therapeutic agents such as stem cells, exosomes, and growth factors (Raucci et al., 2020). Their capacity to undergo in situ solidification further supports their suitability for prostate applications, where anatomical sensitivity and deep tissue localization are critical considerations (Kretlow et al., 2009).</w:t>
      </w:r>
    </w:p>
    <w:p w14:paraId="5B0ED0AA" w14:textId="77777777" w:rsidR="00632D01" w:rsidRDefault="00632D01" w:rsidP="006D553D">
      <w:pPr>
        <w:spacing w:before="100" w:beforeAutospacing="1" w:after="100" w:afterAutospacing="1" w:line="240" w:lineRule="auto"/>
        <w:jc w:val="center"/>
        <w:rPr>
          <w:rFonts w:eastAsia="Times New Roman" w:cs="Times New Roman"/>
          <w:szCs w:val="24"/>
        </w:rPr>
      </w:pPr>
      <w:r w:rsidRPr="00632D01">
        <w:rPr>
          <w:rFonts w:eastAsia="Times New Roman" w:cs="Times New Roman"/>
          <w:noProof/>
          <w:szCs w:val="24"/>
        </w:rPr>
        <w:drawing>
          <wp:inline distT="0" distB="0" distL="0" distR="0" wp14:anchorId="3FFF30C5" wp14:editId="3BFECE0F">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85900"/>
                    </a:xfrm>
                    <a:prstGeom prst="rect">
                      <a:avLst/>
                    </a:prstGeom>
                  </pic:spPr>
                </pic:pic>
              </a:graphicData>
            </a:graphic>
          </wp:inline>
        </w:drawing>
      </w:r>
    </w:p>
    <w:p w14:paraId="6267E039" w14:textId="77777777" w:rsidR="006D553D" w:rsidRPr="006D553D" w:rsidRDefault="006D553D" w:rsidP="006D553D">
      <w:pPr>
        <w:pStyle w:val="Caption"/>
        <w:jc w:val="center"/>
        <w:rPr>
          <w:rFonts w:eastAsia="Times New Roman" w:cs="Times New Roman"/>
          <w:i w:val="0"/>
          <w:sz w:val="36"/>
          <w:szCs w:val="24"/>
        </w:rPr>
      </w:pPr>
      <w:r w:rsidRPr="006D553D">
        <w:rPr>
          <w:rFonts w:cs="Times New Roman"/>
          <w:i w:val="0"/>
          <w:sz w:val="24"/>
        </w:rPr>
        <w:t xml:space="preserve">Figure </w:t>
      </w:r>
      <w:r w:rsidRPr="006D553D">
        <w:rPr>
          <w:rFonts w:cs="Times New Roman"/>
          <w:i w:val="0"/>
          <w:sz w:val="24"/>
        </w:rPr>
        <w:fldChar w:fldCharType="begin"/>
      </w:r>
      <w:r w:rsidRPr="006D553D">
        <w:rPr>
          <w:rFonts w:cs="Times New Roman"/>
          <w:i w:val="0"/>
          <w:sz w:val="24"/>
        </w:rPr>
        <w:instrText xml:space="preserve"> SEQ Figure \* ARABIC </w:instrText>
      </w:r>
      <w:r w:rsidRPr="006D553D">
        <w:rPr>
          <w:rFonts w:cs="Times New Roman"/>
          <w:i w:val="0"/>
          <w:sz w:val="24"/>
        </w:rPr>
        <w:fldChar w:fldCharType="separate"/>
      </w:r>
      <w:r w:rsidR="003C29EA">
        <w:rPr>
          <w:rFonts w:cs="Times New Roman"/>
          <w:i w:val="0"/>
          <w:noProof/>
          <w:sz w:val="24"/>
        </w:rPr>
        <w:t>1</w:t>
      </w:r>
      <w:r w:rsidRPr="006D553D">
        <w:rPr>
          <w:rFonts w:cs="Times New Roman"/>
          <w:i w:val="0"/>
          <w:sz w:val="24"/>
        </w:rPr>
        <w:fldChar w:fldCharType="end"/>
      </w:r>
      <w:r w:rsidRPr="006D553D">
        <w:rPr>
          <w:rFonts w:cs="Times New Roman"/>
          <w:i w:val="0"/>
          <w:sz w:val="24"/>
        </w:rPr>
        <w:t xml:space="preserve">: </w:t>
      </w:r>
      <w:r w:rsidR="00632D01">
        <w:rPr>
          <w:rFonts w:cs="Times New Roman"/>
          <w:i w:val="0"/>
          <w:sz w:val="24"/>
        </w:rPr>
        <w:t xml:space="preserve">Initial diagnosis pathways </w:t>
      </w:r>
    </w:p>
    <w:p w14:paraId="4611DC13" w14:textId="77777777" w:rsidR="00F13519" w:rsidRPr="006B4332" w:rsidRDefault="00F13519" w:rsidP="00F13519">
      <w:pPr>
        <w:spacing w:before="100" w:beforeAutospacing="1" w:after="100" w:afterAutospacing="1" w:line="240" w:lineRule="auto"/>
        <w:rPr>
          <w:rFonts w:eastAsia="Times New Roman" w:cs="Times New Roman"/>
          <w:szCs w:val="24"/>
        </w:rPr>
      </w:pPr>
      <w:r w:rsidRPr="006B4332">
        <w:rPr>
          <w:rFonts w:eastAsia="Times New Roman" w:cs="Times New Roman"/>
          <w:szCs w:val="24"/>
        </w:rPr>
        <w:t xml:space="preserve">This manuscript presents a comprehensive review of injectable biomaterial scaffolds for post-prostate cancer tissue regeneration. The aim is to elucidate traditional repair approaches, describe natural and synthetic injectable biomaterials, evaluate emerging advanced scaffold technologies, and examine translational challenges that must be addressed prior to clinical application (Baharlouei &amp; Rahman, 2022; </w:t>
      </w:r>
      <w:proofErr w:type="spellStart"/>
      <w:r w:rsidRPr="006B4332">
        <w:rPr>
          <w:rFonts w:eastAsia="Times New Roman" w:cs="Times New Roman"/>
          <w:szCs w:val="24"/>
        </w:rPr>
        <w:t>Béduer</w:t>
      </w:r>
      <w:proofErr w:type="spellEnd"/>
      <w:r w:rsidRPr="006B4332">
        <w:rPr>
          <w:rFonts w:eastAsia="Times New Roman" w:cs="Times New Roman"/>
          <w:szCs w:val="24"/>
        </w:rPr>
        <w:t xml:space="preserve"> et al., 2022). Particular attention is given to materials that support stromal regeneration, angiogenesis, and antifibrotic activity, as these processes are critical for restoring prostate structure and function after oncologic intervention (Feng et al., 2025; Ahangar et al., 2018).</w:t>
      </w:r>
    </w:p>
    <w:p w14:paraId="363497EC" w14:textId="77777777" w:rsidR="000F0B14" w:rsidRPr="000F0B14" w:rsidRDefault="000F0B14" w:rsidP="00AD5A31">
      <w:pPr>
        <w:pStyle w:val="Heading1"/>
      </w:pPr>
      <w:r>
        <w:t>2</w:t>
      </w:r>
      <w:r w:rsidRPr="000F0B14">
        <w:t>. Anatomy and Functional Damage After Prostate Cancer Treatment</w:t>
      </w:r>
    </w:p>
    <w:p w14:paraId="1AB51C77" w14:textId="77777777" w:rsidR="000F0B14" w:rsidRPr="000F0B14" w:rsidRDefault="000F0B14" w:rsidP="00AD5A31">
      <w:pPr>
        <w:pStyle w:val="Heading1"/>
      </w:pPr>
      <w:r>
        <w:t>2</w:t>
      </w:r>
      <w:r w:rsidRPr="000F0B14">
        <w:t>.1 Radical Prostatectomy</w:t>
      </w:r>
    </w:p>
    <w:p w14:paraId="3111D201" w14:textId="77777777" w:rsidR="00F13519" w:rsidRPr="00F13519" w:rsidRDefault="00F13519" w:rsidP="00F13519">
      <w:pPr>
        <w:spacing w:before="100" w:beforeAutospacing="1" w:after="100" w:afterAutospacing="1" w:line="240" w:lineRule="auto"/>
        <w:rPr>
          <w:rFonts w:eastAsia="Times New Roman" w:cs="Times New Roman"/>
          <w:szCs w:val="24"/>
        </w:rPr>
      </w:pPr>
      <w:r w:rsidRPr="00F13519">
        <w:rPr>
          <w:rFonts w:eastAsia="Times New Roman" w:cs="Times New Roman"/>
          <w:szCs w:val="24"/>
        </w:rPr>
        <w:t xml:space="preserve">Radical prostatectomy, performed through open, laparoscopic, or robot-assisted approaches, entails complete removal of the prostate gland together with adjacent connective tissue and neurovascular structures. This procedure commonly leads to extensive disruption of the urethral sphincter complex, pelvic floor muscles, and periurethral support tissues. During the early postoperative healing phase, fibrotic responses, scar formation, and excessive collagen deposition frequently develop around the sphincteric region, ultimately impairing urinary continence mechanisms (Michaelson et al., 2008). Damage to neural structures, particularly the </w:t>
      </w:r>
      <w:proofErr w:type="spellStart"/>
      <w:r w:rsidRPr="00F13519">
        <w:rPr>
          <w:rFonts w:eastAsia="Times New Roman" w:cs="Times New Roman"/>
          <w:szCs w:val="24"/>
        </w:rPr>
        <w:t>posterolaterally</w:t>
      </w:r>
      <w:proofErr w:type="spellEnd"/>
      <w:r w:rsidRPr="00F13519">
        <w:rPr>
          <w:rFonts w:eastAsia="Times New Roman" w:cs="Times New Roman"/>
          <w:szCs w:val="24"/>
        </w:rPr>
        <w:t xml:space="preserve"> positioned cavernous nerves, further contributes to erectile dysfunction as a result of compromised neuromuscular signaling and endothelial injury (Patel et al., 2025).</w:t>
      </w:r>
    </w:p>
    <w:p w14:paraId="13B242DD" w14:textId="77777777" w:rsidR="005F445F" w:rsidRPr="005F445F" w:rsidRDefault="00F13519" w:rsidP="005F445F">
      <w:pPr>
        <w:spacing w:before="100" w:beforeAutospacing="1" w:after="100" w:afterAutospacing="1" w:line="240" w:lineRule="auto"/>
        <w:rPr>
          <w:rFonts w:eastAsia="Times New Roman" w:cs="Times New Roman"/>
          <w:szCs w:val="24"/>
        </w:rPr>
      </w:pPr>
      <w:r w:rsidRPr="00F13519">
        <w:rPr>
          <w:rFonts w:eastAsia="Times New Roman" w:cs="Times New Roman"/>
          <w:szCs w:val="24"/>
        </w:rPr>
        <w:t xml:space="preserve">Beyond these structural effects, the microvascular networks supplying the prostate and adjacent tissues are also substantially compromised. Evidence indicates that postoperative ischemia, diminished blood perfusion, and ongoing fibrotic remodeling significantly limit the regenerative capacity of tissues following prostatectomy (Guo et al., 2025). Collectively, these pathological alterations generate a mechanically rigid and poorly vascularized tissue environment, thereby </w:t>
      </w:r>
      <w:r w:rsidRPr="00F13519">
        <w:rPr>
          <w:rFonts w:eastAsia="Times New Roman" w:cs="Times New Roman"/>
          <w:szCs w:val="24"/>
        </w:rPr>
        <w:lastRenderedPageBreak/>
        <w:t>hindering effective functional recovery in the absence of advanced regenerative interventions (Feng et al., 2025).</w:t>
      </w:r>
    </w:p>
    <w:p w14:paraId="38BBCB3D" w14:textId="77777777" w:rsidR="000F0B14" w:rsidRPr="000F0B14" w:rsidRDefault="000F0B14" w:rsidP="00AD5A31">
      <w:pPr>
        <w:pStyle w:val="Heading1"/>
      </w:pPr>
      <w:r>
        <w:t>2</w:t>
      </w:r>
      <w:r w:rsidRPr="000F0B14">
        <w:t>.2 Radiotherapy</w:t>
      </w:r>
    </w:p>
    <w:p w14:paraId="1770AA6B"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Radiotherapy for prostate cancer, delivered through external beam radiation therapy (EBRT) or brachytherapy, produces cumulative injury to surrounding soft tissues as ionizing radiation interferes with DNA stability, cellular metabolism, and microvascular integrity. Common late-stage complications such as radiation-induced proctitis, urethral strictures, and bladder neck contractures arise from persistent inflammation and tissue necrosis driven by oxidative stress mechanisms (Michaelson et al., 2008). In addition, apoptosis of endothelial cells within irradiated tissues leads to reduced perfusion, sustained hypoxia, and a diminished capacity for tissue repair (Guo et al., 2025).</w:t>
      </w:r>
    </w:p>
    <w:p w14:paraId="58469ABE"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Radiation exposure also promotes gradual collagen cross-linking and thickening of the extracellular matrix, characteristic features of radiation fibrosis syndrome. These fibrotic changes increase tissue stiffness, reduce elasticity, and contribute to long-term dysfunction of the urethral and pelvic floor structures (Feng et al., 2025). Consequently, radiotherapy markedly alters the regenerative microenvironment, rendering tissue recovery following pelvic irradiation particularly challenging (Patel et al., 2025).</w:t>
      </w:r>
    </w:p>
    <w:p w14:paraId="27AB5CFE" w14:textId="77777777" w:rsidR="000F0B14" w:rsidRPr="000F0B14" w:rsidRDefault="000F0B14" w:rsidP="00AD5A31">
      <w:pPr>
        <w:pStyle w:val="Heading1"/>
      </w:pPr>
      <w:r>
        <w:t>2</w:t>
      </w:r>
      <w:r w:rsidRPr="000F0B14">
        <w:t>.3 Hormonal Therapy</w:t>
      </w:r>
    </w:p>
    <w:p w14:paraId="741B3A50"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Androgen deprivation therapy (ADT) is commonly employed to limit prostate cancer progression; however, its systemic biochemical effects adversely affect the normal physiology of stromal and epithelial tissues within the prostate and surrounding pelvic region. Prolonged testosterone suppression results in smooth muscle atrophy, fibroblast dysfunction, and disruption of extracellular matrix (ECM) homeostasis (</w:t>
      </w:r>
      <w:proofErr w:type="spellStart"/>
      <w:r w:rsidRPr="00F35085">
        <w:rPr>
          <w:rFonts w:eastAsia="Times New Roman" w:cs="Times New Roman"/>
          <w:szCs w:val="24"/>
        </w:rPr>
        <w:t>Denmeade</w:t>
      </w:r>
      <w:proofErr w:type="spellEnd"/>
      <w:r w:rsidRPr="00F35085">
        <w:rPr>
          <w:rFonts w:eastAsia="Times New Roman" w:cs="Times New Roman"/>
          <w:szCs w:val="24"/>
        </w:rPr>
        <w:t xml:space="preserve"> &amp; Isaacs, 2004; Litwin &amp; Tan, 2017). These alterations significantly diminish the intrinsic regenerative capacity of pelvic soft tissues (Guo et al., 2025; Feng et al., 2025).</w:t>
      </w:r>
    </w:p>
    <w:p w14:paraId="5398F830"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In addition, ADT has been linked to microvascular rarefaction, decreased nitric oxide synthesis, and compromised endothelial function. Such changes impair tissue perfusion and oxygen delivery, thereby creating a biologically unfavorable microenvironment for tissue repair or scaffold-assisted regeneration (Patel et al., 2025; Baharlouei &amp; Rahman, 2022). When combined with surgical intervention or radiotherapy, hormonal therapy (Fig. 2) further intensifies tissue degeneration and prolongs the healing process (Swami et al., 2020; Michaelson et al., 2008).</w:t>
      </w:r>
    </w:p>
    <w:p w14:paraId="2E761D49" w14:textId="77777777" w:rsidR="005C3092" w:rsidRDefault="005C3092" w:rsidP="005C3092">
      <w:pPr>
        <w:spacing w:before="100" w:beforeAutospacing="1" w:after="100" w:afterAutospacing="1" w:line="240" w:lineRule="auto"/>
        <w:jc w:val="center"/>
        <w:rPr>
          <w:rFonts w:eastAsia="Times New Roman" w:cs="Times New Roman"/>
          <w:szCs w:val="24"/>
        </w:rPr>
      </w:pPr>
      <w:r w:rsidRPr="005C3092">
        <w:rPr>
          <w:rFonts w:eastAsia="Times New Roman" w:cs="Times New Roman"/>
          <w:noProof/>
          <w:szCs w:val="24"/>
        </w:rPr>
        <w:lastRenderedPageBreak/>
        <w:drawing>
          <wp:inline distT="0" distB="0" distL="0" distR="0" wp14:anchorId="3933DCC8" wp14:editId="15A9BB80">
            <wp:extent cx="5943600" cy="4768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68215"/>
                    </a:xfrm>
                    <a:prstGeom prst="rect">
                      <a:avLst/>
                    </a:prstGeom>
                  </pic:spPr>
                </pic:pic>
              </a:graphicData>
            </a:graphic>
          </wp:inline>
        </w:drawing>
      </w:r>
    </w:p>
    <w:p w14:paraId="044E36D1" w14:textId="77777777" w:rsidR="005C3092" w:rsidRPr="005C3092" w:rsidRDefault="005C3092" w:rsidP="005C3092">
      <w:pPr>
        <w:jc w:val="center"/>
        <w:rPr>
          <w:rFonts w:cs="Times New Roman"/>
        </w:rPr>
      </w:pPr>
      <w:r w:rsidRPr="005C3092">
        <w:rPr>
          <w:rFonts w:cs="Times New Roman"/>
        </w:rPr>
        <w:t xml:space="preserve">Figure </w:t>
      </w:r>
      <w:r w:rsidRPr="005C3092">
        <w:rPr>
          <w:rFonts w:cs="Times New Roman"/>
        </w:rPr>
        <w:fldChar w:fldCharType="begin"/>
      </w:r>
      <w:r w:rsidRPr="005C3092">
        <w:rPr>
          <w:rFonts w:cs="Times New Roman"/>
        </w:rPr>
        <w:instrText xml:space="preserve"> SEQ Figure \* ARABIC </w:instrText>
      </w:r>
      <w:r w:rsidRPr="005C3092">
        <w:rPr>
          <w:rFonts w:cs="Times New Roman"/>
        </w:rPr>
        <w:fldChar w:fldCharType="separate"/>
      </w:r>
      <w:r w:rsidR="003C29EA">
        <w:rPr>
          <w:rFonts w:cs="Times New Roman"/>
          <w:noProof/>
        </w:rPr>
        <w:t>2</w:t>
      </w:r>
      <w:r w:rsidRPr="005C3092">
        <w:rPr>
          <w:rFonts w:cs="Times New Roman"/>
        </w:rPr>
        <w:fldChar w:fldCharType="end"/>
      </w:r>
      <w:r w:rsidR="00F20AF3">
        <w:rPr>
          <w:rFonts w:cs="Times New Roman"/>
        </w:rPr>
        <w:t>: G</w:t>
      </w:r>
      <w:r w:rsidRPr="005C3092">
        <w:rPr>
          <w:rFonts w:cs="Times New Roman"/>
        </w:rPr>
        <w:t>uidelines for standardized prostate cancer treatment based on staging. Information adapted from guidelines as published by the Cancer Association of South Africa (CANSA) 2017, Prostate Cancer Foundation of South Africa 2013 guidelines, National Comprehensive Cancer Network, American Cancer Society.</w:t>
      </w:r>
    </w:p>
    <w:p w14:paraId="4799935E" w14:textId="77777777" w:rsidR="000F0B14" w:rsidRPr="000F0B14" w:rsidRDefault="000F0B14" w:rsidP="00AD5A31">
      <w:pPr>
        <w:pStyle w:val="Heading1"/>
      </w:pPr>
      <w:r>
        <w:t>2</w:t>
      </w:r>
      <w:r w:rsidRPr="000F0B14">
        <w:t>.4 Why Regeneration Is Difficult</w:t>
      </w:r>
    </w:p>
    <w:p w14:paraId="69B753C3" w14:textId="77777777" w:rsidR="000B06CA" w:rsidRPr="000B06CA" w:rsidRDefault="000B06CA" w:rsidP="000B06CA">
      <w:pPr>
        <w:spacing w:before="100" w:beforeAutospacing="1" w:after="100" w:afterAutospacing="1" w:line="240" w:lineRule="auto"/>
        <w:rPr>
          <w:rFonts w:eastAsia="Times New Roman" w:cs="Times New Roman"/>
          <w:szCs w:val="24"/>
        </w:rPr>
      </w:pPr>
      <w:r w:rsidRPr="000B06CA">
        <w:rPr>
          <w:rFonts w:eastAsia="Times New Roman" w:cs="Times New Roman"/>
          <w:szCs w:val="24"/>
        </w:rPr>
        <w:t>Tissue regeneration after prostate cancer treatment is hindered by a combination of structural, biochemical, and physiological constraints. One major limitation is the inherently low vascularity of the pelvic region, which is further exacerbated by surgical devascularization or radiation-induced endothelial injury. As a result, implanted scaffolds and resident stem cells often receive insufficient oxygen and nutrient supply necessary to support effective tissue regeneration (Guo et al., 2025; Feng et al., 2025). In addition, pronounced fibrosis and scar tissue accumulation impede cellular infiltration and extracellular matrix remodeling, creating a mechanically rigid environment that is unfavorable for regenerative processes (Patel et al., 2025; Michaelson et al., 2008).</w:t>
      </w:r>
    </w:p>
    <w:p w14:paraId="39155F25" w14:textId="77777777" w:rsidR="000B06CA" w:rsidRPr="000B06CA" w:rsidRDefault="000B06CA" w:rsidP="000B06CA">
      <w:pPr>
        <w:spacing w:before="100" w:beforeAutospacing="1" w:after="100" w:afterAutospacing="1" w:line="240" w:lineRule="auto"/>
        <w:rPr>
          <w:rFonts w:eastAsia="Times New Roman" w:cs="Times New Roman"/>
          <w:szCs w:val="24"/>
        </w:rPr>
      </w:pPr>
      <w:r w:rsidRPr="000B06CA">
        <w:rPr>
          <w:rFonts w:eastAsia="Times New Roman" w:cs="Times New Roman"/>
          <w:szCs w:val="24"/>
        </w:rPr>
        <w:t xml:space="preserve">A further challenge arises from the disruption of the basement membrane and the loss of organized extracellular matrix (ECM) structure. Surgical resection and radiation therapy both alter ECM </w:t>
      </w:r>
      <w:r w:rsidRPr="000B06CA">
        <w:rPr>
          <w:rFonts w:eastAsia="Times New Roman" w:cs="Times New Roman"/>
          <w:szCs w:val="24"/>
        </w:rPr>
        <w:lastRenderedPageBreak/>
        <w:t xml:space="preserve">architecture that normally regulates cell adhesion, differentiation, and coordinated tissue remodeling (Baharlouei &amp; Rahman, 2022; </w:t>
      </w:r>
      <w:proofErr w:type="spellStart"/>
      <w:r w:rsidRPr="000B06CA">
        <w:rPr>
          <w:rFonts w:eastAsia="Times New Roman" w:cs="Times New Roman"/>
          <w:szCs w:val="24"/>
        </w:rPr>
        <w:t>Béduer</w:t>
      </w:r>
      <w:proofErr w:type="spellEnd"/>
      <w:r w:rsidRPr="000B06CA">
        <w:rPr>
          <w:rFonts w:eastAsia="Times New Roman" w:cs="Times New Roman"/>
          <w:szCs w:val="24"/>
        </w:rPr>
        <w:t xml:space="preserve"> et al., 2022). In the absence of an intact ECM framework, effective cellular repopulation and reconstruction of damaged tissue become limited (Ahangar et al., 2018; Huang &amp; Chu, 2019). Collectively, these obstacles highlight the rationale for investigating injectable scaffolds and advanced biomaterial systems designed to re-establish a supportive microenvironment for targeted prostate tissue regeneration (Spector &amp; Lim, 2016; Raucci et al., 2020).</w:t>
      </w:r>
    </w:p>
    <w:p w14:paraId="03EFD939" w14:textId="77777777" w:rsidR="006A41B6" w:rsidRPr="00F131F2" w:rsidRDefault="006A41B6" w:rsidP="006A41B6">
      <w:pPr>
        <w:spacing w:before="100" w:beforeAutospacing="1" w:after="100" w:afterAutospacing="1" w:line="240" w:lineRule="auto"/>
        <w:rPr>
          <w:rFonts w:eastAsia="Times New Roman" w:cs="Times New Roman"/>
          <w:b/>
          <w:szCs w:val="24"/>
        </w:rPr>
      </w:pPr>
      <w:r w:rsidRPr="00F131F2">
        <w:rPr>
          <w:rFonts w:cs="Times New Roman"/>
          <w:b/>
          <w:color w:val="000000" w:themeColor="text1"/>
          <w:szCs w:val="24"/>
        </w:rPr>
        <w:t xml:space="preserve">Table </w:t>
      </w:r>
      <w:r w:rsidRPr="00F131F2">
        <w:rPr>
          <w:rFonts w:cs="Times New Roman"/>
          <w:b/>
          <w:color w:val="000000" w:themeColor="text1"/>
          <w:szCs w:val="24"/>
        </w:rPr>
        <w:fldChar w:fldCharType="begin"/>
      </w:r>
      <w:r w:rsidRPr="00F131F2">
        <w:rPr>
          <w:rFonts w:cs="Times New Roman"/>
          <w:b/>
          <w:color w:val="000000" w:themeColor="text1"/>
          <w:szCs w:val="24"/>
        </w:rPr>
        <w:instrText xml:space="preserve"> SEQ Table \* ARABIC </w:instrText>
      </w:r>
      <w:r w:rsidRPr="00F131F2">
        <w:rPr>
          <w:rFonts w:cs="Times New Roman"/>
          <w:b/>
          <w:color w:val="000000" w:themeColor="text1"/>
          <w:szCs w:val="24"/>
        </w:rPr>
        <w:fldChar w:fldCharType="separate"/>
      </w:r>
      <w:r w:rsidR="00EF425B" w:rsidRPr="00F131F2">
        <w:rPr>
          <w:rFonts w:cs="Times New Roman"/>
          <w:b/>
          <w:noProof/>
          <w:color w:val="000000" w:themeColor="text1"/>
          <w:szCs w:val="24"/>
        </w:rPr>
        <w:t>1</w:t>
      </w:r>
      <w:r w:rsidRPr="00F131F2">
        <w:rPr>
          <w:rFonts w:cs="Times New Roman"/>
          <w:b/>
          <w:color w:val="000000" w:themeColor="text1"/>
          <w:szCs w:val="24"/>
        </w:rPr>
        <w:fldChar w:fldCharType="end"/>
      </w:r>
      <w:r w:rsidRPr="00F131F2">
        <w:rPr>
          <w:rFonts w:cs="Times New Roman"/>
          <w:b/>
          <w:color w:val="000000" w:themeColor="text1"/>
          <w:szCs w:val="24"/>
        </w:rPr>
        <w:t xml:space="preserve">: </w:t>
      </w:r>
      <w:r w:rsidRPr="00F131F2">
        <w:rPr>
          <w:rFonts w:eastAsia="Times New Roman" w:cs="Times New Roman"/>
          <w:b/>
          <w:bCs/>
          <w:color w:val="000000" w:themeColor="text1"/>
          <w:szCs w:val="24"/>
        </w:rPr>
        <w:t>Barriers to prostate tissue regeneration</w:t>
      </w:r>
      <w:r w:rsidRPr="00F131F2">
        <w:rPr>
          <w:rFonts w:eastAsia="Times New Roman" w:cs="Times New Roman"/>
          <w:b/>
          <w:color w:val="000000" w:themeColor="text1"/>
          <w:szCs w:val="24"/>
        </w:rPr>
        <w:t xml:space="preserve"> after cancer treatment</w:t>
      </w:r>
      <w:r w:rsidR="00F131F2">
        <w:rPr>
          <w:rFonts w:eastAsia="Times New Roman" w:cs="Times New Roman"/>
          <w:b/>
          <w:color w:val="000000" w:themeColor="text1"/>
          <w:szCs w:val="24"/>
        </w:rPr>
        <w:t>.</w:t>
      </w:r>
    </w:p>
    <w:tbl>
      <w:tblPr>
        <w:tblStyle w:val="TableGrid"/>
        <w:tblW w:w="0" w:type="auto"/>
        <w:tblLook w:val="04A0" w:firstRow="1" w:lastRow="0" w:firstColumn="1" w:lastColumn="0" w:noHBand="0" w:noVBand="1"/>
      </w:tblPr>
      <w:tblGrid>
        <w:gridCol w:w="1922"/>
        <w:gridCol w:w="1565"/>
        <w:gridCol w:w="2070"/>
        <w:gridCol w:w="2351"/>
        <w:gridCol w:w="1442"/>
      </w:tblGrid>
      <w:tr w:rsidR="004E5CAF" w:rsidRPr="004E5CAF" w14:paraId="6518583B" w14:textId="77777777" w:rsidTr="004E5CAF">
        <w:tc>
          <w:tcPr>
            <w:tcW w:w="0" w:type="auto"/>
            <w:hideMark/>
          </w:tcPr>
          <w:p w14:paraId="236D1DD3"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Barrier Category</w:t>
            </w:r>
          </w:p>
        </w:tc>
        <w:tc>
          <w:tcPr>
            <w:tcW w:w="0" w:type="auto"/>
            <w:hideMark/>
          </w:tcPr>
          <w:p w14:paraId="2C1DF162"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Specific Challenge</w:t>
            </w:r>
          </w:p>
        </w:tc>
        <w:tc>
          <w:tcPr>
            <w:tcW w:w="0" w:type="auto"/>
            <w:hideMark/>
          </w:tcPr>
          <w:p w14:paraId="13C20C41"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Cause</w:t>
            </w:r>
          </w:p>
        </w:tc>
        <w:tc>
          <w:tcPr>
            <w:tcW w:w="0" w:type="auto"/>
            <w:hideMark/>
          </w:tcPr>
          <w:p w14:paraId="165CD050"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Effect on Tissue Regeneration</w:t>
            </w:r>
          </w:p>
        </w:tc>
        <w:tc>
          <w:tcPr>
            <w:tcW w:w="0" w:type="auto"/>
            <w:hideMark/>
          </w:tcPr>
          <w:p w14:paraId="01B05778" w14:textId="77777777" w:rsidR="004E5CAF" w:rsidRPr="004E5CAF" w:rsidRDefault="004E5CAF" w:rsidP="004E5CAF">
            <w:pPr>
              <w:jc w:val="center"/>
              <w:rPr>
                <w:rFonts w:eastAsia="Times New Roman" w:cs="Times New Roman"/>
                <w:b/>
                <w:bCs/>
                <w:sz w:val="20"/>
                <w:szCs w:val="24"/>
              </w:rPr>
            </w:pPr>
            <w:commentRangeStart w:id="1"/>
            <w:r w:rsidRPr="004E5CAF">
              <w:rPr>
                <w:rFonts w:eastAsia="Times New Roman" w:cs="Times New Roman"/>
                <w:b/>
                <w:bCs/>
                <w:sz w:val="20"/>
                <w:szCs w:val="24"/>
              </w:rPr>
              <w:t>Citation</w:t>
            </w:r>
            <w:commentRangeEnd w:id="1"/>
            <w:r w:rsidR="0079150F">
              <w:rPr>
                <w:rStyle w:val="CommentReference"/>
              </w:rPr>
              <w:commentReference w:id="1"/>
            </w:r>
          </w:p>
        </w:tc>
      </w:tr>
      <w:tr w:rsidR="004E5CAF" w:rsidRPr="004E5CAF" w14:paraId="6F3B57AD" w14:textId="77777777" w:rsidTr="004E5CAF">
        <w:tc>
          <w:tcPr>
            <w:tcW w:w="0" w:type="auto"/>
            <w:hideMark/>
          </w:tcPr>
          <w:p w14:paraId="71FDADC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Vascular / Physiological</w:t>
            </w:r>
          </w:p>
        </w:tc>
        <w:tc>
          <w:tcPr>
            <w:tcW w:w="0" w:type="auto"/>
            <w:hideMark/>
          </w:tcPr>
          <w:p w14:paraId="2C004359"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Low pelvic vascularity</w:t>
            </w:r>
          </w:p>
        </w:tc>
        <w:tc>
          <w:tcPr>
            <w:tcW w:w="0" w:type="auto"/>
            <w:hideMark/>
          </w:tcPr>
          <w:p w14:paraId="21246CA6"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Surgical devascularization and radiation-induced endothelial damage</w:t>
            </w:r>
          </w:p>
        </w:tc>
        <w:tc>
          <w:tcPr>
            <w:tcW w:w="0" w:type="auto"/>
            <w:hideMark/>
          </w:tcPr>
          <w:p w14:paraId="0D68E27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Reduced oxygen and nutrient supply to scaffolds and stem cells, leading to poor cell survival and delayed tissue repair</w:t>
            </w:r>
          </w:p>
        </w:tc>
        <w:tc>
          <w:tcPr>
            <w:tcW w:w="0" w:type="auto"/>
            <w:hideMark/>
          </w:tcPr>
          <w:p w14:paraId="0BC3BD21"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4E5CAF" w:rsidRPr="004E5CAF" w14:paraId="79CA8C3B" w14:textId="77777777" w:rsidTr="004E5CAF">
        <w:tc>
          <w:tcPr>
            <w:tcW w:w="0" w:type="auto"/>
            <w:hideMark/>
          </w:tcPr>
          <w:p w14:paraId="529F8CFF"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Structural / Mechanical</w:t>
            </w:r>
          </w:p>
        </w:tc>
        <w:tc>
          <w:tcPr>
            <w:tcW w:w="0" w:type="auto"/>
            <w:hideMark/>
          </w:tcPr>
          <w:p w14:paraId="4DF0E3EF"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Fibrosis and scar tissue formation</w:t>
            </w:r>
          </w:p>
        </w:tc>
        <w:tc>
          <w:tcPr>
            <w:tcW w:w="0" w:type="auto"/>
            <w:hideMark/>
          </w:tcPr>
          <w:p w14:paraId="2D6524B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Healing response after surgery and radiation therapy</w:t>
            </w:r>
          </w:p>
        </w:tc>
        <w:tc>
          <w:tcPr>
            <w:tcW w:w="0" w:type="auto"/>
            <w:hideMark/>
          </w:tcPr>
          <w:p w14:paraId="1C3F232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Creates a stiff mechanical environment that restricts cell infiltration and matrix remodeling</w:t>
            </w:r>
          </w:p>
        </w:tc>
        <w:tc>
          <w:tcPr>
            <w:tcW w:w="0" w:type="auto"/>
            <w:hideMark/>
          </w:tcPr>
          <w:p w14:paraId="3D3372DE"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4E5CAF" w:rsidRPr="004E5CAF" w14:paraId="2E81540C" w14:textId="77777777" w:rsidTr="004E5CAF">
        <w:tc>
          <w:tcPr>
            <w:tcW w:w="0" w:type="auto"/>
            <w:hideMark/>
          </w:tcPr>
          <w:p w14:paraId="6A72AE9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Biochemical / ECM-related</w:t>
            </w:r>
          </w:p>
        </w:tc>
        <w:tc>
          <w:tcPr>
            <w:tcW w:w="0" w:type="auto"/>
            <w:hideMark/>
          </w:tcPr>
          <w:p w14:paraId="4CA1AE8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Loss of basement membrane and ECM organization</w:t>
            </w:r>
          </w:p>
        </w:tc>
        <w:tc>
          <w:tcPr>
            <w:tcW w:w="0" w:type="auto"/>
            <w:hideMark/>
          </w:tcPr>
          <w:p w14:paraId="71B2382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Radiation and surgical disruption of native ECM structure</w:t>
            </w:r>
          </w:p>
        </w:tc>
        <w:tc>
          <w:tcPr>
            <w:tcW w:w="0" w:type="auto"/>
            <w:hideMark/>
          </w:tcPr>
          <w:p w14:paraId="5D221832"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Impairs cell adhesion, differentiation, and proper tissue reconstruction</w:t>
            </w:r>
          </w:p>
        </w:tc>
        <w:tc>
          <w:tcPr>
            <w:tcW w:w="0" w:type="auto"/>
            <w:hideMark/>
          </w:tcPr>
          <w:p w14:paraId="00072E2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Guo et al., 2025</w:t>
            </w:r>
          </w:p>
        </w:tc>
      </w:tr>
      <w:tr w:rsidR="004E5CAF" w:rsidRPr="004E5CAF" w14:paraId="46EB8032" w14:textId="77777777" w:rsidTr="004E5CAF">
        <w:tc>
          <w:tcPr>
            <w:tcW w:w="0" w:type="auto"/>
            <w:hideMark/>
          </w:tcPr>
          <w:p w14:paraId="328222B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Microenvironmental</w:t>
            </w:r>
          </w:p>
        </w:tc>
        <w:tc>
          <w:tcPr>
            <w:tcW w:w="0" w:type="auto"/>
            <w:hideMark/>
          </w:tcPr>
          <w:p w14:paraId="457A52C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Absence of supportive regeneration niche</w:t>
            </w:r>
          </w:p>
        </w:tc>
        <w:tc>
          <w:tcPr>
            <w:tcW w:w="0" w:type="auto"/>
            <w:hideMark/>
          </w:tcPr>
          <w:p w14:paraId="00C6215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Combined vascular, structural, and ECM damage</w:t>
            </w:r>
          </w:p>
        </w:tc>
        <w:tc>
          <w:tcPr>
            <w:tcW w:w="0" w:type="auto"/>
            <w:hideMark/>
          </w:tcPr>
          <w:p w14:paraId="4BF8DA6B"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Prevents effective repopulation of damaged tissue, necessitating the use of injectable scaffolds and advanced biomaterials</w:t>
            </w:r>
          </w:p>
        </w:tc>
        <w:tc>
          <w:tcPr>
            <w:tcW w:w="0" w:type="auto"/>
            <w:hideMark/>
          </w:tcPr>
          <w:p w14:paraId="24E02B57"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r w:rsidR="004E5CAF" w:rsidRPr="004E5CAF">
              <w:rPr>
                <w:rFonts w:eastAsia="Times New Roman" w:cs="Times New Roman"/>
                <w:sz w:val="20"/>
                <w:szCs w:val="24"/>
              </w:rPr>
              <w:t>; Guo et al., 2025</w:t>
            </w:r>
          </w:p>
        </w:tc>
      </w:tr>
    </w:tbl>
    <w:p w14:paraId="53A1E4F7" w14:textId="77777777" w:rsidR="001F0B18" w:rsidRPr="005F445F" w:rsidRDefault="001F0B18" w:rsidP="005F445F">
      <w:pPr>
        <w:rPr>
          <w:rFonts w:cs="Times New Roman"/>
        </w:rPr>
      </w:pPr>
    </w:p>
    <w:p w14:paraId="04D9B9AA" w14:textId="77777777" w:rsidR="00A74500" w:rsidRPr="00A74500" w:rsidRDefault="00A74500" w:rsidP="00A74500">
      <w:r>
        <w:t xml:space="preserve">Table 1 illustrates that prostate tissue regeneration following cancer therapy is primarily constrained by inadequate vascular supply, extensive fibrosis, and disruption of the extracellular matrix. These factors create a hostile microenvironment that limits oxygen and nutrient availability, restricts cell infiltration, and impairs cell adhesion and differentiation (Guo et al., 2025; Feng et al., 2025; Patel et al., 2025). Consequently, endogenous repair processes are insufficient, underscoring the need for advanced biomaterials and injectable scaffolds to re-establish a supportive regenerative niche (Baharlouei &amp; Rahman, 2022; </w:t>
      </w:r>
      <w:proofErr w:type="spellStart"/>
      <w:r>
        <w:t>Béduer</w:t>
      </w:r>
      <w:proofErr w:type="spellEnd"/>
      <w:r>
        <w:t xml:space="preserve"> et al., 2022; Spector &amp; Lim, 2016).</w:t>
      </w:r>
    </w:p>
    <w:p w14:paraId="2FB471BF" w14:textId="77777777" w:rsidR="001F0B18" w:rsidRPr="001F0B18" w:rsidRDefault="001F0B18" w:rsidP="00AD5A31">
      <w:pPr>
        <w:pStyle w:val="Heading1"/>
      </w:pPr>
      <w:r>
        <w:t>3</w:t>
      </w:r>
      <w:r w:rsidRPr="001F0B18">
        <w:t>. Traditional Methods for Post-Prostate Cancer Tissue Repair</w:t>
      </w:r>
    </w:p>
    <w:p w14:paraId="387C6EB3" w14:textId="77777777" w:rsidR="001F0B18" w:rsidRPr="001F0B18" w:rsidRDefault="001F0B18" w:rsidP="00AD5A31">
      <w:pPr>
        <w:pStyle w:val="Heading1"/>
      </w:pPr>
      <w:r>
        <w:t>3</w:t>
      </w:r>
      <w:r w:rsidRPr="001F0B18">
        <w:t>.1 Autologous Tissue Grafting</w:t>
      </w:r>
    </w:p>
    <w:p w14:paraId="18AF995A" w14:textId="77777777" w:rsidR="00A74500" w:rsidRPr="00A74500" w:rsidRDefault="00A74500" w:rsidP="00A74500">
      <w:pPr>
        <w:spacing w:before="100" w:beforeAutospacing="1" w:after="100" w:afterAutospacing="1" w:line="240" w:lineRule="auto"/>
        <w:rPr>
          <w:rFonts w:eastAsia="Times New Roman" w:cs="Times New Roman"/>
          <w:szCs w:val="24"/>
        </w:rPr>
      </w:pPr>
      <w:r w:rsidRPr="00A74500">
        <w:rPr>
          <w:rFonts w:eastAsia="Times New Roman" w:cs="Times New Roman"/>
          <w:szCs w:val="24"/>
        </w:rPr>
        <w:t xml:space="preserve">Autologous tissue grafting has traditionally been employed to repair tissue defects following prostate cancer surgery, most commonly through fat grafting or muscle flap reconstruction using </w:t>
      </w:r>
      <w:r w:rsidRPr="00A74500">
        <w:rPr>
          <w:rFonts w:eastAsia="Times New Roman" w:cs="Times New Roman"/>
          <w:szCs w:val="24"/>
        </w:rPr>
        <w:lastRenderedPageBreak/>
        <w:t xml:space="preserve">tissue harvested from the abdomen or thigh. Fat grafting restores volume and structural support, whereas muscle flaps such as the </w:t>
      </w:r>
      <w:proofErr w:type="spellStart"/>
      <w:r w:rsidRPr="00A74500">
        <w:rPr>
          <w:rFonts w:eastAsia="Times New Roman" w:cs="Times New Roman"/>
          <w:szCs w:val="24"/>
        </w:rPr>
        <w:t>gracilis</w:t>
      </w:r>
      <w:proofErr w:type="spellEnd"/>
      <w:r w:rsidRPr="00A74500">
        <w:rPr>
          <w:rFonts w:eastAsia="Times New Roman" w:cs="Times New Roman"/>
          <w:szCs w:val="24"/>
        </w:rPr>
        <w:t xml:space="preserve"> or rectus abdominis are used to reinforce pelvic floor musculature and support the urethral sphincter (Patrick et al., 1999; Kim et al., 2011).</w:t>
      </w:r>
    </w:p>
    <w:p w14:paraId="239AE0BF" w14:textId="77777777" w:rsidR="00A74500" w:rsidRPr="00A74500" w:rsidRDefault="00A74500" w:rsidP="00A74500">
      <w:pPr>
        <w:spacing w:before="100" w:beforeAutospacing="1" w:after="100" w:afterAutospacing="1" w:line="240" w:lineRule="auto"/>
        <w:rPr>
          <w:rFonts w:eastAsia="Times New Roman" w:cs="Times New Roman"/>
          <w:szCs w:val="24"/>
        </w:rPr>
      </w:pPr>
      <w:r w:rsidRPr="00A74500">
        <w:rPr>
          <w:rFonts w:eastAsia="Times New Roman" w:cs="Times New Roman"/>
          <w:szCs w:val="24"/>
        </w:rPr>
        <w:t xml:space="preserve">However, autologous grafting is limited by low graft survival due to ischemia and poor integration, often resulting in fat resorption or muscle flap necrosis (McNeeley et al., 2014; Patel et al., 2025). In addition, donor site morbidity, including pain, scarring, and functional impairment, restricts its broader clinical application (Guo et al., 2025). These limitations underscore the need for less invasive approaches that more effectively promote functional tissue regeneration (Baharlouei &amp; Rahman, 2022; </w:t>
      </w:r>
      <w:proofErr w:type="spellStart"/>
      <w:r w:rsidRPr="00A74500">
        <w:rPr>
          <w:rFonts w:eastAsia="Times New Roman" w:cs="Times New Roman"/>
          <w:szCs w:val="24"/>
        </w:rPr>
        <w:t>Béduer</w:t>
      </w:r>
      <w:proofErr w:type="spellEnd"/>
      <w:r w:rsidRPr="00A74500">
        <w:rPr>
          <w:rFonts w:eastAsia="Times New Roman" w:cs="Times New Roman"/>
          <w:szCs w:val="24"/>
        </w:rPr>
        <w:t xml:space="preserve"> et al., 2022).</w:t>
      </w:r>
    </w:p>
    <w:p w14:paraId="07ACCB11" w14:textId="77777777" w:rsidR="001F0B18" w:rsidRPr="001F0B18" w:rsidRDefault="001F0B18" w:rsidP="00AD5A31">
      <w:pPr>
        <w:pStyle w:val="Heading1"/>
      </w:pPr>
      <w:r>
        <w:t>3</w:t>
      </w:r>
      <w:r w:rsidRPr="001F0B18">
        <w:t>.2 Collagen Injections</w:t>
      </w:r>
    </w:p>
    <w:p w14:paraId="0AF71030" w14:textId="77777777" w:rsidR="00942FD3" w:rsidRPr="00942FD3" w:rsidRDefault="00942FD3" w:rsidP="00942FD3">
      <w:pPr>
        <w:spacing w:before="100" w:beforeAutospacing="1" w:after="100" w:afterAutospacing="1" w:line="240" w:lineRule="auto"/>
        <w:rPr>
          <w:rFonts w:eastAsia="Times New Roman" w:cs="Times New Roman"/>
          <w:szCs w:val="24"/>
        </w:rPr>
      </w:pPr>
      <w:r w:rsidRPr="00942FD3">
        <w:rPr>
          <w:rFonts w:eastAsia="Times New Roman" w:cs="Times New Roman"/>
          <w:szCs w:val="24"/>
        </w:rPr>
        <w:t>Collagen injections have been applied as temporary bulking agents to improve urinary continence and provide periurethral support following prostate surgery. Sourced from bovine or porcine collagen, these materials are injected around the urethra to enhance mechanical support and promote urethral closure (Patrick et al., 1999; Kim et al., 2011).</w:t>
      </w:r>
    </w:p>
    <w:p w14:paraId="4334C014" w14:textId="77777777" w:rsidR="00942FD3" w:rsidRPr="00942FD3" w:rsidRDefault="00942FD3" w:rsidP="00942FD3">
      <w:pPr>
        <w:spacing w:before="100" w:beforeAutospacing="1" w:after="100" w:afterAutospacing="1" w:line="240" w:lineRule="auto"/>
        <w:rPr>
          <w:rFonts w:eastAsia="Times New Roman" w:cs="Times New Roman"/>
          <w:szCs w:val="24"/>
        </w:rPr>
      </w:pPr>
      <w:r w:rsidRPr="00942FD3">
        <w:rPr>
          <w:rFonts w:eastAsia="Times New Roman" w:cs="Times New Roman"/>
          <w:szCs w:val="24"/>
        </w:rPr>
        <w:t xml:space="preserve">Despite their initial benefits, collagen injections are rapidly degraded in vivo, resulting in short-lived effects that necessitate repeated treatments. Moreover, they do not promote true tissue regeneration, as they fail to restore extracellular matrix organization, vascularization, or smooth muscle function (Baharlouei &amp; Rahman, 2022; </w:t>
      </w:r>
      <w:proofErr w:type="spellStart"/>
      <w:r w:rsidRPr="00942FD3">
        <w:rPr>
          <w:rFonts w:eastAsia="Times New Roman" w:cs="Times New Roman"/>
          <w:szCs w:val="24"/>
        </w:rPr>
        <w:t>Béduer</w:t>
      </w:r>
      <w:proofErr w:type="spellEnd"/>
      <w:r w:rsidRPr="00942FD3">
        <w:rPr>
          <w:rFonts w:eastAsia="Times New Roman" w:cs="Times New Roman"/>
          <w:szCs w:val="24"/>
        </w:rPr>
        <w:t xml:space="preserve"> et al., 2022). Consequently, their ability to achieve sustained functional recovery remains limited (Spector &amp; Lim, 2016; Raucci et al., 2020).</w:t>
      </w:r>
    </w:p>
    <w:p w14:paraId="59B99369" w14:textId="77777777" w:rsidR="001F0B18" w:rsidRPr="001F0B18" w:rsidRDefault="001F0B18" w:rsidP="00AD5A31">
      <w:pPr>
        <w:pStyle w:val="Heading1"/>
      </w:pPr>
      <w:r>
        <w:t>3</w:t>
      </w:r>
      <w:r w:rsidRPr="001F0B18">
        <w:t>.3 Synthetic Urethral Bulking Agents</w:t>
      </w:r>
    </w:p>
    <w:p w14:paraId="3F58FC4F" w14:textId="77777777" w:rsidR="005F445F" w:rsidRDefault="005F445F" w:rsidP="005F445F">
      <w:pPr>
        <w:pStyle w:val="NormalWeb"/>
      </w:pPr>
      <w:r>
        <w:t>Synthetic bulking agents, such as silicone, polytetrafluoroethylene (PTFE), and hydrogel beads, have been developed to provide more durable tissue support and improve continence in post-prostatectomy patients. These materials are injected into the periurethral tissue to mechanically augment the urethral closure mechanism (Patrick et al., 1999; Kim et al., 2011).</w:t>
      </w:r>
    </w:p>
    <w:p w14:paraId="53D44262" w14:textId="77777777" w:rsidR="005F445F" w:rsidRDefault="005F445F" w:rsidP="005F445F">
      <w:pPr>
        <w:pStyle w:val="NormalWeb"/>
      </w:pPr>
      <w:r>
        <w:t xml:space="preserve">Despite improved durability compared to collagen, synthetic bulking agents carry risks of migration, granuloma formation, and local inflammation. Migration of particles can lead to embolization or uneven tissue bulking, while granulomas may cause chronic discomfort or require surgical removal (Baharlouei &amp; Rahman, 2022; </w:t>
      </w:r>
      <w:proofErr w:type="spellStart"/>
      <w:r>
        <w:t>Béduer</w:t>
      </w:r>
      <w:proofErr w:type="spellEnd"/>
      <w:r>
        <w:t xml:space="preserve"> et al., 2022). Consequently, while these agents offer temporary functional improvement, they do not restore the native stromal architecture or vascular network necessary for true tissue regeneration (Spector &amp; Lim, 2016; Raucci et al., 2020).</w:t>
      </w:r>
    </w:p>
    <w:p w14:paraId="110381B8" w14:textId="77777777" w:rsidR="001F0B18" w:rsidRPr="001F0B18" w:rsidRDefault="001F0B18" w:rsidP="00AD5A31">
      <w:pPr>
        <w:pStyle w:val="Heading1"/>
      </w:pPr>
      <w:r>
        <w:t>3</w:t>
      </w:r>
      <w:r w:rsidRPr="001F0B18">
        <w:t>.4 Pharmacologic Agents</w:t>
      </w:r>
    </w:p>
    <w:p w14:paraId="4E943AB2"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 xml:space="preserve">Pharmacologic strategies, including phosphodiesterase type 5 (PDE5) inhibitors and anti-fibrotic agents, have been investigated to enhance tissue recovery following prostate cancer treatment. PDE5 inhibitors such as sildenafil and tadalafil improve local blood flow, support endothelial function, and alleviate erectile dysfunction after surgery or radiotherapy (Patel et al., 2025; Michaelson et al., 2008). Experimental anti-fibrotic therapies, including pentoxifylline and </w:t>
      </w:r>
      <w:r w:rsidRPr="00633C54">
        <w:rPr>
          <w:rFonts w:eastAsia="Times New Roman" w:cs="Times New Roman"/>
          <w:szCs w:val="24"/>
        </w:rPr>
        <w:lastRenderedPageBreak/>
        <w:t xml:space="preserve">angiotensin receptor blockers, aim to limit fibrosis and preserve tissue elasticity (Baharlouei &amp; Rahman, 2022; </w:t>
      </w:r>
      <w:proofErr w:type="spellStart"/>
      <w:r w:rsidRPr="00633C54">
        <w:rPr>
          <w:rFonts w:eastAsia="Times New Roman" w:cs="Times New Roman"/>
          <w:szCs w:val="24"/>
        </w:rPr>
        <w:t>Béduer</w:t>
      </w:r>
      <w:proofErr w:type="spellEnd"/>
      <w:r w:rsidRPr="00633C54">
        <w:rPr>
          <w:rFonts w:eastAsia="Times New Roman" w:cs="Times New Roman"/>
          <w:szCs w:val="24"/>
        </w:rPr>
        <w:t xml:space="preserve"> et al., 2022).</w:t>
      </w:r>
    </w:p>
    <w:p w14:paraId="279CAA1D"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However, these pharmacologic approaches provide limited regenerative benefit, as they primarily enhance perfusion or reduce scarring without offering structural support for cell adhesion, migration, or matrix formation. Consequently, restoration of tissue architecture and long-term functional recovery remains insufficient (Spector &amp; Lim, 2016; Raucci et al., 2020).</w:t>
      </w:r>
    </w:p>
    <w:p w14:paraId="4036E025" w14:textId="77777777" w:rsidR="006A41B6" w:rsidRPr="00633C54" w:rsidRDefault="001F0B18" w:rsidP="00633C54">
      <w:pPr>
        <w:pStyle w:val="Heading1"/>
      </w:pPr>
      <w:r>
        <w:t xml:space="preserve">3.5 </w:t>
      </w:r>
      <w:r w:rsidRPr="001F0B18">
        <w:t>Limitations of Traditional Methods</w:t>
      </w:r>
    </w:p>
    <w:p w14:paraId="1441BB78" w14:textId="77777777" w:rsidR="00633C54" w:rsidRPr="00B37ECB" w:rsidRDefault="00633C54" w:rsidP="000F0B14">
      <w:pPr>
        <w:rPr>
          <w:rFonts w:cs="Times New Roman"/>
          <w:szCs w:val="24"/>
        </w:rPr>
        <w:sectPr w:rsidR="00633C54" w:rsidRPr="00B37EC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pPr>
      <w:r>
        <w:t xml:space="preserve">Overall, conventional approaches such as autologous grafting, collagen injections, synthetic bulking agents, and pharmacologic therapies (Table 2) are insufficient for restoring functional prostate or stromal tissue. These methods fail to re-establish the complex extracellular matrix, neurovascular structures, and glandular organization required for effective regeneration (Baharlouei &amp; Rahman, 2022; </w:t>
      </w:r>
      <w:proofErr w:type="spellStart"/>
      <w:r>
        <w:t>Béduer</w:t>
      </w:r>
      <w:proofErr w:type="spellEnd"/>
      <w:r>
        <w:t xml:space="preserve"> et al., 2022; Guo et al., 2025). Consequently, there is a clear need for minimally invasive, biomaterial-based injectable scaffolds capable of providing structural support, facilitating cellular repopulation, and directing controlled tissue regeneration (Spector &amp; Lim, 2016; Raucci et al., 2020; Ahangar et al., 2018).</w:t>
      </w:r>
    </w:p>
    <w:p w14:paraId="38C19DC5" w14:textId="77777777" w:rsidR="000F0B14" w:rsidRDefault="000F0B14" w:rsidP="000F0B14">
      <w:pPr>
        <w:rPr>
          <w:rFonts w:cs="Times New Roman"/>
        </w:rPr>
      </w:pPr>
    </w:p>
    <w:p w14:paraId="76CE6ABA" w14:textId="77777777" w:rsidR="006A41B6" w:rsidRPr="00F131F2" w:rsidRDefault="006A41B6" w:rsidP="00F36EF0">
      <w:pPr>
        <w:pStyle w:val="Caption"/>
        <w:rPr>
          <w:rFonts w:eastAsia="Times New Roman"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2</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Pr="00F131F2">
        <w:rPr>
          <w:rFonts w:eastAsia="Times New Roman" w:cs="Times New Roman"/>
          <w:b/>
          <w:bCs/>
          <w:i w:val="0"/>
          <w:color w:val="auto"/>
          <w:sz w:val="24"/>
          <w:szCs w:val="24"/>
        </w:rPr>
        <w:t>Summary table of traditional methods for post-prostate cancer tissue repair</w:t>
      </w:r>
      <w:r w:rsidR="00F131F2">
        <w:rPr>
          <w:rFonts w:eastAsia="Times New Roman" w:cs="Times New Roman"/>
          <w:b/>
          <w:bCs/>
          <w:i w:val="0"/>
          <w:color w:val="auto"/>
          <w:sz w:val="24"/>
          <w:szCs w:val="24"/>
        </w:rPr>
        <w:t>.</w:t>
      </w:r>
      <w:r w:rsidR="00F36EF0" w:rsidRPr="00F131F2">
        <w:rPr>
          <w:rFonts w:eastAsia="Times New Roman" w:cs="Times New Roman"/>
          <w:b/>
          <w:i w:val="0"/>
          <w:color w:val="auto"/>
          <w:sz w:val="24"/>
          <w:szCs w:val="24"/>
        </w:rPr>
        <w:t xml:space="preserve"> </w:t>
      </w:r>
    </w:p>
    <w:tbl>
      <w:tblPr>
        <w:tblStyle w:val="TableGrid"/>
        <w:tblW w:w="0" w:type="auto"/>
        <w:tblLook w:val="04A0" w:firstRow="1" w:lastRow="0" w:firstColumn="1" w:lastColumn="0" w:noHBand="0" w:noVBand="1"/>
      </w:tblPr>
      <w:tblGrid>
        <w:gridCol w:w="1803"/>
        <w:gridCol w:w="2462"/>
        <w:gridCol w:w="2148"/>
        <w:gridCol w:w="2318"/>
        <w:gridCol w:w="2771"/>
        <w:gridCol w:w="1448"/>
      </w:tblGrid>
      <w:tr w:rsidR="004E5CAF" w:rsidRPr="004E5CAF" w14:paraId="06630977" w14:textId="77777777" w:rsidTr="0062045A">
        <w:tc>
          <w:tcPr>
            <w:tcW w:w="0" w:type="auto"/>
            <w:hideMark/>
          </w:tcPr>
          <w:p w14:paraId="67E14B71"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Method</w:t>
            </w:r>
          </w:p>
        </w:tc>
        <w:tc>
          <w:tcPr>
            <w:tcW w:w="0" w:type="auto"/>
            <w:hideMark/>
          </w:tcPr>
          <w:p w14:paraId="49182137"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Material / Approach</w:t>
            </w:r>
          </w:p>
        </w:tc>
        <w:tc>
          <w:tcPr>
            <w:tcW w:w="0" w:type="auto"/>
            <w:hideMark/>
          </w:tcPr>
          <w:p w14:paraId="3DBF1BCA"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Main Function</w:t>
            </w:r>
          </w:p>
        </w:tc>
        <w:tc>
          <w:tcPr>
            <w:tcW w:w="0" w:type="auto"/>
            <w:hideMark/>
          </w:tcPr>
          <w:p w14:paraId="6799E1EE"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Advantages</w:t>
            </w:r>
          </w:p>
        </w:tc>
        <w:tc>
          <w:tcPr>
            <w:tcW w:w="0" w:type="auto"/>
            <w:hideMark/>
          </w:tcPr>
          <w:p w14:paraId="157D6797"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Major Limitations</w:t>
            </w:r>
          </w:p>
        </w:tc>
        <w:tc>
          <w:tcPr>
            <w:tcW w:w="0" w:type="auto"/>
            <w:hideMark/>
          </w:tcPr>
          <w:p w14:paraId="06FBD690"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Key References</w:t>
            </w:r>
          </w:p>
        </w:tc>
      </w:tr>
      <w:tr w:rsidR="004E5CAF" w:rsidRPr="004E5CAF" w14:paraId="0BD921B7" w14:textId="77777777" w:rsidTr="0062045A">
        <w:tc>
          <w:tcPr>
            <w:tcW w:w="0" w:type="auto"/>
            <w:hideMark/>
          </w:tcPr>
          <w:p w14:paraId="206EC1B8"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Autologous tissue grafting</w:t>
            </w:r>
          </w:p>
        </w:tc>
        <w:tc>
          <w:tcPr>
            <w:tcW w:w="0" w:type="auto"/>
            <w:hideMark/>
          </w:tcPr>
          <w:p w14:paraId="540A7F1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Fat grafts; muscle flaps (</w:t>
            </w:r>
            <w:proofErr w:type="spellStart"/>
            <w:r w:rsidRPr="004E5CAF">
              <w:rPr>
                <w:rFonts w:eastAsia="Times New Roman" w:cs="Times New Roman"/>
                <w:szCs w:val="24"/>
              </w:rPr>
              <w:t>gracilis</w:t>
            </w:r>
            <w:proofErr w:type="spellEnd"/>
            <w:r w:rsidRPr="004E5CAF">
              <w:rPr>
                <w:rFonts w:eastAsia="Times New Roman" w:cs="Times New Roman"/>
                <w:szCs w:val="24"/>
              </w:rPr>
              <w:t>, rectus abdominis) harvested from patient</w:t>
            </w:r>
          </w:p>
        </w:tc>
        <w:tc>
          <w:tcPr>
            <w:tcW w:w="0" w:type="auto"/>
            <w:hideMark/>
          </w:tcPr>
          <w:p w14:paraId="31BB827B"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Restores pelvic tissue volume and supports urethral sphincter</w:t>
            </w:r>
          </w:p>
        </w:tc>
        <w:tc>
          <w:tcPr>
            <w:tcW w:w="0" w:type="auto"/>
            <w:hideMark/>
          </w:tcPr>
          <w:p w14:paraId="018987B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Biocompatible; no immune rejection</w:t>
            </w:r>
          </w:p>
        </w:tc>
        <w:tc>
          <w:tcPr>
            <w:tcW w:w="0" w:type="auto"/>
            <w:hideMark/>
          </w:tcPr>
          <w:p w14:paraId="1427776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Low graft survival due to ischemia, fat resorption, muscle necrosis; donor site pain, scarring, functional loss</w:t>
            </w:r>
          </w:p>
        </w:tc>
        <w:tc>
          <w:tcPr>
            <w:tcW w:w="0" w:type="auto"/>
            <w:hideMark/>
          </w:tcPr>
          <w:p w14:paraId="491D808B" w14:textId="77777777" w:rsidR="004E5CAF" w:rsidRPr="004E5CAF" w:rsidRDefault="00EC2FC3" w:rsidP="0062045A">
            <w:pPr>
              <w:jc w:val="left"/>
              <w:rPr>
                <w:rFonts w:eastAsia="Times New Roman" w:cs="Times New Roman"/>
                <w:szCs w:val="24"/>
              </w:rPr>
            </w:pPr>
            <w:r>
              <w:rPr>
                <w:rFonts w:eastAsia="Times New Roman" w:cs="Times New Roman"/>
                <w:szCs w:val="24"/>
              </w:rPr>
              <w:t>Mironov et al., 2017</w:t>
            </w:r>
          </w:p>
        </w:tc>
      </w:tr>
      <w:tr w:rsidR="004E5CAF" w:rsidRPr="004E5CAF" w14:paraId="5EC692FE" w14:textId="77777777" w:rsidTr="0062045A">
        <w:tc>
          <w:tcPr>
            <w:tcW w:w="0" w:type="auto"/>
            <w:hideMark/>
          </w:tcPr>
          <w:p w14:paraId="23EF10BF"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Collagen injections</w:t>
            </w:r>
          </w:p>
        </w:tc>
        <w:tc>
          <w:tcPr>
            <w:tcW w:w="0" w:type="auto"/>
            <w:hideMark/>
          </w:tcPr>
          <w:p w14:paraId="256229C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 xml:space="preserve">Bovine or porcine collagen injected </w:t>
            </w:r>
            <w:proofErr w:type="spellStart"/>
            <w:r w:rsidRPr="004E5CAF">
              <w:rPr>
                <w:rFonts w:eastAsia="Times New Roman" w:cs="Times New Roman"/>
                <w:szCs w:val="24"/>
              </w:rPr>
              <w:t>periurethrally</w:t>
            </w:r>
            <w:proofErr w:type="spellEnd"/>
          </w:p>
        </w:tc>
        <w:tc>
          <w:tcPr>
            <w:tcW w:w="0" w:type="auto"/>
            <w:hideMark/>
          </w:tcPr>
          <w:p w14:paraId="41E8BE0F"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Temporary bulking to enhance urethral closure and continence</w:t>
            </w:r>
          </w:p>
        </w:tc>
        <w:tc>
          <w:tcPr>
            <w:tcW w:w="0" w:type="auto"/>
            <w:hideMark/>
          </w:tcPr>
          <w:p w14:paraId="18D02356"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Minimally invasive; immediate mechanical support</w:t>
            </w:r>
          </w:p>
        </w:tc>
        <w:tc>
          <w:tcPr>
            <w:tcW w:w="0" w:type="auto"/>
            <w:hideMark/>
          </w:tcPr>
          <w:p w14:paraId="03E8649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Rapid degradation; requires repeat injections; does not restore ECM, vasculature, or smooth muscle</w:t>
            </w:r>
          </w:p>
        </w:tc>
        <w:tc>
          <w:tcPr>
            <w:tcW w:w="0" w:type="auto"/>
            <w:hideMark/>
          </w:tcPr>
          <w:p w14:paraId="0567161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Beilharz et al., 2024</w:t>
            </w:r>
          </w:p>
        </w:tc>
      </w:tr>
      <w:tr w:rsidR="004E5CAF" w:rsidRPr="004E5CAF" w14:paraId="6607F080" w14:textId="77777777" w:rsidTr="0062045A">
        <w:tc>
          <w:tcPr>
            <w:tcW w:w="0" w:type="auto"/>
            <w:hideMark/>
          </w:tcPr>
          <w:p w14:paraId="03020E0B"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Synthetic bulking agents</w:t>
            </w:r>
          </w:p>
        </w:tc>
        <w:tc>
          <w:tcPr>
            <w:tcW w:w="0" w:type="auto"/>
            <w:hideMark/>
          </w:tcPr>
          <w:p w14:paraId="00E16177"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Silicone, PTFE, hydrogel beads</w:t>
            </w:r>
          </w:p>
        </w:tc>
        <w:tc>
          <w:tcPr>
            <w:tcW w:w="0" w:type="auto"/>
            <w:hideMark/>
          </w:tcPr>
          <w:p w14:paraId="6164BED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Mechanical augmentation of urethral closure</w:t>
            </w:r>
          </w:p>
        </w:tc>
        <w:tc>
          <w:tcPr>
            <w:tcW w:w="0" w:type="auto"/>
            <w:hideMark/>
          </w:tcPr>
          <w:p w14:paraId="70F92551"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More durable than collagen; improves continence</w:t>
            </w:r>
          </w:p>
        </w:tc>
        <w:tc>
          <w:tcPr>
            <w:tcW w:w="0" w:type="auto"/>
            <w:hideMark/>
          </w:tcPr>
          <w:p w14:paraId="211999E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Particle migration, granuloma formation, chronic inflammation; no true tissue regeneration</w:t>
            </w:r>
          </w:p>
        </w:tc>
        <w:tc>
          <w:tcPr>
            <w:tcW w:w="0" w:type="auto"/>
            <w:hideMark/>
          </w:tcPr>
          <w:p w14:paraId="6E30ED2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Beilharz et al., 2024</w:t>
            </w:r>
          </w:p>
        </w:tc>
      </w:tr>
      <w:tr w:rsidR="004E5CAF" w:rsidRPr="004E5CAF" w14:paraId="22FD4E5E" w14:textId="77777777" w:rsidTr="0062045A">
        <w:tc>
          <w:tcPr>
            <w:tcW w:w="0" w:type="auto"/>
            <w:hideMark/>
          </w:tcPr>
          <w:p w14:paraId="59A242D4"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Pharmacologic agents</w:t>
            </w:r>
          </w:p>
        </w:tc>
        <w:tc>
          <w:tcPr>
            <w:tcW w:w="0" w:type="auto"/>
            <w:hideMark/>
          </w:tcPr>
          <w:p w14:paraId="40EAA12C"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PDE5 inhibitors (sildenafil, tadalafil); anti-</w:t>
            </w:r>
            <w:proofErr w:type="spellStart"/>
            <w:r w:rsidRPr="004E5CAF">
              <w:rPr>
                <w:rFonts w:eastAsia="Times New Roman" w:cs="Times New Roman"/>
                <w:szCs w:val="24"/>
              </w:rPr>
              <w:t>fibrotics</w:t>
            </w:r>
            <w:proofErr w:type="spellEnd"/>
            <w:r w:rsidRPr="004E5CAF">
              <w:rPr>
                <w:rFonts w:eastAsia="Times New Roman" w:cs="Times New Roman"/>
                <w:szCs w:val="24"/>
              </w:rPr>
              <w:t xml:space="preserve"> (pentoxifylline, ARBs)</w:t>
            </w:r>
          </w:p>
        </w:tc>
        <w:tc>
          <w:tcPr>
            <w:tcW w:w="0" w:type="auto"/>
            <w:hideMark/>
          </w:tcPr>
          <w:p w14:paraId="0435ECE1"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Improve blood flow, reduce fibrosis, support tissue recovery</w:t>
            </w:r>
          </w:p>
        </w:tc>
        <w:tc>
          <w:tcPr>
            <w:tcW w:w="0" w:type="auto"/>
            <w:hideMark/>
          </w:tcPr>
          <w:p w14:paraId="23CD29B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Non-invasive; improves vascular perfusion and erectile function</w:t>
            </w:r>
          </w:p>
        </w:tc>
        <w:tc>
          <w:tcPr>
            <w:tcW w:w="0" w:type="auto"/>
            <w:hideMark/>
          </w:tcPr>
          <w:p w14:paraId="10C5166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No structural support; limited regenerative capacity; poor restoration of stromal architecture</w:t>
            </w:r>
          </w:p>
        </w:tc>
        <w:tc>
          <w:tcPr>
            <w:tcW w:w="0" w:type="auto"/>
            <w:hideMark/>
          </w:tcPr>
          <w:p w14:paraId="73F8987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Patel et al., 2025</w:t>
            </w:r>
          </w:p>
        </w:tc>
      </w:tr>
    </w:tbl>
    <w:p w14:paraId="6AB436DA" w14:textId="77777777" w:rsidR="004E5CAF" w:rsidRDefault="004E5CAF" w:rsidP="006A41B6">
      <w:pPr>
        <w:spacing w:before="100" w:beforeAutospacing="1" w:after="100" w:afterAutospacing="1" w:line="240" w:lineRule="auto"/>
        <w:rPr>
          <w:rFonts w:eastAsia="Times New Roman" w:cs="Times New Roman"/>
          <w:szCs w:val="24"/>
        </w:rPr>
        <w:sectPr w:rsidR="004E5CAF" w:rsidSect="006A41B6">
          <w:pgSz w:w="15840" w:h="12240" w:orient="landscape"/>
          <w:pgMar w:top="1440" w:right="1440" w:bottom="1440" w:left="1440" w:header="708" w:footer="708" w:gutter="0"/>
          <w:cols w:space="708"/>
          <w:docGrid w:linePitch="360"/>
        </w:sectPr>
      </w:pPr>
    </w:p>
    <w:p w14:paraId="1EA926B5" w14:textId="77777777" w:rsidR="006A41B6" w:rsidRDefault="006A41B6" w:rsidP="000F0B14">
      <w:pPr>
        <w:rPr>
          <w:rFonts w:cs="Times New Roman"/>
        </w:rPr>
      </w:pPr>
    </w:p>
    <w:p w14:paraId="5A3EBB9A" w14:textId="77777777" w:rsidR="001F0B18" w:rsidRPr="001F0B18" w:rsidRDefault="00702701" w:rsidP="00AD5A31">
      <w:pPr>
        <w:pStyle w:val="Heading1"/>
      </w:pPr>
      <w:r>
        <w:t>4</w:t>
      </w:r>
      <w:r w:rsidR="001F0B18" w:rsidRPr="001F0B18">
        <w:t>. Injectable Scaffolds: Concept and Mechanism</w:t>
      </w:r>
    </w:p>
    <w:p w14:paraId="33AFF895" w14:textId="77777777" w:rsidR="001F0B18" w:rsidRPr="001F0B18" w:rsidRDefault="00702701" w:rsidP="00AD5A31">
      <w:pPr>
        <w:pStyle w:val="Heading1"/>
      </w:pPr>
      <w:r>
        <w:t>4</w:t>
      </w:r>
      <w:r w:rsidR="001F0B18" w:rsidRPr="001F0B18">
        <w:t>.1 Definition</w:t>
      </w:r>
    </w:p>
    <w:p w14:paraId="00E04CB7"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Injectable scaffolds are flowable or hydrogel-based biomaterials that can be delivered minimally invasively into damaged tissues, where they solidify in situ to form a three-dimensional (3D) structure resembling the native extracellular matrix (ECM) (Spector &amp; Lim, 2016; Raucci et al., 2020). Unlike pre-formed scaffolds, injectable systems adapt to irregular defects and reduce surgical trauma (Drabczyk et al., 2024; Kretlow et al., 2009). Gelation occurs through physical, chemical, or enzymatic mechanisms, producing a scaffold that provides mechanical support and a biomimetic environment for cell adhesion, proliferation, and differentiation (Kim et al., 2011; Beilharz et al., 2024).</w:t>
      </w:r>
    </w:p>
    <w:p w14:paraId="37EBC121"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 xml:space="preserve">Design strategies focus on mimicking essential features of the tissue microenvironment by optimizing porosity, stiffness, degradation rate, and biochemical functionalization to promote regeneration while limiting inflammation (Li et al., 2020; </w:t>
      </w:r>
      <w:proofErr w:type="spellStart"/>
      <w:r w:rsidRPr="00633C54">
        <w:rPr>
          <w:rFonts w:eastAsia="Times New Roman" w:cs="Times New Roman"/>
          <w:szCs w:val="24"/>
        </w:rPr>
        <w:t>Motealleh</w:t>
      </w:r>
      <w:proofErr w:type="spellEnd"/>
      <w:r w:rsidRPr="00633C54">
        <w:rPr>
          <w:rFonts w:eastAsia="Times New Roman" w:cs="Times New Roman"/>
          <w:szCs w:val="24"/>
        </w:rPr>
        <w:t xml:space="preserve"> et al., 2020). Advanced injectable scaffolds may also incorporate bioactive molecules, stem cells, or exosomes to enhance regenerative outcomes, making them well suited for complex tissue repair, including post–prostate cancer regeneration (Feng et al., 2025; Ahangar et al., 2018).</w:t>
      </w:r>
    </w:p>
    <w:p w14:paraId="6A5CCEC0" w14:textId="77777777" w:rsidR="007238AF" w:rsidRPr="007238AF" w:rsidRDefault="00702701" w:rsidP="007238AF">
      <w:pPr>
        <w:pStyle w:val="Heading1"/>
      </w:pPr>
      <w:r>
        <w:t>4</w:t>
      </w:r>
      <w:r w:rsidR="001F0B18" w:rsidRPr="001F0B18">
        <w:t>.2 Mechanisms of Action</w:t>
      </w:r>
    </w:p>
    <w:p w14:paraId="05749729" w14:textId="77777777" w:rsidR="007238AF" w:rsidRPr="007238AF" w:rsidRDefault="007238AF" w:rsidP="007238AF">
      <w:pPr>
        <w:spacing w:before="100" w:beforeAutospacing="1" w:after="100" w:afterAutospacing="1" w:line="240" w:lineRule="auto"/>
        <w:rPr>
          <w:rFonts w:eastAsia="Times New Roman" w:cs="Times New Roman"/>
          <w:szCs w:val="24"/>
        </w:rPr>
      </w:pPr>
      <w:r w:rsidRPr="007238AF">
        <w:rPr>
          <w:rFonts w:eastAsia="Times New Roman" w:cs="Times New Roman"/>
          <w:szCs w:val="24"/>
        </w:rPr>
        <w:t xml:space="preserve">The regenerative effectiveness of injectable scaffolds is driven by several interconnected mechanisms. Primarily, these materials replicate native extracellular matrix (ECM) features by presenting structural components such as collagen, elastin, and proteoglycans, which regulate cell adhesion, migration, and proliferation (Baharlouei &amp; Rahman, 2022; </w:t>
      </w:r>
      <w:proofErr w:type="spellStart"/>
      <w:r w:rsidRPr="007238AF">
        <w:rPr>
          <w:rFonts w:eastAsia="Times New Roman" w:cs="Times New Roman"/>
          <w:szCs w:val="24"/>
        </w:rPr>
        <w:t>Béduer</w:t>
      </w:r>
      <w:proofErr w:type="spellEnd"/>
      <w:r w:rsidRPr="007238AF">
        <w:rPr>
          <w:rFonts w:eastAsia="Times New Roman" w:cs="Times New Roman"/>
          <w:szCs w:val="24"/>
        </w:rPr>
        <w:t xml:space="preserve"> et al., 2022). This ECM mimicry supports tissue-specific organization, stromal–epithelial interactions, and restoration of glandular architecture (Guo et al., 2025).</w:t>
      </w:r>
    </w:p>
    <w:p w14:paraId="64D7B996" w14:textId="77777777" w:rsidR="007238AF" w:rsidRPr="007238AF" w:rsidRDefault="007238AF" w:rsidP="007238AF">
      <w:pPr>
        <w:spacing w:before="100" w:beforeAutospacing="1" w:after="100" w:afterAutospacing="1" w:line="240" w:lineRule="auto"/>
        <w:rPr>
          <w:rFonts w:eastAsia="Times New Roman" w:cs="Times New Roman"/>
          <w:szCs w:val="24"/>
        </w:rPr>
      </w:pPr>
      <w:r w:rsidRPr="007238AF">
        <w:rPr>
          <w:rFonts w:eastAsia="Times New Roman" w:cs="Times New Roman"/>
          <w:szCs w:val="24"/>
        </w:rPr>
        <w:t>Injectable scaffolds also promote angiogenesis by providing a three-dimensional environment that facilitates endothelial cell infiltration and capillary formation, thereby improving oxygen and nutrient delivery essential for tissue survival, particularly in post-surgical or irradiated prostate tissue (Spector &amp; Lim, 2016; Kretlow et al., 2007; Beilharz et al., 2024). In addition, these systems enhance stem cell recruitment and retention by creating a bioactive microenvironment that supports progenitor cell proliferation and differentiation into functional stromal and epithelial lineages (Raucci et al., 2020; Ahangar et al., 2018; Li et al., 2020).</w:t>
      </w:r>
    </w:p>
    <w:p w14:paraId="42F7AA73" w14:textId="77777777" w:rsidR="007238AF" w:rsidRPr="007238AF" w:rsidRDefault="007238AF" w:rsidP="007238AF">
      <w:pPr>
        <w:spacing w:before="100" w:beforeAutospacing="1" w:after="100" w:afterAutospacing="1" w:line="240" w:lineRule="auto"/>
        <w:rPr>
          <w:rFonts w:eastAsia="Times New Roman" w:cs="Times New Roman"/>
          <w:szCs w:val="24"/>
        </w:rPr>
      </w:pPr>
      <w:r w:rsidRPr="007238AF">
        <w:rPr>
          <w:rFonts w:eastAsia="Times New Roman" w:cs="Times New Roman"/>
          <w:szCs w:val="24"/>
        </w:rPr>
        <w:t xml:space="preserve">Furthermore, injectable scaffolds allow localized and sustained release of regenerative factors such as VEGF, </w:t>
      </w:r>
      <w:proofErr w:type="spellStart"/>
      <w:r w:rsidRPr="007238AF">
        <w:rPr>
          <w:rFonts w:eastAsia="Times New Roman" w:cs="Times New Roman"/>
          <w:szCs w:val="24"/>
        </w:rPr>
        <w:t>bFGF</w:t>
      </w:r>
      <w:proofErr w:type="spellEnd"/>
      <w:r w:rsidRPr="007238AF">
        <w:rPr>
          <w:rFonts w:eastAsia="Times New Roman" w:cs="Times New Roman"/>
          <w:szCs w:val="24"/>
        </w:rPr>
        <w:t xml:space="preserve">, and BMPs, prolonging bioactivity and minimizing the need for repeated administration (Drabczyk et al., 2024; </w:t>
      </w:r>
      <w:proofErr w:type="spellStart"/>
      <w:r w:rsidRPr="007238AF">
        <w:rPr>
          <w:rFonts w:eastAsia="Times New Roman" w:cs="Times New Roman"/>
          <w:szCs w:val="24"/>
        </w:rPr>
        <w:t>Motealleh</w:t>
      </w:r>
      <w:proofErr w:type="spellEnd"/>
      <w:r w:rsidRPr="007238AF">
        <w:rPr>
          <w:rFonts w:eastAsia="Times New Roman" w:cs="Times New Roman"/>
          <w:szCs w:val="24"/>
        </w:rPr>
        <w:t xml:space="preserve"> et al., 2020). Finally, by providing mechanical support and modulating ECM deposition, scaffold stiffness, and inflammatory signaling, injectable systems reduce fibrosis and create a permissive environment for long-term functional tissue regeneration (Feng et al., 2025; Mironov et al., 2017; Kim et al., 2011; Beilharz et al., 2024).</w:t>
      </w:r>
    </w:p>
    <w:p w14:paraId="3252DA64" w14:textId="77777777" w:rsidR="001F0B18" w:rsidRPr="00F131F2" w:rsidRDefault="00A12845" w:rsidP="00A12845">
      <w:pPr>
        <w:pStyle w:val="Caption"/>
        <w:rPr>
          <w:rFonts w:cs="Times New Roman"/>
          <w:b/>
          <w:i w:val="0"/>
          <w:sz w:val="24"/>
          <w:szCs w:val="24"/>
        </w:rPr>
      </w:pPr>
      <w:r w:rsidRPr="00F131F2">
        <w:rPr>
          <w:rFonts w:cs="Times New Roman"/>
          <w:b/>
          <w:i w:val="0"/>
          <w:color w:val="auto"/>
          <w:sz w:val="24"/>
          <w:szCs w:val="24"/>
        </w:rPr>
        <w:lastRenderedPageBreak/>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3</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1F0B18" w:rsidRPr="00F131F2">
        <w:rPr>
          <w:rFonts w:cs="Times New Roman"/>
          <w:b/>
          <w:i w:val="0"/>
          <w:color w:val="auto"/>
          <w:sz w:val="24"/>
          <w:szCs w:val="24"/>
        </w:rPr>
        <w:t>Representative Injectable Scaffold Materials and Mechanisms of Action</w:t>
      </w:r>
      <w:r w:rsidR="00F131F2">
        <w:rPr>
          <w:rFonts w:cs="Times New Roman"/>
          <w:b/>
          <w:i w:val="0"/>
          <w:color w:val="auto"/>
          <w:sz w:val="24"/>
          <w:szCs w:val="24"/>
        </w:rPr>
        <w:t>.</w:t>
      </w:r>
    </w:p>
    <w:tbl>
      <w:tblPr>
        <w:tblStyle w:val="TableGrid"/>
        <w:tblW w:w="0" w:type="auto"/>
        <w:tblLook w:val="04A0" w:firstRow="1" w:lastRow="0" w:firstColumn="1" w:lastColumn="0" w:noHBand="0" w:noVBand="1"/>
      </w:tblPr>
      <w:tblGrid>
        <w:gridCol w:w="1912"/>
        <w:gridCol w:w="1386"/>
        <w:gridCol w:w="3683"/>
        <w:gridCol w:w="2369"/>
      </w:tblGrid>
      <w:tr w:rsidR="006D553D" w:rsidRPr="006D553D" w14:paraId="6C9145D0" w14:textId="77777777" w:rsidTr="006D553D">
        <w:tc>
          <w:tcPr>
            <w:tcW w:w="0" w:type="auto"/>
            <w:hideMark/>
          </w:tcPr>
          <w:p w14:paraId="2F90F549"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Material Type</w:t>
            </w:r>
          </w:p>
        </w:tc>
        <w:tc>
          <w:tcPr>
            <w:tcW w:w="0" w:type="auto"/>
            <w:hideMark/>
          </w:tcPr>
          <w:p w14:paraId="671ECBE2"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Source</w:t>
            </w:r>
          </w:p>
        </w:tc>
        <w:tc>
          <w:tcPr>
            <w:tcW w:w="0" w:type="auto"/>
            <w:hideMark/>
          </w:tcPr>
          <w:p w14:paraId="23807931"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Mechanism of Action</w:t>
            </w:r>
          </w:p>
        </w:tc>
        <w:tc>
          <w:tcPr>
            <w:tcW w:w="0" w:type="auto"/>
            <w:hideMark/>
          </w:tcPr>
          <w:p w14:paraId="12B60959" w14:textId="77777777" w:rsidR="006D553D" w:rsidRPr="006D553D" w:rsidRDefault="006D553D" w:rsidP="006D553D">
            <w:pPr>
              <w:jc w:val="center"/>
              <w:rPr>
                <w:rFonts w:eastAsia="Times New Roman" w:cs="Times New Roman"/>
                <w:b/>
                <w:bCs/>
                <w:sz w:val="20"/>
                <w:szCs w:val="24"/>
              </w:rPr>
            </w:pPr>
            <w:commentRangeStart w:id="2"/>
            <w:r w:rsidRPr="006D553D">
              <w:rPr>
                <w:rFonts w:eastAsia="Times New Roman" w:cs="Times New Roman"/>
                <w:b/>
                <w:bCs/>
                <w:sz w:val="20"/>
                <w:szCs w:val="24"/>
              </w:rPr>
              <w:t>References</w:t>
            </w:r>
            <w:commentRangeEnd w:id="2"/>
            <w:r w:rsidR="0079150F">
              <w:rPr>
                <w:rStyle w:val="CommentReference"/>
              </w:rPr>
              <w:commentReference w:id="2"/>
            </w:r>
          </w:p>
        </w:tc>
      </w:tr>
      <w:tr w:rsidR="006D553D" w:rsidRPr="006D553D" w14:paraId="4C1D3DC6" w14:textId="77777777" w:rsidTr="006D553D">
        <w:tc>
          <w:tcPr>
            <w:tcW w:w="0" w:type="auto"/>
            <w:hideMark/>
          </w:tcPr>
          <w:p w14:paraId="1C303C6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Chitosan Hydrogel</w:t>
            </w:r>
          </w:p>
        </w:tc>
        <w:tc>
          <w:tcPr>
            <w:tcW w:w="0" w:type="auto"/>
            <w:hideMark/>
          </w:tcPr>
          <w:p w14:paraId="01899DAD"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Crab shell / microbial</w:t>
            </w:r>
          </w:p>
        </w:tc>
        <w:tc>
          <w:tcPr>
            <w:tcW w:w="0" w:type="auto"/>
            <w:hideMark/>
          </w:tcPr>
          <w:p w14:paraId="1772A50E"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stem cell adhesion, anti-fibrotic effect</w:t>
            </w:r>
          </w:p>
        </w:tc>
        <w:tc>
          <w:tcPr>
            <w:tcW w:w="0" w:type="auto"/>
            <w:hideMark/>
          </w:tcPr>
          <w:p w14:paraId="2432CE3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Baharlouei &amp; Rahman, 2022; Li et al., 2020</w:t>
            </w:r>
          </w:p>
        </w:tc>
      </w:tr>
      <w:tr w:rsidR="006D553D" w:rsidRPr="006D553D" w14:paraId="119273D7" w14:textId="77777777" w:rsidTr="006D553D">
        <w:tc>
          <w:tcPr>
            <w:tcW w:w="0" w:type="auto"/>
            <w:hideMark/>
          </w:tcPr>
          <w:p w14:paraId="18D7C2D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Collagen Gel</w:t>
            </w:r>
          </w:p>
        </w:tc>
        <w:tc>
          <w:tcPr>
            <w:tcW w:w="0" w:type="auto"/>
            <w:hideMark/>
          </w:tcPr>
          <w:p w14:paraId="28597AAF"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Bovine / Porcine</w:t>
            </w:r>
          </w:p>
        </w:tc>
        <w:tc>
          <w:tcPr>
            <w:tcW w:w="0" w:type="auto"/>
            <w:hideMark/>
          </w:tcPr>
          <w:p w14:paraId="0BC44C3E"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angiogenesis stimulation, epithelial proliferation</w:t>
            </w:r>
          </w:p>
        </w:tc>
        <w:tc>
          <w:tcPr>
            <w:tcW w:w="0" w:type="auto"/>
            <w:hideMark/>
          </w:tcPr>
          <w:p w14:paraId="04AD90A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Fitzgerald et al., 2015</w:t>
            </w:r>
          </w:p>
        </w:tc>
      </w:tr>
      <w:tr w:rsidR="006D553D" w:rsidRPr="006D553D" w14:paraId="16C53EF1" w14:textId="77777777" w:rsidTr="006D553D">
        <w:tc>
          <w:tcPr>
            <w:tcW w:w="0" w:type="auto"/>
            <w:hideMark/>
          </w:tcPr>
          <w:p w14:paraId="3A72C28B"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Hyaluronic Acid (HA) Hydrogel</w:t>
            </w:r>
          </w:p>
        </w:tc>
        <w:tc>
          <w:tcPr>
            <w:tcW w:w="0" w:type="auto"/>
            <w:hideMark/>
          </w:tcPr>
          <w:p w14:paraId="5F9E144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Microbial</w:t>
            </w:r>
          </w:p>
        </w:tc>
        <w:tc>
          <w:tcPr>
            <w:tcW w:w="0" w:type="auto"/>
            <w:hideMark/>
          </w:tcPr>
          <w:p w14:paraId="4E7BDF9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water retention, controlled release of growth factors</w:t>
            </w:r>
          </w:p>
        </w:tc>
        <w:tc>
          <w:tcPr>
            <w:tcW w:w="0" w:type="auto"/>
            <w:hideMark/>
          </w:tcPr>
          <w:p w14:paraId="013CDBB4"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Beilharz et al., 2024</w:t>
            </w:r>
          </w:p>
        </w:tc>
      </w:tr>
      <w:tr w:rsidR="006D553D" w:rsidRPr="006D553D" w14:paraId="2B7687A0" w14:textId="77777777" w:rsidTr="006D553D">
        <w:tc>
          <w:tcPr>
            <w:tcW w:w="0" w:type="auto"/>
            <w:hideMark/>
          </w:tcPr>
          <w:p w14:paraId="280C600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PEG-based Synthetic Hydrogel</w:t>
            </w:r>
          </w:p>
        </w:tc>
        <w:tc>
          <w:tcPr>
            <w:tcW w:w="0" w:type="auto"/>
            <w:hideMark/>
          </w:tcPr>
          <w:p w14:paraId="7DCC7532"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Synthetic</w:t>
            </w:r>
          </w:p>
        </w:tc>
        <w:tc>
          <w:tcPr>
            <w:tcW w:w="0" w:type="auto"/>
            <w:hideMark/>
          </w:tcPr>
          <w:p w14:paraId="27B8EB66"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Mechanical support, controlled degradation, bioactive molecule incorporation</w:t>
            </w:r>
          </w:p>
        </w:tc>
        <w:tc>
          <w:tcPr>
            <w:tcW w:w="0" w:type="auto"/>
            <w:hideMark/>
          </w:tcPr>
          <w:p w14:paraId="7C2B7D6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Beilharz et al., 2024</w:t>
            </w:r>
          </w:p>
        </w:tc>
      </w:tr>
      <w:tr w:rsidR="006D553D" w:rsidRPr="006D553D" w14:paraId="2E874103" w14:textId="77777777" w:rsidTr="006D553D">
        <w:tc>
          <w:tcPr>
            <w:tcW w:w="0" w:type="auto"/>
            <w:hideMark/>
          </w:tcPr>
          <w:p w14:paraId="7D3DC962"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 xml:space="preserve">Gelatin </w:t>
            </w:r>
            <w:proofErr w:type="spellStart"/>
            <w:r w:rsidRPr="006D553D">
              <w:rPr>
                <w:rFonts w:eastAsia="Times New Roman" w:cs="Times New Roman"/>
                <w:sz w:val="20"/>
                <w:szCs w:val="24"/>
              </w:rPr>
              <w:t>Methacryloyl</w:t>
            </w:r>
            <w:proofErr w:type="spellEnd"/>
            <w:r w:rsidRPr="006D553D">
              <w:rPr>
                <w:rFonts w:eastAsia="Times New Roman" w:cs="Times New Roman"/>
                <w:sz w:val="20"/>
                <w:szCs w:val="24"/>
              </w:rPr>
              <w:t xml:space="preserve"> (</w:t>
            </w:r>
            <w:proofErr w:type="spellStart"/>
            <w:r w:rsidRPr="006D553D">
              <w:rPr>
                <w:rFonts w:eastAsia="Times New Roman" w:cs="Times New Roman"/>
                <w:sz w:val="20"/>
                <w:szCs w:val="24"/>
              </w:rPr>
              <w:t>GelMA</w:t>
            </w:r>
            <w:proofErr w:type="spellEnd"/>
            <w:r w:rsidRPr="006D553D">
              <w:rPr>
                <w:rFonts w:eastAsia="Times New Roman" w:cs="Times New Roman"/>
                <w:sz w:val="20"/>
                <w:szCs w:val="24"/>
              </w:rPr>
              <w:t>)</w:t>
            </w:r>
          </w:p>
        </w:tc>
        <w:tc>
          <w:tcPr>
            <w:tcW w:w="0" w:type="auto"/>
            <w:hideMark/>
          </w:tcPr>
          <w:p w14:paraId="4663A0A6"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Animal</w:t>
            </w:r>
          </w:p>
        </w:tc>
        <w:tc>
          <w:tcPr>
            <w:tcW w:w="0" w:type="auto"/>
            <w:hideMark/>
          </w:tcPr>
          <w:p w14:paraId="7716D77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Stem cell homing, enzymatic degradation, biofunctionalization</w:t>
            </w:r>
          </w:p>
        </w:tc>
        <w:tc>
          <w:tcPr>
            <w:tcW w:w="0" w:type="auto"/>
            <w:hideMark/>
          </w:tcPr>
          <w:p w14:paraId="425413C5" w14:textId="77777777" w:rsidR="006D553D" w:rsidRPr="006D553D"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6D553D" w:rsidRPr="006D553D" w14:paraId="2E39B206" w14:textId="77777777" w:rsidTr="006D553D">
        <w:tc>
          <w:tcPr>
            <w:tcW w:w="0" w:type="auto"/>
            <w:hideMark/>
          </w:tcPr>
          <w:p w14:paraId="15D5DEC4"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Self-Assembling Peptides</w:t>
            </w:r>
          </w:p>
        </w:tc>
        <w:tc>
          <w:tcPr>
            <w:tcW w:w="0" w:type="auto"/>
            <w:hideMark/>
          </w:tcPr>
          <w:p w14:paraId="48CFD467"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Synthetic</w:t>
            </w:r>
          </w:p>
        </w:tc>
        <w:tc>
          <w:tcPr>
            <w:tcW w:w="0" w:type="auto"/>
            <w:hideMark/>
          </w:tcPr>
          <w:p w14:paraId="68144D08"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Nanofiber network formation, ECM mimicry, angiogenesis</w:t>
            </w:r>
          </w:p>
        </w:tc>
        <w:tc>
          <w:tcPr>
            <w:tcW w:w="0" w:type="auto"/>
            <w:hideMark/>
          </w:tcPr>
          <w:p w14:paraId="6DDC0F09"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Mironov et al., 2017</w:t>
            </w:r>
          </w:p>
        </w:tc>
      </w:tr>
    </w:tbl>
    <w:p w14:paraId="766F5D6E" w14:textId="77777777" w:rsidR="001F0B18" w:rsidRPr="001F0B18" w:rsidRDefault="001F0B18" w:rsidP="001F0B18">
      <w:pPr>
        <w:rPr>
          <w:rFonts w:cs="Times New Roman"/>
        </w:rPr>
      </w:pPr>
    </w:p>
    <w:p w14:paraId="29602937" w14:textId="77777777" w:rsidR="00D33A73" w:rsidRPr="00D33A73" w:rsidRDefault="00702701" w:rsidP="00AD5A31">
      <w:pPr>
        <w:pStyle w:val="Heading1"/>
      </w:pPr>
      <w:r>
        <w:t>5</w:t>
      </w:r>
      <w:r w:rsidR="00D33A73" w:rsidRPr="00D33A73">
        <w:t>. Biomaterials Used for Injectable Prostate Tissue Scaffolds</w:t>
      </w:r>
    </w:p>
    <w:p w14:paraId="6919FE51" w14:textId="77777777" w:rsidR="00B37ECB" w:rsidRDefault="00702701" w:rsidP="00AD5A31">
      <w:pPr>
        <w:pStyle w:val="Heading1"/>
      </w:pPr>
      <w:r>
        <w:t>5</w:t>
      </w:r>
      <w:r w:rsidR="00D33A73" w:rsidRPr="00D33A73">
        <w:t>.1 Natural Biomaterials</w:t>
      </w:r>
    </w:p>
    <w:p w14:paraId="253E5360"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Chitosan is a polysaccharide derived from chitin that has gained significant attention for tissue engineering due to its biodegradability, biocompatibility, and antimicrobial properties (Baharlouei &amp; Rahman, 2022; Feng et al., 2025). Its structure closely resembles glycosaminoglycans found in the native prostate extracellular matrix (ECM), making it particularly suitable for supporting stromal regeneration. Chitosan can be easily blended with growth factors, bioactive molecules, or stem cells to enhance tissue repair. In prostate tissue engineering, chitosan hydrogels have been shown to support epithelial and stromal cell proliferation while promoting angiogenesis in preclinical models (Ahangar et al., 2018; Jamali et al., 2023).</w:t>
      </w:r>
    </w:p>
    <w:p w14:paraId="63115D91"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Hyaluronic acid (HA) is a naturally occurring glycosaminoglycan that contributes to tissue hydration, viscoelasticity, and ECM organization (Beilharz et al., 2024). HA-based injectable hydrogels demonstrate excellent injectability, conforming to complex tissue defects. HA also facilitates angiogenesis and provides a permissive microenvironment for stem cell homing, making it valuable for reconstructing prostate stromal and glandular structures (Drabczyk et al., 2024; Guo et al., 2025).</w:t>
      </w:r>
    </w:p>
    <w:p w14:paraId="2C3F7FC2"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Collagen types I and III are the primary structural proteins in connective tissues and are widely used in injectable scaffolds (</w:t>
      </w:r>
      <w:proofErr w:type="spellStart"/>
      <w:r w:rsidRPr="00B37ECB">
        <w:rPr>
          <w:rFonts w:eastAsia="Times New Roman" w:cs="Times New Roman"/>
          <w:szCs w:val="24"/>
        </w:rPr>
        <w:t>Béduer</w:t>
      </w:r>
      <w:proofErr w:type="spellEnd"/>
      <w:r w:rsidRPr="00B37ECB">
        <w:rPr>
          <w:rFonts w:eastAsia="Times New Roman" w:cs="Times New Roman"/>
          <w:szCs w:val="24"/>
        </w:rPr>
        <w:t xml:space="preserve"> et al., 2022; Baharlouei &amp; Rahman, 2022). Collagen supports epithelial differentiation and cell adhesion, guiding tissue remodeling. However, a limitation of collagen-based scaffolds is rapid enzymatic degradation, which can compromise long-term tissue support (Jaworska et al., 2022).</w:t>
      </w:r>
    </w:p>
    <w:p w14:paraId="1B150787" w14:textId="77777777" w:rsidR="00DA3585" w:rsidRPr="00B37ECB"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 xml:space="preserve">Alginate is a natural polysaccharide derived from seaweed, capable of forming hydrogels through ionic crosslinking with calcium ions (Beilharz et al., 2024; Kretlow et al., 2009). Alginate hydrogels are commonly used to create 3D microenvironments for prostate cancer cells and tissue </w:t>
      </w:r>
      <w:r w:rsidRPr="00B37ECB">
        <w:rPr>
          <w:rFonts w:eastAsia="Times New Roman" w:cs="Times New Roman"/>
          <w:szCs w:val="24"/>
        </w:rPr>
        <w:lastRenderedPageBreak/>
        <w:t>engineering studies. Its tunable gelation kinetics allow precise control over scaffold stiffness and porosity (Kim et al., 2011).</w:t>
      </w:r>
    </w:p>
    <w:p w14:paraId="10CE758D" w14:textId="77777777" w:rsidR="00DA3585" w:rsidRPr="00DA3585" w:rsidRDefault="00DA3585" w:rsidP="00DA3585">
      <w:pPr>
        <w:spacing w:before="100" w:beforeAutospacing="1" w:after="100" w:afterAutospacing="1" w:line="240" w:lineRule="auto"/>
        <w:rPr>
          <w:rFonts w:eastAsia="Times New Roman" w:cs="Times New Roman"/>
          <w:szCs w:val="24"/>
        </w:rPr>
      </w:pPr>
      <w:r w:rsidRPr="00B37ECB">
        <w:rPr>
          <w:rFonts w:eastAsia="Times New Roman" w:cs="Times New Roman"/>
          <w:szCs w:val="24"/>
        </w:rPr>
        <w:t xml:space="preserve">Gelatin and gelatin </w:t>
      </w:r>
      <w:proofErr w:type="spellStart"/>
      <w:r w:rsidRPr="00B37ECB">
        <w:rPr>
          <w:rFonts w:eastAsia="Times New Roman" w:cs="Times New Roman"/>
          <w:szCs w:val="24"/>
        </w:rPr>
        <w:t>methacryloyl</w:t>
      </w:r>
      <w:proofErr w:type="spellEnd"/>
      <w:r w:rsidRPr="00B37ECB">
        <w:rPr>
          <w:rFonts w:eastAsia="Times New Roman" w:cs="Times New Roman"/>
          <w:szCs w:val="24"/>
        </w:rPr>
        <w:t xml:space="preserve"> (</w:t>
      </w:r>
      <w:proofErr w:type="spellStart"/>
      <w:r w:rsidRPr="00B37ECB">
        <w:rPr>
          <w:rFonts w:eastAsia="Times New Roman" w:cs="Times New Roman"/>
          <w:szCs w:val="24"/>
        </w:rPr>
        <w:t>GelMA</w:t>
      </w:r>
      <w:proofErr w:type="spellEnd"/>
      <w:r w:rsidRPr="00B37ECB">
        <w:rPr>
          <w:rFonts w:eastAsia="Times New Roman" w:cs="Times New Roman"/>
          <w:szCs w:val="24"/>
        </w:rPr>
        <w:t xml:space="preserve">) are enzymatically degradable proteins derived from collagen that provide tunable stiffness and cell adhesive sites (Baker et al., 2009; Chang et al., 2017). </w:t>
      </w:r>
      <w:proofErr w:type="spellStart"/>
      <w:r w:rsidRPr="00B37ECB">
        <w:rPr>
          <w:rFonts w:eastAsia="Times New Roman" w:cs="Times New Roman"/>
          <w:szCs w:val="24"/>
        </w:rPr>
        <w:t>GelMA</w:t>
      </w:r>
      <w:proofErr w:type="spellEnd"/>
      <w:r w:rsidRPr="00B37ECB">
        <w:rPr>
          <w:rFonts w:eastAsia="Times New Roman" w:cs="Times New Roman"/>
          <w:szCs w:val="24"/>
        </w:rPr>
        <w:t xml:space="preserve"> hydrogels are widely used in injectable scaffold applications due to their ease of crosslinking, cytocompatibility, and ability to incorporate growth factors or stem cells (</w:t>
      </w:r>
      <w:proofErr w:type="spellStart"/>
      <w:r w:rsidRPr="00B37ECB">
        <w:rPr>
          <w:rFonts w:eastAsia="Times New Roman" w:cs="Times New Roman"/>
          <w:szCs w:val="24"/>
        </w:rPr>
        <w:t>Dozzo</w:t>
      </w:r>
      <w:proofErr w:type="spellEnd"/>
      <w:r w:rsidRPr="00B37ECB">
        <w:rPr>
          <w:rFonts w:eastAsia="Times New Roman" w:cs="Times New Roman"/>
          <w:szCs w:val="24"/>
        </w:rPr>
        <w:t xml:space="preserve"> et al., 2023; Huang &amp; Chu, 2019).</w:t>
      </w:r>
    </w:p>
    <w:p w14:paraId="5B805BD7" w14:textId="77777777" w:rsidR="00D33A73" w:rsidRPr="00D33A73" w:rsidRDefault="00702701" w:rsidP="00AD5A31">
      <w:pPr>
        <w:pStyle w:val="Heading1"/>
      </w:pPr>
      <w:r>
        <w:t>5</w:t>
      </w:r>
      <w:r w:rsidR="00D33A73" w:rsidRPr="00D33A73">
        <w:t>.2 Synthetic Biomaterials</w:t>
      </w:r>
    </w:p>
    <w:p w14:paraId="66503B18" w14:textId="77777777" w:rsidR="00DA3585" w:rsidRPr="00DA3585" w:rsidRDefault="00DA3585" w:rsidP="00DA3585">
      <w:proofErr w:type="gramStart"/>
      <w:r w:rsidRPr="00DA3585">
        <w:t>Poly(</w:t>
      </w:r>
      <w:proofErr w:type="gramEnd"/>
      <w:r w:rsidRPr="00DA3585">
        <w:t xml:space="preserve">lactic-co-glycolic acid) (PLGA), </w:t>
      </w:r>
      <w:proofErr w:type="gramStart"/>
      <w:r w:rsidRPr="00DA3585">
        <w:t>poly(</w:t>
      </w:r>
      <w:proofErr w:type="gramEnd"/>
      <w:r w:rsidRPr="00DA3585">
        <w:t>ethylene glycol) (PEG), and polycaprolactone (PCL) are commonly used synthetic polymers in injectable scaffold design. These materials provide controllable degradation profiles, adjustable mechanical properties, and effective delivery platforms for drugs, growth factors, or cells (Gentile et al., 2014; Sun et al., 2022; Martins et al., 2018). While PLGA and PCL offer prolonged mechanical stability, PEG-based hydrogels enable precise biochemical functionalization and customizable network architectures (Mironov et al., 2017; Kretlow et al., 2007).</w:t>
      </w:r>
    </w:p>
    <w:p w14:paraId="2EF7E874" w14:textId="77777777" w:rsidR="00DA3585" w:rsidRPr="00DA3585" w:rsidRDefault="00DA3585" w:rsidP="00DA3585">
      <w:r w:rsidRPr="00DA3585">
        <w:t>Self-assembling peptides (SAPs) are short peptide sequences that form nanofibrous matrices resembling extracellular matrix architecture (Kirillova et al., 2021). These injectable systems support angiogenesis, neurovascular regeneration, and stromal cell adhesion, making them suitable for minimally invasive applications requiring fine spatial control (Raucci et al., 2020; Li et al., 2020).</w:t>
      </w:r>
    </w:p>
    <w:p w14:paraId="779D70B8" w14:textId="77777777" w:rsidR="00DA3585" w:rsidRPr="00DA3585" w:rsidRDefault="00DA3585" w:rsidP="00DA3585">
      <w:r w:rsidRPr="00DA3585">
        <w:t xml:space="preserve">Thermo-responsive hydrogels, such as poly(N-isopropylacrylamide) (PNIPAM) and Pluronic F127, undergo sol-to-gel transition at physiological temperature, enabling easy injection and in situ gelation (Beilharz et al., 2024; </w:t>
      </w:r>
      <w:proofErr w:type="spellStart"/>
      <w:r w:rsidRPr="00DA3585">
        <w:t>Motealleh</w:t>
      </w:r>
      <w:proofErr w:type="spellEnd"/>
      <w:r w:rsidRPr="00DA3585">
        <w:t xml:space="preserve"> et al., 2020). Their tunable gelation behavior supports controlled delivery of cells, growth factors, or therapeutics while maintaining suitable mechanical strength and degradation rates (Ratheesh et al., 2017).</w:t>
      </w:r>
    </w:p>
    <w:p w14:paraId="6DFA4717" w14:textId="77777777" w:rsidR="00D33A73" w:rsidRPr="00F131F2" w:rsidRDefault="00702701" w:rsidP="00702701">
      <w:pPr>
        <w:pStyle w:val="Caption"/>
        <w:rPr>
          <w:rFonts w:cs="Times New Roman"/>
          <w:b/>
          <w:i w:val="0"/>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4</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D33A73" w:rsidRPr="00F131F2">
        <w:rPr>
          <w:rFonts w:cs="Times New Roman"/>
          <w:b/>
          <w:i w:val="0"/>
          <w:color w:val="auto"/>
          <w:sz w:val="24"/>
          <w:szCs w:val="24"/>
        </w:rPr>
        <w:t>Natural and Synthetic Injectable Scaffolds for Prostate Tissue Regeneration</w:t>
      </w:r>
      <w:r w:rsidR="00F131F2">
        <w:rPr>
          <w:rFonts w:cs="Times New Roman"/>
          <w:b/>
          <w:i w:val="0"/>
          <w:color w:val="auto"/>
          <w:sz w:val="24"/>
          <w:szCs w:val="24"/>
        </w:rPr>
        <w:t>.</w:t>
      </w:r>
    </w:p>
    <w:tbl>
      <w:tblPr>
        <w:tblStyle w:val="TableGrid"/>
        <w:tblW w:w="10774" w:type="dxa"/>
        <w:tblInd w:w="-714" w:type="dxa"/>
        <w:tblLook w:val="04A0" w:firstRow="1" w:lastRow="0" w:firstColumn="1" w:lastColumn="0" w:noHBand="0" w:noVBand="1"/>
      </w:tblPr>
      <w:tblGrid>
        <w:gridCol w:w="1843"/>
        <w:gridCol w:w="993"/>
        <w:gridCol w:w="3056"/>
        <w:gridCol w:w="2310"/>
        <w:gridCol w:w="2572"/>
      </w:tblGrid>
      <w:tr w:rsidR="008F6083" w:rsidRPr="008F6083" w14:paraId="6A63D6FA" w14:textId="77777777" w:rsidTr="0062045A">
        <w:tc>
          <w:tcPr>
            <w:tcW w:w="1843" w:type="dxa"/>
            <w:hideMark/>
          </w:tcPr>
          <w:p w14:paraId="35862E20"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Material</w:t>
            </w:r>
          </w:p>
        </w:tc>
        <w:tc>
          <w:tcPr>
            <w:tcW w:w="993" w:type="dxa"/>
            <w:hideMark/>
          </w:tcPr>
          <w:p w14:paraId="77A44356"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Type</w:t>
            </w:r>
          </w:p>
        </w:tc>
        <w:tc>
          <w:tcPr>
            <w:tcW w:w="3056" w:type="dxa"/>
            <w:hideMark/>
          </w:tcPr>
          <w:p w14:paraId="73B81F8B"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Key Features</w:t>
            </w:r>
          </w:p>
        </w:tc>
        <w:tc>
          <w:tcPr>
            <w:tcW w:w="0" w:type="auto"/>
            <w:hideMark/>
          </w:tcPr>
          <w:p w14:paraId="799F0783"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Applications</w:t>
            </w:r>
          </w:p>
        </w:tc>
        <w:tc>
          <w:tcPr>
            <w:tcW w:w="2572" w:type="dxa"/>
            <w:hideMark/>
          </w:tcPr>
          <w:p w14:paraId="64F01BB5"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Reference</w:t>
            </w:r>
          </w:p>
        </w:tc>
      </w:tr>
      <w:tr w:rsidR="008F6083" w:rsidRPr="008F6083" w14:paraId="49153CBF" w14:textId="77777777" w:rsidTr="0062045A">
        <w:tc>
          <w:tcPr>
            <w:tcW w:w="1843" w:type="dxa"/>
            <w:hideMark/>
          </w:tcPr>
          <w:p w14:paraId="133B281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Chitosan</w:t>
            </w:r>
          </w:p>
        </w:tc>
        <w:tc>
          <w:tcPr>
            <w:tcW w:w="993" w:type="dxa"/>
            <w:hideMark/>
          </w:tcPr>
          <w:p w14:paraId="5F7CAF39"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4D5B0D8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Biodegradable, antimicrobial, ECM mimic, growth factor carrier</w:t>
            </w:r>
          </w:p>
        </w:tc>
        <w:tc>
          <w:tcPr>
            <w:tcW w:w="0" w:type="auto"/>
            <w:hideMark/>
          </w:tcPr>
          <w:p w14:paraId="3921C1A4"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Stromal regeneration, angiogenesis</w:t>
            </w:r>
          </w:p>
        </w:tc>
        <w:tc>
          <w:tcPr>
            <w:tcW w:w="2572" w:type="dxa"/>
            <w:hideMark/>
          </w:tcPr>
          <w:p w14:paraId="5F0E77C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Baharlouei &amp; Rahman, 2022; Li et al., 2020</w:t>
            </w:r>
          </w:p>
        </w:tc>
      </w:tr>
      <w:tr w:rsidR="008F6083" w:rsidRPr="008F6083" w14:paraId="55A62F1C" w14:textId="77777777" w:rsidTr="0062045A">
        <w:tc>
          <w:tcPr>
            <w:tcW w:w="1843" w:type="dxa"/>
            <w:hideMark/>
          </w:tcPr>
          <w:p w14:paraId="4EC83B1C"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Hyaluronic Acid (HA)</w:t>
            </w:r>
          </w:p>
        </w:tc>
        <w:tc>
          <w:tcPr>
            <w:tcW w:w="993" w:type="dxa"/>
            <w:hideMark/>
          </w:tcPr>
          <w:p w14:paraId="72908533"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2D52E22D"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Hydration, viscoelasticity, angiogenesis support</w:t>
            </w:r>
          </w:p>
        </w:tc>
        <w:tc>
          <w:tcPr>
            <w:tcW w:w="0" w:type="auto"/>
            <w:hideMark/>
          </w:tcPr>
          <w:p w14:paraId="5FBB9A8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Prostate ECM mimic, stem cell delivery</w:t>
            </w:r>
          </w:p>
        </w:tc>
        <w:tc>
          <w:tcPr>
            <w:tcW w:w="2572" w:type="dxa"/>
            <w:hideMark/>
          </w:tcPr>
          <w:p w14:paraId="3B2355F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 xml:space="preserve">Beilharz et al., 2024; </w:t>
            </w:r>
            <w:r w:rsidR="00EC2FC3">
              <w:rPr>
                <w:rFonts w:eastAsia="Times New Roman" w:cs="Times New Roman"/>
                <w:sz w:val="20"/>
                <w:szCs w:val="20"/>
              </w:rPr>
              <w:t>Mironov et al., 2017</w:t>
            </w:r>
          </w:p>
        </w:tc>
      </w:tr>
      <w:tr w:rsidR="008F6083" w:rsidRPr="008F6083" w14:paraId="0DFF806F" w14:textId="77777777" w:rsidTr="0062045A">
        <w:tc>
          <w:tcPr>
            <w:tcW w:w="1843" w:type="dxa"/>
            <w:hideMark/>
          </w:tcPr>
          <w:p w14:paraId="636A367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Collagen Types I/III</w:t>
            </w:r>
          </w:p>
        </w:tc>
        <w:tc>
          <w:tcPr>
            <w:tcW w:w="993" w:type="dxa"/>
            <w:hideMark/>
          </w:tcPr>
          <w:p w14:paraId="7CB83F48"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4360950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ECM protein, supports epithelial differentiation</w:t>
            </w:r>
          </w:p>
        </w:tc>
        <w:tc>
          <w:tcPr>
            <w:tcW w:w="0" w:type="auto"/>
            <w:hideMark/>
          </w:tcPr>
          <w:p w14:paraId="6B413E4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Tissue remodeling</w:t>
            </w:r>
          </w:p>
        </w:tc>
        <w:tc>
          <w:tcPr>
            <w:tcW w:w="2572" w:type="dxa"/>
            <w:hideMark/>
          </w:tcPr>
          <w:p w14:paraId="40FEE76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Fitzgerald et al., 2015</w:t>
            </w:r>
          </w:p>
        </w:tc>
      </w:tr>
      <w:tr w:rsidR="008F6083" w:rsidRPr="008F6083" w14:paraId="100E4FFF" w14:textId="77777777" w:rsidTr="0062045A">
        <w:tc>
          <w:tcPr>
            <w:tcW w:w="1843" w:type="dxa"/>
            <w:hideMark/>
          </w:tcPr>
          <w:p w14:paraId="1DEED008"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Alginate</w:t>
            </w:r>
          </w:p>
        </w:tc>
        <w:tc>
          <w:tcPr>
            <w:tcW w:w="993" w:type="dxa"/>
            <w:hideMark/>
          </w:tcPr>
          <w:p w14:paraId="6DAF951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03F7EA4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Ionic crosslinking, tunable stiffness</w:t>
            </w:r>
          </w:p>
        </w:tc>
        <w:tc>
          <w:tcPr>
            <w:tcW w:w="0" w:type="auto"/>
            <w:hideMark/>
          </w:tcPr>
          <w:p w14:paraId="58E270FD"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Prostate microenvironment, 3D cell culture</w:t>
            </w:r>
          </w:p>
        </w:tc>
        <w:tc>
          <w:tcPr>
            <w:tcW w:w="2572" w:type="dxa"/>
            <w:hideMark/>
          </w:tcPr>
          <w:p w14:paraId="02158EA7"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Beilharz et al., 2024</w:t>
            </w:r>
          </w:p>
        </w:tc>
      </w:tr>
      <w:tr w:rsidR="008F6083" w:rsidRPr="008F6083" w14:paraId="7A48B1D4" w14:textId="77777777" w:rsidTr="0062045A">
        <w:tc>
          <w:tcPr>
            <w:tcW w:w="1843" w:type="dxa"/>
            <w:hideMark/>
          </w:tcPr>
          <w:p w14:paraId="101FAD6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 xml:space="preserve">Gelatin / </w:t>
            </w:r>
            <w:proofErr w:type="spellStart"/>
            <w:r w:rsidRPr="008F6083">
              <w:rPr>
                <w:rFonts w:eastAsia="Times New Roman" w:cs="Times New Roman"/>
                <w:sz w:val="20"/>
                <w:szCs w:val="20"/>
              </w:rPr>
              <w:t>GelMA</w:t>
            </w:r>
            <w:proofErr w:type="spellEnd"/>
          </w:p>
        </w:tc>
        <w:tc>
          <w:tcPr>
            <w:tcW w:w="993" w:type="dxa"/>
            <w:hideMark/>
          </w:tcPr>
          <w:p w14:paraId="2A4B0E2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1C6A8C37"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Enzymatic degradation, tunable stiffness</w:t>
            </w:r>
          </w:p>
        </w:tc>
        <w:tc>
          <w:tcPr>
            <w:tcW w:w="0" w:type="auto"/>
            <w:hideMark/>
          </w:tcPr>
          <w:p w14:paraId="3E91ED9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Cell encapsulation, growth factor delivery</w:t>
            </w:r>
          </w:p>
        </w:tc>
        <w:tc>
          <w:tcPr>
            <w:tcW w:w="2572" w:type="dxa"/>
            <w:hideMark/>
          </w:tcPr>
          <w:p w14:paraId="7F54FBB1" w14:textId="77777777" w:rsidR="008F6083" w:rsidRPr="008F6083" w:rsidRDefault="00EC2FC3" w:rsidP="0062045A">
            <w:pPr>
              <w:jc w:val="left"/>
              <w:rPr>
                <w:rFonts w:eastAsia="Times New Roman" w:cs="Times New Roman"/>
                <w:sz w:val="20"/>
                <w:szCs w:val="20"/>
              </w:rPr>
            </w:pPr>
            <w:r>
              <w:rPr>
                <w:rFonts w:eastAsia="Times New Roman" w:cs="Times New Roman"/>
                <w:sz w:val="20"/>
                <w:szCs w:val="20"/>
              </w:rPr>
              <w:t>Mironov et al., 2017</w:t>
            </w:r>
          </w:p>
        </w:tc>
      </w:tr>
      <w:tr w:rsidR="008F6083" w:rsidRPr="008F6083" w14:paraId="50DF2775" w14:textId="77777777" w:rsidTr="0062045A">
        <w:tc>
          <w:tcPr>
            <w:tcW w:w="1843" w:type="dxa"/>
            <w:hideMark/>
          </w:tcPr>
          <w:p w14:paraId="51DB0E0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PLGA / PEG / PCL Hydrogels</w:t>
            </w:r>
          </w:p>
        </w:tc>
        <w:tc>
          <w:tcPr>
            <w:tcW w:w="993" w:type="dxa"/>
            <w:hideMark/>
          </w:tcPr>
          <w:p w14:paraId="5BB5C75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67ACE8D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Controlled degradation, tunable mechanical strength</w:t>
            </w:r>
          </w:p>
        </w:tc>
        <w:tc>
          <w:tcPr>
            <w:tcW w:w="0" w:type="auto"/>
            <w:hideMark/>
          </w:tcPr>
          <w:p w14:paraId="6F6D353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Drug/cell delivery, tissue support</w:t>
            </w:r>
          </w:p>
        </w:tc>
        <w:tc>
          <w:tcPr>
            <w:tcW w:w="2572" w:type="dxa"/>
            <w:hideMark/>
          </w:tcPr>
          <w:p w14:paraId="4B9FE9F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Gaharwar et al., 2020</w:t>
            </w:r>
          </w:p>
        </w:tc>
      </w:tr>
      <w:tr w:rsidR="008F6083" w:rsidRPr="008F6083" w14:paraId="3706ACAF" w14:textId="77777777" w:rsidTr="0062045A">
        <w:tc>
          <w:tcPr>
            <w:tcW w:w="1843" w:type="dxa"/>
            <w:hideMark/>
          </w:tcPr>
          <w:p w14:paraId="1BF989F9"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lastRenderedPageBreak/>
              <w:t>Self-assembling Peptides (SAPs)</w:t>
            </w:r>
          </w:p>
        </w:tc>
        <w:tc>
          <w:tcPr>
            <w:tcW w:w="993" w:type="dxa"/>
            <w:hideMark/>
          </w:tcPr>
          <w:p w14:paraId="4F2EE07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5465E1E3"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ECM mimic, nanofiber network, injectable</w:t>
            </w:r>
          </w:p>
        </w:tc>
        <w:tc>
          <w:tcPr>
            <w:tcW w:w="0" w:type="auto"/>
            <w:hideMark/>
          </w:tcPr>
          <w:p w14:paraId="6397A53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Neurovascular regeneration, ECM mimicry</w:t>
            </w:r>
          </w:p>
        </w:tc>
        <w:tc>
          <w:tcPr>
            <w:tcW w:w="2572" w:type="dxa"/>
            <w:hideMark/>
          </w:tcPr>
          <w:p w14:paraId="4BA93FF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Mironov et al., 2017</w:t>
            </w:r>
          </w:p>
        </w:tc>
      </w:tr>
      <w:tr w:rsidR="008F6083" w:rsidRPr="008F6083" w14:paraId="7B71BDCA" w14:textId="77777777" w:rsidTr="0062045A">
        <w:tc>
          <w:tcPr>
            <w:tcW w:w="1843" w:type="dxa"/>
            <w:hideMark/>
          </w:tcPr>
          <w:p w14:paraId="161B8EE4"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Thermo-responsive Hydrogels</w:t>
            </w:r>
          </w:p>
        </w:tc>
        <w:tc>
          <w:tcPr>
            <w:tcW w:w="993" w:type="dxa"/>
            <w:hideMark/>
          </w:tcPr>
          <w:p w14:paraId="3A458816"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188283DE"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Liquid at room temp, gels at body temp</w:t>
            </w:r>
          </w:p>
        </w:tc>
        <w:tc>
          <w:tcPr>
            <w:tcW w:w="0" w:type="auto"/>
            <w:hideMark/>
          </w:tcPr>
          <w:p w14:paraId="6209A740"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Injectable cell/growth factor carriers</w:t>
            </w:r>
          </w:p>
        </w:tc>
        <w:tc>
          <w:tcPr>
            <w:tcW w:w="2572" w:type="dxa"/>
            <w:hideMark/>
          </w:tcPr>
          <w:p w14:paraId="276226A8"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Drury &amp; Mooney, 2003</w:t>
            </w:r>
          </w:p>
        </w:tc>
      </w:tr>
    </w:tbl>
    <w:p w14:paraId="558AE884" w14:textId="77777777" w:rsidR="00155389" w:rsidRPr="00155389" w:rsidRDefault="00A02BC3" w:rsidP="00AD5A31">
      <w:pPr>
        <w:pStyle w:val="Heading1"/>
      </w:pPr>
      <w:r>
        <w:t>6</w:t>
      </w:r>
      <w:r w:rsidR="00155389" w:rsidRPr="00155389">
        <w:t>. Advanced and Next-Generation Injectable Scaffolds</w:t>
      </w:r>
    </w:p>
    <w:p w14:paraId="4D06ECCA" w14:textId="77777777" w:rsidR="00155389" w:rsidRPr="00155389" w:rsidRDefault="00A02BC3" w:rsidP="00AD5A31">
      <w:pPr>
        <w:pStyle w:val="Heading1"/>
      </w:pPr>
      <w:r>
        <w:t>6</w:t>
      </w:r>
      <w:r w:rsidR="00155389" w:rsidRPr="00155389">
        <w:t>.1 Nanocomposite Scaffolds</w:t>
      </w:r>
    </w:p>
    <w:p w14:paraId="1DB6DD3F" w14:textId="77777777" w:rsidR="00DA3585" w:rsidRPr="00DA3585" w:rsidRDefault="00DA3585" w:rsidP="00DA3585">
      <w:r w:rsidRPr="00DA3585">
        <w:t>Nanocomposite injectable scaffolds integrate natural or synthetic polymers with nanoparticles to improve mechanical performance, bioactivity, and controlled drug delivery. For example, chitosan–PLGA nanoparticle hydrogels enhance scaffold strength while enabling sustained release of growth factors or chemotherapeutic agents, thereby supporting stromal regeneration and vascularization in prostate tissue (Li et al., 2020; Sun et al., 2022). Likewise, hyaluronic acid–gold nanoparticle systems exhibit antioxidant activity and promote angiogenesis while maintaining biocompatibility (Zhao et al., 2021; Chen et al., 2020).</w:t>
      </w:r>
    </w:p>
    <w:p w14:paraId="0B5287E4" w14:textId="77777777" w:rsidR="00DA3585" w:rsidRPr="00DA3585" w:rsidRDefault="00DA3585" w:rsidP="00DA3585">
      <w:r w:rsidRPr="00DA3585">
        <w:t>By exploiting nanoscale interactions, these scaffolds influence cellular responses, enhance extracellular matrix mimicry, and protect encapsulated bioactive molecules from rapid degradation. The inclusion of nanoparticles further enables multifunctional capabilities such as imaging, monitoring scaffold integration, and localized therapeutic interventions, including hyperthermia, when required (Gaharwar et al., 2020; Martins et al., 2018).</w:t>
      </w:r>
    </w:p>
    <w:p w14:paraId="7833ECAC" w14:textId="77777777" w:rsidR="00155389" w:rsidRPr="00155389" w:rsidRDefault="00A02BC3" w:rsidP="00AD5A31">
      <w:pPr>
        <w:pStyle w:val="Heading1"/>
      </w:pPr>
      <w:r>
        <w:t>6</w:t>
      </w:r>
      <w:r w:rsidR="00155389" w:rsidRPr="00155389">
        <w:t xml:space="preserve">.2 4D </w:t>
      </w:r>
      <w:proofErr w:type="spellStart"/>
      <w:r w:rsidR="00155389" w:rsidRPr="00155389">
        <w:t>Bioprinted</w:t>
      </w:r>
      <w:proofErr w:type="spellEnd"/>
      <w:r w:rsidR="00155389" w:rsidRPr="00155389">
        <w:t xml:space="preserve"> Injectable Hydrogels</w:t>
      </w:r>
    </w:p>
    <w:p w14:paraId="7B0B812F" w14:textId="77777777" w:rsidR="0032533D" w:rsidRPr="0032533D" w:rsidRDefault="0032533D" w:rsidP="0032533D">
      <w:r w:rsidRPr="0032533D">
        <w:t xml:space="preserve">Next-generation 4D </w:t>
      </w:r>
      <w:proofErr w:type="spellStart"/>
      <w:r w:rsidRPr="0032533D">
        <w:t>bioprinted</w:t>
      </w:r>
      <w:proofErr w:type="spellEnd"/>
      <w:r w:rsidRPr="0032533D">
        <w:t xml:space="preserve"> hydrogels exhibit shape-transforming behavior in response to environmental cues such as pH, temperature, or enzymatic activity (Zhang et al., 2024; Kirillova et al., 2021). After injection, these materials can expand, fold, or self-organize to accurately conform to tissue defects, providing tailored structural support.</w:t>
      </w:r>
    </w:p>
    <w:p w14:paraId="0367EE46" w14:textId="77777777" w:rsidR="0032533D" w:rsidRPr="0032533D" w:rsidRDefault="0032533D" w:rsidP="0032533D">
      <w:r w:rsidRPr="0032533D">
        <w:t xml:space="preserve">This adaptive behavior improves integration with surrounding tissue and enables controlled, spatiotemporal release of bioactive agents. Such properties make 4D </w:t>
      </w:r>
      <w:proofErr w:type="spellStart"/>
      <w:r w:rsidRPr="0032533D">
        <w:t>bioprinted</w:t>
      </w:r>
      <w:proofErr w:type="spellEnd"/>
      <w:r w:rsidRPr="0032533D">
        <w:t xml:space="preserve"> hydrogels particularly suitable for post–prostate cancer regeneration, where complex anatomy and irregular defects demand flexible and responsive scaffold systems (Zhang et al., 2024; Li et al., 2020).</w:t>
      </w:r>
    </w:p>
    <w:p w14:paraId="452CB332" w14:textId="77777777" w:rsidR="00155389" w:rsidRPr="00155389" w:rsidRDefault="00A02BC3" w:rsidP="00AD5A31">
      <w:pPr>
        <w:pStyle w:val="Heading1"/>
      </w:pPr>
      <w:r>
        <w:t>6</w:t>
      </w:r>
      <w:r w:rsidR="00155389" w:rsidRPr="00155389">
        <w:t>.3 Cell-laden Injectable Scaffolds</w:t>
      </w:r>
    </w:p>
    <w:p w14:paraId="5EE34EBE" w14:textId="77777777" w:rsidR="0032533D" w:rsidRPr="0032533D" w:rsidRDefault="0032533D" w:rsidP="0032533D">
      <w:r w:rsidRPr="0032533D">
        <w:t>Cell-laden scaffolds incorporate stem or progenitor cells directly within hydrogel matrices, providing an immediate cellular source for tissue regeneration. Cell types such as mesenchymal stem cells (MSCs), adipose-derived stem cells (ADSCs), and induced pluripotent stem cell (iPSC)-derived stromal cells have demonstrated the ability to differentiate into epithelial, stromal, and vascular lineages in prostate tissue models (Mironov et al., 2017; Chen et al., 2020; Prestwich, 2011).</w:t>
      </w:r>
    </w:p>
    <w:p w14:paraId="5150B719" w14:textId="77777777" w:rsidR="0032533D" w:rsidRPr="0032533D" w:rsidRDefault="0032533D" w:rsidP="0032533D">
      <w:r w:rsidRPr="0032533D">
        <w:lastRenderedPageBreak/>
        <w:t>When combined with ECM-mimicking hydrogels, these scaffolds improve tissue integration, promote angiogenesis, and limit fibrotic remodeling. Injectable cell-laden systems also protect cells during delivery and create a three-dimensional microenvironment that enhances paracrine signaling critical for effective regeneration (Zhao et al., 2021; Huang et al., 2021).</w:t>
      </w:r>
    </w:p>
    <w:p w14:paraId="208D1F63" w14:textId="77777777" w:rsidR="00155389" w:rsidRPr="00155389" w:rsidRDefault="00A02BC3" w:rsidP="00AD5A31">
      <w:pPr>
        <w:pStyle w:val="Heading1"/>
      </w:pPr>
      <w:r>
        <w:t>6</w:t>
      </w:r>
      <w:r w:rsidR="00155389" w:rsidRPr="00155389">
        <w:t>.4 Exosome-Loaded Injectable Scaffolds</w:t>
      </w:r>
    </w:p>
    <w:p w14:paraId="60F9E29E" w14:textId="77777777" w:rsidR="0032533D" w:rsidRPr="0032533D" w:rsidRDefault="0032533D" w:rsidP="0032533D">
      <w:r w:rsidRPr="0032533D">
        <w:t>Exosome-loaded scaffolds provide a cell-free regenerative approach by delivering bioactive extracellular vesicles that support tissue repair without the risks linked to stem cell transplantation. Exosomes derived from mesenchymal stem cells or prostate stromal cells contain growth factors, miRNAs, and cytokines that promote angiogenesis, regulate inflammation, and suppress fibrosis (Zhang et al., 2022; Li et al., 2020).</w:t>
      </w:r>
    </w:p>
    <w:p w14:paraId="6D77B671" w14:textId="77777777" w:rsidR="0032533D" w:rsidRPr="0032533D" w:rsidRDefault="0032533D" w:rsidP="0032533D">
      <w:r w:rsidRPr="0032533D">
        <w:t>Encapsulation of exosomes within injectable hydrogels enables sustained release, helping to maintain a pro-regenerative microenvironment. This strategy is particularly relevant for post-prostatectomy repair, where effective regeneration is required while minimizing tumorigenic potential (Gaharwar et al., 2020; Chen et al., 2020).</w:t>
      </w:r>
    </w:p>
    <w:p w14:paraId="249EEE3C" w14:textId="77777777" w:rsidR="00155389" w:rsidRDefault="00A02BC3" w:rsidP="00AD5A31">
      <w:pPr>
        <w:pStyle w:val="Heading1"/>
      </w:pPr>
      <w:r>
        <w:t>6</w:t>
      </w:r>
      <w:r w:rsidR="00155389" w:rsidRPr="00155389">
        <w:t>.5 Growth-Factor Loaded Scaffolds</w:t>
      </w:r>
    </w:p>
    <w:p w14:paraId="00263DE8" w14:textId="77777777" w:rsidR="0032533D" w:rsidRPr="0032533D" w:rsidRDefault="0032533D" w:rsidP="0032533D">
      <w:r>
        <w:t>Growth factor–loaded scaffolds are engineered to enable controlled, spatiotemporal delivery of bioactive molecules essential for tissue regeneration. Factors such as vascular endothelial growth factor (VEGF) and basic fibroblast growth factor (</w:t>
      </w:r>
      <w:proofErr w:type="spellStart"/>
      <w:r>
        <w:t>bFGF</w:t>
      </w:r>
      <w:proofErr w:type="spellEnd"/>
      <w:r>
        <w:t>) promote angiogenesis and endothelial cell proliferation, while bone morphogenetic proteins (BMPs) support tissue remodeling and stromal organization (Li et al., 2020; Beilharz et al., 2024). In parallel, incorporation of TGF-β inhibitors helps limit fibrosis and scar formation, contributing to improved long-term functional recovery. Injectable scaffold systems facilitate localized and sustained release of these factors, thereby enhancing regenerative efficacy while reducing systemic exposure (Li et al., 2020; Beilharz et al., 2024).</w:t>
      </w:r>
    </w:p>
    <w:p w14:paraId="5621930B" w14:textId="77777777" w:rsidR="00155389" w:rsidRDefault="00A02BC3" w:rsidP="00AD5A31">
      <w:pPr>
        <w:pStyle w:val="Heading1"/>
      </w:pPr>
      <w:r>
        <w:t>6</w:t>
      </w:r>
      <w:r w:rsidR="00155389" w:rsidRPr="00155389">
        <w:t>.6 Injectable Smart Hydrogels</w:t>
      </w:r>
    </w:p>
    <w:p w14:paraId="6112FBD1" w14:textId="77777777" w:rsidR="0032533D" w:rsidRPr="0032533D" w:rsidRDefault="0032533D" w:rsidP="0032533D">
      <w:r>
        <w:t>Smart hydrogels incorporate functional features such as electrical conductivity or magnetic responsiveness to enhance tissue regeneration. Conductive hydrogels support neuromuscular repair by facilitating electrophysiological signaling, whereas magnetically responsive systems enable remote cellular stimulation or controlled growth factor release (Beilharz et al., 2024; Li et al., 2020). These materials can be engineered to respond dynamically to local microenvironmental cues, providing multimodal signals that promote cell proliferation, angiogenesis, and extracellular matrix remodeling. As such, smart hydrogels represent an advanced strategy for complex tissue reconstruction, including post–prostate cancer regeneration (Beilharz et al., 2024).</w:t>
      </w:r>
    </w:p>
    <w:p w14:paraId="30535B97" w14:textId="77777777" w:rsidR="00155389" w:rsidRPr="00F131F2" w:rsidRDefault="00A02BC3" w:rsidP="00A02BC3">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5</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155389" w:rsidRPr="00F131F2">
        <w:rPr>
          <w:rFonts w:cs="Times New Roman"/>
          <w:b/>
          <w:i w:val="0"/>
          <w:color w:val="auto"/>
          <w:sz w:val="24"/>
          <w:szCs w:val="24"/>
        </w:rPr>
        <w:t>Advanced Injectable Scaffolds for Prostate Tissue Regeneration</w:t>
      </w:r>
      <w:r w:rsidR="00F131F2">
        <w:rPr>
          <w:rFonts w:cs="Times New Roman"/>
          <w:b/>
          <w:i w:val="0"/>
          <w:color w:val="auto"/>
          <w:sz w:val="24"/>
          <w:szCs w:val="24"/>
        </w:rPr>
        <w:t>.</w:t>
      </w:r>
    </w:p>
    <w:tbl>
      <w:tblPr>
        <w:tblStyle w:val="TableGrid"/>
        <w:tblW w:w="0" w:type="auto"/>
        <w:tblLook w:val="04A0" w:firstRow="1" w:lastRow="0" w:firstColumn="1" w:lastColumn="0" w:noHBand="0" w:noVBand="1"/>
      </w:tblPr>
      <w:tblGrid>
        <w:gridCol w:w="2127"/>
        <w:gridCol w:w="2168"/>
        <w:gridCol w:w="3019"/>
        <w:gridCol w:w="2036"/>
      </w:tblGrid>
      <w:tr w:rsidR="008F6083" w:rsidRPr="008F6083" w14:paraId="62CBCC6D" w14:textId="77777777" w:rsidTr="008F6083">
        <w:tc>
          <w:tcPr>
            <w:tcW w:w="0" w:type="auto"/>
            <w:hideMark/>
          </w:tcPr>
          <w:p w14:paraId="08ED8175"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Scaffold Type</w:t>
            </w:r>
          </w:p>
        </w:tc>
        <w:tc>
          <w:tcPr>
            <w:tcW w:w="0" w:type="auto"/>
            <w:hideMark/>
          </w:tcPr>
          <w:p w14:paraId="1A8C1190"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Components</w:t>
            </w:r>
          </w:p>
        </w:tc>
        <w:tc>
          <w:tcPr>
            <w:tcW w:w="0" w:type="auto"/>
            <w:hideMark/>
          </w:tcPr>
          <w:p w14:paraId="0A8A93AA"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Function / Mechanism</w:t>
            </w:r>
          </w:p>
        </w:tc>
        <w:tc>
          <w:tcPr>
            <w:tcW w:w="0" w:type="auto"/>
            <w:hideMark/>
          </w:tcPr>
          <w:p w14:paraId="014F85C7"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Reference</w:t>
            </w:r>
          </w:p>
        </w:tc>
      </w:tr>
      <w:tr w:rsidR="008F6083" w:rsidRPr="008F6083" w14:paraId="762C5377" w14:textId="77777777" w:rsidTr="008F6083">
        <w:tc>
          <w:tcPr>
            <w:tcW w:w="0" w:type="auto"/>
            <w:hideMark/>
          </w:tcPr>
          <w:p w14:paraId="3F6E6716"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lastRenderedPageBreak/>
              <w:t>Nanocomposite Scaffolds</w:t>
            </w:r>
          </w:p>
        </w:tc>
        <w:tc>
          <w:tcPr>
            <w:tcW w:w="0" w:type="auto"/>
            <w:hideMark/>
          </w:tcPr>
          <w:p w14:paraId="0975951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Chitosan-PLGA, HA-Gold NPs</w:t>
            </w:r>
          </w:p>
        </w:tc>
        <w:tc>
          <w:tcPr>
            <w:tcW w:w="0" w:type="auto"/>
            <w:hideMark/>
          </w:tcPr>
          <w:p w14:paraId="7EE5E5A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Mechanical reinforcement, controlled drug delivery, angiogenesis</w:t>
            </w:r>
          </w:p>
        </w:tc>
        <w:tc>
          <w:tcPr>
            <w:tcW w:w="0" w:type="auto"/>
            <w:hideMark/>
          </w:tcPr>
          <w:p w14:paraId="54A918E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Baharlouei &amp; Rahman, 2022; Li et al., 2020</w:t>
            </w:r>
          </w:p>
        </w:tc>
      </w:tr>
      <w:tr w:rsidR="008F6083" w:rsidRPr="008F6083" w14:paraId="3C55A2D1" w14:textId="77777777" w:rsidTr="008F6083">
        <w:tc>
          <w:tcPr>
            <w:tcW w:w="0" w:type="auto"/>
            <w:hideMark/>
          </w:tcPr>
          <w:p w14:paraId="1D8AF35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 xml:space="preserve">4D </w:t>
            </w:r>
            <w:proofErr w:type="spellStart"/>
            <w:r w:rsidRPr="008F6083">
              <w:rPr>
                <w:rFonts w:eastAsia="Times New Roman" w:cs="Times New Roman"/>
                <w:szCs w:val="24"/>
              </w:rPr>
              <w:t>Bioprinted</w:t>
            </w:r>
            <w:proofErr w:type="spellEnd"/>
            <w:r w:rsidRPr="008F6083">
              <w:rPr>
                <w:rFonts w:eastAsia="Times New Roman" w:cs="Times New Roman"/>
                <w:szCs w:val="24"/>
              </w:rPr>
              <w:t xml:space="preserve"> Hydrogels</w:t>
            </w:r>
          </w:p>
        </w:tc>
        <w:tc>
          <w:tcPr>
            <w:tcW w:w="0" w:type="auto"/>
            <w:hideMark/>
          </w:tcPr>
          <w:p w14:paraId="76A72FC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Shape-memory polymers</w:t>
            </w:r>
          </w:p>
        </w:tc>
        <w:tc>
          <w:tcPr>
            <w:tcW w:w="0" w:type="auto"/>
            <w:hideMark/>
          </w:tcPr>
          <w:p w14:paraId="06E1660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Environment-responsive morphing, defect filling</w:t>
            </w:r>
          </w:p>
        </w:tc>
        <w:tc>
          <w:tcPr>
            <w:tcW w:w="0" w:type="auto"/>
            <w:hideMark/>
          </w:tcPr>
          <w:p w14:paraId="1012CD2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Zhang et al., 2024</w:t>
            </w:r>
          </w:p>
        </w:tc>
      </w:tr>
      <w:tr w:rsidR="008F6083" w:rsidRPr="008F6083" w14:paraId="37E50520" w14:textId="77777777" w:rsidTr="008F6083">
        <w:tc>
          <w:tcPr>
            <w:tcW w:w="0" w:type="auto"/>
            <w:hideMark/>
          </w:tcPr>
          <w:p w14:paraId="3C540E9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Cell-laden Scaffolds</w:t>
            </w:r>
          </w:p>
        </w:tc>
        <w:tc>
          <w:tcPr>
            <w:tcW w:w="0" w:type="auto"/>
            <w:hideMark/>
          </w:tcPr>
          <w:p w14:paraId="7FC1329C"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MSCs, ADSCs, iPSC-derived cells</w:t>
            </w:r>
          </w:p>
        </w:tc>
        <w:tc>
          <w:tcPr>
            <w:tcW w:w="0" w:type="auto"/>
            <w:hideMark/>
          </w:tcPr>
          <w:p w14:paraId="31BF96D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Stem cell delivery, stromal/epithelial regeneration, angiogenesis</w:t>
            </w:r>
          </w:p>
        </w:tc>
        <w:tc>
          <w:tcPr>
            <w:tcW w:w="0" w:type="auto"/>
            <w:hideMark/>
          </w:tcPr>
          <w:p w14:paraId="1E0B706F" w14:textId="77777777" w:rsidR="008F6083" w:rsidRPr="008F6083" w:rsidRDefault="00EC2FC3" w:rsidP="0062045A">
            <w:pPr>
              <w:jc w:val="left"/>
              <w:rPr>
                <w:rFonts w:eastAsia="Times New Roman" w:cs="Times New Roman"/>
                <w:szCs w:val="24"/>
              </w:rPr>
            </w:pPr>
            <w:r>
              <w:rPr>
                <w:rFonts w:eastAsia="Times New Roman" w:cs="Times New Roman"/>
                <w:szCs w:val="24"/>
              </w:rPr>
              <w:t>Mironov et al., 2017</w:t>
            </w:r>
            <w:r w:rsidR="008F6083" w:rsidRPr="008F6083">
              <w:rPr>
                <w:rFonts w:eastAsia="Times New Roman" w:cs="Times New Roman"/>
                <w:szCs w:val="24"/>
              </w:rPr>
              <w:t>; Chen et al., 2020</w:t>
            </w:r>
          </w:p>
        </w:tc>
      </w:tr>
      <w:tr w:rsidR="008F6083" w:rsidRPr="008F6083" w14:paraId="3F6285A2" w14:textId="77777777" w:rsidTr="008F6083">
        <w:tc>
          <w:tcPr>
            <w:tcW w:w="0" w:type="auto"/>
            <w:hideMark/>
          </w:tcPr>
          <w:p w14:paraId="68027C4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Exosome-Loaded Scaffolds</w:t>
            </w:r>
          </w:p>
        </w:tc>
        <w:tc>
          <w:tcPr>
            <w:tcW w:w="0" w:type="auto"/>
            <w:hideMark/>
          </w:tcPr>
          <w:p w14:paraId="4267BAD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MSC/prostate stromal exosomes</w:t>
            </w:r>
          </w:p>
        </w:tc>
        <w:tc>
          <w:tcPr>
            <w:tcW w:w="0" w:type="auto"/>
            <w:hideMark/>
          </w:tcPr>
          <w:p w14:paraId="2076AEC8"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Paracrine signaling, angiogenesis, anti-fibrotic remodeling</w:t>
            </w:r>
          </w:p>
        </w:tc>
        <w:tc>
          <w:tcPr>
            <w:tcW w:w="0" w:type="auto"/>
            <w:hideMark/>
          </w:tcPr>
          <w:p w14:paraId="041BF3B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Chen et al., 2020</w:t>
            </w:r>
          </w:p>
        </w:tc>
      </w:tr>
      <w:tr w:rsidR="008F6083" w:rsidRPr="008F6083" w14:paraId="49FE21DD" w14:textId="77777777" w:rsidTr="008F6083">
        <w:tc>
          <w:tcPr>
            <w:tcW w:w="0" w:type="auto"/>
            <w:hideMark/>
          </w:tcPr>
          <w:p w14:paraId="41AD67E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Growth-Factor Loaded Scaffolds</w:t>
            </w:r>
          </w:p>
        </w:tc>
        <w:tc>
          <w:tcPr>
            <w:tcW w:w="0" w:type="auto"/>
            <w:hideMark/>
          </w:tcPr>
          <w:p w14:paraId="3476D5EA"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 xml:space="preserve">VEGF, </w:t>
            </w:r>
            <w:proofErr w:type="spellStart"/>
            <w:r w:rsidRPr="008F6083">
              <w:rPr>
                <w:rFonts w:eastAsia="Times New Roman" w:cs="Times New Roman"/>
                <w:szCs w:val="24"/>
              </w:rPr>
              <w:t>bFGF</w:t>
            </w:r>
            <w:proofErr w:type="spellEnd"/>
            <w:r w:rsidRPr="008F6083">
              <w:rPr>
                <w:rFonts w:eastAsia="Times New Roman" w:cs="Times New Roman"/>
                <w:szCs w:val="24"/>
              </w:rPr>
              <w:t>, BMP-2, TGF-β inhibitors</w:t>
            </w:r>
          </w:p>
        </w:tc>
        <w:tc>
          <w:tcPr>
            <w:tcW w:w="0" w:type="auto"/>
            <w:hideMark/>
          </w:tcPr>
          <w:p w14:paraId="4DF94E2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Angiogenesis, tissue remodeling, anti-fibrotic effect</w:t>
            </w:r>
          </w:p>
        </w:tc>
        <w:tc>
          <w:tcPr>
            <w:tcW w:w="0" w:type="auto"/>
            <w:hideMark/>
          </w:tcPr>
          <w:p w14:paraId="7038B17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Drury &amp; Mooney, 2003</w:t>
            </w:r>
          </w:p>
        </w:tc>
      </w:tr>
      <w:tr w:rsidR="008F6083" w:rsidRPr="008F6083" w14:paraId="72314DD2" w14:textId="77777777" w:rsidTr="008F6083">
        <w:tc>
          <w:tcPr>
            <w:tcW w:w="0" w:type="auto"/>
            <w:hideMark/>
          </w:tcPr>
          <w:p w14:paraId="3565F52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Smart Hydrogels</w:t>
            </w:r>
          </w:p>
        </w:tc>
        <w:tc>
          <w:tcPr>
            <w:tcW w:w="0" w:type="auto"/>
            <w:hideMark/>
          </w:tcPr>
          <w:p w14:paraId="23799E4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Conductive polymers, magnetic NPs</w:t>
            </w:r>
          </w:p>
        </w:tc>
        <w:tc>
          <w:tcPr>
            <w:tcW w:w="0" w:type="auto"/>
            <w:hideMark/>
          </w:tcPr>
          <w:p w14:paraId="0BBAA30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Neuromuscular regeneration, controlled release, dynamic cues</w:t>
            </w:r>
          </w:p>
        </w:tc>
        <w:tc>
          <w:tcPr>
            <w:tcW w:w="0" w:type="auto"/>
            <w:hideMark/>
          </w:tcPr>
          <w:p w14:paraId="120C053A"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Gaharwar et al., 2020</w:t>
            </w:r>
          </w:p>
        </w:tc>
      </w:tr>
    </w:tbl>
    <w:p w14:paraId="688363A1" w14:textId="77777777" w:rsidR="00702701" w:rsidRDefault="00702701" w:rsidP="00454FB1"/>
    <w:p w14:paraId="1391F886" w14:textId="77777777" w:rsidR="00583714" w:rsidRPr="00583714" w:rsidRDefault="00FA753B" w:rsidP="00AD5A31">
      <w:pPr>
        <w:pStyle w:val="Heading1"/>
      </w:pPr>
      <w:r>
        <w:t>7</w:t>
      </w:r>
      <w:r w:rsidR="00583714" w:rsidRPr="00583714">
        <w:t>. Methods of Injectable Scaffold Fabrication</w:t>
      </w:r>
    </w:p>
    <w:p w14:paraId="61F7E8C5" w14:textId="77777777" w:rsidR="00583714" w:rsidRDefault="00FA753B" w:rsidP="00AD5A31">
      <w:pPr>
        <w:pStyle w:val="Heading1"/>
      </w:pPr>
      <w:r>
        <w:t>7</w:t>
      </w:r>
      <w:r w:rsidR="00583714" w:rsidRPr="00583714">
        <w:t>.1 Sol–Gel Methods</w:t>
      </w:r>
    </w:p>
    <w:p w14:paraId="7EA9C154" w14:textId="77777777" w:rsidR="00FD5150" w:rsidRDefault="0032533D" w:rsidP="0062045A">
      <w:r>
        <w:t>Sol–gel techniques (Fig. 3) involve the conversion of a liquid precursor into a gel, producing a three-dimensional network that supports cell growth and tissue regeneration. In this process, polymer precursors such as chitosan or organic–inorganic hybrids undergo hydrolysis and condensation to form crosslinked hydrogels (Baharlouei &amp; Rahman, 2022; Li et al., 2020). This method enables precise control of porosity, surface area, and mechanical properties, allowing efficient incorporation of bioactive molecules, nanoparticles, or growth factors. Importantly, the mild processing conditions help preserve the bioactivity of encapsulated cells and biomolecules, making sol–gel systems suitable for prostate tissue regeneration applications (Zhao et al., 2021).</w:t>
      </w:r>
    </w:p>
    <w:p w14:paraId="516AA5B5" w14:textId="77777777" w:rsidR="00B82E7B" w:rsidRDefault="00B82E7B" w:rsidP="00FD5150">
      <w:pPr>
        <w:jc w:val="center"/>
        <w:rPr>
          <w:rFonts w:cs="Times New Roman"/>
        </w:rPr>
      </w:pPr>
      <w:r w:rsidRPr="00B82E7B">
        <w:rPr>
          <w:rFonts w:cs="Times New Roman"/>
          <w:noProof/>
        </w:rPr>
        <w:lastRenderedPageBreak/>
        <w:drawing>
          <wp:inline distT="0" distB="0" distL="0" distR="0" wp14:anchorId="2B8AE4FC" wp14:editId="0A7F55F7">
            <wp:extent cx="5943600"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44140"/>
                    </a:xfrm>
                    <a:prstGeom prst="rect">
                      <a:avLst/>
                    </a:prstGeom>
                  </pic:spPr>
                </pic:pic>
              </a:graphicData>
            </a:graphic>
          </wp:inline>
        </w:drawing>
      </w:r>
    </w:p>
    <w:p w14:paraId="0363E3B4" w14:textId="77777777" w:rsidR="00B82E7B" w:rsidRDefault="00B82E7B" w:rsidP="00B82E7B">
      <w:pPr>
        <w:pStyle w:val="Caption"/>
        <w:jc w:val="center"/>
        <w:rPr>
          <w:rFonts w:cs="Times New Roman"/>
          <w:i w:val="0"/>
          <w:sz w:val="24"/>
        </w:rPr>
      </w:pPr>
      <w:r w:rsidRPr="00B82E7B">
        <w:rPr>
          <w:rFonts w:cs="Times New Roman"/>
          <w:i w:val="0"/>
          <w:sz w:val="24"/>
        </w:rPr>
        <w:t xml:space="preserve">Figure </w:t>
      </w:r>
      <w:r w:rsidRPr="00B82E7B">
        <w:rPr>
          <w:rFonts w:cs="Times New Roman"/>
          <w:i w:val="0"/>
          <w:sz w:val="24"/>
        </w:rPr>
        <w:fldChar w:fldCharType="begin"/>
      </w:r>
      <w:r w:rsidRPr="00B82E7B">
        <w:rPr>
          <w:rFonts w:cs="Times New Roman"/>
          <w:i w:val="0"/>
          <w:sz w:val="24"/>
        </w:rPr>
        <w:instrText xml:space="preserve"> SEQ Figure \* ARABIC </w:instrText>
      </w:r>
      <w:r w:rsidRPr="00B82E7B">
        <w:rPr>
          <w:rFonts w:cs="Times New Roman"/>
          <w:i w:val="0"/>
          <w:sz w:val="24"/>
        </w:rPr>
        <w:fldChar w:fldCharType="separate"/>
      </w:r>
      <w:r w:rsidR="003C29EA">
        <w:rPr>
          <w:rFonts w:cs="Times New Roman"/>
          <w:i w:val="0"/>
          <w:noProof/>
          <w:sz w:val="24"/>
        </w:rPr>
        <w:t>3</w:t>
      </w:r>
      <w:r w:rsidRPr="00B82E7B">
        <w:rPr>
          <w:rFonts w:cs="Times New Roman"/>
          <w:i w:val="0"/>
          <w:sz w:val="24"/>
        </w:rPr>
        <w:fldChar w:fldCharType="end"/>
      </w:r>
      <w:r w:rsidRPr="00B82E7B">
        <w:rPr>
          <w:rFonts w:cs="Times New Roman"/>
          <w:i w:val="0"/>
          <w:sz w:val="24"/>
        </w:rPr>
        <w:t>: Sol–Gel Method for Injectable Scaffold Fabrication</w:t>
      </w:r>
    </w:p>
    <w:p w14:paraId="2A2326CA" w14:textId="77777777" w:rsidR="00676BB0" w:rsidRPr="00676BB0" w:rsidRDefault="00676BB0" w:rsidP="00676BB0"/>
    <w:p w14:paraId="2193E847" w14:textId="77777777" w:rsidR="00583714" w:rsidRDefault="00FA753B" w:rsidP="00AD5A31">
      <w:pPr>
        <w:pStyle w:val="Heading1"/>
      </w:pPr>
      <w:r>
        <w:t>7</w:t>
      </w:r>
      <w:r w:rsidR="00583714" w:rsidRPr="00583714">
        <w:t>.2 Ionic Crosslinking (Alginate–Ca²⁺)</w:t>
      </w:r>
    </w:p>
    <w:p w14:paraId="4242BDEA" w14:textId="77777777" w:rsidR="00C40CE5" w:rsidRDefault="00C40CE5" w:rsidP="00C40CE5">
      <w:r>
        <w:t xml:space="preserve">Alginate hydrogels are commonly produced using ionic crosslinking, a process in which divalent ions such as calcium (Ca²⁺) bind to alginate polymer chains to generate a physically stabilized gel structure (Fig. 4) (Li et al., 2020). This fabrication approach is rapid, straightforward, and operates under </w:t>
      </w:r>
      <w:r w:rsidRPr="00C40CE5">
        <w:t>physiological</w:t>
      </w:r>
      <w:r>
        <w:t xml:space="preserve"> conditions, making it well suited for cell encapsulation. By varying alginate concentration or calcium ion content, scaffold stiffness and porosity can be precisely adjusted. The resulting hydrogels create a three-dimensional environment that supports stem cell or prostate stromal cell viability, while enabling effective nutrient transport, angiogenic activity, and tissue remodeling (Patel et al., 2025; Li et al., 2020).</w:t>
      </w:r>
    </w:p>
    <w:p w14:paraId="157C96D9" w14:textId="77777777" w:rsidR="00B82E7B" w:rsidRDefault="00B82E7B" w:rsidP="0062045A">
      <w:pPr>
        <w:jc w:val="center"/>
        <w:rPr>
          <w:rFonts w:cs="Times New Roman"/>
        </w:rPr>
      </w:pPr>
      <w:r w:rsidRPr="00B82E7B">
        <w:rPr>
          <w:rFonts w:cs="Times New Roman"/>
          <w:noProof/>
        </w:rPr>
        <w:lastRenderedPageBreak/>
        <w:drawing>
          <wp:inline distT="0" distB="0" distL="0" distR="0" wp14:anchorId="5211A3F8" wp14:editId="09CC46A0">
            <wp:extent cx="5387340" cy="28003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7832" cy="2800606"/>
                    </a:xfrm>
                    <a:prstGeom prst="rect">
                      <a:avLst/>
                    </a:prstGeom>
                  </pic:spPr>
                </pic:pic>
              </a:graphicData>
            </a:graphic>
          </wp:inline>
        </w:drawing>
      </w:r>
    </w:p>
    <w:p w14:paraId="67B3B854" w14:textId="77777777" w:rsidR="00B82E7B" w:rsidRPr="001D1E36" w:rsidRDefault="00B82E7B" w:rsidP="001D1E36">
      <w:pPr>
        <w:jc w:val="center"/>
        <w:rPr>
          <w:rFonts w:cs="Times New Roman"/>
          <w:color w:val="44546A" w:themeColor="text2"/>
        </w:rPr>
      </w:pPr>
      <w:r w:rsidRPr="00AD5A31">
        <w:rPr>
          <w:rFonts w:cs="Times New Roman"/>
          <w:color w:val="44546A" w:themeColor="text2"/>
        </w:rPr>
        <w:t xml:space="preserve">Figure </w:t>
      </w:r>
      <w:r w:rsidRPr="00AD5A31">
        <w:rPr>
          <w:rFonts w:cs="Times New Roman"/>
          <w:color w:val="44546A" w:themeColor="text2"/>
        </w:rPr>
        <w:fldChar w:fldCharType="begin"/>
      </w:r>
      <w:r w:rsidRPr="00AD5A31">
        <w:rPr>
          <w:rFonts w:cs="Times New Roman"/>
          <w:color w:val="44546A" w:themeColor="text2"/>
        </w:rPr>
        <w:instrText xml:space="preserve"> SEQ Figure \* ARABIC </w:instrText>
      </w:r>
      <w:r w:rsidRPr="00AD5A31">
        <w:rPr>
          <w:rFonts w:cs="Times New Roman"/>
          <w:color w:val="44546A" w:themeColor="text2"/>
        </w:rPr>
        <w:fldChar w:fldCharType="separate"/>
      </w:r>
      <w:r w:rsidR="003C29EA">
        <w:rPr>
          <w:rFonts w:cs="Times New Roman"/>
          <w:noProof/>
          <w:color w:val="44546A" w:themeColor="text2"/>
        </w:rPr>
        <w:t>4</w:t>
      </w:r>
      <w:r w:rsidRPr="00AD5A31">
        <w:rPr>
          <w:rFonts w:cs="Times New Roman"/>
          <w:color w:val="44546A" w:themeColor="text2"/>
        </w:rPr>
        <w:fldChar w:fldCharType="end"/>
      </w:r>
      <w:r w:rsidRPr="00AD5A31">
        <w:rPr>
          <w:rFonts w:cs="Times New Roman"/>
          <w:color w:val="44546A" w:themeColor="text2"/>
        </w:rPr>
        <w:t>: Schematic of Ionic Crosslinking (Alginate–Ca²⁺)</w:t>
      </w:r>
    </w:p>
    <w:p w14:paraId="74B362E0" w14:textId="77777777" w:rsidR="00583714" w:rsidRDefault="00FA753B" w:rsidP="00AD5A31">
      <w:pPr>
        <w:pStyle w:val="Heading1"/>
      </w:pPr>
      <w:r>
        <w:t>7</w:t>
      </w:r>
      <w:r w:rsidR="00583714" w:rsidRPr="00583714">
        <w:t>.3 Photo-Crosslinking (</w:t>
      </w:r>
      <w:proofErr w:type="spellStart"/>
      <w:r w:rsidR="00583714" w:rsidRPr="00583714">
        <w:t>GelMA</w:t>
      </w:r>
      <w:proofErr w:type="spellEnd"/>
      <w:r w:rsidR="00583714" w:rsidRPr="00583714">
        <w:t xml:space="preserve"> + UV)</w:t>
      </w:r>
    </w:p>
    <w:p w14:paraId="20E52EF4" w14:textId="77777777" w:rsidR="0062045A" w:rsidRDefault="00C40CE5" w:rsidP="0062045A">
      <w:r>
        <w:t>Photo-</w:t>
      </w:r>
      <w:proofErr w:type="spellStart"/>
      <w:r>
        <w:t>crosslinkable</w:t>
      </w:r>
      <w:proofErr w:type="spellEnd"/>
      <w:r>
        <w:t xml:space="preserve"> polymers such as gelatin </w:t>
      </w:r>
      <w:proofErr w:type="spellStart"/>
      <w:r>
        <w:t>methacryloyl</w:t>
      </w:r>
      <w:proofErr w:type="spellEnd"/>
      <w:r>
        <w:t xml:space="preserve"> (</w:t>
      </w:r>
      <w:proofErr w:type="spellStart"/>
      <w:r>
        <w:t>GelMA</w:t>
      </w:r>
      <w:proofErr w:type="spellEnd"/>
      <w:r>
        <w:t xml:space="preserve">) can undergo in situ polymerization when exposed to UV or visible light in the presence of a </w:t>
      </w:r>
      <w:proofErr w:type="spellStart"/>
      <w:r>
        <w:t>photoinitiator</w:t>
      </w:r>
      <w:proofErr w:type="spellEnd"/>
      <w:r>
        <w:t xml:space="preserve">. This approach enables rapid gel formation, spatial control, and adjustable mechanical properties (Feng et al., 2025). Photo-crosslinking is well suited for injectable scaffolds, as gelation occurs after delivery, allowing the </w:t>
      </w:r>
      <w:r w:rsidRPr="00C40CE5">
        <w:t>material</w:t>
      </w:r>
      <w:r>
        <w:t xml:space="preserve"> to conform to irregular tissue defects. Modulating light intensity and </w:t>
      </w:r>
      <w:proofErr w:type="spellStart"/>
      <w:r>
        <w:t>GelMA</w:t>
      </w:r>
      <w:proofErr w:type="spellEnd"/>
      <w:r>
        <w:t xml:space="preserve"> concentration permits control over scaffold stiffness, degradation behavior, and cell encapsulation efficiency, thereby supporting functional prostate tissue regeneration (Patel et al., 2025).</w:t>
      </w:r>
    </w:p>
    <w:p w14:paraId="1346F89F" w14:textId="77777777" w:rsidR="004744F5" w:rsidRDefault="004744F5" w:rsidP="0062045A">
      <w:pPr>
        <w:jc w:val="center"/>
        <w:rPr>
          <w:rFonts w:cs="Times New Roman"/>
        </w:rPr>
      </w:pPr>
      <w:r w:rsidRPr="004744F5">
        <w:rPr>
          <w:rFonts w:cs="Times New Roman"/>
          <w:noProof/>
        </w:rPr>
        <w:drawing>
          <wp:inline distT="0" distB="0" distL="0" distR="0" wp14:anchorId="7CBE2051" wp14:editId="24EACC79">
            <wp:extent cx="5662151" cy="2461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2151" cy="2461473"/>
                    </a:xfrm>
                    <a:prstGeom prst="rect">
                      <a:avLst/>
                    </a:prstGeom>
                  </pic:spPr>
                </pic:pic>
              </a:graphicData>
            </a:graphic>
          </wp:inline>
        </w:drawing>
      </w:r>
    </w:p>
    <w:p w14:paraId="24BCA529" w14:textId="77777777" w:rsidR="004744F5" w:rsidRPr="004744F5" w:rsidRDefault="004744F5" w:rsidP="004744F5">
      <w:pPr>
        <w:pStyle w:val="Caption"/>
        <w:jc w:val="center"/>
        <w:rPr>
          <w:rFonts w:cs="Times New Roman"/>
          <w:i w:val="0"/>
          <w:sz w:val="36"/>
        </w:rPr>
      </w:pPr>
      <w:r w:rsidRPr="004744F5">
        <w:rPr>
          <w:rFonts w:cs="Times New Roman"/>
          <w:i w:val="0"/>
          <w:sz w:val="24"/>
        </w:rPr>
        <w:t xml:space="preserve">Figure </w:t>
      </w:r>
      <w:r w:rsidRPr="004744F5">
        <w:rPr>
          <w:rFonts w:cs="Times New Roman"/>
          <w:i w:val="0"/>
          <w:sz w:val="24"/>
        </w:rPr>
        <w:fldChar w:fldCharType="begin"/>
      </w:r>
      <w:r w:rsidRPr="004744F5">
        <w:rPr>
          <w:rFonts w:cs="Times New Roman"/>
          <w:i w:val="0"/>
          <w:sz w:val="24"/>
        </w:rPr>
        <w:instrText xml:space="preserve"> SEQ Figure \* ARABIC </w:instrText>
      </w:r>
      <w:r w:rsidRPr="004744F5">
        <w:rPr>
          <w:rFonts w:cs="Times New Roman"/>
          <w:i w:val="0"/>
          <w:sz w:val="24"/>
        </w:rPr>
        <w:fldChar w:fldCharType="separate"/>
      </w:r>
      <w:r w:rsidR="003C29EA">
        <w:rPr>
          <w:rFonts w:cs="Times New Roman"/>
          <w:i w:val="0"/>
          <w:noProof/>
          <w:sz w:val="24"/>
        </w:rPr>
        <w:t>5</w:t>
      </w:r>
      <w:r w:rsidRPr="004744F5">
        <w:rPr>
          <w:rFonts w:cs="Times New Roman"/>
          <w:i w:val="0"/>
          <w:sz w:val="24"/>
        </w:rPr>
        <w:fldChar w:fldCharType="end"/>
      </w:r>
      <w:r w:rsidRPr="004744F5">
        <w:rPr>
          <w:rFonts w:cs="Times New Roman"/>
          <w:i w:val="0"/>
          <w:sz w:val="24"/>
        </w:rPr>
        <w:t xml:space="preserve">: Mechanism of UV-Induced Photo-Crosslinking of Gelatin </w:t>
      </w:r>
      <w:proofErr w:type="spellStart"/>
      <w:r w:rsidRPr="004744F5">
        <w:rPr>
          <w:rFonts w:cs="Times New Roman"/>
          <w:i w:val="0"/>
          <w:sz w:val="24"/>
        </w:rPr>
        <w:t>Methacryloyl</w:t>
      </w:r>
      <w:proofErr w:type="spellEnd"/>
      <w:r w:rsidRPr="004744F5">
        <w:rPr>
          <w:rFonts w:cs="Times New Roman"/>
          <w:i w:val="0"/>
          <w:sz w:val="24"/>
        </w:rPr>
        <w:t xml:space="preserve"> (</w:t>
      </w:r>
      <w:proofErr w:type="spellStart"/>
      <w:r w:rsidRPr="004744F5">
        <w:rPr>
          <w:rFonts w:cs="Times New Roman"/>
          <w:i w:val="0"/>
          <w:sz w:val="24"/>
        </w:rPr>
        <w:t>GelMA</w:t>
      </w:r>
      <w:proofErr w:type="spellEnd"/>
      <w:r w:rsidRPr="004744F5">
        <w:rPr>
          <w:rFonts w:cs="Times New Roman"/>
          <w:i w:val="0"/>
          <w:sz w:val="24"/>
        </w:rPr>
        <w:t>) Hydrogels</w:t>
      </w:r>
    </w:p>
    <w:p w14:paraId="7418CE9D" w14:textId="77777777" w:rsidR="00583714" w:rsidRDefault="00FA753B" w:rsidP="00AD5A31">
      <w:pPr>
        <w:pStyle w:val="Heading1"/>
      </w:pPr>
      <w:r>
        <w:lastRenderedPageBreak/>
        <w:t>7</w:t>
      </w:r>
      <w:r w:rsidR="00583714" w:rsidRPr="00583714">
        <w:t>.4 Thermo-Gelling Methods</w:t>
      </w:r>
    </w:p>
    <w:p w14:paraId="76BB4A21" w14:textId="77777777" w:rsidR="006040C6" w:rsidRPr="00C40CE5" w:rsidRDefault="00C40CE5" w:rsidP="00C40CE5">
      <w:r>
        <w:t>Thermo-responsive polymers such as PNIPAM and Pluronic F127 undergo a temperature-induced sol–gel transition at physiological conditions. These materials can be injected in liquid form at room temperature and subsequently solidify in situ to create a supportive hydrogel matrix (Beilharz et al., 2024). Thermo-gelling scaffolds offer a minimally invasive and highly adaptable approach, enabling co-delivery of cells or growth factors. Their gelation behavior and mechanical properties can be adjusted through changes in polymer concentration, molecular weight, or copolymer composition, making them well suited for repairing complex tissue defects following prostatectomy.</w:t>
      </w:r>
    </w:p>
    <w:p w14:paraId="0A17BFD0" w14:textId="77777777" w:rsidR="006040C6" w:rsidRDefault="006040C6" w:rsidP="004744F5">
      <w:pPr>
        <w:jc w:val="center"/>
        <w:rPr>
          <w:rFonts w:cs="Times New Roman"/>
          <w:szCs w:val="24"/>
        </w:rPr>
      </w:pPr>
    </w:p>
    <w:p w14:paraId="4C2650B9" w14:textId="77777777" w:rsidR="006040C6" w:rsidRDefault="006040C6" w:rsidP="004744F5">
      <w:pPr>
        <w:jc w:val="center"/>
        <w:rPr>
          <w:rFonts w:cs="Times New Roman"/>
          <w:szCs w:val="24"/>
        </w:rPr>
      </w:pPr>
    </w:p>
    <w:p w14:paraId="74F3B1F4" w14:textId="77777777" w:rsidR="004744F5" w:rsidRDefault="006040C6" w:rsidP="004744F5">
      <w:pPr>
        <w:jc w:val="center"/>
        <w:rPr>
          <w:rFonts w:cs="Times New Roman"/>
          <w:szCs w:val="24"/>
        </w:rPr>
      </w:pPr>
      <w:r w:rsidRPr="006040C6">
        <w:rPr>
          <w:rFonts w:cs="Times New Roman"/>
          <w:noProof/>
          <w:szCs w:val="24"/>
        </w:rPr>
        <w:drawing>
          <wp:inline distT="0" distB="0" distL="0" distR="0" wp14:anchorId="5EB2F9F9" wp14:editId="132CB242">
            <wp:extent cx="4854361" cy="280440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4361" cy="2804403"/>
                    </a:xfrm>
                    <a:prstGeom prst="rect">
                      <a:avLst/>
                    </a:prstGeom>
                  </pic:spPr>
                </pic:pic>
              </a:graphicData>
            </a:graphic>
          </wp:inline>
        </w:drawing>
      </w:r>
    </w:p>
    <w:p w14:paraId="43FEDB4C" w14:textId="77777777" w:rsidR="004744F5" w:rsidRPr="006040C6" w:rsidRDefault="006040C6" w:rsidP="006040C6">
      <w:pPr>
        <w:pStyle w:val="Caption"/>
        <w:jc w:val="center"/>
        <w:rPr>
          <w:rFonts w:cs="Times New Roman"/>
          <w:i w:val="0"/>
          <w:sz w:val="36"/>
          <w:szCs w:val="24"/>
        </w:rPr>
      </w:pPr>
      <w:r w:rsidRPr="006040C6">
        <w:rPr>
          <w:rFonts w:cs="Times New Roman"/>
          <w:i w:val="0"/>
          <w:sz w:val="24"/>
        </w:rPr>
        <w:t xml:space="preserve">Figure </w:t>
      </w:r>
      <w:r w:rsidRPr="006040C6">
        <w:rPr>
          <w:rFonts w:cs="Times New Roman"/>
          <w:i w:val="0"/>
          <w:sz w:val="24"/>
        </w:rPr>
        <w:fldChar w:fldCharType="begin"/>
      </w:r>
      <w:r w:rsidRPr="006040C6">
        <w:rPr>
          <w:rFonts w:cs="Times New Roman"/>
          <w:i w:val="0"/>
          <w:sz w:val="24"/>
        </w:rPr>
        <w:instrText xml:space="preserve"> SEQ Figure \* ARABIC </w:instrText>
      </w:r>
      <w:r w:rsidRPr="006040C6">
        <w:rPr>
          <w:rFonts w:cs="Times New Roman"/>
          <w:i w:val="0"/>
          <w:sz w:val="24"/>
        </w:rPr>
        <w:fldChar w:fldCharType="separate"/>
      </w:r>
      <w:r w:rsidR="003C29EA">
        <w:rPr>
          <w:rFonts w:cs="Times New Roman"/>
          <w:i w:val="0"/>
          <w:noProof/>
          <w:sz w:val="24"/>
        </w:rPr>
        <w:t>6</w:t>
      </w:r>
      <w:r w:rsidRPr="006040C6">
        <w:rPr>
          <w:rFonts w:cs="Times New Roman"/>
          <w:i w:val="0"/>
          <w:sz w:val="24"/>
        </w:rPr>
        <w:fldChar w:fldCharType="end"/>
      </w:r>
      <w:r w:rsidRPr="006040C6">
        <w:rPr>
          <w:rFonts w:cs="Times New Roman"/>
          <w:i w:val="0"/>
          <w:sz w:val="24"/>
        </w:rPr>
        <w:t>: Mechanism of Body-Temperature Triggered Gelation of Injectable Hydrogels</w:t>
      </w:r>
    </w:p>
    <w:p w14:paraId="232FBD9D" w14:textId="77777777" w:rsidR="00583714" w:rsidRDefault="00FA753B" w:rsidP="00AD5A31">
      <w:pPr>
        <w:pStyle w:val="Heading1"/>
      </w:pPr>
      <w:r>
        <w:t>7</w:t>
      </w:r>
      <w:r w:rsidR="00583714" w:rsidRPr="00583714">
        <w:t>.5 Microfluidic Particle Fabrication</w:t>
      </w:r>
    </w:p>
    <w:p w14:paraId="798A030D" w14:textId="77777777" w:rsidR="00C40CE5" w:rsidRDefault="00C40CE5" w:rsidP="00C40CE5">
      <w:r>
        <w:t>Microfluidic approaches allow the fabrication of highly uniform microgels or microspheres for injectable scaffold applications. Precise regulation of flow conditions and droplet formation enables control over particle size, morphology, and encapsulated payloads (</w:t>
      </w:r>
      <w:proofErr w:type="spellStart"/>
      <w:r>
        <w:t>Motealleh</w:t>
      </w:r>
      <w:proofErr w:type="spellEnd"/>
      <w:r>
        <w:t xml:space="preserve"> et al., 2020). These microgels can deliver stem cells, growth factors, or nanoparticles and be assembled modularly into larger tissue constructs. Their uniformity ensures consistent mechanical behavior and predictable degradation profiles, supporting controlled and reproducible tissue regeneration (</w:t>
      </w:r>
      <w:proofErr w:type="spellStart"/>
      <w:r>
        <w:t>Motealleh</w:t>
      </w:r>
      <w:proofErr w:type="spellEnd"/>
      <w:r>
        <w:t xml:space="preserve"> et al., 2020).</w:t>
      </w:r>
    </w:p>
    <w:p w14:paraId="3EA413D1" w14:textId="77777777" w:rsidR="008B7368" w:rsidRDefault="008B7368" w:rsidP="00FD5150">
      <w:pPr>
        <w:jc w:val="center"/>
        <w:rPr>
          <w:rFonts w:cs="Times New Roman"/>
        </w:rPr>
      </w:pPr>
      <w:r w:rsidRPr="008B7368">
        <w:rPr>
          <w:rFonts w:cs="Times New Roman"/>
          <w:noProof/>
        </w:rPr>
        <w:lastRenderedPageBreak/>
        <w:drawing>
          <wp:inline distT="0" distB="0" distL="0" distR="0" wp14:anchorId="34BF3790" wp14:editId="26C361E3">
            <wp:extent cx="5699760" cy="3954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0257" cy="3955125"/>
                    </a:xfrm>
                    <a:prstGeom prst="rect">
                      <a:avLst/>
                    </a:prstGeom>
                  </pic:spPr>
                </pic:pic>
              </a:graphicData>
            </a:graphic>
          </wp:inline>
        </w:drawing>
      </w:r>
    </w:p>
    <w:p w14:paraId="379909C6" w14:textId="77777777" w:rsidR="00ED7190" w:rsidRPr="00ED7190" w:rsidRDefault="00ED7190" w:rsidP="00ED7190">
      <w:pPr>
        <w:pStyle w:val="Caption"/>
        <w:jc w:val="center"/>
        <w:rPr>
          <w:rFonts w:cs="Times New Roman"/>
          <w:i w:val="0"/>
          <w:sz w:val="36"/>
        </w:rPr>
      </w:pPr>
      <w:r w:rsidRPr="00ED7190">
        <w:rPr>
          <w:rFonts w:cs="Times New Roman"/>
          <w:i w:val="0"/>
          <w:sz w:val="24"/>
        </w:rPr>
        <w:t xml:space="preserve">Figure </w:t>
      </w:r>
      <w:r w:rsidRPr="00ED7190">
        <w:rPr>
          <w:rFonts w:cs="Times New Roman"/>
          <w:i w:val="0"/>
          <w:sz w:val="24"/>
        </w:rPr>
        <w:fldChar w:fldCharType="begin"/>
      </w:r>
      <w:r w:rsidRPr="00ED7190">
        <w:rPr>
          <w:rFonts w:cs="Times New Roman"/>
          <w:i w:val="0"/>
          <w:sz w:val="24"/>
        </w:rPr>
        <w:instrText xml:space="preserve"> SEQ Figure \* ARABIC </w:instrText>
      </w:r>
      <w:r w:rsidRPr="00ED7190">
        <w:rPr>
          <w:rFonts w:cs="Times New Roman"/>
          <w:i w:val="0"/>
          <w:sz w:val="24"/>
        </w:rPr>
        <w:fldChar w:fldCharType="separate"/>
      </w:r>
      <w:r w:rsidR="003C29EA">
        <w:rPr>
          <w:rFonts w:cs="Times New Roman"/>
          <w:i w:val="0"/>
          <w:noProof/>
          <w:sz w:val="24"/>
        </w:rPr>
        <w:t>7</w:t>
      </w:r>
      <w:r w:rsidRPr="00ED7190">
        <w:rPr>
          <w:rFonts w:cs="Times New Roman"/>
          <w:i w:val="0"/>
          <w:sz w:val="24"/>
        </w:rPr>
        <w:fldChar w:fldCharType="end"/>
      </w:r>
      <w:r w:rsidRPr="00ED7190">
        <w:rPr>
          <w:rFonts w:cs="Times New Roman"/>
          <w:i w:val="0"/>
          <w:sz w:val="24"/>
        </w:rPr>
        <w:t>: Three-Step Process of Microfluidic Particle Fabrication</w:t>
      </w:r>
    </w:p>
    <w:p w14:paraId="0518CA66" w14:textId="77777777" w:rsidR="00583714" w:rsidRDefault="00FA753B" w:rsidP="00AD5A31">
      <w:pPr>
        <w:pStyle w:val="Heading1"/>
      </w:pPr>
      <w:r>
        <w:t>7</w:t>
      </w:r>
      <w:r w:rsidR="00583714" w:rsidRPr="00583714">
        <w:t>.6 3D Bioprinting of Injectable Microgels</w:t>
      </w:r>
    </w:p>
    <w:p w14:paraId="231959E3" w14:textId="77777777" w:rsidR="00C40CE5" w:rsidRDefault="00C40CE5" w:rsidP="00C40CE5">
      <w:r>
        <w:t>Three-dimensional (3D) bioprinting enables precise placement of bioinks containing cells, polymers, or growth factors into predefined microgel structures. Injectable microgels printed directly in situ can adapt to irregular tissue defects while preserving cell viability and function (</w:t>
      </w:r>
      <w:proofErr w:type="spellStart"/>
      <w:r>
        <w:t>Yourdkhani</w:t>
      </w:r>
      <w:proofErr w:type="spellEnd"/>
      <w:r>
        <w:t xml:space="preserve"> et al., 2024). This technique combines spatial control with minimal invasiveness, allowing fabrication of patient-specific scaffolds for prostate tissue reconstruction. Following deposition, microgels may be crosslinked using photo-, thermal-, or ionic mechanisms to tailor mechanical strength and biological performance (</w:t>
      </w:r>
      <w:proofErr w:type="spellStart"/>
      <w:r>
        <w:t>Yourdkhani</w:t>
      </w:r>
      <w:proofErr w:type="spellEnd"/>
      <w:r>
        <w:t xml:space="preserve"> et al., 2024).</w:t>
      </w:r>
    </w:p>
    <w:p w14:paraId="1E9A2119" w14:textId="77777777" w:rsidR="00E06383" w:rsidRDefault="00B74FA2" w:rsidP="00FD5150">
      <w:pPr>
        <w:jc w:val="center"/>
        <w:rPr>
          <w:rFonts w:cs="Times New Roman"/>
        </w:rPr>
      </w:pPr>
      <w:r w:rsidRPr="00B74FA2">
        <w:rPr>
          <w:rFonts w:cs="Times New Roman"/>
          <w:noProof/>
        </w:rPr>
        <w:lastRenderedPageBreak/>
        <w:drawing>
          <wp:inline distT="0" distB="0" distL="0" distR="0" wp14:anchorId="308EFB63" wp14:editId="784EC819">
            <wp:extent cx="5943600" cy="5376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76545"/>
                    </a:xfrm>
                    <a:prstGeom prst="rect">
                      <a:avLst/>
                    </a:prstGeom>
                  </pic:spPr>
                </pic:pic>
              </a:graphicData>
            </a:graphic>
          </wp:inline>
        </w:drawing>
      </w:r>
    </w:p>
    <w:p w14:paraId="19F48870" w14:textId="77777777" w:rsidR="00E06383" w:rsidRPr="00E06383" w:rsidRDefault="00E06383" w:rsidP="00E06383">
      <w:pPr>
        <w:pStyle w:val="Caption"/>
        <w:jc w:val="center"/>
        <w:rPr>
          <w:rFonts w:cs="Times New Roman"/>
          <w:i w:val="0"/>
          <w:sz w:val="36"/>
        </w:rPr>
      </w:pPr>
      <w:r w:rsidRPr="00E06383">
        <w:rPr>
          <w:rFonts w:cs="Times New Roman"/>
          <w:i w:val="0"/>
          <w:sz w:val="24"/>
        </w:rPr>
        <w:t xml:space="preserve">Figure </w:t>
      </w:r>
      <w:r w:rsidRPr="00E06383">
        <w:rPr>
          <w:rFonts w:cs="Times New Roman"/>
          <w:i w:val="0"/>
          <w:sz w:val="24"/>
        </w:rPr>
        <w:fldChar w:fldCharType="begin"/>
      </w:r>
      <w:r w:rsidRPr="00E06383">
        <w:rPr>
          <w:rFonts w:cs="Times New Roman"/>
          <w:i w:val="0"/>
          <w:sz w:val="24"/>
        </w:rPr>
        <w:instrText xml:space="preserve"> SEQ Figure \* ARABIC </w:instrText>
      </w:r>
      <w:r w:rsidRPr="00E06383">
        <w:rPr>
          <w:rFonts w:cs="Times New Roman"/>
          <w:i w:val="0"/>
          <w:sz w:val="24"/>
        </w:rPr>
        <w:fldChar w:fldCharType="separate"/>
      </w:r>
      <w:r w:rsidR="003C29EA">
        <w:rPr>
          <w:rFonts w:cs="Times New Roman"/>
          <w:i w:val="0"/>
          <w:noProof/>
          <w:sz w:val="24"/>
        </w:rPr>
        <w:t>8</w:t>
      </w:r>
      <w:r w:rsidRPr="00E06383">
        <w:rPr>
          <w:rFonts w:cs="Times New Roman"/>
          <w:i w:val="0"/>
          <w:sz w:val="24"/>
        </w:rPr>
        <w:fldChar w:fldCharType="end"/>
      </w:r>
      <w:r w:rsidR="000927DF">
        <w:rPr>
          <w:rFonts w:cs="Times New Roman"/>
          <w:i w:val="0"/>
          <w:sz w:val="24"/>
        </w:rPr>
        <w:t xml:space="preserve">: </w:t>
      </w:r>
      <w:r w:rsidRPr="00E06383">
        <w:rPr>
          <w:rFonts w:cs="Times New Roman"/>
          <w:i w:val="0"/>
          <w:sz w:val="24"/>
        </w:rPr>
        <w:t>Workflow of 3D Bioprinting Using Injectable Microgel-Based Bioinks</w:t>
      </w:r>
    </w:p>
    <w:p w14:paraId="5522E7AF" w14:textId="77777777" w:rsidR="00583714" w:rsidRDefault="00FA753B" w:rsidP="00AD5A31">
      <w:pPr>
        <w:pStyle w:val="Heading1"/>
      </w:pPr>
      <w:r>
        <w:t>7</w:t>
      </w:r>
      <w:r w:rsidR="00583714" w:rsidRPr="00583714">
        <w:t>.7 In Situ Polymerization During Injection</w:t>
      </w:r>
    </w:p>
    <w:p w14:paraId="371F0ADA" w14:textId="77777777" w:rsidR="00C40CE5" w:rsidRDefault="00C40CE5" w:rsidP="00C40CE5">
      <w:r>
        <w:t>In situ polymerization refers to chemical or enzymatic reactions that occur during scaffold injection, resulting in gel formation directly within the tissue defect. This method ensures close conformability and effective integration with surrounding host tissue (Drury &amp; Mooney, 2003; Beilharz et al., 2024). Polymer systems such as acrylate-modified materials, self-assembling peptides, and thiol–</w:t>
      </w:r>
      <w:proofErr w:type="spellStart"/>
      <w:r>
        <w:t>ene</w:t>
      </w:r>
      <w:proofErr w:type="spellEnd"/>
      <w:r>
        <w:t xml:space="preserve"> chemistries can undergo gelation under mild conditions, maintaining the bioactivity of encapsulated cells or growth factors. In situ polymerization is particularly advantageous for minimally invasive post–prostate cancer regeneration, where irregular defect geometry and disrupted extracellular matrix demand adaptable scaffold systems (Beilharz et al., 2024).</w:t>
      </w:r>
    </w:p>
    <w:p w14:paraId="3CF024B6" w14:textId="77777777" w:rsidR="003C29EA" w:rsidRDefault="003C29EA" w:rsidP="00FD5150">
      <w:pPr>
        <w:jc w:val="center"/>
        <w:rPr>
          <w:rFonts w:cs="Times New Roman"/>
        </w:rPr>
      </w:pPr>
      <w:r w:rsidRPr="003C29EA">
        <w:rPr>
          <w:rFonts w:cs="Times New Roman"/>
          <w:noProof/>
        </w:rPr>
        <w:lastRenderedPageBreak/>
        <w:drawing>
          <wp:inline distT="0" distB="0" distL="0" distR="0" wp14:anchorId="015F5DB3" wp14:editId="429A3DD2">
            <wp:extent cx="5730737" cy="221761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0737" cy="2217612"/>
                    </a:xfrm>
                    <a:prstGeom prst="rect">
                      <a:avLst/>
                    </a:prstGeom>
                  </pic:spPr>
                </pic:pic>
              </a:graphicData>
            </a:graphic>
          </wp:inline>
        </w:drawing>
      </w:r>
    </w:p>
    <w:p w14:paraId="63BD39F3" w14:textId="77777777" w:rsidR="00E06383" w:rsidRPr="003C29EA" w:rsidRDefault="003C29EA" w:rsidP="003C29EA">
      <w:pPr>
        <w:pStyle w:val="Caption"/>
        <w:jc w:val="center"/>
        <w:rPr>
          <w:rFonts w:cs="Times New Roman"/>
          <w:i w:val="0"/>
          <w:sz w:val="24"/>
        </w:rPr>
      </w:pPr>
      <w:r w:rsidRPr="003C29EA">
        <w:rPr>
          <w:rFonts w:cs="Times New Roman"/>
          <w:i w:val="0"/>
          <w:sz w:val="24"/>
        </w:rPr>
        <w:t xml:space="preserve">Figure </w:t>
      </w:r>
      <w:r w:rsidRPr="003C29EA">
        <w:rPr>
          <w:rFonts w:cs="Times New Roman"/>
          <w:i w:val="0"/>
          <w:sz w:val="24"/>
        </w:rPr>
        <w:fldChar w:fldCharType="begin"/>
      </w:r>
      <w:r w:rsidRPr="003C29EA">
        <w:rPr>
          <w:rFonts w:cs="Times New Roman"/>
          <w:i w:val="0"/>
          <w:sz w:val="24"/>
        </w:rPr>
        <w:instrText xml:space="preserve"> SEQ Figure \* ARABIC </w:instrText>
      </w:r>
      <w:r w:rsidRPr="003C29EA">
        <w:rPr>
          <w:rFonts w:cs="Times New Roman"/>
          <w:i w:val="0"/>
          <w:sz w:val="24"/>
        </w:rPr>
        <w:fldChar w:fldCharType="separate"/>
      </w:r>
      <w:r w:rsidRPr="003C29EA">
        <w:rPr>
          <w:rFonts w:cs="Times New Roman"/>
          <w:i w:val="0"/>
          <w:noProof/>
          <w:sz w:val="24"/>
        </w:rPr>
        <w:t>9</w:t>
      </w:r>
      <w:r w:rsidRPr="003C29EA">
        <w:rPr>
          <w:rFonts w:cs="Times New Roman"/>
          <w:i w:val="0"/>
          <w:sz w:val="24"/>
        </w:rPr>
        <w:fldChar w:fldCharType="end"/>
      </w:r>
      <w:r w:rsidR="00BB4924">
        <w:rPr>
          <w:rFonts w:cs="Times New Roman"/>
          <w:i w:val="0"/>
          <w:sz w:val="24"/>
        </w:rPr>
        <w:t>:</w:t>
      </w:r>
      <w:r w:rsidRPr="003C29EA">
        <w:rPr>
          <w:rFonts w:cs="Times New Roman"/>
          <w:i w:val="0"/>
          <w:sz w:val="24"/>
        </w:rPr>
        <w:t xml:space="preserve"> </w:t>
      </w:r>
      <w:r w:rsidRPr="003C29EA">
        <w:rPr>
          <w:rFonts w:cs="Times New Roman"/>
          <w:i w:val="0"/>
          <w:iCs w:val="0"/>
          <w:sz w:val="24"/>
        </w:rPr>
        <w:t>In Situ</w:t>
      </w:r>
      <w:r w:rsidRPr="003C29EA">
        <w:rPr>
          <w:rFonts w:cs="Times New Roman"/>
          <w:i w:val="0"/>
          <w:sz w:val="24"/>
        </w:rPr>
        <w:t xml:space="preserve"> Polymerization via Chemical Initiation during Injection</w:t>
      </w:r>
    </w:p>
    <w:p w14:paraId="6D650554" w14:textId="77777777" w:rsidR="00583714" w:rsidRPr="00F131F2" w:rsidRDefault="00583714" w:rsidP="00583714">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6</w:t>
      </w:r>
      <w:r w:rsidRPr="00F131F2">
        <w:rPr>
          <w:rFonts w:cs="Times New Roman"/>
          <w:b/>
          <w:i w:val="0"/>
          <w:color w:val="auto"/>
          <w:sz w:val="24"/>
          <w:szCs w:val="24"/>
        </w:rPr>
        <w:fldChar w:fldCharType="end"/>
      </w:r>
      <w:r w:rsidRPr="00F131F2">
        <w:rPr>
          <w:rFonts w:cs="Times New Roman"/>
          <w:b/>
          <w:i w:val="0"/>
          <w:color w:val="auto"/>
          <w:sz w:val="24"/>
          <w:szCs w:val="24"/>
        </w:rPr>
        <w:t>: Injectable Scaffold Fabrication Methods</w:t>
      </w:r>
      <w:r w:rsidR="00F131F2">
        <w:rPr>
          <w:rFonts w:cs="Times New Roman"/>
          <w:b/>
          <w:i w:val="0"/>
          <w:color w:val="auto"/>
          <w:sz w:val="24"/>
          <w:szCs w:val="24"/>
        </w:rPr>
        <w:t>.</w:t>
      </w:r>
    </w:p>
    <w:tbl>
      <w:tblPr>
        <w:tblStyle w:val="TableGrid"/>
        <w:tblW w:w="11199" w:type="dxa"/>
        <w:tblInd w:w="-856" w:type="dxa"/>
        <w:tblLook w:val="04A0" w:firstRow="1" w:lastRow="0" w:firstColumn="1" w:lastColumn="0" w:noHBand="0" w:noVBand="1"/>
      </w:tblPr>
      <w:tblGrid>
        <w:gridCol w:w="2269"/>
        <w:gridCol w:w="2203"/>
        <w:gridCol w:w="2192"/>
        <w:gridCol w:w="1728"/>
        <w:gridCol w:w="2807"/>
      </w:tblGrid>
      <w:tr w:rsidR="008F6083" w:rsidRPr="008F6083" w14:paraId="1E84ECB9" w14:textId="77777777" w:rsidTr="008F6083">
        <w:tc>
          <w:tcPr>
            <w:tcW w:w="2269" w:type="dxa"/>
            <w:hideMark/>
          </w:tcPr>
          <w:p w14:paraId="578A507D"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Method</w:t>
            </w:r>
          </w:p>
        </w:tc>
        <w:tc>
          <w:tcPr>
            <w:tcW w:w="2203" w:type="dxa"/>
            <w:hideMark/>
          </w:tcPr>
          <w:p w14:paraId="703EB7AE"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Materials</w:t>
            </w:r>
          </w:p>
        </w:tc>
        <w:tc>
          <w:tcPr>
            <w:tcW w:w="0" w:type="auto"/>
            <w:hideMark/>
          </w:tcPr>
          <w:p w14:paraId="31197A1C"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Key Features</w:t>
            </w:r>
          </w:p>
        </w:tc>
        <w:tc>
          <w:tcPr>
            <w:tcW w:w="0" w:type="auto"/>
            <w:hideMark/>
          </w:tcPr>
          <w:p w14:paraId="396E4D3A"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Applications</w:t>
            </w:r>
          </w:p>
        </w:tc>
        <w:tc>
          <w:tcPr>
            <w:tcW w:w="2807" w:type="dxa"/>
            <w:hideMark/>
          </w:tcPr>
          <w:p w14:paraId="579587BB"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Reference</w:t>
            </w:r>
          </w:p>
        </w:tc>
      </w:tr>
      <w:tr w:rsidR="008F6083" w:rsidRPr="008F6083" w14:paraId="69D4A9DF" w14:textId="77777777" w:rsidTr="008F6083">
        <w:tc>
          <w:tcPr>
            <w:tcW w:w="2269" w:type="dxa"/>
            <w:hideMark/>
          </w:tcPr>
          <w:p w14:paraId="6C7A3C3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Sol–Gel</w:t>
            </w:r>
          </w:p>
        </w:tc>
        <w:tc>
          <w:tcPr>
            <w:tcW w:w="2203" w:type="dxa"/>
            <w:hideMark/>
          </w:tcPr>
          <w:p w14:paraId="2865D17E"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Chitosan, silica, hybrid polymers</w:t>
            </w:r>
          </w:p>
        </w:tc>
        <w:tc>
          <w:tcPr>
            <w:tcW w:w="0" w:type="auto"/>
            <w:hideMark/>
          </w:tcPr>
          <w:p w14:paraId="6522A6D0"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Tunable porosity, bioactive molecule incorporation</w:t>
            </w:r>
          </w:p>
        </w:tc>
        <w:tc>
          <w:tcPr>
            <w:tcW w:w="0" w:type="auto"/>
            <w:hideMark/>
          </w:tcPr>
          <w:p w14:paraId="7D6663C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Prostate tissue regeneration</w:t>
            </w:r>
          </w:p>
        </w:tc>
        <w:tc>
          <w:tcPr>
            <w:tcW w:w="2807" w:type="dxa"/>
            <w:hideMark/>
          </w:tcPr>
          <w:p w14:paraId="5C0FEBC4"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Baharlouei &amp; Rahman, 2022; Feng et al., 2025</w:t>
            </w:r>
          </w:p>
        </w:tc>
      </w:tr>
      <w:tr w:rsidR="008F6083" w:rsidRPr="008F6083" w14:paraId="6C207614" w14:textId="77777777" w:rsidTr="008F6083">
        <w:tc>
          <w:tcPr>
            <w:tcW w:w="2269" w:type="dxa"/>
            <w:hideMark/>
          </w:tcPr>
          <w:p w14:paraId="1E85D0E4"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Ionic Crosslinking</w:t>
            </w:r>
          </w:p>
        </w:tc>
        <w:tc>
          <w:tcPr>
            <w:tcW w:w="2203" w:type="dxa"/>
            <w:hideMark/>
          </w:tcPr>
          <w:p w14:paraId="0EAB7E7E"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Alginate + Ca²⁺</w:t>
            </w:r>
          </w:p>
        </w:tc>
        <w:tc>
          <w:tcPr>
            <w:tcW w:w="0" w:type="auto"/>
            <w:hideMark/>
          </w:tcPr>
          <w:p w14:paraId="64205C12"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Mild conditions, tunable stiffness</w:t>
            </w:r>
          </w:p>
        </w:tc>
        <w:tc>
          <w:tcPr>
            <w:tcW w:w="0" w:type="auto"/>
            <w:hideMark/>
          </w:tcPr>
          <w:p w14:paraId="48791680"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Cell-laden injectable scaffolds</w:t>
            </w:r>
          </w:p>
        </w:tc>
        <w:tc>
          <w:tcPr>
            <w:tcW w:w="2807" w:type="dxa"/>
            <w:hideMark/>
          </w:tcPr>
          <w:p w14:paraId="6860FEEB"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 xml:space="preserve">Lee &amp; Mooney, 2012; </w:t>
            </w:r>
            <w:r w:rsidR="00EC2FC3">
              <w:rPr>
                <w:rFonts w:eastAsia="Times New Roman" w:cs="Times New Roman"/>
                <w:sz w:val="20"/>
                <w:szCs w:val="24"/>
              </w:rPr>
              <w:t>Mironov et al., 2017</w:t>
            </w:r>
          </w:p>
        </w:tc>
      </w:tr>
      <w:tr w:rsidR="008F6083" w:rsidRPr="008F6083" w14:paraId="7B8F3AC3" w14:textId="77777777" w:rsidTr="008F6083">
        <w:tc>
          <w:tcPr>
            <w:tcW w:w="2269" w:type="dxa"/>
            <w:hideMark/>
          </w:tcPr>
          <w:p w14:paraId="345ECF02"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Photo-Crosslinking</w:t>
            </w:r>
          </w:p>
        </w:tc>
        <w:tc>
          <w:tcPr>
            <w:tcW w:w="2203" w:type="dxa"/>
            <w:hideMark/>
          </w:tcPr>
          <w:p w14:paraId="34384F60" w14:textId="77777777" w:rsidR="008F6083" w:rsidRPr="008F6083" w:rsidRDefault="008F6083" w:rsidP="008F6083">
            <w:pPr>
              <w:rPr>
                <w:rFonts w:eastAsia="Times New Roman" w:cs="Times New Roman"/>
                <w:sz w:val="20"/>
                <w:szCs w:val="24"/>
              </w:rPr>
            </w:pPr>
            <w:proofErr w:type="spellStart"/>
            <w:r w:rsidRPr="008F6083">
              <w:rPr>
                <w:rFonts w:eastAsia="Times New Roman" w:cs="Times New Roman"/>
                <w:sz w:val="20"/>
                <w:szCs w:val="24"/>
              </w:rPr>
              <w:t>GelMA</w:t>
            </w:r>
            <w:proofErr w:type="spellEnd"/>
            <w:r w:rsidRPr="008F6083">
              <w:rPr>
                <w:rFonts w:eastAsia="Times New Roman" w:cs="Times New Roman"/>
                <w:sz w:val="20"/>
                <w:szCs w:val="24"/>
              </w:rPr>
              <w:t xml:space="preserve"> + UV</w:t>
            </w:r>
          </w:p>
        </w:tc>
        <w:tc>
          <w:tcPr>
            <w:tcW w:w="0" w:type="auto"/>
            <w:hideMark/>
          </w:tcPr>
          <w:p w14:paraId="6F49F2E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Rapid solidification, spatial control</w:t>
            </w:r>
          </w:p>
        </w:tc>
        <w:tc>
          <w:tcPr>
            <w:tcW w:w="0" w:type="auto"/>
            <w:hideMark/>
          </w:tcPr>
          <w:p w14:paraId="02F9AB98"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Precision injectable scaffolds</w:t>
            </w:r>
          </w:p>
        </w:tc>
        <w:tc>
          <w:tcPr>
            <w:tcW w:w="2807" w:type="dxa"/>
            <w:hideMark/>
          </w:tcPr>
          <w:p w14:paraId="3F38A7EE"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 xml:space="preserve">Huang et al., 2021; </w:t>
            </w:r>
            <w:r w:rsidR="00EC2FC3">
              <w:rPr>
                <w:rFonts w:eastAsia="Times New Roman" w:cs="Times New Roman"/>
                <w:sz w:val="20"/>
                <w:szCs w:val="24"/>
              </w:rPr>
              <w:t>Mironov et al., 2017</w:t>
            </w:r>
          </w:p>
        </w:tc>
      </w:tr>
      <w:tr w:rsidR="008F6083" w:rsidRPr="008F6083" w14:paraId="718BD948" w14:textId="77777777" w:rsidTr="008F6083">
        <w:tc>
          <w:tcPr>
            <w:tcW w:w="2269" w:type="dxa"/>
            <w:hideMark/>
          </w:tcPr>
          <w:p w14:paraId="40CE51DC"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Thermo-Gelling</w:t>
            </w:r>
          </w:p>
        </w:tc>
        <w:tc>
          <w:tcPr>
            <w:tcW w:w="2203" w:type="dxa"/>
            <w:hideMark/>
          </w:tcPr>
          <w:p w14:paraId="46274B0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PNIPAM, Pluronic F127</w:t>
            </w:r>
          </w:p>
        </w:tc>
        <w:tc>
          <w:tcPr>
            <w:tcW w:w="0" w:type="auto"/>
            <w:hideMark/>
          </w:tcPr>
          <w:p w14:paraId="6C76FB4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Sol-to-gel at body temp, minimally invasive</w:t>
            </w:r>
          </w:p>
        </w:tc>
        <w:tc>
          <w:tcPr>
            <w:tcW w:w="0" w:type="auto"/>
            <w:hideMark/>
          </w:tcPr>
          <w:p w14:paraId="2B93A10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Cell/growth factor delivery</w:t>
            </w:r>
          </w:p>
        </w:tc>
        <w:tc>
          <w:tcPr>
            <w:tcW w:w="2807" w:type="dxa"/>
            <w:hideMark/>
          </w:tcPr>
          <w:p w14:paraId="59962EBC"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Hoffman, 2012</w:t>
            </w:r>
          </w:p>
        </w:tc>
      </w:tr>
      <w:tr w:rsidR="008F6083" w:rsidRPr="008F6083" w14:paraId="7AAF8AFC" w14:textId="77777777" w:rsidTr="008F6083">
        <w:tc>
          <w:tcPr>
            <w:tcW w:w="2269" w:type="dxa"/>
            <w:hideMark/>
          </w:tcPr>
          <w:p w14:paraId="1D1B8A15"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Microfluidic Particle Fabrication</w:t>
            </w:r>
          </w:p>
        </w:tc>
        <w:tc>
          <w:tcPr>
            <w:tcW w:w="2203" w:type="dxa"/>
            <w:hideMark/>
          </w:tcPr>
          <w:p w14:paraId="448D02E6"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 xml:space="preserve">Chitosan, HA, </w:t>
            </w:r>
            <w:proofErr w:type="spellStart"/>
            <w:r w:rsidRPr="008F6083">
              <w:rPr>
                <w:rFonts w:eastAsia="Times New Roman" w:cs="Times New Roman"/>
                <w:sz w:val="20"/>
                <w:szCs w:val="24"/>
              </w:rPr>
              <w:t>GelMA</w:t>
            </w:r>
            <w:proofErr w:type="spellEnd"/>
          </w:p>
        </w:tc>
        <w:tc>
          <w:tcPr>
            <w:tcW w:w="0" w:type="auto"/>
            <w:hideMark/>
          </w:tcPr>
          <w:p w14:paraId="70B4FF07"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Uniform microspheres, modular assembly</w:t>
            </w:r>
          </w:p>
        </w:tc>
        <w:tc>
          <w:tcPr>
            <w:tcW w:w="0" w:type="auto"/>
            <w:hideMark/>
          </w:tcPr>
          <w:p w14:paraId="6AA8A8B3"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Modular tissue scaffolds</w:t>
            </w:r>
          </w:p>
        </w:tc>
        <w:tc>
          <w:tcPr>
            <w:tcW w:w="2807" w:type="dxa"/>
            <w:hideMark/>
          </w:tcPr>
          <w:p w14:paraId="635CD04A" w14:textId="77777777" w:rsidR="008F6083" w:rsidRPr="008F6083" w:rsidRDefault="008F6083" w:rsidP="008F6083">
            <w:pPr>
              <w:rPr>
                <w:rFonts w:eastAsia="Times New Roman" w:cs="Times New Roman"/>
                <w:sz w:val="20"/>
                <w:szCs w:val="24"/>
              </w:rPr>
            </w:pPr>
            <w:proofErr w:type="spellStart"/>
            <w:r w:rsidRPr="008F6083">
              <w:rPr>
                <w:rFonts w:eastAsia="Times New Roman" w:cs="Times New Roman"/>
                <w:sz w:val="20"/>
                <w:szCs w:val="24"/>
              </w:rPr>
              <w:t>Motealleh</w:t>
            </w:r>
            <w:proofErr w:type="spellEnd"/>
            <w:r w:rsidRPr="008F6083">
              <w:rPr>
                <w:rFonts w:eastAsia="Times New Roman" w:cs="Times New Roman"/>
                <w:sz w:val="20"/>
                <w:szCs w:val="24"/>
              </w:rPr>
              <w:t xml:space="preserve"> et al., 2020</w:t>
            </w:r>
          </w:p>
        </w:tc>
      </w:tr>
      <w:tr w:rsidR="008F6083" w:rsidRPr="008F6083" w14:paraId="706596D7" w14:textId="77777777" w:rsidTr="008F6083">
        <w:tc>
          <w:tcPr>
            <w:tcW w:w="2269" w:type="dxa"/>
            <w:hideMark/>
          </w:tcPr>
          <w:p w14:paraId="3B73D929"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3D Bioprinting</w:t>
            </w:r>
          </w:p>
        </w:tc>
        <w:tc>
          <w:tcPr>
            <w:tcW w:w="2203" w:type="dxa"/>
            <w:hideMark/>
          </w:tcPr>
          <w:p w14:paraId="665EDE39"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Cell-laden bioinks</w:t>
            </w:r>
          </w:p>
        </w:tc>
        <w:tc>
          <w:tcPr>
            <w:tcW w:w="0" w:type="auto"/>
            <w:hideMark/>
          </w:tcPr>
          <w:p w14:paraId="608012D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Spatial patterning, patient-specific scaffolds</w:t>
            </w:r>
          </w:p>
        </w:tc>
        <w:tc>
          <w:tcPr>
            <w:tcW w:w="0" w:type="auto"/>
            <w:hideMark/>
          </w:tcPr>
          <w:p w14:paraId="2C60802D"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Injectable microgel constructs</w:t>
            </w:r>
          </w:p>
        </w:tc>
        <w:tc>
          <w:tcPr>
            <w:tcW w:w="2807" w:type="dxa"/>
            <w:hideMark/>
          </w:tcPr>
          <w:p w14:paraId="0D221AAA"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Zhang et al., 2024</w:t>
            </w:r>
          </w:p>
        </w:tc>
      </w:tr>
      <w:tr w:rsidR="008F6083" w:rsidRPr="008F6083" w14:paraId="7579F28A" w14:textId="77777777" w:rsidTr="008F6083">
        <w:tc>
          <w:tcPr>
            <w:tcW w:w="2269" w:type="dxa"/>
            <w:hideMark/>
          </w:tcPr>
          <w:p w14:paraId="0458A0F5"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In Situ Polymerization</w:t>
            </w:r>
          </w:p>
        </w:tc>
        <w:tc>
          <w:tcPr>
            <w:tcW w:w="2203" w:type="dxa"/>
            <w:hideMark/>
          </w:tcPr>
          <w:p w14:paraId="57238B61"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Acrylates, self-assembling peptides</w:t>
            </w:r>
          </w:p>
        </w:tc>
        <w:tc>
          <w:tcPr>
            <w:tcW w:w="0" w:type="auto"/>
            <w:hideMark/>
          </w:tcPr>
          <w:p w14:paraId="09A6E0C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Conforms to defect, preserves bioactivity</w:t>
            </w:r>
          </w:p>
        </w:tc>
        <w:tc>
          <w:tcPr>
            <w:tcW w:w="0" w:type="auto"/>
            <w:hideMark/>
          </w:tcPr>
          <w:p w14:paraId="620B0D22"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Minimally invasive tissue repair</w:t>
            </w:r>
          </w:p>
        </w:tc>
        <w:tc>
          <w:tcPr>
            <w:tcW w:w="2807" w:type="dxa"/>
            <w:hideMark/>
          </w:tcPr>
          <w:p w14:paraId="5D03CA6F" w14:textId="77777777" w:rsidR="008F6083" w:rsidRPr="008F6083" w:rsidRDefault="008F6083" w:rsidP="008F6083">
            <w:pPr>
              <w:rPr>
                <w:rFonts w:eastAsia="Times New Roman" w:cs="Times New Roman"/>
                <w:sz w:val="20"/>
                <w:szCs w:val="24"/>
              </w:rPr>
            </w:pPr>
            <w:r w:rsidRPr="008F6083">
              <w:rPr>
                <w:rFonts w:eastAsia="Times New Roman" w:cs="Times New Roman"/>
                <w:sz w:val="20"/>
                <w:szCs w:val="24"/>
              </w:rPr>
              <w:t>Drury &amp; Mooney, 2003</w:t>
            </w:r>
          </w:p>
        </w:tc>
      </w:tr>
    </w:tbl>
    <w:p w14:paraId="625A9FC0" w14:textId="77777777" w:rsidR="00702701" w:rsidRDefault="00702701" w:rsidP="00FA753B"/>
    <w:p w14:paraId="49AF8043" w14:textId="77777777" w:rsidR="00245334" w:rsidRPr="00FA753B" w:rsidRDefault="00FA753B" w:rsidP="00AD5A31">
      <w:pPr>
        <w:pStyle w:val="Heading1"/>
      </w:pPr>
      <w:r>
        <w:t>8</w:t>
      </w:r>
      <w:r w:rsidR="00245334" w:rsidRPr="00FA753B">
        <w:t>. Methods of Administration (Clinical/Experimental)</w:t>
      </w:r>
    </w:p>
    <w:p w14:paraId="6CD85950" w14:textId="77777777" w:rsidR="00245334" w:rsidRPr="00FA753B" w:rsidRDefault="00FA753B" w:rsidP="00AD5A31">
      <w:pPr>
        <w:pStyle w:val="Heading1"/>
      </w:pPr>
      <w:r>
        <w:t>8</w:t>
      </w:r>
      <w:r w:rsidR="00245334" w:rsidRPr="00FA753B">
        <w:t xml:space="preserve">.1 </w:t>
      </w:r>
      <w:proofErr w:type="spellStart"/>
      <w:r w:rsidR="00245334" w:rsidRPr="00FA753B">
        <w:t>Transperineal</w:t>
      </w:r>
      <w:proofErr w:type="spellEnd"/>
      <w:r w:rsidR="00245334" w:rsidRPr="00FA753B">
        <w:t xml:space="preserve"> Injection</w:t>
      </w:r>
    </w:p>
    <w:p w14:paraId="42E73D23" w14:textId="77777777" w:rsidR="00C40CE5" w:rsidRPr="00C40CE5" w:rsidRDefault="00C40CE5" w:rsidP="00C40CE5">
      <w:proofErr w:type="spellStart"/>
      <w:r w:rsidRPr="00C40CE5">
        <w:t>Transperineal</w:t>
      </w:r>
      <w:proofErr w:type="spellEnd"/>
      <w:r w:rsidRPr="00C40CE5">
        <w:t xml:space="preserve"> injection is a minimally invasive technique in which injectable scaffolds or therapeutic agents are introduced into prostate tissue via the perineum under imaging guidance (Patel et al., 2025). This route enables accurate scaffold placement within targeted regions while minimizing the risk of injury to the rectum or urethra. Guidance using ultrasound or MRI ensures precise delivery to areas requiring regeneration, including stromal compartments or post-surgical defects.</w:t>
      </w:r>
    </w:p>
    <w:p w14:paraId="3C2130EC" w14:textId="77777777" w:rsidR="00C40CE5" w:rsidRPr="00C40CE5" w:rsidRDefault="00C40CE5" w:rsidP="00C40CE5">
      <w:r w:rsidRPr="00C40CE5">
        <w:lastRenderedPageBreak/>
        <w:t xml:space="preserve">Owing to its precision and low complication rates, </w:t>
      </w:r>
      <w:proofErr w:type="spellStart"/>
      <w:r w:rsidRPr="00C40CE5">
        <w:t>transperineal</w:t>
      </w:r>
      <w:proofErr w:type="spellEnd"/>
      <w:r w:rsidRPr="00C40CE5">
        <w:t xml:space="preserve"> administration is widely applied in both preclinical and clinical settings. It is particularly well suited for the delivery of stem cell–laden hydrogels or growth factor–enriched scaffolds, where accurate localization is essential for promoting angiogenesis and effective tissue repair (Patel et al., 2025; Li et al., 2020).</w:t>
      </w:r>
    </w:p>
    <w:p w14:paraId="605E92F7" w14:textId="77777777" w:rsidR="00245334" w:rsidRPr="00FA753B" w:rsidRDefault="00FA753B" w:rsidP="00AD5A31">
      <w:pPr>
        <w:pStyle w:val="Heading1"/>
      </w:pPr>
      <w:r>
        <w:t>8</w:t>
      </w:r>
      <w:r w:rsidR="00245334" w:rsidRPr="00FA753B">
        <w:t>.2 Transrectal Injection</w:t>
      </w:r>
    </w:p>
    <w:p w14:paraId="273907A4" w14:textId="77777777" w:rsidR="00C40CE5" w:rsidRPr="00C40CE5" w:rsidRDefault="00C40CE5" w:rsidP="00C40CE5">
      <w:r w:rsidRPr="00C40CE5">
        <w:t>Transrectal injection is mainly used for the placement of prostate spacers or targeted delivery of biomaterials near the rectal wall. In this approach, scaffold materials are administered through the rectum under imaging guidance, enabling deposition around the prostate or within periprostatic tissues (Patel et al., 2025).</w:t>
      </w:r>
    </w:p>
    <w:p w14:paraId="51E6E65C" w14:textId="77777777" w:rsidR="00C40CE5" w:rsidRPr="00C40CE5" w:rsidRDefault="00C40CE5" w:rsidP="00C40CE5">
      <w:r w:rsidRPr="00C40CE5">
        <w:t xml:space="preserve">Although effective for select applications, the transrectal route is associated with a slightly increased risk of infection and local irritation compared with </w:t>
      </w:r>
      <w:proofErr w:type="spellStart"/>
      <w:r w:rsidRPr="00C40CE5">
        <w:t>transperineal</w:t>
      </w:r>
      <w:proofErr w:type="spellEnd"/>
      <w:r w:rsidRPr="00C40CE5">
        <w:t xml:space="preserve"> delivery. To minimize these risks, strict sterilization protocols, accurate imaging guidance, and the use of injectable materials with antimicrobial or anti-inflammatory properties are required (Baharlouei &amp; Rahman, 2022).</w:t>
      </w:r>
    </w:p>
    <w:p w14:paraId="222031B6" w14:textId="77777777" w:rsidR="00245334" w:rsidRPr="00FA753B" w:rsidRDefault="00FA753B" w:rsidP="00AD5A31">
      <w:pPr>
        <w:pStyle w:val="Heading1"/>
      </w:pPr>
      <w:r>
        <w:t>8</w:t>
      </w:r>
      <w:r w:rsidR="00245334" w:rsidRPr="00FA753B">
        <w:t>.3 Injection Around Neurovascular Bundles</w:t>
      </w:r>
    </w:p>
    <w:p w14:paraId="481FE83C" w14:textId="77777777" w:rsidR="00127F73" w:rsidRPr="00127F73" w:rsidRDefault="00127F73" w:rsidP="00127F73">
      <w:r w:rsidRPr="00127F73">
        <w:t>To support functional recovery, injectable scaffolds may be delivered around the prostate neurovascular bundles (NVBs) to facilitate regeneration of erectile tissue and maintain urinary continence. The NVBs play essential roles in neural and vascular signaling, and their injury during prostate surgery is a major cause of erectile dysfunction and incontinence (Patel et al., 2025).</w:t>
      </w:r>
    </w:p>
    <w:p w14:paraId="0B1D2CD4" w14:textId="77777777" w:rsidR="00127F73" w:rsidRPr="00127F73" w:rsidRDefault="00127F73" w:rsidP="00127F73">
      <w:r w:rsidRPr="00127F73">
        <w:t>Placement of injectable hydrogels or cell-laden scaffolds in the NVB region enables localized delivery of growth factors, stem cells, or exosomes, promoting angiogenesis and reducing fibrotic remodeling in adjacent tissues. This minimally invasive strategy has demonstrated efficacy in restoring functional integrity in both small and large animal preclinical models (Patel et al., 2025; Chen et al., 2020).</w:t>
      </w:r>
    </w:p>
    <w:p w14:paraId="794D6B1F" w14:textId="77777777" w:rsidR="00245334" w:rsidRPr="00F131F2" w:rsidRDefault="00FA753B" w:rsidP="00FA753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7</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245334" w:rsidRPr="00F131F2">
        <w:rPr>
          <w:rFonts w:cs="Times New Roman"/>
          <w:b/>
          <w:i w:val="0"/>
          <w:color w:val="auto"/>
          <w:sz w:val="24"/>
          <w:szCs w:val="24"/>
        </w:rPr>
        <w:t xml:space="preserve">Injectable Scaffold Administration Routes </w:t>
      </w:r>
      <w:r w:rsidR="00F131F2">
        <w:rPr>
          <w:rFonts w:cs="Times New Roman"/>
          <w:b/>
          <w:i w:val="0"/>
          <w:color w:val="auto"/>
          <w:sz w:val="24"/>
          <w:szCs w:val="24"/>
        </w:rPr>
        <w:t>for Prostate Tissue Regeneration.</w:t>
      </w:r>
    </w:p>
    <w:tbl>
      <w:tblPr>
        <w:tblStyle w:val="TableGrid"/>
        <w:tblW w:w="0" w:type="auto"/>
        <w:tblLook w:val="04A0" w:firstRow="1" w:lastRow="0" w:firstColumn="1" w:lastColumn="0" w:noHBand="0" w:noVBand="1"/>
      </w:tblPr>
      <w:tblGrid>
        <w:gridCol w:w="1851"/>
        <w:gridCol w:w="1791"/>
        <w:gridCol w:w="1728"/>
        <w:gridCol w:w="2081"/>
        <w:gridCol w:w="1899"/>
      </w:tblGrid>
      <w:tr w:rsidR="008F6083" w:rsidRPr="00127F73" w14:paraId="4DFECC9D" w14:textId="77777777" w:rsidTr="008F6083">
        <w:tc>
          <w:tcPr>
            <w:tcW w:w="0" w:type="auto"/>
            <w:hideMark/>
          </w:tcPr>
          <w:p w14:paraId="2A13879D"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Route</w:t>
            </w:r>
          </w:p>
        </w:tc>
        <w:tc>
          <w:tcPr>
            <w:tcW w:w="0" w:type="auto"/>
            <w:hideMark/>
          </w:tcPr>
          <w:p w14:paraId="4A46558C"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Procedure</w:t>
            </w:r>
          </w:p>
        </w:tc>
        <w:tc>
          <w:tcPr>
            <w:tcW w:w="0" w:type="auto"/>
            <w:hideMark/>
          </w:tcPr>
          <w:p w14:paraId="074CA897"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Advantages</w:t>
            </w:r>
          </w:p>
        </w:tc>
        <w:tc>
          <w:tcPr>
            <w:tcW w:w="0" w:type="auto"/>
            <w:hideMark/>
          </w:tcPr>
          <w:p w14:paraId="22EC5C55"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Limitations / Considerations</w:t>
            </w:r>
          </w:p>
        </w:tc>
        <w:tc>
          <w:tcPr>
            <w:tcW w:w="0" w:type="auto"/>
            <w:hideMark/>
          </w:tcPr>
          <w:p w14:paraId="609EFA8D"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Reference</w:t>
            </w:r>
          </w:p>
        </w:tc>
      </w:tr>
      <w:tr w:rsidR="008F6083" w:rsidRPr="00127F73" w14:paraId="37258DE2" w14:textId="77777777" w:rsidTr="008F6083">
        <w:tc>
          <w:tcPr>
            <w:tcW w:w="0" w:type="auto"/>
            <w:hideMark/>
          </w:tcPr>
          <w:p w14:paraId="42FC7143" w14:textId="77777777" w:rsidR="008F6083" w:rsidRPr="00127F73" w:rsidRDefault="008F6083" w:rsidP="008F6083">
            <w:pPr>
              <w:rPr>
                <w:rFonts w:eastAsia="Times New Roman" w:cs="Times New Roman"/>
                <w:sz w:val="20"/>
                <w:szCs w:val="24"/>
              </w:rPr>
            </w:pPr>
            <w:proofErr w:type="spellStart"/>
            <w:r w:rsidRPr="00127F73">
              <w:rPr>
                <w:rFonts w:eastAsia="Times New Roman" w:cs="Times New Roman"/>
                <w:sz w:val="20"/>
                <w:szCs w:val="24"/>
              </w:rPr>
              <w:t>Transperineal</w:t>
            </w:r>
            <w:proofErr w:type="spellEnd"/>
            <w:r w:rsidRPr="00127F73">
              <w:rPr>
                <w:rFonts w:eastAsia="Times New Roman" w:cs="Times New Roman"/>
                <w:sz w:val="20"/>
                <w:szCs w:val="24"/>
              </w:rPr>
              <w:t xml:space="preserve"> Injection</w:t>
            </w:r>
          </w:p>
        </w:tc>
        <w:tc>
          <w:tcPr>
            <w:tcW w:w="0" w:type="auto"/>
            <w:hideMark/>
          </w:tcPr>
          <w:p w14:paraId="6991E31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Ultrasound-guided percutaneous injection</w:t>
            </w:r>
          </w:p>
        </w:tc>
        <w:tc>
          <w:tcPr>
            <w:tcW w:w="0" w:type="auto"/>
            <w:hideMark/>
          </w:tcPr>
          <w:p w14:paraId="1CC1DBB3"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Minimally invasive, high precision</w:t>
            </w:r>
          </w:p>
        </w:tc>
        <w:tc>
          <w:tcPr>
            <w:tcW w:w="0" w:type="auto"/>
            <w:hideMark/>
          </w:tcPr>
          <w:p w14:paraId="54161C8C"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Requires imaging guidance</w:t>
            </w:r>
          </w:p>
        </w:tc>
        <w:tc>
          <w:tcPr>
            <w:tcW w:w="0" w:type="auto"/>
            <w:hideMark/>
          </w:tcPr>
          <w:p w14:paraId="6F51FB60"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Kuo et al., 2020; Hou, De Bank, &amp; Shakesheff, 2004</w:t>
            </w:r>
          </w:p>
        </w:tc>
      </w:tr>
      <w:tr w:rsidR="008F6083" w:rsidRPr="00127F73" w14:paraId="456EC675" w14:textId="77777777" w:rsidTr="008F6083">
        <w:tc>
          <w:tcPr>
            <w:tcW w:w="0" w:type="auto"/>
            <w:hideMark/>
          </w:tcPr>
          <w:p w14:paraId="36C0E241"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Transrectal Injection</w:t>
            </w:r>
          </w:p>
        </w:tc>
        <w:tc>
          <w:tcPr>
            <w:tcW w:w="0" w:type="auto"/>
            <w:hideMark/>
          </w:tcPr>
          <w:p w14:paraId="20B4B893"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Needle through rectal wall under imaging</w:t>
            </w:r>
          </w:p>
        </w:tc>
        <w:tc>
          <w:tcPr>
            <w:tcW w:w="0" w:type="auto"/>
            <w:hideMark/>
          </w:tcPr>
          <w:p w14:paraId="5019948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Direct access for periprostatic placement</w:t>
            </w:r>
          </w:p>
        </w:tc>
        <w:tc>
          <w:tcPr>
            <w:tcW w:w="0" w:type="auto"/>
            <w:hideMark/>
          </w:tcPr>
          <w:p w14:paraId="0063D092"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Risk of infection, tissue irritation</w:t>
            </w:r>
          </w:p>
        </w:tc>
        <w:tc>
          <w:tcPr>
            <w:tcW w:w="0" w:type="auto"/>
            <w:hideMark/>
          </w:tcPr>
          <w:p w14:paraId="10451622"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Gao et al., 2019; Kuo et al., 2020</w:t>
            </w:r>
          </w:p>
        </w:tc>
      </w:tr>
      <w:tr w:rsidR="008F6083" w:rsidRPr="00127F73" w14:paraId="5C600A26" w14:textId="77777777" w:rsidTr="008F6083">
        <w:tc>
          <w:tcPr>
            <w:tcW w:w="0" w:type="auto"/>
            <w:hideMark/>
          </w:tcPr>
          <w:p w14:paraId="45C04FE0"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Injection around Neurovascular Bundles</w:t>
            </w:r>
          </w:p>
        </w:tc>
        <w:tc>
          <w:tcPr>
            <w:tcW w:w="0" w:type="auto"/>
            <w:hideMark/>
          </w:tcPr>
          <w:p w14:paraId="7DC51A7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Perineal or transrectal guided near NVBs</w:t>
            </w:r>
          </w:p>
        </w:tc>
        <w:tc>
          <w:tcPr>
            <w:tcW w:w="0" w:type="auto"/>
            <w:hideMark/>
          </w:tcPr>
          <w:p w14:paraId="0D953C1F"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Supports functional tissue regeneration</w:t>
            </w:r>
          </w:p>
        </w:tc>
        <w:tc>
          <w:tcPr>
            <w:tcW w:w="0" w:type="auto"/>
            <w:hideMark/>
          </w:tcPr>
          <w:p w14:paraId="31303287"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Requires anatomical expertise, precise targeting</w:t>
            </w:r>
          </w:p>
        </w:tc>
        <w:tc>
          <w:tcPr>
            <w:tcW w:w="0" w:type="auto"/>
            <w:hideMark/>
          </w:tcPr>
          <w:p w14:paraId="210F208A" w14:textId="77777777" w:rsidR="008F6083" w:rsidRPr="00127F73" w:rsidRDefault="008F6083" w:rsidP="008F6083">
            <w:pPr>
              <w:rPr>
                <w:rFonts w:eastAsia="Times New Roman" w:cs="Times New Roman"/>
                <w:sz w:val="20"/>
                <w:szCs w:val="24"/>
              </w:rPr>
            </w:pPr>
            <w:r w:rsidRPr="00127F73">
              <w:rPr>
                <w:rFonts w:eastAsia="Times New Roman" w:cs="Times New Roman"/>
                <w:sz w:val="20"/>
                <w:szCs w:val="24"/>
              </w:rPr>
              <w:t>Ahlering et al., 2003; Chen et al., 2020</w:t>
            </w:r>
          </w:p>
        </w:tc>
      </w:tr>
    </w:tbl>
    <w:p w14:paraId="6B724099" w14:textId="77777777" w:rsidR="00702701" w:rsidRDefault="00702701" w:rsidP="00454FB1"/>
    <w:p w14:paraId="192523E6" w14:textId="77777777" w:rsidR="00B46C85" w:rsidRDefault="00B46C85" w:rsidP="00454FB1"/>
    <w:p w14:paraId="40DEDAD6" w14:textId="77777777" w:rsidR="00245334" w:rsidRDefault="003F1F49" w:rsidP="00AD5A31">
      <w:pPr>
        <w:pStyle w:val="Heading1"/>
      </w:pPr>
      <w:r w:rsidRPr="003F1F49">
        <w:lastRenderedPageBreak/>
        <w:t>9. Biological Responses to Injectable Scaffolds in Post-Prostate Cancer Tissue Regeneration</w:t>
      </w:r>
    </w:p>
    <w:p w14:paraId="407E2AFE" w14:textId="77777777" w:rsidR="00127F73" w:rsidRPr="00127F73" w:rsidRDefault="00127F73" w:rsidP="00127F73">
      <w:r>
        <w:t xml:space="preserve">Table 8 outlines the principal biological responses induced by injectable scaffold systems developed for post–prostate cancer tissue regeneration. PEG-based hydrogels and </w:t>
      </w:r>
      <w:proofErr w:type="spellStart"/>
      <w:r>
        <w:t>GelMA</w:t>
      </w:r>
      <w:proofErr w:type="spellEnd"/>
      <w:r>
        <w:t xml:space="preserve"> microgels enhance angiogenesis by stimulating endothelial migration and vascular ingrowth, processes essential for stromal reconstruction (Li et al., 2020; Huang &amp; Chu, 2019). Chitosan–collagen injectable formulations demonstrate notable anti-inflammatory activity, reducing pro-inflammatory cytokine expression and accelerating extracellular matrix restoration (Baharlouei &amp; Rahman, 2022). Shear-thinning hyaluronic acid hydrogels attenuate fibrotic progression by limiting fibroblast </w:t>
      </w:r>
      <w:proofErr w:type="spellStart"/>
      <w:r>
        <w:t>overproliferation</w:t>
      </w:r>
      <w:proofErr w:type="spellEnd"/>
      <w:r>
        <w:t xml:space="preserve"> and excessive collagen accumulation following prostate surgery (Li et al., 2020). Furthermore, nanocomposite chitosan/β-TCP hydrogels enhance cell adhesion through improved integrin-mediated cell–matrix interactions, supporting stromal repair (Feng et al., 2025). Conductive injectable hydrogels additionally promote neurite extension, contributing to functional recovery of continence and erectile function (Beilharz et al., 2024).</w:t>
      </w:r>
    </w:p>
    <w:p w14:paraId="434437A7" w14:textId="77777777" w:rsidR="00454FB1" w:rsidRPr="00F131F2" w:rsidRDefault="003F1F49" w:rsidP="003F1F49">
      <w:pPr>
        <w:pStyle w:val="Caption"/>
        <w:rPr>
          <w:rFonts w:cs="Times New Roman"/>
          <w:b/>
          <w:i w:val="0"/>
          <w:color w:val="auto"/>
          <w:sz w:val="24"/>
          <w:szCs w:val="24"/>
        </w:rPr>
      </w:pPr>
      <w:r w:rsidRPr="00F131F2">
        <w:rPr>
          <w:rFonts w:cs="Times New Roman"/>
          <w:b/>
          <w:i w:val="0"/>
          <w:color w:val="auto"/>
          <w:sz w:val="24"/>
        </w:rPr>
        <w:t xml:space="preserve">Table </w:t>
      </w:r>
      <w:r w:rsidRPr="00F131F2">
        <w:rPr>
          <w:rFonts w:cs="Times New Roman"/>
          <w:b/>
          <w:i w:val="0"/>
          <w:color w:val="auto"/>
          <w:sz w:val="24"/>
        </w:rPr>
        <w:fldChar w:fldCharType="begin"/>
      </w:r>
      <w:r w:rsidRPr="00F131F2">
        <w:rPr>
          <w:rFonts w:cs="Times New Roman"/>
          <w:b/>
          <w:i w:val="0"/>
          <w:color w:val="auto"/>
          <w:sz w:val="24"/>
        </w:rPr>
        <w:instrText xml:space="preserve"> SEQ Table \* ARABIC </w:instrText>
      </w:r>
      <w:r w:rsidRPr="00F131F2">
        <w:rPr>
          <w:rFonts w:cs="Times New Roman"/>
          <w:b/>
          <w:i w:val="0"/>
          <w:color w:val="auto"/>
          <w:sz w:val="24"/>
        </w:rPr>
        <w:fldChar w:fldCharType="separate"/>
      </w:r>
      <w:r w:rsidR="00EF425B" w:rsidRPr="00F131F2">
        <w:rPr>
          <w:rFonts w:cs="Times New Roman"/>
          <w:b/>
          <w:i w:val="0"/>
          <w:noProof/>
          <w:color w:val="auto"/>
          <w:sz w:val="24"/>
        </w:rPr>
        <w:t>8</w:t>
      </w:r>
      <w:r w:rsidRPr="00F131F2">
        <w:rPr>
          <w:rFonts w:cs="Times New Roman"/>
          <w:b/>
          <w:i w:val="0"/>
          <w:color w:val="auto"/>
          <w:sz w:val="24"/>
        </w:rPr>
        <w:fldChar w:fldCharType="end"/>
      </w:r>
      <w:r w:rsidRPr="00F131F2">
        <w:rPr>
          <w:rFonts w:cs="Times New Roman"/>
          <w:b/>
          <w:i w:val="0"/>
          <w:color w:val="auto"/>
          <w:sz w:val="24"/>
        </w:rPr>
        <w:t xml:space="preserve">: </w:t>
      </w:r>
      <w:r w:rsidR="00454FB1" w:rsidRPr="00F131F2">
        <w:rPr>
          <w:rFonts w:cs="Times New Roman"/>
          <w:b/>
          <w:i w:val="0"/>
          <w:color w:val="auto"/>
          <w:sz w:val="24"/>
          <w:szCs w:val="24"/>
        </w:rPr>
        <w:t>Biological Responses to Injectable Scaffolds in Post-Prostate Cancer Regeneration</w:t>
      </w:r>
      <w:r w:rsidR="00F131F2">
        <w:rPr>
          <w:rFonts w:cs="Times New Roman"/>
          <w:b/>
          <w:i w:val="0"/>
          <w:color w:val="auto"/>
          <w:sz w:val="24"/>
          <w:szCs w:val="24"/>
        </w:rPr>
        <w:t>.</w:t>
      </w:r>
    </w:p>
    <w:tbl>
      <w:tblPr>
        <w:tblStyle w:val="TableGrid"/>
        <w:tblW w:w="11199" w:type="dxa"/>
        <w:jc w:val="center"/>
        <w:tblLook w:val="04A0" w:firstRow="1" w:lastRow="0" w:firstColumn="1" w:lastColumn="0" w:noHBand="0" w:noVBand="1"/>
      </w:tblPr>
      <w:tblGrid>
        <w:gridCol w:w="2127"/>
        <w:gridCol w:w="2905"/>
        <w:gridCol w:w="3236"/>
        <w:gridCol w:w="2931"/>
      </w:tblGrid>
      <w:tr w:rsidR="00EC2FC3" w:rsidRPr="00EC2FC3" w14:paraId="1A185772" w14:textId="77777777" w:rsidTr="00EC2FC3">
        <w:trPr>
          <w:jc w:val="center"/>
        </w:trPr>
        <w:tc>
          <w:tcPr>
            <w:tcW w:w="2127" w:type="dxa"/>
            <w:hideMark/>
          </w:tcPr>
          <w:p w14:paraId="2B17D24B"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Biological Response</w:t>
            </w:r>
          </w:p>
        </w:tc>
        <w:tc>
          <w:tcPr>
            <w:tcW w:w="2905" w:type="dxa"/>
            <w:hideMark/>
          </w:tcPr>
          <w:p w14:paraId="4BEB4BCE"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Injectable Scaffold Type</w:t>
            </w:r>
          </w:p>
        </w:tc>
        <w:tc>
          <w:tcPr>
            <w:tcW w:w="0" w:type="auto"/>
            <w:hideMark/>
          </w:tcPr>
          <w:p w14:paraId="1CC7FF65"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Observed Effects in Prostate or Soft-Tissue Repair</w:t>
            </w:r>
          </w:p>
        </w:tc>
        <w:tc>
          <w:tcPr>
            <w:tcW w:w="2931" w:type="dxa"/>
            <w:hideMark/>
          </w:tcPr>
          <w:p w14:paraId="3F9D8C33" w14:textId="77777777" w:rsidR="00EC2FC3" w:rsidRPr="00EC2FC3" w:rsidRDefault="00EC2FC3" w:rsidP="00EC2FC3">
            <w:pPr>
              <w:jc w:val="center"/>
              <w:rPr>
                <w:rFonts w:eastAsia="Times New Roman" w:cs="Times New Roman"/>
                <w:b/>
                <w:bCs/>
                <w:szCs w:val="24"/>
              </w:rPr>
            </w:pPr>
            <w:commentRangeStart w:id="3"/>
            <w:r w:rsidRPr="00EC2FC3">
              <w:rPr>
                <w:rFonts w:eastAsia="Times New Roman" w:cs="Times New Roman"/>
                <w:b/>
                <w:bCs/>
                <w:szCs w:val="24"/>
              </w:rPr>
              <w:t>References</w:t>
            </w:r>
            <w:commentRangeEnd w:id="3"/>
            <w:r w:rsidR="0079150F">
              <w:rPr>
                <w:rStyle w:val="CommentReference"/>
              </w:rPr>
              <w:commentReference w:id="3"/>
            </w:r>
          </w:p>
        </w:tc>
      </w:tr>
      <w:tr w:rsidR="00EC2FC3" w:rsidRPr="00EC2FC3" w14:paraId="2A9474AE" w14:textId="77777777" w:rsidTr="00EC2FC3">
        <w:trPr>
          <w:jc w:val="center"/>
        </w:trPr>
        <w:tc>
          <w:tcPr>
            <w:tcW w:w="2127" w:type="dxa"/>
            <w:hideMark/>
          </w:tcPr>
          <w:p w14:paraId="32DF7EDD" w14:textId="77777777" w:rsidR="00EC2FC3" w:rsidRPr="00EC2FC3" w:rsidRDefault="00EC2FC3" w:rsidP="00EC2FC3">
            <w:pPr>
              <w:rPr>
                <w:rFonts w:eastAsia="Times New Roman" w:cs="Times New Roman"/>
                <w:szCs w:val="24"/>
              </w:rPr>
            </w:pPr>
            <w:r w:rsidRPr="00EC2FC3">
              <w:rPr>
                <w:rFonts w:eastAsia="Times New Roman" w:cs="Times New Roman"/>
                <w:szCs w:val="24"/>
              </w:rPr>
              <w:t>Angiogenesis</w:t>
            </w:r>
          </w:p>
        </w:tc>
        <w:tc>
          <w:tcPr>
            <w:tcW w:w="2905" w:type="dxa"/>
            <w:hideMark/>
          </w:tcPr>
          <w:p w14:paraId="4312C4F1" w14:textId="77777777" w:rsidR="00EC2FC3" w:rsidRPr="00EC2FC3" w:rsidRDefault="00EC2FC3" w:rsidP="00EC2FC3">
            <w:pPr>
              <w:rPr>
                <w:rFonts w:eastAsia="Times New Roman" w:cs="Times New Roman"/>
                <w:szCs w:val="24"/>
              </w:rPr>
            </w:pPr>
            <w:r w:rsidRPr="00EC2FC3">
              <w:rPr>
                <w:rFonts w:eastAsia="Times New Roman" w:cs="Times New Roman"/>
                <w:szCs w:val="24"/>
              </w:rPr>
              <w:t xml:space="preserve">PEG-Hydrogel, </w:t>
            </w:r>
            <w:proofErr w:type="spellStart"/>
            <w:r w:rsidRPr="00EC2FC3">
              <w:rPr>
                <w:rFonts w:eastAsia="Times New Roman" w:cs="Times New Roman"/>
                <w:szCs w:val="24"/>
              </w:rPr>
              <w:t>GelMA</w:t>
            </w:r>
            <w:proofErr w:type="spellEnd"/>
            <w:r w:rsidRPr="00EC2FC3">
              <w:rPr>
                <w:rFonts w:eastAsia="Times New Roman" w:cs="Times New Roman"/>
                <w:szCs w:val="24"/>
              </w:rPr>
              <w:t xml:space="preserve"> Microgels</w:t>
            </w:r>
          </w:p>
        </w:tc>
        <w:tc>
          <w:tcPr>
            <w:tcW w:w="0" w:type="auto"/>
            <w:hideMark/>
          </w:tcPr>
          <w:p w14:paraId="421A3787" w14:textId="77777777" w:rsidR="00EC2FC3" w:rsidRPr="00EC2FC3" w:rsidRDefault="00EC2FC3" w:rsidP="00EC2FC3">
            <w:pPr>
              <w:rPr>
                <w:rFonts w:eastAsia="Times New Roman" w:cs="Times New Roman"/>
                <w:szCs w:val="24"/>
              </w:rPr>
            </w:pPr>
            <w:r w:rsidRPr="00EC2FC3">
              <w:rPr>
                <w:rFonts w:eastAsia="Times New Roman" w:cs="Times New Roman"/>
                <w:szCs w:val="24"/>
              </w:rPr>
              <w:t>Promotes endothelial migration and vascular ingrowth necessary for stromal rebuilding</w:t>
            </w:r>
          </w:p>
        </w:tc>
        <w:tc>
          <w:tcPr>
            <w:tcW w:w="2931" w:type="dxa"/>
            <w:hideMark/>
          </w:tcPr>
          <w:p w14:paraId="02D1180E" w14:textId="77777777" w:rsidR="00EC2FC3" w:rsidRPr="00EC2FC3" w:rsidRDefault="00EC2FC3" w:rsidP="00EC2FC3">
            <w:pPr>
              <w:rPr>
                <w:rFonts w:eastAsia="Times New Roman" w:cs="Times New Roman"/>
                <w:szCs w:val="24"/>
              </w:rPr>
            </w:pPr>
            <w:r w:rsidRPr="00EC2FC3">
              <w:rPr>
                <w:rFonts w:eastAsia="Times New Roman" w:cs="Times New Roman"/>
                <w:szCs w:val="24"/>
              </w:rPr>
              <w:t>Smith et al., 2009; Spector &amp; Lim, 2016</w:t>
            </w:r>
          </w:p>
        </w:tc>
      </w:tr>
      <w:tr w:rsidR="00EC2FC3" w:rsidRPr="00EC2FC3" w14:paraId="03E9348E" w14:textId="77777777" w:rsidTr="00EC2FC3">
        <w:trPr>
          <w:jc w:val="center"/>
        </w:trPr>
        <w:tc>
          <w:tcPr>
            <w:tcW w:w="2127" w:type="dxa"/>
            <w:hideMark/>
          </w:tcPr>
          <w:p w14:paraId="1C4CF568" w14:textId="77777777" w:rsidR="00EC2FC3" w:rsidRPr="00EC2FC3" w:rsidRDefault="00EC2FC3" w:rsidP="00EC2FC3">
            <w:pPr>
              <w:rPr>
                <w:rFonts w:eastAsia="Times New Roman" w:cs="Times New Roman"/>
                <w:szCs w:val="24"/>
              </w:rPr>
            </w:pPr>
            <w:r w:rsidRPr="00EC2FC3">
              <w:rPr>
                <w:rFonts w:eastAsia="Times New Roman" w:cs="Times New Roman"/>
                <w:szCs w:val="24"/>
              </w:rPr>
              <w:t>Anti-inflammation</w:t>
            </w:r>
          </w:p>
        </w:tc>
        <w:tc>
          <w:tcPr>
            <w:tcW w:w="2905" w:type="dxa"/>
            <w:hideMark/>
          </w:tcPr>
          <w:p w14:paraId="4F6F581E" w14:textId="77777777" w:rsidR="00EC2FC3" w:rsidRPr="00EC2FC3" w:rsidRDefault="00EC2FC3" w:rsidP="00EC2FC3">
            <w:pPr>
              <w:rPr>
                <w:rFonts w:eastAsia="Times New Roman" w:cs="Times New Roman"/>
                <w:szCs w:val="24"/>
              </w:rPr>
            </w:pPr>
            <w:r w:rsidRPr="00EC2FC3">
              <w:rPr>
                <w:rFonts w:eastAsia="Times New Roman" w:cs="Times New Roman"/>
                <w:szCs w:val="24"/>
              </w:rPr>
              <w:t>Chitosan-Collagen Injectable Paste</w:t>
            </w:r>
          </w:p>
        </w:tc>
        <w:tc>
          <w:tcPr>
            <w:tcW w:w="0" w:type="auto"/>
            <w:hideMark/>
          </w:tcPr>
          <w:p w14:paraId="7D945FB8" w14:textId="77777777" w:rsidR="00EC2FC3" w:rsidRPr="00EC2FC3" w:rsidRDefault="00EC2FC3" w:rsidP="00EC2FC3">
            <w:pPr>
              <w:rPr>
                <w:rFonts w:eastAsia="Times New Roman" w:cs="Times New Roman"/>
                <w:szCs w:val="24"/>
              </w:rPr>
            </w:pPr>
            <w:r w:rsidRPr="00EC2FC3">
              <w:rPr>
                <w:rFonts w:eastAsia="Times New Roman" w:cs="Times New Roman"/>
                <w:szCs w:val="24"/>
              </w:rPr>
              <w:t>Reduces inflammatory cytokines (IL-6, TNF-α), accelerates ECM restoration</w:t>
            </w:r>
          </w:p>
        </w:tc>
        <w:tc>
          <w:tcPr>
            <w:tcW w:w="2931" w:type="dxa"/>
            <w:hideMark/>
          </w:tcPr>
          <w:p w14:paraId="40291A78" w14:textId="77777777" w:rsidR="00EC2FC3" w:rsidRPr="00EC2FC3" w:rsidRDefault="00EC2FC3" w:rsidP="00EC2FC3">
            <w:pPr>
              <w:rPr>
                <w:rFonts w:eastAsia="Times New Roman" w:cs="Times New Roman"/>
                <w:szCs w:val="24"/>
              </w:rPr>
            </w:pPr>
            <w:r w:rsidRPr="00EC2FC3">
              <w:rPr>
                <w:rFonts w:eastAsia="Times New Roman" w:cs="Times New Roman"/>
                <w:szCs w:val="24"/>
              </w:rPr>
              <w:t>Rad et al., 2022</w:t>
            </w:r>
          </w:p>
        </w:tc>
      </w:tr>
      <w:tr w:rsidR="00EC2FC3" w:rsidRPr="00EC2FC3" w14:paraId="4490BE6B" w14:textId="77777777" w:rsidTr="00EC2FC3">
        <w:trPr>
          <w:jc w:val="center"/>
        </w:trPr>
        <w:tc>
          <w:tcPr>
            <w:tcW w:w="2127" w:type="dxa"/>
            <w:hideMark/>
          </w:tcPr>
          <w:p w14:paraId="2491DF97" w14:textId="77777777" w:rsidR="00EC2FC3" w:rsidRPr="00EC2FC3" w:rsidRDefault="00EC2FC3" w:rsidP="00EC2FC3">
            <w:pPr>
              <w:rPr>
                <w:rFonts w:eastAsia="Times New Roman" w:cs="Times New Roman"/>
                <w:szCs w:val="24"/>
              </w:rPr>
            </w:pPr>
            <w:r w:rsidRPr="00EC2FC3">
              <w:rPr>
                <w:rFonts w:eastAsia="Times New Roman" w:cs="Times New Roman"/>
                <w:szCs w:val="24"/>
              </w:rPr>
              <w:t>Fibrosis Reduction</w:t>
            </w:r>
          </w:p>
        </w:tc>
        <w:tc>
          <w:tcPr>
            <w:tcW w:w="2905" w:type="dxa"/>
            <w:hideMark/>
          </w:tcPr>
          <w:p w14:paraId="0B3B5995" w14:textId="77777777" w:rsidR="00EC2FC3" w:rsidRPr="00EC2FC3" w:rsidRDefault="00EC2FC3" w:rsidP="00EC2FC3">
            <w:pPr>
              <w:rPr>
                <w:rFonts w:eastAsia="Times New Roman" w:cs="Times New Roman"/>
                <w:szCs w:val="24"/>
              </w:rPr>
            </w:pPr>
            <w:r w:rsidRPr="00EC2FC3">
              <w:rPr>
                <w:rFonts w:eastAsia="Times New Roman" w:cs="Times New Roman"/>
                <w:szCs w:val="24"/>
              </w:rPr>
              <w:t>HA-based Shear-Thinning Gel</w:t>
            </w:r>
          </w:p>
        </w:tc>
        <w:tc>
          <w:tcPr>
            <w:tcW w:w="0" w:type="auto"/>
            <w:hideMark/>
          </w:tcPr>
          <w:p w14:paraId="7EE865AB" w14:textId="77777777" w:rsidR="00EC2FC3" w:rsidRPr="00EC2FC3" w:rsidRDefault="00EC2FC3" w:rsidP="00EC2FC3">
            <w:pPr>
              <w:rPr>
                <w:rFonts w:eastAsia="Times New Roman" w:cs="Times New Roman"/>
                <w:szCs w:val="24"/>
              </w:rPr>
            </w:pPr>
            <w:r w:rsidRPr="00EC2FC3">
              <w:rPr>
                <w:rFonts w:eastAsia="Times New Roman" w:cs="Times New Roman"/>
                <w:szCs w:val="24"/>
              </w:rPr>
              <w:t>Minimizes fibroblast overgrowth and collagen hyper-deposition after surgical prostate removal</w:t>
            </w:r>
          </w:p>
        </w:tc>
        <w:tc>
          <w:tcPr>
            <w:tcW w:w="2931" w:type="dxa"/>
            <w:hideMark/>
          </w:tcPr>
          <w:p w14:paraId="34914855" w14:textId="77777777" w:rsidR="00EC2FC3" w:rsidRPr="00EC2FC3" w:rsidRDefault="00EC2FC3" w:rsidP="00EC2FC3">
            <w:pPr>
              <w:rPr>
                <w:rFonts w:eastAsia="Times New Roman" w:cs="Times New Roman"/>
                <w:szCs w:val="24"/>
              </w:rPr>
            </w:pPr>
            <w:r w:rsidRPr="00EC2FC3">
              <w:rPr>
                <w:rFonts w:eastAsia="Times New Roman" w:cs="Times New Roman"/>
                <w:szCs w:val="24"/>
              </w:rPr>
              <w:t>Guo et al., 2025</w:t>
            </w:r>
          </w:p>
        </w:tc>
      </w:tr>
      <w:tr w:rsidR="00EC2FC3" w:rsidRPr="00EC2FC3" w14:paraId="4929039D" w14:textId="77777777" w:rsidTr="00EC2FC3">
        <w:trPr>
          <w:jc w:val="center"/>
        </w:trPr>
        <w:tc>
          <w:tcPr>
            <w:tcW w:w="2127" w:type="dxa"/>
            <w:hideMark/>
          </w:tcPr>
          <w:p w14:paraId="7FE5EB08" w14:textId="77777777" w:rsidR="00EC2FC3" w:rsidRPr="00EC2FC3" w:rsidRDefault="00EC2FC3" w:rsidP="00EC2FC3">
            <w:pPr>
              <w:rPr>
                <w:rFonts w:eastAsia="Times New Roman" w:cs="Times New Roman"/>
                <w:szCs w:val="24"/>
              </w:rPr>
            </w:pPr>
            <w:r w:rsidRPr="00EC2FC3">
              <w:rPr>
                <w:rFonts w:eastAsia="Times New Roman" w:cs="Times New Roman"/>
                <w:szCs w:val="24"/>
              </w:rPr>
              <w:t>Enhanced Cell Adhesion</w:t>
            </w:r>
          </w:p>
        </w:tc>
        <w:tc>
          <w:tcPr>
            <w:tcW w:w="2905" w:type="dxa"/>
            <w:hideMark/>
          </w:tcPr>
          <w:p w14:paraId="32767BC8" w14:textId="77777777" w:rsidR="00EC2FC3" w:rsidRPr="00EC2FC3" w:rsidRDefault="00EC2FC3" w:rsidP="00EC2FC3">
            <w:pPr>
              <w:rPr>
                <w:rFonts w:eastAsia="Times New Roman" w:cs="Times New Roman"/>
                <w:szCs w:val="24"/>
              </w:rPr>
            </w:pPr>
            <w:r w:rsidRPr="00EC2FC3">
              <w:rPr>
                <w:rFonts w:eastAsia="Times New Roman" w:cs="Times New Roman"/>
                <w:szCs w:val="24"/>
              </w:rPr>
              <w:t>Nanocomposite CS/β-TCP Hydrogel</w:t>
            </w:r>
          </w:p>
        </w:tc>
        <w:tc>
          <w:tcPr>
            <w:tcW w:w="0" w:type="auto"/>
            <w:hideMark/>
          </w:tcPr>
          <w:p w14:paraId="06777476" w14:textId="77777777" w:rsidR="00EC2FC3" w:rsidRPr="00EC2FC3" w:rsidRDefault="00EC2FC3" w:rsidP="00EC2FC3">
            <w:pPr>
              <w:rPr>
                <w:rFonts w:eastAsia="Times New Roman" w:cs="Times New Roman"/>
                <w:szCs w:val="24"/>
              </w:rPr>
            </w:pPr>
            <w:r w:rsidRPr="00EC2FC3">
              <w:rPr>
                <w:rFonts w:eastAsia="Times New Roman" w:cs="Times New Roman"/>
                <w:szCs w:val="24"/>
              </w:rPr>
              <w:t>Increases integrin binding and cell–matrix signaling for stromal repair</w:t>
            </w:r>
          </w:p>
        </w:tc>
        <w:tc>
          <w:tcPr>
            <w:tcW w:w="2931" w:type="dxa"/>
            <w:hideMark/>
          </w:tcPr>
          <w:p w14:paraId="2FBB8D50" w14:textId="77777777" w:rsidR="00EC2FC3" w:rsidRPr="00EC2FC3" w:rsidRDefault="00EC2FC3" w:rsidP="00EC2FC3">
            <w:pPr>
              <w:rPr>
                <w:rFonts w:eastAsia="Times New Roman" w:cs="Times New Roman"/>
                <w:szCs w:val="24"/>
              </w:rPr>
            </w:pPr>
            <w:r w:rsidRPr="00EC2FC3">
              <w:rPr>
                <w:rFonts w:eastAsia="Times New Roman" w:cs="Times New Roman"/>
                <w:szCs w:val="24"/>
              </w:rPr>
              <w:t>Ratheesh et al., 2017</w:t>
            </w:r>
          </w:p>
        </w:tc>
      </w:tr>
      <w:tr w:rsidR="00EC2FC3" w:rsidRPr="00EC2FC3" w14:paraId="548C7534" w14:textId="77777777" w:rsidTr="00EC2FC3">
        <w:trPr>
          <w:jc w:val="center"/>
        </w:trPr>
        <w:tc>
          <w:tcPr>
            <w:tcW w:w="2127" w:type="dxa"/>
            <w:hideMark/>
          </w:tcPr>
          <w:p w14:paraId="457C77CD" w14:textId="77777777" w:rsidR="00EC2FC3" w:rsidRPr="00EC2FC3" w:rsidRDefault="00EC2FC3" w:rsidP="00EC2FC3">
            <w:pPr>
              <w:rPr>
                <w:rFonts w:eastAsia="Times New Roman" w:cs="Times New Roman"/>
                <w:szCs w:val="24"/>
              </w:rPr>
            </w:pPr>
            <w:r w:rsidRPr="00EC2FC3">
              <w:rPr>
                <w:rFonts w:eastAsia="Times New Roman" w:cs="Times New Roman"/>
                <w:szCs w:val="24"/>
              </w:rPr>
              <w:t>Nerve Regeneration</w:t>
            </w:r>
          </w:p>
        </w:tc>
        <w:tc>
          <w:tcPr>
            <w:tcW w:w="2905" w:type="dxa"/>
            <w:hideMark/>
          </w:tcPr>
          <w:p w14:paraId="530CBE2D" w14:textId="77777777" w:rsidR="00EC2FC3" w:rsidRPr="00EC2FC3" w:rsidRDefault="00EC2FC3" w:rsidP="00EC2FC3">
            <w:pPr>
              <w:rPr>
                <w:rFonts w:eastAsia="Times New Roman" w:cs="Times New Roman"/>
                <w:szCs w:val="24"/>
              </w:rPr>
            </w:pPr>
            <w:r w:rsidRPr="00EC2FC3">
              <w:rPr>
                <w:rFonts w:eastAsia="Times New Roman" w:cs="Times New Roman"/>
                <w:szCs w:val="24"/>
              </w:rPr>
              <w:t>Conductive Injectable Hydrogel (PANI-</w:t>
            </w:r>
            <w:proofErr w:type="spellStart"/>
            <w:r w:rsidRPr="00EC2FC3">
              <w:rPr>
                <w:rFonts w:eastAsia="Times New Roman" w:cs="Times New Roman"/>
                <w:szCs w:val="24"/>
              </w:rPr>
              <w:t>GelMA</w:t>
            </w:r>
            <w:proofErr w:type="spellEnd"/>
            <w:r w:rsidRPr="00EC2FC3">
              <w:rPr>
                <w:rFonts w:eastAsia="Times New Roman" w:cs="Times New Roman"/>
                <w:szCs w:val="24"/>
              </w:rPr>
              <w:t>)</w:t>
            </w:r>
          </w:p>
        </w:tc>
        <w:tc>
          <w:tcPr>
            <w:tcW w:w="0" w:type="auto"/>
            <w:hideMark/>
          </w:tcPr>
          <w:p w14:paraId="2AE8A1DC" w14:textId="77777777" w:rsidR="00EC2FC3" w:rsidRPr="00EC2FC3" w:rsidRDefault="00EC2FC3" w:rsidP="00EC2FC3">
            <w:pPr>
              <w:rPr>
                <w:rFonts w:eastAsia="Times New Roman" w:cs="Times New Roman"/>
                <w:szCs w:val="24"/>
              </w:rPr>
            </w:pPr>
            <w:r w:rsidRPr="00EC2FC3">
              <w:rPr>
                <w:rFonts w:eastAsia="Times New Roman" w:cs="Times New Roman"/>
                <w:szCs w:val="24"/>
              </w:rPr>
              <w:t>Improves neurite elongation—critical in continence and erectile function recovery</w:t>
            </w:r>
          </w:p>
        </w:tc>
        <w:tc>
          <w:tcPr>
            <w:tcW w:w="2931" w:type="dxa"/>
            <w:hideMark/>
          </w:tcPr>
          <w:p w14:paraId="399642C6" w14:textId="77777777" w:rsidR="00EC2FC3" w:rsidRPr="00EC2FC3" w:rsidRDefault="00EC2FC3" w:rsidP="00EC2FC3">
            <w:pPr>
              <w:rPr>
                <w:rFonts w:eastAsia="Times New Roman" w:cs="Times New Roman"/>
                <w:szCs w:val="24"/>
              </w:rPr>
            </w:pPr>
            <w:r w:rsidRPr="00EC2FC3">
              <w:rPr>
                <w:rFonts w:eastAsia="Times New Roman" w:cs="Times New Roman"/>
                <w:szCs w:val="24"/>
              </w:rPr>
              <w:t>Patrick et al., 1999; Pattison et al., 2005</w:t>
            </w:r>
          </w:p>
        </w:tc>
      </w:tr>
    </w:tbl>
    <w:p w14:paraId="2B792C7A" w14:textId="77777777" w:rsidR="00454FB1" w:rsidRDefault="00454FB1" w:rsidP="00454FB1">
      <w:pPr>
        <w:rPr>
          <w:rFonts w:cs="Times New Roman"/>
          <w:szCs w:val="24"/>
        </w:rPr>
      </w:pPr>
    </w:p>
    <w:p w14:paraId="62ABFCF7" w14:textId="77777777" w:rsidR="004359BD" w:rsidRDefault="004359BD" w:rsidP="0093546C">
      <w:pPr>
        <w:rPr>
          <w:rFonts w:cs="Times New Roman"/>
        </w:rPr>
      </w:pPr>
    </w:p>
    <w:p w14:paraId="7B1475DB" w14:textId="77777777" w:rsidR="004359BD" w:rsidRDefault="004359BD" w:rsidP="0093546C">
      <w:pPr>
        <w:rPr>
          <w:rFonts w:cs="Times New Roman"/>
        </w:rPr>
      </w:pPr>
    </w:p>
    <w:p w14:paraId="5AFA4280" w14:textId="77777777" w:rsidR="004359BD" w:rsidRDefault="004359BD" w:rsidP="0093546C">
      <w:pPr>
        <w:rPr>
          <w:rFonts w:cs="Times New Roman"/>
        </w:rPr>
      </w:pPr>
    </w:p>
    <w:p w14:paraId="4DD610BA" w14:textId="77777777" w:rsidR="004359BD" w:rsidRDefault="004359BD" w:rsidP="0093546C">
      <w:pPr>
        <w:rPr>
          <w:rFonts w:cs="Times New Roman"/>
        </w:rPr>
      </w:pPr>
    </w:p>
    <w:p w14:paraId="284C7C73" w14:textId="77777777" w:rsidR="00127F73" w:rsidRPr="00127F73" w:rsidRDefault="00127F73" w:rsidP="00127F73">
      <w:r w:rsidRPr="00127F73">
        <w:lastRenderedPageBreak/>
        <w:t>Tables 8, 9, and 10 collectively demonstrate the transition from the limitations of conventional repair methods to the enhanced biological performance of modern injectable scaffold systems for post–prostate cancer tissue regeneration. Traditional interventions, including autologous grafts, collagen injections, synthetic bulking agents, and pharmacologic therapies, largely provide temporary mechanical support or symptomatic relief without restoring the native prostate microenvironment (</w:t>
      </w:r>
      <w:proofErr w:type="spellStart"/>
      <w:r w:rsidRPr="00127F73">
        <w:t>Denmeade</w:t>
      </w:r>
      <w:proofErr w:type="spellEnd"/>
      <w:r w:rsidRPr="00127F73">
        <w:t xml:space="preserve"> &amp; Isaacs, 2002; Gomella et al., 2009). These approaches are constrained by poor graft viability, rapid degradation, fibrotic remodeling, material migration, inflammation, and the lack of effective extracellular matrix (ECM) and vascular reconstruction (Litwin &amp; Tan, 2017; Michaelson et al., 2008). Consequently, durable recovery of urinary continence and erectile function remains limited with conventional strategies (Patel et al., 2025).</w:t>
      </w:r>
    </w:p>
    <w:p w14:paraId="194F0931" w14:textId="77777777" w:rsidR="00454FB1" w:rsidRPr="00F131F2" w:rsidRDefault="00EF425B" w:rsidP="00EF425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Pr="00F131F2">
        <w:rPr>
          <w:rFonts w:cs="Times New Roman"/>
          <w:b/>
          <w:i w:val="0"/>
          <w:noProof/>
          <w:color w:val="auto"/>
          <w:sz w:val="24"/>
          <w:szCs w:val="24"/>
        </w:rPr>
        <w:t>9</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454FB1" w:rsidRPr="00F131F2">
        <w:rPr>
          <w:rFonts w:cs="Times New Roman"/>
          <w:b/>
          <w:i w:val="0"/>
          <w:color w:val="auto"/>
          <w:sz w:val="24"/>
          <w:szCs w:val="24"/>
        </w:rPr>
        <w:t>Mechanical Properties of Leading Injectable Biomaterial Systems</w:t>
      </w:r>
      <w:r w:rsidR="00F131F2">
        <w:rPr>
          <w:rFonts w:cs="Times New Roman"/>
          <w:b/>
          <w:i w:val="0"/>
          <w:color w:val="auto"/>
          <w:sz w:val="24"/>
          <w:szCs w:val="24"/>
        </w:rPr>
        <w:t>.</w:t>
      </w:r>
    </w:p>
    <w:tbl>
      <w:tblPr>
        <w:tblStyle w:val="TableGrid"/>
        <w:tblW w:w="10915" w:type="dxa"/>
        <w:jc w:val="center"/>
        <w:tblLook w:val="04A0" w:firstRow="1" w:lastRow="0" w:firstColumn="1" w:lastColumn="0" w:noHBand="0" w:noVBand="1"/>
      </w:tblPr>
      <w:tblGrid>
        <w:gridCol w:w="2729"/>
        <w:gridCol w:w="1843"/>
        <w:gridCol w:w="1668"/>
        <w:gridCol w:w="2484"/>
        <w:gridCol w:w="2191"/>
      </w:tblGrid>
      <w:tr w:rsidR="00EC2FC3" w:rsidRPr="003C29EA" w14:paraId="1286FE54" w14:textId="77777777" w:rsidTr="00EC2FC3">
        <w:trPr>
          <w:jc w:val="center"/>
        </w:trPr>
        <w:tc>
          <w:tcPr>
            <w:tcW w:w="2729" w:type="dxa"/>
            <w:hideMark/>
          </w:tcPr>
          <w:p w14:paraId="0820663C"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Injectable Biomaterial</w:t>
            </w:r>
          </w:p>
        </w:tc>
        <w:tc>
          <w:tcPr>
            <w:tcW w:w="0" w:type="auto"/>
            <w:hideMark/>
          </w:tcPr>
          <w:p w14:paraId="5DFEBF92"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Compressive Modulus (kPa–MPa)</w:t>
            </w:r>
          </w:p>
        </w:tc>
        <w:tc>
          <w:tcPr>
            <w:tcW w:w="0" w:type="auto"/>
            <w:hideMark/>
          </w:tcPr>
          <w:p w14:paraId="11083196"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Viscoelastic Profile</w:t>
            </w:r>
          </w:p>
        </w:tc>
        <w:tc>
          <w:tcPr>
            <w:tcW w:w="0" w:type="auto"/>
            <w:hideMark/>
          </w:tcPr>
          <w:p w14:paraId="02631067"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Relevance to Prostate Tissue Repair</w:t>
            </w:r>
          </w:p>
        </w:tc>
        <w:tc>
          <w:tcPr>
            <w:tcW w:w="2191" w:type="dxa"/>
            <w:hideMark/>
          </w:tcPr>
          <w:p w14:paraId="2D78E8C8"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Citations</w:t>
            </w:r>
          </w:p>
        </w:tc>
      </w:tr>
      <w:tr w:rsidR="00EC2FC3" w:rsidRPr="003C29EA" w14:paraId="32F81A9D" w14:textId="77777777" w:rsidTr="00EC2FC3">
        <w:trPr>
          <w:jc w:val="center"/>
        </w:trPr>
        <w:tc>
          <w:tcPr>
            <w:tcW w:w="2729" w:type="dxa"/>
            <w:hideMark/>
          </w:tcPr>
          <w:p w14:paraId="5FD7937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Chitosan Hydrogel</w:t>
            </w:r>
          </w:p>
        </w:tc>
        <w:tc>
          <w:tcPr>
            <w:tcW w:w="0" w:type="auto"/>
            <w:hideMark/>
          </w:tcPr>
          <w:p w14:paraId="6C400EF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5–50 kPa</w:t>
            </w:r>
          </w:p>
        </w:tc>
        <w:tc>
          <w:tcPr>
            <w:tcW w:w="0" w:type="auto"/>
            <w:hideMark/>
          </w:tcPr>
          <w:p w14:paraId="708C2845"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Shear-thinning, fast recovery</w:t>
            </w:r>
          </w:p>
        </w:tc>
        <w:tc>
          <w:tcPr>
            <w:tcW w:w="0" w:type="auto"/>
            <w:hideMark/>
          </w:tcPr>
          <w:p w14:paraId="4BF1E4F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Matches soft stromal mechanics, prevents scar tissue stiffening</w:t>
            </w:r>
          </w:p>
        </w:tc>
        <w:tc>
          <w:tcPr>
            <w:tcW w:w="2191" w:type="dxa"/>
            <w:hideMark/>
          </w:tcPr>
          <w:p w14:paraId="19E9A1F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Rad et al., 2022</w:t>
            </w:r>
          </w:p>
        </w:tc>
      </w:tr>
      <w:tr w:rsidR="00EC2FC3" w:rsidRPr="003C29EA" w14:paraId="3471B645" w14:textId="77777777" w:rsidTr="00EC2FC3">
        <w:trPr>
          <w:jc w:val="center"/>
        </w:trPr>
        <w:tc>
          <w:tcPr>
            <w:tcW w:w="2729" w:type="dxa"/>
            <w:hideMark/>
          </w:tcPr>
          <w:p w14:paraId="7321B93F" w14:textId="77777777" w:rsidR="00EC2FC3" w:rsidRPr="003C29EA" w:rsidRDefault="00EC2FC3" w:rsidP="00EC2FC3">
            <w:pPr>
              <w:rPr>
                <w:rFonts w:eastAsia="Times New Roman" w:cs="Times New Roman"/>
                <w:sz w:val="20"/>
                <w:szCs w:val="24"/>
              </w:rPr>
            </w:pPr>
            <w:proofErr w:type="spellStart"/>
            <w:r w:rsidRPr="003C29EA">
              <w:rPr>
                <w:rFonts w:eastAsia="Times New Roman" w:cs="Times New Roman"/>
                <w:sz w:val="20"/>
                <w:szCs w:val="24"/>
              </w:rPr>
              <w:t>GelMA</w:t>
            </w:r>
            <w:proofErr w:type="spellEnd"/>
            <w:r w:rsidRPr="003C29EA">
              <w:rPr>
                <w:rFonts w:eastAsia="Times New Roman" w:cs="Times New Roman"/>
                <w:sz w:val="20"/>
                <w:szCs w:val="24"/>
              </w:rPr>
              <w:t xml:space="preserve"> Injectable Hydrogel</w:t>
            </w:r>
          </w:p>
        </w:tc>
        <w:tc>
          <w:tcPr>
            <w:tcW w:w="0" w:type="auto"/>
            <w:hideMark/>
          </w:tcPr>
          <w:p w14:paraId="6FCC994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10–60 kPa (UV-crosslinked)</w:t>
            </w:r>
          </w:p>
        </w:tc>
        <w:tc>
          <w:tcPr>
            <w:tcW w:w="0" w:type="auto"/>
            <w:hideMark/>
          </w:tcPr>
          <w:p w14:paraId="17210825"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Elastic, tunable</w:t>
            </w:r>
          </w:p>
        </w:tc>
        <w:tc>
          <w:tcPr>
            <w:tcW w:w="0" w:type="auto"/>
            <w:hideMark/>
          </w:tcPr>
          <w:p w14:paraId="694234B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Supports epithelial and stromal cell proliferation</w:t>
            </w:r>
          </w:p>
        </w:tc>
        <w:tc>
          <w:tcPr>
            <w:tcW w:w="2191" w:type="dxa"/>
            <w:hideMark/>
          </w:tcPr>
          <w:p w14:paraId="2BECBF4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Guo et al., 2025</w:t>
            </w:r>
          </w:p>
        </w:tc>
      </w:tr>
      <w:tr w:rsidR="00EC2FC3" w:rsidRPr="003C29EA" w14:paraId="70F3B104" w14:textId="77777777" w:rsidTr="00EC2FC3">
        <w:trPr>
          <w:jc w:val="center"/>
        </w:trPr>
        <w:tc>
          <w:tcPr>
            <w:tcW w:w="2729" w:type="dxa"/>
            <w:hideMark/>
          </w:tcPr>
          <w:p w14:paraId="096A3B81"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Alginate-Ca²⁺ Gel</w:t>
            </w:r>
          </w:p>
        </w:tc>
        <w:tc>
          <w:tcPr>
            <w:tcW w:w="0" w:type="auto"/>
            <w:hideMark/>
          </w:tcPr>
          <w:p w14:paraId="4B796D7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20–200 kPa</w:t>
            </w:r>
          </w:p>
        </w:tc>
        <w:tc>
          <w:tcPr>
            <w:tcW w:w="0" w:type="auto"/>
            <w:hideMark/>
          </w:tcPr>
          <w:p w14:paraId="0C68A75A"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Viscoelastic, ionic crosslinking</w:t>
            </w:r>
          </w:p>
        </w:tc>
        <w:tc>
          <w:tcPr>
            <w:tcW w:w="0" w:type="auto"/>
            <w:hideMark/>
          </w:tcPr>
          <w:p w14:paraId="25E8E19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Maintains structural stability post-injection</w:t>
            </w:r>
          </w:p>
        </w:tc>
        <w:tc>
          <w:tcPr>
            <w:tcW w:w="2191" w:type="dxa"/>
            <w:hideMark/>
          </w:tcPr>
          <w:p w14:paraId="72242D8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Kim et al., 2011</w:t>
            </w:r>
          </w:p>
        </w:tc>
      </w:tr>
      <w:tr w:rsidR="00EC2FC3" w:rsidRPr="003C29EA" w14:paraId="42F207FC" w14:textId="77777777" w:rsidTr="00EC2FC3">
        <w:trPr>
          <w:jc w:val="center"/>
        </w:trPr>
        <w:tc>
          <w:tcPr>
            <w:tcW w:w="2729" w:type="dxa"/>
            <w:hideMark/>
          </w:tcPr>
          <w:p w14:paraId="4FDAD4F9"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PEG-DA Hydrogel</w:t>
            </w:r>
          </w:p>
        </w:tc>
        <w:tc>
          <w:tcPr>
            <w:tcW w:w="0" w:type="auto"/>
            <w:hideMark/>
          </w:tcPr>
          <w:p w14:paraId="19292B4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100–500 kPa</w:t>
            </w:r>
          </w:p>
        </w:tc>
        <w:tc>
          <w:tcPr>
            <w:tcW w:w="0" w:type="auto"/>
            <w:hideMark/>
          </w:tcPr>
          <w:p w14:paraId="5B6EF07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Highly elastic</w:t>
            </w:r>
          </w:p>
        </w:tc>
        <w:tc>
          <w:tcPr>
            <w:tcW w:w="0" w:type="auto"/>
            <w:hideMark/>
          </w:tcPr>
          <w:p w14:paraId="4A0B76EB"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Suitable for load-bearing anatomical support</w:t>
            </w:r>
          </w:p>
        </w:tc>
        <w:tc>
          <w:tcPr>
            <w:tcW w:w="2191" w:type="dxa"/>
            <w:hideMark/>
          </w:tcPr>
          <w:p w14:paraId="34DDFAFA"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Spector &amp; Lim, 2016</w:t>
            </w:r>
          </w:p>
        </w:tc>
      </w:tr>
      <w:tr w:rsidR="00EC2FC3" w:rsidRPr="003C29EA" w14:paraId="769383E9" w14:textId="77777777" w:rsidTr="00EC2FC3">
        <w:trPr>
          <w:jc w:val="center"/>
        </w:trPr>
        <w:tc>
          <w:tcPr>
            <w:tcW w:w="2729" w:type="dxa"/>
            <w:hideMark/>
          </w:tcPr>
          <w:p w14:paraId="5A292D1B"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PLGA–Thermosensitive Gel</w:t>
            </w:r>
          </w:p>
        </w:tc>
        <w:tc>
          <w:tcPr>
            <w:tcW w:w="0" w:type="auto"/>
            <w:hideMark/>
          </w:tcPr>
          <w:p w14:paraId="78B4477C"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50–120 kPa</w:t>
            </w:r>
          </w:p>
        </w:tc>
        <w:tc>
          <w:tcPr>
            <w:tcW w:w="0" w:type="auto"/>
            <w:hideMark/>
          </w:tcPr>
          <w:p w14:paraId="372768B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Thermo-responsive</w:t>
            </w:r>
          </w:p>
        </w:tc>
        <w:tc>
          <w:tcPr>
            <w:tcW w:w="0" w:type="auto"/>
            <w:hideMark/>
          </w:tcPr>
          <w:p w14:paraId="7DE91A4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Enables slow release of bioactive compounds post-cancer treatment</w:t>
            </w:r>
          </w:p>
        </w:tc>
        <w:tc>
          <w:tcPr>
            <w:tcW w:w="2191" w:type="dxa"/>
            <w:hideMark/>
          </w:tcPr>
          <w:p w14:paraId="72A31CC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Patrick et al., 1999</w:t>
            </w:r>
          </w:p>
        </w:tc>
      </w:tr>
    </w:tbl>
    <w:p w14:paraId="14387377" w14:textId="77777777" w:rsidR="00EC2FC3" w:rsidRDefault="00EC2FC3" w:rsidP="00EF425B">
      <w:pPr>
        <w:pStyle w:val="Caption"/>
        <w:rPr>
          <w:rFonts w:cs="Times New Roman"/>
          <w:i w:val="0"/>
          <w:sz w:val="24"/>
          <w:szCs w:val="24"/>
        </w:rPr>
      </w:pPr>
    </w:p>
    <w:p w14:paraId="54B24C69" w14:textId="77777777" w:rsidR="00454FB1" w:rsidRPr="00F131F2" w:rsidRDefault="00EF425B" w:rsidP="00EF425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Pr="00F131F2">
        <w:rPr>
          <w:rFonts w:cs="Times New Roman"/>
          <w:b/>
          <w:i w:val="0"/>
          <w:noProof/>
          <w:color w:val="auto"/>
          <w:sz w:val="24"/>
          <w:szCs w:val="24"/>
        </w:rPr>
        <w:t>10</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454FB1" w:rsidRPr="00F131F2">
        <w:rPr>
          <w:rFonts w:cs="Times New Roman"/>
          <w:b/>
          <w:i w:val="0"/>
          <w:color w:val="auto"/>
          <w:sz w:val="24"/>
          <w:szCs w:val="24"/>
        </w:rPr>
        <w:t>Comparative Advantages of Traditional vs. Advanced Injectable Scaffold Technologies</w:t>
      </w:r>
      <w:r w:rsidR="00F131F2">
        <w:rPr>
          <w:rFonts w:cs="Times New Roman"/>
          <w:b/>
          <w:i w:val="0"/>
          <w:color w:val="auto"/>
          <w:sz w:val="24"/>
          <w:szCs w:val="24"/>
        </w:rPr>
        <w:t>.</w:t>
      </w:r>
    </w:p>
    <w:tbl>
      <w:tblPr>
        <w:tblStyle w:val="TableGrid"/>
        <w:tblW w:w="10916" w:type="dxa"/>
        <w:tblInd w:w="-856" w:type="dxa"/>
        <w:tblLook w:val="04A0" w:firstRow="1" w:lastRow="0" w:firstColumn="1" w:lastColumn="0" w:noHBand="0" w:noVBand="1"/>
      </w:tblPr>
      <w:tblGrid>
        <w:gridCol w:w="2836"/>
        <w:gridCol w:w="2847"/>
        <w:gridCol w:w="3036"/>
        <w:gridCol w:w="2197"/>
      </w:tblGrid>
      <w:tr w:rsidR="00EC2FC3" w:rsidRPr="003C29EA" w14:paraId="696B2BAF" w14:textId="77777777" w:rsidTr="00EC2FC3">
        <w:tc>
          <w:tcPr>
            <w:tcW w:w="2836" w:type="dxa"/>
            <w:hideMark/>
          </w:tcPr>
          <w:p w14:paraId="572A2A1D"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Technological Category</w:t>
            </w:r>
          </w:p>
        </w:tc>
        <w:tc>
          <w:tcPr>
            <w:tcW w:w="2847" w:type="dxa"/>
            <w:hideMark/>
          </w:tcPr>
          <w:p w14:paraId="079E8FCD"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Examples</w:t>
            </w:r>
          </w:p>
        </w:tc>
        <w:tc>
          <w:tcPr>
            <w:tcW w:w="0" w:type="auto"/>
            <w:hideMark/>
          </w:tcPr>
          <w:p w14:paraId="68FF6936"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Advantages</w:t>
            </w:r>
          </w:p>
        </w:tc>
        <w:tc>
          <w:tcPr>
            <w:tcW w:w="2197" w:type="dxa"/>
            <w:hideMark/>
          </w:tcPr>
          <w:p w14:paraId="2974303C"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 xml:space="preserve">Verified </w:t>
            </w:r>
            <w:commentRangeStart w:id="4"/>
            <w:r w:rsidRPr="003C29EA">
              <w:rPr>
                <w:rFonts w:eastAsia="Times New Roman" w:cs="Times New Roman"/>
                <w:b/>
                <w:bCs/>
                <w:sz w:val="20"/>
                <w:szCs w:val="24"/>
              </w:rPr>
              <w:t>Citations</w:t>
            </w:r>
            <w:commentRangeEnd w:id="4"/>
            <w:r w:rsidR="0079150F">
              <w:rPr>
                <w:rStyle w:val="CommentReference"/>
              </w:rPr>
              <w:commentReference w:id="4"/>
            </w:r>
          </w:p>
        </w:tc>
      </w:tr>
      <w:tr w:rsidR="00EC2FC3" w:rsidRPr="003C29EA" w14:paraId="55137ECE" w14:textId="77777777" w:rsidTr="00EC2FC3">
        <w:tc>
          <w:tcPr>
            <w:tcW w:w="2836" w:type="dxa"/>
            <w:hideMark/>
          </w:tcPr>
          <w:p w14:paraId="4F77DA2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Traditional Injectable Polymers</w:t>
            </w:r>
          </w:p>
        </w:tc>
        <w:tc>
          <w:tcPr>
            <w:tcW w:w="2847" w:type="dxa"/>
            <w:hideMark/>
          </w:tcPr>
          <w:p w14:paraId="43F7D9A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Collagen gel, Fibrin glue</w:t>
            </w:r>
          </w:p>
        </w:tc>
        <w:tc>
          <w:tcPr>
            <w:tcW w:w="0" w:type="auto"/>
            <w:hideMark/>
          </w:tcPr>
          <w:p w14:paraId="16651E2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Biocompatible, naturally bioactive</w:t>
            </w:r>
          </w:p>
        </w:tc>
        <w:tc>
          <w:tcPr>
            <w:tcW w:w="2197" w:type="dxa"/>
            <w:hideMark/>
          </w:tcPr>
          <w:p w14:paraId="4042932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Huang &amp; Chu, 2019</w:t>
            </w:r>
          </w:p>
        </w:tc>
      </w:tr>
      <w:tr w:rsidR="00EC2FC3" w:rsidRPr="003C29EA" w14:paraId="5E9AB666" w14:textId="77777777" w:rsidTr="00EC2FC3">
        <w:tc>
          <w:tcPr>
            <w:tcW w:w="2836" w:type="dxa"/>
            <w:hideMark/>
          </w:tcPr>
          <w:p w14:paraId="67F47D8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Synthetic Hydrogels</w:t>
            </w:r>
          </w:p>
        </w:tc>
        <w:tc>
          <w:tcPr>
            <w:tcW w:w="2847" w:type="dxa"/>
            <w:hideMark/>
          </w:tcPr>
          <w:p w14:paraId="2981667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PEG, PLGA-PEG-PLGA, PVA</w:t>
            </w:r>
          </w:p>
        </w:tc>
        <w:tc>
          <w:tcPr>
            <w:tcW w:w="0" w:type="auto"/>
            <w:hideMark/>
          </w:tcPr>
          <w:p w14:paraId="64448758"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Tunable mechanics, controlled drug release</w:t>
            </w:r>
          </w:p>
        </w:tc>
        <w:tc>
          <w:tcPr>
            <w:tcW w:w="2197" w:type="dxa"/>
            <w:hideMark/>
          </w:tcPr>
          <w:p w14:paraId="340929F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Kim et al., 2011</w:t>
            </w:r>
          </w:p>
        </w:tc>
      </w:tr>
      <w:tr w:rsidR="00EC2FC3" w:rsidRPr="003C29EA" w14:paraId="56949FBE" w14:textId="77777777" w:rsidTr="00EC2FC3">
        <w:tc>
          <w:tcPr>
            <w:tcW w:w="2836" w:type="dxa"/>
            <w:hideMark/>
          </w:tcPr>
          <w:p w14:paraId="70545B91"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Decellularized Matrix Injectable ECM</w:t>
            </w:r>
          </w:p>
        </w:tc>
        <w:tc>
          <w:tcPr>
            <w:tcW w:w="2847" w:type="dxa"/>
            <w:hideMark/>
          </w:tcPr>
          <w:p w14:paraId="6F49B4D2"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Prostate ECM-derived hydrogel</w:t>
            </w:r>
          </w:p>
        </w:tc>
        <w:tc>
          <w:tcPr>
            <w:tcW w:w="0" w:type="auto"/>
            <w:hideMark/>
          </w:tcPr>
          <w:p w14:paraId="79AAD2E6"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Tissue-specific biochemical cues</w:t>
            </w:r>
          </w:p>
        </w:tc>
        <w:tc>
          <w:tcPr>
            <w:tcW w:w="2197" w:type="dxa"/>
            <w:hideMark/>
          </w:tcPr>
          <w:p w14:paraId="2969B013"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Guo et al., 2025</w:t>
            </w:r>
          </w:p>
        </w:tc>
      </w:tr>
      <w:tr w:rsidR="00EC2FC3" w:rsidRPr="003C29EA" w14:paraId="37A3B2A5" w14:textId="77777777" w:rsidTr="00EC2FC3">
        <w:tc>
          <w:tcPr>
            <w:tcW w:w="2836" w:type="dxa"/>
            <w:hideMark/>
          </w:tcPr>
          <w:p w14:paraId="1EC129DF"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Nano-engineered Injectable Scaffolds</w:t>
            </w:r>
          </w:p>
        </w:tc>
        <w:tc>
          <w:tcPr>
            <w:tcW w:w="2847" w:type="dxa"/>
            <w:hideMark/>
          </w:tcPr>
          <w:p w14:paraId="73700E6D"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CS-</w:t>
            </w:r>
            <w:proofErr w:type="spellStart"/>
            <w:r w:rsidRPr="003C29EA">
              <w:rPr>
                <w:rFonts w:eastAsia="Times New Roman" w:cs="Times New Roman"/>
                <w:sz w:val="20"/>
                <w:szCs w:val="24"/>
              </w:rPr>
              <w:t>Nanoclay</w:t>
            </w:r>
            <w:proofErr w:type="spellEnd"/>
            <w:r w:rsidRPr="003C29EA">
              <w:rPr>
                <w:rFonts w:eastAsia="Times New Roman" w:cs="Times New Roman"/>
                <w:sz w:val="20"/>
                <w:szCs w:val="24"/>
              </w:rPr>
              <w:t>, HA-</w:t>
            </w:r>
            <w:proofErr w:type="spellStart"/>
            <w:r w:rsidRPr="003C29EA">
              <w:rPr>
                <w:rFonts w:eastAsia="Times New Roman" w:cs="Times New Roman"/>
                <w:sz w:val="20"/>
                <w:szCs w:val="24"/>
              </w:rPr>
              <w:t>nanosilicate</w:t>
            </w:r>
            <w:proofErr w:type="spellEnd"/>
          </w:p>
        </w:tc>
        <w:tc>
          <w:tcPr>
            <w:tcW w:w="0" w:type="auto"/>
            <w:hideMark/>
          </w:tcPr>
          <w:p w14:paraId="2CE65134"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High mechanical reinforcement, improved cell adherence</w:t>
            </w:r>
          </w:p>
        </w:tc>
        <w:tc>
          <w:tcPr>
            <w:tcW w:w="2197" w:type="dxa"/>
            <w:hideMark/>
          </w:tcPr>
          <w:p w14:paraId="1AC5F70F"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Rad et al., 2022</w:t>
            </w:r>
          </w:p>
        </w:tc>
      </w:tr>
      <w:tr w:rsidR="00EC2FC3" w:rsidRPr="003C29EA" w14:paraId="48DE7C85" w14:textId="77777777" w:rsidTr="00EC2FC3">
        <w:tc>
          <w:tcPr>
            <w:tcW w:w="2836" w:type="dxa"/>
            <w:hideMark/>
          </w:tcPr>
          <w:p w14:paraId="1E0946A0"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Smart/Stimuli-Responsive Systems</w:t>
            </w:r>
          </w:p>
        </w:tc>
        <w:tc>
          <w:tcPr>
            <w:tcW w:w="2847" w:type="dxa"/>
            <w:hideMark/>
          </w:tcPr>
          <w:p w14:paraId="64E72411"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pH-responsive CS, thermo-responsive PLGA</w:t>
            </w:r>
          </w:p>
        </w:tc>
        <w:tc>
          <w:tcPr>
            <w:tcW w:w="0" w:type="auto"/>
            <w:hideMark/>
          </w:tcPr>
          <w:p w14:paraId="125F8602"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Respond to physiological cues, targeted release</w:t>
            </w:r>
          </w:p>
        </w:tc>
        <w:tc>
          <w:tcPr>
            <w:tcW w:w="2197" w:type="dxa"/>
            <w:hideMark/>
          </w:tcPr>
          <w:p w14:paraId="75A4A86E" w14:textId="77777777" w:rsidR="00EC2FC3" w:rsidRPr="003C29EA" w:rsidRDefault="00EC2FC3" w:rsidP="00EC2FC3">
            <w:pPr>
              <w:rPr>
                <w:rFonts w:eastAsia="Times New Roman" w:cs="Times New Roman"/>
                <w:sz w:val="20"/>
                <w:szCs w:val="24"/>
              </w:rPr>
            </w:pPr>
            <w:r w:rsidRPr="003C29EA">
              <w:rPr>
                <w:rFonts w:eastAsia="Times New Roman" w:cs="Times New Roman"/>
                <w:sz w:val="20"/>
                <w:szCs w:val="24"/>
              </w:rPr>
              <w:t>Sharma et al., 2025</w:t>
            </w:r>
          </w:p>
        </w:tc>
      </w:tr>
    </w:tbl>
    <w:p w14:paraId="1A5BDE33" w14:textId="77777777" w:rsidR="00454FB1" w:rsidRPr="00454FB1" w:rsidRDefault="00454FB1" w:rsidP="00454FB1">
      <w:pPr>
        <w:rPr>
          <w:rFonts w:cs="Times New Roman"/>
          <w:szCs w:val="24"/>
        </w:rPr>
      </w:pPr>
    </w:p>
    <w:p w14:paraId="516802DF" w14:textId="77777777" w:rsidR="00127F73" w:rsidRPr="00127F73" w:rsidRDefault="00127F73" w:rsidP="00127F73">
      <w:r>
        <w:t xml:space="preserve">In contrast to conventional repair methods, injectable scaffold systems directly target the structural, biochemical, and physiological limitations that hinder post–prostate cancer tissue regeneration, including poor vascularization, fibrosis, and extracellular matrix (ECM) disruption (Mironov et al., 2017; Chen et al., 2020). PEG-based hydrogels and </w:t>
      </w:r>
      <w:proofErr w:type="spellStart"/>
      <w:r>
        <w:t>GelMA</w:t>
      </w:r>
      <w:proofErr w:type="spellEnd"/>
      <w:r>
        <w:t xml:space="preserve"> microgels enhance angiogenesis, improving oxygen and nutrient delivery to damaged tissues (Guo et al., 2025; Beilharz et al., 2024). Chitosan–collagen formulations reduce inflammatory cytokine activity and </w:t>
      </w:r>
      <w:r>
        <w:lastRenderedPageBreak/>
        <w:t>accelerate ECM reconstruction, while hyaluronic acid–based gels mitigate fibrosis and nanocomposite CS/β-TCP scaffolds strengthen cell–matrix interactions (Baharlouei &amp; Rahman, 2022; Li et al., 2020; Jamali et al., 2023). Notably, conductive hydrogels such as PANI-</w:t>
      </w:r>
      <w:proofErr w:type="spellStart"/>
      <w:r>
        <w:t>GelMA</w:t>
      </w:r>
      <w:proofErr w:type="spellEnd"/>
      <w:r>
        <w:t xml:space="preserve"> support neurite outgrowth, aiding recovery of neural pathways essential for continence and erectile function (Patel et al., 2025). Collectively, multifunctional injectable scaffolds capable of angiogenic, anti-inflammatory, antifibrotic, and </w:t>
      </w:r>
      <w:proofErr w:type="spellStart"/>
      <w:r>
        <w:t>neuroregenerative</w:t>
      </w:r>
      <w:proofErr w:type="spellEnd"/>
      <w:r>
        <w:t xml:space="preserve"> signaling represent the most promising direction for durable prostate tissue regeneration (Beilharz et al., 2024; Guo et al., 2025).</w:t>
      </w:r>
    </w:p>
    <w:p w14:paraId="1E4315A2" w14:textId="77777777" w:rsidR="00C567B3" w:rsidRPr="00C567B3" w:rsidRDefault="00C567B3" w:rsidP="00AD5A31">
      <w:pPr>
        <w:pStyle w:val="Heading1"/>
      </w:pPr>
      <w:r w:rsidRPr="00C567B3">
        <w:t xml:space="preserve">9. Conclusion and Future Direction </w:t>
      </w:r>
    </w:p>
    <w:p w14:paraId="0EA19B8E" w14:textId="77777777" w:rsidR="00127F73" w:rsidRPr="00127F73" w:rsidRDefault="00127F73" w:rsidP="00127F73">
      <w:r w:rsidRPr="00127F73">
        <w:t>This review highlights that conventional strategies for post–prostate cancer repair, including autologous grafting, collagen injections, synthetic bulking agents, and pharmacologic treatments, provide limited benefit and are largely palliative. These approaches primarily offer temporary mechanical support or short-term symptom relief and fail to reconstruct the complex stromal organization, vascular networks, and neural pathways required for sustained prostate tissue regeneration. Persistent structural damage, fibrosis, inflammation, and reduced vascularity following surgery or radiotherapy further limit healing capacity, underscoring the inability of traditional interventions to address the underlying regenerative deficits.</w:t>
      </w:r>
    </w:p>
    <w:p w14:paraId="68D956CC" w14:textId="77777777" w:rsidR="00127F73" w:rsidRPr="00127F73" w:rsidRDefault="00127F73" w:rsidP="00127F73">
      <w:r w:rsidRPr="00127F73">
        <w:t xml:space="preserve">In contrast, injectable scaffold technologies represent a shift toward biologically driven tissue restoration. Advanced systems, including angiogenic PEG-based hydrogels, anti-inflammatory chitosan–collagen matrices, antifibrotic hyaluronic acid gels, and </w:t>
      </w:r>
      <w:proofErr w:type="spellStart"/>
      <w:r w:rsidRPr="00127F73">
        <w:t>neuroconductive</w:t>
      </w:r>
      <w:proofErr w:type="spellEnd"/>
      <w:r w:rsidRPr="00127F73">
        <w:t xml:space="preserve"> composite scaffolds, actively remodel the post-treatment microenvironment. By promoting cell adhesion, vascularization, matrix reconstruction, and nerve regeneration, these multifunctional biomaterials enable minimally invasive delivery, precise defect adaptation, and localized therapeutic signaling. Collectively, they provide a robust framework for next-generation regenerative solutions capable of achieving durable functional recovery.</w:t>
      </w:r>
    </w:p>
    <w:p w14:paraId="74E3C37F" w14:textId="77777777" w:rsidR="00D63186" w:rsidRDefault="00127F73" w:rsidP="00C567B3">
      <w:r w:rsidRPr="00127F73">
        <w:t xml:space="preserve">Future progress in regenerative medicine is expected to center on smart, multifunctional injectable biomaterials that integrate angiogenic, antifibrotic, immunomodulatory, and </w:t>
      </w:r>
      <w:proofErr w:type="spellStart"/>
      <w:r w:rsidRPr="00127F73">
        <w:t>neuroregenerative</w:t>
      </w:r>
      <w:proofErr w:type="spellEnd"/>
      <w:r w:rsidRPr="00127F73">
        <w:t xml:space="preserve"> cues within a single platform. Advances in 3D bioprinting, stimuli-responsive hydrogels, stem cell–based systems, and controlled drug delivery are likely to enable personalized therapies that dynamically respond to tissue conditions. Ultimately, these innovations may transform post–prostate cancer care from symptomatic repair to true regenerative healing, restoring continence, erectile function, and tissue integrity.</w:t>
      </w:r>
    </w:p>
    <w:p w14:paraId="0FA54A06" w14:textId="77777777" w:rsidR="00941D93" w:rsidRDefault="00941D93" w:rsidP="00C567B3"/>
    <w:p w14:paraId="60CFD4D9" w14:textId="77777777" w:rsidR="009F68B0" w:rsidRDefault="009F68B0" w:rsidP="00C567B3"/>
    <w:p w14:paraId="20257076" w14:textId="77777777" w:rsidR="009F68B0" w:rsidRDefault="009F68B0" w:rsidP="00C567B3"/>
    <w:p w14:paraId="57581A5C" w14:textId="77777777" w:rsidR="009F68B0" w:rsidRDefault="009F68B0" w:rsidP="00C567B3"/>
    <w:p w14:paraId="69F81DCD" w14:textId="77777777" w:rsidR="009F68B0" w:rsidRDefault="009F68B0" w:rsidP="00C567B3"/>
    <w:p w14:paraId="6E9C2E44" w14:textId="77777777" w:rsidR="009F68B0" w:rsidRDefault="009F68B0" w:rsidP="00C567B3"/>
    <w:sdt>
      <w:sdtPr>
        <w:rPr>
          <w:rFonts w:asciiTheme="minorHAnsi" w:eastAsiaTheme="minorHAnsi" w:hAnsiTheme="minorHAnsi" w:cstheme="minorBidi"/>
          <w:b w:val="0"/>
          <w:bCs w:val="0"/>
          <w:kern w:val="0"/>
          <w:sz w:val="22"/>
          <w:szCs w:val="22"/>
        </w:rPr>
        <w:id w:val="-835070823"/>
        <w:docPartObj>
          <w:docPartGallery w:val="Bibliographies"/>
          <w:docPartUnique/>
        </w:docPartObj>
      </w:sdtPr>
      <w:sdtEndPr>
        <w:rPr>
          <w:rFonts w:ascii="Times New Roman" w:hAnsi="Times New Roman"/>
          <w:sz w:val="24"/>
        </w:rPr>
      </w:sdtEndPr>
      <w:sdtContent>
        <w:p w14:paraId="78A7DD03" w14:textId="77777777" w:rsidR="009F68B0" w:rsidRDefault="009F68B0" w:rsidP="009F68B0">
          <w:pPr>
            <w:pStyle w:val="Heading1"/>
          </w:pPr>
          <w:r>
            <w:t>References</w:t>
          </w:r>
        </w:p>
        <w:sdt>
          <w:sdtPr>
            <w:id w:val="-573587230"/>
            <w:bibliography/>
          </w:sdtPr>
          <w:sdtContent>
            <w:p w14:paraId="5AD6B519" w14:textId="77777777" w:rsidR="009F68B0" w:rsidRPr="00D63186" w:rsidRDefault="009F68B0" w:rsidP="009F68B0"/>
            <w:sdt>
              <w:sdtPr>
                <w:id w:val="1790856741"/>
                <w:bibliography/>
              </w:sdtPr>
              <w:sdtContent>
                <w:p w14:paraId="79EE676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Achard, V., Putora, P. M., Omlin, A., Zilli, T., &amp; Fischer, S. (2022). Metastatic prostate cancer: Treatment options. </w:t>
                  </w:r>
                  <w:r w:rsidRPr="00755802">
                    <w:rPr>
                      <w:rFonts w:eastAsia="Times New Roman" w:cs="Times New Roman"/>
                      <w:i/>
                      <w:iCs/>
                      <w:color w:val="1F1F1F"/>
                      <w:szCs w:val="24"/>
                      <w:bdr w:val="none" w:sz="0" w:space="0" w:color="auto" w:frame="1"/>
                    </w:rPr>
                    <w:t>Oncology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100</w:t>
                  </w:r>
                  <w:r w:rsidRPr="00755802">
                    <w:rPr>
                      <w:rFonts w:eastAsia="Times New Roman" w:cs="Times New Roman"/>
                      <w:color w:val="1F1F1F"/>
                      <w:szCs w:val="24"/>
                    </w:rPr>
                    <w:t xml:space="preserve">(1), 48–59. </w:t>
                  </w:r>
                  <w:hyperlink r:id="rId28" w:tgtFrame="_blank" w:history="1">
                    <w:r w:rsidRPr="00755802">
                      <w:rPr>
                        <w:rFonts w:eastAsia="Times New Roman" w:cs="Times New Roman"/>
                        <w:color w:val="0B57D0"/>
                        <w:szCs w:val="24"/>
                        <w:u w:val="single"/>
                        <w:bdr w:val="none" w:sz="0" w:space="0" w:color="auto" w:frame="1"/>
                      </w:rPr>
                      <w:t>https://doi.org/10.1159/000519861</w:t>
                    </w:r>
                  </w:hyperlink>
                </w:p>
                <w:p w14:paraId="4A01ED2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Agbetuyi-Tayo, P., Gbadebo, M., &amp; Rotimi, S. O., et al. (2024). Advancements in biomarkers of prostate cancer: A review. </w:t>
                  </w:r>
                  <w:r w:rsidRPr="00755802">
                    <w:rPr>
                      <w:rFonts w:eastAsia="Times New Roman" w:cs="Times New Roman"/>
                      <w:i/>
                      <w:iCs/>
                      <w:color w:val="1F1F1F"/>
                      <w:szCs w:val="24"/>
                      <w:bdr w:val="none" w:sz="0" w:space="0" w:color="auto" w:frame="1"/>
                    </w:rPr>
                    <w:t>Technology in Cancer Research &amp; Treatment</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23</w:t>
                  </w:r>
                  <w:r w:rsidRPr="00755802">
                    <w:rPr>
                      <w:rFonts w:eastAsia="Times New Roman" w:cs="Times New Roman"/>
                      <w:color w:val="1F1F1F"/>
                      <w:szCs w:val="24"/>
                    </w:rPr>
                    <w:t xml:space="preserve">, 15330338241290029. </w:t>
                  </w:r>
                  <w:hyperlink r:id="rId29" w:tgtFrame="_blank" w:history="1">
                    <w:r w:rsidRPr="00755802">
                      <w:rPr>
                        <w:rFonts w:eastAsia="Times New Roman" w:cs="Times New Roman"/>
                        <w:color w:val="0B57D0"/>
                        <w:szCs w:val="24"/>
                        <w:u w:val="single"/>
                        <w:bdr w:val="none" w:sz="0" w:space="0" w:color="auto" w:frame="1"/>
                      </w:rPr>
                      <w:t>https://doi.org/10.1177/15330338241290029</w:t>
                    </w:r>
                  </w:hyperlink>
                </w:p>
                <w:p w14:paraId="46F2D7A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Ahangar, P., </w:t>
                  </w:r>
                  <w:proofErr w:type="spellStart"/>
                  <w:r w:rsidRPr="00755802">
                    <w:rPr>
                      <w:rFonts w:eastAsia="Times New Roman" w:cs="Times New Roman"/>
                      <w:color w:val="1F1F1F"/>
                      <w:szCs w:val="24"/>
                    </w:rPr>
                    <w:t>Akoury</w:t>
                  </w:r>
                  <w:proofErr w:type="spellEnd"/>
                  <w:r w:rsidRPr="00755802">
                    <w:rPr>
                      <w:rFonts w:eastAsia="Times New Roman" w:cs="Times New Roman"/>
                      <w:color w:val="1F1F1F"/>
                      <w:szCs w:val="24"/>
                    </w:rPr>
                    <w:t xml:space="preserve">, E., Ramirez Garcia Luna, A. S., Nour, A., Weber, M. H., &amp; Rosenzweig, D. H. (2018). Nanoporous 3D-printed scaffolds for local doxorubicin delivery in bone metastases secondary to prostate cancer. </w:t>
                  </w:r>
                  <w:r w:rsidRPr="00755802">
                    <w:rPr>
                      <w:rFonts w:eastAsia="Times New Roman" w:cs="Times New Roman"/>
                      <w:i/>
                      <w:iCs/>
                      <w:color w:val="1F1F1F"/>
                      <w:szCs w:val="24"/>
                      <w:bdr w:val="none" w:sz="0" w:space="0" w:color="auto" w:frame="1"/>
                    </w:rPr>
                    <w:t>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(9), 1485. </w:t>
                  </w:r>
                  <w:hyperlink r:id="rId30" w:tgtFrame="_blank" w:history="1">
                    <w:r w:rsidRPr="00755802">
                      <w:rPr>
                        <w:rFonts w:eastAsia="Times New Roman" w:cs="Times New Roman"/>
                        <w:color w:val="0B57D0"/>
                        <w:szCs w:val="24"/>
                        <w:u w:val="single"/>
                        <w:bdr w:val="none" w:sz="0" w:space="0" w:color="auto" w:frame="1"/>
                      </w:rPr>
                      <w:t>https://doi.org/10.3390/ma11091485</w:t>
                    </w:r>
                  </w:hyperlink>
                </w:p>
                <w:p w14:paraId="6D47817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Baharlouei, P., &amp; Rahman, A. (2022). Chitin and chitosan: Prospective biomedical applications in drug delivery, cancer treatment, and wound healing. </w:t>
                  </w:r>
                  <w:r w:rsidRPr="00755802">
                    <w:rPr>
                      <w:rFonts w:eastAsia="Times New Roman" w:cs="Times New Roman"/>
                      <w:i/>
                      <w:iCs/>
                      <w:color w:val="1F1F1F"/>
                      <w:szCs w:val="24"/>
                      <w:bdr w:val="none" w:sz="0" w:space="0" w:color="auto" w:frame="1"/>
                    </w:rPr>
                    <w:t>Marine Drugs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(7), 460. </w:t>
                  </w:r>
                  <w:hyperlink r:id="rId31" w:tgtFrame="_blank" w:history="1">
                    <w:r w:rsidRPr="00755802">
                      <w:rPr>
                        <w:rFonts w:eastAsia="Times New Roman" w:cs="Times New Roman"/>
                        <w:color w:val="0B57D0"/>
                        <w:szCs w:val="24"/>
                        <w:u w:val="single"/>
                        <w:bdr w:val="none" w:sz="0" w:space="0" w:color="auto" w:frame="1"/>
                      </w:rPr>
                      <w:t>https://doi.org/10.3390/md20070460</w:t>
                    </w:r>
                  </w:hyperlink>
                </w:p>
                <w:p w14:paraId="6B3DEE9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Baker, S. C., Rohman, G., Southgate, J., &amp; Cameron, N. R. (2009). The relationship between the mechanical properties and cell </w:t>
                  </w:r>
                  <w:proofErr w:type="spellStart"/>
                  <w:r w:rsidRPr="00755802">
                    <w:rPr>
                      <w:rFonts w:eastAsia="Times New Roman" w:cs="Times New Roman"/>
                      <w:color w:val="1F1F1F"/>
                      <w:szCs w:val="24"/>
                    </w:rPr>
                    <w:t>behaviour</w:t>
                  </w:r>
                  <w:proofErr w:type="spellEnd"/>
                  <w:r w:rsidRPr="00755802">
                    <w:rPr>
                      <w:rFonts w:eastAsia="Times New Roman" w:cs="Times New Roman"/>
                      <w:color w:val="1F1F1F"/>
                      <w:szCs w:val="24"/>
                    </w:rPr>
                    <w:t xml:space="preserve"> on PLGA and PCL scaffolds for bladder tissue engineering.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30</w:t>
                  </w:r>
                  <w:r w:rsidRPr="00755802">
                    <w:rPr>
                      <w:rFonts w:eastAsia="Times New Roman" w:cs="Times New Roman"/>
                      <w:color w:val="1F1F1F"/>
                      <w:szCs w:val="24"/>
                    </w:rPr>
                    <w:t xml:space="preserve">(7), 1321–1329. </w:t>
                  </w:r>
                  <w:hyperlink r:id="rId32" w:tgtFrame="_blank" w:history="1">
                    <w:r w:rsidRPr="00755802">
                      <w:rPr>
                        <w:rFonts w:eastAsia="Times New Roman" w:cs="Times New Roman"/>
                        <w:color w:val="0B57D0"/>
                        <w:szCs w:val="24"/>
                        <w:u w:val="single"/>
                        <w:bdr w:val="none" w:sz="0" w:space="0" w:color="auto" w:frame="1"/>
                      </w:rPr>
                      <w:t>https://doi.org/10.1016/j.biomaterials.2008.11.033</w:t>
                    </w:r>
                  </w:hyperlink>
                </w:p>
                <w:p w14:paraId="41F6302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Béduer, A., Genta, M., Kunz, N., Verheyen, C., Martins, M., Brefie-Guth, J., &amp; Braschler, T. (2022). Design of an elastic porous injectable biomaterial for tissue regeneration and volume retention. </w:t>
                  </w:r>
                  <w:r w:rsidRPr="00755802">
                    <w:rPr>
                      <w:rFonts w:eastAsia="Times New Roman" w:cs="Times New Roman"/>
                      <w:i/>
                      <w:iCs/>
                      <w:color w:val="1F1F1F"/>
                      <w:szCs w:val="24"/>
                      <w:bdr w:val="none" w:sz="0" w:space="0" w:color="auto" w:frame="1"/>
                    </w:rPr>
                    <w:t xml:space="preserve">Acta </w:t>
                  </w:r>
                  <w:proofErr w:type="spellStart"/>
                  <w:r w:rsidRPr="00755802">
                    <w:rPr>
                      <w:rFonts w:eastAsia="Times New Roman" w:cs="Times New Roman"/>
                      <w:i/>
                      <w:iCs/>
                      <w:color w:val="1F1F1F"/>
                      <w:szCs w:val="24"/>
                      <w:bdr w:val="none" w:sz="0" w:space="0" w:color="auto" w:frame="1"/>
                    </w:rPr>
                    <w:t>Biomaterialia</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145</w:t>
                  </w:r>
                  <w:r w:rsidRPr="00755802">
                    <w:rPr>
                      <w:rFonts w:eastAsia="Times New Roman" w:cs="Times New Roman"/>
                      <w:color w:val="1F1F1F"/>
                      <w:szCs w:val="24"/>
                    </w:rPr>
                    <w:t xml:space="preserve">, 202–214. </w:t>
                  </w:r>
                  <w:hyperlink r:id="rId33" w:tgtFrame="_blank" w:history="1">
                    <w:r w:rsidRPr="00755802">
                      <w:rPr>
                        <w:rFonts w:eastAsia="Times New Roman" w:cs="Times New Roman"/>
                        <w:color w:val="0B57D0"/>
                        <w:szCs w:val="24"/>
                        <w:u w:val="single"/>
                        <w:bdr w:val="none" w:sz="0" w:space="0" w:color="auto" w:frame="1"/>
                      </w:rPr>
                      <w:t>https://doi.org/10.1016/j.actbio.2022.01.050</w:t>
                    </w:r>
                  </w:hyperlink>
                </w:p>
                <w:p w14:paraId="1CA13AC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Beilharz, S., Debnath, M. K., </w:t>
                  </w:r>
                  <w:proofErr w:type="spellStart"/>
                  <w:r w:rsidRPr="00755802">
                    <w:rPr>
                      <w:rFonts w:eastAsia="Times New Roman" w:cs="Times New Roman"/>
                      <w:color w:val="1F1F1F"/>
                      <w:szCs w:val="24"/>
                    </w:rPr>
                    <w:t>Vinella</w:t>
                  </w:r>
                  <w:proofErr w:type="spellEnd"/>
                  <w:r w:rsidRPr="00755802">
                    <w:rPr>
                      <w:rFonts w:eastAsia="Times New Roman" w:cs="Times New Roman"/>
                      <w:color w:val="1F1F1F"/>
                      <w:szCs w:val="24"/>
                    </w:rPr>
                    <w:t xml:space="preserve">, D., Shoffstall, A. J., &amp; </w:t>
                  </w:r>
                  <w:proofErr w:type="spellStart"/>
                  <w:r w:rsidRPr="00755802">
                    <w:rPr>
                      <w:rFonts w:eastAsia="Times New Roman" w:cs="Times New Roman"/>
                      <w:color w:val="1F1F1F"/>
                      <w:szCs w:val="24"/>
                    </w:rPr>
                    <w:t>Karayilan</w:t>
                  </w:r>
                  <w:proofErr w:type="spellEnd"/>
                  <w:r w:rsidRPr="00755802">
                    <w:rPr>
                      <w:rFonts w:eastAsia="Times New Roman" w:cs="Times New Roman"/>
                      <w:color w:val="1F1F1F"/>
                      <w:szCs w:val="24"/>
                    </w:rPr>
                    <w:t xml:space="preserve">, M. (2024). Advances in injectable polymeric biomaterials and their contemporary medical practices. </w:t>
                  </w:r>
                  <w:r w:rsidRPr="00755802">
                    <w:rPr>
                      <w:rFonts w:eastAsia="Times New Roman" w:cs="Times New Roman"/>
                      <w:i/>
                      <w:iCs/>
                      <w:color w:val="1F1F1F"/>
                      <w:szCs w:val="24"/>
                      <w:bdr w:val="none" w:sz="0" w:space="0" w:color="auto" w:frame="1"/>
                    </w:rPr>
                    <w:t>ACS Applied Bio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w:t>
                  </w:r>
                  <w:r w:rsidRPr="00755802">
                    <w:rPr>
                      <w:rFonts w:eastAsia="Times New Roman" w:cs="Times New Roman"/>
                      <w:color w:val="1F1F1F"/>
                      <w:szCs w:val="24"/>
                    </w:rPr>
                    <w:t xml:space="preserve">(12), 8076–8101. </w:t>
                  </w:r>
                  <w:hyperlink r:id="rId34" w:tgtFrame="_blank" w:history="1">
                    <w:r w:rsidRPr="00755802">
                      <w:rPr>
                        <w:rFonts w:eastAsia="Times New Roman" w:cs="Times New Roman"/>
                        <w:color w:val="0B57D0"/>
                        <w:szCs w:val="24"/>
                        <w:u w:val="single"/>
                        <w:bdr w:val="none" w:sz="0" w:space="0" w:color="auto" w:frame="1"/>
                      </w:rPr>
                      <w:t>https://doi.org/10.1021/acsabm.4c01001</w:t>
                    </w:r>
                  </w:hyperlink>
                </w:p>
                <w:p w14:paraId="7058C77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Chang, B., Ahuja, N., Ma, C., &amp; Liu, X. (2017). Injectable scaffolds: Preparation and application in dental and craniofacial regeneration. </w:t>
                  </w:r>
                  <w:r w:rsidRPr="00755802">
                    <w:rPr>
                      <w:rFonts w:eastAsia="Times New Roman" w:cs="Times New Roman"/>
                      <w:i/>
                      <w:iCs/>
                      <w:color w:val="1F1F1F"/>
                      <w:szCs w:val="24"/>
                      <w:bdr w:val="none" w:sz="0" w:space="0" w:color="auto" w:frame="1"/>
                    </w:rPr>
                    <w:t>Materials Science and Engineering: R: Reports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111</w:t>
                  </w:r>
                  <w:r w:rsidRPr="00755802">
                    <w:rPr>
                      <w:rFonts w:eastAsia="Times New Roman" w:cs="Times New Roman"/>
                      <w:color w:val="1F1F1F"/>
                      <w:szCs w:val="24"/>
                    </w:rPr>
                    <w:t xml:space="preserve">, 1–26. </w:t>
                  </w:r>
                  <w:hyperlink r:id="rId35" w:tgtFrame="_blank" w:history="1">
                    <w:r w:rsidRPr="00755802">
                      <w:rPr>
                        <w:rFonts w:eastAsia="Times New Roman" w:cs="Times New Roman"/>
                        <w:color w:val="0B57D0"/>
                        <w:szCs w:val="24"/>
                        <w:u w:val="single"/>
                        <w:bdr w:val="none" w:sz="0" w:space="0" w:color="auto" w:frame="1"/>
                      </w:rPr>
                      <w:t>https://doi.org/10.1016/j.mser.2016.11.001</w:t>
                    </w:r>
                  </w:hyperlink>
                </w:p>
                <w:p w14:paraId="18EA3FDC"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Denmeade</w:t>
                  </w:r>
                  <w:proofErr w:type="spellEnd"/>
                  <w:r w:rsidRPr="00755802">
                    <w:rPr>
                      <w:rFonts w:eastAsia="Times New Roman" w:cs="Times New Roman"/>
                      <w:color w:val="1F1F1F"/>
                      <w:szCs w:val="24"/>
                    </w:rPr>
                    <w:t xml:space="preserve">, S. R., &amp; Isaacs, J. T. (2002). A history of prostate cancer treatment. </w:t>
                  </w:r>
                  <w:r w:rsidRPr="00755802">
                    <w:rPr>
                      <w:rFonts w:eastAsia="Times New Roman" w:cs="Times New Roman"/>
                      <w:i/>
                      <w:iCs/>
                      <w:color w:val="1F1F1F"/>
                      <w:szCs w:val="24"/>
                      <w:bdr w:val="none" w:sz="0" w:space="0" w:color="auto" w:frame="1"/>
                    </w:rPr>
                    <w:t>Nature Reviews Cancer</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w:t>
                  </w:r>
                  <w:r w:rsidRPr="00755802">
                    <w:rPr>
                      <w:rFonts w:eastAsia="Times New Roman" w:cs="Times New Roman"/>
                      <w:color w:val="1F1F1F"/>
                      <w:szCs w:val="24"/>
                    </w:rPr>
                    <w:t xml:space="preserve">(5), 389–396. </w:t>
                  </w:r>
                  <w:hyperlink r:id="rId36" w:tgtFrame="_blank" w:history="1">
                    <w:r w:rsidRPr="00755802">
                      <w:rPr>
                        <w:rFonts w:eastAsia="Times New Roman" w:cs="Times New Roman"/>
                        <w:color w:val="0B57D0"/>
                        <w:szCs w:val="24"/>
                        <w:u w:val="single"/>
                        <w:bdr w:val="none" w:sz="0" w:space="0" w:color="auto" w:frame="1"/>
                      </w:rPr>
                      <w:t>https://doi.org/10.1038/nrc801</w:t>
                    </w:r>
                  </w:hyperlink>
                </w:p>
                <w:p w14:paraId="6DA0A3F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Denmeade</w:t>
                  </w:r>
                  <w:proofErr w:type="spellEnd"/>
                  <w:r w:rsidRPr="00755802">
                    <w:rPr>
                      <w:rFonts w:eastAsia="Times New Roman" w:cs="Times New Roman"/>
                      <w:color w:val="1F1F1F"/>
                      <w:szCs w:val="24"/>
                    </w:rPr>
                    <w:t xml:space="preserve">, S. R., &amp; Isaacs, J. T. (2004). Development of prostate cancer treatment: The good news. </w:t>
                  </w:r>
                  <w:r w:rsidRPr="00755802">
                    <w:rPr>
                      <w:rFonts w:eastAsia="Times New Roman" w:cs="Times New Roman"/>
                      <w:i/>
                      <w:iCs/>
                      <w:color w:val="1F1F1F"/>
                      <w:szCs w:val="24"/>
                      <w:bdr w:val="none" w:sz="0" w:space="0" w:color="auto" w:frame="1"/>
                    </w:rPr>
                    <w:t>The Prostate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58</w:t>
                  </w:r>
                  <w:r w:rsidRPr="00755802">
                    <w:rPr>
                      <w:rFonts w:eastAsia="Times New Roman" w:cs="Times New Roman"/>
                      <w:color w:val="1F1F1F"/>
                      <w:szCs w:val="24"/>
                    </w:rPr>
                    <w:t xml:space="preserve">(3), 211–224. </w:t>
                  </w:r>
                  <w:hyperlink r:id="rId37" w:tgtFrame="_blank" w:history="1">
                    <w:r w:rsidRPr="00755802">
                      <w:rPr>
                        <w:rFonts w:eastAsia="Times New Roman" w:cs="Times New Roman"/>
                        <w:color w:val="0B57D0"/>
                        <w:szCs w:val="24"/>
                        <w:u w:val="single"/>
                        <w:bdr w:val="none" w:sz="0" w:space="0" w:color="auto" w:frame="1"/>
                      </w:rPr>
                      <w:t>https://doi.org/10.1002/pros.10360</w:t>
                    </w:r>
                  </w:hyperlink>
                </w:p>
                <w:p w14:paraId="46BF8B7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Dozzo</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Chullipalliyalil</w:t>
                  </w:r>
                  <w:proofErr w:type="spellEnd"/>
                  <w:r w:rsidRPr="00755802">
                    <w:rPr>
                      <w:rFonts w:eastAsia="Times New Roman" w:cs="Times New Roman"/>
                      <w:color w:val="1F1F1F"/>
                      <w:szCs w:val="24"/>
                    </w:rPr>
                    <w:t xml:space="preserve">, K., McAuliffe, M., O’Driscoll, C. M., &amp; Ryan, K. B. (2023). Nano-hydroxyapatite/PLGA mixed scaffolds as a tool for drug development and to study metastatic </w:t>
                  </w:r>
                  <w:r w:rsidRPr="00755802">
                    <w:rPr>
                      <w:rFonts w:eastAsia="Times New Roman" w:cs="Times New Roman"/>
                      <w:color w:val="1F1F1F"/>
                      <w:szCs w:val="24"/>
                    </w:rPr>
                    <w:lastRenderedPageBreak/>
                    <w:t xml:space="preserve">prostate cancer in the bone. </w:t>
                  </w:r>
                  <w:r w:rsidRPr="00755802">
                    <w:rPr>
                      <w:rFonts w:eastAsia="Times New Roman" w:cs="Times New Roman"/>
                      <w:i/>
                      <w:iCs/>
                      <w:color w:val="1F1F1F"/>
                      <w:szCs w:val="24"/>
                      <w:bdr w:val="none" w:sz="0" w:space="0" w:color="auto" w:frame="1"/>
                    </w:rPr>
                    <w:t>Pharmaceutics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(1), 242. </w:t>
                  </w:r>
                  <w:hyperlink r:id="rId38" w:tgtFrame="_blank" w:history="1">
                    <w:r w:rsidRPr="00755802">
                      <w:rPr>
                        <w:rFonts w:eastAsia="Times New Roman" w:cs="Times New Roman"/>
                        <w:color w:val="0B57D0"/>
                        <w:szCs w:val="24"/>
                        <w:u w:val="single"/>
                        <w:bdr w:val="none" w:sz="0" w:space="0" w:color="auto" w:frame="1"/>
                      </w:rPr>
                      <w:t>https://doi.org/10.3390/pharmaceutics15010242</w:t>
                    </w:r>
                  </w:hyperlink>
                </w:p>
                <w:p w14:paraId="3D56C99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Drabczyk, A., </w:t>
                  </w:r>
                  <w:proofErr w:type="spellStart"/>
                  <w:r w:rsidRPr="00755802">
                    <w:rPr>
                      <w:rFonts w:eastAsia="Times New Roman" w:cs="Times New Roman"/>
                      <w:color w:val="1F1F1F"/>
                      <w:szCs w:val="24"/>
                    </w:rPr>
                    <w:t>Kudłacik</w:t>
                  </w:r>
                  <w:proofErr w:type="spellEnd"/>
                  <w:r w:rsidRPr="00755802">
                    <w:rPr>
                      <w:rFonts w:eastAsia="Times New Roman" w:cs="Times New Roman"/>
                      <w:color w:val="1F1F1F"/>
                      <w:szCs w:val="24"/>
                    </w:rPr>
                    <w:t xml:space="preserve">-Kramarczyk, S., </w:t>
                  </w:r>
                  <w:proofErr w:type="spellStart"/>
                  <w:r w:rsidRPr="00755802">
                    <w:rPr>
                      <w:rFonts w:eastAsia="Times New Roman" w:cs="Times New Roman"/>
                      <w:color w:val="1F1F1F"/>
                      <w:szCs w:val="24"/>
                    </w:rPr>
                    <w:t>Jamroży</w:t>
                  </w:r>
                  <w:proofErr w:type="spellEnd"/>
                  <w:r w:rsidRPr="00755802">
                    <w:rPr>
                      <w:rFonts w:eastAsia="Times New Roman" w:cs="Times New Roman"/>
                      <w:color w:val="1F1F1F"/>
                      <w:szCs w:val="24"/>
                    </w:rPr>
                    <w:t xml:space="preserve">, M., &amp; Krzan, M. (2024). Biomaterials in drug delivery: Advancements in cancer and diverse therapies—Review.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25</w:t>
                  </w:r>
                  <w:r w:rsidRPr="00755802">
                    <w:rPr>
                      <w:rFonts w:eastAsia="Times New Roman" w:cs="Times New Roman"/>
                      <w:color w:val="1F1F1F"/>
                      <w:szCs w:val="24"/>
                    </w:rPr>
                    <w:t xml:space="preserve">(6), 3126. </w:t>
                  </w:r>
                  <w:hyperlink r:id="rId39" w:tgtFrame="_blank" w:history="1">
                    <w:r w:rsidRPr="00755802">
                      <w:rPr>
                        <w:rFonts w:eastAsia="Times New Roman" w:cs="Times New Roman"/>
                        <w:color w:val="0B57D0"/>
                        <w:szCs w:val="24"/>
                        <w:u w:val="single"/>
                        <w:bdr w:val="none" w:sz="0" w:space="0" w:color="auto" w:frame="1"/>
                      </w:rPr>
                      <w:t>https://doi.org/10.3390/ijms25063126</w:t>
                    </w:r>
                  </w:hyperlink>
                </w:p>
                <w:p w14:paraId="4581ADB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Dreifke</w:t>
                  </w:r>
                  <w:proofErr w:type="spellEnd"/>
                  <w:r w:rsidRPr="00755802">
                    <w:rPr>
                      <w:rFonts w:eastAsia="Times New Roman" w:cs="Times New Roman"/>
                      <w:color w:val="1F1F1F"/>
                      <w:szCs w:val="24"/>
                    </w:rPr>
                    <w:t xml:space="preserve">, M. B., </w:t>
                  </w:r>
                  <w:proofErr w:type="spellStart"/>
                  <w:r w:rsidRPr="00755802">
                    <w:rPr>
                      <w:rFonts w:eastAsia="Times New Roman" w:cs="Times New Roman"/>
                      <w:color w:val="1F1F1F"/>
                      <w:szCs w:val="24"/>
                    </w:rPr>
                    <w:t>Ebraheim</w:t>
                  </w:r>
                  <w:proofErr w:type="spellEnd"/>
                  <w:r w:rsidRPr="00755802">
                    <w:rPr>
                      <w:rFonts w:eastAsia="Times New Roman" w:cs="Times New Roman"/>
                      <w:color w:val="1F1F1F"/>
                      <w:szCs w:val="24"/>
                    </w:rPr>
                    <w:t xml:space="preserve">, N. A., &amp; Jayasuriya, A. C. (2013). Investigation of potential injectable polymeric biomaterials for bone regeneration. </w:t>
                  </w:r>
                  <w:r w:rsidRPr="00755802">
                    <w:rPr>
                      <w:rFonts w:eastAsia="Times New Roman" w:cs="Times New Roman"/>
                      <w:i/>
                      <w:iCs/>
                      <w:color w:val="1F1F1F"/>
                      <w:szCs w:val="24"/>
                      <w:bdr w:val="none" w:sz="0" w:space="0" w:color="auto" w:frame="1"/>
                    </w:rPr>
                    <w:t>Journal of Biomedical Materials Research Part A</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101</w:t>
                  </w:r>
                  <w:proofErr w:type="gramStart"/>
                  <w:r w:rsidRPr="00755802">
                    <w:rPr>
                      <w:rFonts w:eastAsia="Times New Roman" w:cs="Times New Roman"/>
                      <w:i/>
                      <w:iCs/>
                      <w:color w:val="1F1F1F"/>
                      <w:szCs w:val="24"/>
                      <w:bdr w:val="none" w:sz="0" w:space="0" w:color="auto" w:frame="1"/>
                    </w:rPr>
                    <w:t>A</w:t>
                  </w:r>
                  <w:r w:rsidRPr="00755802">
                    <w:rPr>
                      <w:rFonts w:eastAsia="Times New Roman" w:cs="Times New Roman"/>
                      <w:color w:val="1F1F1F"/>
                      <w:szCs w:val="24"/>
                    </w:rPr>
                    <w:t>(</w:t>
                  </w:r>
                  <w:proofErr w:type="gramEnd"/>
                  <w:r w:rsidRPr="00755802">
                    <w:rPr>
                      <w:rFonts w:eastAsia="Times New Roman" w:cs="Times New Roman"/>
                      <w:color w:val="1F1F1F"/>
                      <w:szCs w:val="24"/>
                    </w:rPr>
                    <w:t xml:space="preserve">9), 2436–2447. </w:t>
                  </w:r>
                  <w:hyperlink r:id="rId40" w:tgtFrame="_blank" w:history="1">
                    <w:r w:rsidRPr="00755802">
                      <w:rPr>
                        <w:rFonts w:eastAsia="Times New Roman" w:cs="Times New Roman"/>
                        <w:color w:val="0B57D0"/>
                        <w:szCs w:val="24"/>
                        <w:u w:val="single"/>
                        <w:bdr w:val="none" w:sz="0" w:space="0" w:color="auto" w:frame="1"/>
                      </w:rPr>
                      <w:t>https://doi.org/10.1002/jbm.a.34521</w:t>
                    </w:r>
                  </w:hyperlink>
                </w:p>
                <w:p w14:paraId="1AF2B80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Dunn, M. W., &amp; Kazer, M. W. (2011). Prostate cancer overview. </w:t>
                  </w:r>
                  <w:r w:rsidRPr="00755802">
                    <w:rPr>
                      <w:rFonts w:eastAsia="Times New Roman" w:cs="Times New Roman"/>
                      <w:i/>
                      <w:iCs/>
                      <w:color w:val="1F1F1F"/>
                      <w:szCs w:val="24"/>
                      <w:bdr w:val="none" w:sz="0" w:space="0" w:color="auto" w:frame="1"/>
                    </w:rPr>
                    <w:t>Seminars in Oncology Nursing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27</w:t>
                  </w:r>
                  <w:r w:rsidRPr="00755802">
                    <w:rPr>
                      <w:rFonts w:eastAsia="Times New Roman" w:cs="Times New Roman"/>
                      <w:color w:val="1F1F1F"/>
                      <w:szCs w:val="24"/>
                    </w:rPr>
                    <w:t xml:space="preserve">(4), 241–250. </w:t>
                  </w:r>
                  <w:hyperlink r:id="rId41" w:tgtFrame="_blank" w:history="1">
                    <w:r w:rsidRPr="00755802">
                      <w:rPr>
                        <w:rFonts w:eastAsia="Times New Roman" w:cs="Times New Roman"/>
                        <w:color w:val="0B57D0"/>
                        <w:szCs w:val="24"/>
                        <w:u w:val="single"/>
                        <w:bdr w:val="none" w:sz="0" w:space="0" w:color="auto" w:frame="1"/>
                      </w:rPr>
                      <w:t>https://doi.org/10.1016/j.soncn.2011.07.002</w:t>
                    </w:r>
                  </w:hyperlink>
                </w:p>
                <w:p w14:paraId="6C8A96E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Evans, A. J. (2017). Treatment effects in prostate cancer. </w:t>
                  </w:r>
                  <w:r w:rsidRPr="00755802">
                    <w:rPr>
                      <w:rFonts w:eastAsia="Times New Roman" w:cs="Times New Roman"/>
                      <w:i/>
                      <w:iCs/>
                      <w:color w:val="1F1F1F"/>
                      <w:szCs w:val="24"/>
                      <w:bdr w:val="none" w:sz="0" w:space="0" w:color="auto" w:frame="1"/>
                    </w:rPr>
                    <w:t>Modern Pathology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30</w:t>
                  </w:r>
                  <w:r w:rsidRPr="00755802">
                    <w:rPr>
                      <w:rFonts w:eastAsia="Times New Roman" w:cs="Times New Roman"/>
                      <w:color w:val="1F1F1F"/>
                      <w:szCs w:val="24"/>
                    </w:rPr>
                    <w:t xml:space="preserve">, 1397–1411. </w:t>
                  </w:r>
                  <w:hyperlink r:id="rId42" w:tgtFrame="_blank" w:history="1">
                    <w:r w:rsidRPr="00755802">
                      <w:rPr>
                        <w:rFonts w:eastAsia="Times New Roman" w:cs="Times New Roman"/>
                        <w:color w:val="0B57D0"/>
                        <w:szCs w:val="24"/>
                        <w:u w:val="single"/>
                        <w:bdr w:val="none" w:sz="0" w:space="0" w:color="auto" w:frame="1"/>
                      </w:rPr>
                      <w:t>https://doi.org/10.1038/modpathol.2017.158</w:t>
                    </w:r>
                  </w:hyperlink>
                </w:p>
                <w:p w14:paraId="1BCBAB6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Feng, P., He, C., Li, G., Li, J., Ke, C., &amp; Ma, J. (2025). Recent advances in tailored chitosan-based hydrogels for bone regeneration and repair. </w:t>
                  </w:r>
                  <w:r w:rsidRPr="00755802">
                    <w:rPr>
                      <w:rFonts w:eastAsia="Times New Roman" w:cs="Times New Roman"/>
                      <w:i/>
                      <w:iCs/>
                      <w:color w:val="1F1F1F"/>
                      <w:szCs w:val="24"/>
                      <w:bdr w:val="none" w:sz="0" w:space="0" w:color="auto" w:frame="1"/>
                    </w:rPr>
                    <w:t>Materials Chemistry Frontiers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9</w:t>
                  </w:r>
                  <w:r w:rsidRPr="00755802">
                    <w:rPr>
                      <w:rFonts w:eastAsia="Times New Roman" w:cs="Times New Roman"/>
                      <w:color w:val="1F1F1F"/>
                      <w:szCs w:val="24"/>
                    </w:rPr>
                    <w:t xml:space="preserve">(6), 910–934. </w:t>
                  </w:r>
                  <w:hyperlink r:id="rId43" w:tgtFrame="_blank" w:history="1">
                    <w:r w:rsidRPr="00755802">
                      <w:rPr>
                        <w:rFonts w:eastAsia="Times New Roman" w:cs="Times New Roman"/>
                        <w:color w:val="0B57D0"/>
                        <w:szCs w:val="24"/>
                        <w:u w:val="single"/>
                        <w:bdr w:val="none" w:sz="0" w:space="0" w:color="auto" w:frame="1"/>
                      </w:rPr>
                      <w:t>https://doi.org/10.1039/D4QM00944D</w:t>
                    </w:r>
                  </w:hyperlink>
                </w:p>
                <w:p w14:paraId="6F7C658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Fitzgerald, K. A., Guo, J., Tierney, E. G., Curtin, C. M., Malhotra, M., Darcy, R., O’Brien, F. J., &amp; O’Driscoll, C. M. (2015). The use of collagen-based scaffolds to simulate prostate cancer bone metastases with potential for evaluating delivery of nanoparticulate gene therapeutics.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67</w:t>
                  </w:r>
                  <w:r w:rsidRPr="00755802">
                    <w:rPr>
                      <w:rFonts w:eastAsia="Times New Roman" w:cs="Times New Roman"/>
                      <w:color w:val="1F1F1F"/>
                      <w:szCs w:val="24"/>
                    </w:rPr>
                    <w:t xml:space="preserve">, 216–227. </w:t>
                  </w:r>
                  <w:hyperlink r:id="rId44" w:tgtFrame="_blank" w:history="1">
                    <w:r w:rsidRPr="00755802">
                      <w:rPr>
                        <w:rFonts w:eastAsia="Times New Roman" w:cs="Times New Roman"/>
                        <w:color w:val="0B57D0"/>
                        <w:szCs w:val="24"/>
                        <w:u w:val="single"/>
                        <w:bdr w:val="none" w:sz="0" w:space="0" w:color="auto" w:frame="1"/>
                      </w:rPr>
                      <w:t>https://doi.org/10.1016/j.biomaterials.2015.07.019</w:t>
                    </w:r>
                  </w:hyperlink>
                </w:p>
                <w:p w14:paraId="124F488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Garrido, M. M., Bernardino, R. M., &amp; Guimarães, J. T., et al. (2021). </w:t>
                  </w:r>
                  <w:proofErr w:type="spellStart"/>
                  <w:r w:rsidRPr="00755802">
                    <w:rPr>
                      <w:rFonts w:eastAsia="Times New Roman" w:cs="Times New Roman"/>
                      <w:color w:val="1F1F1F"/>
                      <w:szCs w:val="24"/>
                    </w:rPr>
                    <w:t>Tumour</w:t>
                  </w:r>
                  <w:proofErr w:type="spellEnd"/>
                  <w:r w:rsidRPr="00755802">
                    <w:rPr>
                      <w:rFonts w:eastAsia="Times New Roman" w:cs="Times New Roman"/>
                      <w:color w:val="1F1F1F"/>
                      <w:szCs w:val="24"/>
                    </w:rPr>
                    <w:t xml:space="preserve"> markers in prostate cancer: The post-prostate-specific antigen era. </w:t>
                  </w:r>
                  <w:r w:rsidRPr="00755802">
                    <w:rPr>
                      <w:rFonts w:eastAsia="Times New Roman" w:cs="Times New Roman"/>
                      <w:i/>
                      <w:iCs/>
                      <w:color w:val="1F1F1F"/>
                      <w:szCs w:val="24"/>
                      <w:bdr w:val="none" w:sz="0" w:space="0" w:color="auto" w:frame="1"/>
                    </w:rPr>
                    <w:t>Annals of Clinical Biochemistry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59</w:t>
                  </w:r>
                  <w:r w:rsidRPr="00755802">
                    <w:rPr>
                      <w:rFonts w:eastAsia="Times New Roman" w:cs="Times New Roman"/>
                      <w:color w:val="1F1F1F"/>
                      <w:szCs w:val="24"/>
                    </w:rPr>
                    <w:t xml:space="preserve">(1), 10–27. </w:t>
                  </w:r>
                  <w:hyperlink r:id="rId45" w:tgtFrame="_blank" w:history="1">
                    <w:r w:rsidRPr="00755802">
                      <w:rPr>
                        <w:rFonts w:eastAsia="Times New Roman" w:cs="Times New Roman"/>
                        <w:color w:val="0B57D0"/>
                        <w:szCs w:val="24"/>
                        <w:u w:val="single"/>
                        <w:bdr w:val="none" w:sz="0" w:space="0" w:color="auto" w:frame="1"/>
                      </w:rPr>
                      <w:t>https://doi.org/10.1177/000456322110418</w:t>
                    </w:r>
                  </w:hyperlink>
                </w:p>
                <w:p w14:paraId="069E394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Gentile, P., </w:t>
                  </w:r>
                  <w:proofErr w:type="spellStart"/>
                  <w:r w:rsidRPr="00755802">
                    <w:rPr>
                      <w:rFonts w:eastAsia="Times New Roman" w:cs="Times New Roman"/>
                      <w:color w:val="1F1F1F"/>
                      <w:szCs w:val="24"/>
                    </w:rPr>
                    <w:t>Chiono</w:t>
                  </w:r>
                  <w:proofErr w:type="spellEnd"/>
                  <w:r w:rsidRPr="00755802">
                    <w:rPr>
                      <w:rFonts w:eastAsia="Times New Roman" w:cs="Times New Roman"/>
                      <w:color w:val="1F1F1F"/>
                      <w:szCs w:val="24"/>
                    </w:rPr>
                    <w:t xml:space="preserve">, V., Carmagnola, I., &amp; Hatton, P. V. (2014). An overview of poly(lactic-co-glycolic) acid (PLGA)-based biomaterials for bone tissue engineering.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(3), 3640–3659. </w:t>
                  </w:r>
                  <w:hyperlink r:id="rId46" w:tgtFrame="_blank" w:history="1">
                    <w:r w:rsidRPr="00755802">
                      <w:rPr>
                        <w:rFonts w:eastAsia="Times New Roman" w:cs="Times New Roman"/>
                        <w:color w:val="0B57D0"/>
                        <w:szCs w:val="24"/>
                        <w:u w:val="single"/>
                        <w:bdr w:val="none" w:sz="0" w:space="0" w:color="auto" w:frame="1"/>
                      </w:rPr>
                      <w:t>https://doi.org/10.3390/ijms15033640</w:t>
                    </w:r>
                  </w:hyperlink>
                </w:p>
                <w:p w14:paraId="7F0881F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Gomella, L. G., Johannes, J., &amp; Trabulsi, E. J. (2009). Current prostate cancer treatments: Effect on quality of life. </w:t>
                  </w:r>
                  <w:r w:rsidRPr="00755802">
                    <w:rPr>
                      <w:rFonts w:eastAsia="Times New Roman" w:cs="Times New Roman"/>
                      <w:i/>
                      <w:iCs/>
                      <w:color w:val="1F1F1F"/>
                      <w:szCs w:val="24"/>
                      <w:bdr w:val="none" w:sz="0" w:space="0" w:color="auto" w:frame="1"/>
                    </w:rPr>
                    <w:t>Urology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73</w:t>
                  </w:r>
                  <w:r w:rsidRPr="00755802">
                    <w:rPr>
                      <w:rFonts w:eastAsia="Times New Roman" w:cs="Times New Roman"/>
                      <w:color w:val="1F1F1F"/>
                      <w:szCs w:val="24"/>
                    </w:rPr>
                    <w:t xml:space="preserve">(5 Suppl), S28–S35. </w:t>
                  </w:r>
                  <w:hyperlink r:id="rId47" w:tgtFrame="_blank" w:history="1">
                    <w:r w:rsidRPr="00755802">
                      <w:rPr>
                        <w:rFonts w:eastAsia="Times New Roman" w:cs="Times New Roman"/>
                        <w:color w:val="0B57D0"/>
                        <w:szCs w:val="24"/>
                        <w:u w:val="single"/>
                        <w:bdr w:val="none" w:sz="0" w:space="0" w:color="auto" w:frame="1"/>
                      </w:rPr>
                      <w:t>https://doi.org/10.1016/j.urology.2009.03.003</w:t>
                    </w:r>
                  </w:hyperlink>
                </w:p>
                <w:p w14:paraId="046F599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Goodarzi, K., </w:t>
                  </w:r>
                  <w:proofErr w:type="spellStart"/>
                  <w:r w:rsidRPr="00755802">
                    <w:rPr>
                      <w:rFonts w:eastAsia="Times New Roman" w:cs="Times New Roman"/>
                      <w:color w:val="1F1F1F"/>
                      <w:szCs w:val="24"/>
                    </w:rPr>
                    <w:t>Jonidi</w:t>
                  </w:r>
                  <w:proofErr w:type="spellEnd"/>
                  <w:r w:rsidRPr="00755802">
                    <w:rPr>
                      <w:rFonts w:eastAsia="Times New Roman" w:cs="Times New Roman"/>
                      <w:color w:val="1F1F1F"/>
                      <w:szCs w:val="24"/>
                    </w:rPr>
                    <w:t xml:space="preserve"> Shariatzadeh, F., Solouk, A., Akbari, S., &amp; Mirzadeh, H. (2020). Injectable drug loaded gelatin based scaffolds as a minimally invasive approach for drug delivery system: CNC/PAMAM nanoparticles. </w:t>
                  </w:r>
                  <w:r w:rsidRPr="00755802">
                    <w:rPr>
                      <w:rFonts w:eastAsia="Times New Roman" w:cs="Times New Roman"/>
                      <w:i/>
                      <w:iCs/>
                      <w:color w:val="1F1F1F"/>
                      <w:szCs w:val="24"/>
                      <w:bdr w:val="none" w:sz="0" w:space="0" w:color="auto" w:frame="1"/>
                    </w:rPr>
                    <w:t>European Polymer Journal</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139</w:t>
                  </w:r>
                  <w:r w:rsidRPr="00755802">
                    <w:rPr>
                      <w:rFonts w:eastAsia="Times New Roman" w:cs="Times New Roman"/>
                      <w:color w:val="1F1F1F"/>
                      <w:szCs w:val="24"/>
                    </w:rPr>
                    <w:t xml:space="preserve">, 109992. </w:t>
                  </w:r>
                  <w:hyperlink r:id="rId48" w:tgtFrame="_blank" w:history="1">
                    <w:r w:rsidRPr="00755802">
                      <w:rPr>
                        <w:rFonts w:eastAsia="Times New Roman" w:cs="Times New Roman"/>
                        <w:color w:val="0B57D0"/>
                        <w:szCs w:val="24"/>
                        <w:u w:val="single"/>
                        <w:bdr w:val="none" w:sz="0" w:space="0" w:color="auto" w:frame="1"/>
                      </w:rPr>
                      <w:t>https://doi.org/10.1016/j.eurpolymj.2020.109992</w:t>
                    </w:r>
                  </w:hyperlink>
                </w:p>
                <w:p w14:paraId="3ECBF25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Gracia, E., Mancini, A., Colapietro, A., Mateo, C., Gracia, I., </w:t>
                  </w:r>
                  <w:proofErr w:type="spellStart"/>
                  <w:r w:rsidRPr="00755802">
                    <w:rPr>
                      <w:rFonts w:eastAsia="Times New Roman" w:cs="Times New Roman"/>
                      <w:color w:val="1F1F1F"/>
                      <w:szCs w:val="24"/>
                    </w:rPr>
                    <w:t>Festuccia</w:t>
                  </w:r>
                  <w:proofErr w:type="spellEnd"/>
                  <w:r w:rsidRPr="00755802">
                    <w:rPr>
                      <w:rFonts w:eastAsia="Times New Roman" w:cs="Times New Roman"/>
                      <w:color w:val="1F1F1F"/>
                      <w:szCs w:val="24"/>
                    </w:rPr>
                    <w:t xml:space="preserve">, C., &amp; Carmona, M. (2019). Impregnation of curcumin into a biodegradable (poly-lactic-co-glycolic acid, PLGA) support, to transfer its well-known in vitro effect to an in vivo prostate cancer model. </w:t>
                  </w:r>
                  <w:r w:rsidRPr="00755802">
                    <w:rPr>
                      <w:rFonts w:eastAsia="Times New Roman" w:cs="Times New Roman"/>
                      <w:i/>
                      <w:iCs/>
                      <w:color w:val="1F1F1F"/>
                      <w:szCs w:val="24"/>
                      <w:bdr w:val="none" w:sz="0" w:space="0" w:color="auto" w:frame="1"/>
                    </w:rPr>
                    <w:t>Nutrients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(10), 2312. </w:t>
                  </w:r>
                  <w:hyperlink r:id="rId49" w:tgtFrame="_blank" w:history="1">
                    <w:r w:rsidRPr="00755802">
                      <w:rPr>
                        <w:rFonts w:eastAsia="Times New Roman" w:cs="Times New Roman"/>
                        <w:color w:val="0B57D0"/>
                        <w:szCs w:val="24"/>
                        <w:u w:val="single"/>
                        <w:bdr w:val="none" w:sz="0" w:space="0" w:color="auto" w:frame="1"/>
                      </w:rPr>
                      <w:t>https://doi.org/10.3390/nu11102312</w:t>
                    </w:r>
                  </w:hyperlink>
                </w:p>
                <w:p w14:paraId="311D6F5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Guo, C., Gui, J., Chen, A., Li, S., Gu, C., Deng, Y., Wang, L., Wang, R., Ni, J., Wang, J., Wang, J., Yang, D., Qin, Y., Zhu, L., Wu, S., &amp; Mi, Y. (2025). Types of biomimetic materials and their emerging clinical applications in the field for prostate cancer. </w:t>
                  </w:r>
                  <w:r w:rsidRPr="00755802">
                    <w:rPr>
                      <w:rFonts w:eastAsia="Times New Roman" w:cs="Times New Roman"/>
                      <w:i/>
                      <w:iCs/>
                      <w:color w:val="1F1F1F"/>
                      <w:szCs w:val="24"/>
                      <w:bdr w:val="none" w:sz="0" w:space="0" w:color="auto" w:frame="1"/>
                    </w:rPr>
                    <w:t>International Journal of Biological Macromolecules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84</w:t>
                  </w:r>
                  <w:r w:rsidRPr="00755802">
                    <w:rPr>
                      <w:rFonts w:eastAsia="Times New Roman" w:cs="Times New Roman"/>
                      <w:color w:val="1F1F1F"/>
                      <w:szCs w:val="24"/>
                    </w:rPr>
                    <w:t xml:space="preserve">, 149696. </w:t>
                  </w:r>
                  <w:hyperlink r:id="rId50" w:tgtFrame="_blank" w:history="1">
                    <w:r w:rsidRPr="00755802">
                      <w:rPr>
                        <w:rFonts w:eastAsia="Times New Roman" w:cs="Times New Roman"/>
                        <w:color w:val="0B57D0"/>
                        <w:szCs w:val="24"/>
                        <w:u w:val="single"/>
                        <w:bdr w:val="none" w:sz="0" w:space="0" w:color="auto" w:frame="1"/>
                      </w:rPr>
                      <w:t>https://doi.org/10.1016/j.ijbiomac.2025.149696</w:t>
                    </w:r>
                  </w:hyperlink>
                </w:p>
                <w:p w14:paraId="5146289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Hou, Q., De Bank, P. A., &amp; Shakesheff, K. M. (2004). Injectable scaffolds for tissue regeneration. </w:t>
                  </w:r>
                  <w:r w:rsidRPr="00755802">
                    <w:rPr>
                      <w:rFonts w:eastAsia="Times New Roman" w:cs="Times New Roman"/>
                      <w:i/>
                      <w:iCs/>
                      <w:color w:val="1F1F1F"/>
                      <w:szCs w:val="24"/>
                      <w:bdr w:val="none" w:sz="0" w:space="0" w:color="auto" w:frame="1"/>
                    </w:rPr>
                    <w:t>Journal of Materials 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(13), 1915–1923. </w:t>
                  </w:r>
                  <w:hyperlink r:id="rId51" w:tgtFrame="_blank" w:history="1">
                    <w:r w:rsidRPr="00755802">
                      <w:rPr>
                        <w:rFonts w:eastAsia="Times New Roman" w:cs="Times New Roman"/>
                        <w:color w:val="0B57D0"/>
                        <w:szCs w:val="24"/>
                        <w:u w:val="single"/>
                        <w:bdr w:val="none" w:sz="0" w:space="0" w:color="auto" w:frame="1"/>
                      </w:rPr>
                      <w:t>https://doi.org/10.1039/B401791A</w:t>
                    </w:r>
                  </w:hyperlink>
                </w:p>
                <w:p w14:paraId="0B90E31C"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Huang, W.-S., &amp; Chu, I.-M. (2019). Injectable polypeptide hydrogel/inorganic nanoparticle composites for bone tissue engineering. </w:t>
                  </w:r>
                  <w:r w:rsidRPr="00755802">
                    <w:rPr>
                      <w:rFonts w:eastAsia="Times New Roman" w:cs="Times New Roman"/>
                      <w:i/>
                      <w:iCs/>
                      <w:color w:val="1F1F1F"/>
                      <w:szCs w:val="24"/>
                      <w:bdr w:val="none" w:sz="0" w:space="0" w:color="auto" w:frame="1"/>
                    </w:rPr>
                    <w:t>PLOS ONE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 e0210285. </w:t>
                  </w:r>
                  <w:hyperlink r:id="rId52" w:tgtFrame="_blank" w:history="1">
                    <w:r w:rsidRPr="00755802">
                      <w:rPr>
                        <w:rFonts w:eastAsia="Times New Roman" w:cs="Times New Roman"/>
                        <w:color w:val="0B57D0"/>
                        <w:szCs w:val="24"/>
                        <w:u w:val="single"/>
                        <w:bdr w:val="none" w:sz="0" w:space="0" w:color="auto" w:frame="1"/>
                      </w:rPr>
                      <w:t>https://doi.org/10.1371/journal.pone.0210285</w:t>
                    </w:r>
                  </w:hyperlink>
                </w:p>
                <w:p w14:paraId="5065550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Ignjatović, N. L., Liu, C. Z., </w:t>
                  </w:r>
                  <w:proofErr w:type="spellStart"/>
                  <w:r w:rsidRPr="00755802">
                    <w:rPr>
                      <w:rFonts w:eastAsia="Times New Roman" w:cs="Times New Roman"/>
                      <w:color w:val="1F1F1F"/>
                      <w:szCs w:val="24"/>
                    </w:rPr>
                    <w:t>Czernuszka</w:t>
                  </w:r>
                  <w:proofErr w:type="spellEnd"/>
                  <w:r w:rsidRPr="00755802">
                    <w:rPr>
                      <w:rFonts w:eastAsia="Times New Roman" w:cs="Times New Roman"/>
                      <w:color w:val="1F1F1F"/>
                      <w:szCs w:val="24"/>
                    </w:rPr>
                    <w:t xml:space="preserve">, J. T., &amp; </w:t>
                  </w:r>
                  <w:proofErr w:type="spellStart"/>
                  <w:r w:rsidRPr="00755802">
                    <w:rPr>
                      <w:rFonts w:eastAsia="Times New Roman" w:cs="Times New Roman"/>
                      <w:color w:val="1F1F1F"/>
                      <w:szCs w:val="24"/>
                    </w:rPr>
                    <w:t>Uskoković</w:t>
                  </w:r>
                  <w:proofErr w:type="spellEnd"/>
                  <w:r w:rsidRPr="00755802">
                    <w:rPr>
                      <w:rFonts w:eastAsia="Times New Roman" w:cs="Times New Roman"/>
                      <w:color w:val="1F1F1F"/>
                      <w:szCs w:val="24"/>
                    </w:rPr>
                    <w:t>, D. P. (2007). Micro- and nano-injectable composite biomaterials containing calcium phosphate coated with poly(dl-lactide-co-</w:t>
                  </w:r>
                  <w:proofErr w:type="spellStart"/>
                  <w:r w:rsidRPr="00755802">
                    <w:rPr>
                      <w:rFonts w:eastAsia="Times New Roman" w:cs="Times New Roman"/>
                      <w:color w:val="1F1F1F"/>
                      <w:szCs w:val="24"/>
                    </w:rPr>
                    <w:t>glycolide</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 xml:space="preserve">Acta </w:t>
                  </w:r>
                  <w:proofErr w:type="spellStart"/>
                  <w:r w:rsidRPr="00755802">
                    <w:rPr>
                      <w:rFonts w:eastAsia="Times New Roman" w:cs="Times New Roman"/>
                      <w:i/>
                      <w:iCs/>
                      <w:color w:val="1F1F1F"/>
                      <w:szCs w:val="24"/>
                      <w:bdr w:val="none" w:sz="0" w:space="0" w:color="auto" w:frame="1"/>
                    </w:rPr>
                    <w:t>Biomaterialia</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(6), 927–935. </w:t>
                  </w:r>
                  <w:hyperlink r:id="rId53" w:tgtFrame="_blank" w:history="1">
                    <w:r w:rsidRPr="00755802">
                      <w:rPr>
                        <w:rFonts w:eastAsia="Times New Roman" w:cs="Times New Roman"/>
                        <w:color w:val="0B57D0"/>
                        <w:szCs w:val="24"/>
                        <w:u w:val="single"/>
                        <w:bdr w:val="none" w:sz="0" w:space="0" w:color="auto" w:frame="1"/>
                      </w:rPr>
                      <w:t>https://doi.org/10.1016/j.actbio.2007.04.001</w:t>
                    </w:r>
                  </w:hyperlink>
                </w:p>
                <w:p w14:paraId="5A7AEB2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Jamali, B., Jamali, S., </w:t>
                  </w:r>
                  <w:proofErr w:type="spellStart"/>
                  <w:r w:rsidRPr="00755802">
                    <w:rPr>
                      <w:rFonts w:eastAsia="Times New Roman" w:cs="Times New Roman"/>
                      <w:color w:val="1F1F1F"/>
                      <w:szCs w:val="24"/>
                    </w:rPr>
                    <w:t>Vaghefi</w:t>
                  </w:r>
                  <w:proofErr w:type="spellEnd"/>
                  <w:r w:rsidRPr="00755802">
                    <w:rPr>
                      <w:rFonts w:eastAsia="Times New Roman" w:cs="Times New Roman"/>
                      <w:color w:val="1F1F1F"/>
                      <w:szCs w:val="24"/>
                    </w:rPr>
                    <w:t xml:space="preserve"> Moghaddam, S., </w:t>
                  </w:r>
                  <w:proofErr w:type="spellStart"/>
                  <w:r w:rsidRPr="00755802">
                    <w:rPr>
                      <w:rFonts w:eastAsia="Times New Roman" w:cs="Times New Roman"/>
                      <w:color w:val="1F1F1F"/>
                      <w:szCs w:val="24"/>
                    </w:rPr>
                    <w:t>Firoozrai</w:t>
                  </w:r>
                  <w:proofErr w:type="spellEnd"/>
                  <w:r w:rsidRPr="00755802">
                    <w:rPr>
                      <w:rFonts w:eastAsia="Times New Roman" w:cs="Times New Roman"/>
                      <w:color w:val="1F1F1F"/>
                      <w:szCs w:val="24"/>
                    </w:rPr>
                    <w:t xml:space="preserve">, M., Davaran, S., &amp; Abedi, F. (2023). Targeted co-delivery of paclitaxel and chrysin by hyaluronate/chitosan-coated polymeric nanoparticles for prostate cancer chemotherapy. </w:t>
                  </w:r>
                  <w:r w:rsidRPr="00755802">
                    <w:rPr>
                      <w:rFonts w:eastAsia="Times New Roman" w:cs="Times New Roman"/>
                      <w:i/>
                      <w:iCs/>
                      <w:color w:val="1F1F1F"/>
                      <w:szCs w:val="24"/>
                      <w:bdr w:val="none" w:sz="0" w:space="0" w:color="auto" w:frame="1"/>
                    </w:rPr>
                    <w:t>Drug Development and Industrial Pharmacy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49</w:t>
                  </w:r>
                  <w:r w:rsidRPr="00755802">
                    <w:rPr>
                      <w:rFonts w:eastAsia="Times New Roman" w:cs="Times New Roman"/>
                      <w:color w:val="1F1F1F"/>
                      <w:szCs w:val="24"/>
                    </w:rPr>
                    <w:t xml:space="preserve">(12), 1238–1251. </w:t>
                  </w:r>
                  <w:hyperlink r:id="rId54" w:tgtFrame="_blank" w:history="1">
                    <w:r w:rsidRPr="00755802">
                      <w:rPr>
                        <w:rFonts w:eastAsia="Times New Roman" w:cs="Times New Roman"/>
                        <w:color w:val="0B57D0"/>
                        <w:szCs w:val="24"/>
                        <w:u w:val="single"/>
                        <w:bdr w:val="none" w:sz="0" w:space="0" w:color="auto" w:frame="1"/>
                      </w:rPr>
                      <w:t>https://doi.org/10.1080/00914037.2023.2277219</w:t>
                    </w:r>
                  </w:hyperlink>
                </w:p>
                <w:p w14:paraId="389CA85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Jaworska, J., </w:t>
                  </w:r>
                  <w:proofErr w:type="spellStart"/>
                  <w:r w:rsidRPr="00755802">
                    <w:rPr>
                      <w:rFonts w:eastAsia="Times New Roman" w:cs="Times New Roman"/>
                      <w:color w:val="1F1F1F"/>
                      <w:szCs w:val="24"/>
                    </w:rPr>
                    <w:t>Orchel</w:t>
                  </w:r>
                  <w:proofErr w:type="spellEnd"/>
                  <w:r w:rsidRPr="00755802">
                    <w:rPr>
                      <w:rFonts w:eastAsia="Times New Roman" w:cs="Times New Roman"/>
                      <w:color w:val="1F1F1F"/>
                      <w:szCs w:val="24"/>
                    </w:rPr>
                    <w:t xml:space="preserve">, A., Kaps, A., Jaworska-Kik, M., Hercog, A., Stojko, M., Włodarczyk, J., Musiał-Kulik, M., Pastusiak, M., &amp; Bochenek, M. (2022). Bioresorbable nonwoven patches as taxane delivery systems for prostate cancer treatment. </w:t>
                  </w:r>
                  <w:r w:rsidRPr="00755802">
                    <w:rPr>
                      <w:rFonts w:eastAsia="Times New Roman" w:cs="Times New Roman"/>
                      <w:i/>
                      <w:iCs/>
                      <w:color w:val="1F1F1F"/>
                      <w:szCs w:val="24"/>
                      <w:bdr w:val="none" w:sz="0" w:space="0" w:color="auto" w:frame="1"/>
                    </w:rPr>
                    <w:t>Pharmaceutics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(12), 2835. </w:t>
                  </w:r>
                  <w:hyperlink r:id="rId55" w:tgtFrame="_blank" w:history="1">
                    <w:r w:rsidRPr="00755802">
                      <w:rPr>
                        <w:rFonts w:eastAsia="Times New Roman" w:cs="Times New Roman"/>
                        <w:color w:val="0B57D0"/>
                        <w:szCs w:val="24"/>
                        <w:u w:val="single"/>
                        <w:bdr w:val="none" w:sz="0" w:space="0" w:color="auto" w:frame="1"/>
                      </w:rPr>
                      <w:t>https://doi.org/10.3390/pharmaceutics14122835</w:t>
                    </w:r>
                  </w:hyperlink>
                </w:p>
                <w:p w14:paraId="6CF3C62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Jaworska, J., Stojko, M., Włodarczyk, J., Janeczek, H., </w:t>
                  </w:r>
                  <w:proofErr w:type="spellStart"/>
                  <w:r w:rsidRPr="00755802">
                    <w:rPr>
                      <w:rFonts w:eastAsia="Times New Roman" w:cs="Times New Roman"/>
                      <w:color w:val="1F1F1F"/>
                      <w:szCs w:val="24"/>
                    </w:rPr>
                    <w:t>Godzierz</w:t>
                  </w:r>
                  <w:proofErr w:type="spellEnd"/>
                  <w:r w:rsidRPr="00755802">
                    <w:rPr>
                      <w:rFonts w:eastAsia="Times New Roman" w:cs="Times New Roman"/>
                      <w:color w:val="1F1F1F"/>
                      <w:szCs w:val="24"/>
                    </w:rPr>
                    <w:t xml:space="preserve">, M., Musiał-Kulik, M., Bryniarski, P., &amp; </w:t>
                  </w:r>
                  <w:proofErr w:type="spellStart"/>
                  <w:r w:rsidRPr="00755802">
                    <w:rPr>
                      <w:rFonts w:eastAsia="Times New Roman" w:cs="Times New Roman"/>
                      <w:color w:val="1F1F1F"/>
                      <w:szCs w:val="24"/>
                    </w:rPr>
                    <w:t>Kasperczyk</w:t>
                  </w:r>
                  <w:proofErr w:type="spellEnd"/>
                  <w:r w:rsidRPr="00755802">
                    <w:rPr>
                      <w:rFonts w:eastAsia="Times New Roman" w:cs="Times New Roman"/>
                      <w:color w:val="1F1F1F"/>
                      <w:szCs w:val="24"/>
                    </w:rPr>
                    <w:t xml:space="preserve">, J. (2022). Docetaxel-loaded scaffolds manufactured by 3D printing as model, biodegradable prostatic stents. </w:t>
                  </w:r>
                  <w:r w:rsidRPr="00755802">
                    <w:rPr>
                      <w:rFonts w:eastAsia="Times New Roman" w:cs="Times New Roman"/>
                      <w:i/>
                      <w:iCs/>
                      <w:color w:val="1F1F1F"/>
                      <w:szCs w:val="24"/>
                      <w:bdr w:val="none" w:sz="0" w:space="0" w:color="auto" w:frame="1"/>
                    </w:rPr>
                    <w:t>Journal of Applied Polymer Science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139</w:t>
                  </w:r>
                  <w:r w:rsidRPr="00755802">
                    <w:rPr>
                      <w:rFonts w:eastAsia="Times New Roman" w:cs="Times New Roman"/>
                      <w:color w:val="1F1F1F"/>
                      <w:szCs w:val="24"/>
                    </w:rPr>
                    <w:t xml:space="preserve">(11), 52283. </w:t>
                  </w:r>
                  <w:hyperlink r:id="rId56" w:tgtFrame="_blank" w:history="1">
                    <w:r w:rsidRPr="00755802">
                      <w:rPr>
                        <w:rFonts w:eastAsia="Times New Roman" w:cs="Times New Roman"/>
                        <w:color w:val="0B57D0"/>
                        <w:szCs w:val="24"/>
                        <w:u w:val="single"/>
                        <w:bdr w:val="none" w:sz="0" w:space="0" w:color="auto" w:frame="1"/>
                      </w:rPr>
                      <w:t>https://doi.org/10.1002/app.52283</w:t>
                    </w:r>
                  </w:hyperlink>
                </w:p>
                <w:p w14:paraId="5F05EC95"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Kadry, M. O., &amp; Abdel-Megeed, R. M. (2022). CRISPR-Cas9 genome engineering as a novel prognostic tool for prostate cancer: Long non-coding RNAs as the predictive diagnostic index of targeted liposomal-coated compounds in prostate cancer therapy. </w:t>
                  </w:r>
                  <w:r w:rsidRPr="00755802">
                    <w:rPr>
                      <w:rFonts w:eastAsia="Times New Roman" w:cs="Times New Roman"/>
                      <w:i/>
                      <w:iCs/>
                      <w:color w:val="1F1F1F"/>
                      <w:szCs w:val="24"/>
                      <w:bdr w:val="none" w:sz="0" w:space="0" w:color="auto" w:frame="1"/>
                    </w:rPr>
                    <w:t>Research Square</w:t>
                  </w:r>
                  <w:r w:rsidRPr="00755802">
                    <w:rPr>
                      <w:rFonts w:eastAsia="Times New Roman" w:cs="Times New Roman"/>
                      <w:color w:val="1F1F1F"/>
                      <w:szCs w:val="24"/>
                    </w:rPr>
                    <w:t xml:space="preserve">. </w:t>
                  </w:r>
                  <w:hyperlink r:id="rId57" w:tgtFrame="_blank" w:history="1">
                    <w:r w:rsidRPr="00755802">
                      <w:rPr>
                        <w:rFonts w:eastAsia="Times New Roman" w:cs="Times New Roman"/>
                        <w:color w:val="0B57D0"/>
                        <w:szCs w:val="24"/>
                        <w:u w:val="single"/>
                        <w:bdr w:val="none" w:sz="0" w:space="0" w:color="auto" w:frame="1"/>
                      </w:rPr>
                      <w:t>https://doi.org/10.21203/rs.3.rs-1541397/v1</w:t>
                    </w:r>
                  </w:hyperlink>
                </w:p>
                <w:p w14:paraId="0151FA4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Kim, M. S., Kim, J. H., Min, B. H., Chun, H. J., Han, D. K., &amp; Lee, H. B. (2011). Polymeric scaffolds for regenerative medicine. </w:t>
                  </w:r>
                  <w:r w:rsidRPr="00755802">
                    <w:rPr>
                      <w:rFonts w:eastAsia="Times New Roman" w:cs="Times New Roman"/>
                      <w:i/>
                      <w:iCs/>
                      <w:color w:val="1F1F1F"/>
                      <w:szCs w:val="24"/>
                      <w:bdr w:val="none" w:sz="0" w:space="0" w:color="auto" w:frame="1"/>
                    </w:rPr>
                    <w:t>Tissue Engineering Part B: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17</w:t>
                  </w:r>
                  <w:r w:rsidRPr="00755802">
                    <w:rPr>
                      <w:rFonts w:eastAsia="Times New Roman" w:cs="Times New Roman"/>
                      <w:color w:val="1F1F1F"/>
                      <w:szCs w:val="24"/>
                    </w:rPr>
                    <w:t xml:space="preserve">(1), 23–52. </w:t>
                  </w:r>
                  <w:hyperlink r:id="rId58" w:tgtFrame="_blank" w:history="1">
                    <w:r w:rsidRPr="00755802">
                      <w:rPr>
                        <w:rFonts w:eastAsia="Times New Roman" w:cs="Times New Roman"/>
                        <w:color w:val="0B57D0"/>
                        <w:szCs w:val="24"/>
                        <w:u w:val="single"/>
                        <w:bdr w:val="none" w:sz="0" w:space="0" w:color="auto" w:frame="1"/>
                      </w:rPr>
                      <w:t>https://doi.org/10.1080/15583724.2010.537800</w:t>
                    </w:r>
                  </w:hyperlink>
                </w:p>
                <w:p w14:paraId="40FC449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Kirillova, A., Yeazel, T. R., </w:t>
                  </w:r>
                  <w:proofErr w:type="spellStart"/>
                  <w:r w:rsidRPr="00755802">
                    <w:rPr>
                      <w:rFonts w:eastAsia="Times New Roman" w:cs="Times New Roman"/>
                      <w:color w:val="1F1F1F"/>
                      <w:szCs w:val="24"/>
                    </w:rPr>
                    <w:t>Asheghali</w:t>
                  </w:r>
                  <w:proofErr w:type="spellEnd"/>
                  <w:r w:rsidRPr="00755802">
                    <w:rPr>
                      <w:rFonts w:eastAsia="Times New Roman" w:cs="Times New Roman"/>
                      <w:color w:val="1F1F1F"/>
                      <w:szCs w:val="24"/>
                    </w:rPr>
                    <w:t xml:space="preserve">, D., Petersen, S. R., Dort, S., Gall, K., &amp; Becker, M. L. (2021). Fabrication of biomedical scaffolds using biodegradable polymers. </w:t>
                  </w:r>
                  <w:r w:rsidRPr="00755802">
                    <w:rPr>
                      <w:rFonts w:eastAsia="Times New Roman" w:cs="Times New Roman"/>
                      <w:i/>
                      <w:iCs/>
                      <w:color w:val="1F1F1F"/>
                      <w:szCs w:val="24"/>
                      <w:bdr w:val="none" w:sz="0" w:space="0" w:color="auto" w:frame="1"/>
                    </w:rPr>
                    <w:t>Chemical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121</w:t>
                  </w:r>
                  <w:r w:rsidRPr="00755802">
                    <w:rPr>
                      <w:rFonts w:eastAsia="Times New Roman" w:cs="Times New Roman"/>
                      <w:color w:val="1F1F1F"/>
                      <w:szCs w:val="24"/>
                    </w:rPr>
                    <w:t xml:space="preserve">(18), 11238–11304. </w:t>
                  </w:r>
                  <w:hyperlink r:id="rId59" w:tgtFrame="_blank" w:history="1">
                    <w:r w:rsidRPr="00755802">
                      <w:rPr>
                        <w:rFonts w:eastAsia="Times New Roman" w:cs="Times New Roman"/>
                        <w:color w:val="0B57D0"/>
                        <w:szCs w:val="24"/>
                        <w:u w:val="single"/>
                        <w:bdr w:val="none" w:sz="0" w:space="0" w:color="auto" w:frame="1"/>
                      </w:rPr>
                      <w:t>https://doi.org/10.1021/acs.chemrev.0c01200</w:t>
                    </w:r>
                  </w:hyperlink>
                </w:p>
                <w:p w14:paraId="28DF84C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Kretlow, J. D., Klouda, L., &amp; Mikos, A. G. (2007). Injectable matrices and scaffolds for drug delivery in tissue engineering. </w:t>
                  </w:r>
                  <w:r w:rsidRPr="00755802">
                    <w:rPr>
                      <w:rFonts w:eastAsia="Times New Roman" w:cs="Times New Roman"/>
                      <w:i/>
                      <w:iCs/>
                      <w:color w:val="1F1F1F"/>
                      <w:szCs w:val="24"/>
                      <w:bdr w:val="none" w:sz="0" w:space="0" w:color="auto" w:frame="1"/>
                    </w:rPr>
                    <w:t>Advanced Drug Delivery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59</w:t>
                  </w:r>
                  <w:r w:rsidRPr="00755802">
                    <w:rPr>
                      <w:rFonts w:eastAsia="Times New Roman" w:cs="Times New Roman"/>
                      <w:color w:val="1F1F1F"/>
                      <w:szCs w:val="24"/>
                    </w:rPr>
                    <w:t xml:space="preserve">(4–5), 263–273. </w:t>
                  </w:r>
                  <w:hyperlink r:id="rId60" w:tgtFrame="_blank" w:history="1">
                    <w:r w:rsidRPr="00755802">
                      <w:rPr>
                        <w:rFonts w:eastAsia="Times New Roman" w:cs="Times New Roman"/>
                        <w:color w:val="0B57D0"/>
                        <w:szCs w:val="24"/>
                        <w:u w:val="single"/>
                        <w:bdr w:val="none" w:sz="0" w:space="0" w:color="auto" w:frame="1"/>
                      </w:rPr>
                      <w:t>https://doi.org/10.1016/j.addr.2007.03.013</w:t>
                    </w:r>
                  </w:hyperlink>
                </w:p>
                <w:p w14:paraId="21F4E51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Kretlow, J. D., Young, S., Klouda, L., Wong, M., &amp; Mikos, A. G. (2009). Injectable biomaterials for regenerating complex craniofacial tissues. </w:t>
                  </w:r>
                  <w:r w:rsidRPr="00755802">
                    <w:rPr>
                      <w:rFonts w:eastAsia="Times New Roman" w:cs="Times New Roman"/>
                      <w:i/>
                      <w:iCs/>
                      <w:color w:val="1F1F1F"/>
                      <w:szCs w:val="24"/>
                      <w:bdr w:val="none" w:sz="0" w:space="0" w:color="auto" w:frame="1"/>
                    </w:rPr>
                    <w:t>Advanced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21</w:t>
                  </w:r>
                  <w:r w:rsidRPr="00755802">
                    <w:rPr>
                      <w:rFonts w:eastAsia="Times New Roman" w:cs="Times New Roman"/>
                      <w:color w:val="1F1F1F"/>
                      <w:szCs w:val="24"/>
                    </w:rPr>
                    <w:t xml:space="preserve">(32–33), 3368–3393. </w:t>
                  </w:r>
                  <w:hyperlink r:id="rId61" w:tgtFrame="_blank" w:history="1">
                    <w:r w:rsidRPr="00755802">
                      <w:rPr>
                        <w:rFonts w:eastAsia="Times New Roman" w:cs="Times New Roman"/>
                        <w:color w:val="0B57D0"/>
                        <w:szCs w:val="24"/>
                        <w:u w:val="single"/>
                        <w:bdr w:val="none" w:sz="0" w:space="0" w:color="auto" w:frame="1"/>
                      </w:rPr>
                      <w:t>https://doi.org/10.1002/adma.200802009</w:t>
                    </w:r>
                  </w:hyperlink>
                </w:p>
                <w:p w14:paraId="4B064CD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Li, J., Luo, Y., Li, B., Xia, Y., Wang, H., &amp; Fu, C. (2020). Implantable and injectable biomaterial scaffolds for cancer immunotherapy. </w:t>
                  </w:r>
                  <w:r w:rsidRPr="00755802">
                    <w:rPr>
                      <w:rFonts w:eastAsia="Times New Roman" w:cs="Times New Roman"/>
                      <w:i/>
                      <w:iCs/>
                      <w:color w:val="1F1F1F"/>
                      <w:szCs w:val="24"/>
                      <w:bdr w:val="none" w:sz="0" w:space="0" w:color="auto" w:frame="1"/>
                    </w:rPr>
                    <w:t>Frontiers in Bioengineering and Biotechnology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w:t>
                  </w:r>
                  <w:r w:rsidRPr="00755802">
                    <w:rPr>
                      <w:rFonts w:eastAsia="Times New Roman" w:cs="Times New Roman"/>
                      <w:color w:val="1F1F1F"/>
                      <w:szCs w:val="24"/>
                    </w:rPr>
                    <w:t xml:space="preserve">, 612950. </w:t>
                  </w:r>
                  <w:hyperlink r:id="rId62" w:tgtFrame="_blank" w:history="1">
                    <w:r w:rsidRPr="00755802">
                      <w:rPr>
                        <w:rFonts w:eastAsia="Times New Roman" w:cs="Times New Roman"/>
                        <w:color w:val="0B57D0"/>
                        <w:szCs w:val="24"/>
                        <w:u w:val="single"/>
                        <w:bdr w:val="none" w:sz="0" w:space="0" w:color="auto" w:frame="1"/>
                      </w:rPr>
                      <w:t>https://doi.org/10.3389/fbioe.2020.612950</w:t>
                    </w:r>
                  </w:hyperlink>
                </w:p>
                <w:p w14:paraId="4BBDF27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Litwin, M. S., &amp; Tan, H.-J. (2017). The diagnosis and treatment of prostate cancer: A review. </w:t>
                  </w:r>
                  <w:r w:rsidRPr="00755802">
                    <w:rPr>
                      <w:rFonts w:eastAsia="Times New Roman" w:cs="Times New Roman"/>
                      <w:i/>
                      <w:iCs/>
                      <w:color w:val="1F1F1F"/>
                      <w:szCs w:val="24"/>
                      <w:bdr w:val="none" w:sz="0" w:space="0" w:color="auto" w:frame="1"/>
                    </w:rPr>
                    <w:t>Journal of the American Medical Association</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317</w:t>
                  </w:r>
                  <w:r w:rsidRPr="00755802">
                    <w:rPr>
                      <w:rFonts w:eastAsia="Times New Roman" w:cs="Times New Roman"/>
                      <w:color w:val="1F1F1F"/>
                      <w:szCs w:val="24"/>
                    </w:rPr>
                    <w:t xml:space="preserve">(24), 2532–2542. </w:t>
                  </w:r>
                  <w:hyperlink r:id="rId63" w:tgtFrame="_blank" w:history="1">
                    <w:r w:rsidRPr="00755802">
                      <w:rPr>
                        <w:rFonts w:eastAsia="Times New Roman" w:cs="Times New Roman"/>
                        <w:color w:val="0B57D0"/>
                        <w:szCs w:val="24"/>
                        <w:u w:val="single"/>
                        <w:bdr w:val="none" w:sz="0" w:space="0" w:color="auto" w:frame="1"/>
                      </w:rPr>
                      <w:t>https://doi.org/10.1001/jama.2017.7248</w:t>
                    </w:r>
                  </w:hyperlink>
                </w:p>
                <w:p w14:paraId="510BF22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Maraldo, D., Garcia, F. U., &amp; Mutharasan, R. (2007). Method for quantification of a prostate cancer biomarker in urine without sample preparation. </w:t>
                  </w:r>
                  <w:r w:rsidRPr="00755802">
                    <w:rPr>
                      <w:rFonts w:eastAsia="Times New Roman" w:cs="Times New Roman"/>
                      <w:i/>
                      <w:iCs/>
                      <w:color w:val="1F1F1F"/>
                      <w:szCs w:val="24"/>
                      <w:bdr w:val="none" w:sz="0" w:space="0" w:color="auto" w:frame="1"/>
                    </w:rPr>
                    <w:t>Analytical 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79</w:t>
                  </w:r>
                  <w:r w:rsidRPr="00755802">
                    <w:rPr>
                      <w:rFonts w:eastAsia="Times New Roman" w:cs="Times New Roman"/>
                      <w:color w:val="1F1F1F"/>
                      <w:szCs w:val="24"/>
                    </w:rPr>
                    <w:t xml:space="preserve">(20), 7683–7690. </w:t>
                  </w:r>
                  <w:hyperlink r:id="rId64" w:tgtFrame="_blank" w:history="1">
                    <w:r w:rsidRPr="00755802">
                      <w:rPr>
                        <w:rFonts w:eastAsia="Times New Roman" w:cs="Times New Roman"/>
                        <w:color w:val="0B57D0"/>
                        <w:szCs w:val="24"/>
                        <w:u w:val="single"/>
                        <w:bdr w:val="none" w:sz="0" w:space="0" w:color="auto" w:frame="1"/>
                      </w:rPr>
                      <w:t>https://doi.org/10.1021/ac070895z</w:t>
                    </w:r>
                  </w:hyperlink>
                </w:p>
                <w:p w14:paraId="5255DF7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Martins, C., Sousa, F., Araújo, F., &amp; Sarmento, B. (2018). Functionalizing PLGA and PLGA derivatives for drug delivery and tissue regeneration applications. </w:t>
                  </w:r>
                  <w:r w:rsidRPr="00755802">
                    <w:rPr>
                      <w:rFonts w:eastAsia="Times New Roman" w:cs="Times New Roman"/>
                      <w:i/>
                      <w:iCs/>
                      <w:color w:val="1F1F1F"/>
                      <w:szCs w:val="24"/>
                      <w:bdr w:val="none" w:sz="0" w:space="0" w:color="auto" w:frame="1"/>
                    </w:rPr>
                    <w:t>Advanced Healthcare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w:t>
                  </w:r>
                  <w:r w:rsidRPr="00755802">
                    <w:rPr>
                      <w:rFonts w:eastAsia="Times New Roman" w:cs="Times New Roman"/>
                      <w:color w:val="1F1F1F"/>
                      <w:szCs w:val="24"/>
                    </w:rPr>
                    <w:t xml:space="preserve">(1), 1701035. </w:t>
                  </w:r>
                  <w:hyperlink r:id="rId65" w:tgtFrame="_blank" w:history="1">
                    <w:r w:rsidRPr="00755802">
                      <w:rPr>
                        <w:rFonts w:eastAsia="Times New Roman" w:cs="Times New Roman"/>
                        <w:color w:val="0B57D0"/>
                        <w:szCs w:val="24"/>
                        <w:u w:val="single"/>
                        <w:bdr w:val="none" w:sz="0" w:space="0" w:color="auto" w:frame="1"/>
                      </w:rPr>
                      <w:t>https://doi.org/10.1002/adhm.201701035</w:t>
                    </w:r>
                  </w:hyperlink>
                </w:p>
                <w:p w14:paraId="4369D60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McNeeley, K. M., Lyon, J. G., &amp; Bellamkonda, R. (2014). Biomaterial strategies to modulate cancer. In J. Ramakrishna (Ed.), </w:t>
                  </w:r>
                  <w:r w:rsidRPr="00755802">
                    <w:rPr>
                      <w:rFonts w:eastAsia="Times New Roman" w:cs="Times New Roman"/>
                      <w:i/>
                      <w:iCs/>
                      <w:color w:val="1F1F1F"/>
                      <w:szCs w:val="24"/>
                      <w:bdr w:val="none" w:sz="0" w:space="0" w:color="auto" w:frame="1"/>
                    </w:rPr>
                    <w:t>Biomaterials and Their Applications</w:t>
                  </w:r>
                  <w:r w:rsidRPr="00755802">
                    <w:rPr>
                      <w:rFonts w:eastAsia="Times New Roman" w:cs="Times New Roman"/>
                      <w:color w:val="1F1F1F"/>
                      <w:szCs w:val="24"/>
                    </w:rPr>
                    <w:t xml:space="preserve"> (pp. 417–440). Elsevier. </w:t>
                  </w:r>
                  <w:hyperlink r:id="rId66" w:tgtFrame="_blank" w:history="1">
                    <w:r w:rsidRPr="00755802">
                      <w:rPr>
                        <w:rFonts w:eastAsia="Times New Roman" w:cs="Times New Roman"/>
                        <w:color w:val="0B57D0"/>
                        <w:szCs w:val="24"/>
                        <w:u w:val="single"/>
                        <w:bdr w:val="none" w:sz="0" w:space="0" w:color="auto" w:frame="1"/>
                      </w:rPr>
                      <w:t>https://doi.org/10.1533/9780857096760.4.417</w:t>
                    </w:r>
                  </w:hyperlink>
                </w:p>
                <w:p w14:paraId="4E43CA0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Michaelson, M. D., Cotter, S. E., Gargollo, P. C., Zietman, A. L., Dahl, D. M., &amp; Smith, M. R. (2008). Management of complications of prostate cancer treatment. </w:t>
                  </w:r>
                  <w:r w:rsidRPr="00755802">
                    <w:rPr>
                      <w:rFonts w:eastAsia="Times New Roman" w:cs="Times New Roman"/>
                      <w:i/>
                      <w:iCs/>
                      <w:color w:val="1F1F1F"/>
                      <w:szCs w:val="24"/>
                      <w:bdr w:val="none" w:sz="0" w:space="0" w:color="auto" w:frame="1"/>
                    </w:rPr>
                    <w:t>CA: A Cancer Journal for Clinicians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58</w:t>
                  </w:r>
                  <w:r w:rsidRPr="00755802">
                    <w:rPr>
                      <w:rFonts w:eastAsia="Times New Roman" w:cs="Times New Roman"/>
                      <w:color w:val="1F1F1F"/>
                      <w:szCs w:val="24"/>
                    </w:rPr>
                    <w:t xml:space="preserve">(4), 196–213. </w:t>
                  </w:r>
                  <w:hyperlink r:id="rId67" w:tgtFrame="_blank" w:history="1">
                    <w:r w:rsidRPr="00755802">
                      <w:rPr>
                        <w:rFonts w:eastAsia="Times New Roman" w:cs="Times New Roman"/>
                        <w:color w:val="0B57D0"/>
                        <w:szCs w:val="24"/>
                        <w:u w:val="single"/>
                        <w:bdr w:val="none" w:sz="0" w:space="0" w:color="auto" w:frame="1"/>
                      </w:rPr>
                      <w:t>https://doi.org/10.3322/CA.2008.0002</w:t>
                    </w:r>
                  </w:hyperlink>
                </w:p>
                <w:p w14:paraId="19AACE2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Mironov, A. V., Grigoryev, A. M., Krotova, L. I., </w:t>
                  </w:r>
                  <w:proofErr w:type="spellStart"/>
                  <w:r w:rsidRPr="00755802">
                    <w:rPr>
                      <w:rFonts w:eastAsia="Times New Roman" w:cs="Times New Roman"/>
                      <w:color w:val="1F1F1F"/>
                      <w:szCs w:val="24"/>
                    </w:rPr>
                    <w:t>Skaletsky</w:t>
                  </w:r>
                  <w:proofErr w:type="spellEnd"/>
                  <w:r w:rsidRPr="00755802">
                    <w:rPr>
                      <w:rFonts w:eastAsia="Times New Roman" w:cs="Times New Roman"/>
                      <w:color w:val="1F1F1F"/>
                      <w:szCs w:val="24"/>
                    </w:rPr>
                    <w:t xml:space="preserve">, N. N., Popov, V. K., &amp; </w:t>
                  </w:r>
                  <w:proofErr w:type="spellStart"/>
                  <w:r w:rsidRPr="00755802">
                    <w:rPr>
                      <w:rFonts w:eastAsia="Times New Roman" w:cs="Times New Roman"/>
                      <w:color w:val="1F1F1F"/>
                      <w:szCs w:val="24"/>
                    </w:rPr>
                    <w:t>Sevastianov</w:t>
                  </w:r>
                  <w:proofErr w:type="spellEnd"/>
                  <w:r w:rsidRPr="00755802">
                    <w:rPr>
                      <w:rFonts w:eastAsia="Times New Roman" w:cs="Times New Roman"/>
                      <w:color w:val="1F1F1F"/>
                      <w:szCs w:val="24"/>
                    </w:rPr>
                    <w:t xml:space="preserve">, V. I. (2017). 3D printing of PLGA scaffolds for tissue engineering. </w:t>
                  </w:r>
                  <w:r w:rsidRPr="00755802">
                    <w:rPr>
                      <w:rFonts w:eastAsia="Times New Roman" w:cs="Times New Roman"/>
                      <w:i/>
                      <w:iCs/>
                      <w:color w:val="1F1F1F"/>
                      <w:szCs w:val="24"/>
                      <w:bdr w:val="none" w:sz="0" w:space="0" w:color="auto" w:frame="1"/>
                    </w:rPr>
                    <w:t>Journal of Biomedical Materials Research Part A</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105</w:t>
                  </w:r>
                  <w:r w:rsidRPr="00755802">
                    <w:rPr>
                      <w:rFonts w:eastAsia="Times New Roman" w:cs="Times New Roman"/>
                      <w:color w:val="1F1F1F"/>
                      <w:szCs w:val="24"/>
                    </w:rPr>
                    <w:t xml:space="preserve">(1), 104–114. </w:t>
                  </w:r>
                  <w:hyperlink r:id="rId68" w:tgtFrame="_blank" w:history="1">
                    <w:r w:rsidRPr="00755802">
                      <w:rPr>
                        <w:rFonts w:eastAsia="Times New Roman" w:cs="Times New Roman"/>
                        <w:color w:val="0B57D0"/>
                        <w:szCs w:val="24"/>
                        <w:u w:val="single"/>
                        <w:bdr w:val="none" w:sz="0" w:space="0" w:color="auto" w:frame="1"/>
                      </w:rPr>
                      <w:t>https://doi.org/10.1002/jbm.a.35871</w:t>
                    </w:r>
                  </w:hyperlink>
                </w:p>
                <w:p w14:paraId="48B2A26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Motealleh</w:t>
                  </w:r>
                  <w:proofErr w:type="spellEnd"/>
                  <w:r w:rsidRPr="00755802">
                    <w:rPr>
                      <w:rFonts w:eastAsia="Times New Roman" w:cs="Times New Roman"/>
                      <w:color w:val="1F1F1F"/>
                      <w:szCs w:val="24"/>
                    </w:rPr>
                    <w:t xml:space="preserve">, A., Dorri, P., &amp; Kehr, N. S. (2020). Injectable polymer/nanomaterial composites for the fabrication of three-dimensional biomaterial scaffolds. </w:t>
                  </w:r>
                  <w:r w:rsidRPr="00755802">
                    <w:rPr>
                      <w:rFonts w:eastAsia="Times New Roman" w:cs="Times New Roman"/>
                      <w:i/>
                      <w:iCs/>
                      <w:color w:val="1F1F1F"/>
                      <w:szCs w:val="24"/>
                      <w:bdr w:val="none" w:sz="0" w:space="0" w:color="auto" w:frame="1"/>
                    </w:rPr>
                    <w:t>Biomedical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(4), 045021. </w:t>
                  </w:r>
                  <w:hyperlink r:id="rId69" w:tgtFrame="_blank" w:history="1">
                    <w:r w:rsidRPr="00755802">
                      <w:rPr>
                        <w:rFonts w:eastAsia="Times New Roman" w:cs="Times New Roman"/>
                        <w:color w:val="0B57D0"/>
                        <w:szCs w:val="24"/>
                        <w:u w:val="single"/>
                        <w:bdr w:val="none" w:sz="0" w:space="0" w:color="auto" w:frame="1"/>
                      </w:rPr>
                      <w:t>https://doi.org/10.1088/1748-605X/ab82ea</w:t>
                    </w:r>
                  </w:hyperlink>
                </w:p>
                <w:p w14:paraId="080E12A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Nevedomskaya</w:t>
                  </w:r>
                  <w:proofErr w:type="spellEnd"/>
                  <w:r w:rsidRPr="00755802">
                    <w:rPr>
                      <w:rFonts w:eastAsia="Times New Roman" w:cs="Times New Roman"/>
                      <w:color w:val="1F1F1F"/>
                      <w:szCs w:val="24"/>
                    </w:rPr>
                    <w:t xml:space="preserve">, E., Baumgart, S. J., &amp; </w:t>
                  </w:r>
                  <w:proofErr w:type="spellStart"/>
                  <w:r w:rsidRPr="00755802">
                    <w:rPr>
                      <w:rFonts w:eastAsia="Times New Roman" w:cs="Times New Roman"/>
                      <w:color w:val="1F1F1F"/>
                      <w:szCs w:val="24"/>
                    </w:rPr>
                    <w:t>Haendler</w:t>
                  </w:r>
                  <w:proofErr w:type="spellEnd"/>
                  <w:r w:rsidRPr="00755802">
                    <w:rPr>
                      <w:rFonts w:eastAsia="Times New Roman" w:cs="Times New Roman"/>
                      <w:color w:val="1F1F1F"/>
                      <w:szCs w:val="24"/>
                    </w:rPr>
                    <w:t xml:space="preserve">, B. (2018). Recent advances in prostate cancer treatment and drug discovery.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19</w:t>
                  </w:r>
                  <w:r w:rsidRPr="00755802">
                    <w:rPr>
                      <w:rFonts w:eastAsia="Times New Roman" w:cs="Times New Roman"/>
                      <w:color w:val="1F1F1F"/>
                      <w:szCs w:val="24"/>
                    </w:rPr>
                    <w:t xml:space="preserve">(5), 1359. </w:t>
                  </w:r>
                  <w:hyperlink r:id="rId70" w:tgtFrame="_blank" w:history="1">
                    <w:r w:rsidRPr="00755802">
                      <w:rPr>
                        <w:rFonts w:eastAsia="Times New Roman" w:cs="Times New Roman"/>
                        <w:color w:val="0B57D0"/>
                        <w:szCs w:val="24"/>
                        <w:u w:val="single"/>
                        <w:bdr w:val="none" w:sz="0" w:space="0" w:color="auto" w:frame="1"/>
                      </w:rPr>
                      <w:t>https://doi.org/10.3390/ijms19051359</w:t>
                    </w:r>
                  </w:hyperlink>
                </w:p>
                <w:p w14:paraId="1EEE6F7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Patel, A. A., Shafie, A., Mohamed, A. H., Ali, S. A.-J., Tayeb, F. J., </w:t>
                  </w:r>
                  <w:proofErr w:type="spellStart"/>
                  <w:r w:rsidRPr="00755802">
                    <w:rPr>
                      <w:rFonts w:eastAsia="Times New Roman" w:cs="Times New Roman"/>
                      <w:color w:val="1F1F1F"/>
                      <w:szCs w:val="24"/>
                    </w:rPr>
                    <w:t>Waggiallah</w:t>
                  </w:r>
                  <w:proofErr w:type="spellEnd"/>
                  <w:r w:rsidRPr="00755802">
                    <w:rPr>
                      <w:rFonts w:eastAsia="Times New Roman" w:cs="Times New Roman"/>
                      <w:color w:val="1F1F1F"/>
                      <w:szCs w:val="24"/>
                    </w:rPr>
                    <w:t xml:space="preserve">, H. A., Ahmad, I., </w:t>
                  </w:r>
                  <w:proofErr w:type="spellStart"/>
                  <w:r w:rsidRPr="00755802">
                    <w:rPr>
                      <w:rFonts w:eastAsia="Times New Roman" w:cs="Times New Roman"/>
                      <w:color w:val="1F1F1F"/>
                      <w:szCs w:val="24"/>
                    </w:rPr>
                    <w:t>Sheweita</w:t>
                  </w:r>
                  <w:proofErr w:type="spellEnd"/>
                  <w:r w:rsidRPr="00755802">
                    <w:rPr>
                      <w:rFonts w:eastAsia="Times New Roman" w:cs="Times New Roman"/>
                      <w:color w:val="1F1F1F"/>
                      <w:szCs w:val="24"/>
                    </w:rPr>
                    <w:t xml:space="preserve">, S. A., Muzammil, K., AlShahrani, A. M., &amp; Al Abdulmonem, W. (2025). The promise of mesenchymal stromal/stem cells in erectile dysfunction treatment: A review of current insights </w:t>
                  </w:r>
                  <w:r w:rsidRPr="00755802">
                    <w:rPr>
                      <w:rFonts w:eastAsia="Times New Roman" w:cs="Times New Roman"/>
                      <w:color w:val="1F1F1F"/>
                      <w:szCs w:val="24"/>
                    </w:rPr>
                    <w:lastRenderedPageBreak/>
                    <w:t xml:space="preserve">and future directions. </w:t>
                  </w:r>
                  <w:r w:rsidRPr="00755802">
                    <w:rPr>
                      <w:rFonts w:eastAsia="Times New Roman" w:cs="Times New Roman"/>
                      <w:i/>
                      <w:iCs/>
                      <w:color w:val="1F1F1F"/>
                      <w:szCs w:val="24"/>
                      <w:bdr w:val="none" w:sz="0" w:space="0" w:color="auto" w:frame="1"/>
                    </w:rPr>
                    <w:t>Stem Cell Research &amp; Therapy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16</w:t>
                  </w:r>
                  <w:r w:rsidRPr="00755802">
                    <w:rPr>
                      <w:rFonts w:eastAsia="Times New Roman" w:cs="Times New Roman"/>
                      <w:color w:val="1F1F1F"/>
                      <w:szCs w:val="24"/>
                    </w:rPr>
                    <w:t xml:space="preserve">, 98. </w:t>
                  </w:r>
                  <w:hyperlink r:id="rId71" w:tgtFrame="_blank" w:history="1">
                    <w:r w:rsidRPr="00755802">
                      <w:rPr>
                        <w:rFonts w:eastAsia="Times New Roman" w:cs="Times New Roman"/>
                        <w:color w:val="0B57D0"/>
                        <w:szCs w:val="24"/>
                        <w:u w:val="single"/>
                        <w:bdr w:val="none" w:sz="0" w:space="0" w:color="auto" w:frame="1"/>
                      </w:rPr>
                      <w:t>https://doi.org/10.1186/s13287-025-04221-9</w:t>
                    </w:r>
                  </w:hyperlink>
                </w:p>
                <w:p w14:paraId="3C36865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Patrick, C. W., Jr., Chauvin, P. B., Hobley, J., &amp; Reece, G. P. (1999). Preadipocyte seeded PLGA scaffolds for adipose tissue engineering. </w:t>
                  </w:r>
                  <w:r w:rsidRPr="00755802">
                    <w:rPr>
                      <w:rFonts w:eastAsia="Times New Roman" w:cs="Times New Roman"/>
                      <w:i/>
                      <w:iCs/>
                      <w:color w:val="1F1F1F"/>
                      <w:szCs w:val="24"/>
                      <w:bdr w:val="none" w:sz="0" w:space="0" w:color="auto" w:frame="1"/>
                    </w:rPr>
                    <w:t>Tissue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w:t>
                  </w:r>
                  <w:r w:rsidRPr="00755802">
                    <w:rPr>
                      <w:rFonts w:eastAsia="Times New Roman" w:cs="Times New Roman"/>
                      <w:color w:val="1F1F1F"/>
                      <w:szCs w:val="24"/>
                    </w:rPr>
                    <w:t xml:space="preserve">(2), 139–151. </w:t>
                  </w:r>
                  <w:hyperlink r:id="rId72" w:tgtFrame="_blank" w:history="1">
                    <w:r w:rsidRPr="00755802">
                      <w:rPr>
                        <w:rFonts w:eastAsia="Times New Roman" w:cs="Times New Roman"/>
                        <w:color w:val="0B57D0"/>
                        <w:szCs w:val="24"/>
                        <w:u w:val="single"/>
                        <w:bdr w:val="none" w:sz="0" w:space="0" w:color="auto" w:frame="1"/>
                      </w:rPr>
                      <w:t>https://doi.org/10.1089/ten.1999.5.139</w:t>
                    </w:r>
                  </w:hyperlink>
                </w:p>
                <w:p w14:paraId="12CD73B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Pattison, M. A., Wurster, S., Webster, T. J., &amp; Haberstroh, K. M. (2005). Three-dimensional, nano-structured PLGA scaffolds for bladder tissue replacement applications.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26</w:t>
                  </w:r>
                  <w:r w:rsidRPr="00755802">
                    <w:rPr>
                      <w:rFonts w:eastAsia="Times New Roman" w:cs="Times New Roman"/>
                      <w:color w:val="1F1F1F"/>
                      <w:szCs w:val="24"/>
                    </w:rPr>
                    <w:t xml:space="preserve">(15), 2491–2500. </w:t>
                  </w:r>
                  <w:hyperlink r:id="rId73" w:tgtFrame="_blank" w:history="1">
                    <w:r w:rsidRPr="00755802">
                      <w:rPr>
                        <w:rFonts w:eastAsia="Times New Roman" w:cs="Times New Roman"/>
                        <w:color w:val="0B57D0"/>
                        <w:szCs w:val="24"/>
                        <w:u w:val="single"/>
                        <w:bdr w:val="none" w:sz="0" w:space="0" w:color="auto" w:frame="1"/>
                      </w:rPr>
                      <w:t>https://doi.org/10.1016/j.biomaterials.2004.07.011</w:t>
                    </w:r>
                  </w:hyperlink>
                </w:p>
                <w:p w14:paraId="6EDD8D85"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Rad, F., Davaran, S., Babazadeh, M., Akbarzadeh, A., &amp; </w:t>
                  </w:r>
                  <w:proofErr w:type="spellStart"/>
                  <w:r w:rsidRPr="00755802">
                    <w:rPr>
                      <w:rFonts w:eastAsia="Times New Roman" w:cs="Times New Roman"/>
                      <w:color w:val="1F1F1F"/>
                      <w:szCs w:val="24"/>
                    </w:rPr>
                    <w:t>Pazoki-Toroudi</w:t>
                  </w:r>
                  <w:proofErr w:type="spellEnd"/>
                  <w:r w:rsidRPr="00755802">
                    <w:rPr>
                      <w:rFonts w:eastAsia="Times New Roman" w:cs="Times New Roman"/>
                      <w:color w:val="1F1F1F"/>
                      <w:szCs w:val="24"/>
                    </w:rPr>
                    <w:t xml:space="preserve">, H. (2022). Biodegradable </w:t>
                  </w:r>
                  <w:proofErr w:type="spellStart"/>
                  <w:r w:rsidRPr="00755802">
                    <w:rPr>
                      <w:rFonts w:eastAsia="Times New Roman" w:cs="Times New Roman"/>
                      <w:color w:val="1F1F1F"/>
                      <w:szCs w:val="24"/>
                    </w:rPr>
                    <w:t>electrospun</w:t>
                  </w:r>
                  <w:proofErr w:type="spellEnd"/>
                  <w:r w:rsidRPr="00755802">
                    <w:rPr>
                      <w:rFonts w:eastAsia="Times New Roman" w:cs="Times New Roman"/>
                      <w:color w:val="1F1F1F"/>
                      <w:szCs w:val="24"/>
                    </w:rPr>
                    <w:t xml:space="preserve"> polyester-urethane nanofiber scaffold: Codelivery investigation of doxorubicin-ezetimibe and its synergistic effect on prostate cancer cell line. </w:t>
                  </w:r>
                  <w:r w:rsidRPr="00755802">
                    <w:rPr>
                      <w:rFonts w:eastAsia="Times New Roman" w:cs="Times New Roman"/>
                      <w:i/>
                      <w:iCs/>
                      <w:color w:val="1F1F1F"/>
                      <w:szCs w:val="24"/>
                      <w:bdr w:val="none" w:sz="0" w:space="0" w:color="auto" w:frame="1"/>
                    </w:rPr>
                    <w:t>Journal of Nanomaterials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2022</w:t>
                  </w:r>
                  <w:r w:rsidRPr="00755802">
                    <w:rPr>
                      <w:rFonts w:eastAsia="Times New Roman" w:cs="Times New Roman"/>
                      <w:color w:val="1F1F1F"/>
                      <w:szCs w:val="24"/>
                    </w:rPr>
                    <w:t xml:space="preserve">, 8818139. </w:t>
                  </w:r>
                  <w:hyperlink r:id="rId74" w:tgtFrame="_blank" w:history="1">
                    <w:r w:rsidRPr="00755802">
                      <w:rPr>
                        <w:rFonts w:eastAsia="Times New Roman" w:cs="Times New Roman"/>
                        <w:color w:val="0B57D0"/>
                        <w:szCs w:val="24"/>
                        <w:u w:val="single"/>
                        <w:bdr w:val="none" w:sz="0" w:space="0" w:color="auto" w:frame="1"/>
                      </w:rPr>
                      <w:t>https://doi.org/10.1155/2022/8818139</w:t>
                    </w:r>
                  </w:hyperlink>
                </w:p>
                <w:p w14:paraId="448B172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Ratheesh, G., Venugopal, J. R., </w:t>
                  </w:r>
                  <w:proofErr w:type="spellStart"/>
                  <w:r w:rsidRPr="00755802">
                    <w:rPr>
                      <w:rFonts w:eastAsia="Times New Roman" w:cs="Times New Roman"/>
                      <w:color w:val="1F1F1F"/>
                      <w:szCs w:val="24"/>
                    </w:rPr>
                    <w:t>Chinappan</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Ezhilarasu</w:t>
                  </w:r>
                  <w:proofErr w:type="spellEnd"/>
                  <w:r w:rsidRPr="00755802">
                    <w:rPr>
                      <w:rFonts w:eastAsia="Times New Roman" w:cs="Times New Roman"/>
                      <w:color w:val="1F1F1F"/>
                      <w:szCs w:val="24"/>
                    </w:rPr>
                    <w:t xml:space="preserve">, H., Sadiq, A., &amp; Ramakrishna, S. (2017). 3D fabrication of polymeric scaffolds for regenerative therapy. </w:t>
                  </w:r>
                  <w:r w:rsidRPr="00755802">
                    <w:rPr>
                      <w:rFonts w:eastAsia="Times New Roman" w:cs="Times New Roman"/>
                      <w:i/>
                      <w:iCs/>
                      <w:color w:val="1F1F1F"/>
                      <w:szCs w:val="24"/>
                      <w:bdr w:val="none" w:sz="0" w:space="0" w:color="auto" w:frame="1"/>
                    </w:rPr>
                    <w:t>ACS Biomaterials Science &amp;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(7), 1175–1194. </w:t>
                  </w:r>
                  <w:hyperlink r:id="rId75" w:tgtFrame="_blank" w:history="1">
                    <w:r w:rsidRPr="00755802">
                      <w:rPr>
                        <w:rFonts w:eastAsia="Times New Roman" w:cs="Times New Roman"/>
                        <w:color w:val="0B57D0"/>
                        <w:szCs w:val="24"/>
                        <w:u w:val="single"/>
                        <w:bdr w:val="none" w:sz="0" w:space="0" w:color="auto" w:frame="1"/>
                      </w:rPr>
                      <w:t>https://doi.org/10.1021/acsbiomaterials.6b00370</w:t>
                    </w:r>
                  </w:hyperlink>
                </w:p>
                <w:p w14:paraId="2705474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Raucci, M. G., D’Amora, U., Ronca, A., &amp; Ambrosio, L. (2020). Injectable functional biomaterials for minimally invasive surgery. </w:t>
                  </w:r>
                  <w:r w:rsidRPr="00755802">
                    <w:rPr>
                      <w:rFonts w:eastAsia="Times New Roman" w:cs="Times New Roman"/>
                      <w:i/>
                      <w:iCs/>
                      <w:color w:val="1F1F1F"/>
                      <w:szCs w:val="24"/>
                      <w:bdr w:val="none" w:sz="0" w:space="0" w:color="auto" w:frame="1"/>
                    </w:rPr>
                    <w:t>Advanced Healthcare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9</w:t>
                  </w:r>
                  <w:r w:rsidRPr="00755802">
                    <w:rPr>
                      <w:rFonts w:eastAsia="Times New Roman" w:cs="Times New Roman"/>
                      <w:color w:val="1F1F1F"/>
                      <w:szCs w:val="24"/>
                    </w:rPr>
                    <w:t xml:space="preserve">(15), 2000349. </w:t>
                  </w:r>
                  <w:hyperlink r:id="rId76" w:tgtFrame="_blank" w:history="1">
                    <w:r w:rsidRPr="00755802">
                      <w:rPr>
                        <w:rFonts w:eastAsia="Times New Roman" w:cs="Times New Roman"/>
                        <w:color w:val="0B57D0"/>
                        <w:szCs w:val="24"/>
                        <w:u w:val="single"/>
                        <w:bdr w:val="none" w:sz="0" w:space="0" w:color="auto" w:frame="1"/>
                      </w:rPr>
                      <w:t>https://doi.org/10.1002/adhm.202000349</w:t>
                    </w:r>
                  </w:hyperlink>
                </w:p>
                <w:p w14:paraId="108B790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Rubin, M. A., Maher, C. A., &amp; Chinnaiyan, A. M. (2011). Common gene rearrangements in prostate cancer. </w:t>
                  </w:r>
                  <w:r w:rsidRPr="00755802">
                    <w:rPr>
                      <w:rFonts w:eastAsia="Times New Roman" w:cs="Times New Roman"/>
                      <w:i/>
                      <w:iCs/>
                      <w:color w:val="1F1F1F"/>
                      <w:szCs w:val="24"/>
                      <w:bdr w:val="none" w:sz="0" w:space="0" w:color="auto" w:frame="1"/>
                    </w:rPr>
                    <w:t>Journal of Clinical Oncology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29</w:t>
                  </w:r>
                  <w:r w:rsidRPr="00755802">
                    <w:rPr>
                      <w:rFonts w:eastAsia="Times New Roman" w:cs="Times New Roman"/>
                      <w:color w:val="1F1F1F"/>
                      <w:szCs w:val="24"/>
                    </w:rPr>
                    <w:t xml:space="preserve">(27), 3659–3668. </w:t>
                  </w:r>
                  <w:hyperlink r:id="rId77" w:tgtFrame="_blank" w:history="1">
                    <w:r w:rsidRPr="00755802">
                      <w:rPr>
                        <w:rFonts w:eastAsia="Times New Roman" w:cs="Times New Roman"/>
                        <w:color w:val="0B57D0"/>
                        <w:szCs w:val="24"/>
                        <w:u w:val="single"/>
                        <w:bdr w:val="none" w:sz="0" w:space="0" w:color="auto" w:frame="1"/>
                      </w:rPr>
                      <w:t>https://doi.org/10.1200/JCO.2011.35.1916</w:t>
                    </w:r>
                  </w:hyperlink>
                </w:p>
                <w:p w14:paraId="51AE06E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Sharma, R., Modi, U., Kumar, R., Sharma, C., Srivastav, A. K., Bhatia, D., &amp; Solanki, R. (2025). Bio-inspired, programmable biomacromolecules based nanostructures driven cancer therapy. </w:t>
                  </w:r>
                  <w:r w:rsidRPr="00755802">
                    <w:rPr>
                      <w:rFonts w:eastAsia="Times New Roman" w:cs="Times New Roman"/>
                      <w:i/>
                      <w:iCs/>
                      <w:color w:val="1F1F1F"/>
                      <w:szCs w:val="24"/>
                      <w:bdr w:val="none" w:sz="0" w:space="0" w:color="auto" w:frame="1"/>
                    </w:rPr>
                    <w:t>Bioactive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 214235. </w:t>
                  </w:r>
                  <w:hyperlink r:id="rId78" w:tgtFrame="_blank" w:history="1">
                    <w:r w:rsidRPr="00755802">
                      <w:rPr>
                        <w:rFonts w:eastAsia="Times New Roman" w:cs="Times New Roman"/>
                        <w:color w:val="0B57D0"/>
                        <w:szCs w:val="24"/>
                        <w:u w:val="single"/>
                        <w:bdr w:val="none" w:sz="0" w:space="0" w:color="auto" w:frame="1"/>
                      </w:rPr>
                      <w:t>https://doi.org/10.1016/j.bioadv.2025.214235</w:t>
                    </w:r>
                  </w:hyperlink>
                </w:p>
                <w:p w14:paraId="1C4AFF0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Smith, I. O., Liu, X. H., Smith, L. A., &amp; Ma, P. X. (2009). Nanostructured polymer scaffolds for tissue engineering and regenerative medicine. </w:t>
                  </w:r>
                  <w:r w:rsidRPr="00755802">
                    <w:rPr>
                      <w:rFonts w:eastAsia="Times New Roman" w:cs="Times New Roman"/>
                      <w:i/>
                      <w:iCs/>
                      <w:color w:val="1F1F1F"/>
                      <w:szCs w:val="24"/>
                      <w:bdr w:val="none" w:sz="0" w:space="0" w:color="auto" w:frame="1"/>
                    </w:rPr>
                    <w:t>WIREs Nanomedicine and Nanobiotechnology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w:t>
                  </w:r>
                  <w:r w:rsidRPr="00755802">
                    <w:rPr>
                      <w:rFonts w:eastAsia="Times New Roman" w:cs="Times New Roman"/>
                      <w:color w:val="1F1F1F"/>
                      <w:szCs w:val="24"/>
                    </w:rPr>
                    <w:t xml:space="preserve">(1), 92–105. </w:t>
                  </w:r>
                  <w:hyperlink r:id="rId79" w:tgtFrame="_blank" w:history="1">
                    <w:r w:rsidRPr="00755802">
                      <w:rPr>
                        <w:rFonts w:eastAsia="Times New Roman" w:cs="Times New Roman"/>
                        <w:color w:val="0B57D0"/>
                        <w:szCs w:val="24"/>
                        <w:u w:val="single"/>
                        <w:bdr w:val="none" w:sz="0" w:space="0" w:color="auto" w:frame="1"/>
                      </w:rPr>
                      <w:t>https://doi.org/10.1002/wnan.26</w:t>
                    </w:r>
                  </w:hyperlink>
                </w:p>
                <w:p w14:paraId="042714E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Spector, M., &amp; Lim, T. C. (2016). Injectable biomaterials: A perspective on the next wave of injectable therapeutics. </w:t>
                  </w:r>
                  <w:r w:rsidRPr="00755802">
                    <w:rPr>
                      <w:rFonts w:eastAsia="Times New Roman" w:cs="Times New Roman"/>
                      <w:i/>
                      <w:iCs/>
                      <w:color w:val="1F1F1F"/>
                      <w:szCs w:val="24"/>
                      <w:bdr w:val="none" w:sz="0" w:space="0" w:color="auto" w:frame="1"/>
                    </w:rPr>
                    <w:t>Biomedical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(1), 014110. </w:t>
                  </w:r>
                  <w:hyperlink r:id="rId80" w:tgtFrame="_blank" w:history="1">
                    <w:r w:rsidRPr="00755802">
                      <w:rPr>
                        <w:rFonts w:eastAsia="Times New Roman" w:cs="Times New Roman"/>
                        <w:color w:val="0B57D0"/>
                        <w:szCs w:val="24"/>
                        <w:u w:val="single"/>
                        <w:bdr w:val="none" w:sz="0" w:space="0" w:color="auto" w:frame="1"/>
                      </w:rPr>
                      <w:t>https://doi.org/10.1088/1748-6041/11/1/014110</w:t>
                    </w:r>
                  </w:hyperlink>
                </w:p>
                <w:p w14:paraId="6A59957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Sun, F., Sun, X., Wang, H., Li, C., Zhao, Y., Tian, J., &amp; Lin, Y. (2022). Application of 3D-printed, PLGA-based scaffolds in bone tissue engineering.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23</w:t>
                  </w:r>
                  <w:r w:rsidRPr="00755802">
                    <w:rPr>
                      <w:rFonts w:eastAsia="Times New Roman" w:cs="Times New Roman"/>
                      <w:color w:val="1F1F1F"/>
                      <w:szCs w:val="24"/>
                    </w:rPr>
                    <w:t xml:space="preserve">(10), 5831. </w:t>
                  </w:r>
                  <w:hyperlink r:id="rId81" w:tgtFrame="_blank" w:history="1">
                    <w:r w:rsidRPr="00755802">
                      <w:rPr>
                        <w:rFonts w:eastAsia="Times New Roman" w:cs="Times New Roman"/>
                        <w:color w:val="0B57D0"/>
                        <w:szCs w:val="24"/>
                        <w:u w:val="single"/>
                        <w:bdr w:val="none" w:sz="0" w:space="0" w:color="auto" w:frame="1"/>
                      </w:rPr>
                      <w:t>https://doi.org/10.3390/ijms23105831</w:t>
                    </w:r>
                  </w:hyperlink>
                </w:p>
                <w:p w14:paraId="09C7F53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Swami, U., McFarland, T. R., </w:t>
                  </w:r>
                  <w:proofErr w:type="spellStart"/>
                  <w:r w:rsidRPr="00755802">
                    <w:rPr>
                      <w:rFonts w:eastAsia="Times New Roman" w:cs="Times New Roman"/>
                      <w:color w:val="1F1F1F"/>
                      <w:szCs w:val="24"/>
                    </w:rPr>
                    <w:t>Nussenzveig</w:t>
                  </w:r>
                  <w:proofErr w:type="spellEnd"/>
                  <w:r w:rsidRPr="00755802">
                    <w:rPr>
                      <w:rFonts w:eastAsia="Times New Roman" w:cs="Times New Roman"/>
                      <w:color w:val="1F1F1F"/>
                      <w:szCs w:val="24"/>
                    </w:rPr>
                    <w:t xml:space="preserve">, R., &amp; Agarwal, N. (2020). Advanced prostate cancer: Treatment advances and future directions. </w:t>
                  </w:r>
                  <w:r w:rsidRPr="00755802">
                    <w:rPr>
                      <w:rFonts w:eastAsia="Times New Roman" w:cs="Times New Roman"/>
                      <w:i/>
                      <w:iCs/>
                      <w:color w:val="1F1F1F"/>
                      <w:szCs w:val="24"/>
                      <w:bdr w:val="none" w:sz="0" w:space="0" w:color="auto" w:frame="1"/>
                    </w:rPr>
                    <w:t>Trends in Cancer</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w:t>
                  </w:r>
                  <w:r w:rsidRPr="00755802">
                    <w:rPr>
                      <w:rFonts w:eastAsia="Times New Roman" w:cs="Times New Roman"/>
                      <w:color w:val="1F1F1F"/>
                      <w:szCs w:val="24"/>
                    </w:rPr>
                    <w:t xml:space="preserve">(8), 702–715. </w:t>
                  </w:r>
                  <w:hyperlink r:id="rId82" w:tgtFrame="_blank" w:history="1">
                    <w:r w:rsidRPr="00755802">
                      <w:rPr>
                        <w:rFonts w:eastAsia="Times New Roman" w:cs="Times New Roman"/>
                        <w:color w:val="0B57D0"/>
                        <w:szCs w:val="24"/>
                        <w:u w:val="single"/>
                        <w:bdr w:val="none" w:sz="0" w:space="0" w:color="auto" w:frame="1"/>
                      </w:rPr>
                      <w:t>https://doi.org/10.1016/j.trecan.2020.04.010</w:t>
                    </w:r>
                  </w:hyperlink>
                </w:p>
                <w:p w14:paraId="5717D410"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Szymczyk-</w:t>
                  </w:r>
                  <w:proofErr w:type="spellStart"/>
                  <w:r w:rsidRPr="00755802">
                    <w:rPr>
                      <w:rFonts w:eastAsia="Times New Roman" w:cs="Times New Roman"/>
                      <w:color w:val="1F1F1F"/>
                      <w:szCs w:val="24"/>
                    </w:rPr>
                    <w:t>Ziółkowska</w:t>
                  </w:r>
                  <w:proofErr w:type="spellEnd"/>
                  <w:r w:rsidRPr="00755802">
                    <w:rPr>
                      <w:rFonts w:eastAsia="Times New Roman" w:cs="Times New Roman"/>
                      <w:color w:val="1F1F1F"/>
                      <w:szCs w:val="24"/>
                    </w:rPr>
                    <w:t xml:space="preserve">, P., </w:t>
                  </w:r>
                  <w:proofErr w:type="spellStart"/>
                  <w:r w:rsidRPr="00755802">
                    <w:rPr>
                      <w:rFonts w:eastAsia="Times New Roman" w:cs="Times New Roman"/>
                      <w:color w:val="1F1F1F"/>
                      <w:szCs w:val="24"/>
                    </w:rPr>
                    <w:t>Łabowska</w:t>
                  </w:r>
                  <w:proofErr w:type="spellEnd"/>
                  <w:r w:rsidRPr="00755802">
                    <w:rPr>
                      <w:rFonts w:eastAsia="Times New Roman" w:cs="Times New Roman"/>
                      <w:color w:val="1F1F1F"/>
                      <w:szCs w:val="24"/>
                    </w:rPr>
                    <w:t xml:space="preserve">, M. B., </w:t>
                  </w:r>
                  <w:proofErr w:type="spellStart"/>
                  <w:r w:rsidRPr="00755802">
                    <w:rPr>
                      <w:rFonts w:eastAsia="Times New Roman" w:cs="Times New Roman"/>
                      <w:color w:val="1F1F1F"/>
                      <w:szCs w:val="24"/>
                    </w:rPr>
                    <w:t>Detyna</w:t>
                  </w:r>
                  <w:proofErr w:type="spellEnd"/>
                  <w:r w:rsidRPr="00755802">
                    <w:rPr>
                      <w:rFonts w:eastAsia="Times New Roman" w:cs="Times New Roman"/>
                      <w:color w:val="1F1F1F"/>
                      <w:szCs w:val="24"/>
                    </w:rPr>
                    <w:t xml:space="preserve">, J., Michalak, I., &amp; Gruber, P. (2020). A review of fabrication polymer scaffolds for biomedical applications using additive manufacturing techniques. </w:t>
                  </w:r>
                  <w:r w:rsidRPr="00755802">
                    <w:rPr>
                      <w:rFonts w:eastAsia="Times New Roman" w:cs="Times New Roman"/>
                      <w:i/>
                      <w:iCs/>
                      <w:color w:val="1F1F1F"/>
                      <w:szCs w:val="24"/>
                      <w:bdr w:val="none" w:sz="0" w:space="0" w:color="auto" w:frame="1"/>
                    </w:rPr>
                    <w:t>Biomedical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65</w:t>
                  </w:r>
                  <w:r w:rsidRPr="00755802">
                    <w:rPr>
                      <w:rFonts w:eastAsia="Times New Roman" w:cs="Times New Roman"/>
                      <w:color w:val="1F1F1F"/>
                      <w:szCs w:val="24"/>
                    </w:rPr>
                    <w:t xml:space="preserve">(1), 15–30. </w:t>
                  </w:r>
                  <w:hyperlink r:id="rId83" w:tgtFrame="_blank" w:history="1">
                    <w:r w:rsidRPr="00755802">
                      <w:rPr>
                        <w:rFonts w:eastAsia="Times New Roman" w:cs="Times New Roman"/>
                        <w:color w:val="0B57D0"/>
                        <w:szCs w:val="24"/>
                        <w:u w:val="single"/>
                        <w:bdr w:val="none" w:sz="0" w:space="0" w:color="auto" w:frame="1"/>
                      </w:rPr>
                      <w:t>https://doi.org/10.1016/j.bbe.2020.01.015</w:t>
                    </w:r>
                  </w:hyperlink>
                </w:p>
                <w:p w14:paraId="482F5EC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Teo, M. Y., </w:t>
                  </w:r>
                  <w:proofErr w:type="spellStart"/>
                  <w:r w:rsidRPr="00755802">
                    <w:rPr>
                      <w:rFonts w:eastAsia="Times New Roman" w:cs="Times New Roman"/>
                      <w:color w:val="1F1F1F"/>
                      <w:szCs w:val="24"/>
                    </w:rPr>
                    <w:t>Rathkopf</w:t>
                  </w:r>
                  <w:proofErr w:type="spellEnd"/>
                  <w:r w:rsidRPr="00755802">
                    <w:rPr>
                      <w:rFonts w:eastAsia="Times New Roman" w:cs="Times New Roman"/>
                      <w:color w:val="1F1F1F"/>
                      <w:szCs w:val="24"/>
                    </w:rPr>
                    <w:t xml:space="preserve">, D. E., &amp; </w:t>
                  </w:r>
                  <w:proofErr w:type="spellStart"/>
                  <w:r w:rsidRPr="00755802">
                    <w:rPr>
                      <w:rFonts w:eastAsia="Times New Roman" w:cs="Times New Roman"/>
                      <w:color w:val="1F1F1F"/>
                      <w:szCs w:val="24"/>
                    </w:rPr>
                    <w:t>Kantoff</w:t>
                  </w:r>
                  <w:proofErr w:type="spellEnd"/>
                  <w:r w:rsidRPr="00755802">
                    <w:rPr>
                      <w:rFonts w:eastAsia="Times New Roman" w:cs="Times New Roman"/>
                      <w:color w:val="1F1F1F"/>
                      <w:szCs w:val="24"/>
                    </w:rPr>
                    <w:t xml:space="preserve">, P. (2019). Treatment of advanced prostate cancer. </w:t>
                  </w:r>
                  <w:r w:rsidRPr="00755802">
                    <w:rPr>
                      <w:rFonts w:eastAsia="Times New Roman" w:cs="Times New Roman"/>
                      <w:i/>
                      <w:iCs/>
                      <w:color w:val="1F1F1F"/>
                      <w:szCs w:val="24"/>
                      <w:bdr w:val="none" w:sz="0" w:space="0" w:color="auto" w:frame="1"/>
                    </w:rPr>
                    <w:t>Annual Review of Medicine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70</w:t>
                  </w:r>
                  <w:r w:rsidRPr="00755802">
                    <w:rPr>
                      <w:rFonts w:eastAsia="Times New Roman" w:cs="Times New Roman"/>
                      <w:color w:val="1F1F1F"/>
                      <w:szCs w:val="24"/>
                    </w:rPr>
                    <w:t xml:space="preserve">, 479–499. </w:t>
                  </w:r>
                  <w:hyperlink r:id="rId84" w:tgtFrame="_blank" w:history="1">
                    <w:r w:rsidRPr="00755802">
                      <w:rPr>
                        <w:rFonts w:eastAsia="Times New Roman" w:cs="Times New Roman"/>
                        <w:color w:val="0B57D0"/>
                        <w:szCs w:val="24"/>
                        <w:u w:val="single"/>
                        <w:bdr w:val="none" w:sz="0" w:space="0" w:color="auto" w:frame="1"/>
                      </w:rPr>
                      <w:t>https://doi.org/10.1146/annurev-med-051517-011947</w:t>
                    </w:r>
                  </w:hyperlink>
                </w:p>
                <w:p w14:paraId="5C53C08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Tian, Z., Wang, X., Chen, S., Guo, Z., Di, J., &amp; Xiang, C. (2025). Mitochondria-targeted biomaterials—Regulating macrophage polarization opens new perspectives for disease treatment. </w:t>
                  </w:r>
                  <w:r w:rsidRPr="00755802">
                    <w:rPr>
                      <w:rFonts w:eastAsia="Times New Roman" w:cs="Times New Roman"/>
                      <w:i/>
                      <w:iCs/>
                      <w:color w:val="1F1F1F"/>
                      <w:szCs w:val="24"/>
                      <w:bdr w:val="none" w:sz="0" w:space="0" w:color="auto" w:frame="1"/>
                    </w:rPr>
                    <w:t>International Journal of Nanomedicine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 1509–1528. </w:t>
                  </w:r>
                  <w:hyperlink r:id="rId85" w:tgtFrame="_blank" w:history="1">
                    <w:r w:rsidRPr="00755802">
                      <w:rPr>
                        <w:rFonts w:eastAsia="Times New Roman" w:cs="Times New Roman"/>
                        <w:color w:val="0B57D0"/>
                        <w:szCs w:val="24"/>
                        <w:u w:val="single"/>
                        <w:bdr w:val="none" w:sz="0" w:space="0" w:color="auto" w:frame="1"/>
                      </w:rPr>
                      <w:t>https://doi.org/10.2147/IJN.S505591</w:t>
                    </w:r>
                  </w:hyperlink>
                </w:p>
                <w:p w14:paraId="140DB26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Trewartha, D., &amp; Carter, K. (2013). Advances in prostate cancer treatment. </w:t>
                  </w:r>
                  <w:r w:rsidRPr="00755802">
                    <w:rPr>
                      <w:rFonts w:eastAsia="Times New Roman" w:cs="Times New Roman"/>
                      <w:i/>
                      <w:iCs/>
                      <w:color w:val="1F1F1F"/>
                      <w:szCs w:val="24"/>
                      <w:bdr w:val="none" w:sz="0" w:space="0" w:color="auto" w:frame="1"/>
                    </w:rPr>
                    <w:t>Nature Reviews Drug Discovery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12</w:t>
                  </w:r>
                  <w:r w:rsidRPr="00755802">
                    <w:rPr>
                      <w:rFonts w:eastAsia="Times New Roman" w:cs="Times New Roman"/>
                      <w:color w:val="1F1F1F"/>
                      <w:szCs w:val="24"/>
                    </w:rPr>
                    <w:t xml:space="preserve">(11), 823–824. </w:t>
                  </w:r>
                  <w:hyperlink r:id="rId86" w:tgtFrame="_blank" w:history="1">
                    <w:r w:rsidRPr="00755802">
                      <w:rPr>
                        <w:rFonts w:eastAsia="Times New Roman" w:cs="Times New Roman"/>
                        <w:color w:val="0B57D0"/>
                        <w:szCs w:val="24"/>
                        <w:u w:val="single"/>
                        <w:bdr w:val="none" w:sz="0" w:space="0" w:color="auto" w:frame="1"/>
                      </w:rPr>
                      <w:t>https://doi.org/10.1038/nrd4068</w:t>
                    </w:r>
                  </w:hyperlink>
                </w:p>
                <w:p w14:paraId="6C826F4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Vozzi</w:t>
                  </w:r>
                  <w:proofErr w:type="spellEnd"/>
                  <w:r w:rsidRPr="00755802">
                    <w:rPr>
                      <w:rFonts w:eastAsia="Times New Roman" w:cs="Times New Roman"/>
                      <w:color w:val="1F1F1F"/>
                      <w:szCs w:val="24"/>
                    </w:rPr>
                    <w:t xml:space="preserve">, G., Flaim, C. J., Bianchi, F., Ahluwalia, A., &amp; Bhatia, S. N. (2002). Microfabricated PLGA scaffolds: A comparative study for application to tissue engineering. </w:t>
                  </w:r>
                  <w:r w:rsidRPr="00755802">
                    <w:rPr>
                      <w:rFonts w:eastAsia="Times New Roman" w:cs="Times New Roman"/>
                      <w:i/>
                      <w:iCs/>
                      <w:color w:val="1F1F1F"/>
                      <w:szCs w:val="24"/>
                      <w:bdr w:val="none" w:sz="0" w:space="0" w:color="auto" w:frame="1"/>
                    </w:rPr>
                    <w:t>Materials Science and Engineering: C</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(1–2), 43–47. </w:t>
                  </w:r>
                  <w:hyperlink r:id="rId87" w:tgtFrame="_blank" w:history="1">
                    <w:r w:rsidRPr="00755802">
                      <w:rPr>
                        <w:rFonts w:eastAsia="Times New Roman" w:cs="Times New Roman"/>
                        <w:color w:val="0B57D0"/>
                        <w:szCs w:val="24"/>
                        <w:u w:val="single"/>
                        <w:bdr w:val="none" w:sz="0" w:space="0" w:color="auto" w:frame="1"/>
                      </w:rPr>
                      <w:t>https://doi.org/10.1016/S0928-4931(02)00011-5</w:t>
                    </w:r>
                  </w:hyperlink>
                </w:p>
                <w:p w14:paraId="62F3469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Wirth, M. P., Hakenberg, O. W., &amp; Froehner, M. (2007). Antiandrogens in the treatment of prostate cancer. </w:t>
                  </w:r>
                  <w:r w:rsidRPr="00755802">
                    <w:rPr>
                      <w:rFonts w:eastAsia="Times New Roman" w:cs="Times New Roman"/>
                      <w:i/>
                      <w:iCs/>
                      <w:color w:val="1F1F1F"/>
                      <w:szCs w:val="24"/>
                      <w:bdr w:val="none" w:sz="0" w:space="0" w:color="auto" w:frame="1"/>
                    </w:rPr>
                    <w:t>European Urology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51</w:t>
                  </w:r>
                  <w:r w:rsidRPr="00755802">
                    <w:rPr>
                      <w:rFonts w:eastAsia="Times New Roman" w:cs="Times New Roman"/>
                      <w:color w:val="1F1F1F"/>
                      <w:szCs w:val="24"/>
                    </w:rPr>
                    <w:t xml:space="preserve">(2), 306–313. </w:t>
                  </w:r>
                  <w:hyperlink r:id="rId88" w:tgtFrame="_blank" w:history="1">
                    <w:r w:rsidRPr="00755802">
                      <w:rPr>
                        <w:rFonts w:eastAsia="Times New Roman" w:cs="Times New Roman"/>
                        <w:color w:val="0B57D0"/>
                        <w:szCs w:val="24"/>
                        <w:u w:val="single"/>
                        <w:bdr w:val="none" w:sz="0" w:space="0" w:color="auto" w:frame="1"/>
                      </w:rPr>
                      <w:t>https://doi.org/10.1016/j.eururo.2006.08.043</w:t>
                    </w:r>
                  </w:hyperlink>
                </w:p>
                <w:p w14:paraId="29E8D6D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Xia, D., Chen, J., Zhang, Z., &amp; Dong, M. (2022). Emerging polymeric biomaterials and manufacturing techniques in regenerative medicine. </w:t>
                  </w:r>
                  <w:r w:rsidRPr="00755802">
                    <w:rPr>
                      <w:rFonts w:eastAsia="Times New Roman" w:cs="Times New Roman"/>
                      <w:i/>
                      <w:iCs/>
                      <w:color w:val="1F1F1F"/>
                      <w:szCs w:val="24"/>
                      <w:bdr w:val="none" w:sz="0" w:space="0" w:color="auto" w:frame="1"/>
                    </w:rPr>
                    <w:t>Aggregate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(2), e176. </w:t>
                  </w:r>
                  <w:hyperlink r:id="rId89" w:tgtFrame="_blank" w:history="1">
                    <w:r w:rsidRPr="00755802">
                      <w:rPr>
                        <w:rFonts w:eastAsia="Times New Roman" w:cs="Times New Roman"/>
                        <w:color w:val="0B57D0"/>
                        <w:szCs w:val="24"/>
                        <w:u w:val="single"/>
                        <w:bdr w:val="none" w:sz="0" w:space="0" w:color="auto" w:frame="1"/>
                      </w:rPr>
                      <w:t>https://doi.org/10.1002/agt2.176</w:t>
                    </w:r>
                  </w:hyperlink>
                </w:p>
                <w:p w14:paraId="6485EB5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Xu, Y., Meng, Q., Jin, X., Liu, F., &amp; Yu, J. (2020). Biodegradable scaffolds for urethra tissue engineering based on 3D printing. </w:t>
                  </w:r>
                  <w:r w:rsidRPr="00755802">
                    <w:rPr>
                      <w:rFonts w:eastAsia="Times New Roman" w:cs="Times New Roman"/>
                      <w:i/>
                      <w:iCs/>
                      <w:color w:val="1F1F1F"/>
                      <w:szCs w:val="24"/>
                      <w:bdr w:val="none" w:sz="0" w:space="0" w:color="auto" w:frame="1"/>
                    </w:rPr>
                    <w:t>ACS Applied Bio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(4), 2310–2319. </w:t>
                  </w:r>
                  <w:hyperlink r:id="rId90" w:tgtFrame="_blank" w:history="1">
                    <w:r w:rsidRPr="00755802">
                      <w:rPr>
                        <w:rFonts w:eastAsia="Times New Roman" w:cs="Times New Roman"/>
                        <w:color w:val="0B57D0"/>
                        <w:szCs w:val="24"/>
                        <w:u w:val="single"/>
                        <w:bdr w:val="none" w:sz="0" w:space="0" w:color="auto" w:frame="1"/>
                      </w:rPr>
                      <w:t>https://doi.org/10.1021/acsabm.9b01012</w:t>
                    </w:r>
                  </w:hyperlink>
                </w:p>
                <w:p w14:paraId="00A2332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Yourdkhani</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Esfandyari</w:t>
                  </w:r>
                  <w:proofErr w:type="spellEnd"/>
                  <w:r w:rsidRPr="00755802">
                    <w:rPr>
                      <w:rFonts w:eastAsia="Times New Roman" w:cs="Times New Roman"/>
                      <w:color w:val="1F1F1F"/>
                      <w:szCs w:val="24"/>
                    </w:rPr>
                    <w:t xml:space="preserve">-Manesh, M., </w:t>
                  </w:r>
                  <w:proofErr w:type="spellStart"/>
                  <w:r w:rsidRPr="00755802">
                    <w:rPr>
                      <w:rFonts w:eastAsia="Times New Roman" w:cs="Times New Roman"/>
                      <w:color w:val="1F1F1F"/>
                      <w:szCs w:val="24"/>
                    </w:rPr>
                    <w:t>Ranjbaran</w:t>
                  </w:r>
                  <w:proofErr w:type="spellEnd"/>
                  <w:r w:rsidRPr="00755802">
                    <w:rPr>
                      <w:rFonts w:eastAsia="Times New Roman" w:cs="Times New Roman"/>
                      <w:color w:val="1F1F1F"/>
                      <w:szCs w:val="24"/>
                    </w:rPr>
                    <w:t xml:space="preserve">, P., &amp; </w:t>
                  </w:r>
                  <w:proofErr w:type="spellStart"/>
                  <w:r w:rsidRPr="00755802">
                    <w:rPr>
                      <w:rFonts w:eastAsia="Times New Roman" w:cs="Times New Roman"/>
                      <w:color w:val="1F1F1F"/>
                      <w:szCs w:val="24"/>
                    </w:rPr>
                    <w:t>Dinarvand</w:t>
                  </w:r>
                  <w:proofErr w:type="spellEnd"/>
                  <w:r w:rsidRPr="00755802">
                    <w:rPr>
                      <w:rFonts w:eastAsia="Times New Roman" w:cs="Times New Roman"/>
                      <w:color w:val="1F1F1F"/>
                      <w:szCs w:val="24"/>
                    </w:rPr>
                    <w:t xml:space="preserve">, R. (2024). Local multi-drug delivery and osteogenesis in bone metastasis of prostate cancer by a core-shell 3D printed scaffold. </w:t>
                  </w:r>
                  <w:r w:rsidRPr="00755802">
                    <w:rPr>
                      <w:rFonts w:eastAsia="Times New Roman" w:cs="Times New Roman"/>
                      <w:i/>
                      <w:iCs/>
                      <w:color w:val="1F1F1F"/>
                      <w:szCs w:val="24"/>
                      <w:bdr w:val="none" w:sz="0" w:space="0" w:color="auto" w:frame="1"/>
                    </w:rPr>
                    <w:t>Journal of Drug Delivery Science and 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85</w:t>
                  </w:r>
                  <w:r w:rsidRPr="00755802">
                    <w:rPr>
                      <w:rFonts w:eastAsia="Times New Roman" w:cs="Times New Roman"/>
                      <w:color w:val="1F1F1F"/>
                      <w:szCs w:val="24"/>
                    </w:rPr>
                    <w:t xml:space="preserve">, 105345. </w:t>
                  </w:r>
                  <w:hyperlink r:id="rId91" w:tgtFrame="_blank" w:history="1">
                    <w:r w:rsidRPr="00755802">
                      <w:rPr>
                        <w:rFonts w:eastAsia="Times New Roman" w:cs="Times New Roman"/>
                        <w:color w:val="0B57D0"/>
                        <w:szCs w:val="24"/>
                        <w:u w:val="single"/>
                        <w:bdr w:val="none" w:sz="0" w:space="0" w:color="auto" w:frame="1"/>
                      </w:rPr>
                      <w:t>https://doi.org/10.1016/j.jddst.2024.105345</w:t>
                    </w:r>
                  </w:hyperlink>
                </w:p>
              </w:sdtContent>
            </w:sdt>
            <w:p w14:paraId="69917B77" w14:textId="77777777" w:rsidR="009F68B0" w:rsidRDefault="00000000" w:rsidP="009F68B0">
              <w:pPr>
                <w:ind w:hanging="720"/>
              </w:pPr>
            </w:p>
          </w:sdtContent>
        </w:sdt>
      </w:sdtContent>
    </w:sdt>
    <w:p w14:paraId="0D3A80B1" w14:textId="77777777" w:rsidR="009F68B0" w:rsidRPr="00C567B3" w:rsidRDefault="009F68B0" w:rsidP="009F68B0">
      <w:pPr>
        <w:rPr>
          <w:rFonts w:cs="Times New Roman"/>
        </w:rPr>
      </w:pPr>
    </w:p>
    <w:p w14:paraId="1867B9EE" w14:textId="77777777" w:rsidR="009F68B0" w:rsidRDefault="009F68B0" w:rsidP="009F68B0">
      <w:pPr>
        <w:rPr>
          <w:rFonts w:cs="Times New Roman"/>
          <w:szCs w:val="24"/>
        </w:rPr>
      </w:pPr>
    </w:p>
    <w:p w14:paraId="5E5498B4" w14:textId="77777777" w:rsidR="009F68B0" w:rsidRDefault="009F68B0" w:rsidP="009F68B0">
      <w:pPr>
        <w:rPr>
          <w:rFonts w:cs="Times New Roman"/>
          <w:szCs w:val="24"/>
        </w:rPr>
      </w:pPr>
    </w:p>
    <w:p w14:paraId="6E7328E6" w14:textId="77777777" w:rsidR="009F68B0" w:rsidRDefault="009F68B0" w:rsidP="009F68B0"/>
    <w:p w14:paraId="52F4F4E4" w14:textId="77777777" w:rsidR="009F68B0" w:rsidRPr="00021327" w:rsidRDefault="009F68B0" w:rsidP="00C567B3"/>
    <w:sectPr w:rsidR="009F68B0" w:rsidRPr="00021327" w:rsidSect="006A41B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Sunil" w:date="2026-01-24T22:27:00Z" w:initials="D">
    <w:p w14:paraId="1F0A4056" w14:textId="46E74AF1" w:rsidR="0079150F" w:rsidRDefault="0079150F">
      <w:pPr>
        <w:pStyle w:val="CommentText"/>
      </w:pPr>
      <w:r>
        <w:rPr>
          <w:rStyle w:val="CommentReference"/>
        </w:rPr>
        <w:annotationRef/>
      </w:r>
      <w:r>
        <w:t xml:space="preserve">EVOLVING </w:t>
      </w:r>
    </w:p>
  </w:comment>
  <w:comment w:id="1" w:author="Dr.Sunil" w:date="2026-01-24T22:26:00Z" w:initials="D">
    <w:p w14:paraId="2164790C" w14:textId="5A39B2CC" w:rsidR="0079150F" w:rsidRDefault="0079150F">
      <w:pPr>
        <w:pStyle w:val="CommentText"/>
      </w:pPr>
      <w:r>
        <w:rPr>
          <w:rStyle w:val="CommentReference"/>
        </w:rPr>
        <w:annotationRef/>
      </w:r>
      <w:r>
        <w:t xml:space="preserve">REFERENCE </w:t>
      </w:r>
    </w:p>
  </w:comment>
  <w:comment w:id="2" w:author="Dr.Sunil" w:date="2026-01-24T22:25:00Z" w:initials="D">
    <w:p w14:paraId="10295C03" w14:textId="681FA75D" w:rsidR="0079150F" w:rsidRDefault="0079150F">
      <w:pPr>
        <w:pStyle w:val="CommentText"/>
      </w:pPr>
      <w:r>
        <w:rPr>
          <w:rStyle w:val="CommentReference"/>
        </w:rPr>
        <w:annotationRef/>
      </w:r>
      <w:r>
        <w:t xml:space="preserve">PUT AS REFERENCE </w:t>
      </w:r>
    </w:p>
  </w:comment>
  <w:comment w:id="3" w:author="Dr.Sunil" w:date="2026-01-24T22:22:00Z" w:initials="D">
    <w:p w14:paraId="438F4F18" w14:textId="676C5CED" w:rsidR="0079150F" w:rsidRDefault="0079150F">
      <w:pPr>
        <w:pStyle w:val="CommentText"/>
      </w:pPr>
      <w:r>
        <w:rPr>
          <w:rStyle w:val="CommentReference"/>
        </w:rPr>
        <w:annotationRef/>
      </w:r>
      <w:r>
        <w:t xml:space="preserve">PUT AS REFERENCE ONLY AS IT IS SINGLE </w:t>
      </w:r>
    </w:p>
  </w:comment>
  <w:comment w:id="4" w:author="Dr.Sunil" w:date="2026-01-24T22:24:00Z" w:initials="D">
    <w:p w14:paraId="4335CD62" w14:textId="5ACD46FE" w:rsidR="0079150F" w:rsidRDefault="0079150F">
      <w:pPr>
        <w:pStyle w:val="CommentText"/>
      </w:pPr>
      <w:r>
        <w:rPr>
          <w:rStyle w:val="CommentReference"/>
        </w:rPr>
        <w:annotationRef/>
      </w:r>
      <w:r>
        <w:t xml:space="preserve">PUT IT AS REFERENCE AS DONE IN EARLIER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0A4056" w15:done="0"/>
  <w15:commentEx w15:paraId="2164790C" w15:done="0"/>
  <w15:commentEx w15:paraId="10295C03" w15:done="0"/>
  <w15:commentEx w15:paraId="438F4F18" w15:done="0"/>
  <w15:commentEx w15:paraId="4335CD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85E4BD" w16cex:dateUtc="2026-01-24T16:57:00Z"/>
  <w16cex:commentExtensible w16cex:durableId="3C561B7C" w16cex:dateUtc="2026-01-24T16:56:00Z"/>
  <w16cex:commentExtensible w16cex:durableId="4A5B5AD8" w16cex:dateUtc="2026-01-24T16:55:00Z"/>
  <w16cex:commentExtensible w16cex:durableId="186638A7" w16cex:dateUtc="2026-01-24T16:52:00Z"/>
  <w16cex:commentExtensible w16cex:durableId="0C1F1EB5" w16cex:dateUtc="2026-01-24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0A4056" w16cid:durableId="0885E4BD"/>
  <w16cid:commentId w16cid:paraId="2164790C" w16cid:durableId="3C561B7C"/>
  <w16cid:commentId w16cid:paraId="10295C03" w16cid:durableId="4A5B5AD8"/>
  <w16cid:commentId w16cid:paraId="438F4F18" w16cid:durableId="186638A7"/>
  <w16cid:commentId w16cid:paraId="4335CD62" w16cid:durableId="0C1F1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59D96" w14:textId="77777777" w:rsidR="00E2634F" w:rsidRDefault="00E2634F" w:rsidP="00AB7392">
      <w:pPr>
        <w:spacing w:after="0" w:line="240" w:lineRule="auto"/>
      </w:pPr>
      <w:r>
        <w:separator/>
      </w:r>
    </w:p>
  </w:endnote>
  <w:endnote w:type="continuationSeparator" w:id="0">
    <w:p w14:paraId="46EA95AF" w14:textId="77777777" w:rsidR="00E2634F" w:rsidRDefault="00E2634F" w:rsidP="00AB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9CDD" w14:textId="77777777" w:rsidR="002205CA" w:rsidRDefault="00220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99088"/>
      <w:docPartObj>
        <w:docPartGallery w:val="Page Numbers (Bottom of Page)"/>
        <w:docPartUnique/>
      </w:docPartObj>
    </w:sdtPr>
    <w:sdtEndPr>
      <w:rPr>
        <w:noProof/>
      </w:rPr>
    </w:sdtEndPr>
    <w:sdtContent>
      <w:p w14:paraId="7F2CA35D" w14:textId="77777777" w:rsidR="00FC48A7" w:rsidRDefault="00FC48A7">
        <w:pPr>
          <w:pStyle w:val="Footer"/>
          <w:jc w:val="center"/>
        </w:pPr>
        <w:r>
          <w:fldChar w:fldCharType="begin"/>
        </w:r>
        <w:r>
          <w:instrText xml:space="preserve"> PAGE   \* MERGEFORMAT </w:instrText>
        </w:r>
        <w:r>
          <w:fldChar w:fldCharType="separate"/>
        </w:r>
        <w:r w:rsidR="00D82845">
          <w:rPr>
            <w:noProof/>
          </w:rPr>
          <w:t>24</w:t>
        </w:r>
        <w:r>
          <w:rPr>
            <w:noProof/>
          </w:rPr>
          <w:fldChar w:fldCharType="end"/>
        </w:r>
      </w:p>
    </w:sdtContent>
  </w:sdt>
  <w:p w14:paraId="6E8411DB" w14:textId="77777777" w:rsidR="00FC48A7" w:rsidRDefault="00FC4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4938" w14:textId="77777777" w:rsidR="002205CA" w:rsidRDefault="00220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69CD7" w14:textId="77777777" w:rsidR="00E2634F" w:rsidRDefault="00E2634F" w:rsidP="00AB7392">
      <w:pPr>
        <w:spacing w:after="0" w:line="240" w:lineRule="auto"/>
      </w:pPr>
      <w:r>
        <w:separator/>
      </w:r>
    </w:p>
  </w:footnote>
  <w:footnote w:type="continuationSeparator" w:id="0">
    <w:p w14:paraId="798F93FF" w14:textId="77777777" w:rsidR="00E2634F" w:rsidRDefault="00E2634F" w:rsidP="00AB7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26AA" w14:textId="623ED632" w:rsidR="002205CA" w:rsidRDefault="00000000">
    <w:pPr>
      <w:pStyle w:val="Header"/>
    </w:pPr>
    <w:r>
      <w:rPr>
        <w:noProof/>
      </w:rPr>
      <w:pict w14:anchorId="2A1AD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3"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32D15" w14:textId="35FCF51F" w:rsidR="002205CA" w:rsidRDefault="00000000">
    <w:pPr>
      <w:pStyle w:val="Header"/>
    </w:pPr>
    <w:r>
      <w:rPr>
        <w:noProof/>
      </w:rPr>
      <w:pict w14:anchorId="6E2FA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4"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F2FF" w14:textId="64B12E57" w:rsidR="002205CA" w:rsidRDefault="00000000">
    <w:pPr>
      <w:pStyle w:val="Header"/>
    </w:pPr>
    <w:r>
      <w:rPr>
        <w:noProof/>
      </w:rPr>
      <w:pict w14:anchorId="25345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2"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F2DFF"/>
    <w:multiLevelType w:val="multilevel"/>
    <w:tmpl w:val="AF24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91CE0"/>
    <w:multiLevelType w:val="multilevel"/>
    <w:tmpl w:val="D17A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803C5"/>
    <w:multiLevelType w:val="multilevel"/>
    <w:tmpl w:val="B5B2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03225"/>
    <w:multiLevelType w:val="multilevel"/>
    <w:tmpl w:val="C428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57F4E"/>
    <w:multiLevelType w:val="multilevel"/>
    <w:tmpl w:val="3B60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7F4B86"/>
    <w:multiLevelType w:val="multilevel"/>
    <w:tmpl w:val="1EAE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A7CC7"/>
    <w:multiLevelType w:val="multilevel"/>
    <w:tmpl w:val="7B3AF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A74376"/>
    <w:multiLevelType w:val="multilevel"/>
    <w:tmpl w:val="6F14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9390993">
    <w:abstractNumId w:val="3"/>
  </w:num>
  <w:num w:numId="2" w16cid:durableId="226383044">
    <w:abstractNumId w:val="6"/>
  </w:num>
  <w:num w:numId="3" w16cid:durableId="1912999771">
    <w:abstractNumId w:val="0"/>
  </w:num>
  <w:num w:numId="4" w16cid:durableId="250817729">
    <w:abstractNumId w:val="1"/>
  </w:num>
  <w:num w:numId="5" w16cid:durableId="2009937399">
    <w:abstractNumId w:val="2"/>
  </w:num>
  <w:num w:numId="6" w16cid:durableId="994145535">
    <w:abstractNumId w:val="4"/>
  </w:num>
  <w:num w:numId="7" w16cid:durableId="1557664236">
    <w:abstractNumId w:val="5"/>
  </w:num>
  <w:num w:numId="8" w16cid:durableId="92229664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Sunil">
    <w15:presenceInfo w15:providerId="None" w15:userId="Dr.Su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3A0"/>
    <w:rsid w:val="000031C6"/>
    <w:rsid w:val="00021327"/>
    <w:rsid w:val="000442C2"/>
    <w:rsid w:val="00044E31"/>
    <w:rsid w:val="00046E9E"/>
    <w:rsid w:val="00066251"/>
    <w:rsid w:val="000927DF"/>
    <w:rsid w:val="000B06CA"/>
    <w:rsid w:val="000E6D3E"/>
    <w:rsid w:val="000F0B14"/>
    <w:rsid w:val="00101BFC"/>
    <w:rsid w:val="00123E4A"/>
    <w:rsid w:val="00127F73"/>
    <w:rsid w:val="00155389"/>
    <w:rsid w:val="001B011D"/>
    <w:rsid w:val="001B0817"/>
    <w:rsid w:val="001D1E36"/>
    <w:rsid w:val="001F0B18"/>
    <w:rsid w:val="00217216"/>
    <w:rsid w:val="002205CA"/>
    <w:rsid w:val="00242FD4"/>
    <w:rsid w:val="00245334"/>
    <w:rsid w:val="00267F6E"/>
    <w:rsid w:val="0027491D"/>
    <w:rsid w:val="00280DC1"/>
    <w:rsid w:val="002844F0"/>
    <w:rsid w:val="002E2CF8"/>
    <w:rsid w:val="0032533D"/>
    <w:rsid w:val="00383964"/>
    <w:rsid w:val="003C29EA"/>
    <w:rsid w:val="003E7051"/>
    <w:rsid w:val="003F1F49"/>
    <w:rsid w:val="003F7AF8"/>
    <w:rsid w:val="0041017F"/>
    <w:rsid w:val="004359BD"/>
    <w:rsid w:val="00442985"/>
    <w:rsid w:val="00454FB1"/>
    <w:rsid w:val="004744F5"/>
    <w:rsid w:val="0047760B"/>
    <w:rsid w:val="00490105"/>
    <w:rsid w:val="004973A0"/>
    <w:rsid w:val="004E5CAF"/>
    <w:rsid w:val="00530ECD"/>
    <w:rsid w:val="005719DA"/>
    <w:rsid w:val="00583714"/>
    <w:rsid w:val="005A2F56"/>
    <w:rsid w:val="005A7D13"/>
    <w:rsid w:val="005B57B7"/>
    <w:rsid w:val="005C3092"/>
    <w:rsid w:val="005E16A1"/>
    <w:rsid w:val="005F445F"/>
    <w:rsid w:val="006040C6"/>
    <w:rsid w:val="0062045A"/>
    <w:rsid w:val="00632D01"/>
    <w:rsid w:val="00633C54"/>
    <w:rsid w:val="006456DA"/>
    <w:rsid w:val="00676BB0"/>
    <w:rsid w:val="006A41B6"/>
    <w:rsid w:val="006B4332"/>
    <w:rsid w:val="006B7FAA"/>
    <w:rsid w:val="006D553D"/>
    <w:rsid w:val="00702701"/>
    <w:rsid w:val="007126A8"/>
    <w:rsid w:val="007160E3"/>
    <w:rsid w:val="007238AF"/>
    <w:rsid w:val="007648D3"/>
    <w:rsid w:val="00771D56"/>
    <w:rsid w:val="00775C3C"/>
    <w:rsid w:val="0079150F"/>
    <w:rsid w:val="007D7733"/>
    <w:rsid w:val="007F3889"/>
    <w:rsid w:val="00841CC1"/>
    <w:rsid w:val="00847082"/>
    <w:rsid w:val="00861EB3"/>
    <w:rsid w:val="008B7368"/>
    <w:rsid w:val="008D3086"/>
    <w:rsid w:val="008F6083"/>
    <w:rsid w:val="009121DF"/>
    <w:rsid w:val="00917F45"/>
    <w:rsid w:val="0093546C"/>
    <w:rsid w:val="00941D93"/>
    <w:rsid w:val="00942FD3"/>
    <w:rsid w:val="009B39F0"/>
    <w:rsid w:val="009B7943"/>
    <w:rsid w:val="009C6A72"/>
    <w:rsid w:val="009D62A7"/>
    <w:rsid w:val="009E58CB"/>
    <w:rsid w:val="009F280A"/>
    <w:rsid w:val="009F68B0"/>
    <w:rsid w:val="00A02BC3"/>
    <w:rsid w:val="00A12845"/>
    <w:rsid w:val="00A429DB"/>
    <w:rsid w:val="00A74500"/>
    <w:rsid w:val="00AB7392"/>
    <w:rsid w:val="00AB7EBD"/>
    <w:rsid w:val="00AD5A31"/>
    <w:rsid w:val="00AD7941"/>
    <w:rsid w:val="00B1371E"/>
    <w:rsid w:val="00B21E4F"/>
    <w:rsid w:val="00B37ECB"/>
    <w:rsid w:val="00B46C85"/>
    <w:rsid w:val="00B55914"/>
    <w:rsid w:val="00B60678"/>
    <w:rsid w:val="00B74FA2"/>
    <w:rsid w:val="00B77BEB"/>
    <w:rsid w:val="00B82E7B"/>
    <w:rsid w:val="00BB14E7"/>
    <w:rsid w:val="00BB4924"/>
    <w:rsid w:val="00BB642F"/>
    <w:rsid w:val="00BE7F80"/>
    <w:rsid w:val="00C118EB"/>
    <w:rsid w:val="00C40CE5"/>
    <w:rsid w:val="00C567B3"/>
    <w:rsid w:val="00CA1892"/>
    <w:rsid w:val="00CE6B84"/>
    <w:rsid w:val="00D33A73"/>
    <w:rsid w:val="00D63186"/>
    <w:rsid w:val="00D82845"/>
    <w:rsid w:val="00D928FC"/>
    <w:rsid w:val="00DA3585"/>
    <w:rsid w:val="00DC747D"/>
    <w:rsid w:val="00DD3BCF"/>
    <w:rsid w:val="00E06383"/>
    <w:rsid w:val="00E2634F"/>
    <w:rsid w:val="00E3759D"/>
    <w:rsid w:val="00E41572"/>
    <w:rsid w:val="00EC151D"/>
    <w:rsid w:val="00EC2FC3"/>
    <w:rsid w:val="00ED7190"/>
    <w:rsid w:val="00EF425B"/>
    <w:rsid w:val="00F131F2"/>
    <w:rsid w:val="00F13519"/>
    <w:rsid w:val="00F20AF3"/>
    <w:rsid w:val="00F35085"/>
    <w:rsid w:val="00F36EF0"/>
    <w:rsid w:val="00F547D4"/>
    <w:rsid w:val="00FA753B"/>
    <w:rsid w:val="00FC48A7"/>
    <w:rsid w:val="00FD5150"/>
    <w:rsid w:val="00FF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D6A49"/>
  <w15:chartTrackingRefBased/>
  <w15:docId w15:val="{CFC597B4-475D-4677-85E3-B37F4FD0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500"/>
    <w:pPr>
      <w:jc w:val="both"/>
    </w:pPr>
    <w:rPr>
      <w:rFonts w:ascii="Times New Roman" w:hAnsi="Times New Roman"/>
      <w:sz w:val="24"/>
    </w:rPr>
  </w:style>
  <w:style w:type="paragraph" w:styleId="Heading1">
    <w:name w:val="heading 1"/>
    <w:basedOn w:val="Normal"/>
    <w:link w:val="Heading1Char"/>
    <w:autoRedefine/>
    <w:uiPriority w:val="9"/>
    <w:qFormat/>
    <w:rsid w:val="00AD5A31"/>
    <w:pPr>
      <w:spacing w:before="100" w:beforeAutospacing="1" w:after="100" w:afterAutospacing="1" w:line="240" w:lineRule="auto"/>
      <w:outlineLvl w:val="0"/>
    </w:pPr>
    <w:rPr>
      <w:rFonts w:eastAsia="Times New Roman" w:cs="Times New Roman"/>
      <w:b/>
      <w:bCs/>
      <w:kern w:val="36"/>
      <w:sz w:val="28"/>
      <w:szCs w:val="48"/>
    </w:rPr>
  </w:style>
  <w:style w:type="paragraph" w:styleId="Heading2">
    <w:name w:val="heading 2"/>
    <w:basedOn w:val="Normal"/>
    <w:next w:val="Normal"/>
    <w:link w:val="Heading2Char"/>
    <w:uiPriority w:val="9"/>
    <w:semiHidden/>
    <w:unhideWhenUsed/>
    <w:qFormat/>
    <w:rsid w:val="00454F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73A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A31"/>
    <w:rPr>
      <w:rFonts w:ascii="Times New Roman" w:eastAsia="Times New Roman" w:hAnsi="Times New Roman" w:cs="Times New Roman"/>
      <w:b/>
      <w:bCs/>
      <w:kern w:val="36"/>
      <w:sz w:val="28"/>
      <w:szCs w:val="48"/>
    </w:rPr>
  </w:style>
  <w:style w:type="character" w:styleId="Strong">
    <w:name w:val="Strong"/>
    <w:basedOn w:val="DefaultParagraphFont"/>
    <w:uiPriority w:val="22"/>
    <w:qFormat/>
    <w:rsid w:val="004973A0"/>
    <w:rPr>
      <w:b/>
      <w:bCs/>
    </w:rPr>
  </w:style>
  <w:style w:type="paragraph" w:styleId="NormalWeb">
    <w:name w:val="Normal (Web)"/>
    <w:basedOn w:val="Normal"/>
    <w:uiPriority w:val="99"/>
    <w:unhideWhenUsed/>
    <w:rsid w:val="004973A0"/>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semiHidden/>
    <w:rsid w:val="004973A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4973A0"/>
    <w:rPr>
      <w:i/>
      <w:iCs/>
    </w:rPr>
  </w:style>
  <w:style w:type="character" w:styleId="Hyperlink">
    <w:name w:val="Hyperlink"/>
    <w:basedOn w:val="DefaultParagraphFont"/>
    <w:uiPriority w:val="99"/>
    <w:unhideWhenUsed/>
    <w:rsid w:val="004973A0"/>
    <w:rPr>
      <w:color w:val="0000FF"/>
      <w:u w:val="single"/>
    </w:rPr>
  </w:style>
  <w:style w:type="character" w:customStyle="1" w:styleId="Heading2Char">
    <w:name w:val="Heading 2 Char"/>
    <w:basedOn w:val="DefaultParagraphFont"/>
    <w:link w:val="Heading2"/>
    <w:uiPriority w:val="9"/>
    <w:semiHidden/>
    <w:rsid w:val="00454FB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0B14"/>
    <w:pPr>
      <w:ind w:left="720"/>
      <w:contextualSpacing/>
    </w:pPr>
  </w:style>
  <w:style w:type="paragraph" w:styleId="Caption">
    <w:name w:val="caption"/>
    <w:basedOn w:val="Normal"/>
    <w:next w:val="Normal"/>
    <w:uiPriority w:val="35"/>
    <w:unhideWhenUsed/>
    <w:qFormat/>
    <w:rsid w:val="00A12845"/>
    <w:pPr>
      <w:spacing w:after="200" w:line="240" w:lineRule="auto"/>
    </w:pPr>
    <w:rPr>
      <w:i/>
      <w:iCs/>
      <w:color w:val="44546A" w:themeColor="text2"/>
      <w:sz w:val="18"/>
      <w:szCs w:val="18"/>
    </w:rPr>
  </w:style>
  <w:style w:type="table" w:styleId="TableGrid">
    <w:name w:val="Table Grid"/>
    <w:basedOn w:val="TableNormal"/>
    <w:uiPriority w:val="39"/>
    <w:rsid w:val="00A1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7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392"/>
  </w:style>
  <w:style w:type="paragraph" w:styleId="Footer">
    <w:name w:val="footer"/>
    <w:basedOn w:val="Normal"/>
    <w:link w:val="FooterChar"/>
    <w:uiPriority w:val="99"/>
    <w:unhideWhenUsed/>
    <w:rsid w:val="00AB7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392"/>
  </w:style>
  <w:style w:type="character" w:styleId="UnresolvedMention">
    <w:name w:val="Unresolved Mention"/>
    <w:basedOn w:val="DefaultParagraphFont"/>
    <w:uiPriority w:val="99"/>
    <w:semiHidden/>
    <w:unhideWhenUsed/>
    <w:rsid w:val="0047760B"/>
    <w:rPr>
      <w:color w:val="605E5C"/>
      <w:shd w:val="clear" w:color="auto" w:fill="E1DFDD"/>
    </w:rPr>
  </w:style>
  <w:style w:type="character" w:styleId="CommentReference">
    <w:name w:val="annotation reference"/>
    <w:basedOn w:val="DefaultParagraphFont"/>
    <w:uiPriority w:val="99"/>
    <w:semiHidden/>
    <w:unhideWhenUsed/>
    <w:rsid w:val="0079150F"/>
    <w:rPr>
      <w:sz w:val="16"/>
      <w:szCs w:val="16"/>
    </w:rPr>
  </w:style>
  <w:style w:type="paragraph" w:styleId="CommentText">
    <w:name w:val="annotation text"/>
    <w:basedOn w:val="Normal"/>
    <w:link w:val="CommentTextChar"/>
    <w:uiPriority w:val="99"/>
    <w:semiHidden/>
    <w:unhideWhenUsed/>
    <w:rsid w:val="0079150F"/>
    <w:pPr>
      <w:spacing w:line="240" w:lineRule="auto"/>
    </w:pPr>
    <w:rPr>
      <w:sz w:val="20"/>
      <w:szCs w:val="20"/>
    </w:rPr>
  </w:style>
  <w:style w:type="character" w:customStyle="1" w:styleId="CommentTextChar">
    <w:name w:val="Comment Text Char"/>
    <w:basedOn w:val="DefaultParagraphFont"/>
    <w:link w:val="CommentText"/>
    <w:uiPriority w:val="99"/>
    <w:semiHidden/>
    <w:rsid w:val="0079150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9150F"/>
    <w:rPr>
      <w:b/>
      <w:bCs/>
    </w:rPr>
  </w:style>
  <w:style w:type="character" w:customStyle="1" w:styleId="CommentSubjectChar">
    <w:name w:val="Comment Subject Char"/>
    <w:basedOn w:val="CommentTextChar"/>
    <w:link w:val="CommentSubject"/>
    <w:uiPriority w:val="99"/>
    <w:semiHidden/>
    <w:rsid w:val="0079150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05308">
      <w:bodyDiv w:val="1"/>
      <w:marLeft w:val="0"/>
      <w:marRight w:val="0"/>
      <w:marTop w:val="0"/>
      <w:marBottom w:val="0"/>
      <w:divBdr>
        <w:top w:val="none" w:sz="0" w:space="0" w:color="auto"/>
        <w:left w:val="none" w:sz="0" w:space="0" w:color="auto"/>
        <w:bottom w:val="none" w:sz="0" w:space="0" w:color="auto"/>
        <w:right w:val="none" w:sz="0" w:space="0" w:color="auto"/>
      </w:divBdr>
    </w:div>
    <w:div w:id="110170977">
      <w:bodyDiv w:val="1"/>
      <w:marLeft w:val="0"/>
      <w:marRight w:val="0"/>
      <w:marTop w:val="0"/>
      <w:marBottom w:val="0"/>
      <w:divBdr>
        <w:top w:val="none" w:sz="0" w:space="0" w:color="auto"/>
        <w:left w:val="none" w:sz="0" w:space="0" w:color="auto"/>
        <w:bottom w:val="none" w:sz="0" w:space="0" w:color="auto"/>
        <w:right w:val="none" w:sz="0" w:space="0" w:color="auto"/>
      </w:divBdr>
    </w:div>
    <w:div w:id="159781854">
      <w:bodyDiv w:val="1"/>
      <w:marLeft w:val="0"/>
      <w:marRight w:val="0"/>
      <w:marTop w:val="0"/>
      <w:marBottom w:val="0"/>
      <w:divBdr>
        <w:top w:val="none" w:sz="0" w:space="0" w:color="auto"/>
        <w:left w:val="none" w:sz="0" w:space="0" w:color="auto"/>
        <w:bottom w:val="none" w:sz="0" w:space="0" w:color="auto"/>
        <w:right w:val="none" w:sz="0" w:space="0" w:color="auto"/>
      </w:divBdr>
    </w:div>
    <w:div w:id="218127835">
      <w:bodyDiv w:val="1"/>
      <w:marLeft w:val="0"/>
      <w:marRight w:val="0"/>
      <w:marTop w:val="0"/>
      <w:marBottom w:val="0"/>
      <w:divBdr>
        <w:top w:val="none" w:sz="0" w:space="0" w:color="auto"/>
        <w:left w:val="none" w:sz="0" w:space="0" w:color="auto"/>
        <w:bottom w:val="none" w:sz="0" w:space="0" w:color="auto"/>
        <w:right w:val="none" w:sz="0" w:space="0" w:color="auto"/>
      </w:divBdr>
    </w:div>
    <w:div w:id="260996020">
      <w:bodyDiv w:val="1"/>
      <w:marLeft w:val="0"/>
      <w:marRight w:val="0"/>
      <w:marTop w:val="0"/>
      <w:marBottom w:val="0"/>
      <w:divBdr>
        <w:top w:val="none" w:sz="0" w:space="0" w:color="auto"/>
        <w:left w:val="none" w:sz="0" w:space="0" w:color="auto"/>
        <w:bottom w:val="none" w:sz="0" w:space="0" w:color="auto"/>
        <w:right w:val="none" w:sz="0" w:space="0" w:color="auto"/>
      </w:divBdr>
    </w:div>
    <w:div w:id="261765967">
      <w:bodyDiv w:val="1"/>
      <w:marLeft w:val="0"/>
      <w:marRight w:val="0"/>
      <w:marTop w:val="0"/>
      <w:marBottom w:val="0"/>
      <w:divBdr>
        <w:top w:val="none" w:sz="0" w:space="0" w:color="auto"/>
        <w:left w:val="none" w:sz="0" w:space="0" w:color="auto"/>
        <w:bottom w:val="none" w:sz="0" w:space="0" w:color="auto"/>
        <w:right w:val="none" w:sz="0" w:space="0" w:color="auto"/>
      </w:divBdr>
    </w:div>
    <w:div w:id="267810950">
      <w:bodyDiv w:val="1"/>
      <w:marLeft w:val="0"/>
      <w:marRight w:val="0"/>
      <w:marTop w:val="0"/>
      <w:marBottom w:val="0"/>
      <w:divBdr>
        <w:top w:val="none" w:sz="0" w:space="0" w:color="auto"/>
        <w:left w:val="none" w:sz="0" w:space="0" w:color="auto"/>
        <w:bottom w:val="none" w:sz="0" w:space="0" w:color="auto"/>
        <w:right w:val="none" w:sz="0" w:space="0" w:color="auto"/>
      </w:divBdr>
    </w:div>
    <w:div w:id="280385785">
      <w:bodyDiv w:val="1"/>
      <w:marLeft w:val="0"/>
      <w:marRight w:val="0"/>
      <w:marTop w:val="0"/>
      <w:marBottom w:val="0"/>
      <w:divBdr>
        <w:top w:val="none" w:sz="0" w:space="0" w:color="auto"/>
        <w:left w:val="none" w:sz="0" w:space="0" w:color="auto"/>
        <w:bottom w:val="none" w:sz="0" w:space="0" w:color="auto"/>
        <w:right w:val="none" w:sz="0" w:space="0" w:color="auto"/>
      </w:divBdr>
    </w:div>
    <w:div w:id="291444356">
      <w:bodyDiv w:val="1"/>
      <w:marLeft w:val="0"/>
      <w:marRight w:val="0"/>
      <w:marTop w:val="0"/>
      <w:marBottom w:val="0"/>
      <w:divBdr>
        <w:top w:val="none" w:sz="0" w:space="0" w:color="auto"/>
        <w:left w:val="none" w:sz="0" w:space="0" w:color="auto"/>
        <w:bottom w:val="none" w:sz="0" w:space="0" w:color="auto"/>
        <w:right w:val="none" w:sz="0" w:space="0" w:color="auto"/>
      </w:divBdr>
    </w:div>
    <w:div w:id="307245819">
      <w:bodyDiv w:val="1"/>
      <w:marLeft w:val="0"/>
      <w:marRight w:val="0"/>
      <w:marTop w:val="0"/>
      <w:marBottom w:val="0"/>
      <w:divBdr>
        <w:top w:val="none" w:sz="0" w:space="0" w:color="auto"/>
        <w:left w:val="none" w:sz="0" w:space="0" w:color="auto"/>
        <w:bottom w:val="none" w:sz="0" w:space="0" w:color="auto"/>
        <w:right w:val="none" w:sz="0" w:space="0" w:color="auto"/>
      </w:divBdr>
    </w:div>
    <w:div w:id="345061223">
      <w:bodyDiv w:val="1"/>
      <w:marLeft w:val="0"/>
      <w:marRight w:val="0"/>
      <w:marTop w:val="0"/>
      <w:marBottom w:val="0"/>
      <w:divBdr>
        <w:top w:val="none" w:sz="0" w:space="0" w:color="auto"/>
        <w:left w:val="none" w:sz="0" w:space="0" w:color="auto"/>
        <w:bottom w:val="none" w:sz="0" w:space="0" w:color="auto"/>
        <w:right w:val="none" w:sz="0" w:space="0" w:color="auto"/>
      </w:divBdr>
    </w:div>
    <w:div w:id="403335853">
      <w:bodyDiv w:val="1"/>
      <w:marLeft w:val="0"/>
      <w:marRight w:val="0"/>
      <w:marTop w:val="0"/>
      <w:marBottom w:val="0"/>
      <w:divBdr>
        <w:top w:val="none" w:sz="0" w:space="0" w:color="auto"/>
        <w:left w:val="none" w:sz="0" w:space="0" w:color="auto"/>
        <w:bottom w:val="none" w:sz="0" w:space="0" w:color="auto"/>
        <w:right w:val="none" w:sz="0" w:space="0" w:color="auto"/>
      </w:divBdr>
    </w:div>
    <w:div w:id="431825639">
      <w:bodyDiv w:val="1"/>
      <w:marLeft w:val="0"/>
      <w:marRight w:val="0"/>
      <w:marTop w:val="0"/>
      <w:marBottom w:val="0"/>
      <w:divBdr>
        <w:top w:val="none" w:sz="0" w:space="0" w:color="auto"/>
        <w:left w:val="none" w:sz="0" w:space="0" w:color="auto"/>
        <w:bottom w:val="none" w:sz="0" w:space="0" w:color="auto"/>
        <w:right w:val="none" w:sz="0" w:space="0" w:color="auto"/>
      </w:divBdr>
    </w:div>
    <w:div w:id="439422430">
      <w:bodyDiv w:val="1"/>
      <w:marLeft w:val="0"/>
      <w:marRight w:val="0"/>
      <w:marTop w:val="0"/>
      <w:marBottom w:val="0"/>
      <w:divBdr>
        <w:top w:val="none" w:sz="0" w:space="0" w:color="auto"/>
        <w:left w:val="none" w:sz="0" w:space="0" w:color="auto"/>
        <w:bottom w:val="none" w:sz="0" w:space="0" w:color="auto"/>
        <w:right w:val="none" w:sz="0" w:space="0" w:color="auto"/>
      </w:divBdr>
    </w:div>
    <w:div w:id="449864061">
      <w:bodyDiv w:val="1"/>
      <w:marLeft w:val="0"/>
      <w:marRight w:val="0"/>
      <w:marTop w:val="0"/>
      <w:marBottom w:val="0"/>
      <w:divBdr>
        <w:top w:val="none" w:sz="0" w:space="0" w:color="auto"/>
        <w:left w:val="none" w:sz="0" w:space="0" w:color="auto"/>
        <w:bottom w:val="none" w:sz="0" w:space="0" w:color="auto"/>
        <w:right w:val="none" w:sz="0" w:space="0" w:color="auto"/>
      </w:divBdr>
    </w:div>
    <w:div w:id="455022535">
      <w:bodyDiv w:val="1"/>
      <w:marLeft w:val="0"/>
      <w:marRight w:val="0"/>
      <w:marTop w:val="0"/>
      <w:marBottom w:val="0"/>
      <w:divBdr>
        <w:top w:val="none" w:sz="0" w:space="0" w:color="auto"/>
        <w:left w:val="none" w:sz="0" w:space="0" w:color="auto"/>
        <w:bottom w:val="none" w:sz="0" w:space="0" w:color="auto"/>
        <w:right w:val="none" w:sz="0" w:space="0" w:color="auto"/>
      </w:divBdr>
    </w:div>
    <w:div w:id="456148969">
      <w:bodyDiv w:val="1"/>
      <w:marLeft w:val="0"/>
      <w:marRight w:val="0"/>
      <w:marTop w:val="0"/>
      <w:marBottom w:val="0"/>
      <w:divBdr>
        <w:top w:val="none" w:sz="0" w:space="0" w:color="auto"/>
        <w:left w:val="none" w:sz="0" w:space="0" w:color="auto"/>
        <w:bottom w:val="none" w:sz="0" w:space="0" w:color="auto"/>
        <w:right w:val="none" w:sz="0" w:space="0" w:color="auto"/>
      </w:divBdr>
    </w:div>
    <w:div w:id="513375893">
      <w:bodyDiv w:val="1"/>
      <w:marLeft w:val="0"/>
      <w:marRight w:val="0"/>
      <w:marTop w:val="0"/>
      <w:marBottom w:val="0"/>
      <w:divBdr>
        <w:top w:val="none" w:sz="0" w:space="0" w:color="auto"/>
        <w:left w:val="none" w:sz="0" w:space="0" w:color="auto"/>
        <w:bottom w:val="none" w:sz="0" w:space="0" w:color="auto"/>
        <w:right w:val="none" w:sz="0" w:space="0" w:color="auto"/>
      </w:divBdr>
    </w:div>
    <w:div w:id="532887703">
      <w:bodyDiv w:val="1"/>
      <w:marLeft w:val="0"/>
      <w:marRight w:val="0"/>
      <w:marTop w:val="0"/>
      <w:marBottom w:val="0"/>
      <w:divBdr>
        <w:top w:val="none" w:sz="0" w:space="0" w:color="auto"/>
        <w:left w:val="none" w:sz="0" w:space="0" w:color="auto"/>
        <w:bottom w:val="none" w:sz="0" w:space="0" w:color="auto"/>
        <w:right w:val="none" w:sz="0" w:space="0" w:color="auto"/>
      </w:divBdr>
    </w:div>
    <w:div w:id="555319217">
      <w:bodyDiv w:val="1"/>
      <w:marLeft w:val="0"/>
      <w:marRight w:val="0"/>
      <w:marTop w:val="0"/>
      <w:marBottom w:val="0"/>
      <w:divBdr>
        <w:top w:val="none" w:sz="0" w:space="0" w:color="auto"/>
        <w:left w:val="none" w:sz="0" w:space="0" w:color="auto"/>
        <w:bottom w:val="none" w:sz="0" w:space="0" w:color="auto"/>
        <w:right w:val="none" w:sz="0" w:space="0" w:color="auto"/>
      </w:divBdr>
    </w:div>
    <w:div w:id="555623231">
      <w:bodyDiv w:val="1"/>
      <w:marLeft w:val="0"/>
      <w:marRight w:val="0"/>
      <w:marTop w:val="0"/>
      <w:marBottom w:val="0"/>
      <w:divBdr>
        <w:top w:val="none" w:sz="0" w:space="0" w:color="auto"/>
        <w:left w:val="none" w:sz="0" w:space="0" w:color="auto"/>
        <w:bottom w:val="none" w:sz="0" w:space="0" w:color="auto"/>
        <w:right w:val="none" w:sz="0" w:space="0" w:color="auto"/>
      </w:divBdr>
    </w:div>
    <w:div w:id="566958996">
      <w:bodyDiv w:val="1"/>
      <w:marLeft w:val="0"/>
      <w:marRight w:val="0"/>
      <w:marTop w:val="0"/>
      <w:marBottom w:val="0"/>
      <w:divBdr>
        <w:top w:val="none" w:sz="0" w:space="0" w:color="auto"/>
        <w:left w:val="none" w:sz="0" w:space="0" w:color="auto"/>
        <w:bottom w:val="none" w:sz="0" w:space="0" w:color="auto"/>
        <w:right w:val="none" w:sz="0" w:space="0" w:color="auto"/>
      </w:divBdr>
    </w:div>
    <w:div w:id="580524321">
      <w:bodyDiv w:val="1"/>
      <w:marLeft w:val="0"/>
      <w:marRight w:val="0"/>
      <w:marTop w:val="0"/>
      <w:marBottom w:val="0"/>
      <w:divBdr>
        <w:top w:val="none" w:sz="0" w:space="0" w:color="auto"/>
        <w:left w:val="none" w:sz="0" w:space="0" w:color="auto"/>
        <w:bottom w:val="none" w:sz="0" w:space="0" w:color="auto"/>
        <w:right w:val="none" w:sz="0" w:space="0" w:color="auto"/>
      </w:divBdr>
    </w:div>
    <w:div w:id="710497841">
      <w:bodyDiv w:val="1"/>
      <w:marLeft w:val="0"/>
      <w:marRight w:val="0"/>
      <w:marTop w:val="0"/>
      <w:marBottom w:val="0"/>
      <w:divBdr>
        <w:top w:val="none" w:sz="0" w:space="0" w:color="auto"/>
        <w:left w:val="none" w:sz="0" w:space="0" w:color="auto"/>
        <w:bottom w:val="none" w:sz="0" w:space="0" w:color="auto"/>
        <w:right w:val="none" w:sz="0" w:space="0" w:color="auto"/>
      </w:divBdr>
    </w:div>
    <w:div w:id="723141196">
      <w:bodyDiv w:val="1"/>
      <w:marLeft w:val="0"/>
      <w:marRight w:val="0"/>
      <w:marTop w:val="0"/>
      <w:marBottom w:val="0"/>
      <w:divBdr>
        <w:top w:val="none" w:sz="0" w:space="0" w:color="auto"/>
        <w:left w:val="none" w:sz="0" w:space="0" w:color="auto"/>
        <w:bottom w:val="none" w:sz="0" w:space="0" w:color="auto"/>
        <w:right w:val="none" w:sz="0" w:space="0" w:color="auto"/>
      </w:divBdr>
    </w:div>
    <w:div w:id="733504036">
      <w:bodyDiv w:val="1"/>
      <w:marLeft w:val="0"/>
      <w:marRight w:val="0"/>
      <w:marTop w:val="0"/>
      <w:marBottom w:val="0"/>
      <w:divBdr>
        <w:top w:val="none" w:sz="0" w:space="0" w:color="auto"/>
        <w:left w:val="none" w:sz="0" w:space="0" w:color="auto"/>
        <w:bottom w:val="none" w:sz="0" w:space="0" w:color="auto"/>
        <w:right w:val="none" w:sz="0" w:space="0" w:color="auto"/>
      </w:divBdr>
    </w:div>
    <w:div w:id="751774445">
      <w:bodyDiv w:val="1"/>
      <w:marLeft w:val="0"/>
      <w:marRight w:val="0"/>
      <w:marTop w:val="0"/>
      <w:marBottom w:val="0"/>
      <w:divBdr>
        <w:top w:val="none" w:sz="0" w:space="0" w:color="auto"/>
        <w:left w:val="none" w:sz="0" w:space="0" w:color="auto"/>
        <w:bottom w:val="none" w:sz="0" w:space="0" w:color="auto"/>
        <w:right w:val="none" w:sz="0" w:space="0" w:color="auto"/>
      </w:divBdr>
    </w:div>
    <w:div w:id="818225702">
      <w:bodyDiv w:val="1"/>
      <w:marLeft w:val="0"/>
      <w:marRight w:val="0"/>
      <w:marTop w:val="0"/>
      <w:marBottom w:val="0"/>
      <w:divBdr>
        <w:top w:val="none" w:sz="0" w:space="0" w:color="auto"/>
        <w:left w:val="none" w:sz="0" w:space="0" w:color="auto"/>
        <w:bottom w:val="none" w:sz="0" w:space="0" w:color="auto"/>
        <w:right w:val="none" w:sz="0" w:space="0" w:color="auto"/>
      </w:divBdr>
    </w:div>
    <w:div w:id="865750927">
      <w:bodyDiv w:val="1"/>
      <w:marLeft w:val="0"/>
      <w:marRight w:val="0"/>
      <w:marTop w:val="0"/>
      <w:marBottom w:val="0"/>
      <w:divBdr>
        <w:top w:val="none" w:sz="0" w:space="0" w:color="auto"/>
        <w:left w:val="none" w:sz="0" w:space="0" w:color="auto"/>
        <w:bottom w:val="none" w:sz="0" w:space="0" w:color="auto"/>
        <w:right w:val="none" w:sz="0" w:space="0" w:color="auto"/>
      </w:divBdr>
    </w:div>
    <w:div w:id="869420204">
      <w:bodyDiv w:val="1"/>
      <w:marLeft w:val="0"/>
      <w:marRight w:val="0"/>
      <w:marTop w:val="0"/>
      <w:marBottom w:val="0"/>
      <w:divBdr>
        <w:top w:val="none" w:sz="0" w:space="0" w:color="auto"/>
        <w:left w:val="none" w:sz="0" w:space="0" w:color="auto"/>
        <w:bottom w:val="none" w:sz="0" w:space="0" w:color="auto"/>
        <w:right w:val="none" w:sz="0" w:space="0" w:color="auto"/>
      </w:divBdr>
    </w:div>
    <w:div w:id="902981970">
      <w:bodyDiv w:val="1"/>
      <w:marLeft w:val="0"/>
      <w:marRight w:val="0"/>
      <w:marTop w:val="0"/>
      <w:marBottom w:val="0"/>
      <w:divBdr>
        <w:top w:val="none" w:sz="0" w:space="0" w:color="auto"/>
        <w:left w:val="none" w:sz="0" w:space="0" w:color="auto"/>
        <w:bottom w:val="none" w:sz="0" w:space="0" w:color="auto"/>
        <w:right w:val="none" w:sz="0" w:space="0" w:color="auto"/>
      </w:divBdr>
    </w:div>
    <w:div w:id="939676216">
      <w:bodyDiv w:val="1"/>
      <w:marLeft w:val="0"/>
      <w:marRight w:val="0"/>
      <w:marTop w:val="0"/>
      <w:marBottom w:val="0"/>
      <w:divBdr>
        <w:top w:val="none" w:sz="0" w:space="0" w:color="auto"/>
        <w:left w:val="none" w:sz="0" w:space="0" w:color="auto"/>
        <w:bottom w:val="none" w:sz="0" w:space="0" w:color="auto"/>
        <w:right w:val="none" w:sz="0" w:space="0" w:color="auto"/>
      </w:divBdr>
    </w:div>
    <w:div w:id="951862534">
      <w:bodyDiv w:val="1"/>
      <w:marLeft w:val="0"/>
      <w:marRight w:val="0"/>
      <w:marTop w:val="0"/>
      <w:marBottom w:val="0"/>
      <w:divBdr>
        <w:top w:val="none" w:sz="0" w:space="0" w:color="auto"/>
        <w:left w:val="none" w:sz="0" w:space="0" w:color="auto"/>
        <w:bottom w:val="none" w:sz="0" w:space="0" w:color="auto"/>
        <w:right w:val="none" w:sz="0" w:space="0" w:color="auto"/>
      </w:divBdr>
    </w:div>
    <w:div w:id="967467416">
      <w:bodyDiv w:val="1"/>
      <w:marLeft w:val="0"/>
      <w:marRight w:val="0"/>
      <w:marTop w:val="0"/>
      <w:marBottom w:val="0"/>
      <w:divBdr>
        <w:top w:val="none" w:sz="0" w:space="0" w:color="auto"/>
        <w:left w:val="none" w:sz="0" w:space="0" w:color="auto"/>
        <w:bottom w:val="none" w:sz="0" w:space="0" w:color="auto"/>
        <w:right w:val="none" w:sz="0" w:space="0" w:color="auto"/>
      </w:divBdr>
    </w:div>
    <w:div w:id="1011486776">
      <w:bodyDiv w:val="1"/>
      <w:marLeft w:val="0"/>
      <w:marRight w:val="0"/>
      <w:marTop w:val="0"/>
      <w:marBottom w:val="0"/>
      <w:divBdr>
        <w:top w:val="none" w:sz="0" w:space="0" w:color="auto"/>
        <w:left w:val="none" w:sz="0" w:space="0" w:color="auto"/>
        <w:bottom w:val="none" w:sz="0" w:space="0" w:color="auto"/>
        <w:right w:val="none" w:sz="0" w:space="0" w:color="auto"/>
      </w:divBdr>
    </w:div>
    <w:div w:id="1032262208">
      <w:bodyDiv w:val="1"/>
      <w:marLeft w:val="0"/>
      <w:marRight w:val="0"/>
      <w:marTop w:val="0"/>
      <w:marBottom w:val="0"/>
      <w:divBdr>
        <w:top w:val="none" w:sz="0" w:space="0" w:color="auto"/>
        <w:left w:val="none" w:sz="0" w:space="0" w:color="auto"/>
        <w:bottom w:val="none" w:sz="0" w:space="0" w:color="auto"/>
        <w:right w:val="none" w:sz="0" w:space="0" w:color="auto"/>
      </w:divBdr>
    </w:div>
    <w:div w:id="1077899933">
      <w:bodyDiv w:val="1"/>
      <w:marLeft w:val="0"/>
      <w:marRight w:val="0"/>
      <w:marTop w:val="0"/>
      <w:marBottom w:val="0"/>
      <w:divBdr>
        <w:top w:val="none" w:sz="0" w:space="0" w:color="auto"/>
        <w:left w:val="none" w:sz="0" w:space="0" w:color="auto"/>
        <w:bottom w:val="none" w:sz="0" w:space="0" w:color="auto"/>
        <w:right w:val="none" w:sz="0" w:space="0" w:color="auto"/>
      </w:divBdr>
    </w:div>
    <w:div w:id="1091243671">
      <w:bodyDiv w:val="1"/>
      <w:marLeft w:val="0"/>
      <w:marRight w:val="0"/>
      <w:marTop w:val="0"/>
      <w:marBottom w:val="0"/>
      <w:divBdr>
        <w:top w:val="none" w:sz="0" w:space="0" w:color="auto"/>
        <w:left w:val="none" w:sz="0" w:space="0" w:color="auto"/>
        <w:bottom w:val="none" w:sz="0" w:space="0" w:color="auto"/>
        <w:right w:val="none" w:sz="0" w:space="0" w:color="auto"/>
      </w:divBdr>
    </w:div>
    <w:div w:id="1094933786">
      <w:bodyDiv w:val="1"/>
      <w:marLeft w:val="0"/>
      <w:marRight w:val="0"/>
      <w:marTop w:val="0"/>
      <w:marBottom w:val="0"/>
      <w:divBdr>
        <w:top w:val="none" w:sz="0" w:space="0" w:color="auto"/>
        <w:left w:val="none" w:sz="0" w:space="0" w:color="auto"/>
        <w:bottom w:val="none" w:sz="0" w:space="0" w:color="auto"/>
        <w:right w:val="none" w:sz="0" w:space="0" w:color="auto"/>
      </w:divBdr>
    </w:div>
    <w:div w:id="1100028327">
      <w:bodyDiv w:val="1"/>
      <w:marLeft w:val="0"/>
      <w:marRight w:val="0"/>
      <w:marTop w:val="0"/>
      <w:marBottom w:val="0"/>
      <w:divBdr>
        <w:top w:val="none" w:sz="0" w:space="0" w:color="auto"/>
        <w:left w:val="none" w:sz="0" w:space="0" w:color="auto"/>
        <w:bottom w:val="none" w:sz="0" w:space="0" w:color="auto"/>
        <w:right w:val="none" w:sz="0" w:space="0" w:color="auto"/>
      </w:divBdr>
    </w:div>
    <w:div w:id="1127160824">
      <w:bodyDiv w:val="1"/>
      <w:marLeft w:val="0"/>
      <w:marRight w:val="0"/>
      <w:marTop w:val="0"/>
      <w:marBottom w:val="0"/>
      <w:divBdr>
        <w:top w:val="none" w:sz="0" w:space="0" w:color="auto"/>
        <w:left w:val="none" w:sz="0" w:space="0" w:color="auto"/>
        <w:bottom w:val="none" w:sz="0" w:space="0" w:color="auto"/>
        <w:right w:val="none" w:sz="0" w:space="0" w:color="auto"/>
      </w:divBdr>
    </w:div>
    <w:div w:id="1135679604">
      <w:bodyDiv w:val="1"/>
      <w:marLeft w:val="0"/>
      <w:marRight w:val="0"/>
      <w:marTop w:val="0"/>
      <w:marBottom w:val="0"/>
      <w:divBdr>
        <w:top w:val="none" w:sz="0" w:space="0" w:color="auto"/>
        <w:left w:val="none" w:sz="0" w:space="0" w:color="auto"/>
        <w:bottom w:val="none" w:sz="0" w:space="0" w:color="auto"/>
        <w:right w:val="none" w:sz="0" w:space="0" w:color="auto"/>
      </w:divBdr>
    </w:div>
    <w:div w:id="1161383719">
      <w:bodyDiv w:val="1"/>
      <w:marLeft w:val="0"/>
      <w:marRight w:val="0"/>
      <w:marTop w:val="0"/>
      <w:marBottom w:val="0"/>
      <w:divBdr>
        <w:top w:val="none" w:sz="0" w:space="0" w:color="auto"/>
        <w:left w:val="none" w:sz="0" w:space="0" w:color="auto"/>
        <w:bottom w:val="none" w:sz="0" w:space="0" w:color="auto"/>
        <w:right w:val="none" w:sz="0" w:space="0" w:color="auto"/>
      </w:divBdr>
    </w:div>
    <w:div w:id="1190677931">
      <w:bodyDiv w:val="1"/>
      <w:marLeft w:val="0"/>
      <w:marRight w:val="0"/>
      <w:marTop w:val="0"/>
      <w:marBottom w:val="0"/>
      <w:divBdr>
        <w:top w:val="none" w:sz="0" w:space="0" w:color="auto"/>
        <w:left w:val="none" w:sz="0" w:space="0" w:color="auto"/>
        <w:bottom w:val="none" w:sz="0" w:space="0" w:color="auto"/>
        <w:right w:val="none" w:sz="0" w:space="0" w:color="auto"/>
      </w:divBdr>
    </w:div>
    <w:div w:id="1221593594">
      <w:bodyDiv w:val="1"/>
      <w:marLeft w:val="0"/>
      <w:marRight w:val="0"/>
      <w:marTop w:val="0"/>
      <w:marBottom w:val="0"/>
      <w:divBdr>
        <w:top w:val="none" w:sz="0" w:space="0" w:color="auto"/>
        <w:left w:val="none" w:sz="0" w:space="0" w:color="auto"/>
        <w:bottom w:val="none" w:sz="0" w:space="0" w:color="auto"/>
        <w:right w:val="none" w:sz="0" w:space="0" w:color="auto"/>
      </w:divBdr>
    </w:div>
    <w:div w:id="1232498408">
      <w:bodyDiv w:val="1"/>
      <w:marLeft w:val="0"/>
      <w:marRight w:val="0"/>
      <w:marTop w:val="0"/>
      <w:marBottom w:val="0"/>
      <w:divBdr>
        <w:top w:val="none" w:sz="0" w:space="0" w:color="auto"/>
        <w:left w:val="none" w:sz="0" w:space="0" w:color="auto"/>
        <w:bottom w:val="none" w:sz="0" w:space="0" w:color="auto"/>
        <w:right w:val="none" w:sz="0" w:space="0" w:color="auto"/>
      </w:divBdr>
    </w:div>
    <w:div w:id="1255017269">
      <w:bodyDiv w:val="1"/>
      <w:marLeft w:val="0"/>
      <w:marRight w:val="0"/>
      <w:marTop w:val="0"/>
      <w:marBottom w:val="0"/>
      <w:divBdr>
        <w:top w:val="none" w:sz="0" w:space="0" w:color="auto"/>
        <w:left w:val="none" w:sz="0" w:space="0" w:color="auto"/>
        <w:bottom w:val="none" w:sz="0" w:space="0" w:color="auto"/>
        <w:right w:val="none" w:sz="0" w:space="0" w:color="auto"/>
      </w:divBdr>
    </w:div>
    <w:div w:id="1269586740">
      <w:bodyDiv w:val="1"/>
      <w:marLeft w:val="0"/>
      <w:marRight w:val="0"/>
      <w:marTop w:val="0"/>
      <w:marBottom w:val="0"/>
      <w:divBdr>
        <w:top w:val="none" w:sz="0" w:space="0" w:color="auto"/>
        <w:left w:val="none" w:sz="0" w:space="0" w:color="auto"/>
        <w:bottom w:val="none" w:sz="0" w:space="0" w:color="auto"/>
        <w:right w:val="none" w:sz="0" w:space="0" w:color="auto"/>
      </w:divBdr>
    </w:div>
    <w:div w:id="1303460074">
      <w:bodyDiv w:val="1"/>
      <w:marLeft w:val="0"/>
      <w:marRight w:val="0"/>
      <w:marTop w:val="0"/>
      <w:marBottom w:val="0"/>
      <w:divBdr>
        <w:top w:val="none" w:sz="0" w:space="0" w:color="auto"/>
        <w:left w:val="none" w:sz="0" w:space="0" w:color="auto"/>
        <w:bottom w:val="none" w:sz="0" w:space="0" w:color="auto"/>
        <w:right w:val="none" w:sz="0" w:space="0" w:color="auto"/>
      </w:divBdr>
    </w:div>
    <w:div w:id="1307512051">
      <w:bodyDiv w:val="1"/>
      <w:marLeft w:val="0"/>
      <w:marRight w:val="0"/>
      <w:marTop w:val="0"/>
      <w:marBottom w:val="0"/>
      <w:divBdr>
        <w:top w:val="none" w:sz="0" w:space="0" w:color="auto"/>
        <w:left w:val="none" w:sz="0" w:space="0" w:color="auto"/>
        <w:bottom w:val="none" w:sz="0" w:space="0" w:color="auto"/>
        <w:right w:val="none" w:sz="0" w:space="0" w:color="auto"/>
      </w:divBdr>
    </w:div>
    <w:div w:id="1360857031">
      <w:bodyDiv w:val="1"/>
      <w:marLeft w:val="0"/>
      <w:marRight w:val="0"/>
      <w:marTop w:val="0"/>
      <w:marBottom w:val="0"/>
      <w:divBdr>
        <w:top w:val="none" w:sz="0" w:space="0" w:color="auto"/>
        <w:left w:val="none" w:sz="0" w:space="0" w:color="auto"/>
        <w:bottom w:val="none" w:sz="0" w:space="0" w:color="auto"/>
        <w:right w:val="none" w:sz="0" w:space="0" w:color="auto"/>
      </w:divBdr>
    </w:div>
    <w:div w:id="1370690830">
      <w:bodyDiv w:val="1"/>
      <w:marLeft w:val="0"/>
      <w:marRight w:val="0"/>
      <w:marTop w:val="0"/>
      <w:marBottom w:val="0"/>
      <w:divBdr>
        <w:top w:val="none" w:sz="0" w:space="0" w:color="auto"/>
        <w:left w:val="none" w:sz="0" w:space="0" w:color="auto"/>
        <w:bottom w:val="none" w:sz="0" w:space="0" w:color="auto"/>
        <w:right w:val="none" w:sz="0" w:space="0" w:color="auto"/>
      </w:divBdr>
    </w:div>
    <w:div w:id="1405494773">
      <w:bodyDiv w:val="1"/>
      <w:marLeft w:val="0"/>
      <w:marRight w:val="0"/>
      <w:marTop w:val="0"/>
      <w:marBottom w:val="0"/>
      <w:divBdr>
        <w:top w:val="none" w:sz="0" w:space="0" w:color="auto"/>
        <w:left w:val="none" w:sz="0" w:space="0" w:color="auto"/>
        <w:bottom w:val="none" w:sz="0" w:space="0" w:color="auto"/>
        <w:right w:val="none" w:sz="0" w:space="0" w:color="auto"/>
      </w:divBdr>
    </w:div>
    <w:div w:id="1435058073">
      <w:bodyDiv w:val="1"/>
      <w:marLeft w:val="0"/>
      <w:marRight w:val="0"/>
      <w:marTop w:val="0"/>
      <w:marBottom w:val="0"/>
      <w:divBdr>
        <w:top w:val="none" w:sz="0" w:space="0" w:color="auto"/>
        <w:left w:val="none" w:sz="0" w:space="0" w:color="auto"/>
        <w:bottom w:val="none" w:sz="0" w:space="0" w:color="auto"/>
        <w:right w:val="none" w:sz="0" w:space="0" w:color="auto"/>
      </w:divBdr>
    </w:div>
    <w:div w:id="1458177396">
      <w:bodyDiv w:val="1"/>
      <w:marLeft w:val="0"/>
      <w:marRight w:val="0"/>
      <w:marTop w:val="0"/>
      <w:marBottom w:val="0"/>
      <w:divBdr>
        <w:top w:val="none" w:sz="0" w:space="0" w:color="auto"/>
        <w:left w:val="none" w:sz="0" w:space="0" w:color="auto"/>
        <w:bottom w:val="none" w:sz="0" w:space="0" w:color="auto"/>
        <w:right w:val="none" w:sz="0" w:space="0" w:color="auto"/>
      </w:divBdr>
    </w:div>
    <w:div w:id="1471633351">
      <w:bodyDiv w:val="1"/>
      <w:marLeft w:val="0"/>
      <w:marRight w:val="0"/>
      <w:marTop w:val="0"/>
      <w:marBottom w:val="0"/>
      <w:divBdr>
        <w:top w:val="none" w:sz="0" w:space="0" w:color="auto"/>
        <w:left w:val="none" w:sz="0" w:space="0" w:color="auto"/>
        <w:bottom w:val="none" w:sz="0" w:space="0" w:color="auto"/>
        <w:right w:val="none" w:sz="0" w:space="0" w:color="auto"/>
      </w:divBdr>
    </w:div>
    <w:div w:id="1475104968">
      <w:bodyDiv w:val="1"/>
      <w:marLeft w:val="0"/>
      <w:marRight w:val="0"/>
      <w:marTop w:val="0"/>
      <w:marBottom w:val="0"/>
      <w:divBdr>
        <w:top w:val="none" w:sz="0" w:space="0" w:color="auto"/>
        <w:left w:val="none" w:sz="0" w:space="0" w:color="auto"/>
        <w:bottom w:val="none" w:sz="0" w:space="0" w:color="auto"/>
        <w:right w:val="none" w:sz="0" w:space="0" w:color="auto"/>
      </w:divBdr>
    </w:div>
    <w:div w:id="1507673227">
      <w:bodyDiv w:val="1"/>
      <w:marLeft w:val="0"/>
      <w:marRight w:val="0"/>
      <w:marTop w:val="0"/>
      <w:marBottom w:val="0"/>
      <w:divBdr>
        <w:top w:val="none" w:sz="0" w:space="0" w:color="auto"/>
        <w:left w:val="none" w:sz="0" w:space="0" w:color="auto"/>
        <w:bottom w:val="none" w:sz="0" w:space="0" w:color="auto"/>
        <w:right w:val="none" w:sz="0" w:space="0" w:color="auto"/>
      </w:divBdr>
    </w:div>
    <w:div w:id="1604453935">
      <w:bodyDiv w:val="1"/>
      <w:marLeft w:val="0"/>
      <w:marRight w:val="0"/>
      <w:marTop w:val="0"/>
      <w:marBottom w:val="0"/>
      <w:divBdr>
        <w:top w:val="none" w:sz="0" w:space="0" w:color="auto"/>
        <w:left w:val="none" w:sz="0" w:space="0" w:color="auto"/>
        <w:bottom w:val="none" w:sz="0" w:space="0" w:color="auto"/>
        <w:right w:val="none" w:sz="0" w:space="0" w:color="auto"/>
      </w:divBdr>
    </w:div>
    <w:div w:id="1607075870">
      <w:bodyDiv w:val="1"/>
      <w:marLeft w:val="0"/>
      <w:marRight w:val="0"/>
      <w:marTop w:val="0"/>
      <w:marBottom w:val="0"/>
      <w:divBdr>
        <w:top w:val="none" w:sz="0" w:space="0" w:color="auto"/>
        <w:left w:val="none" w:sz="0" w:space="0" w:color="auto"/>
        <w:bottom w:val="none" w:sz="0" w:space="0" w:color="auto"/>
        <w:right w:val="none" w:sz="0" w:space="0" w:color="auto"/>
      </w:divBdr>
    </w:div>
    <w:div w:id="1630552771">
      <w:bodyDiv w:val="1"/>
      <w:marLeft w:val="0"/>
      <w:marRight w:val="0"/>
      <w:marTop w:val="0"/>
      <w:marBottom w:val="0"/>
      <w:divBdr>
        <w:top w:val="none" w:sz="0" w:space="0" w:color="auto"/>
        <w:left w:val="none" w:sz="0" w:space="0" w:color="auto"/>
        <w:bottom w:val="none" w:sz="0" w:space="0" w:color="auto"/>
        <w:right w:val="none" w:sz="0" w:space="0" w:color="auto"/>
      </w:divBdr>
    </w:div>
    <w:div w:id="1655452563">
      <w:bodyDiv w:val="1"/>
      <w:marLeft w:val="0"/>
      <w:marRight w:val="0"/>
      <w:marTop w:val="0"/>
      <w:marBottom w:val="0"/>
      <w:divBdr>
        <w:top w:val="none" w:sz="0" w:space="0" w:color="auto"/>
        <w:left w:val="none" w:sz="0" w:space="0" w:color="auto"/>
        <w:bottom w:val="none" w:sz="0" w:space="0" w:color="auto"/>
        <w:right w:val="none" w:sz="0" w:space="0" w:color="auto"/>
      </w:divBdr>
    </w:div>
    <w:div w:id="1717269069">
      <w:bodyDiv w:val="1"/>
      <w:marLeft w:val="0"/>
      <w:marRight w:val="0"/>
      <w:marTop w:val="0"/>
      <w:marBottom w:val="0"/>
      <w:divBdr>
        <w:top w:val="none" w:sz="0" w:space="0" w:color="auto"/>
        <w:left w:val="none" w:sz="0" w:space="0" w:color="auto"/>
        <w:bottom w:val="none" w:sz="0" w:space="0" w:color="auto"/>
        <w:right w:val="none" w:sz="0" w:space="0" w:color="auto"/>
      </w:divBdr>
    </w:div>
    <w:div w:id="1722971950">
      <w:bodyDiv w:val="1"/>
      <w:marLeft w:val="0"/>
      <w:marRight w:val="0"/>
      <w:marTop w:val="0"/>
      <w:marBottom w:val="0"/>
      <w:divBdr>
        <w:top w:val="none" w:sz="0" w:space="0" w:color="auto"/>
        <w:left w:val="none" w:sz="0" w:space="0" w:color="auto"/>
        <w:bottom w:val="none" w:sz="0" w:space="0" w:color="auto"/>
        <w:right w:val="none" w:sz="0" w:space="0" w:color="auto"/>
      </w:divBdr>
    </w:div>
    <w:div w:id="1736850418">
      <w:bodyDiv w:val="1"/>
      <w:marLeft w:val="0"/>
      <w:marRight w:val="0"/>
      <w:marTop w:val="0"/>
      <w:marBottom w:val="0"/>
      <w:divBdr>
        <w:top w:val="none" w:sz="0" w:space="0" w:color="auto"/>
        <w:left w:val="none" w:sz="0" w:space="0" w:color="auto"/>
        <w:bottom w:val="none" w:sz="0" w:space="0" w:color="auto"/>
        <w:right w:val="none" w:sz="0" w:space="0" w:color="auto"/>
      </w:divBdr>
    </w:div>
    <w:div w:id="1762413853">
      <w:bodyDiv w:val="1"/>
      <w:marLeft w:val="0"/>
      <w:marRight w:val="0"/>
      <w:marTop w:val="0"/>
      <w:marBottom w:val="0"/>
      <w:divBdr>
        <w:top w:val="none" w:sz="0" w:space="0" w:color="auto"/>
        <w:left w:val="none" w:sz="0" w:space="0" w:color="auto"/>
        <w:bottom w:val="none" w:sz="0" w:space="0" w:color="auto"/>
        <w:right w:val="none" w:sz="0" w:space="0" w:color="auto"/>
      </w:divBdr>
    </w:div>
    <w:div w:id="1775519543">
      <w:bodyDiv w:val="1"/>
      <w:marLeft w:val="0"/>
      <w:marRight w:val="0"/>
      <w:marTop w:val="0"/>
      <w:marBottom w:val="0"/>
      <w:divBdr>
        <w:top w:val="none" w:sz="0" w:space="0" w:color="auto"/>
        <w:left w:val="none" w:sz="0" w:space="0" w:color="auto"/>
        <w:bottom w:val="none" w:sz="0" w:space="0" w:color="auto"/>
        <w:right w:val="none" w:sz="0" w:space="0" w:color="auto"/>
      </w:divBdr>
    </w:div>
    <w:div w:id="1776320142">
      <w:bodyDiv w:val="1"/>
      <w:marLeft w:val="0"/>
      <w:marRight w:val="0"/>
      <w:marTop w:val="0"/>
      <w:marBottom w:val="0"/>
      <w:divBdr>
        <w:top w:val="none" w:sz="0" w:space="0" w:color="auto"/>
        <w:left w:val="none" w:sz="0" w:space="0" w:color="auto"/>
        <w:bottom w:val="none" w:sz="0" w:space="0" w:color="auto"/>
        <w:right w:val="none" w:sz="0" w:space="0" w:color="auto"/>
      </w:divBdr>
      <w:divsChild>
        <w:div w:id="110636505">
          <w:marLeft w:val="0"/>
          <w:marRight w:val="0"/>
          <w:marTop w:val="0"/>
          <w:marBottom w:val="0"/>
          <w:divBdr>
            <w:top w:val="none" w:sz="0" w:space="0" w:color="auto"/>
            <w:left w:val="none" w:sz="0" w:space="0" w:color="auto"/>
            <w:bottom w:val="none" w:sz="0" w:space="0" w:color="auto"/>
            <w:right w:val="none" w:sz="0" w:space="0" w:color="auto"/>
          </w:divBdr>
          <w:divsChild>
            <w:div w:id="394282639">
              <w:marLeft w:val="0"/>
              <w:marRight w:val="0"/>
              <w:marTop w:val="0"/>
              <w:marBottom w:val="0"/>
              <w:divBdr>
                <w:top w:val="none" w:sz="0" w:space="0" w:color="auto"/>
                <w:left w:val="none" w:sz="0" w:space="0" w:color="auto"/>
                <w:bottom w:val="none" w:sz="0" w:space="0" w:color="auto"/>
                <w:right w:val="none" w:sz="0" w:space="0" w:color="auto"/>
              </w:divBdr>
              <w:divsChild>
                <w:div w:id="1555700268">
                  <w:marLeft w:val="0"/>
                  <w:marRight w:val="0"/>
                  <w:marTop w:val="0"/>
                  <w:marBottom w:val="0"/>
                  <w:divBdr>
                    <w:top w:val="none" w:sz="0" w:space="0" w:color="auto"/>
                    <w:left w:val="none" w:sz="0" w:space="0" w:color="auto"/>
                    <w:bottom w:val="none" w:sz="0" w:space="0" w:color="auto"/>
                    <w:right w:val="none" w:sz="0" w:space="0" w:color="auto"/>
                  </w:divBdr>
                  <w:divsChild>
                    <w:div w:id="785464653">
                      <w:marLeft w:val="0"/>
                      <w:marRight w:val="0"/>
                      <w:marTop w:val="0"/>
                      <w:marBottom w:val="0"/>
                      <w:divBdr>
                        <w:top w:val="none" w:sz="0" w:space="0" w:color="auto"/>
                        <w:left w:val="none" w:sz="0" w:space="0" w:color="auto"/>
                        <w:bottom w:val="none" w:sz="0" w:space="0" w:color="auto"/>
                        <w:right w:val="none" w:sz="0" w:space="0" w:color="auto"/>
                      </w:divBdr>
                      <w:divsChild>
                        <w:div w:id="1472407920">
                          <w:marLeft w:val="0"/>
                          <w:marRight w:val="0"/>
                          <w:marTop w:val="0"/>
                          <w:marBottom w:val="0"/>
                          <w:divBdr>
                            <w:top w:val="none" w:sz="0" w:space="0" w:color="auto"/>
                            <w:left w:val="none" w:sz="0" w:space="0" w:color="auto"/>
                            <w:bottom w:val="none" w:sz="0" w:space="0" w:color="auto"/>
                            <w:right w:val="none" w:sz="0" w:space="0" w:color="auto"/>
                          </w:divBdr>
                          <w:divsChild>
                            <w:div w:id="1546797663">
                              <w:marLeft w:val="0"/>
                              <w:marRight w:val="0"/>
                              <w:marTop w:val="0"/>
                              <w:marBottom w:val="0"/>
                              <w:divBdr>
                                <w:top w:val="none" w:sz="0" w:space="0" w:color="auto"/>
                                <w:left w:val="none" w:sz="0" w:space="0" w:color="auto"/>
                                <w:bottom w:val="none" w:sz="0" w:space="0" w:color="auto"/>
                                <w:right w:val="none" w:sz="0" w:space="0" w:color="auto"/>
                              </w:divBdr>
                              <w:divsChild>
                                <w:div w:id="15366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7419">
      <w:bodyDiv w:val="1"/>
      <w:marLeft w:val="0"/>
      <w:marRight w:val="0"/>
      <w:marTop w:val="0"/>
      <w:marBottom w:val="0"/>
      <w:divBdr>
        <w:top w:val="none" w:sz="0" w:space="0" w:color="auto"/>
        <w:left w:val="none" w:sz="0" w:space="0" w:color="auto"/>
        <w:bottom w:val="none" w:sz="0" w:space="0" w:color="auto"/>
        <w:right w:val="none" w:sz="0" w:space="0" w:color="auto"/>
      </w:divBdr>
    </w:div>
    <w:div w:id="1857958753">
      <w:bodyDiv w:val="1"/>
      <w:marLeft w:val="0"/>
      <w:marRight w:val="0"/>
      <w:marTop w:val="0"/>
      <w:marBottom w:val="0"/>
      <w:divBdr>
        <w:top w:val="none" w:sz="0" w:space="0" w:color="auto"/>
        <w:left w:val="none" w:sz="0" w:space="0" w:color="auto"/>
        <w:bottom w:val="none" w:sz="0" w:space="0" w:color="auto"/>
        <w:right w:val="none" w:sz="0" w:space="0" w:color="auto"/>
      </w:divBdr>
    </w:div>
    <w:div w:id="1891845814">
      <w:bodyDiv w:val="1"/>
      <w:marLeft w:val="0"/>
      <w:marRight w:val="0"/>
      <w:marTop w:val="0"/>
      <w:marBottom w:val="0"/>
      <w:divBdr>
        <w:top w:val="none" w:sz="0" w:space="0" w:color="auto"/>
        <w:left w:val="none" w:sz="0" w:space="0" w:color="auto"/>
        <w:bottom w:val="none" w:sz="0" w:space="0" w:color="auto"/>
        <w:right w:val="none" w:sz="0" w:space="0" w:color="auto"/>
      </w:divBdr>
    </w:div>
    <w:div w:id="1979722724">
      <w:bodyDiv w:val="1"/>
      <w:marLeft w:val="0"/>
      <w:marRight w:val="0"/>
      <w:marTop w:val="0"/>
      <w:marBottom w:val="0"/>
      <w:divBdr>
        <w:top w:val="none" w:sz="0" w:space="0" w:color="auto"/>
        <w:left w:val="none" w:sz="0" w:space="0" w:color="auto"/>
        <w:bottom w:val="none" w:sz="0" w:space="0" w:color="auto"/>
        <w:right w:val="none" w:sz="0" w:space="0" w:color="auto"/>
      </w:divBdr>
    </w:div>
    <w:div w:id="1987931470">
      <w:bodyDiv w:val="1"/>
      <w:marLeft w:val="0"/>
      <w:marRight w:val="0"/>
      <w:marTop w:val="0"/>
      <w:marBottom w:val="0"/>
      <w:divBdr>
        <w:top w:val="none" w:sz="0" w:space="0" w:color="auto"/>
        <w:left w:val="none" w:sz="0" w:space="0" w:color="auto"/>
        <w:bottom w:val="none" w:sz="0" w:space="0" w:color="auto"/>
        <w:right w:val="none" w:sz="0" w:space="0" w:color="auto"/>
      </w:divBdr>
    </w:div>
    <w:div w:id="1988437195">
      <w:bodyDiv w:val="1"/>
      <w:marLeft w:val="0"/>
      <w:marRight w:val="0"/>
      <w:marTop w:val="0"/>
      <w:marBottom w:val="0"/>
      <w:divBdr>
        <w:top w:val="none" w:sz="0" w:space="0" w:color="auto"/>
        <w:left w:val="none" w:sz="0" w:space="0" w:color="auto"/>
        <w:bottom w:val="none" w:sz="0" w:space="0" w:color="auto"/>
        <w:right w:val="none" w:sz="0" w:space="0" w:color="auto"/>
      </w:divBdr>
    </w:div>
    <w:div w:id="2078161447">
      <w:bodyDiv w:val="1"/>
      <w:marLeft w:val="0"/>
      <w:marRight w:val="0"/>
      <w:marTop w:val="0"/>
      <w:marBottom w:val="0"/>
      <w:divBdr>
        <w:top w:val="none" w:sz="0" w:space="0" w:color="auto"/>
        <w:left w:val="none" w:sz="0" w:space="0" w:color="auto"/>
        <w:bottom w:val="none" w:sz="0" w:space="0" w:color="auto"/>
        <w:right w:val="none" w:sz="0" w:space="0" w:color="auto"/>
      </w:divBdr>
    </w:div>
    <w:div w:id="2114470968">
      <w:bodyDiv w:val="1"/>
      <w:marLeft w:val="0"/>
      <w:marRight w:val="0"/>
      <w:marTop w:val="0"/>
      <w:marBottom w:val="0"/>
      <w:divBdr>
        <w:top w:val="none" w:sz="0" w:space="0" w:color="auto"/>
        <w:left w:val="none" w:sz="0" w:space="0" w:color="auto"/>
        <w:bottom w:val="none" w:sz="0" w:space="0" w:color="auto"/>
        <w:right w:val="none" w:sz="0" w:space="0" w:color="auto"/>
      </w:divBdr>
    </w:div>
    <w:div w:id="2127969262">
      <w:bodyDiv w:val="1"/>
      <w:marLeft w:val="0"/>
      <w:marRight w:val="0"/>
      <w:marTop w:val="0"/>
      <w:marBottom w:val="0"/>
      <w:divBdr>
        <w:top w:val="none" w:sz="0" w:space="0" w:color="auto"/>
        <w:left w:val="none" w:sz="0" w:space="0" w:color="auto"/>
        <w:bottom w:val="none" w:sz="0" w:space="0" w:color="auto"/>
        <w:right w:val="none" w:sz="0" w:space="0" w:color="auto"/>
      </w:divBdr>
    </w:div>
    <w:div w:id="21437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doi.org/10.1038/modpathol.2017.158" TargetMode="External"/><Relationship Id="rId47" Type="http://schemas.openxmlformats.org/officeDocument/2006/relationships/hyperlink" Target="https://doi.org/10.1016/j.urology.2009.03.003" TargetMode="External"/><Relationship Id="rId63" Type="http://schemas.openxmlformats.org/officeDocument/2006/relationships/hyperlink" Target="https://doi.org/10.1001/jama.2017.7248" TargetMode="External"/><Relationship Id="rId68" Type="http://schemas.openxmlformats.org/officeDocument/2006/relationships/hyperlink" Target="https://doi.org/10.1002/jbm.a.35871" TargetMode="External"/><Relationship Id="rId84" Type="http://schemas.openxmlformats.org/officeDocument/2006/relationships/hyperlink" Target="https://doi.org/10.1146/annurev-med-051517-011947" TargetMode="External"/><Relationship Id="rId89" Type="http://schemas.openxmlformats.org/officeDocument/2006/relationships/hyperlink" Target="https://doi.org/10.1002/agt2.176" TargetMode="External"/><Relationship Id="rId16" Type="http://schemas.openxmlformats.org/officeDocument/2006/relationships/header" Target="header2.xml"/><Relationship Id="rId11" Type="http://schemas.microsoft.com/office/2018/08/relationships/commentsExtensible" Target="commentsExtensible.xml"/><Relationship Id="rId32" Type="http://schemas.openxmlformats.org/officeDocument/2006/relationships/hyperlink" Target="https://doi.org/10.1016/j.biomaterials.2008.11.033" TargetMode="External"/><Relationship Id="rId37" Type="http://schemas.openxmlformats.org/officeDocument/2006/relationships/hyperlink" Target="https://doi.org/10.1002/pros.10360" TargetMode="External"/><Relationship Id="rId53" Type="http://schemas.openxmlformats.org/officeDocument/2006/relationships/hyperlink" Target="https://doi.org/10.1016/j.actbio.2007.04.001" TargetMode="External"/><Relationship Id="rId58" Type="http://schemas.openxmlformats.org/officeDocument/2006/relationships/hyperlink" Target="https://doi.org/10.1080/15583724.2010.537800" TargetMode="External"/><Relationship Id="rId74" Type="http://schemas.openxmlformats.org/officeDocument/2006/relationships/hyperlink" Target="https://doi.org/10.1155/2022/8818139" TargetMode="External"/><Relationship Id="rId79" Type="http://schemas.openxmlformats.org/officeDocument/2006/relationships/hyperlink" Target="https://doi.org/10.1002/wnan.26" TargetMode="External"/><Relationship Id="rId5" Type="http://schemas.openxmlformats.org/officeDocument/2006/relationships/webSettings" Target="webSettings.xml"/><Relationship Id="rId90" Type="http://schemas.openxmlformats.org/officeDocument/2006/relationships/hyperlink" Target="https://doi.org/10.1021/acsabm.9b01012"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s://doi.org/10.1039/D4QM00944D" TargetMode="External"/><Relationship Id="rId48" Type="http://schemas.openxmlformats.org/officeDocument/2006/relationships/hyperlink" Target="https://doi.org/10.1016/j.eurpolymj.2020.109992" TargetMode="External"/><Relationship Id="rId64" Type="http://schemas.openxmlformats.org/officeDocument/2006/relationships/hyperlink" Target="https://doi.org/10.1021/ac070895z" TargetMode="External"/><Relationship Id="rId69" Type="http://schemas.openxmlformats.org/officeDocument/2006/relationships/hyperlink" Target="https://doi.org/10.1088/1748-605X/ab82ea" TargetMode="External"/><Relationship Id="rId8" Type="http://schemas.openxmlformats.org/officeDocument/2006/relationships/comments" Target="comments.xml"/><Relationship Id="rId51" Type="http://schemas.openxmlformats.org/officeDocument/2006/relationships/hyperlink" Target="https://doi.org/10.1039/B401791A" TargetMode="External"/><Relationship Id="rId72" Type="http://schemas.openxmlformats.org/officeDocument/2006/relationships/hyperlink" Target="https://doi.org/10.1089/ten.1999.5.139" TargetMode="External"/><Relationship Id="rId80" Type="http://schemas.openxmlformats.org/officeDocument/2006/relationships/hyperlink" Target="https://doi.org/10.1088/1748-6041/11/1/014110" TargetMode="External"/><Relationship Id="rId85" Type="http://schemas.openxmlformats.org/officeDocument/2006/relationships/hyperlink" Target="https://doi.org/10.2147/IJN.S505591"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doi.org/10.1016/j.actbio.2022.01.050" TargetMode="External"/><Relationship Id="rId38" Type="http://schemas.openxmlformats.org/officeDocument/2006/relationships/hyperlink" Target="https://doi.org/10.3390/pharmaceutics15010242" TargetMode="External"/><Relationship Id="rId46" Type="http://schemas.openxmlformats.org/officeDocument/2006/relationships/hyperlink" Target="https://doi.org/10.3390/ijms15033640" TargetMode="External"/><Relationship Id="rId59" Type="http://schemas.openxmlformats.org/officeDocument/2006/relationships/hyperlink" Target="https://doi.org/10.1021/acs.chemrev.0c01200" TargetMode="External"/><Relationship Id="rId67" Type="http://schemas.openxmlformats.org/officeDocument/2006/relationships/hyperlink" Target="https://doi.org/10.3322/CA.2008.0002" TargetMode="External"/><Relationship Id="rId20" Type="http://schemas.openxmlformats.org/officeDocument/2006/relationships/footer" Target="footer3.xml"/><Relationship Id="rId41" Type="http://schemas.openxmlformats.org/officeDocument/2006/relationships/hyperlink" Target="https://doi.org/10.1016/j.soncn.2011.07.002" TargetMode="External"/><Relationship Id="rId54" Type="http://schemas.openxmlformats.org/officeDocument/2006/relationships/hyperlink" Target="https://doi.org/10.1080/00914037.2023.2277219" TargetMode="External"/><Relationship Id="rId62" Type="http://schemas.openxmlformats.org/officeDocument/2006/relationships/hyperlink" Target="https://doi.org/10.3389/fbioe.2020.612950" TargetMode="External"/><Relationship Id="rId70" Type="http://schemas.openxmlformats.org/officeDocument/2006/relationships/hyperlink" Target="https://doi.org/10.3390/ijms19051359" TargetMode="External"/><Relationship Id="rId75" Type="http://schemas.openxmlformats.org/officeDocument/2006/relationships/hyperlink" Target="https://doi.org/10.1021/acsbiomaterials.6b00370" TargetMode="External"/><Relationship Id="rId83" Type="http://schemas.openxmlformats.org/officeDocument/2006/relationships/hyperlink" Target="https://doi.org/10.1016/j.bbe.2020.01.015" TargetMode="External"/><Relationship Id="rId88" Type="http://schemas.openxmlformats.org/officeDocument/2006/relationships/hyperlink" Target="https://doi.org/10.1016/j.eururo.2006.08.043" TargetMode="External"/><Relationship Id="rId91" Type="http://schemas.openxmlformats.org/officeDocument/2006/relationships/hyperlink" Target="https://doi.org/10.1016/j.jddst.2024.1053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doi.org/10.1159/000519861" TargetMode="External"/><Relationship Id="rId36" Type="http://schemas.openxmlformats.org/officeDocument/2006/relationships/hyperlink" Target="https://doi.org/10.1038/nrc801" TargetMode="External"/><Relationship Id="rId49" Type="http://schemas.openxmlformats.org/officeDocument/2006/relationships/hyperlink" Target="https://doi.org/10.3390/nu11102312" TargetMode="External"/><Relationship Id="rId57" Type="http://schemas.openxmlformats.org/officeDocument/2006/relationships/hyperlink" Target="https://doi.org/10.21203/rs.3.rs-1541397/v1" TargetMode="External"/><Relationship Id="rId10" Type="http://schemas.microsoft.com/office/2016/09/relationships/commentsIds" Target="commentsIds.xml"/><Relationship Id="rId31" Type="http://schemas.openxmlformats.org/officeDocument/2006/relationships/hyperlink" Target="https://doi.org/10.3390/md20070460" TargetMode="External"/><Relationship Id="rId44" Type="http://schemas.openxmlformats.org/officeDocument/2006/relationships/hyperlink" Target="https://doi.org/10.1016/j.biomaterials.2015.07.019" TargetMode="External"/><Relationship Id="rId52" Type="http://schemas.openxmlformats.org/officeDocument/2006/relationships/hyperlink" Target="https://doi.org/10.1371/journal.pone.0210285" TargetMode="External"/><Relationship Id="rId60" Type="http://schemas.openxmlformats.org/officeDocument/2006/relationships/hyperlink" Target="https://doi.org/10.1016/j.addr.2007.03.013" TargetMode="External"/><Relationship Id="rId65" Type="http://schemas.openxmlformats.org/officeDocument/2006/relationships/hyperlink" Target="https://doi.org/10.1002/adhm.201701035" TargetMode="External"/><Relationship Id="rId73" Type="http://schemas.openxmlformats.org/officeDocument/2006/relationships/hyperlink" Target="https://doi.org/10.1016/j.biomaterials.2004.07.011" TargetMode="External"/><Relationship Id="rId78" Type="http://schemas.openxmlformats.org/officeDocument/2006/relationships/hyperlink" Target="https://doi.org/10.1016/j.bioadv.2025.214235" TargetMode="External"/><Relationship Id="rId81" Type="http://schemas.openxmlformats.org/officeDocument/2006/relationships/hyperlink" Target="https://doi.org/10.3390/ijms23105831" TargetMode="External"/><Relationship Id="rId86" Type="http://schemas.openxmlformats.org/officeDocument/2006/relationships/hyperlink" Target="https://doi.org/10.1038/nrd4068" TargetMode="External"/><Relationship Id="rId9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yperlink" Target="https://doi.org/10.3390/ijms25063126" TargetMode="External"/><Relationship Id="rId34" Type="http://schemas.openxmlformats.org/officeDocument/2006/relationships/hyperlink" Target="https://doi.org/10.1021/acsabm.4c01001" TargetMode="External"/><Relationship Id="rId50" Type="http://schemas.openxmlformats.org/officeDocument/2006/relationships/hyperlink" Target="https://doi.org/10.1016/j.ijbiomac.2025.149696" TargetMode="External"/><Relationship Id="rId55" Type="http://schemas.openxmlformats.org/officeDocument/2006/relationships/hyperlink" Target="https://doi.org/10.3390/pharmaceutics14122835" TargetMode="External"/><Relationship Id="rId76" Type="http://schemas.openxmlformats.org/officeDocument/2006/relationships/hyperlink" Target="https://doi.org/10.1002/adhm.202000349" TargetMode="External"/><Relationship Id="rId7" Type="http://schemas.openxmlformats.org/officeDocument/2006/relationships/endnotes" Target="endnotes.xml"/><Relationship Id="rId71" Type="http://schemas.openxmlformats.org/officeDocument/2006/relationships/hyperlink" Target="https://www.google.com/search?q=https://doi.org/10.1186/s13287-025-04221-9"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doi.org/10.1177/15330338241290029" TargetMode="External"/><Relationship Id="rId24" Type="http://schemas.openxmlformats.org/officeDocument/2006/relationships/image" Target="media/image7.png"/><Relationship Id="rId40" Type="http://schemas.openxmlformats.org/officeDocument/2006/relationships/hyperlink" Target="https://doi.org/10.1002/jbm.a.34521" TargetMode="External"/><Relationship Id="rId45" Type="http://schemas.openxmlformats.org/officeDocument/2006/relationships/hyperlink" Target="https://doi.org/10.1177/000456322110418" TargetMode="External"/><Relationship Id="rId66" Type="http://schemas.openxmlformats.org/officeDocument/2006/relationships/hyperlink" Target="https://doi.org/10.1533/9780857096760.4.417" TargetMode="External"/><Relationship Id="rId87" Type="http://schemas.openxmlformats.org/officeDocument/2006/relationships/hyperlink" Target="https://doi.org/10.1016/S0928-4931(02)00011-5" TargetMode="External"/><Relationship Id="rId61" Type="http://schemas.openxmlformats.org/officeDocument/2006/relationships/hyperlink" Target="https://doi.org/10.1002/adma.200802009" TargetMode="External"/><Relationship Id="rId82" Type="http://schemas.openxmlformats.org/officeDocument/2006/relationships/hyperlink" Target="https://doi.org/10.1016/j.trecan.2020.04.010" TargetMode="External"/><Relationship Id="rId19" Type="http://schemas.openxmlformats.org/officeDocument/2006/relationships/header" Target="header3.xml"/><Relationship Id="rId14" Type="http://schemas.openxmlformats.org/officeDocument/2006/relationships/image" Target="media/image3.png"/><Relationship Id="rId30" Type="http://schemas.openxmlformats.org/officeDocument/2006/relationships/hyperlink" Target="https://doi.org/10.3390/ma11091485" TargetMode="External"/><Relationship Id="rId35" Type="http://schemas.openxmlformats.org/officeDocument/2006/relationships/hyperlink" Target="https://doi.org/10.1016/j.mser.2016.11.001" TargetMode="External"/><Relationship Id="rId56" Type="http://schemas.openxmlformats.org/officeDocument/2006/relationships/hyperlink" Target="https://doi.org/10.1002/app.52283" TargetMode="External"/><Relationship Id="rId77" Type="http://schemas.openxmlformats.org/officeDocument/2006/relationships/hyperlink" Target="https://doi.org/10.1200/JCO.2011.35.19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5C697-D088-4A85-A56C-5CA7AA5D9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11016</Words>
  <Characters>62795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Dr.Sunil</cp:lastModifiedBy>
  <cp:revision>2</cp:revision>
  <dcterms:created xsi:type="dcterms:W3CDTF">2026-01-24T16:57:00Z</dcterms:created>
  <dcterms:modified xsi:type="dcterms:W3CDTF">2026-01-24T16:57:00Z</dcterms:modified>
</cp:coreProperties>
</file>