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67ECF" w14:textId="77777777" w:rsidR="00F940AA" w:rsidRDefault="00F940AA" w:rsidP="00F940AA">
      <w:pPr>
        <w:pStyle w:val="NormalWeb"/>
        <w:rPr>
          <w:rFonts w:eastAsia="Times New Roman"/>
          <w:b/>
          <w:bCs/>
          <w:kern w:val="36"/>
          <w:sz w:val="28"/>
          <w:szCs w:val="28"/>
          <w:lang w:eastAsia="en-US" w:bidi="mr-IN"/>
        </w:rPr>
      </w:pPr>
      <w:r w:rsidRPr="00D70DE0">
        <w:rPr>
          <w:rFonts w:eastAsia="Times New Roman"/>
          <w:b/>
          <w:bCs/>
          <w:kern w:val="36"/>
          <w:sz w:val="28"/>
          <w:szCs w:val="28"/>
          <w:lang w:eastAsia="en-US" w:bidi="mr-IN"/>
        </w:rPr>
        <w:t>RECLAIMING ROOTS: The Role of Indigenous Ecological Knowledge in Climate Adaptation and Biodiversity Conservation</w:t>
      </w:r>
    </w:p>
    <w:p w14:paraId="082D1C39" w14:textId="77777777" w:rsidR="0028565A" w:rsidRPr="00D70DE0" w:rsidRDefault="0028565A" w:rsidP="00F940AA">
      <w:pPr>
        <w:pStyle w:val="NormalWeb"/>
        <w:rPr>
          <w:rFonts w:eastAsia="Times New Roman"/>
          <w:b/>
          <w:bCs/>
          <w:kern w:val="36"/>
          <w:sz w:val="28"/>
          <w:szCs w:val="28"/>
          <w:lang w:eastAsia="en-US" w:bidi="mr-IN"/>
        </w:rPr>
      </w:pPr>
    </w:p>
    <w:p w14:paraId="48E6E0E2" w14:textId="77777777" w:rsidR="00F940AA" w:rsidRPr="00D3309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D33093">
        <w:rPr>
          <w:rFonts w:ascii="Times New Roman" w:eastAsia="Times New Roman" w:hAnsi="Times New Roman"/>
          <w:b/>
          <w:bCs/>
          <w:sz w:val="24"/>
          <w:szCs w:val="24"/>
          <w:lang w:eastAsia="en-US" w:bidi="mr-IN"/>
        </w:rPr>
        <w:t xml:space="preserve">Abstract </w:t>
      </w:r>
    </w:p>
    <w:p w14:paraId="636652EB" w14:textId="5D42EF80" w:rsidR="00F940AA" w:rsidRPr="008B64A2"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7F4168">
        <w:rPr>
          <w:rFonts w:ascii="Times New Roman" w:eastAsia="Times New Roman" w:hAnsi="Times New Roman"/>
          <w:sz w:val="24"/>
          <w:szCs w:val="24"/>
          <w:lang w:eastAsia="en-US" w:bidi="mr-IN"/>
        </w:rPr>
        <w:t>Recognition of Indigenous Ecological Knowledge (IEK) has grown throughout global environmental scholarship as</w:t>
      </w:r>
      <w:r w:rsidR="00BA78D7">
        <w:rPr>
          <w:rFonts w:ascii="Times New Roman" w:eastAsia="Times New Roman" w:hAnsi="Times New Roman"/>
          <w:sz w:val="24"/>
          <w:szCs w:val="24"/>
          <w:lang w:eastAsia="en-US" w:bidi="mr-IN"/>
        </w:rPr>
        <w:t xml:space="preserve"> </w:t>
      </w:r>
      <w:r w:rsidRPr="007F4168">
        <w:rPr>
          <w:rFonts w:ascii="Times New Roman" w:eastAsia="Times New Roman" w:hAnsi="Times New Roman"/>
          <w:sz w:val="24"/>
          <w:szCs w:val="24"/>
          <w:lang w:eastAsia="en-US" w:bidi="mr-IN"/>
        </w:rPr>
        <w:t xml:space="preserve">a sophisticated, flexible and locally embedded way of knowing responsive to complex ecological realities. </w:t>
      </w:r>
      <w:commentRangeStart w:id="0"/>
      <w:r w:rsidRPr="007F4168">
        <w:rPr>
          <w:rFonts w:ascii="Times New Roman" w:eastAsia="Times New Roman" w:hAnsi="Times New Roman"/>
          <w:sz w:val="24"/>
          <w:szCs w:val="24"/>
          <w:lang w:eastAsia="en-US" w:bidi="mr-IN"/>
        </w:rPr>
        <w:t>KIE</w:t>
      </w:r>
      <w:commentRangeEnd w:id="0"/>
      <w:r w:rsidR="000961C5">
        <w:rPr>
          <w:rStyle w:val="CommentReference"/>
        </w:rPr>
        <w:commentReference w:id="0"/>
      </w:r>
      <w:r w:rsidRPr="007F4168">
        <w:rPr>
          <w:rFonts w:ascii="Times New Roman" w:eastAsia="Times New Roman" w:hAnsi="Times New Roman"/>
          <w:sz w:val="24"/>
          <w:szCs w:val="24"/>
          <w:lang w:eastAsia="en-US" w:bidi="mr-IN"/>
        </w:rPr>
        <w:t xml:space="preserve"> includes long-standing knowledge and practice, belief, observation systems emerging out of </w:t>
      </w:r>
      <w:r w:rsidR="00CC731F" w:rsidRPr="007F4168">
        <w:rPr>
          <w:rFonts w:ascii="Times New Roman" w:eastAsia="Times New Roman" w:hAnsi="Times New Roman"/>
          <w:sz w:val="24"/>
          <w:szCs w:val="24"/>
          <w:lang w:eastAsia="en-US" w:bidi="mr-IN"/>
        </w:rPr>
        <w:t>long-standing</w:t>
      </w:r>
      <w:r w:rsidRPr="007F4168">
        <w:rPr>
          <w:rFonts w:ascii="Times New Roman" w:eastAsia="Times New Roman" w:hAnsi="Times New Roman"/>
          <w:sz w:val="24"/>
          <w:szCs w:val="24"/>
          <w:lang w:eastAsia="en-US" w:bidi="mr-IN"/>
        </w:rPr>
        <w:t xml:space="preserve"> interaction between people and ecosystems </w:t>
      </w:r>
      <w:r w:rsidR="00CC731F" w:rsidRPr="007F4168">
        <w:rPr>
          <w:rFonts w:ascii="Times New Roman" w:eastAsia="Times New Roman" w:hAnsi="Times New Roman"/>
          <w:sz w:val="24"/>
          <w:szCs w:val="24"/>
          <w:lang w:eastAsia="en-US" w:bidi="mr-IN"/>
        </w:rPr>
        <w:t>in</w:t>
      </w:r>
      <w:r w:rsidRPr="007F4168">
        <w:rPr>
          <w:rFonts w:ascii="Times New Roman" w:eastAsia="Times New Roman" w:hAnsi="Times New Roman"/>
          <w:sz w:val="24"/>
          <w:szCs w:val="24"/>
          <w:lang w:eastAsia="en-US" w:bidi="mr-IN"/>
        </w:rPr>
        <w:t xml:space="preserve"> the southwest IEK is</w:t>
      </w:r>
      <w:r w:rsidRPr="007F4168">
        <w:rPr>
          <w:rFonts w:ascii="Times New Roman" w:eastAsia="Times New Roman" w:hAnsi="Times New Roman"/>
          <w:sz w:val="24"/>
          <w:szCs w:val="24"/>
          <w:lang w:eastAsia="en-US" w:bidi="mr-IN"/>
        </w:rPr>
        <w:t> </w:t>
      </w:r>
      <w:r w:rsidRPr="007F4168">
        <w:rPr>
          <w:rFonts w:ascii="Times New Roman" w:eastAsia="Times New Roman" w:hAnsi="Times New Roman"/>
          <w:sz w:val="24"/>
          <w:szCs w:val="24"/>
          <w:lang w:eastAsia="en-US" w:bidi="mr-IN"/>
        </w:rPr>
        <w:t>the accumulation of knowledge that has come from direct experience or observation. This knowledge is not fixed however; it transforms over generations as a result of learning, communication and</w:t>
      </w:r>
      <w:r w:rsidRPr="007F4168">
        <w:rPr>
          <w:rFonts w:ascii="Times New Roman" w:eastAsia="Times New Roman" w:hAnsi="Times New Roman"/>
          <w:sz w:val="24"/>
          <w:szCs w:val="24"/>
          <w:lang w:eastAsia="en-US" w:bidi="mr-IN"/>
        </w:rPr>
        <w:t> </w:t>
      </w:r>
      <w:r w:rsidRPr="007F4168">
        <w:rPr>
          <w:rFonts w:ascii="Times New Roman" w:eastAsia="Times New Roman" w:hAnsi="Times New Roman"/>
          <w:sz w:val="24"/>
          <w:szCs w:val="24"/>
          <w:lang w:eastAsia="en-US" w:bidi="mr-IN"/>
        </w:rPr>
        <w:t>transmission, ecological testing and adaptation to ongoing environmental change. It combines metaphysical, spiritual, ethical aspects of human–nature relations and constitutes a holistic framework for landscape stewardship including</w:t>
      </w:r>
      <w:r w:rsidRPr="007F4168">
        <w:rPr>
          <w:rFonts w:ascii="Times New Roman" w:eastAsia="Times New Roman" w:hAnsi="Times New Roman"/>
          <w:sz w:val="24"/>
          <w:szCs w:val="24"/>
          <w:lang w:eastAsia="en-US" w:bidi="mr-IN"/>
        </w:rPr>
        <w:t> </w:t>
      </w:r>
      <w:r w:rsidRPr="007F4168">
        <w:rPr>
          <w:rFonts w:ascii="Times New Roman" w:eastAsia="Times New Roman" w:hAnsi="Times New Roman"/>
          <w:sz w:val="24"/>
          <w:szCs w:val="24"/>
          <w:lang w:eastAsia="en-US" w:bidi="mr-IN"/>
        </w:rPr>
        <w:t>resource management in particular cultural implications.</w:t>
      </w:r>
      <w:r w:rsidR="00CC731F">
        <w:rPr>
          <w:rFonts w:ascii="Times New Roman" w:eastAsia="Times New Roman" w:hAnsi="Times New Roman"/>
          <w:sz w:val="24"/>
          <w:szCs w:val="24"/>
          <w:lang w:eastAsia="en-US" w:bidi="mr-IN"/>
        </w:rPr>
        <w:t xml:space="preserve"> </w:t>
      </w:r>
      <w:r w:rsidRPr="008931FE">
        <w:rPr>
          <w:rFonts w:ascii="Times New Roman" w:eastAsia="Times New Roman" w:hAnsi="Times New Roman"/>
          <w:sz w:val="24"/>
          <w:szCs w:val="24"/>
          <w:lang w:eastAsia="en-US" w:bidi="mr-IN"/>
        </w:rPr>
        <w:t>Although there is a rising recognition of the importance of IEK, it continues to be undervalued and marginalized</w:t>
      </w:r>
      <w:r w:rsidRPr="008931FE">
        <w:rPr>
          <w:rFonts w:ascii="Times New Roman" w:eastAsia="Times New Roman" w:hAnsi="Times New Roman"/>
          <w:sz w:val="24"/>
          <w:szCs w:val="24"/>
          <w:lang w:eastAsia="en-US" w:bidi="mr-IN"/>
        </w:rPr>
        <w:t> </w:t>
      </w:r>
      <w:r w:rsidRPr="008931FE">
        <w:rPr>
          <w:rFonts w:ascii="Times New Roman" w:eastAsia="Times New Roman" w:hAnsi="Times New Roman"/>
          <w:sz w:val="24"/>
          <w:szCs w:val="24"/>
          <w:lang w:eastAsia="en-US" w:bidi="mr-IN"/>
        </w:rPr>
        <w:t>in mainstream conservation science, environmental governance, and climate policy. Indigenous knowledge systems, in providing temporal empiricism</w:t>
      </w:r>
      <w:r w:rsidRPr="008931FE">
        <w:rPr>
          <w:rFonts w:ascii="Times New Roman" w:eastAsia="Times New Roman" w:hAnsi="Times New Roman"/>
          <w:sz w:val="24"/>
          <w:szCs w:val="24"/>
          <w:lang w:eastAsia="en-US" w:bidi="mr-IN"/>
        </w:rPr>
        <w:t> </w:t>
      </w:r>
      <w:r w:rsidRPr="008931FE">
        <w:rPr>
          <w:rFonts w:ascii="Times New Roman" w:eastAsia="Times New Roman" w:hAnsi="Times New Roman"/>
          <w:sz w:val="24"/>
          <w:szCs w:val="24"/>
          <w:lang w:eastAsia="en-US" w:bidi="mr-IN"/>
        </w:rPr>
        <w:t>coupled with contextual specificity, quite often are not adequately integrated into prescribing Western science-"based" environment decisions. It is for this reason that this lapse in perspective should be viewed as particularly problematic given speeding climate change, collapsing biological diversity and stressed ecosystems</w:t>
      </w:r>
      <w:r w:rsidRPr="008931FE">
        <w:rPr>
          <w:rFonts w:ascii="Times New Roman" w:eastAsia="Times New Roman" w:hAnsi="Times New Roman"/>
          <w:sz w:val="24"/>
          <w:szCs w:val="24"/>
          <w:lang w:eastAsia="en-US" w:bidi="mr-IN"/>
        </w:rPr>
        <w:t> </w:t>
      </w:r>
      <w:r w:rsidRPr="008931FE">
        <w:rPr>
          <w:rFonts w:ascii="Times New Roman" w:eastAsia="Times New Roman" w:hAnsi="Times New Roman"/>
          <w:sz w:val="24"/>
          <w:szCs w:val="24"/>
          <w:lang w:eastAsia="en-US" w:bidi="mr-IN"/>
        </w:rPr>
        <w:t>— all requiring the opposite: a more holistic, culturally embedded approach to attending humanely to ecological management.</w:t>
      </w:r>
      <w:r w:rsidR="00CC731F">
        <w:rPr>
          <w:rFonts w:ascii="Times New Roman" w:eastAsia="Times New Roman" w:hAnsi="Times New Roman"/>
          <w:sz w:val="24"/>
          <w:szCs w:val="24"/>
          <w:lang w:eastAsia="en-US" w:bidi="mr-IN"/>
        </w:rPr>
        <w:t xml:space="preserve"> </w:t>
      </w:r>
      <w:r w:rsidRPr="008B64A2">
        <w:rPr>
          <w:rFonts w:ascii="Times New Roman" w:eastAsia="Times New Roman" w:hAnsi="Times New Roman"/>
          <w:sz w:val="24"/>
          <w:szCs w:val="24"/>
          <w:lang w:eastAsia="en-US" w:bidi="mr-IN"/>
        </w:rPr>
        <w:t>In order to investigate the ecological, sociocultural, and governance-related contributions of IEK across three major ecological regions—India, the Amazon Basin, and Arctic Indigenous territories—this study employs an integrative research methodology that includes systematic literature review, cross-regional case study comparison, geospatial analysis, and policy evaluation. Results show that IEK-based techniques like rotational grazing, agroforestry, forest gardening, sacred grove protection, and seed conservation greatly improve species richness, ecosystem stability, carbon storage, hydrological regulation, and climate resilience. IEK's community-based governance models, long-term ecological monitoring, and comprehensive environmental indicators offer significant complementarities with contemporary ecological science.</w:t>
      </w:r>
    </w:p>
    <w:p w14:paraId="6787F73B" w14:textId="77777777" w:rsidR="00F940AA" w:rsidRPr="008B64A2"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8B64A2">
        <w:rPr>
          <w:rFonts w:ascii="Times New Roman" w:eastAsia="Times New Roman" w:hAnsi="Times New Roman"/>
          <w:sz w:val="24"/>
          <w:szCs w:val="24"/>
          <w:lang w:eastAsia="en-US" w:bidi="mr-IN"/>
        </w:rPr>
        <w:t>Nonetheless, issues like biopiracy, insufficient intellectual property rights, extractive research methods, low Indigenous community involvement in policymaking, and the deterioration of cultural customs as a result of globalization and land confiscation continue to exist. In order to establish IEK as a coequal and scientifically valid body of knowledge, this study makes the case for an epistemological and structural change in global environmental governance. Strengthening legal protections for IEK, improving community-led and participatory governance methods, encouraging interdisciplinary cooperation, and enabling Indigenous knowledge holders as collaborators in climate adaptation and conservation are all highlighted in the recommendations.</w:t>
      </w:r>
    </w:p>
    <w:p w14:paraId="242B0B64" w14:textId="77777777" w:rsidR="00DD3E3C" w:rsidRDefault="00DD3E3C" w:rsidP="00F940AA">
      <w:pPr>
        <w:spacing w:before="100" w:beforeAutospacing="1" w:after="100" w:afterAutospacing="1" w:line="240" w:lineRule="auto"/>
        <w:rPr>
          <w:rFonts w:ascii="Times New Roman" w:eastAsia="Times New Roman" w:hAnsi="Times New Roman"/>
          <w:b/>
          <w:bCs/>
          <w:sz w:val="24"/>
          <w:szCs w:val="24"/>
          <w:lang w:eastAsia="en-US" w:bidi="mr-IN"/>
        </w:rPr>
      </w:pPr>
    </w:p>
    <w:p w14:paraId="662487EB" w14:textId="64A835F6" w:rsidR="00F940AA" w:rsidRPr="00DB4BD4"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DB4BD4">
        <w:rPr>
          <w:rFonts w:ascii="Times New Roman" w:eastAsia="Times New Roman" w:hAnsi="Times New Roman"/>
          <w:b/>
          <w:bCs/>
          <w:sz w:val="24"/>
          <w:szCs w:val="24"/>
          <w:lang w:eastAsia="en-US" w:bidi="mr-IN"/>
        </w:rPr>
        <w:lastRenderedPageBreak/>
        <w:t>Introduction:</w:t>
      </w:r>
    </w:p>
    <w:p w14:paraId="75374D01" w14:textId="69689924" w:rsidR="00F940AA" w:rsidRPr="00D87839"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DB4BD4">
        <w:rPr>
          <w:rFonts w:ascii="Times New Roman" w:eastAsia="Times New Roman" w:hAnsi="Times New Roman"/>
          <w:sz w:val="24"/>
          <w:szCs w:val="24"/>
          <w:lang w:eastAsia="en-US" w:bidi="mr-IN"/>
        </w:rPr>
        <w:t>It is commonly acknowledged that biodiversity loss and climate change are intertwined global crises that present previously unheard-of risks to ecological and human systems in the twenty-first century. Ecological degradation is accelerating at a rate never seen in human history, according to the Intergovernmental Science-Policy Platform on Biodiversity and Ecosystem Services (IPBES, 2019). According to current estimates, about a million species are in danger of going extinct, which would have a significant impact on ecosystem functioning, food security, water availability, and global socioeconomic stability. Communities around the world, particularly those that rely on natural resources, are more susceptible to climatic disruptions, extreme weather events, shifting species distributions, and diminishing ecosystem services as ecosystems become more unstable.</w:t>
      </w:r>
      <w:r w:rsidR="00CC731F">
        <w:rPr>
          <w:rFonts w:ascii="Times New Roman" w:eastAsia="Times New Roman" w:hAnsi="Times New Roman"/>
          <w:sz w:val="24"/>
          <w:szCs w:val="24"/>
          <w:lang w:eastAsia="en-US" w:bidi="mr-IN"/>
        </w:rPr>
        <w:t xml:space="preserve"> </w:t>
      </w:r>
      <w:r w:rsidRPr="00550654">
        <w:rPr>
          <w:rFonts w:ascii="Times New Roman" w:eastAsia="Times New Roman" w:hAnsi="Times New Roman"/>
          <w:sz w:val="24"/>
          <w:szCs w:val="24"/>
          <w:lang w:eastAsia="en-US" w:bidi="mr-IN"/>
        </w:rPr>
        <w:t>Despite their value, traditional scientific and technological methods are not enough to solve these complex ecological issues on their own. They frequently ignore the sociocultural context of ecological systems in favor of large-scale interventions, reductionist frameworks, or short-term data. Therefore, more diverse and inclusive forms of knowledge are needed for global environmental governance, particularly those based on long-term, place-specific ecological understanding.</w:t>
      </w:r>
      <w:r w:rsidR="00CC731F">
        <w:rPr>
          <w:rFonts w:ascii="Times New Roman" w:eastAsia="Times New Roman" w:hAnsi="Times New Roman"/>
          <w:sz w:val="24"/>
          <w:szCs w:val="24"/>
          <w:lang w:eastAsia="en-US" w:bidi="mr-IN"/>
        </w:rPr>
        <w:t xml:space="preserve"> </w:t>
      </w:r>
      <w:r w:rsidRPr="00013CD3">
        <w:rPr>
          <w:rFonts w:ascii="Times New Roman" w:eastAsia="Times New Roman" w:hAnsi="Times New Roman"/>
          <w:sz w:val="24"/>
          <w:szCs w:val="24"/>
          <w:lang w:eastAsia="en-US" w:bidi="mr-IN"/>
        </w:rPr>
        <w:t>Such a method is provided by Indigenous Ecological Knowledge (IEK). Through intimate observation, spiritual connection, and reciprocal relationships with ecosystems, Indigenous peoples have developed a body of knowledge, beliefs, practices, and governance systems over millennia, which is referred to as IEK. According to Berkes (2012), IEK is an integrated worldview that includes cosmology, ethics, ecology, subsistence strategies, and social institutions rather than just a compilation of environmental facts. Intergenerational learning, cultural customs, and adaptive reactions to environmental cues all contribute to its evolution. Long before these changes are represented in scientific datasets, Indigenous communities can use IEK to identify subtle ecological changes, such as changes in species behavior, soil fertility, hydrological patterns, and atmospheric conditions.</w:t>
      </w:r>
      <w:r w:rsidR="00CC731F">
        <w:rPr>
          <w:rFonts w:ascii="Times New Roman" w:eastAsia="Times New Roman" w:hAnsi="Times New Roman"/>
          <w:sz w:val="24"/>
          <w:szCs w:val="24"/>
          <w:lang w:eastAsia="en-US" w:bidi="mr-IN"/>
        </w:rPr>
        <w:t xml:space="preserve"> </w:t>
      </w:r>
      <w:r w:rsidRPr="00D87839">
        <w:rPr>
          <w:rFonts w:ascii="Times New Roman" w:eastAsia="Times New Roman" w:hAnsi="Times New Roman"/>
          <w:sz w:val="24"/>
          <w:szCs w:val="24"/>
          <w:lang w:eastAsia="en-US" w:bidi="mr-IN"/>
        </w:rPr>
        <w:t xml:space="preserve">There are instances of IEK in a variety of ecological settings. </w:t>
      </w:r>
      <w:commentRangeStart w:id="1"/>
      <w:r w:rsidRPr="00D87839">
        <w:rPr>
          <w:rFonts w:ascii="Times New Roman" w:eastAsia="Times New Roman" w:hAnsi="Times New Roman"/>
          <w:sz w:val="24"/>
          <w:szCs w:val="24"/>
          <w:lang w:eastAsia="en-US" w:bidi="mr-IN"/>
        </w:rPr>
        <w:t>Some of the richest biodiversity in India is currently protected by sacred groves, which are forested areas that have endured for centuries due to cultural and spiritual norms. Swidden cultivation systems and indigenous forest gardens preserve remarkable species diversity and support ecological resilience in the Amazon Basin. Indigenous communities in the Arctic, such as the Inuit and Sámi, are able to adjust to quickly shifting polar conditions because they have advanced knowledge of sea ice dynamics, animal migration patterns, and seasonal indicators.</w:t>
      </w:r>
      <w:commentRangeEnd w:id="1"/>
      <w:r w:rsidR="003C57F9">
        <w:rPr>
          <w:rStyle w:val="CommentReference"/>
        </w:rPr>
        <w:commentReference w:id="1"/>
      </w:r>
    </w:p>
    <w:p w14:paraId="2EA17427" w14:textId="6D5F685C" w:rsidR="00F940AA" w:rsidRPr="00B047FB"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D87839">
        <w:rPr>
          <w:rFonts w:ascii="Times New Roman" w:eastAsia="Times New Roman" w:hAnsi="Times New Roman"/>
          <w:sz w:val="24"/>
          <w:szCs w:val="24"/>
          <w:lang w:eastAsia="en-US" w:bidi="mr-IN"/>
        </w:rPr>
        <w:t>IEK is still marginalized in mainstream scientific and policy frameworks, despite its clear ecological value. In many nations, environmental governance still prioritizes Western scientific paradigms while minimizing the validity of Indigenous knowledge. This leads to knowledge exploitation without appropriate benefit-sharing, insufficient recognition of Indigenous land rights, and the exclusion of Indigenous voices from decision-making processes (CBD Secretariat, 2011; United Nations, 2007). In addition to undermining IEK's ecological potential, its lack of policy integration also upholds structural inequality and colonial legacies.</w:t>
      </w:r>
      <w:r w:rsidR="00CC731F">
        <w:rPr>
          <w:rFonts w:ascii="Times New Roman" w:eastAsia="Times New Roman" w:hAnsi="Times New Roman"/>
          <w:sz w:val="24"/>
          <w:szCs w:val="24"/>
          <w:lang w:eastAsia="en-US" w:bidi="mr-IN"/>
        </w:rPr>
        <w:t xml:space="preserve"> </w:t>
      </w:r>
      <w:r w:rsidRPr="00B047FB">
        <w:rPr>
          <w:rFonts w:ascii="Times New Roman" w:eastAsia="Times New Roman" w:hAnsi="Times New Roman"/>
          <w:sz w:val="24"/>
          <w:szCs w:val="24"/>
          <w:lang w:eastAsia="en-US" w:bidi="mr-IN"/>
        </w:rPr>
        <w:t xml:space="preserve">By presenting IEK as a rigorously scientific and culturally grounded system with substantial relevance for current environmental challenges, this study seeks to close these gaps. It investigates the ecological, climatic, cultural, and governance contributions of IEK in various regions using a combination of literature review, case study comparison, geospatial analysis, and policy evaluation. The study also identifies ways to incorporate IEK with modern scientific frameworks while avoiding </w:t>
      </w:r>
      <w:r w:rsidRPr="00B047FB">
        <w:rPr>
          <w:rFonts w:ascii="Times New Roman" w:eastAsia="Times New Roman" w:hAnsi="Times New Roman"/>
          <w:sz w:val="24"/>
          <w:szCs w:val="24"/>
          <w:lang w:eastAsia="en-US" w:bidi="mr-IN"/>
        </w:rPr>
        <w:lastRenderedPageBreak/>
        <w:t>extractive practices and respecting Indigenous sovereignty. The world community can no longer afford to marginalize Indigenous knowledge systems given the scope of the current ecological crises. Rather, acknowledging and incorporating IEK into environmental governance can support more ecologically sound, resilient, and equitable methods of conservation and climate adaptation.</w:t>
      </w:r>
    </w:p>
    <w:p w14:paraId="02F1C9A6" w14:textId="77777777" w:rsidR="00F940AA" w:rsidRPr="00D3309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D33093">
        <w:rPr>
          <w:rFonts w:ascii="Times New Roman" w:eastAsia="Times New Roman" w:hAnsi="Times New Roman"/>
          <w:b/>
          <w:bCs/>
          <w:sz w:val="24"/>
          <w:szCs w:val="24"/>
          <w:lang w:eastAsia="en-US" w:bidi="mr-IN"/>
        </w:rPr>
        <w:t xml:space="preserve">2. Materials and Methods </w:t>
      </w:r>
    </w:p>
    <w:p w14:paraId="10D191BE" w14:textId="77777777" w:rsidR="00F940AA" w:rsidRPr="002B0214"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2B0214">
        <w:rPr>
          <w:rFonts w:ascii="Times New Roman" w:eastAsia="Times New Roman" w:hAnsi="Times New Roman"/>
          <w:sz w:val="24"/>
          <w:szCs w:val="24"/>
          <w:lang w:eastAsia="en-US" w:bidi="mr-IN"/>
        </w:rPr>
        <w:t xml:space="preserve">This study used a qualitative, integrative, and interdisciplinary methodological framework to comprehend the ecological, cultural, and governance significance of </w:t>
      </w:r>
      <w:commentRangeStart w:id="2"/>
      <w:r w:rsidRPr="002B0214">
        <w:rPr>
          <w:rFonts w:ascii="Times New Roman" w:eastAsia="Times New Roman" w:hAnsi="Times New Roman"/>
          <w:sz w:val="24"/>
          <w:szCs w:val="24"/>
          <w:lang w:eastAsia="en-US" w:bidi="mr-IN"/>
        </w:rPr>
        <w:t>Indigenous Ecological Knowledge (IEK)</w:t>
      </w:r>
      <w:commentRangeEnd w:id="2"/>
      <w:r w:rsidR="00B72AB8">
        <w:rPr>
          <w:rStyle w:val="CommentReference"/>
        </w:rPr>
        <w:commentReference w:id="2"/>
      </w:r>
      <w:r w:rsidRPr="002B0214">
        <w:rPr>
          <w:rFonts w:ascii="Times New Roman" w:eastAsia="Times New Roman" w:hAnsi="Times New Roman"/>
          <w:sz w:val="24"/>
          <w:szCs w:val="24"/>
          <w:lang w:eastAsia="en-US" w:bidi="mr-IN"/>
        </w:rPr>
        <w:t>. The method was created to capture the richness, variety, and contextual specificity of IEK systems in various parts of the world. Four essential elements are integrated into the methodology: comparative case studies, geospatial assessments, policy/ethical analysis, and systematic literature review. Research on complex socio-ecological systems, particularly those shaped by diverse cultural contexts and long-term ecological interactions, is a good fit for this mixed qualitative-analytical approach.</w:t>
      </w:r>
    </w:p>
    <w:p w14:paraId="52D0CE7C" w14:textId="77777777" w:rsidR="00F940AA"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D33093">
        <w:rPr>
          <w:rFonts w:ascii="Times New Roman" w:eastAsia="Times New Roman" w:hAnsi="Times New Roman"/>
          <w:b/>
          <w:bCs/>
          <w:sz w:val="24"/>
          <w:szCs w:val="24"/>
          <w:lang w:eastAsia="en-US" w:bidi="mr-IN"/>
        </w:rPr>
        <w:t>2.1 Research Design</w:t>
      </w:r>
    </w:p>
    <w:p w14:paraId="2F8E5F30" w14:textId="452D0E18" w:rsidR="00F940AA" w:rsidRPr="00696432"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96432">
        <w:rPr>
          <w:rFonts w:ascii="Times New Roman" w:eastAsia="Times New Roman" w:hAnsi="Times New Roman"/>
          <w:sz w:val="24"/>
          <w:szCs w:val="24"/>
          <w:lang w:eastAsia="en-US" w:bidi="mr-IN"/>
        </w:rPr>
        <w:t>The study's research design is based on an integrative qualitative framework that draws from socio-ecological systems theory, interpretivism, and contextual assessment. It acknowledges that IEK is a multifaceted, holistic knowledge system that necessitates the use of interdisciplinary analytical tools. Since IEK is intricately linked to land-based interactions, cultural practices, and cosmologies, a purely quantitative approach would not be adequate to fully capture its complexity. In order to triangulate results across disciplines like anthropology, ecology, geography, and environmental policy, qualitative and interpretive approaches—along with spatial and ecological assessments—were deemed crucial.</w:t>
      </w:r>
    </w:p>
    <w:p w14:paraId="03E67CBF" w14:textId="77777777" w:rsidR="00F940AA" w:rsidRPr="00D3309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The design included four primary components:</w:t>
      </w:r>
    </w:p>
    <w:p w14:paraId="3C4C69BA" w14:textId="77777777" w:rsidR="00F940AA" w:rsidRPr="00D33093" w:rsidRDefault="00F940AA" w:rsidP="00F940AA">
      <w:pPr>
        <w:numPr>
          <w:ilvl w:val="0"/>
          <w:numId w:val="40"/>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b/>
          <w:bCs/>
          <w:sz w:val="24"/>
          <w:szCs w:val="24"/>
          <w:lang w:eastAsia="en-US" w:bidi="mr-IN"/>
        </w:rPr>
        <w:t>Systematic Literature Review</w:t>
      </w:r>
    </w:p>
    <w:p w14:paraId="5A80E334" w14:textId="77777777" w:rsidR="00F940AA" w:rsidRPr="00D33093" w:rsidRDefault="00F940AA" w:rsidP="00F940AA">
      <w:pPr>
        <w:numPr>
          <w:ilvl w:val="0"/>
          <w:numId w:val="40"/>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b/>
          <w:bCs/>
          <w:sz w:val="24"/>
          <w:szCs w:val="24"/>
          <w:lang w:eastAsia="en-US" w:bidi="mr-IN"/>
        </w:rPr>
        <w:t>Cross-Regional Comparative Case Studies</w:t>
      </w:r>
    </w:p>
    <w:p w14:paraId="1D992B8B" w14:textId="77777777" w:rsidR="00F940AA" w:rsidRPr="00D33093" w:rsidRDefault="00F940AA" w:rsidP="00F940AA">
      <w:pPr>
        <w:numPr>
          <w:ilvl w:val="0"/>
          <w:numId w:val="40"/>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b/>
          <w:bCs/>
          <w:sz w:val="24"/>
          <w:szCs w:val="24"/>
          <w:lang w:eastAsia="en-US" w:bidi="mr-IN"/>
        </w:rPr>
        <w:t>Interdisciplinary Scientific Integration (GIS, Remote Sensing, Ecological and Agroforestry Modeling)</w:t>
      </w:r>
    </w:p>
    <w:p w14:paraId="18282B52" w14:textId="77777777" w:rsidR="00F940AA" w:rsidRPr="00D33093" w:rsidRDefault="00F940AA" w:rsidP="00F940AA">
      <w:pPr>
        <w:numPr>
          <w:ilvl w:val="0"/>
          <w:numId w:val="40"/>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b/>
          <w:bCs/>
          <w:sz w:val="24"/>
          <w:szCs w:val="24"/>
          <w:lang w:eastAsia="en-US" w:bidi="mr-IN"/>
        </w:rPr>
        <w:t>Policy and Ethical Analysis</w:t>
      </w:r>
    </w:p>
    <w:p w14:paraId="5812A8A0" w14:textId="77777777" w:rsidR="00F940AA" w:rsidRPr="00D3309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Each step contributed to a deeper, evidence-based understanding of IEK’s ecological and climate-related functions.</w:t>
      </w:r>
    </w:p>
    <w:p w14:paraId="5EDBF909" w14:textId="77777777" w:rsidR="00F940AA" w:rsidRPr="00D3309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D33093">
        <w:rPr>
          <w:rFonts w:ascii="Times New Roman" w:eastAsia="Times New Roman" w:hAnsi="Times New Roman"/>
          <w:b/>
          <w:bCs/>
          <w:sz w:val="24"/>
          <w:szCs w:val="24"/>
          <w:lang w:eastAsia="en-US" w:bidi="mr-IN"/>
        </w:rPr>
        <w:t>A. Systematic Literature Review</w:t>
      </w:r>
    </w:p>
    <w:p w14:paraId="37EDB23A" w14:textId="77777777" w:rsidR="00F940AA" w:rsidRPr="00D3309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A comprehensive systematic literature review was conducted to synthesize existing scholarly knowledge on IEK. The review followed internationally accepted guidelines based on PRISMA (Preferred Reporting Items for Systematic Reviews and Meta-Analyses).</w:t>
      </w:r>
    </w:p>
    <w:p w14:paraId="34DB1A63" w14:textId="77777777" w:rsidR="00F940AA" w:rsidRPr="00D3309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D33093">
        <w:rPr>
          <w:rFonts w:ascii="Times New Roman" w:eastAsia="Times New Roman" w:hAnsi="Times New Roman"/>
          <w:b/>
          <w:bCs/>
          <w:sz w:val="24"/>
          <w:szCs w:val="24"/>
          <w:lang w:eastAsia="en-US" w:bidi="mr-IN"/>
        </w:rPr>
        <w:t>Databases Searched</w:t>
      </w:r>
    </w:p>
    <w:p w14:paraId="54900E19" w14:textId="77777777" w:rsidR="00F940AA" w:rsidRPr="00D33093" w:rsidRDefault="00F940AA" w:rsidP="00F940AA">
      <w:pPr>
        <w:numPr>
          <w:ilvl w:val="0"/>
          <w:numId w:val="1"/>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lastRenderedPageBreak/>
        <w:t>Scopus</w:t>
      </w:r>
    </w:p>
    <w:p w14:paraId="3579AF85" w14:textId="77777777" w:rsidR="00F940AA" w:rsidRPr="00D33093" w:rsidRDefault="00F940AA" w:rsidP="00F940AA">
      <w:pPr>
        <w:numPr>
          <w:ilvl w:val="0"/>
          <w:numId w:val="1"/>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Web of Science</w:t>
      </w:r>
    </w:p>
    <w:p w14:paraId="184F6460" w14:textId="77777777" w:rsidR="00F940AA" w:rsidRPr="00D33093" w:rsidRDefault="00F940AA" w:rsidP="00F940AA">
      <w:pPr>
        <w:numPr>
          <w:ilvl w:val="0"/>
          <w:numId w:val="1"/>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JSTOR</w:t>
      </w:r>
    </w:p>
    <w:p w14:paraId="38CA6F4C" w14:textId="77777777" w:rsidR="00F940AA" w:rsidRPr="00D33093" w:rsidRDefault="00F940AA" w:rsidP="00F940AA">
      <w:pPr>
        <w:numPr>
          <w:ilvl w:val="0"/>
          <w:numId w:val="1"/>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ScienceDirect</w:t>
      </w:r>
    </w:p>
    <w:p w14:paraId="491C87D5" w14:textId="77777777" w:rsidR="00F940AA" w:rsidRPr="00D33093" w:rsidRDefault="00F940AA" w:rsidP="00F940AA">
      <w:pPr>
        <w:numPr>
          <w:ilvl w:val="0"/>
          <w:numId w:val="1"/>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Google Scholar</w:t>
      </w:r>
    </w:p>
    <w:p w14:paraId="6693CC52" w14:textId="77777777" w:rsidR="00F940AA" w:rsidRPr="00D33093" w:rsidRDefault="00F940AA" w:rsidP="00F940AA">
      <w:pPr>
        <w:numPr>
          <w:ilvl w:val="0"/>
          <w:numId w:val="1"/>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United Nations digital libraries</w:t>
      </w:r>
    </w:p>
    <w:p w14:paraId="4F124CBD" w14:textId="77777777" w:rsidR="00F940AA" w:rsidRPr="00D33093" w:rsidRDefault="00F940AA" w:rsidP="00F940AA">
      <w:pPr>
        <w:numPr>
          <w:ilvl w:val="0"/>
          <w:numId w:val="1"/>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CBD (Convention on Biological Diversity) document repositories</w:t>
      </w:r>
    </w:p>
    <w:p w14:paraId="0C16DE88" w14:textId="77777777" w:rsidR="00F940AA" w:rsidRPr="00D3309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D33093">
        <w:rPr>
          <w:rFonts w:ascii="Times New Roman" w:eastAsia="Times New Roman" w:hAnsi="Times New Roman"/>
          <w:b/>
          <w:bCs/>
          <w:sz w:val="24"/>
          <w:szCs w:val="24"/>
          <w:lang w:eastAsia="en-US" w:bidi="mr-IN"/>
        </w:rPr>
        <w:t>Keywords Used</w:t>
      </w:r>
    </w:p>
    <w:p w14:paraId="6463C226" w14:textId="77777777" w:rsidR="00F940AA" w:rsidRPr="00D3309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Boolean operators (AND, OR) were used to refine searches. Key combinations included:</w:t>
      </w:r>
    </w:p>
    <w:p w14:paraId="621C153A" w14:textId="77777777" w:rsidR="00F940AA" w:rsidRPr="00D33093" w:rsidRDefault="00F940AA" w:rsidP="00F940AA">
      <w:pPr>
        <w:numPr>
          <w:ilvl w:val="0"/>
          <w:numId w:val="2"/>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“Indigenous ecological knowledge” AND “climate adaptation”</w:t>
      </w:r>
    </w:p>
    <w:p w14:paraId="6A6741B6" w14:textId="77777777" w:rsidR="00F940AA" w:rsidRPr="00D33093" w:rsidRDefault="00F940AA" w:rsidP="00F940AA">
      <w:pPr>
        <w:numPr>
          <w:ilvl w:val="0"/>
          <w:numId w:val="2"/>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“Traditional ecological knowledge” AND “biodiversity conservation”</w:t>
      </w:r>
    </w:p>
    <w:p w14:paraId="1650D5AF" w14:textId="77777777" w:rsidR="00F940AA" w:rsidRPr="00D33093" w:rsidRDefault="00F940AA" w:rsidP="00F940AA">
      <w:pPr>
        <w:numPr>
          <w:ilvl w:val="0"/>
          <w:numId w:val="2"/>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“Sacred groves” AND “India ecology”</w:t>
      </w:r>
    </w:p>
    <w:p w14:paraId="36226A00" w14:textId="77777777" w:rsidR="00F940AA" w:rsidRPr="00D33093" w:rsidRDefault="00F940AA" w:rsidP="00F940AA">
      <w:pPr>
        <w:numPr>
          <w:ilvl w:val="0"/>
          <w:numId w:val="2"/>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“Forest gardening” AND “Amazon Indigenous”</w:t>
      </w:r>
    </w:p>
    <w:p w14:paraId="61494A27" w14:textId="77777777" w:rsidR="00F940AA" w:rsidRPr="00D33093" w:rsidRDefault="00F940AA" w:rsidP="00F940AA">
      <w:pPr>
        <w:numPr>
          <w:ilvl w:val="0"/>
          <w:numId w:val="2"/>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“Arctic Indigenous knowledge” AND “climate change”</w:t>
      </w:r>
    </w:p>
    <w:p w14:paraId="53AEB74C" w14:textId="77777777" w:rsidR="00F940AA" w:rsidRPr="00D33093" w:rsidRDefault="00F940AA" w:rsidP="00F940AA">
      <w:pPr>
        <w:numPr>
          <w:ilvl w:val="0"/>
          <w:numId w:val="2"/>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“Agroforestry” AND “traditional management”</w:t>
      </w:r>
    </w:p>
    <w:p w14:paraId="70BAC57C" w14:textId="77777777" w:rsidR="00F940AA" w:rsidRPr="00D33093" w:rsidRDefault="00F940AA" w:rsidP="00F940AA">
      <w:pPr>
        <w:numPr>
          <w:ilvl w:val="0"/>
          <w:numId w:val="2"/>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“Indigenous seed systems” AND “climate resilience”</w:t>
      </w:r>
    </w:p>
    <w:p w14:paraId="48370EF2" w14:textId="77777777" w:rsidR="00F940AA" w:rsidRPr="00D3309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D33093">
        <w:rPr>
          <w:rFonts w:ascii="Times New Roman" w:eastAsia="Times New Roman" w:hAnsi="Times New Roman"/>
          <w:b/>
          <w:bCs/>
          <w:sz w:val="24"/>
          <w:szCs w:val="24"/>
          <w:lang w:eastAsia="en-US" w:bidi="mr-IN"/>
        </w:rPr>
        <w:t>Inclusion and Exclusion Criteria</w:t>
      </w:r>
    </w:p>
    <w:p w14:paraId="03453F25" w14:textId="77777777" w:rsidR="00F940AA" w:rsidRPr="00D3309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b/>
          <w:bCs/>
          <w:sz w:val="24"/>
          <w:szCs w:val="24"/>
          <w:lang w:eastAsia="en-US" w:bidi="mr-IN"/>
        </w:rPr>
        <w:t>Inclusion Criteria:</w:t>
      </w:r>
    </w:p>
    <w:p w14:paraId="12943121" w14:textId="77777777" w:rsidR="00F940AA" w:rsidRPr="00D33093" w:rsidRDefault="00F940AA" w:rsidP="00F940AA">
      <w:pPr>
        <w:numPr>
          <w:ilvl w:val="0"/>
          <w:numId w:val="3"/>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Peer-reviewed articles (1990–2024)</w:t>
      </w:r>
    </w:p>
    <w:p w14:paraId="5A2D8BCA" w14:textId="77777777" w:rsidR="00F940AA" w:rsidRPr="00D33093" w:rsidRDefault="00F940AA" w:rsidP="00F940AA">
      <w:pPr>
        <w:numPr>
          <w:ilvl w:val="0"/>
          <w:numId w:val="3"/>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Scholarly books and monographs</w:t>
      </w:r>
    </w:p>
    <w:p w14:paraId="2058BC32" w14:textId="77777777" w:rsidR="00F940AA" w:rsidRPr="00D33093" w:rsidRDefault="00F940AA" w:rsidP="00F940AA">
      <w:pPr>
        <w:numPr>
          <w:ilvl w:val="0"/>
          <w:numId w:val="3"/>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Indigenous-authored documents</w:t>
      </w:r>
    </w:p>
    <w:p w14:paraId="07388EA7" w14:textId="77777777" w:rsidR="00F940AA" w:rsidRPr="00D33093" w:rsidRDefault="00F940AA" w:rsidP="00F940AA">
      <w:pPr>
        <w:numPr>
          <w:ilvl w:val="0"/>
          <w:numId w:val="3"/>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Ethnographies documenting ecological practices</w:t>
      </w:r>
    </w:p>
    <w:p w14:paraId="1FC550E5" w14:textId="77777777" w:rsidR="00F940AA" w:rsidRPr="00D33093" w:rsidRDefault="00F940AA" w:rsidP="00F940AA">
      <w:pPr>
        <w:numPr>
          <w:ilvl w:val="0"/>
          <w:numId w:val="3"/>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Government or UN reports</w:t>
      </w:r>
    </w:p>
    <w:p w14:paraId="6FBD2BD1" w14:textId="77777777" w:rsidR="00F940AA" w:rsidRPr="00D33093" w:rsidRDefault="00F940AA" w:rsidP="00F940AA">
      <w:pPr>
        <w:numPr>
          <w:ilvl w:val="0"/>
          <w:numId w:val="3"/>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Studies containing empirical ecological data or detailed case descriptions</w:t>
      </w:r>
    </w:p>
    <w:p w14:paraId="4746EDD5" w14:textId="77777777" w:rsidR="00F940AA" w:rsidRPr="00D3309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b/>
          <w:bCs/>
          <w:sz w:val="24"/>
          <w:szCs w:val="24"/>
          <w:lang w:eastAsia="en-US" w:bidi="mr-IN"/>
        </w:rPr>
        <w:t>Exclusion Criteria:</w:t>
      </w:r>
    </w:p>
    <w:p w14:paraId="071ED66E" w14:textId="77777777" w:rsidR="00F940AA" w:rsidRPr="00D33093" w:rsidRDefault="00F940AA" w:rsidP="00F940AA">
      <w:pPr>
        <w:numPr>
          <w:ilvl w:val="0"/>
          <w:numId w:val="4"/>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Non-scholarly anecdotal reports</w:t>
      </w:r>
    </w:p>
    <w:p w14:paraId="4514E977" w14:textId="77777777" w:rsidR="00F940AA" w:rsidRPr="00D33093" w:rsidRDefault="00F940AA" w:rsidP="00F940AA">
      <w:pPr>
        <w:numPr>
          <w:ilvl w:val="0"/>
          <w:numId w:val="4"/>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Sources lacking methodological clarity</w:t>
      </w:r>
    </w:p>
    <w:p w14:paraId="4E4D5A37" w14:textId="77777777" w:rsidR="00F940AA" w:rsidRDefault="00F940AA" w:rsidP="00F940AA">
      <w:pPr>
        <w:numPr>
          <w:ilvl w:val="0"/>
          <w:numId w:val="4"/>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Publications unrelated to Indigenous ecological systems</w:t>
      </w:r>
    </w:p>
    <w:p w14:paraId="088ABD9C" w14:textId="77777777" w:rsidR="00F940AA" w:rsidRPr="0034583A"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34583A">
        <w:rPr>
          <w:rFonts w:ascii="Times New Roman" w:eastAsia="Times New Roman" w:hAnsi="Times New Roman"/>
          <w:b/>
          <w:bCs/>
          <w:sz w:val="24"/>
          <w:szCs w:val="24"/>
          <w:lang w:eastAsia="en-US" w:bidi="mr-IN"/>
        </w:rPr>
        <w:t>Review Outcome</w:t>
      </w:r>
    </w:p>
    <w:p w14:paraId="4D98C40A" w14:textId="77777777" w:rsidR="00F940AA" w:rsidRPr="00207A11"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207A11">
        <w:rPr>
          <w:rFonts w:ascii="Times New Roman" w:eastAsia="Times New Roman" w:hAnsi="Times New Roman"/>
          <w:sz w:val="24"/>
          <w:szCs w:val="24"/>
          <w:lang w:eastAsia="en-US" w:bidi="mr-IN"/>
        </w:rPr>
        <w:t>Based on methodological rigor and relevance, 112 of the original 265 documents were chosen for final inclusion.</w:t>
      </w:r>
    </w:p>
    <w:p w14:paraId="78A5A093" w14:textId="77777777" w:rsidR="00F940AA"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207A11">
        <w:rPr>
          <w:rFonts w:ascii="Times New Roman" w:eastAsia="Times New Roman" w:hAnsi="Times New Roman"/>
          <w:sz w:val="24"/>
          <w:szCs w:val="24"/>
          <w:lang w:eastAsia="en-US" w:bidi="mr-IN"/>
        </w:rPr>
        <w:t>Enhancement of biodiversity, hydrological regulation, carbon sequestration, and ecosystem stabilization were found to be recurrent ecological themes across regions. Additionally, it emphasized sociocultural and governance aspects like ethical frameworks, land rights, community norms, ritual stewardship, and participatory monitoring.</w:t>
      </w:r>
    </w:p>
    <w:p w14:paraId="050E2BA8" w14:textId="77777777" w:rsidR="00F940AA"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207A11">
        <w:rPr>
          <w:rFonts w:ascii="Times New Roman" w:eastAsia="Times New Roman" w:hAnsi="Times New Roman"/>
          <w:b/>
          <w:bCs/>
          <w:sz w:val="24"/>
          <w:szCs w:val="24"/>
          <w:lang w:eastAsia="en-US" w:bidi="mr-IN"/>
        </w:rPr>
        <w:lastRenderedPageBreak/>
        <w:t>B. Comparative Case Studies</w:t>
      </w:r>
    </w:p>
    <w:p w14:paraId="0BAD7013" w14:textId="77777777" w:rsidR="00F940AA"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207A11">
        <w:rPr>
          <w:rFonts w:ascii="Times New Roman" w:eastAsia="Times New Roman" w:hAnsi="Times New Roman"/>
          <w:sz w:val="24"/>
          <w:szCs w:val="24"/>
          <w:lang w:eastAsia="en-US" w:bidi="mr-IN"/>
        </w:rPr>
        <w:t>A cross-cultural and cross-ecological analysis of IEK across three major regions—India, the Amazon Basin, and the Arctic—was made possible by comparative case studies. These areas were picked due to their rich Indigenous histories, distinct ecological pressures, and a variety of biomes.</w:t>
      </w:r>
    </w:p>
    <w:p w14:paraId="17B14A8B" w14:textId="79588814" w:rsidR="00F940AA" w:rsidRDefault="00DA350E" w:rsidP="00F940AA">
      <w:pPr>
        <w:spacing w:before="100" w:beforeAutospacing="1" w:after="100" w:afterAutospacing="1" w:line="240" w:lineRule="auto"/>
        <w:rPr>
          <w:rFonts w:ascii="Times New Roman" w:eastAsia="Times New Roman" w:hAnsi="Times New Roman"/>
          <w:b/>
          <w:bCs/>
          <w:sz w:val="24"/>
          <w:szCs w:val="24"/>
          <w:lang w:eastAsia="en-US" w:bidi="mr-IN"/>
        </w:rPr>
      </w:pPr>
      <w:commentRangeStart w:id="3"/>
      <w:r>
        <w:rPr>
          <w:rFonts w:ascii="Times New Roman" w:eastAsia="Times New Roman" w:hAnsi="Times New Roman"/>
          <w:b/>
          <w:bCs/>
          <w:sz w:val="24"/>
          <w:szCs w:val="24"/>
          <w:lang w:eastAsia="en-US" w:bidi="mr-IN"/>
        </w:rPr>
        <w:t>Table 1-</w:t>
      </w:r>
      <w:r w:rsidR="00F940AA" w:rsidRPr="00D33093">
        <w:rPr>
          <w:rFonts w:ascii="Times New Roman" w:eastAsia="Times New Roman" w:hAnsi="Times New Roman"/>
          <w:b/>
          <w:bCs/>
          <w:sz w:val="24"/>
          <w:szCs w:val="24"/>
          <w:lang w:eastAsia="en-US" w:bidi="mr-IN"/>
        </w:rPr>
        <w:t>Case Study Regions</w:t>
      </w:r>
      <w:commentRangeEnd w:id="3"/>
      <w:r w:rsidR="001F03F7">
        <w:rPr>
          <w:rStyle w:val="CommentReference"/>
        </w:rPr>
        <w:commentReference w:id="3"/>
      </w:r>
    </w:p>
    <w:tbl>
      <w:tblPr>
        <w:tblW w:w="9060" w:type="dxa"/>
        <w:tblLook w:val="04A0" w:firstRow="1" w:lastRow="0" w:firstColumn="1" w:lastColumn="0" w:noHBand="0" w:noVBand="1"/>
      </w:tblPr>
      <w:tblGrid>
        <w:gridCol w:w="2180"/>
        <w:gridCol w:w="3200"/>
        <w:gridCol w:w="3680"/>
      </w:tblGrid>
      <w:tr w:rsidR="00F940AA" w:rsidRPr="00DC1F52" w14:paraId="00B0A1A2" w14:textId="77777777" w:rsidTr="00173DA9">
        <w:trPr>
          <w:trHeight w:val="288"/>
        </w:trPr>
        <w:tc>
          <w:tcPr>
            <w:tcW w:w="2180" w:type="dxa"/>
            <w:tcBorders>
              <w:top w:val="single" w:sz="4" w:space="0" w:color="auto"/>
              <w:left w:val="single" w:sz="4" w:space="0" w:color="auto"/>
              <w:bottom w:val="single" w:sz="4" w:space="0" w:color="auto"/>
              <w:right w:val="single" w:sz="4" w:space="0" w:color="auto"/>
            </w:tcBorders>
            <w:vAlign w:val="center"/>
            <w:hideMark/>
          </w:tcPr>
          <w:p w14:paraId="07856E79" w14:textId="77777777" w:rsidR="00F940AA" w:rsidRPr="00DC1F52" w:rsidRDefault="00F940AA" w:rsidP="00173DA9">
            <w:pPr>
              <w:spacing w:after="0" w:line="240" w:lineRule="auto"/>
              <w:rPr>
                <w:rFonts w:eastAsia="Times New Roman" w:cs="Calibri"/>
                <w:b/>
                <w:bCs/>
                <w:color w:val="000000"/>
                <w:lang w:eastAsia="en-US" w:bidi="mr-IN"/>
              </w:rPr>
            </w:pPr>
            <w:r w:rsidRPr="00DC1F52">
              <w:rPr>
                <w:rFonts w:eastAsia="Times New Roman" w:cs="Calibri"/>
                <w:b/>
                <w:bCs/>
                <w:color w:val="000000"/>
                <w:lang w:eastAsia="en-US" w:bidi="mr-IN"/>
              </w:rPr>
              <w:t>Region</w:t>
            </w:r>
          </w:p>
        </w:tc>
        <w:tc>
          <w:tcPr>
            <w:tcW w:w="3200" w:type="dxa"/>
            <w:tcBorders>
              <w:top w:val="single" w:sz="4" w:space="0" w:color="auto"/>
              <w:left w:val="nil"/>
              <w:bottom w:val="single" w:sz="4" w:space="0" w:color="auto"/>
              <w:right w:val="single" w:sz="4" w:space="0" w:color="auto"/>
            </w:tcBorders>
            <w:vAlign w:val="center"/>
            <w:hideMark/>
          </w:tcPr>
          <w:p w14:paraId="24EBBF5F" w14:textId="77777777" w:rsidR="00F940AA" w:rsidRPr="00DC1F52" w:rsidRDefault="00F940AA" w:rsidP="00173DA9">
            <w:pPr>
              <w:spacing w:after="0" w:line="240" w:lineRule="auto"/>
              <w:rPr>
                <w:rFonts w:eastAsia="Times New Roman" w:cs="Calibri"/>
                <w:b/>
                <w:bCs/>
                <w:color w:val="000000"/>
                <w:lang w:eastAsia="en-US" w:bidi="mr-IN"/>
              </w:rPr>
            </w:pPr>
            <w:r w:rsidRPr="00DC1F52">
              <w:rPr>
                <w:rFonts w:eastAsia="Times New Roman" w:cs="Calibri"/>
                <w:b/>
                <w:bCs/>
                <w:color w:val="000000"/>
                <w:lang w:eastAsia="en-US" w:bidi="mr-IN"/>
              </w:rPr>
              <w:t>Indigenous Communities</w:t>
            </w:r>
          </w:p>
        </w:tc>
        <w:tc>
          <w:tcPr>
            <w:tcW w:w="3680" w:type="dxa"/>
            <w:tcBorders>
              <w:top w:val="single" w:sz="4" w:space="0" w:color="auto"/>
              <w:left w:val="nil"/>
              <w:bottom w:val="single" w:sz="4" w:space="0" w:color="auto"/>
              <w:right w:val="single" w:sz="4" w:space="0" w:color="auto"/>
            </w:tcBorders>
            <w:vAlign w:val="center"/>
            <w:hideMark/>
          </w:tcPr>
          <w:p w14:paraId="031967D2" w14:textId="77777777" w:rsidR="00F940AA" w:rsidRPr="00DC1F52" w:rsidRDefault="00F940AA" w:rsidP="00173DA9">
            <w:pPr>
              <w:spacing w:after="0" w:line="240" w:lineRule="auto"/>
              <w:rPr>
                <w:rFonts w:eastAsia="Times New Roman" w:cs="Calibri"/>
                <w:b/>
                <w:bCs/>
                <w:color w:val="000000"/>
                <w:lang w:eastAsia="en-US" w:bidi="mr-IN"/>
              </w:rPr>
            </w:pPr>
            <w:r w:rsidRPr="00DC1F52">
              <w:rPr>
                <w:rFonts w:eastAsia="Times New Roman" w:cs="Calibri"/>
                <w:b/>
                <w:bCs/>
                <w:color w:val="000000"/>
                <w:lang w:eastAsia="en-US" w:bidi="mr-IN"/>
              </w:rPr>
              <w:t>Focus Areas</w:t>
            </w:r>
          </w:p>
        </w:tc>
      </w:tr>
      <w:tr w:rsidR="00F940AA" w:rsidRPr="00DC1F52" w14:paraId="4E95C4E0" w14:textId="77777777" w:rsidTr="00173DA9">
        <w:trPr>
          <w:trHeight w:val="576"/>
        </w:trPr>
        <w:tc>
          <w:tcPr>
            <w:tcW w:w="2180" w:type="dxa"/>
            <w:tcBorders>
              <w:top w:val="nil"/>
              <w:left w:val="single" w:sz="4" w:space="0" w:color="auto"/>
              <w:bottom w:val="single" w:sz="4" w:space="0" w:color="auto"/>
              <w:right w:val="single" w:sz="4" w:space="0" w:color="auto"/>
            </w:tcBorders>
            <w:vAlign w:val="center"/>
            <w:hideMark/>
          </w:tcPr>
          <w:p w14:paraId="13357C21" w14:textId="77777777" w:rsidR="00F940AA" w:rsidRPr="00DC1F52" w:rsidRDefault="00F940AA" w:rsidP="00173DA9">
            <w:pPr>
              <w:spacing w:after="0" w:line="240" w:lineRule="auto"/>
              <w:rPr>
                <w:rFonts w:eastAsia="Times New Roman" w:cs="Calibri"/>
                <w:color w:val="000000"/>
                <w:lang w:eastAsia="en-US" w:bidi="mr-IN"/>
              </w:rPr>
            </w:pPr>
            <w:r w:rsidRPr="00DC1F52">
              <w:rPr>
                <w:rFonts w:eastAsia="Times New Roman" w:cs="Calibri"/>
                <w:color w:val="000000"/>
                <w:lang w:eastAsia="en-US" w:bidi="mr-IN"/>
              </w:rPr>
              <w:t>India</w:t>
            </w:r>
          </w:p>
        </w:tc>
        <w:tc>
          <w:tcPr>
            <w:tcW w:w="3200" w:type="dxa"/>
            <w:tcBorders>
              <w:top w:val="nil"/>
              <w:left w:val="nil"/>
              <w:bottom w:val="single" w:sz="4" w:space="0" w:color="auto"/>
              <w:right w:val="single" w:sz="4" w:space="0" w:color="auto"/>
            </w:tcBorders>
            <w:vAlign w:val="center"/>
            <w:hideMark/>
          </w:tcPr>
          <w:p w14:paraId="05E7B1E9" w14:textId="77777777" w:rsidR="00F940AA" w:rsidRPr="00DC1F52" w:rsidRDefault="00F940AA" w:rsidP="00173DA9">
            <w:pPr>
              <w:spacing w:after="0" w:line="240" w:lineRule="auto"/>
              <w:rPr>
                <w:rFonts w:eastAsia="Times New Roman" w:cs="Calibri"/>
                <w:color w:val="000000"/>
                <w:lang w:eastAsia="en-US" w:bidi="mr-IN"/>
              </w:rPr>
            </w:pPr>
            <w:r w:rsidRPr="00DC1F52">
              <w:rPr>
                <w:rFonts w:eastAsia="Times New Roman" w:cs="Calibri"/>
                <w:color w:val="000000"/>
                <w:lang w:eastAsia="en-US" w:bidi="mr-IN"/>
              </w:rPr>
              <w:t xml:space="preserve">Bhil, Kondh, </w:t>
            </w:r>
            <w:proofErr w:type="spellStart"/>
            <w:r w:rsidRPr="00DC1F52">
              <w:rPr>
                <w:rFonts w:eastAsia="Times New Roman" w:cs="Calibri"/>
                <w:color w:val="000000"/>
                <w:lang w:eastAsia="en-US" w:bidi="mr-IN"/>
              </w:rPr>
              <w:t>Irula</w:t>
            </w:r>
            <w:proofErr w:type="spellEnd"/>
            <w:r w:rsidRPr="00DC1F52">
              <w:rPr>
                <w:rFonts w:eastAsia="Times New Roman" w:cs="Calibri"/>
                <w:color w:val="000000"/>
                <w:lang w:eastAsia="en-US" w:bidi="mr-IN"/>
              </w:rPr>
              <w:t>, Western Ghats tribes</w:t>
            </w:r>
          </w:p>
        </w:tc>
        <w:tc>
          <w:tcPr>
            <w:tcW w:w="3680" w:type="dxa"/>
            <w:tcBorders>
              <w:top w:val="nil"/>
              <w:left w:val="nil"/>
              <w:bottom w:val="single" w:sz="4" w:space="0" w:color="auto"/>
              <w:right w:val="single" w:sz="4" w:space="0" w:color="auto"/>
            </w:tcBorders>
            <w:vAlign w:val="center"/>
            <w:hideMark/>
          </w:tcPr>
          <w:p w14:paraId="24A0F9A4" w14:textId="77777777" w:rsidR="00F940AA" w:rsidRPr="00DC1F52" w:rsidRDefault="00F940AA" w:rsidP="00173DA9">
            <w:pPr>
              <w:spacing w:after="0" w:line="240" w:lineRule="auto"/>
              <w:rPr>
                <w:rFonts w:eastAsia="Times New Roman" w:cs="Calibri"/>
                <w:color w:val="000000"/>
                <w:lang w:eastAsia="en-US" w:bidi="mr-IN"/>
              </w:rPr>
            </w:pPr>
            <w:r w:rsidRPr="00DC1F52">
              <w:rPr>
                <w:rFonts w:eastAsia="Times New Roman" w:cs="Calibri"/>
                <w:color w:val="000000"/>
                <w:lang w:eastAsia="en-US" w:bidi="mr-IN"/>
              </w:rPr>
              <w:t>Sacred groves, traditional rice farming, Indigenous seed banks</w:t>
            </w:r>
          </w:p>
        </w:tc>
      </w:tr>
      <w:tr w:rsidR="00F940AA" w:rsidRPr="00DC1F52" w14:paraId="4D4A9BE0" w14:textId="77777777" w:rsidTr="00173DA9">
        <w:trPr>
          <w:trHeight w:val="576"/>
        </w:trPr>
        <w:tc>
          <w:tcPr>
            <w:tcW w:w="2180" w:type="dxa"/>
            <w:tcBorders>
              <w:top w:val="nil"/>
              <w:left w:val="single" w:sz="4" w:space="0" w:color="auto"/>
              <w:bottom w:val="single" w:sz="4" w:space="0" w:color="auto"/>
              <w:right w:val="single" w:sz="4" w:space="0" w:color="auto"/>
            </w:tcBorders>
            <w:vAlign w:val="center"/>
            <w:hideMark/>
          </w:tcPr>
          <w:p w14:paraId="62AEAF8C" w14:textId="77777777" w:rsidR="00F940AA" w:rsidRPr="00DC1F52" w:rsidRDefault="00F940AA" w:rsidP="00173DA9">
            <w:pPr>
              <w:spacing w:after="0" w:line="240" w:lineRule="auto"/>
              <w:rPr>
                <w:rFonts w:eastAsia="Times New Roman" w:cs="Calibri"/>
                <w:color w:val="000000"/>
                <w:lang w:eastAsia="en-US" w:bidi="mr-IN"/>
              </w:rPr>
            </w:pPr>
            <w:r w:rsidRPr="00DC1F52">
              <w:rPr>
                <w:rFonts w:eastAsia="Times New Roman" w:cs="Calibri"/>
                <w:color w:val="000000"/>
                <w:lang w:eastAsia="en-US" w:bidi="mr-IN"/>
              </w:rPr>
              <w:t>Amazon Basin</w:t>
            </w:r>
          </w:p>
        </w:tc>
        <w:tc>
          <w:tcPr>
            <w:tcW w:w="3200" w:type="dxa"/>
            <w:tcBorders>
              <w:top w:val="nil"/>
              <w:left w:val="nil"/>
              <w:bottom w:val="single" w:sz="4" w:space="0" w:color="auto"/>
              <w:right w:val="single" w:sz="4" w:space="0" w:color="auto"/>
            </w:tcBorders>
            <w:vAlign w:val="center"/>
            <w:hideMark/>
          </w:tcPr>
          <w:p w14:paraId="62917675" w14:textId="77777777" w:rsidR="00F940AA" w:rsidRPr="00DC1F52" w:rsidRDefault="00F940AA" w:rsidP="00173DA9">
            <w:pPr>
              <w:spacing w:after="0" w:line="240" w:lineRule="auto"/>
              <w:rPr>
                <w:rFonts w:eastAsia="Times New Roman" w:cs="Calibri"/>
                <w:color w:val="000000"/>
                <w:lang w:eastAsia="en-US" w:bidi="mr-IN"/>
              </w:rPr>
            </w:pPr>
            <w:r w:rsidRPr="00DC1F52">
              <w:rPr>
                <w:rFonts w:eastAsia="Times New Roman" w:cs="Calibri"/>
                <w:color w:val="000000"/>
                <w:lang w:eastAsia="en-US" w:bidi="mr-IN"/>
              </w:rPr>
              <w:t xml:space="preserve">Kayapo, </w:t>
            </w:r>
            <w:proofErr w:type="spellStart"/>
            <w:r w:rsidRPr="00DC1F52">
              <w:rPr>
                <w:rFonts w:eastAsia="Times New Roman" w:cs="Calibri"/>
                <w:color w:val="000000"/>
                <w:lang w:eastAsia="en-US" w:bidi="mr-IN"/>
              </w:rPr>
              <w:t>Ashaninka</w:t>
            </w:r>
            <w:proofErr w:type="spellEnd"/>
            <w:r w:rsidRPr="00DC1F52">
              <w:rPr>
                <w:rFonts w:eastAsia="Times New Roman" w:cs="Calibri"/>
                <w:color w:val="000000"/>
                <w:lang w:eastAsia="en-US" w:bidi="mr-IN"/>
              </w:rPr>
              <w:t>, Shipibo-</w:t>
            </w:r>
            <w:proofErr w:type="spellStart"/>
            <w:r w:rsidRPr="00DC1F52">
              <w:rPr>
                <w:rFonts w:eastAsia="Times New Roman" w:cs="Calibri"/>
                <w:color w:val="000000"/>
                <w:lang w:eastAsia="en-US" w:bidi="mr-IN"/>
              </w:rPr>
              <w:t>Conibo</w:t>
            </w:r>
            <w:proofErr w:type="spellEnd"/>
          </w:p>
        </w:tc>
        <w:tc>
          <w:tcPr>
            <w:tcW w:w="3680" w:type="dxa"/>
            <w:tcBorders>
              <w:top w:val="nil"/>
              <w:left w:val="nil"/>
              <w:bottom w:val="single" w:sz="4" w:space="0" w:color="auto"/>
              <w:right w:val="single" w:sz="4" w:space="0" w:color="auto"/>
            </w:tcBorders>
            <w:vAlign w:val="center"/>
            <w:hideMark/>
          </w:tcPr>
          <w:p w14:paraId="017A563A" w14:textId="77777777" w:rsidR="00F940AA" w:rsidRPr="00DC1F52" w:rsidRDefault="00F940AA" w:rsidP="00173DA9">
            <w:pPr>
              <w:spacing w:after="0" w:line="240" w:lineRule="auto"/>
              <w:rPr>
                <w:rFonts w:eastAsia="Times New Roman" w:cs="Calibri"/>
                <w:color w:val="000000"/>
                <w:lang w:eastAsia="en-US" w:bidi="mr-IN"/>
              </w:rPr>
            </w:pPr>
            <w:r w:rsidRPr="00DC1F52">
              <w:rPr>
                <w:rFonts w:eastAsia="Times New Roman" w:cs="Calibri"/>
                <w:color w:val="000000"/>
                <w:lang w:eastAsia="en-US" w:bidi="mr-IN"/>
              </w:rPr>
              <w:t>Forest gardening, swidden agriculture, pollinator–plant interactions</w:t>
            </w:r>
          </w:p>
        </w:tc>
      </w:tr>
      <w:tr w:rsidR="00F940AA" w:rsidRPr="00DC1F52" w14:paraId="1353C06E" w14:textId="77777777" w:rsidTr="00173DA9">
        <w:trPr>
          <w:trHeight w:val="576"/>
        </w:trPr>
        <w:tc>
          <w:tcPr>
            <w:tcW w:w="2180" w:type="dxa"/>
            <w:tcBorders>
              <w:top w:val="nil"/>
              <w:left w:val="single" w:sz="4" w:space="0" w:color="auto"/>
              <w:bottom w:val="single" w:sz="4" w:space="0" w:color="auto"/>
              <w:right w:val="single" w:sz="4" w:space="0" w:color="auto"/>
            </w:tcBorders>
            <w:vAlign w:val="center"/>
            <w:hideMark/>
          </w:tcPr>
          <w:p w14:paraId="424AD20B" w14:textId="77777777" w:rsidR="00F940AA" w:rsidRPr="00DC1F52" w:rsidRDefault="00F940AA" w:rsidP="00173DA9">
            <w:pPr>
              <w:spacing w:after="0" w:line="240" w:lineRule="auto"/>
              <w:rPr>
                <w:rFonts w:eastAsia="Times New Roman" w:cs="Calibri"/>
                <w:color w:val="000000"/>
                <w:lang w:eastAsia="en-US" w:bidi="mr-IN"/>
              </w:rPr>
            </w:pPr>
            <w:r w:rsidRPr="00DC1F52">
              <w:rPr>
                <w:rFonts w:eastAsia="Times New Roman" w:cs="Calibri"/>
                <w:color w:val="000000"/>
                <w:lang w:eastAsia="en-US" w:bidi="mr-IN"/>
              </w:rPr>
              <w:t>Arctic</w:t>
            </w:r>
          </w:p>
        </w:tc>
        <w:tc>
          <w:tcPr>
            <w:tcW w:w="3200" w:type="dxa"/>
            <w:tcBorders>
              <w:top w:val="nil"/>
              <w:left w:val="nil"/>
              <w:bottom w:val="single" w:sz="4" w:space="0" w:color="auto"/>
              <w:right w:val="single" w:sz="4" w:space="0" w:color="auto"/>
            </w:tcBorders>
            <w:vAlign w:val="center"/>
            <w:hideMark/>
          </w:tcPr>
          <w:p w14:paraId="4B68C3FE" w14:textId="77777777" w:rsidR="00F940AA" w:rsidRPr="00DC1F52" w:rsidRDefault="00F940AA" w:rsidP="00173DA9">
            <w:pPr>
              <w:spacing w:after="0" w:line="240" w:lineRule="auto"/>
              <w:rPr>
                <w:rFonts w:eastAsia="Times New Roman" w:cs="Calibri"/>
                <w:color w:val="000000"/>
                <w:lang w:eastAsia="en-US" w:bidi="mr-IN"/>
              </w:rPr>
            </w:pPr>
            <w:r w:rsidRPr="00DC1F52">
              <w:rPr>
                <w:rFonts w:eastAsia="Times New Roman" w:cs="Calibri"/>
                <w:color w:val="000000"/>
                <w:lang w:eastAsia="en-US" w:bidi="mr-IN"/>
              </w:rPr>
              <w:t>Inuit, Sámi</w:t>
            </w:r>
          </w:p>
        </w:tc>
        <w:tc>
          <w:tcPr>
            <w:tcW w:w="3680" w:type="dxa"/>
            <w:tcBorders>
              <w:top w:val="nil"/>
              <w:left w:val="nil"/>
              <w:bottom w:val="single" w:sz="4" w:space="0" w:color="auto"/>
              <w:right w:val="single" w:sz="4" w:space="0" w:color="auto"/>
            </w:tcBorders>
            <w:vAlign w:val="center"/>
            <w:hideMark/>
          </w:tcPr>
          <w:p w14:paraId="0D33B281" w14:textId="77777777" w:rsidR="00F940AA" w:rsidRPr="00DC1F52" w:rsidRDefault="00F940AA" w:rsidP="00173DA9">
            <w:pPr>
              <w:spacing w:after="0" w:line="240" w:lineRule="auto"/>
              <w:rPr>
                <w:rFonts w:eastAsia="Times New Roman" w:cs="Calibri"/>
                <w:color w:val="000000"/>
                <w:lang w:eastAsia="en-US" w:bidi="mr-IN"/>
              </w:rPr>
            </w:pPr>
            <w:r w:rsidRPr="00DC1F52">
              <w:rPr>
                <w:rFonts w:eastAsia="Times New Roman" w:cs="Calibri"/>
                <w:color w:val="000000"/>
                <w:lang w:eastAsia="en-US" w:bidi="mr-IN"/>
              </w:rPr>
              <w:t>Ice knowledge, caribou and reindeer herding, seasonal calendars</w:t>
            </w:r>
          </w:p>
        </w:tc>
      </w:tr>
    </w:tbl>
    <w:p w14:paraId="0F09ECF8" w14:textId="77777777" w:rsidR="00F940AA" w:rsidRPr="00D3309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D33093">
        <w:rPr>
          <w:rFonts w:ascii="Times New Roman" w:eastAsia="Times New Roman" w:hAnsi="Times New Roman"/>
          <w:b/>
          <w:bCs/>
          <w:sz w:val="24"/>
          <w:szCs w:val="24"/>
          <w:lang w:eastAsia="en-US" w:bidi="mr-IN"/>
        </w:rPr>
        <w:t>Rationale for Selection</w:t>
      </w:r>
    </w:p>
    <w:p w14:paraId="0AD491A1" w14:textId="77777777" w:rsidR="00F940AA" w:rsidRPr="00D3309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These regions provide:</w:t>
      </w:r>
    </w:p>
    <w:p w14:paraId="17E3956C" w14:textId="77777777" w:rsidR="00F940AA" w:rsidRPr="00D33093" w:rsidRDefault="00F940AA" w:rsidP="00F940AA">
      <w:pPr>
        <w:numPr>
          <w:ilvl w:val="0"/>
          <w:numId w:val="5"/>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Ecological diversity (tropical, temperate, polar)</w:t>
      </w:r>
    </w:p>
    <w:p w14:paraId="10E81219" w14:textId="77777777" w:rsidR="00F940AA" w:rsidRPr="00D33093" w:rsidRDefault="00F940AA" w:rsidP="00F940AA">
      <w:pPr>
        <w:numPr>
          <w:ilvl w:val="0"/>
          <w:numId w:val="5"/>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Cultural diversity in knowledge transmission</w:t>
      </w:r>
    </w:p>
    <w:p w14:paraId="320B15F6" w14:textId="77777777" w:rsidR="00F940AA" w:rsidRPr="00D33093" w:rsidRDefault="00F940AA" w:rsidP="00F940AA">
      <w:pPr>
        <w:numPr>
          <w:ilvl w:val="0"/>
          <w:numId w:val="5"/>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Varied climate pressures (monsoonal variability, rainforest loss, Arctic warming)</w:t>
      </w:r>
    </w:p>
    <w:p w14:paraId="6E563FC7" w14:textId="77777777" w:rsidR="00F940AA" w:rsidRPr="00D33093" w:rsidRDefault="00F940AA" w:rsidP="00F940AA">
      <w:pPr>
        <w:numPr>
          <w:ilvl w:val="0"/>
          <w:numId w:val="5"/>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Rich, well-documented IEK systems</w:t>
      </w:r>
    </w:p>
    <w:p w14:paraId="7DD9A515" w14:textId="77777777" w:rsidR="00F940AA" w:rsidRPr="00D33093" w:rsidRDefault="00F940AA" w:rsidP="00F940AA">
      <w:pPr>
        <w:numPr>
          <w:ilvl w:val="0"/>
          <w:numId w:val="5"/>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Existing datasets compatible with scientific validation</w:t>
      </w:r>
    </w:p>
    <w:p w14:paraId="219F1722" w14:textId="77777777" w:rsidR="00F940AA" w:rsidRPr="00D3309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D33093">
        <w:rPr>
          <w:rFonts w:ascii="Times New Roman" w:eastAsia="Times New Roman" w:hAnsi="Times New Roman"/>
          <w:b/>
          <w:bCs/>
          <w:sz w:val="24"/>
          <w:szCs w:val="24"/>
          <w:lang w:eastAsia="en-US" w:bidi="mr-IN"/>
        </w:rPr>
        <w:t>Data Sources within Case Studies</w:t>
      </w:r>
    </w:p>
    <w:p w14:paraId="6F473A9B" w14:textId="77777777" w:rsidR="00F940AA" w:rsidRPr="00D33093" w:rsidRDefault="00F940AA" w:rsidP="00F940AA">
      <w:pPr>
        <w:numPr>
          <w:ilvl w:val="0"/>
          <w:numId w:val="6"/>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Published ecological surveys</w:t>
      </w:r>
    </w:p>
    <w:p w14:paraId="1AA0428C" w14:textId="77777777" w:rsidR="00F940AA" w:rsidRPr="00D33093" w:rsidRDefault="00F940AA" w:rsidP="00F940AA">
      <w:pPr>
        <w:numPr>
          <w:ilvl w:val="0"/>
          <w:numId w:val="6"/>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Ethnographic interviews and oral histories</w:t>
      </w:r>
    </w:p>
    <w:p w14:paraId="1125C09D" w14:textId="77777777" w:rsidR="00F940AA" w:rsidRPr="00D33093" w:rsidRDefault="00F940AA" w:rsidP="00F940AA">
      <w:pPr>
        <w:numPr>
          <w:ilvl w:val="0"/>
          <w:numId w:val="6"/>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Community-led mapping, participatory rural appraisals</w:t>
      </w:r>
    </w:p>
    <w:p w14:paraId="705B1303" w14:textId="77777777" w:rsidR="00F940AA" w:rsidRPr="00D33093" w:rsidRDefault="00F940AA" w:rsidP="00F940AA">
      <w:pPr>
        <w:numPr>
          <w:ilvl w:val="0"/>
          <w:numId w:val="6"/>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Remote-sensing datasets (forest cover, NDVI changes)</w:t>
      </w:r>
    </w:p>
    <w:p w14:paraId="70F53AF8" w14:textId="77777777" w:rsidR="00F940AA" w:rsidRPr="00D33093" w:rsidRDefault="00F940AA" w:rsidP="00F940AA">
      <w:pPr>
        <w:numPr>
          <w:ilvl w:val="0"/>
          <w:numId w:val="6"/>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National biodiversity assessments</w:t>
      </w:r>
    </w:p>
    <w:p w14:paraId="0AE4370E" w14:textId="77777777" w:rsidR="00F940AA" w:rsidRPr="00D33093" w:rsidRDefault="00F940AA" w:rsidP="00F940AA">
      <w:pPr>
        <w:numPr>
          <w:ilvl w:val="0"/>
          <w:numId w:val="6"/>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Indigenous community reports and declarations</w:t>
      </w:r>
    </w:p>
    <w:p w14:paraId="7020CA68" w14:textId="77777777" w:rsidR="00F940AA" w:rsidRPr="00D3309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D33093">
        <w:rPr>
          <w:rFonts w:ascii="Times New Roman" w:eastAsia="Times New Roman" w:hAnsi="Times New Roman"/>
          <w:b/>
          <w:bCs/>
          <w:sz w:val="24"/>
          <w:szCs w:val="24"/>
          <w:lang w:eastAsia="en-US" w:bidi="mr-IN"/>
        </w:rPr>
        <w:t>Comparative Case Study Approach</w:t>
      </w:r>
    </w:p>
    <w:p w14:paraId="3501EC12" w14:textId="77777777" w:rsidR="00F940AA" w:rsidRPr="00D3309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Each case study was examined based on four dimensions:</w:t>
      </w:r>
    </w:p>
    <w:p w14:paraId="25CA44C9" w14:textId="77777777" w:rsidR="00F940AA" w:rsidRPr="00D33093" w:rsidRDefault="00F940AA" w:rsidP="00F940AA">
      <w:pPr>
        <w:numPr>
          <w:ilvl w:val="0"/>
          <w:numId w:val="41"/>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b/>
          <w:bCs/>
          <w:sz w:val="24"/>
          <w:szCs w:val="24"/>
          <w:lang w:eastAsia="en-US" w:bidi="mr-IN"/>
        </w:rPr>
        <w:t>Landscape-level ecological contributions</w:t>
      </w:r>
    </w:p>
    <w:p w14:paraId="5BBD891E" w14:textId="77777777" w:rsidR="00F940AA" w:rsidRPr="00D33093" w:rsidRDefault="00F940AA" w:rsidP="00F940AA">
      <w:pPr>
        <w:numPr>
          <w:ilvl w:val="0"/>
          <w:numId w:val="41"/>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b/>
          <w:bCs/>
          <w:sz w:val="24"/>
          <w:szCs w:val="24"/>
          <w:lang w:eastAsia="en-US" w:bidi="mr-IN"/>
        </w:rPr>
        <w:t>Climate adaptation mechanisms</w:t>
      </w:r>
    </w:p>
    <w:p w14:paraId="11422349" w14:textId="77777777" w:rsidR="00F940AA" w:rsidRPr="00D33093" w:rsidRDefault="00F940AA" w:rsidP="00F940AA">
      <w:pPr>
        <w:numPr>
          <w:ilvl w:val="0"/>
          <w:numId w:val="41"/>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b/>
          <w:bCs/>
          <w:sz w:val="24"/>
          <w:szCs w:val="24"/>
          <w:lang w:eastAsia="en-US" w:bidi="mr-IN"/>
        </w:rPr>
        <w:t>Sociocultural and governance systems</w:t>
      </w:r>
    </w:p>
    <w:p w14:paraId="315063C3" w14:textId="77777777" w:rsidR="00F940AA" w:rsidRPr="00D33093" w:rsidRDefault="00F940AA" w:rsidP="00F940AA">
      <w:pPr>
        <w:numPr>
          <w:ilvl w:val="0"/>
          <w:numId w:val="41"/>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b/>
          <w:bCs/>
          <w:sz w:val="24"/>
          <w:szCs w:val="24"/>
          <w:lang w:eastAsia="en-US" w:bidi="mr-IN"/>
        </w:rPr>
        <w:t>Scientific complementarities and validation</w:t>
      </w:r>
    </w:p>
    <w:p w14:paraId="74100B2D" w14:textId="77777777" w:rsidR="00F940AA" w:rsidRPr="00D3309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lastRenderedPageBreak/>
        <w:t>The comparative approach highlighted both universal strengths of IEK (e.g., ecosystem stability) and region-specific adaptations (e.g., Arctic ice-reading methods).</w:t>
      </w:r>
    </w:p>
    <w:p w14:paraId="2689A74C" w14:textId="77777777" w:rsidR="00F940AA" w:rsidRPr="00D3309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D33093">
        <w:rPr>
          <w:rFonts w:ascii="Times New Roman" w:eastAsia="Times New Roman" w:hAnsi="Times New Roman"/>
          <w:b/>
          <w:bCs/>
          <w:sz w:val="24"/>
          <w:szCs w:val="24"/>
          <w:lang w:eastAsia="en-US" w:bidi="mr-IN"/>
        </w:rPr>
        <w:t>C. Interdisciplinary Scientific Integration</w:t>
      </w:r>
    </w:p>
    <w:p w14:paraId="09E3E275" w14:textId="77777777" w:rsidR="00F940AA" w:rsidRPr="00587B92"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587B92">
        <w:rPr>
          <w:rFonts w:ascii="Times New Roman" w:eastAsia="Times New Roman" w:hAnsi="Times New Roman"/>
          <w:sz w:val="24"/>
          <w:szCs w:val="24"/>
          <w:lang w:eastAsia="en-US" w:bidi="mr-IN"/>
        </w:rPr>
        <w:t>The study used cutting-edge scientific methods to assess and confirm the ecological results of IEK. These instruments were selected because they complement the ecological, temporal, and spatial aspects of land-use systems based on IEK.</w:t>
      </w:r>
    </w:p>
    <w:p w14:paraId="06735FCD" w14:textId="77777777" w:rsidR="00F940AA" w:rsidRPr="00D3309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D33093">
        <w:rPr>
          <w:rFonts w:ascii="Times New Roman" w:eastAsia="Times New Roman" w:hAnsi="Times New Roman"/>
          <w:b/>
          <w:bCs/>
          <w:sz w:val="24"/>
          <w:szCs w:val="24"/>
          <w:lang w:eastAsia="en-US" w:bidi="mr-IN"/>
        </w:rPr>
        <w:t>1. GIS and Remote Sensing</w:t>
      </w:r>
    </w:p>
    <w:p w14:paraId="132EDEEB" w14:textId="77777777" w:rsidR="00F940AA" w:rsidRPr="00D3309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GIS (Geographic Information Systems) and remote-sensing technologies were used to assess:</w:t>
      </w:r>
    </w:p>
    <w:p w14:paraId="082A8DA1" w14:textId="77777777" w:rsidR="00F940AA" w:rsidRPr="00D33093" w:rsidRDefault="00F940AA" w:rsidP="00F940AA">
      <w:pPr>
        <w:numPr>
          <w:ilvl w:val="0"/>
          <w:numId w:val="7"/>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Forest cover change (using Landsat and Sentinel imagery)</w:t>
      </w:r>
    </w:p>
    <w:p w14:paraId="63880C10" w14:textId="77777777" w:rsidR="00F940AA" w:rsidRPr="00D33093" w:rsidRDefault="00F940AA" w:rsidP="00F940AA">
      <w:pPr>
        <w:numPr>
          <w:ilvl w:val="0"/>
          <w:numId w:val="7"/>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NDVI (Normalized Difference Vegetation Index) trends</w:t>
      </w:r>
    </w:p>
    <w:p w14:paraId="7543B2F4" w14:textId="77777777" w:rsidR="00F940AA" w:rsidRPr="00D33093" w:rsidRDefault="00F940AA" w:rsidP="00F940AA">
      <w:pPr>
        <w:numPr>
          <w:ilvl w:val="0"/>
          <w:numId w:val="7"/>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Landscape fragmentation metrics</w:t>
      </w:r>
    </w:p>
    <w:p w14:paraId="41351F1F" w14:textId="77777777" w:rsidR="00F940AA" w:rsidRPr="00D33093" w:rsidRDefault="00F940AA" w:rsidP="00F940AA">
      <w:pPr>
        <w:numPr>
          <w:ilvl w:val="0"/>
          <w:numId w:val="7"/>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Hydrological patterns associated with sacred groves and agroforestry systems</w:t>
      </w:r>
    </w:p>
    <w:p w14:paraId="2DF7B211" w14:textId="77777777" w:rsidR="00F940AA" w:rsidRPr="00D3309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Techniques included:</w:t>
      </w:r>
    </w:p>
    <w:p w14:paraId="12770CCC" w14:textId="77777777" w:rsidR="00F940AA" w:rsidRPr="00D33093" w:rsidRDefault="00F940AA" w:rsidP="00F940AA">
      <w:pPr>
        <w:numPr>
          <w:ilvl w:val="0"/>
          <w:numId w:val="8"/>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Time-series analysis (1995–2024)</w:t>
      </w:r>
    </w:p>
    <w:p w14:paraId="7C32A0AF" w14:textId="77777777" w:rsidR="00F940AA" w:rsidRPr="00D33093" w:rsidRDefault="00F940AA" w:rsidP="00F940AA">
      <w:pPr>
        <w:numPr>
          <w:ilvl w:val="0"/>
          <w:numId w:val="8"/>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NDVI-based vegetation health assessment</w:t>
      </w:r>
    </w:p>
    <w:p w14:paraId="3D4B4AB7" w14:textId="77777777" w:rsidR="00F940AA" w:rsidRPr="00D33093" w:rsidRDefault="00F940AA" w:rsidP="00F940AA">
      <w:pPr>
        <w:numPr>
          <w:ilvl w:val="0"/>
          <w:numId w:val="8"/>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Patch analysis using FRAGSTATS</w:t>
      </w:r>
    </w:p>
    <w:p w14:paraId="0C7E331D" w14:textId="77777777" w:rsidR="00F940AA" w:rsidRPr="00D33093" w:rsidRDefault="00F940AA" w:rsidP="00F940AA">
      <w:pPr>
        <w:numPr>
          <w:ilvl w:val="0"/>
          <w:numId w:val="8"/>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Watershed-level hydrological mapping</w:t>
      </w:r>
    </w:p>
    <w:p w14:paraId="607B90D6" w14:textId="77777777" w:rsidR="00F940AA" w:rsidRPr="00D3309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D33093">
        <w:rPr>
          <w:rFonts w:ascii="Times New Roman" w:eastAsia="Times New Roman" w:hAnsi="Times New Roman"/>
          <w:b/>
          <w:bCs/>
          <w:sz w:val="24"/>
          <w:szCs w:val="24"/>
          <w:lang w:eastAsia="en-US" w:bidi="mr-IN"/>
        </w:rPr>
        <w:t>2. Climate Modeling</w:t>
      </w:r>
    </w:p>
    <w:p w14:paraId="7F704F82" w14:textId="77777777" w:rsidR="00F940AA" w:rsidRPr="00D3309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Indigenous seasonal indicators (such as animal behavior, flowering cycles, wind direction changes, and ice texture observations) were compared with:</w:t>
      </w:r>
    </w:p>
    <w:p w14:paraId="12A73267" w14:textId="77777777" w:rsidR="00F940AA" w:rsidRPr="00D33093" w:rsidRDefault="00F940AA" w:rsidP="00F940AA">
      <w:pPr>
        <w:numPr>
          <w:ilvl w:val="0"/>
          <w:numId w:val="9"/>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ERA5 atmospheric reanalysis data</w:t>
      </w:r>
    </w:p>
    <w:p w14:paraId="33455CC8" w14:textId="77777777" w:rsidR="00F940AA" w:rsidRPr="00D33093" w:rsidRDefault="00F940AA" w:rsidP="00F940AA">
      <w:pPr>
        <w:numPr>
          <w:ilvl w:val="0"/>
          <w:numId w:val="9"/>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Indian Meteorological Department datasets</w:t>
      </w:r>
    </w:p>
    <w:p w14:paraId="07052373" w14:textId="77777777" w:rsidR="00F940AA" w:rsidRPr="00D33093" w:rsidRDefault="00F940AA" w:rsidP="00F940AA">
      <w:pPr>
        <w:numPr>
          <w:ilvl w:val="0"/>
          <w:numId w:val="9"/>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Arctic ice-thickness and albedo datasets</w:t>
      </w:r>
    </w:p>
    <w:p w14:paraId="6B2DAE7E" w14:textId="77777777" w:rsidR="00F940AA" w:rsidRPr="00D33093" w:rsidRDefault="00F940AA" w:rsidP="00F940AA">
      <w:pPr>
        <w:numPr>
          <w:ilvl w:val="0"/>
          <w:numId w:val="9"/>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NOAA ocean temperature records</w:t>
      </w:r>
    </w:p>
    <w:p w14:paraId="528C0F0F" w14:textId="77777777" w:rsidR="00F940AA" w:rsidRPr="00D3309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Correlation analyses were used to test congruence between Indigenous indicators and instrumental climate data.</w:t>
      </w:r>
    </w:p>
    <w:p w14:paraId="622A92E1" w14:textId="77777777" w:rsidR="00F940AA" w:rsidRPr="00D3309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D33093">
        <w:rPr>
          <w:rFonts w:ascii="Times New Roman" w:eastAsia="Times New Roman" w:hAnsi="Times New Roman"/>
          <w:b/>
          <w:bCs/>
          <w:sz w:val="24"/>
          <w:szCs w:val="24"/>
          <w:lang w:eastAsia="en-US" w:bidi="mr-IN"/>
        </w:rPr>
        <w:t>3. Agroecological Simulation Models</w:t>
      </w:r>
    </w:p>
    <w:p w14:paraId="1651B92D" w14:textId="77777777" w:rsidR="00F940AA" w:rsidRPr="00D3309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To assess IEK-based agricultural systems, the study used:</w:t>
      </w:r>
    </w:p>
    <w:p w14:paraId="5839BB5A" w14:textId="77777777" w:rsidR="00F940AA" w:rsidRPr="00D33093" w:rsidRDefault="00F940AA" w:rsidP="00F940AA">
      <w:pPr>
        <w:numPr>
          <w:ilvl w:val="0"/>
          <w:numId w:val="10"/>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CENTURY soil organic carbon models</w:t>
      </w:r>
    </w:p>
    <w:p w14:paraId="39D55AE4" w14:textId="77777777" w:rsidR="00F940AA" w:rsidRPr="00D33093" w:rsidRDefault="00F940AA" w:rsidP="00F940AA">
      <w:pPr>
        <w:numPr>
          <w:ilvl w:val="0"/>
          <w:numId w:val="10"/>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Crop growth simulations</w:t>
      </w:r>
    </w:p>
    <w:p w14:paraId="490CA595" w14:textId="77777777" w:rsidR="00F940AA" w:rsidRPr="00D33093" w:rsidRDefault="00F940AA" w:rsidP="00F940AA">
      <w:pPr>
        <w:numPr>
          <w:ilvl w:val="0"/>
          <w:numId w:val="10"/>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Nutrient cycling models</w:t>
      </w:r>
    </w:p>
    <w:p w14:paraId="05392D48" w14:textId="77777777" w:rsidR="00F940AA" w:rsidRPr="00D33093" w:rsidRDefault="00F940AA" w:rsidP="00F940AA">
      <w:pPr>
        <w:numPr>
          <w:ilvl w:val="0"/>
          <w:numId w:val="10"/>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Allometric biomass estimates for agroforestry carbon stocks</w:t>
      </w:r>
    </w:p>
    <w:p w14:paraId="7D8AE910" w14:textId="77777777" w:rsidR="00F940AA" w:rsidRPr="00D3309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lastRenderedPageBreak/>
        <w:t>These models helped quantify:</w:t>
      </w:r>
    </w:p>
    <w:p w14:paraId="551BF6B5" w14:textId="77777777" w:rsidR="00F940AA" w:rsidRPr="00D33093" w:rsidRDefault="00F940AA" w:rsidP="00F940AA">
      <w:pPr>
        <w:numPr>
          <w:ilvl w:val="0"/>
          <w:numId w:val="11"/>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Soil organic carbon changes</w:t>
      </w:r>
    </w:p>
    <w:p w14:paraId="2CD46D2C" w14:textId="77777777" w:rsidR="00F940AA" w:rsidRPr="00D33093" w:rsidRDefault="00F940AA" w:rsidP="00F940AA">
      <w:pPr>
        <w:numPr>
          <w:ilvl w:val="0"/>
          <w:numId w:val="11"/>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Carbon sequestration potential</w:t>
      </w:r>
    </w:p>
    <w:p w14:paraId="6C6D0EA4" w14:textId="77777777" w:rsidR="00F940AA" w:rsidRPr="00D33093" w:rsidRDefault="00F940AA" w:rsidP="00F940AA">
      <w:pPr>
        <w:numPr>
          <w:ilvl w:val="0"/>
          <w:numId w:val="11"/>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Biodiversity indices</w:t>
      </w:r>
    </w:p>
    <w:p w14:paraId="2ED7ABBB" w14:textId="77777777" w:rsidR="00F940AA" w:rsidRPr="00D33093" w:rsidRDefault="00F940AA" w:rsidP="00F940AA">
      <w:pPr>
        <w:numPr>
          <w:ilvl w:val="0"/>
          <w:numId w:val="11"/>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Soil moisture and erosion rates</w:t>
      </w:r>
    </w:p>
    <w:p w14:paraId="22E3EC0B" w14:textId="77777777" w:rsidR="00F940AA" w:rsidRPr="00D3309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D33093">
        <w:rPr>
          <w:rFonts w:ascii="Times New Roman" w:eastAsia="Times New Roman" w:hAnsi="Times New Roman"/>
          <w:b/>
          <w:bCs/>
          <w:sz w:val="24"/>
          <w:szCs w:val="24"/>
          <w:lang w:eastAsia="en-US" w:bidi="mr-IN"/>
        </w:rPr>
        <w:t>4. Ethnographic and Socio-cultural Tools</w:t>
      </w:r>
    </w:p>
    <w:p w14:paraId="1CE323EF" w14:textId="77777777" w:rsidR="00F940AA" w:rsidRPr="00D3309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Given the cultural embeddedness of IEK, ethnographic approaches were integrated:</w:t>
      </w:r>
    </w:p>
    <w:p w14:paraId="50E65BAB" w14:textId="77777777" w:rsidR="00F940AA" w:rsidRPr="00D33093" w:rsidRDefault="00F940AA" w:rsidP="00F940AA">
      <w:pPr>
        <w:numPr>
          <w:ilvl w:val="0"/>
          <w:numId w:val="12"/>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Narrative interviews (from published sources)</w:t>
      </w:r>
    </w:p>
    <w:p w14:paraId="305792C7" w14:textId="77777777" w:rsidR="00F940AA" w:rsidRPr="00D33093" w:rsidRDefault="00F940AA" w:rsidP="00F940AA">
      <w:pPr>
        <w:numPr>
          <w:ilvl w:val="0"/>
          <w:numId w:val="12"/>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Cultural mapping</w:t>
      </w:r>
    </w:p>
    <w:p w14:paraId="2AA6A619" w14:textId="77777777" w:rsidR="00F940AA" w:rsidRPr="00D33093" w:rsidRDefault="00F940AA" w:rsidP="00F940AA">
      <w:pPr>
        <w:numPr>
          <w:ilvl w:val="0"/>
          <w:numId w:val="12"/>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Ritual documentation</w:t>
      </w:r>
    </w:p>
    <w:p w14:paraId="563EE3B3" w14:textId="77777777" w:rsidR="00F940AA" w:rsidRPr="00D33093" w:rsidRDefault="00F940AA" w:rsidP="00F940AA">
      <w:pPr>
        <w:numPr>
          <w:ilvl w:val="0"/>
          <w:numId w:val="12"/>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Intergenerational knowledge transmission patterns</w:t>
      </w:r>
    </w:p>
    <w:p w14:paraId="45B222F8" w14:textId="77777777" w:rsidR="00F940AA" w:rsidRPr="00D3309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This provided context to ecological findings.</w:t>
      </w:r>
    </w:p>
    <w:p w14:paraId="5DF44EDF" w14:textId="77777777" w:rsidR="00F940AA" w:rsidRPr="00D3309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D33093">
        <w:rPr>
          <w:rFonts w:ascii="Times New Roman" w:eastAsia="Times New Roman" w:hAnsi="Times New Roman"/>
          <w:b/>
          <w:bCs/>
          <w:sz w:val="24"/>
          <w:szCs w:val="24"/>
          <w:lang w:eastAsia="en-US" w:bidi="mr-IN"/>
        </w:rPr>
        <w:t>D. Policy and Ethical Analysis</w:t>
      </w:r>
    </w:p>
    <w:p w14:paraId="0082A57F" w14:textId="77777777" w:rsidR="00F940AA" w:rsidRPr="00D3309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Indigenous knowledge exists within sociopolitical power structures, making policy analysis critical to understanding both opportunities and constraints.</w:t>
      </w:r>
    </w:p>
    <w:p w14:paraId="2F139C81" w14:textId="77777777" w:rsidR="00F940AA" w:rsidRPr="00D3309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D33093">
        <w:rPr>
          <w:rFonts w:ascii="Times New Roman" w:eastAsia="Times New Roman" w:hAnsi="Times New Roman"/>
          <w:b/>
          <w:bCs/>
          <w:sz w:val="24"/>
          <w:szCs w:val="24"/>
          <w:lang w:eastAsia="en-US" w:bidi="mr-IN"/>
        </w:rPr>
        <w:t>Policy Documents Reviewed</w:t>
      </w:r>
    </w:p>
    <w:p w14:paraId="1E67D084" w14:textId="77777777" w:rsidR="00F940AA" w:rsidRPr="00D3309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Major documents included:</w:t>
      </w:r>
    </w:p>
    <w:p w14:paraId="0FB71A28" w14:textId="77777777" w:rsidR="00F940AA" w:rsidRPr="002D517E" w:rsidRDefault="00F940AA" w:rsidP="00F940AA">
      <w:pPr>
        <w:numPr>
          <w:ilvl w:val="0"/>
          <w:numId w:val="13"/>
        </w:numPr>
        <w:spacing w:before="100" w:beforeAutospacing="1" w:after="100" w:afterAutospacing="1" w:line="240" w:lineRule="auto"/>
        <w:rPr>
          <w:rFonts w:ascii="Times New Roman" w:eastAsia="Times New Roman" w:hAnsi="Times New Roman"/>
          <w:sz w:val="24"/>
          <w:szCs w:val="24"/>
          <w:lang w:eastAsia="en-US" w:bidi="mr-IN"/>
        </w:rPr>
      </w:pPr>
      <w:r w:rsidRPr="002D517E">
        <w:rPr>
          <w:rFonts w:ascii="Times New Roman" w:eastAsia="Times New Roman" w:hAnsi="Times New Roman"/>
          <w:sz w:val="24"/>
          <w:szCs w:val="24"/>
          <w:lang w:eastAsia="en-US" w:bidi="mr-IN"/>
        </w:rPr>
        <w:t>UNDRIP (United Nations Declaration on the Rights of Indigenous Peoples)</w:t>
      </w:r>
    </w:p>
    <w:p w14:paraId="7E732337" w14:textId="77777777" w:rsidR="00F940AA" w:rsidRPr="002D517E" w:rsidRDefault="00F940AA" w:rsidP="00F940AA">
      <w:pPr>
        <w:numPr>
          <w:ilvl w:val="0"/>
          <w:numId w:val="13"/>
        </w:numPr>
        <w:spacing w:before="100" w:beforeAutospacing="1" w:after="100" w:afterAutospacing="1" w:line="240" w:lineRule="auto"/>
        <w:rPr>
          <w:rFonts w:ascii="Times New Roman" w:eastAsia="Times New Roman" w:hAnsi="Times New Roman"/>
          <w:sz w:val="24"/>
          <w:szCs w:val="24"/>
          <w:lang w:eastAsia="en-US" w:bidi="mr-IN"/>
        </w:rPr>
      </w:pPr>
      <w:r w:rsidRPr="002D517E">
        <w:rPr>
          <w:rFonts w:ascii="Times New Roman" w:eastAsia="Times New Roman" w:hAnsi="Times New Roman"/>
          <w:sz w:val="24"/>
          <w:szCs w:val="24"/>
          <w:lang w:eastAsia="en-US" w:bidi="mr-IN"/>
        </w:rPr>
        <w:t>Nagoya Protocol on Access and Benefit Sharing (ABS)</w:t>
      </w:r>
    </w:p>
    <w:p w14:paraId="221B03C2" w14:textId="77777777" w:rsidR="00F940AA" w:rsidRPr="002D517E" w:rsidRDefault="00F940AA" w:rsidP="00F940AA">
      <w:pPr>
        <w:numPr>
          <w:ilvl w:val="0"/>
          <w:numId w:val="13"/>
        </w:numPr>
        <w:spacing w:before="100" w:beforeAutospacing="1" w:after="100" w:afterAutospacing="1" w:line="240" w:lineRule="auto"/>
        <w:rPr>
          <w:rFonts w:ascii="Times New Roman" w:eastAsia="Times New Roman" w:hAnsi="Times New Roman"/>
          <w:sz w:val="24"/>
          <w:szCs w:val="24"/>
          <w:lang w:eastAsia="en-US" w:bidi="mr-IN"/>
        </w:rPr>
      </w:pPr>
      <w:r w:rsidRPr="002D517E">
        <w:rPr>
          <w:rFonts w:ascii="Times New Roman" w:eastAsia="Times New Roman" w:hAnsi="Times New Roman"/>
          <w:sz w:val="24"/>
          <w:szCs w:val="24"/>
          <w:lang w:eastAsia="en-US" w:bidi="mr-IN"/>
        </w:rPr>
        <w:t>Convention on Biological Diversity (CBD)</w:t>
      </w:r>
    </w:p>
    <w:p w14:paraId="016BF4A2" w14:textId="77777777" w:rsidR="00F940AA" w:rsidRPr="002D517E" w:rsidRDefault="00F940AA" w:rsidP="00F940AA">
      <w:pPr>
        <w:numPr>
          <w:ilvl w:val="0"/>
          <w:numId w:val="13"/>
        </w:numPr>
        <w:spacing w:before="100" w:beforeAutospacing="1" w:after="100" w:afterAutospacing="1" w:line="240" w:lineRule="auto"/>
        <w:rPr>
          <w:rFonts w:ascii="Times New Roman" w:eastAsia="Times New Roman" w:hAnsi="Times New Roman"/>
          <w:sz w:val="24"/>
          <w:szCs w:val="24"/>
          <w:lang w:eastAsia="en-US" w:bidi="mr-IN"/>
        </w:rPr>
      </w:pPr>
      <w:r w:rsidRPr="002D517E">
        <w:rPr>
          <w:rFonts w:ascii="Times New Roman" w:eastAsia="Times New Roman" w:hAnsi="Times New Roman"/>
          <w:sz w:val="24"/>
          <w:szCs w:val="24"/>
          <w:lang w:eastAsia="en-US" w:bidi="mr-IN"/>
        </w:rPr>
        <w:t>Forest Rights Act (India)</w:t>
      </w:r>
    </w:p>
    <w:p w14:paraId="2594A573" w14:textId="77777777" w:rsidR="00F940AA" w:rsidRPr="002D517E" w:rsidRDefault="00F940AA" w:rsidP="00F940AA">
      <w:pPr>
        <w:numPr>
          <w:ilvl w:val="0"/>
          <w:numId w:val="13"/>
        </w:numPr>
        <w:spacing w:before="100" w:beforeAutospacing="1" w:after="100" w:afterAutospacing="1" w:line="240" w:lineRule="auto"/>
        <w:rPr>
          <w:rFonts w:ascii="Times New Roman" w:eastAsia="Times New Roman" w:hAnsi="Times New Roman"/>
          <w:sz w:val="24"/>
          <w:szCs w:val="24"/>
          <w:lang w:eastAsia="en-US" w:bidi="mr-IN"/>
        </w:rPr>
      </w:pPr>
      <w:r w:rsidRPr="002D517E">
        <w:rPr>
          <w:rFonts w:ascii="Times New Roman" w:eastAsia="Times New Roman" w:hAnsi="Times New Roman"/>
          <w:sz w:val="24"/>
          <w:szCs w:val="24"/>
          <w:lang w:eastAsia="en-US" w:bidi="mr-IN"/>
        </w:rPr>
        <w:t>Brazil’s Indigenous Policy Acts</w:t>
      </w:r>
    </w:p>
    <w:p w14:paraId="529BE1E7" w14:textId="77777777" w:rsidR="00F940AA" w:rsidRPr="002D517E" w:rsidRDefault="00F940AA" w:rsidP="00F940AA">
      <w:pPr>
        <w:numPr>
          <w:ilvl w:val="0"/>
          <w:numId w:val="13"/>
        </w:numPr>
        <w:spacing w:before="100" w:beforeAutospacing="1" w:after="100" w:afterAutospacing="1" w:line="240" w:lineRule="auto"/>
        <w:rPr>
          <w:rFonts w:ascii="Times New Roman" w:eastAsia="Times New Roman" w:hAnsi="Times New Roman"/>
          <w:sz w:val="24"/>
          <w:szCs w:val="24"/>
          <w:lang w:eastAsia="en-US" w:bidi="mr-IN"/>
        </w:rPr>
      </w:pPr>
      <w:r w:rsidRPr="002D517E">
        <w:rPr>
          <w:rFonts w:ascii="Times New Roman" w:eastAsia="Times New Roman" w:hAnsi="Times New Roman"/>
          <w:sz w:val="24"/>
          <w:szCs w:val="24"/>
          <w:lang w:eastAsia="en-US" w:bidi="mr-IN"/>
        </w:rPr>
        <w:t>Arctic Council Indigenous Peoples’ Secretariat documents</w:t>
      </w:r>
    </w:p>
    <w:p w14:paraId="413637F1" w14:textId="77777777" w:rsidR="00F940AA" w:rsidRPr="00D3309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D33093">
        <w:rPr>
          <w:rFonts w:ascii="Times New Roman" w:eastAsia="Times New Roman" w:hAnsi="Times New Roman"/>
          <w:b/>
          <w:bCs/>
          <w:sz w:val="24"/>
          <w:szCs w:val="24"/>
          <w:lang w:eastAsia="en-US" w:bidi="mr-IN"/>
        </w:rPr>
        <w:t>Themes Analyzed</w:t>
      </w:r>
    </w:p>
    <w:p w14:paraId="580CF29D" w14:textId="77777777" w:rsidR="00F940AA" w:rsidRPr="002D517E" w:rsidRDefault="00F940AA" w:rsidP="00F940AA">
      <w:pPr>
        <w:numPr>
          <w:ilvl w:val="0"/>
          <w:numId w:val="14"/>
        </w:numPr>
        <w:spacing w:before="100" w:beforeAutospacing="1" w:after="100" w:afterAutospacing="1" w:line="240" w:lineRule="auto"/>
        <w:rPr>
          <w:rFonts w:ascii="Times New Roman" w:eastAsia="Times New Roman" w:hAnsi="Times New Roman"/>
          <w:sz w:val="24"/>
          <w:szCs w:val="24"/>
          <w:lang w:eastAsia="en-US" w:bidi="mr-IN"/>
        </w:rPr>
      </w:pPr>
      <w:r w:rsidRPr="002D517E">
        <w:rPr>
          <w:rFonts w:ascii="Times New Roman" w:eastAsia="Times New Roman" w:hAnsi="Times New Roman"/>
          <w:sz w:val="24"/>
          <w:szCs w:val="24"/>
          <w:lang w:eastAsia="en-US" w:bidi="mr-IN"/>
        </w:rPr>
        <w:t>Intellectual property rights (IPR) for Indigenous knowledge</w:t>
      </w:r>
    </w:p>
    <w:p w14:paraId="03C4579E" w14:textId="77777777" w:rsidR="00F940AA" w:rsidRPr="002D517E" w:rsidRDefault="00F940AA" w:rsidP="00F940AA">
      <w:pPr>
        <w:numPr>
          <w:ilvl w:val="0"/>
          <w:numId w:val="14"/>
        </w:numPr>
        <w:spacing w:before="100" w:beforeAutospacing="1" w:after="100" w:afterAutospacing="1" w:line="240" w:lineRule="auto"/>
        <w:rPr>
          <w:rFonts w:ascii="Times New Roman" w:eastAsia="Times New Roman" w:hAnsi="Times New Roman"/>
          <w:sz w:val="24"/>
          <w:szCs w:val="24"/>
          <w:lang w:eastAsia="en-US" w:bidi="mr-IN"/>
        </w:rPr>
      </w:pPr>
      <w:r w:rsidRPr="002D517E">
        <w:rPr>
          <w:rFonts w:ascii="Times New Roman" w:eastAsia="Times New Roman" w:hAnsi="Times New Roman"/>
          <w:sz w:val="24"/>
          <w:szCs w:val="24"/>
          <w:lang w:eastAsia="en-US" w:bidi="mr-IN"/>
        </w:rPr>
        <w:t>Biopiracy and benefit-sharing</w:t>
      </w:r>
    </w:p>
    <w:p w14:paraId="1E61EF10" w14:textId="77777777" w:rsidR="00F940AA" w:rsidRPr="002D517E" w:rsidRDefault="00F940AA" w:rsidP="00F940AA">
      <w:pPr>
        <w:numPr>
          <w:ilvl w:val="0"/>
          <w:numId w:val="14"/>
        </w:numPr>
        <w:spacing w:before="100" w:beforeAutospacing="1" w:after="100" w:afterAutospacing="1" w:line="240" w:lineRule="auto"/>
        <w:rPr>
          <w:rFonts w:ascii="Times New Roman" w:eastAsia="Times New Roman" w:hAnsi="Times New Roman"/>
          <w:sz w:val="24"/>
          <w:szCs w:val="24"/>
          <w:lang w:eastAsia="en-US" w:bidi="mr-IN"/>
        </w:rPr>
      </w:pPr>
      <w:r w:rsidRPr="002D517E">
        <w:rPr>
          <w:rFonts w:ascii="Times New Roman" w:eastAsia="Times New Roman" w:hAnsi="Times New Roman"/>
          <w:sz w:val="24"/>
          <w:szCs w:val="24"/>
          <w:lang w:eastAsia="en-US" w:bidi="mr-IN"/>
        </w:rPr>
        <w:t>Free, Prior and Informed Consent (FPIC)</w:t>
      </w:r>
    </w:p>
    <w:p w14:paraId="2E1D082A" w14:textId="77777777" w:rsidR="00F940AA" w:rsidRPr="002D517E" w:rsidRDefault="00F940AA" w:rsidP="00F940AA">
      <w:pPr>
        <w:numPr>
          <w:ilvl w:val="0"/>
          <w:numId w:val="14"/>
        </w:numPr>
        <w:spacing w:before="100" w:beforeAutospacing="1" w:after="100" w:afterAutospacing="1" w:line="240" w:lineRule="auto"/>
        <w:rPr>
          <w:rFonts w:ascii="Times New Roman" w:eastAsia="Times New Roman" w:hAnsi="Times New Roman"/>
          <w:sz w:val="24"/>
          <w:szCs w:val="24"/>
          <w:lang w:eastAsia="en-US" w:bidi="mr-IN"/>
        </w:rPr>
      </w:pPr>
      <w:r w:rsidRPr="002D517E">
        <w:rPr>
          <w:rFonts w:ascii="Times New Roman" w:eastAsia="Times New Roman" w:hAnsi="Times New Roman"/>
          <w:sz w:val="24"/>
          <w:szCs w:val="24"/>
          <w:lang w:eastAsia="en-US" w:bidi="mr-IN"/>
        </w:rPr>
        <w:t>Indigenous land and territorial rights</w:t>
      </w:r>
    </w:p>
    <w:p w14:paraId="2ACEF472" w14:textId="77777777" w:rsidR="00F940AA" w:rsidRPr="002D517E" w:rsidRDefault="00F940AA" w:rsidP="00F940AA">
      <w:pPr>
        <w:numPr>
          <w:ilvl w:val="0"/>
          <w:numId w:val="14"/>
        </w:numPr>
        <w:spacing w:before="100" w:beforeAutospacing="1" w:after="100" w:afterAutospacing="1" w:line="240" w:lineRule="auto"/>
        <w:rPr>
          <w:rFonts w:ascii="Times New Roman" w:eastAsia="Times New Roman" w:hAnsi="Times New Roman"/>
          <w:sz w:val="24"/>
          <w:szCs w:val="24"/>
          <w:lang w:eastAsia="en-US" w:bidi="mr-IN"/>
        </w:rPr>
      </w:pPr>
      <w:r w:rsidRPr="002D517E">
        <w:rPr>
          <w:rFonts w:ascii="Times New Roman" w:eastAsia="Times New Roman" w:hAnsi="Times New Roman"/>
          <w:sz w:val="24"/>
          <w:szCs w:val="24"/>
          <w:lang w:eastAsia="en-US" w:bidi="mr-IN"/>
        </w:rPr>
        <w:t>Participation in climate and conservation governance</w:t>
      </w:r>
    </w:p>
    <w:p w14:paraId="6084944D" w14:textId="77777777" w:rsidR="00F940AA" w:rsidRPr="00D3309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D33093">
        <w:rPr>
          <w:rFonts w:ascii="Times New Roman" w:eastAsia="Times New Roman" w:hAnsi="Times New Roman"/>
          <w:b/>
          <w:bCs/>
          <w:sz w:val="24"/>
          <w:szCs w:val="24"/>
          <w:lang w:eastAsia="en-US" w:bidi="mr-IN"/>
        </w:rPr>
        <w:t>Ethical Considerations</w:t>
      </w:r>
    </w:p>
    <w:p w14:paraId="593A3479" w14:textId="77777777" w:rsidR="00F940AA" w:rsidRPr="00D3309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The study followed international ethical guidelines emphasizing:</w:t>
      </w:r>
    </w:p>
    <w:p w14:paraId="28FBF261" w14:textId="77777777" w:rsidR="00F940AA" w:rsidRPr="00D33093" w:rsidRDefault="00F940AA" w:rsidP="00F940AA">
      <w:pPr>
        <w:numPr>
          <w:ilvl w:val="0"/>
          <w:numId w:val="15"/>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lastRenderedPageBreak/>
        <w:t>Respect for Indigenous data sovereignty</w:t>
      </w:r>
    </w:p>
    <w:p w14:paraId="648E46B5" w14:textId="77777777" w:rsidR="00F940AA" w:rsidRPr="00D33093" w:rsidRDefault="00F940AA" w:rsidP="00F940AA">
      <w:pPr>
        <w:numPr>
          <w:ilvl w:val="0"/>
          <w:numId w:val="15"/>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Avoidance of extractive research</w:t>
      </w:r>
    </w:p>
    <w:p w14:paraId="413B74EE" w14:textId="77777777" w:rsidR="00F940AA" w:rsidRPr="00D33093" w:rsidRDefault="00F940AA" w:rsidP="00F940AA">
      <w:pPr>
        <w:numPr>
          <w:ilvl w:val="0"/>
          <w:numId w:val="15"/>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Representation of Indigenous perspectives as primary, not secondary</w:t>
      </w:r>
    </w:p>
    <w:p w14:paraId="2101ACDF" w14:textId="77777777" w:rsidR="00F940AA" w:rsidRPr="00D33093" w:rsidRDefault="00F940AA" w:rsidP="00F940AA">
      <w:pPr>
        <w:numPr>
          <w:ilvl w:val="0"/>
          <w:numId w:val="15"/>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Recognition of cultural and spiritual values attached to ecological practices</w:t>
      </w:r>
    </w:p>
    <w:p w14:paraId="5851BBC1" w14:textId="77777777" w:rsidR="00F940AA" w:rsidRPr="00036EB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 xml:space="preserve">3. </w:t>
      </w:r>
      <w:commentRangeStart w:id="4"/>
      <w:r w:rsidRPr="00036EB3">
        <w:rPr>
          <w:rFonts w:ascii="Times New Roman" w:eastAsia="Times New Roman" w:hAnsi="Times New Roman"/>
          <w:b/>
          <w:bCs/>
          <w:sz w:val="24"/>
          <w:szCs w:val="24"/>
          <w:lang w:eastAsia="en-US" w:bidi="mr-IN"/>
        </w:rPr>
        <w:t>Results</w:t>
      </w:r>
      <w:commentRangeEnd w:id="4"/>
      <w:r w:rsidR="00842A7B">
        <w:rPr>
          <w:rStyle w:val="CommentReference"/>
        </w:rPr>
        <w:commentReference w:id="4"/>
      </w:r>
    </w:p>
    <w:p w14:paraId="529CC5A9" w14:textId="77777777" w:rsidR="00F940AA" w:rsidRPr="0032385C"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32385C">
        <w:rPr>
          <w:rFonts w:ascii="Times New Roman" w:eastAsia="Times New Roman" w:hAnsi="Times New Roman"/>
          <w:sz w:val="24"/>
          <w:szCs w:val="24"/>
          <w:lang w:eastAsia="en-US" w:bidi="mr-IN"/>
        </w:rPr>
        <w:t>The results of this study demonstrate the significant ecological, climatic, and sociocultural contributions of Indigenous Ecological Knowledge (IEK) in the three comparative regions: Arctic Indigenous territories, India, and the Amazon Basin. The results show that IEK practices strengthen community governance and cultural continuity while also improving biodiversity, climate resilience, and carbon sequestration through systematic synthesis and interdisciplinary validation. Four main thematic categories are used to present these results.</w:t>
      </w:r>
    </w:p>
    <w:p w14:paraId="6357C979" w14:textId="77777777" w:rsidR="00F940AA" w:rsidRPr="00036EB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3.1 Ecological Contributions of IEK</w:t>
      </w:r>
    </w:p>
    <w:p w14:paraId="39D90212" w14:textId="77777777" w:rsidR="00F940AA" w:rsidRPr="00BF31C7"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BF31C7">
        <w:rPr>
          <w:rFonts w:ascii="Times New Roman" w:eastAsia="Times New Roman" w:hAnsi="Times New Roman"/>
          <w:sz w:val="24"/>
          <w:szCs w:val="24"/>
          <w:lang w:eastAsia="en-US" w:bidi="mr-IN"/>
        </w:rPr>
        <w:t>The ability of IEK practices to preserve biodiversity, stabilize ecosystems, and advance long-term landscape health was consistently shown in all three case-study regions. These contributions were seen at various scales, from landscape-level carbon sequestration in Indigenous-managed forests to microhabitat protection in sacred groves.</w:t>
      </w:r>
    </w:p>
    <w:p w14:paraId="55314195" w14:textId="77777777" w:rsidR="00F940AA" w:rsidRPr="00036EB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A. Biodiversity Conservation</w:t>
      </w:r>
    </w:p>
    <w:p w14:paraId="5DADD12F"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The analysis showed that several IEK-based practices significantly enhance species richness, functional diversity, and ecological stability.</w:t>
      </w:r>
    </w:p>
    <w:p w14:paraId="703EF307" w14:textId="77777777" w:rsidR="00F940AA" w:rsidRPr="00036EB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i. Sacred Groves in India</w:t>
      </w:r>
    </w:p>
    <w:p w14:paraId="39FE5685" w14:textId="77777777" w:rsidR="00F940AA" w:rsidRPr="00BF31C7"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BF31C7">
        <w:rPr>
          <w:rFonts w:ascii="Times New Roman" w:eastAsia="Times New Roman" w:hAnsi="Times New Roman"/>
          <w:sz w:val="24"/>
          <w:szCs w:val="24"/>
          <w:lang w:eastAsia="en-US" w:bidi="mr-IN"/>
        </w:rPr>
        <w:t xml:space="preserve">In comparison to nearby unprotected areas, sacred groves in the Western Ghats, Madhya Pradesh, Odisha, and Northeast India showed: • 30–40% higher species richness; • The presence of rare, endemic, and medicinal plants </w:t>
      </w:r>
      <w:r w:rsidRPr="00BF31C7">
        <w:rPr>
          <w:rFonts w:ascii="Times New Roman" w:eastAsia="Times New Roman" w:hAnsi="Times New Roman"/>
          <w:sz w:val="24"/>
          <w:szCs w:val="24"/>
          <w:lang w:eastAsia="en-US" w:bidi="mr-IN"/>
        </w:rPr>
        <w:br/>
      </w:r>
      <w:r w:rsidRPr="00BF31C7">
        <w:rPr>
          <w:rFonts w:ascii="Times New Roman" w:eastAsia="Times New Roman" w:hAnsi="Times New Roman"/>
          <w:sz w:val="24"/>
          <w:szCs w:val="24"/>
          <w:lang w:eastAsia="en-US" w:bidi="mr-IN"/>
        </w:rPr>
        <w:br/>
        <w:t xml:space="preserve">• Improved control of the microclimate, such as reduced temperatures and increased humidity </w:t>
      </w:r>
      <w:r w:rsidRPr="00BF31C7">
        <w:rPr>
          <w:rFonts w:ascii="Times New Roman" w:eastAsia="Times New Roman" w:hAnsi="Times New Roman"/>
          <w:sz w:val="24"/>
          <w:szCs w:val="24"/>
          <w:lang w:eastAsia="en-US" w:bidi="mr-IN"/>
        </w:rPr>
        <w:br/>
        <w:t xml:space="preserve">• Increased groundwater recharge, which frequently creates permanent water sources </w:t>
      </w:r>
      <w:r w:rsidRPr="00BF31C7">
        <w:rPr>
          <w:rFonts w:ascii="Times New Roman" w:eastAsia="Times New Roman" w:hAnsi="Times New Roman"/>
          <w:sz w:val="24"/>
          <w:szCs w:val="24"/>
          <w:lang w:eastAsia="en-US" w:bidi="mr-IN"/>
        </w:rPr>
        <w:br/>
        <w:t>Groves maintain higher NDVI values, which indicate healthier vegetation, according to remote sensing evaluations. Cultural taboos and ritual restrictions, which have prevented human disturbance for centuries, are linked to their ecological success.</w:t>
      </w:r>
    </w:p>
    <w:p w14:paraId="6D49F345" w14:textId="77777777" w:rsidR="00F940AA" w:rsidRPr="00036EB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ii. Indigenous Agroforestry Systems</w:t>
      </w:r>
    </w:p>
    <w:p w14:paraId="49069ECB" w14:textId="77777777" w:rsidR="00F940AA"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BF31C7">
        <w:rPr>
          <w:rFonts w:ascii="Times New Roman" w:eastAsia="Times New Roman" w:hAnsi="Times New Roman"/>
          <w:sz w:val="24"/>
          <w:szCs w:val="24"/>
          <w:lang w:eastAsia="en-US" w:bidi="mr-IN"/>
        </w:rPr>
        <w:t xml:space="preserve">Home gardens, mixed plantations, and shifting cultivation fallows are examples of agroforestry practices in the Amazon and India that have shown: </w:t>
      </w:r>
    </w:p>
    <w:p w14:paraId="1E06ADFC" w14:textId="77777777" w:rsidR="00F940AA" w:rsidRDefault="00F940AA" w:rsidP="00F940AA">
      <w:pPr>
        <w:pStyle w:val="ListParagraph"/>
        <w:spacing w:before="100" w:beforeAutospacing="1" w:after="100" w:afterAutospacing="1" w:line="240" w:lineRule="auto"/>
        <w:rPr>
          <w:rFonts w:ascii="Times New Roman" w:eastAsia="Times New Roman" w:hAnsi="Times New Roman"/>
          <w:sz w:val="24"/>
          <w:szCs w:val="24"/>
          <w:lang w:eastAsia="en-US" w:bidi="mr-IN"/>
        </w:rPr>
      </w:pPr>
      <w:r w:rsidRPr="00BF31C7">
        <w:rPr>
          <w:rFonts w:ascii="Times New Roman" w:eastAsia="Times New Roman" w:hAnsi="Times New Roman"/>
          <w:sz w:val="24"/>
          <w:szCs w:val="24"/>
          <w:lang w:eastAsia="en-US" w:bidi="mr-IN"/>
        </w:rPr>
        <w:t>• An increase in soil organic carbon of up to 25%</w:t>
      </w:r>
      <w:r w:rsidRPr="00BF31C7">
        <w:rPr>
          <w:rFonts w:ascii="Times New Roman" w:eastAsia="Times New Roman" w:hAnsi="Times New Roman"/>
          <w:sz w:val="24"/>
          <w:szCs w:val="24"/>
          <w:lang w:eastAsia="en-US" w:bidi="mr-IN"/>
        </w:rPr>
        <w:br/>
        <w:t xml:space="preserve">• Increased pollinator diversity as a result of floral heterogeneity </w:t>
      </w:r>
      <w:r w:rsidRPr="00BF31C7">
        <w:rPr>
          <w:rFonts w:ascii="Times New Roman" w:eastAsia="Times New Roman" w:hAnsi="Times New Roman"/>
          <w:sz w:val="24"/>
          <w:szCs w:val="24"/>
          <w:lang w:eastAsia="en-US" w:bidi="mr-IN"/>
        </w:rPr>
        <w:br/>
      </w:r>
      <w:r w:rsidRPr="00BF31C7">
        <w:rPr>
          <w:rFonts w:ascii="Times New Roman" w:eastAsia="Times New Roman" w:hAnsi="Times New Roman"/>
          <w:sz w:val="24"/>
          <w:szCs w:val="24"/>
          <w:lang w:eastAsia="en-US" w:bidi="mr-IN"/>
        </w:rPr>
        <w:br/>
      </w:r>
      <w:r w:rsidRPr="00BF31C7">
        <w:rPr>
          <w:rFonts w:ascii="Times New Roman" w:eastAsia="Times New Roman" w:hAnsi="Times New Roman"/>
          <w:sz w:val="24"/>
          <w:szCs w:val="24"/>
          <w:lang w:eastAsia="en-US" w:bidi="mr-IN"/>
        </w:rPr>
        <w:lastRenderedPageBreak/>
        <w:t xml:space="preserve">• 30–60% less soil erosion than in monocultures </w:t>
      </w:r>
      <w:r w:rsidRPr="00BF31C7">
        <w:rPr>
          <w:rFonts w:ascii="Times New Roman" w:eastAsia="Times New Roman" w:hAnsi="Times New Roman"/>
          <w:sz w:val="24"/>
          <w:szCs w:val="24"/>
          <w:lang w:eastAsia="en-US" w:bidi="mr-IN"/>
        </w:rPr>
        <w:br/>
        <w:t xml:space="preserve">• A greater diversity of bird and arthropod species </w:t>
      </w:r>
    </w:p>
    <w:p w14:paraId="014D6708" w14:textId="77777777" w:rsidR="00F940AA" w:rsidRPr="00BF31C7"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BF31C7">
        <w:rPr>
          <w:rFonts w:ascii="Times New Roman" w:eastAsia="Times New Roman" w:hAnsi="Times New Roman"/>
          <w:sz w:val="24"/>
          <w:szCs w:val="24"/>
          <w:lang w:eastAsia="en-US" w:bidi="mr-IN"/>
        </w:rPr>
        <w:t xml:space="preserve">Over 150 beneficial plant species were found in the Amazonian forest gardens kept by the Kayapo and </w:t>
      </w:r>
      <w:proofErr w:type="spellStart"/>
      <w:r w:rsidRPr="00BF31C7">
        <w:rPr>
          <w:rFonts w:ascii="Times New Roman" w:eastAsia="Times New Roman" w:hAnsi="Times New Roman"/>
          <w:sz w:val="24"/>
          <w:szCs w:val="24"/>
          <w:lang w:eastAsia="en-US" w:bidi="mr-IN"/>
        </w:rPr>
        <w:t>Ashaninka</w:t>
      </w:r>
      <w:proofErr w:type="spellEnd"/>
      <w:r w:rsidRPr="00BF31C7">
        <w:rPr>
          <w:rFonts w:ascii="Times New Roman" w:eastAsia="Times New Roman" w:hAnsi="Times New Roman"/>
          <w:sz w:val="24"/>
          <w:szCs w:val="24"/>
          <w:lang w:eastAsia="en-US" w:bidi="mr-IN"/>
        </w:rPr>
        <w:t>, which serve as a dynamic example of long-term ecological engineering.</w:t>
      </w:r>
    </w:p>
    <w:p w14:paraId="11764027" w14:textId="77777777" w:rsidR="00F940AA"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iii. Forest Gardening in the Amazon Basin</w:t>
      </w:r>
    </w:p>
    <w:p w14:paraId="0087CC06"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Forest gardens contained multiple tiers of vegetation, supporting:</w:t>
      </w:r>
    </w:p>
    <w:p w14:paraId="74AAB577" w14:textId="77777777" w:rsidR="00F940AA" w:rsidRPr="00036EB3" w:rsidRDefault="00F940AA" w:rsidP="00F940AA">
      <w:pPr>
        <w:numPr>
          <w:ilvl w:val="0"/>
          <w:numId w:val="16"/>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Fruit trees, tubers, palms, medicinal plants</w:t>
      </w:r>
    </w:p>
    <w:p w14:paraId="54009007" w14:textId="77777777" w:rsidR="00F940AA" w:rsidRPr="00036EB3" w:rsidRDefault="00F940AA" w:rsidP="00F940AA">
      <w:pPr>
        <w:numPr>
          <w:ilvl w:val="0"/>
          <w:numId w:val="16"/>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Natural succession processes</w:t>
      </w:r>
    </w:p>
    <w:p w14:paraId="34A238A1" w14:textId="77777777" w:rsidR="00F940AA" w:rsidRPr="00036EB3" w:rsidRDefault="00F940AA" w:rsidP="00F940AA">
      <w:pPr>
        <w:numPr>
          <w:ilvl w:val="0"/>
          <w:numId w:val="16"/>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Pollinator–plant interactions crucial for tropical biodiversity</w:t>
      </w:r>
    </w:p>
    <w:p w14:paraId="4E635B65" w14:textId="77777777" w:rsidR="00F940AA" w:rsidRPr="00036EB3" w:rsidRDefault="00F940AA" w:rsidP="00F940AA">
      <w:pPr>
        <w:numPr>
          <w:ilvl w:val="0"/>
          <w:numId w:val="16"/>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Carbon-dense biomass</w:t>
      </w:r>
    </w:p>
    <w:p w14:paraId="54B6028A"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 xml:space="preserve">Studies confirm that these managed forest patches often have </w:t>
      </w:r>
      <w:r w:rsidRPr="00036EB3">
        <w:rPr>
          <w:rFonts w:ascii="Times New Roman" w:eastAsia="Times New Roman" w:hAnsi="Times New Roman"/>
          <w:b/>
          <w:bCs/>
          <w:sz w:val="24"/>
          <w:szCs w:val="24"/>
          <w:lang w:eastAsia="en-US" w:bidi="mr-IN"/>
        </w:rPr>
        <w:t>more biodiversity than “pristine” forests</w:t>
      </w:r>
      <w:r w:rsidRPr="00036EB3">
        <w:rPr>
          <w:rFonts w:ascii="Times New Roman" w:eastAsia="Times New Roman" w:hAnsi="Times New Roman"/>
          <w:sz w:val="24"/>
          <w:szCs w:val="24"/>
          <w:lang w:eastAsia="en-US" w:bidi="mr-IN"/>
        </w:rPr>
        <w:t>, challenging conservation narratives that separate people from nature.</w:t>
      </w:r>
    </w:p>
    <w:p w14:paraId="658C4198" w14:textId="77777777" w:rsidR="00F940AA" w:rsidRPr="00036EB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iv. Indigenous Seed Preservation</w:t>
      </w:r>
    </w:p>
    <w:p w14:paraId="50BD5FC6"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 xml:space="preserve">Indigenous communities in India preserve </w:t>
      </w:r>
      <w:r w:rsidRPr="00036EB3">
        <w:rPr>
          <w:rFonts w:ascii="Times New Roman" w:eastAsia="Times New Roman" w:hAnsi="Times New Roman"/>
          <w:b/>
          <w:bCs/>
          <w:sz w:val="24"/>
          <w:szCs w:val="24"/>
          <w:lang w:eastAsia="en-US" w:bidi="mr-IN"/>
        </w:rPr>
        <w:t>climate-resilient landraces</w:t>
      </w:r>
      <w:r w:rsidRPr="00036EB3">
        <w:rPr>
          <w:rFonts w:ascii="Times New Roman" w:eastAsia="Times New Roman" w:hAnsi="Times New Roman"/>
          <w:sz w:val="24"/>
          <w:szCs w:val="24"/>
          <w:lang w:eastAsia="en-US" w:bidi="mr-IN"/>
        </w:rPr>
        <w:t xml:space="preserve"> of rice, millet, pulses, and tubers. These landraces show:</w:t>
      </w:r>
    </w:p>
    <w:p w14:paraId="0C101CEE" w14:textId="77777777" w:rsidR="00F940AA" w:rsidRPr="00036EB3" w:rsidRDefault="00F940AA" w:rsidP="00F940AA">
      <w:pPr>
        <w:numPr>
          <w:ilvl w:val="0"/>
          <w:numId w:val="17"/>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Enhanced drought and flood tolerance</w:t>
      </w:r>
    </w:p>
    <w:p w14:paraId="61327C73" w14:textId="77777777" w:rsidR="00F940AA" w:rsidRPr="00036EB3" w:rsidRDefault="00F940AA" w:rsidP="00F940AA">
      <w:pPr>
        <w:numPr>
          <w:ilvl w:val="0"/>
          <w:numId w:val="17"/>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Greater resistance to pests</w:t>
      </w:r>
    </w:p>
    <w:p w14:paraId="68DD2523" w14:textId="77777777" w:rsidR="00F940AA" w:rsidRPr="00036EB3" w:rsidRDefault="00F940AA" w:rsidP="00F940AA">
      <w:pPr>
        <w:numPr>
          <w:ilvl w:val="0"/>
          <w:numId w:val="17"/>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Higher nutritional diversity</w:t>
      </w:r>
    </w:p>
    <w:p w14:paraId="06E695FF"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Such seeds are crucial for climate adaptation in the era of erratic rainfall and rising temperatures.</w:t>
      </w:r>
    </w:p>
    <w:p w14:paraId="571508CA" w14:textId="7EF598F5" w:rsidR="00F940AA" w:rsidRDefault="00DA350E"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DA350E">
        <w:rPr>
          <w:rFonts w:ascii="Times New Roman" w:eastAsia="Times New Roman" w:hAnsi="Times New Roman"/>
          <w:b/>
          <w:bCs/>
          <w:sz w:val="24"/>
          <w:szCs w:val="24"/>
          <w:lang w:eastAsia="en-US" w:bidi="mr-IN"/>
        </w:rPr>
        <w:t xml:space="preserve">Table </w:t>
      </w:r>
      <w:r>
        <w:rPr>
          <w:rFonts w:ascii="Times New Roman" w:eastAsia="Times New Roman" w:hAnsi="Times New Roman"/>
          <w:b/>
          <w:bCs/>
          <w:sz w:val="24"/>
          <w:szCs w:val="24"/>
          <w:lang w:eastAsia="en-US" w:bidi="mr-IN"/>
        </w:rPr>
        <w:t xml:space="preserve"> 2-</w:t>
      </w:r>
      <w:r w:rsidR="00F940AA" w:rsidRPr="00036EB3">
        <w:rPr>
          <w:rFonts w:ascii="Times New Roman" w:eastAsia="Times New Roman" w:hAnsi="Times New Roman"/>
          <w:b/>
          <w:bCs/>
          <w:sz w:val="24"/>
          <w:szCs w:val="24"/>
          <w:lang w:eastAsia="en-US" w:bidi="mr-IN"/>
        </w:rPr>
        <w:t>Summary of Ecological Outcomes</w:t>
      </w:r>
    </w:p>
    <w:tbl>
      <w:tblPr>
        <w:tblW w:w="8500" w:type="dxa"/>
        <w:tblLook w:val="04A0" w:firstRow="1" w:lastRow="0" w:firstColumn="1" w:lastColumn="0" w:noHBand="0" w:noVBand="1"/>
      </w:tblPr>
      <w:tblGrid>
        <w:gridCol w:w="2180"/>
        <w:gridCol w:w="6320"/>
      </w:tblGrid>
      <w:tr w:rsidR="00F940AA" w:rsidRPr="00955A6C" w14:paraId="18EE64E2" w14:textId="77777777" w:rsidTr="00173DA9">
        <w:trPr>
          <w:trHeight w:val="312"/>
        </w:trPr>
        <w:tc>
          <w:tcPr>
            <w:tcW w:w="2180" w:type="dxa"/>
            <w:tcBorders>
              <w:top w:val="single" w:sz="4" w:space="0" w:color="auto"/>
              <w:left w:val="single" w:sz="4" w:space="0" w:color="auto"/>
              <w:bottom w:val="single" w:sz="4" w:space="0" w:color="auto"/>
              <w:right w:val="single" w:sz="4" w:space="0" w:color="auto"/>
            </w:tcBorders>
            <w:vAlign w:val="center"/>
            <w:hideMark/>
          </w:tcPr>
          <w:p w14:paraId="5CFF0D37" w14:textId="77777777" w:rsidR="00F940AA" w:rsidRPr="00955A6C" w:rsidRDefault="00F940AA" w:rsidP="00173DA9">
            <w:pPr>
              <w:spacing w:after="0" w:line="240" w:lineRule="auto"/>
              <w:rPr>
                <w:rFonts w:ascii="Times New Roman" w:eastAsia="Times New Roman" w:hAnsi="Times New Roman"/>
                <w:b/>
                <w:bCs/>
                <w:color w:val="000000"/>
                <w:sz w:val="24"/>
                <w:szCs w:val="24"/>
                <w:lang w:eastAsia="en-US" w:bidi="mr-IN"/>
              </w:rPr>
            </w:pPr>
            <w:r w:rsidRPr="00955A6C">
              <w:rPr>
                <w:rFonts w:ascii="Times New Roman" w:eastAsia="Times New Roman" w:hAnsi="Times New Roman"/>
                <w:b/>
                <w:bCs/>
                <w:color w:val="000000"/>
                <w:sz w:val="24"/>
                <w:szCs w:val="24"/>
                <w:lang w:eastAsia="en-US" w:bidi="mr-IN"/>
              </w:rPr>
              <w:t>IEK Practice</w:t>
            </w:r>
          </w:p>
        </w:tc>
        <w:tc>
          <w:tcPr>
            <w:tcW w:w="6320" w:type="dxa"/>
            <w:tcBorders>
              <w:top w:val="single" w:sz="4" w:space="0" w:color="auto"/>
              <w:left w:val="nil"/>
              <w:bottom w:val="single" w:sz="4" w:space="0" w:color="auto"/>
              <w:right w:val="single" w:sz="4" w:space="0" w:color="auto"/>
            </w:tcBorders>
            <w:vAlign w:val="center"/>
            <w:hideMark/>
          </w:tcPr>
          <w:p w14:paraId="3FAADD08" w14:textId="77777777" w:rsidR="00F940AA" w:rsidRPr="00955A6C" w:rsidRDefault="00F940AA" w:rsidP="00173DA9">
            <w:pPr>
              <w:spacing w:after="0" w:line="240" w:lineRule="auto"/>
              <w:rPr>
                <w:rFonts w:ascii="Times New Roman" w:eastAsia="Times New Roman" w:hAnsi="Times New Roman"/>
                <w:b/>
                <w:bCs/>
                <w:color w:val="000000"/>
                <w:sz w:val="24"/>
                <w:szCs w:val="24"/>
                <w:lang w:eastAsia="en-US" w:bidi="mr-IN"/>
              </w:rPr>
            </w:pPr>
            <w:r w:rsidRPr="00955A6C">
              <w:rPr>
                <w:rFonts w:ascii="Times New Roman" w:eastAsia="Times New Roman" w:hAnsi="Times New Roman"/>
                <w:b/>
                <w:bCs/>
                <w:color w:val="000000"/>
                <w:sz w:val="24"/>
                <w:szCs w:val="24"/>
                <w:lang w:eastAsia="en-US" w:bidi="mr-IN"/>
              </w:rPr>
              <w:t>Ecological Outcome</w:t>
            </w:r>
          </w:p>
        </w:tc>
      </w:tr>
      <w:tr w:rsidR="00F940AA" w:rsidRPr="00955A6C" w14:paraId="4076694A" w14:textId="77777777" w:rsidTr="00173DA9">
        <w:trPr>
          <w:trHeight w:val="936"/>
        </w:trPr>
        <w:tc>
          <w:tcPr>
            <w:tcW w:w="2180" w:type="dxa"/>
            <w:tcBorders>
              <w:top w:val="nil"/>
              <w:left w:val="single" w:sz="4" w:space="0" w:color="auto"/>
              <w:bottom w:val="single" w:sz="4" w:space="0" w:color="auto"/>
              <w:right w:val="single" w:sz="4" w:space="0" w:color="auto"/>
            </w:tcBorders>
            <w:vAlign w:val="center"/>
            <w:hideMark/>
          </w:tcPr>
          <w:p w14:paraId="0CA0F7F0" w14:textId="77777777" w:rsidR="00F940AA" w:rsidRPr="00955A6C" w:rsidRDefault="00F940AA" w:rsidP="00173DA9">
            <w:pPr>
              <w:spacing w:after="0" w:line="240" w:lineRule="auto"/>
              <w:rPr>
                <w:rFonts w:ascii="Times New Roman" w:eastAsia="Times New Roman" w:hAnsi="Times New Roman"/>
                <w:color w:val="000000"/>
                <w:sz w:val="24"/>
                <w:szCs w:val="24"/>
                <w:lang w:eastAsia="en-US" w:bidi="mr-IN"/>
              </w:rPr>
            </w:pPr>
            <w:r w:rsidRPr="00955A6C">
              <w:rPr>
                <w:rFonts w:ascii="Times New Roman" w:eastAsia="Times New Roman" w:hAnsi="Times New Roman"/>
                <w:color w:val="000000"/>
                <w:sz w:val="24"/>
                <w:szCs w:val="24"/>
                <w:lang w:eastAsia="en-US" w:bidi="mr-IN"/>
              </w:rPr>
              <w:t>Sacred Groves</w:t>
            </w:r>
          </w:p>
        </w:tc>
        <w:tc>
          <w:tcPr>
            <w:tcW w:w="6320" w:type="dxa"/>
            <w:tcBorders>
              <w:top w:val="nil"/>
              <w:left w:val="nil"/>
              <w:bottom w:val="single" w:sz="4" w:space="0" w:color="auto"/>
              <w:right w:val="single" w:sz="4" w:space="0" w:color="auto"/>
            </w:tcBorders>
            <w:vAlign w:val="center"/>
            <w:hideMark/>
          </w:tcPr>
          <w:p w14:paraId="165470C1" w14:textId="77777777" w:rsidR="00F940AA" w:rsidRPr="00955A6C" w:rsidRDefault="00F940AA" w:rsidP="00173DA9">
            <w:pPr>
              <w:spacing w:after="0" w:line="240" w:lineRule="auto"/>
              <w:rPr>
                <w:rFonts w:ascii="Times New Roman" w:eastAsia="Times New Roman" w:hAnsi="Times New Roman"/>
                <w:color w:val="000000"/>
                <w:sz w:val="24"/>
                <w:szCs w:val="24"/>
                <w:lang w:eastAsia="en-US" w:bidi="mr-IN"/>
              </w:rPr>
            </w:pPr>
            <w:r w:rsidRPr="00955A6C">
              <w:rPr>
                <w:rFonts w:ascii="Times New Roman" w:eastAsia="Times New Roman" w:hAnsi="Times New Roman"/>
                <w:color w:val="000000"/>
                <w:sz w:val="24"/>
                <w:szCs w:val="24"/>
                <w:lang w:eastAsia="en-US" w:bidi="mr-IN"/>
              </w:rPr>
              <w:t>30–40% higher species richness, stable microclimates, water regulation</w:t>
            </w:r>
          </w:p>
        </w:tc>
      </w:tr>
      <w:tr w:rsidR="00F940AA" w:rsidRPr="00955A6C" w14:paraId="1F5F371A" w14:textId="77777777" w:rsidTr="00173DA9">
        <w:trPr>
          <w:trHeight w:val="624"/>
        </w:trPr>
        <w:tc>
          <w:tcPr>
            <w:tcW w:w="2180" w:type="dxa"/>
            <w:tcBorders>
              <w:top w:val="nil"/>
              <w:left w:val="single" w:sz="4" w:space="0" w:color="auto"/>
              <w:bottom w:val="single" w:sz="4" w:space="0" w:color="auto"/>
              <w:right w:val="single" w:sz="4" w:space="0" w:color="auto"/>
            </w:tcBorders>
            <w:vAlign w:val="center"/>
            <w:hideMark/>
          </w:tcPr>
          <w:p w14:paraId="19B2192C" w14:textId="77777777" w:rsidR="00F940AA" w:rsidRPr="00955A6C" w:rsidRDefault="00F940AA" w:rsidP="00173DA9">
            <w:pPr>
              <w:spacing w:after="0" w:line="240" w:lineRule="auto"/>
              <w:rPr>
                <w:rFonts w:ascii="Times New Roman" w:eastAsia="Times New Roman" w:hAnsi="Times New Roman"/>
                <w:color w:val="000000"/>
                <w:sz w:val="24"/>
                <w:szCs w:val="24"/>
                <w:lang w:eastAsia="en-US" w:bidi="mr-IN"/>
              </w:rPr>
            </w:pPr>
            <w:r w:rsidRPr="00955A6C">
              <w:rPr>
                <w:rFonts w:ascii="Times New Roman" w:eastAsia="Times New Roman" w:hAnsi="Times New Roman"/>
                <w:color w:val="000000"/>
                <w:sz w:val="24"/>
                <w:szCs w:val="24"/>
                <w:lang w:eastAsia="en-US" w:bidi="mr-IN"/>
              </w:rPr>
              <w:t>Agroforestry</w:t>
            </w:r>
          </w:p>
        </w:tc>
        <w:tc>
          <w:tcPr>
            <w:tcW w:w="6320" w:type="dxa"/>
            <w:tcBorders>
              <w:top w:val="nil"/>
              <w:left w:val="nil"/>
              <w:bottom w:val="single" w:sz="4" w:space="0" w:color="auto"/>
              <w:right w:val="single" w:sz="4" w:space="0" w:color="auto"/>
            </w:tcBorders>
            <w:vAlign w:val="center"/>
            <w:hideMark/>
          </w:tcPr>
          <w:p w14:paraId="607C65EE" w14:textId="77777777" w:rsidR="00F940AA" w:rsidRPr="00955A6C" w:rsidRDefault="00F940AA" w:rsidP="00173DA9">
            <w:pPr>
              <w:spacing w:after="0" w:line="240" w:lineRule="auto"/>
              <w:rPr>
                <w:rFonts w:ascii="Times New Roman" w:eastAsia="Times New Roman" w:hAnsi="Times New Roman"/>
                <w:color w:val="000000"/>
                <w:sz w:val="24"/>
                <w:szCs w:val="24"/>
                <w:lang w:eastAsia="en-US" w:bidi="mr-IN"/>
              </w:rPr>
            </w:pPr>
            <w:r w:rsidRPr="00955A6C">
              <w:rPr>
                <w:rFonts w:ascii="Times New Roman" w:eastAsia="Times New Roman" w:hAnsi="Times New Roman"/>
                <w:color w:val="000000"/>
                <w:sz w:val="24"/>
                <w:szCs w:val="24"/>
                <w:lang w:eastAsia="en-US" w:bidi="mr-IN"/>
              </w:rPr>
              <w:t>+25% soil carbon, erosion reduction, increased pollinators</w:t>
            </w:r>
          </w:p>
        </w:tc>
      </w:tr>
      <w:tr w:rsidR="00F940AA" w:rsidRPr="00955A6C" w14:paraId="2E4BF2F9" w14:textId="77777777" w:rsidTr="00173DA9">
        <w:trPr>
          <w:trHeight w:val="624"/>
        </w:trPr>
        <w:tc>
          <w:tcPr>
            <w:tcW w:w="2180" w:type="dxa"/>
            <w:tcBorders>
              <w:top w:val="nil"/>
              <w:left w:val="single" w:sz="4" w:space="0" w:color="auto"/>
              <w:bottom w:val="single" w:sz="4" w:space="0" w:color="auto"/>
              <w:right w:val="single" w:sz="4" w:space="0" w:color="auto"/>
            </w:tcBorders>
            <w:vAlign w:val="center"/>
            <w:hideMark/>
          </w:tcPr>
          <w:p w14:paraId="22D1998B" w14:textId="77777777" w:rsidR="00F940AA" w:rsidRPr="00955A6C" w:rsidRDefault="00F940AA" w:rsidP="00173DA9">
            <w:pPr>
              <w:spacing w:after="0" w:line="240" w:lineRule="auto"/>
              <w:rPr>
                <w:rFonts w:ascii="Times New Roman" w:eastAsia="Times New Roman" w:hAnsi="Times New Roman"/>
                <w:color w:val="000000"/>
                <w:sz w:val="24"/>
                <w:szCs w:val="24"/>
                <w:lang w:eastAsia="en-US" w:bidi="mr-IN"/>
              </w:rPr>
            </w:pPr>
            <w:r w:rsidRPr="00955A6C">
              <w:rPr>
                <w:rFonts w:ascii="Times New Roman" w:eastAsia="Times New Roman" w:hAnsi="Times New Roman"/>
                <w:color w:val="000000"/>
                <w:sz w:val="24"/>
                <w:szCs w:val="24"/>
                <w:lang w:eastAsia="en-US" w:bidi="mr-IN"/>
              </w:rPr>
              <w:t>Forest Gardening</w:t>
            </w:r>
          </w:p>
        </w:tc>
        <w:tc>
          <w:tcPr>
            <w:tcW w:w="6320" w:type="dxa"/>
            <w:tcBorders>
              <w:top w:val="nil"/>
              <w:left w:val="nil"/>
              <w:bottom w:val="single" w:sz="4" w:space="0" w:color="auto"/>
              <w:right w:val="single" w:sz="4" w:space="0" w:color="auto"/>
            </w:tcBorders>
            <w:vAlign w:val="center"/>
            <w:hideMark/>
          </w:tcPr>
          <w:p w14:paraId="5DFC2CB5" w14:textId="77777777" w:rsidR="00F940AA" w:rsidRPr="00955A6C" w:rsidRDefault="00F940AA" w:rsidP="00173DA9">
            <w:pPr>
              <w:spacing w:after="0" w:line="240" w:lineRule="auto"/>
              <w:rPr>
                <w:rFonts w:ascii="Times New Roman" w:eastAsia="Times New Roman" w:hAnsi="Times New Roman"/>
                <w:color w:val="000000"/>
                <w:sz w:val="24"/>
                <w:szCs w:val="24"/>
                <w:lang w:eastAsia="en-US" w:bidi="mr-IN"/>
              </w:rPr>
            </w:pPr>
            <w:r w:rsidRPr="00955A6C">
              <w:rPr>
                <w:rFonts w:ascii="Times New Roman" w:eastAsia="Times New Roman" w:hAnsi="Times New Roman"/>
                <w:color w:val="000000"/>
                <w:sz w:val="24"/>
                <w:szCs w:val="24"/>
                <w:lang w:eastAsia="en-US" w:bidi="mr-IN"/>
              </w:rPr>
              <w:t>&gt;150 species maintained, ecological succession support</w:t>
            </w:r>
          </w:p>
        </w:tc>
      </w:tr>
      <w:tr w:rsidR="00F940AA" w:rsidRPr="00955A6C" w14:paraId="2E60D079" w14:textId="77777777" w:rsidTr="00173DA9">
        <w:trPr>
          <w:trHeight w:val="624"/>
        </w:trPr>
        <w:tc>
          <w:tcPr>
            <w:tcW w:w="2180" w:type="dxa"/>
            <w:tcBorders>
              <w:top w:val="nil"/>
              <w:left w:val="single" w:sz="4" w:space="0" w:color="auto"/>
              <w:bottom w:val="single" w:sz="4" w:space="0" w:color="auto"/>
              <w:right w:val="single" w:sz="4" w:space="0" w:color="auto"/>
            </w:tcBorders>
            <w:vAlign w:val="center"/>
            <w:hideMark/>
          </w:tcPr>
          <w:p w14:paraId="32B4FE6B" w14:textId="77777777" w:rsidR="00F940AA" w:rsidRPr="00955A6C" w:rsidRDefault="00F940AA" w:rsidP="00173DA9">
            <w:pPr>
              <w:spacing w:after="0" w:line="240" w:lineRule="auto"/>
              <w:rPr>
                <w:rFonts w:ascii="Times New Roman" w:eastAsia="Times New Roman" w:hAnsi="Times New Roman"/>
                <w:color w:val="000000"/>
                <w:sz w:val="24"/>
                <w:szCs w:val="24"/>
                <w:lang w:eastAsia="en-US" w:bidi="mr-IN"/>
              </w:rPr>
            </w:pPr>
            <w:r w:rsidRPr="00955A6C">
              <w:rPr>
                <w:rFonts w:ascii="Times New Roman" w:eastAsia="Times New Roman" w:hAnsi="Times New Roman"/>
                <w:color w:val="000000"/>
                <w:sz w:val="24"/>
                <w:szCs w:val="24"/>
                <w:lang w:eastAsia="en-US" w:bidi="mr-IN"/>
              </w:rPr>
              <w:t>Indigenous Seeds</w:t>
            </w:r>
          </w:p>
        </w:tc>
        <w:tc>
          <w:tcPr>
            <w:tcW w:w="6320" w:type="dxa"/>
            <w:tcBorders>
              <w:top w:val="nil"/>
              <w:left w:val="nil"/>
              <w:bottom w:val="single" w:sz="4" w:space="0" w:color="auto"/>
              <w:right w:val="single" w:sz="4" w:space="0" w:color="auto"/>
            </w:tcBorders>
            <w:vAlign w:val="center"/>
            <w:hideMark/>
          </w:tcPr>
          <w:p w14:paraId="64911F0B" w14:textId="77777777" w:rsidR="00F940AA" w:rsidRPr="00955A6C" w:rsidRDefault="00F940AA" w:rsidP="00173DA9">
            <w:pPr>
              <w:spacing w:after="0" w:line="240" w:lineRule="auto"/>
              <w:rPr>
                <w:rFonts w:ascii="Times New Roman" w:eastAsia="Times New Roman" w:hAnsi="Times New Roman"/>
                <w:color w:val="000000"/>
                <w:sz w:val="24"/>
                <w:szCs w:val="24"/>
                <w:lang w:eastAsia="en-US" w:bidi="mr-IN"/>
              </w:rPr>
            </w:pPr>
            <w:r w:rsidRPr="00955A6C">
              <w:rPr>
                <w:rFonts w:ascii="Times New Roman" w:eastAsia="Times New Roman" w:hAnsi="Times New Roman"/>
                <w:color w:val="000000"/>
                <w:sz w:val="24"/>
                <w:szCs w:val="24"/>
                <w:lang w:eastAsia="en-US" w:bidi="mr-IN"/>
              </w:rPr>
              <w:t>Drought-resistant landraces conserved</w:t>
            </w:r>
          </w:p>
        </w:tc>
      </w:tr>
    </w:tbl>
    <w:p w14:paraId="532A85E0" w14:textId="77777777" w:rsidR="00F940AA"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These findings reinforce the ecological significance of Indigenous stewardship systems and support earlier research on IEK as a conservation and adaptive management tool.</w:t>
      </w:r>
    </w:p>
    <w:p w14:paraId="215ECD00" w14:textId="77777777" w:rsidR="00F940AA" w:rsidRPr="00036EB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lastRenderedPageBreak/>
        <w:t>B. Climate Adaptation Benefits</w:t>
      </w:r>
    </w:p>
    <w:p w14:paraId="4CEB3EAF" w14:textId="77777777" w:rsidR="00F940AA" w:rsidRPr="009B7521"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9B7521">
        <w:rPr>
          <w:rFonts w:ascii="Times New Roman" w:eastAsia="Times New Roman" w:hAnsi="Times New Roman"/>
          <w:sz w:val="24"/>
          <w:szCs w:val="24"/>
          <w:lang w:eastAsia="en-US" w:bidi="mr-IN"/>
        </w:rPr>
        <w:t>Through ecosystem-based and culturally rooted adaptive strategies, IEK improves climate resilience. Long-term ecological observations, ethnographic sources, and climate modeling were used to validate these benefits.</w:t>
      </w:r>
    </w:p>
    <w:p w14:paraId="77D09690" w14:textId="77777777" w:rsidR="00F940AA" w:rsidRPr="00036EB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i. Rotational Grazing and Pasture Management</w:t>
      </w:r>
    </w:p>
    <w:p w14:paraId="182D0E19" w14:textId="77777777" w:rsidR="00F940AA"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9B7521">
        <w:rPr>
          <w:rFonts w:ascii="Times New Roman" w:eastAsia="Times New Roman" w:hAnsi="Times New Roman"/>
          <w:sz w:val="24"/>
          <w:szCs w:val="24"/>
          <w:lang w:eastAsia="en-US" w:bidi="mr-IN"/>
        </w:rPr>
        <w:t xml:space="preserve">Rotational grazing decreased soil erosion by 22–45% and encouraged the regrowth of native grasses among Indian pastoralists and Sámi reindeer herders. </w:t>
      </w:r>
    </w:p>
    <w:p w14:paraId="13828B42" w14:textId="77777777" w:rsidR="00F940AA" w:rsidRPr="009B7521" w:rsidRDefault="00F940AA" w:rsidP="00F940AA">
      <w:pPr>
        <w:pStyle w:val="ListParagraph"/>
        <w:spacing w:before="100" w:beforeAutospacing="1" w:after="100" w:afterAutospacing="1" w:line="240" w:lineRule="auto"/>
        <w:rPr>
          <w:rFonts w:ascii="Times New Roman" w:eastAsia="Times New Roman" w:hAnsi="Times New Roman"/>
          <w:sz w:val="24"/>
          <w:szCs w:val="24"/>
          <w:lang w:eastAsia="en-US" w:bidi="mr-IN"/>
        </w:rPr>
      </w:pPr>
      <w:r w:rsidRPr="009B7521">
        <w:rPr>
          <w:rFonts w:ascii="Times New Roman" w:eastAsia="Times New Roman" w:hAnsi="Times New Roman"/>
          <w:sz w:val="24"/>
          <w:szCs w:val="24"/>
          <w:lang w:eastAsia="en-US" w:bidi="mr-IN"/>
        </w:rPr>
        <w:t xml:space="preserve">• Increased microbial activity and soil moisture </w:t>
      </w:r>
      <w:r w:rsidRPr="009B7521">
        <w:rPr>
          <w:rFonts w:ascii="Times New Roman" w:eastAsia="Times New Roman" w:hAnsi="Times New Roman"/>
          <w:sz w:val="24"/>
          <w:szCs w:val="24"/>
          <w:lang w:eastAsia="en-US" w:bidi="mr-IN"/>
        </w:rPr>
        <w:br/>
        <w:t xml:space="preserve">• Avoided pasture degradation and overgrazing </w:t>
      </w:r>
    </w:p>
    <w:p w14:paraId="122522F8" w14:textId="77777777" w:rsidR="00F940AA" w:rsidRPr="009B7521"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9B7521">
        <w:rPr>
          <w:rFonts w:ascii="Times New Roman" w:eastAsia="Times New Roman" w:hAnsi="Times New Roman"/>
          <w:sz w:val="24"/>
          <w:szCs w:val="24"/>
          <w:lang w:eastAsia="en-US" w:bidi="mr-IN"/>
        </w:rPr>
        <w:t>These results are consistent with ecological forecasts for managing rangelands sustainably.</w:t>
      </w:r>
    </w:p>
    <w:p w14:paraId="35BB3C37" w14:textId="77777777" w:rsidR="00F940AA" w:rsidRPr="00036EB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ii. Indigenous Seasonal Indicators</w:t>
      </w:r>
    </w:p>
    <w:p w14:paraId="6B01E5B1" w14:textId="77777777" w:rsidR="00F940AA"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4B6C86">
        <w:rPr>
          <w:rFonts w:ascii="Times New Roman" w:eastAsia="Times New Roman" w:hAnsi="Times New Roman"/>
          <w:sz w:val="24"/>
          <w:szCs w:val="24"/>
          <w:lang w:eastAsia="en-US" w:bidi="mr-IN"/>
        </w:rPr>
        <w:t>Indigenous communities in the Arctic rely on observations made by multiple generations regarding:</w:t>
      </w:r>
    </w:p>
    <w:p w14:paraId="42D59DBA" w14:textId="77777777" w:rsidR="00F940AA" w:rsidRPr="004B6C86" w:rsidRDefault="00F940AA" w:rsidP="00F940AA">
      <w:pPr>
        <w:pStyle w:val="ListParagraph"/>
        <w:numPr>
          <w:ilvl w:val="1"/>
          <w:numId w:val="42"/>
        </w:numPr>
        <w:spacing w:before="100" w:beforeAutospacing="1" w:after="100" w:afterAutospacing="1" w:line="240" w:lineRule="auto"/>
        <w:rPr>
          <w:rFonts w:ascii="Times New Roman" w:eastAsia="Times New Roman" w:hAnsi="Times New Roman"/>
          <w:sz w:val="24"/>
          <w:szCs w:val="24"/>
          <w:lang w:eastAsia="en-US" w:bidi="mr-IN"/>
        </w:rPr>
      </w:pPr>
      <w:r w:rsidRPr="004B6C86">
        <w:rPr>
          <w:rFonts w:ascii="Times New Roman" w:eastAsia="Times New Roman" w:hAnsi="Times New Roman"/>
          <w:sz w:val="24"/>
          <w:szCs w:val="24"/>
          <w:lang w:eastAsia="en-US" w:bidi="mr-IN"/>
        </w:rPr>
        <w:t xml:space="preserve">Animal migration patterns; </w:t>
      </w:r>
    </w:p>
    <w:p w14:paraId="1810CE1A" w14:textId="77777777" w:rsidR="00F940AA" w:rsidRDefault="00F940AA" w:rsidP="00F940AA">
      <w:pPr>
        <w:pStyle w:val="ListParagraph"/>
        <w:numPr>
          <w:ilvl w:val="1"/>
          <w:numId w:val="42"/>
        </w:numPr>
        <w:spacing w:before="100" w:beforeAutospacing="1" w:after="100" w:afterAutospacing="1" w:line="240" w:lineRule="auto"/>
        <w:rPr>
          <w:rFonts w:ascii="Times New Roman" w:eastAsia="Times New Roman" w:hAnsi="Times New Roman"/>
          <w:sz w:val="24"/>
          <w:szCs w:val="24"/>
          <w:lang w:eastAsia="en-US" w:bidi="mr-IN"/>
        </w:rPr>
      </w:pPr>
      <w:r w:rsidRPr="004B6C86">
        <w:rPr>
          <w:rFonts w:ascii="Times New Roman" w:eastAsia="Times New Roman" w:hAnsi="Times New Roman"/>
          <w:sz w:val="24"/>
          <w:szCs w:val="24"/>
          <w:lang w:eastAsia="en-US" w:bidi="mr-IN"/>
        </w:rPr>
        <w:t xml:space="preserve">Sea-ice texture and cracking </w:t>
      </w:r>
    </w:p>
    <w:p w14:paraId="57BF73A4" w14:textId="77777777" w:rsidR="00F940AA" w:rsidRDefault="00F940AA" w:rsidP="00F940AA">
      <w:pPr>
        <w:pStyle w:val="ListParagraph"/>
        <w:numPr>
          <w:ilvl w:val="1"/>
          <w:numId w:val="42"/>
        </w:numPr>
        <w:spacing w:before="100" w:beforeAutospacing="1" w:after="100" w:afterAutospacing="1" w:line="240" w:lineRule="auto"/>
        <w:rPr>
          <w:rFonts w:ascii="Times New Roman" w:eastAsia="Times New Roman" w:hAnsi="Times New Roman"/>
          <w:sz w:val="24"/>
          <w:szCs w:val="24"/>
          <w:lang w:eastAsia="en-US" w:bidi="mr-IN"/>
        </w:rPr>
      </w:pPr>
      <w:r w:rsidRPr="004B6C86">
        <w:rPr>
          <w:rFonts w:ascii="Times New Roman" w:eastAsia="Times New Roman" w:hAnsi="Times New Roman"/>
          <w:sz w:val="24"/>
          <w:szCs w:val="24"/>
          <w:lang w:eastAsia="en-US" w:bidi="mr-IN"/>
        </w:rPr>
        <w:t xml:space="preserve">Changes in wind direction </w:t>
      </w:r>
    </w:p>
    <w:p w14:paraId="66C43D42" w14:textId="77777777" w:rsidR="00F940AA" w:rsidRPr="004B6C86" w:rsidRDefault="00F940AA" w:rsidP="00F940AA">
      <w:pPr>
        <w:pStyle w:val="ListParagraph"/>
        <w:numPr>
          <w:ilvl w:val="1"/>
          <w:numId w:val="42"/>
        </w:numPr>
        <w:spacing w:before="100" w:beforeAutospacing="1" w:after="100" w:afterAutospacing="1" w:line="240" w:lineRule="auto"/>
        <w:rPr>
          <w:rFonts w:ascii="Times New Roman" w:eastAsia="Times New Roman" w:hAnsi="Times New Roman"/>
          <w:sz w:val="24"/>
          <w:szCs w:val="24"/>
          <w:lang w:eastAsia="en-US" w:bidi="mr-IN"/>
        </w:rPr>
      </w:pPr>
      <w:r w:rsidRPr="004B6C86">
        <w:rPr>
          <w:rFonts w:ascii="Times New Roman" w:eastAsia="Times New Roman" w:hAnsi="Times New Roman"/>
          <w:sz w:val="24"/>
          <w:szCs w:val="24"/>
          <w:lang w:eastAsia="en-US" w:bidi="mr-IN"/>
        </w:rPr>
        <w:t xml:space="preserve">Layering and hardness of snow </w:t>
      </w:r>
    </w:p>
    <w:p w14:paraId="116EEF49" w14:textId="77777777" w:rsidR="00F940AA" w:rsidRPr="004B6C86"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4B6C86">
        <w:rPr>
          <w:rFonts w:ascii="Times New Roman" w:eastAsia="Times New Roman" w:hAnsi="Times New Roman"/>
          <w:sz w:val="24"/>
          <w:szCs w:val="24"/>
          <w:lang w:eastAsia="en-US" w:bidi="mr-IN"/>
        </w:rPr>
        <w:t>Strong correlations (r = 0.74–0.89) between Indigenous indicators and scientific climate variables were found when compared with atmospheric datasets. Crucially, Indigenous observations are early warning systems because they frequently precede scientific detection.</w:t>
      </w:r>
    </w:p>
    <w:p w14:paraId="67DE82FB" w14:textId="77777777" w:rsidR="00F940AA" w:rsidRPr="00036EB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iii. Agroforestry and Climate Mitigation</w:t>
      </w:r>
    </w:p>
    <w:p w14:paraId="5E53D19D"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Agroforestry systems across regions showed:</w:t>
      </w:r>
    </w:p>
    <w:p w14:paraId="509D6C98" w14:textId="77777777" w:rsidR="00F940AA" w:rsidRPr="00036EB3" w:rsidRDefault="00F940AA" w:rsidP="00F940AA">
      <w:pPr>
        <w:numPr>
          <w:ilvl w:val="0"/>
          <w:numId w:val="18"/>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b/>
          <w:bCs/>
          <w:sz w:val="24"/>
          <w:szCs w:val="24"/>
          <w:lang w:eastAsia="en-US" w:bidi="mr-IN"/>
        </w:rPr>
        <w:t>7–12 t C/ha/year</w:t>
      </w:r>
      <w:r w:rsidRPr="00036EB3">
        <w:rPr>
          <w:rFonts w:ascii="Times New Roman" w:eastAsia="Times New Roman" w:hAnsi="Times New Roman"/>
          <w:sz w:val="24"/>
          <w:szCs w:val="24"/>
          <w:lang w:eastAsia="en-US" w:bidi="mr-IN"/>
        </w:rPr>
        <w:t xml:space="preserve"> carbon sequestration</w:t>
      </w:r>
    </w:p>
    <w:p w14:paraId="425BE706" w14:textId="77777777" w:rsidR="00F940AA" w:rsidRPr="00036EB3" w:rsidRDefault="00F940AA" w:rsidP="00F940AA">
      <w:pPr>
        <w:numPr>
          <w:ilvl w:val="0"/>
          <w:numId w:val="18"/>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Improved soil fertility</w:t>
      </w:r>
    </w:p>
    <w:p w14:paraId="5ABAA8EB" w14:textId="77777777" w:rsidR="00F940AA" w:rsidRPr="00036EB3" w:rsidRDefault="00F940AA" w:rsidP="00F940AA">
      <w:pPr>
        <w:numPr>
          <w:ilvl w:val="0"/>
          <w:numId w:val="18"/>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Increased resilience against drought and heat</w:t>
      </w:r>
    </w:p>
    <w:p w14:paraId="45EF341C"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The multilayer canopy structure helps buffer climatic extremes by creating shaded, moisture-retentive microhabitats.</w:t>
      </w:r>
    </w:p>
    <w:p w14:paraId="04AEEFDD" w14:textId="77777777" w:rsidR="00F940AA" w:rsidRPr="00036EB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iv. Traditional Water-Harvesting and Microclimatic Regulation</w:t>
      </w:r>
    </w:p>
    <w:p w14:paraId="4634B505" w14:textId="77777777" w:rsidR="00F940AA"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D0C6C">
        <w:rPr>
          <w:rFonts w:ascii="Times New Roman" w:eastAsia="Times New Roman" w:hAnsi="Times New Roman"/>
          <w:sz w:val="24"/>
          <w:szCs w:val="24"/>
          <w:lang w:eastAsia="en-US" w:bidi="mr-IN"/>
        </w:rPr>
        <w:t xml:space="preserve">Communities in India maintain traditional water-harvesting systems like </w:t>
      </w:r>
      <w:proofErr w:type="spellStart"/>
      <w:r w:rsidRPr="006D0C6C">
        <w:rPr>
          <w:rFonts w:ascii="Times New Roman" w:eastAsia="Times New Roman" w:hAnsi="Times New Roman"/>
          <w:sz w:val="24"/>
          <w:szCs w:val="24"/>
          <w:lang w:eastAsia="en-US" w:bidi="mr-IN"/>
        </w:rPr>
        <w:t>johads</w:t>
      </w:r>
      <w:proofErr w:type="spellEnd"/>
      <w:r w:rsidRPr="006D0C6C">
        <w:rPr>
          <w:rFonts w:ascii="Times New Roman" w:eastAsia="Times New Roman" w:hAnsi="Times New Roman"/>
          <w:sz w:val="24"/>
          <w:szCs w:val="24"/>
          <w:lang w:eastAsia="en-US" w:bidi="mr-IN"/>
        </w:rPr>
        <w:t xml:space="preserve">, </w:t>
      </w:r>
      <w:proofErr w:type="spellStart"/>
      <w:r w:rsidRPr="006D0C6C">
        <w:rPr>
          <w:rFonts w:ascii="Times New Roman" w:eastAsia="Times New Roman" w:hAnsi="Times New Roman"/>
          <w:sz w:val="24"/>
          <w:szCs w:val="24"/>
          <w:lang w:eastAsia="en-US" w:bidi="mr-IN"/>
        </w:rPr>
        <w:t>ahars</w:t>
      </w:r>
      <w:proofErr w:type="spellEnd"/>
      <w:r w:rsidRPr="006D0C6C">
        <w:rPr>
          <w:rFonts w:ascii="Times New Roman" w:eastAsia="Times New Roman" w:hAnsi="Times New Roman"/>
          <w:sz w:val="24"/>
          <w:szCs w:val="24"/>
          <w:lang w:eastAsia="en-US" w:bidi="mr-IN"/>
        </w:rPr>
        <w:t xml:space="preserve">, and </w:t>
      </w:r>
      <w:proofErr w:type="spellStart"/>
      <w:r w:rsidRPr="006D0C6C">
        <w:rPr>
          <w:rFonts w:ascii="Times New Roman" w:eastAsia="Times New Roman" w:hAnsi="Times New Roman"/>
          <w:sz w:val="24"/>
          <w:szCs w:val="24"/>
          <w:lang w:eastAsia="en-US" w:bidi="mr-IN"/>
        </w:rPr>
        <w:t>kulhs</w:t>
      </w:r>
      <w:proofErr w:type="spellEnd"/>
      <w:r w:rsidRPr="006D0C6C">
        <w:rPr>
          <w:rFonts w:ascii="Times New Roman" w:eastAsia="Times New Roman" w:hAnsi="Times New Roman"/>
          <w:sz w:val="24"/>
          <w:szCs w:val="24"/>
          <w:lang w:eastAsia="en-US" w:bidi="mr-IN"/>
        </w:rPr>
        <w:t xml:space="preserve">: </w:t>
      </w:r>
      <w:r w:rsidRPr="006D0C6C">
        <w:rPr>
          <w:rFonts w:ascii="Times New Roman" w:eastAsia="Times New Roman" w:hAnsi="Times New Roman"/>
          <w:sz w:val="24"/>
          <w:szCs w:val="24"/>
          <w:lang w:eastAsia="en-US" w:bidi="mr-IN"/>
        </w:rPr>
        <w:br/>
        <w:t>Enhanced hydrological cycles</w:t>
      </w:r>
    </w:p>
    <w:p w14:paraId="6F116272" w14:textId="77777777" w:rsidR="00F940AA" w:rsidRPr="006D0C6C" w:rsidRDefault="00F940AA" w:rsidP="00F940AA">
      <w:pPr>
        <w:pStyle w:val="ListParagraph"/>
        <w:spacing w:before="100" w:beforeAutospacing="1" w:after="100" w:afterAutospacing="1" w:line="240" w:lineRule="auto"/>
        <w:rPr>
          <w:rFonts w:ascii="Times New Roman" w:eastAsia="Times New Roman" w:hAnsi="Times New Roman"/>
          <w:sz w:val="24"/>
          <w:szCs w:val="24"/>
          <w:lang w:eastAsia="en-US" w:bidi="mr-IN"/>
        </w:rPr>
      </w:pPr>
      <w:r w:rsidRPr="006D0C6C">
        <w:rPr>
          <w:rFonts w:ascii="Times New Roman" w:eastAsia="Times New Roman" w:hAnsi="Times New Roman"/>
          <w:sz w:val="24"/>
          <w:szCs w:val="24"/>
          <w:lang w:eastAsia="en-US" w:bidi="mr-IN"/>
        </w:rPr>
        <w:lastRenderedPageBreak/>
        <w:t xml:space="preserve">• Groundwater replenishment </w:t>
      </w:r>
      <w:r w:rsidRPr="006D0C6C">
        <w:rPr>
          <w:rFonts w:ascii="Times New Roman" w:eastAsia="Times New Roman" w:hAnsi="Times New Roman"/>
          <w:sz w:val="24"/>
          <w:szCs w:val="24"/>
          <w:lang w:eastAsia="en-US" w:bidi="mr-IN"/>
        </w:rPr>
        <w:br/>
        <w:t xml:space="preserve">• Diminished effects of flooding </w:t>
      </w:r>
      <w:r w:rsidRPr="006D0C6C">
        <w:rPr>
          <w:rFonts w:ascii="Times New Roman" w:eastAsia="Times New Roman" w:hAnsi="Times New Roman"/>
          <w:sz w:val="24"/>
          <w:szCs w:val="24"/>
          <w:lang w:eastAsia="en-US" w:bidi="mr-IN"/>
        </w:rPr>
        <w:br/>
        <w:t xml:space="preserve">• Developed microclimate stability zones surrounding farmlands and groves </w:t>
      </w:r>
    </w:p>
    <w:p w14:paraId="08FAA342" w14:textId="77777777" w:rsidR="00F940AA"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D0C6C">
        <w:rPr>
          <w:rFonts w:ascii="Times New Roman" w:eastAsia="Times New Roman" w:hAnsi="Times New Roman"/>
          <w:sz w:val="24"/>
          <w:szCs w:val="24"/>
          <w:lang w:eastAsia="en-US" w:bidi="mr-IN"/>
        </w:rPr>
        <w:t>These systems, which are overseen by collective IEK, are still very important for climate adaptation.</w:t>
      </w:r>
    </w:p>
    <w:p w14:paraId="1255C790" w14:textId="77777777" w:rsidR="00F940AA" w:rsidRPr="006D0C6C"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b/>
          <w:bCs/>
          <w:sz w:val="24"/>
          <w:szCs w:val="24"/>
          <w:lang w:eastAsia="en-US" w:bidi="mr-IN"/>
        </w:rPr>
        <w:t>C. Sociocultural Impacts</w:t>
      </w:r>
    </w:p>
    <w:p w14:paraId="7FD595B5"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IEK strengthens community resilience not only ecologically but also culturally, socially, and economically. The sociocultural dimension of IEK plays a critical role in sustaining stewardship practices.</w:t>
      </w:r>
    </w:p>
    <w:p w14:paraId="3FDD3C03" w14:textId="77777777" w:rsidR="00F940AA" w:rsidRPr="00036EB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i. Food Sovereignty</w:t>
      </w:r>
    </w:p>
    <w:p w14:paraId="2554114A"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IEK-based agriculture and seed systems promote:</w:t>
      </w:r>
    </w:p>
    <w:p w14:paraId="25280153" w14:textId="77777777" w:rsidR="00F940AA" w:rsidRPr="00036EB3" w:rsidRDefault="00F940AA" w:rsidP="00F940AA">
      <w:pPr>
        <w:numPr>
          <w:ilvl w:val="0"/>
          <w:numId w:val="19"/>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Local food autonomy</w:t>
      </w:r>
    </w:p>
    <w:p w14:paraId="0AC7A4E6" w14:textId="77777777" w:rsidR="00F940AA" w:rsidRPr="00036EB3" w:rsidRDefault="00F940AA" w:rsidP="00F940AA">
      <w:pPr>
        <w:numPr>
          <w:ilvl w:val="0"/>
          <w:numId w:val="19"/>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Nutritional diversity</w:t>
      </w:r>
    </w:p>
    <w:p w14:paraId="280DB391" w14:textId="77777777" w:rsidR="00F940AA" w:rsidRPr="00036EB3" w:rsidRDefault="00F940AA" w:rsidP="00F940AA">
      <w:pPr>
        <w:numPr>
          <w:ilvl w:val="0"/>
          <w:numId w:val="19"/>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Reduced dependency on external markets</w:t>
      </w:r>
    </w:p>
    <w:p w14:paraId="30AE9B5E"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This is particularly vital for climate-stranded communities.</w:t>
      </w:r>
    </w:p>
    <w:p w14:paraId="358B28E2" w14:textId="77777777" w:rsidR="00F940AA" w:rsidRPr="00036EB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ii. Social Cohesion and Community Governance</w:t>
      </w:r>
    </w:p>
    <w:p w14:paraId="36AC47BC"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IEK is embedded in:</w:t>
      </w:r>
    </w:p>
    <w:p w14:paraId="0A48C4C7" w14:textId="77777777" w:rsidR="00F940AA" w:rsidRPr="00036EB3" w:rsidRDefault="00F940AA" w:rsidP="00F940AA">
      <w:pPr>
        <w:numPr>
          <w:ilvl w:val="0"/>
          <w:numId w:val="20"/>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Rituals</w:t>
      </w:r>
    </w:p>
    <w:p w14:paraId="24B1B2BA" w14:textId="77777777" w:rsidR="00F940AA" w:rsidRPr="00036EB3" w:rsidRDefault="00F940AA" w:rsidP="00F940AA">
      <w:pPr>
        <w:numPr>
          <w:ilvl w:val="0"/>
          <w:numId w:val="20"/>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Oral traditions</w:t>
      </w:r>
    </w:p>
    <w:p w14:paraId="50225865" w14:textId="77777777" w:rsidR="00F940AA" w:rsidRPr="00036EB3" w:rsidRDefault="00F940AA" w:rsidP="00F940AA">
      <w:pPr>
        <w:numPr>
          <w:ilvl w:val="0"/>
          <w:numId w:val="20"/>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Clan-based management rules</w:t>
      </w:r>
    </w:p>
    <w:p w14:paraId="50A5F7D4" w14:textId="77777777" w:rsidR="00F940AA" w:rsidRPr="00036EB3" w:rsidRDefault="00F940AA" w:rsidP="00F940AA">
      <w:pPr>
        <w:numPr>
          <w:ilvl w:val="0"/>
          <w:numId w:val="20"/>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Collective decision-making</w:t>
      </w:r>
    </w:p>
    <w:p w14:paraId="0A215164"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This reinforces cooperative governance and reduces overexploitation.</w:t>
      </w:r>
    </w:p>
    <w:p w14:paraId="3B3C26D8" w14:textId="77777777" w:rsidR="00F940AA" w:rsidRPr="00036EB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iii. Gender Roles in Knowledge Transmission</w:t>
      </w:r>
    </w:p>
    <w:p w14:paraId="0DAB0B2E"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Women are central to:</w:t>
      </w:r>
    </w:p>
    <w:p w14:paraId="75D8ADF6" w14:textId="77777777" w:rsidR="00F940AA" w:rsidRPr="00036EB3" w:rsidRDefault="00F940AA" w:rsidP="00F940AA">
      <w:pPr>
        <w:numPr>
          <w:ilvl w:val="0"/>
          <w:numId w:val="21"/>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Seed selection and preservation</w:t>
      </w:r>
    </w:p>
    <w:p w14:paraId="1496B6CC" w14:textId="77777777" w:rsidR="00F940AA" w:rsidRPr="00036EB3" w:rsidRDefault="00F940AA" w:rsidP="00F940AA">
      <w:pPr>
        <w:numPr>
          <w:ilvl w:val="0"/>
          <w:numId w:val="21"/>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Medicinal plant knowledge</w:t>
      </w:r>
    </w:p>
    <w:p w14:paraId="74EF7078" w14:textId="77777777" w:rsidR="00F940AA" w:rsidRPr="00036EB3" w:rsidRDefault="00F940AA" w:rsidP="00F940AA">
      <w:pPr>
        <w:numPr>
          <w:ilvl w:val="0"/>
          <w:numId w:val="21"/>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Food processing traditions</w:t>
      </w:r>
    </w:p>
    <w:p w14:paraId="20BAACEC" w14:textId="77777777" w:rsidR="00F940AA" w:rsidRPr="00036EB3" w:rsidRDefault="00F940AA" w:rsidP="00F940AA">
      <w:pPr>
        <w:numPr>
          <w:ilvl w:val="0"/>
          <w:numId w:val="21"/>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 xml:space="preserve">Biodiversity-rich </w:t>
      </w:r>
      <w:proofErr w:type="spellStart"/>
      <w:r w:rsidRPr="00036EB3">
        <w:rPr>
          <w:rFonts w:ascii="Times New Roman" w:eastAsia="Times New Roman" w:hAnsi="Times New Roman"/>
          <w:sz w:val="24"/>
          <w:szCs w:val="24"/>
          <w:lang w:eastAsia="en-US" w:bidi="mr-IN"/>
        </w:rPr>
        <w:t>homegardens</w:t>
      </w:r>
      <w:proofErr w:type="spellEnd"/>
    </w:p>
    <w:p w14:paraId="3488A0FE"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Their stewardship ensures intergenerational continuity of IEK.</w:t>
      </w:r>
    </w:p>
    <w:p w14:paraId="78950025" w14:textId="77777777" w:rsidR="00F940AA" w:rsidRPr="00036EB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iv. Cultural Identity and Spiritual Values</w:t>
      </w:r>
    </w:p>
    <w:p w14:paraId="07337D69"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lastRenderedPageBreak/>
        <w:t>Sacred landscapes—such as groves, mountains, rivers—serve as cultural markers that reinforce:</w:t>
      </w:r>
    </w:p>
    <w:p w14:paraId="5D5EE342" w14:textId="77777777" w:rsidR="00F940AA" w:rsidRPr="00036EB3" w:rsidRDefault="00F940AA" w:rsidP="00F940AA">
      <w:pPr>
        <w:numPr>
          <w:ilvl w:val="0"/>
          <w:numId w:val="22"/>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A sense of identity</w:t>
      </w:r>
    </w:p>
    <w:p w14:paraId="1C414B12" w14:textId="77777777" w:rsidR="00F940AA" w:rsidRPr="00036EB3" w:rsidRDefault="00F940AA" w:rsidP="00F940AA">
      <w:pPr>
        <w:numPr>
          <w:ilvl w:val="0"/>
          <w:numId w:val="22"/>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Intergenerational responsibility</w:t>
      </w:r>
    </w:p>
    <w:p w14:paraId="0FE9C131" w14:textId="77777777" w:rsidR="00F940AA" w:rsidRPr="00036EB3" w:rsidRDefault="00F940AA" w:rsidP="00F940AA">
      <w:pPr>
        <w:numPr>
          <w:ilvl w:val="0"/>
          <w:numId w:val="22"/>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Ethical environmental behavior</w:t>
      </w:r>
    </w:p>
    <w:p w14:paraId="15A52B80"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This spiritual dimension contributes significantly to conservation success.</w:t>
      </w:r>
    </w:p>
    <w:p w14:paraId="7C8297E7" w14:textId="77777777" w:rsidR="00F940AA" w:rsidRPr="00036EB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D. Cross-Scale Scientific Validation</w:t>
      </w:r>
    </w:p>
    <w:p w14:paraId="390A60EB"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One of the key findings of this research is the strong scientific validity of IEK.</w:t>
      </w:r>
    </w:p>
    <w:p w14:paraId="5E34F5B4" w14:textId="77777777" w:rsidR="00F940AA" w:rsidRPr="00036EB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i. Climate Correlations</w:t>
      </w:r>
    </w:p>
    <w:p w14:paraId="30C2EE88"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As previously noted, Indigenous observations of seasonal change correlated with meteorological and atmospheric data (0.74–0.89 correlation range).</w:t>
      </w:r>
    </w:p>
    <w:p w14:paraId="41459FB6" w14:textId="77777777" w:rsidR="00F940AA" w:rsidRPr="00036EB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ii. Remote-Sensing Evidence</w:t>
      </w:r>
    </w:p>
    <w:p w14:paraId="270CEDD3"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Satellite imagery confirmed that:</w:t>
      </w:r>
    </w:p>
    <w:p w14:paraId="360C6FED" w14:textId="77777777" w:rsidR="00F940AA" w:rsidRPr="00036EB3" w:rsidRDefault="00F940AA" w:rsidP="00F940AA">
      <w:pPr>
        <w:numPr>
          <w:ilvl w:val="0"/>
          <w:numId w:val="23"/>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Forest cover around sacred groves remained stable over decades</w:t>
      </w:r>
    </w:p>
    <w:p w14:paraId="162E9A63" w14:textId="77777777" w:rsidR="00F940AA" w:rsidRPr="00036EB3" w:rsidRDefault="00F940AA" w:rsidP="00F940AA">
      <w:pPr>
        <w:numPr>
          <w:ilvl w:val="0"/>
          <w:numId w:val="23"/>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IEK-managed forests resisted fragmentation</w:t>
      </w:r>
    </w:p>
    <w:p w14:paraId="14E57FCA" w14:textId="77777777" w:rsidR="00F940AA" w:rsidRPr="00036EB3" w:rsidRDefault="00F940AA" w:rsidP="00F940AA">
      <w:pPr>
        <w:numPr>
          <w:ilvl w:val="0"/>
          <w:numId w:val="23"/>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Amazonian forest gardens maintained dense biomass</w:t>
      </w:r>
    </w:p>
    <w:p w14:paraId="43642839" w14:textId="77777777" w:rsidR="00F940AA" w:rsidRPr="00036EB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iii. Ecological Indicators</w:t>
      </w:r>
    </w:p>
    <w:p w14:paraId="7467E341"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Soil samples from IEK-managed lands revealed:</w:t>
      </w:r>
    </w:p>
    <w:p w14:paraId="50861891" w14:textId="77777777" w:rsidR="00F940AA" w:rsidRPr="00036EB3" w:rsidRDefault="00F940AA" w:rsidP="00F940AA">
      <w:pPr>
        <w:numPr>
          <w:ilvl w:val="0"/>
          <w:numId w:val="24"/>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Higher microbial diversity</w:t>
      </w:r>
    </w:p>
    <w:p w14:paraId="43695881" w14:textId="77777777" w:rsidR="00F940AA" w:rsidRPr="00036EB3" w:rsidRDefault="00F940AA" w:rsidP="00F940AA">
      <w:pPr>
        <w:numPr>
          <w:ilvl w:val="0"/>
          <w:numId w:val="24"/>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Better soil structure</w:t>
      </w:r>
    </w:p>
    <w:p w14:paraId="3B7520EF" w14:textId="77777777" w:rsidR="00F940AA" w:rsidRPr="00036EB3" w:rsidRDefault="00F940AA" w:rsidP="00F940AA">
      <w:pPr>
        <w:numPr>
          <w:ilvl w:val="0"/>
          <w:numId w:val="24"/>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More carbon storage</w:t>
      </w:r>
    </w:p>
    <w:p w14:paraId="177D4306" w14:textId="77777777" w:rsidR="00F940AA" w:rsidRPr="00036EB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iv. Wildlife and Pollinator Data</w:t>
      </w:r>
    </w:p>
    <w:p w14:paraId="3B80FA9F"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Biodiversity surveys indicated:</w:t>
      </w:r>
    </w:p>
    <w:p w14:paraId="5E1B7D80" w14:textId="77777777" w:rsidR="00F940AA" w:rsidRPr="00036EB3" w:rsidRDefault="00F940AA" w:rsidP="00F940AA">
      <w:pPr>
        <w:numPr>
          <w:ilvl w:val="0"/>
          <w:numId w:val="25"/>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Greater bird and pollinator presence in agroforestry systems</w:t>
      </w:r>
    </w:p>
    <w:p w14:paraId="5FAA8C3D" w14:textId="77777777" w:rsidR="00F940AA" w:rsidRPr="00036EB3" w:rsidRDefault="00F940AA" w:rsidP="00F940AA">
      <w:pPr>
        <w:numPr>
          <w:ilvl w:val="0"/>
          <w:numId w:val="25"/>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Higher insect–plant interaction diversity in forest gardens</w:t>
      </w:r>
    </w:p>
    <w:p w14:paraId="2CD2D9DA" w14:textId="77777777" w:rsidR="00F940AA" w:rsidRPr="00036EB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v. Climate Modeling Validation</w:t>
      </w:r>
    </w:p>
    <w:p w14:paraId="2FFC43EF"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Indigenous seasonal calendars helped:</w:t>
      </w:r>
    </w:p>
    <w:p w14:paraId="7BC6E317" w14:textId="77777777" w:rsidR="00F940AA" w:rsidRPr="00036EB3" w:rsidRDefault="00F940AA" w:rsidP="00F940AA">
      <w:pPr>
        <w:numPr>
          <w:ilvl w:val="0"/>
          <w:numId w:val="26"/>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Improve climate model predictions</w:t>
      </w:r>
    </w:p>
    <w:p w14:paraId="1802DD33" w14:textId="77777777" w:rsidR="00F940AA" w:rsidRPr="00036EB3" w:rsidRDefault="00F940AA" w:rsidP="00F940AA">
      <w:pPr>
        <w:numPr>
          <w:ilvl w:val="0"/>
          <w:numId w:val="26"/>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Identify microclimate variations</w:t>
      </w:r>
    </w:p>
    <w:p w14:paraId="40EC9A1C" w14:textId="77777777" w:rsidR="00F940AA" w:rsidRPr="00036EB3" w:rsidRDefault="00F940AA" w:rsidP="00F940AA">
      <w:pPr>
        <w:numPr>
          <w:ilvl w:val="0"/>
          <w:numId w:val="26"/>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lastRenderedPageBreak/>
        <w:t>Validate traditional early-warning indicators for droughts and storms</w:t>
      </w:r>
    </w:p>
    <w:p w14:paraId="4FE100EF" w14:textId="77777777" w:rsidR="00F940AA" w:rsidRPr="00036EB3" w:rsidRDefault="00F940AA" w:rsidP="00F940AA">
      <w:pPr>
        <w:spacing w:before="100" w:beforeAutospacing="1" w:after="100" w:afterAutospacing="1" w:line="240" w:lineRule="auto"/>
        <w:outlineLvl w:val="0"/>
        <w:rPr>
          <w:rFonts w:ascii="Times New Roman" w:eastAsia="Times New Roman" w:hAnsi="Times New Roman"/>
          <w:b/>
          <w:bCs/>
          <w:kern w:val="36"/>
          <w:sz w:val="24"/>
          <w:szCs w:val="24"/>
          <w:lang w:eastAsia="en-US" w:bidi="mr-IN"/>
        </w:rPr>
      </w:pPr>
      <w:r w:rsidRPr="00036EB3">
        <w:rPr>
          <w:rFonts w:ascii="Times New Roman" w:eastAsia="Times New Roman" w:hAnsi="Times New Roman"/>
          <w:b/>
          <w:bCs/>
          <w:kern w:val="36"/>
          <w:sz w:val="24"/>
          <w:szCs w:val="24"/>
          <w:lang w:eastAsia="en-US" w:bidi="mr-IN"/>
        </w:rPr>
        <w:t>4. Discussion</w:t>
      </w:r>
    </w:p>
    <w:p w14:paraId="05EDA5B9" w14:textId="77777777" w:rsidR="00F940AA" w:rsidRPr="00F82BD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F82BD3">
        <w:rPr>
          <w:rFonts w:ascii="Times New Roman" w:eastAsia="Times New Roman" w:hAnsi="Times New Roman"/>
          <w:sz w:val="24"/>
          <w:szCs w:val="24"/>
          <w:lang w:eastAsia="en-US" w:bidi="mr-IN"/>
        </w:rPr>
        <w:t>The study's findings highlight the significant ecological, climatic, and sociocultural contributions of Indigenous Ecological Knowledge (IEK) in three different biocultural regions: Arctic Indigenous territories, the Amazon Basin, and India. When taken as a whole, these results show that IEK is a strong, empirically supported, and scientifically reliable system that has maintained ecological resilience for centuries. The results are integrated, regional comparisons are made, and the findings are placed within a larger body of academic literature in this discussion section. Additionally, it highlights ongoing ethical and political issues, identifies areas of synergy with modern scientific approaches, and critically examines conflicts between IEK and state-led conservation.</w:t>
      </w:r>
    </w:p>
    <w:p w14:paraId="08FB55F8" w14:textId="77777777" w:rsidR="00F940AA" w:rsidRDefault="00F940AA" w:rsidP="00F940AA">
      <w:pPr>
        <w:spacing w:before="100" w:beforeAutospacing="1" w:after="100" w:afterAutospacing="1" w:line="240" w:lineRule="auto"/>
        <w:rPr>
          <w:rFonts w:ascii="Times New Roman" w:eastAsia="Times New Roman" w:hAnsi="Times New Roman"/>
          <w:b/>
          <w:bCs/>
          <w:kern w:val="36"/>
          <w:sz w:val="24"/>
          <w:szCs w:val="24"/>
          <w:lang w:eastAsia="en-US" w:bidi="mr-IN"/>
        </w:rPr>
      </w:pPr>
      <w:r w:rsidRPr="00036EB3">
        <w:rPr>
          <w:rFonts w:ascii="Times New Roman" w:eastAsia="Times New Roman" w:hAnsi="Times New Roman"/>
          <w:b/>
          <w:bCs/>
          <w:kern w:val="36"/>
          <w:sz w:val="24"/>
          <w:szCs w:val="24"/>
          <w:lang w:eastAsia="en-US" w:bidi="mr-IN"/>
        </w:rPr>
        <w:t>4.1 IEK Compared with Conventional Conservation Approaches</w:t>
      </w:r>
    </w:p>
    <w:p w14:paraId="2D1DC191" w14:textId="77777777" w:rsidR="00F940AA"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F82BD3">
        <w:rPr>
          <w:rFonts w:ascii="Times New Roman" w:eastAsia="Times New Roman" w:hAnsi="Times New Roman"/>
          <w:sz w:val="24"/>
          <w:szCs w:val="24"/>
          <w:lang w:eastAsia="en-US" w:bidi="mr-IN"/>
        </w:rPr>
        <w:t xml:space="preserve">Conventional conservation, which has its roots in Western ecological science, frequently adopts fortress conservation models that divide people from the natural world. Although these models have made a substantial contribution to the preservation of some ecosystems, they occasionally fail to acknowledge that many globally significant landscapes, such as savannas, rainforests, and Arctic coasts, have been shaped, cared for, and maintained for millennia by Indigenous communities. </w:t>
      </w:r>
      <w:r w:rsidRPr="00F82BD3">
        <w:rPr>
          <w:rFonts w:ascii="Times New Roman" w:eastAsia="Times New Roman" w:hAnsi="Times New Roman"/>
          <w:sz w:val="24"/>
          <w:szCs w:val="24"/>
          <w:lang w:eastAsia="en-US" w:bidi="mr-IN"/>
        </w:rPr>
        <w:br/>
        <w:t>On the other hand, IEK offers a comprehensive and process-based understanding of ecosystems. According to this perspective, humans are essential to ecological dynamics rather than seen as external actors. IEK mixes:</w:t>
      </w:r>
    </w:p>
    <w:p w14:paraId="6997B389" w14:textId="77777777" w:rsidR="00F940AA" w:rsidRPr="00F82BD3" w:rsidRDefault="00F940AA" w:rsidP="00F940AA">
      <w:pPr>
        <w:pStyle w:val="ListParagraph"/>
        <w:numPr>
          <w:ilvl w:val="0"/>
          <w:numId w:val="44"/>
        </w:numPr>
        <w:spacing w:before="100" w:beforeAutospacing="1" w:after="100" w:afterAutospacing="1" w:line="240" w:lineRule="auto"/>
        <w:rPr>
          <w:rFonts w:ascii="Times New Roman" w:eastAsia="Times New Roman" w:hAnsi="Times New Roman"/>
          <w:sz w:val="24"/>
          <w:szCs w:val="24"/>
          <w:lang w:eastAsia="en-US" w:bidi="mr-IN"/>
        </w:rPr>
      </w:pPr>
      <w:r w:rsidRPr="00F82BD3">
        <w:rPr>
          <w:rFonts w:ascii="Times New Roman" w:eastAsia="Times New Roman" w:hAnsi="Times New Roman"/>
          <w:sz w:val="24"/>
          <w:szCs w:val="24"/>
          <w:lang w:eastAsia="en-US" w:bidi="mr-IN"/>
        </w:rPr>
        <w:t xml:space="preserve">Empirical findings </w:t>
      </w:r>
    </w:p>
    <w:p w14:paraId="7BCF8321" w14:textId="77777777" w:rsidR="00F940AA" w:rsidRPr="00F82BD3" w:rsidRDefault="00F940AA" w:rsidP="00F940AA">
      <w:pPr>
        <w:pStyle w:val="ListParagraph"/>
        <w:numPr>
          <w:ilvl w:val="0"/>
          <w:numId w:val="43"/>
        </w:numPr>
        <w:spacing w:before="100" w:beforeAutospacing="1" w:after="100" w:afterAutospacing="1" w:line="240" w:lineRule="auto"/>
        <w:rPr>
          <w:rFonts w:ascii="Times New Roman" w:eastAsia="Times New Roman" w:hAnsi="Times New Roman"/>
          <w:sz w:val="24"/>
          <w:szCs w:val="24"/>
          <w:lang w:eastAsia="en-US" w:bidi="mr-IN"/>
        </w:rPr>
      </w:pPr>
      <w:r w:rsidRPr="00F82BD3">
        <w:rPr>
          <w:rFonts w:ascii="Times New Roman" w:eastAsia="Times New Roman" w:hAnsi="Times New Roman"/>
          <w:sz w:val="24"/>
          <w:szCs w:val="24"/>
          <w:lang w:eastAsia="en-US" w:bidi="mr-IN"/>
        </w:rPr>
        <w:t xml:space="preserve">Ecological experimentation; </w:t>
      </w:r>
    </w:p>
    <w:p w14:paraId="62E68C90" w14:textId="77777777" w:rsidR="00F940AA" w:rsidRPr="00F82BD3" w:rsidRDefault="00F940AA" w:rsidP="00F940AA">
      <w:pPr>
        <w:pStyle w:val="ListParagraph"/>
        <w:numPr>
          <w:ilvl w:val="0"/>
          <w:numId w:val="43"/>
        </w:numPr>
        <w:spacing w:before="100" w:beforeAutospacing="1" w:after="100" w:afterAutospacing="1" w:line="240" w:lineRule="auto"/>
        <w:rPr>
          <w:rFonts w:ascii="Times New Roman" w:eastAsia="Times New Roman" w:hAnsi="Times New Roman"/>
          <w:sz w:val="24"/>
          <w:szCs w:val="24"/>
          <w:lang w:eastAsia="en-US" w:bidi="mr-IN"/>
        </w:rPr>
      </w:pPr>
      <w:r w:rsidRPr="00F82BD3">
        <w:rPr>
          <w:rFonts w:ascii="Times New Roman" w:eastAsia="Times New Roman" w:hAnsi="Times New Roman"/>
          <w:sz w:val="24"/>
          <w:szCs w:val="24"/>
          <w:lang w:eastAsia="en-US" w:bidi="mr-IN"/>
        </w:rPr>
        <w:t xml:space="preserve">cultural ethics; </w:t>
      </w:r>
    </w:p>
    <w:p w14:paraId="41AB48A7" w14:textId="77777777" w:rsidR="00F940AA" w:rsidRPr="00F82BD3" w:rsidRDefault="00F940AA" w:rsidP="00F940AA">
      <w:pPr>
        <w:pStyle w:val="ListParagraph"/>
        <w:numPr>
          <w:ilvl w:val="0"/>
          <w:numId w:val="43"/>
        </w:numPr>
        <w:spacing w:before="100" w:beforeAutospacing="1" w:after="100" w:afterAutospacing="1" w:line="240" w:lineRule="auto"/>
        <w:rPr>
          <w:rFonts w:ascii="Times New Roman" w:eastAsia="Times New Roman" w:hAnsi="Times New Roman"/>
          <w:sz w:val="24"/>
          <w:szCs w:val="24"/>
          <w:lang w:eastAsia="en-US" w:bidi="mr-IN"/>
        </w:rPr>
      </w:pPr>
      <w:r w:rsidRPr="00F82BD3">
        <w:rPr>
          <w:rFonts w:ascii="Times New Roman" w:eastAsia="Times New Roman" w:hAnsi="Times New Roman"/>
          <w:sz w:val="24"/>
          <w:szCs w:val="24"/>
          <w:lang w:eastAsia="en-US" w:bidi="mr-IN"/>
        </w:rPr>
        <w:t xml:space="preserve">long-term observation; and </w:t>
      </w:r>
    </w:p>
    <w:p w14:paraId="630F0E6D" w14:textId="77777777" w:rsidR="00F940AA" w:rsidRPr="00F82BD3" w:rsidRDefault="00F940AA" w:rsidP="00F940AA">
      <w:pPr>
        <w:pStyle w:val="ListParagraph"/>
        <w:numPr>
          <w:ilvl w:val="0"/>
          <w:numId w:val="43"/>
        </w:numPr>
        <w:spacing w:before="100" w:beforeAutospacing="1" w:after="100" w:afterAutospacing="1" w:line="240" w:lineRule="auto"/>
        <w:rPr>
          <w:rFonts w:ascii="Times New Roman" w:eastAsia="Times New Roman" w:hAnsi="Times New Roman"/>
          <w:sz w:val="24"/>
          <w:szCs w:val="24"/>
          <w:lang w:eastAsia="en-US" w:bidi="mr-IN"/>
        </w:rPr>
      </w:pPr>
      <w:r w:rsidRPr="00F82BD3">
        <w:rPr>
          <w:rFonts w:ascii="Times New Roman" w:eastAsia="Times New Roman" w:hAnsi="Times New Roman"/>
          <w:sz w:val="24"/>
          <w:szCs w:val="24"/>
          <w:lang w:eastAsia="en-US" w:bidi="mr-IN"/>
        </w:rPr>
        <w:t xml:space="preserve">land relationships with a spiritual foundation </w:t>
      </w:r>
      <w:r w:rsidRPr="00F82BD3">
        <w:rPr>
          <w:rFonts w:ascii="Times New Roman" w:eastAsia="Times New Roman" w:hAnsi="Times New Roman"/>
          <w:sz w:val="24"/>
          <w:szCs w:val="24"/>
          <w:lang w:eastAsia="en-US" w:bidi="mr-IN"/>
        </w:rPr>
        <w:br/>
        <w:t>These elements build management systems that improve adaptive capacity and lessen ecological disturbance.</w:t>
      </w:r>
    </w:p>
    <w:p w14:paraId="53A94AAE" w14:textId="77777777" w:rsidR="00F940AA" w:rsidRPr="00740740" w:rsidRDefault="00F940AA" w:rsidP="00F940AA">
      <w:pPr>
        <w:spacing w:before="100" w:beforeAutospacing="1" w:after="100" w:afterAutospacing="1" w:line="240" w:lineRule="auto"/>
        <w:outlineLvl w:val="2"/>
        <w:rPr>
          <w:rFonts w:ascii="Times New Roman" w:eastAsia="Times New Roman" w:hAnsi="Times New Roman"/>
          <w:b/>
          <w:bCs/>
          <w:sz w:val="24"/>
          <w:szCs w:val="24"/>
          <w:lang w:eastAsia="en-US" w:bidi="mr-IN"/>
        </w:rPr>
      </w:pPr>
      <w:r w:rsidRPr="00740740">
        <w:rPr>
          <w:rFonts w:ascii="Times New Roman" w:eastAsia="Times New Roman" w:hAnsi="Times New Roman"/>
          <w:b/>
          <w:bCs/>
          <w:sz w:val="24"/>
          <w:szCs w:val="24"/>
          <w:lang w:eastAsia="en-US" w:bidi="mr-IN"/>
        </w:rPr>
        <w:t>Three Distinguishing Features of IEK Compared to Western Conservation</w:t>
      </w:r>
    </w:p>
    <w:p w14:paraId="20A2E24F" w14:textId="77777777" w:rsidR="00F940AA" w:rsidRPr="00740740" w:rsidRDefault="00F940AA" w:rsidP="00F940AA">
      <w:pPr>
        <w:spacing w:before="100" w:beforeAutospacing="1" w:after="100" w:afterAutospacing="1" w:line="240" w:lineRule="auto"/>
        <w:outlineLvl w:val="2"/>
        <w:rPr>
          <w:rFonts w:ascii="Times New Roman" w:eastAsia="Times New Roman" w:hAnsi="Times New Roman"/>
          <w:b/>
          <w:bCs/>
          <w:sz w:val="24"/>
          <w:szCs w:val="24"/>
          <w:lang w:eastAsia="en-US" w:bidi="mr-IN"/>
        </w:rPr>
      </w:pPr>
      <w:r w:rsidRPr="00740740">
        <w:rPr>
          <w:rFonts w:ascii="Times New Roman" w:eastAsia="Times New Roman" w:hAnsi="Times New Roman"/>
          <w:b/>
          <w:bCs/>
          <w:sz w:val="24"/>
          <w:szCs w:val="24"/>
          <w:lang w:eastAsia="en-US" w:bidi="mr-IN"/>
        </w:rPr>
        <w:t>1. Holism</w:t>
      </w:r>
    </w:p>
    <w:p w14:paraId="23D0B629" w14:textId="77777777" w:rsidR="00F940AA"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740740">
        <w:rPr>
          <w:rFonts w:ascii="Times New Roman" w:eastAsia="Times New Roman" w:hAnsi="Times New Roman"/>
          <w:sz w:val="24"/>
          <w:szCs w:val="24"/>
          <w:lang w:eastAsia="en-US" w:bidi="mr-IN"/>
        </w:rPr>
        <w:t xml:space="preserve">Ecosystems are framed by IEK as interconnected socio-ecological units. For instance: </w:t>
      </w:r>
    </w:p>
    <w:p w14:paraId="18E904FC" w14:textId="77777777" w:rsidR="00F940AA" w:rsidRPr="00740740" w:rsidRDefault="00F940AA" w:rsidP="00F940AA">
      <w:pPr>
        <w:pStyle w:val="ListParagraph"/>
        <w:spacing w:before="100" w:beforeAutospacing="1" w:after="100" w:afterAutospacing="1" w:line="240" w:lineRule="auto"/>
        <w:rPr>
          <w:rFonts w:ascii="Times New Roman" w:eastAsia="Times New Roman" w:hAnsi="Times New Roman"/>
          <w:sz w:val="24"/>
          <w:szCs w:val="24"/>
          <w:lang w:eastAsia="en-US" w:bidi="mr-IN"/>
        </w:rPr>
      </w:pPr>
      <w:r w:rsidRPr="00740740">
        <w:rPr>
          <w:rFonts w:ascii="Times New Roman" w:eastAsia="Times New Roman" w:hAnsi="Times New Roman"/>
          <w:sz w:val="24"/>
          <w:szCs w:val="24"/>
          <w:lang w:eastAsia="en-US" w:bidi="mr-IN"/>
        </w:rPr>
        <w:t>• In India, sacred groves are safeguarded for both ecological and spiritual reasons; this dual significance bolsters conservation efforts.</w:t>
      </w:r>
      <w:r w:rsidRPr="00740740">
        <w:rPr>
          <w:rFonts w:ascii="Times New Roman" w:eastAsia="Times New Roman" w:hAnsi="Times New Roman"/>
          <w:sz w:val="24"/>
          <w:szCs w:val="24"/>
          <w:lang w:eastAsia="en-US" w:bidi="mr-IN"/>
        </w:rPr>
        <w:br/>
        <w:t xml:space="preserve">• In a single landscape, Amazonian forest gardens combine cultivation, wild foraging, ritual practice, and habitat management. </w:t>
      </w:r>
      <w:r w:rsidRPr="00740740">
        <w:rPr>
          <w:rFonts w:ascii="Times New Roman" w:eastAsia="Times New Roman" w:hAnsi="Times New Roman"/>
          <w:sz w:val="24"/>
          <w:szCs w:val="24"/>
          <w:lang w:eastAsia="en-US" w:bidi="mr-IN"/>
        </w:rPr>
        <w:br/>
      </w:r>
      <w:r w:rsidRPr="00740740">
        <w:rPr>
          <w:rFonts w:ascii="Times New Roman" w:eastAsia="Times New Roman" w:hAnsi="Times New Roman"/>
          <w:sz w:val="24"/>
          <w:szCs w:val="24"/>
          <w:lang w:eastAsia="en-US" w:bidi="mr-IN"/>
        </w:rPr>
        <w:br/>
      </w:r>
      <w:r w:rsidRPr="00740740">
        <w:rPr>
          <w:rFonts w:ascii="Times New Roman" w:eastAsia="Times New Roman" w:hAnsi="Times New Roman"/>
          <w:sz w:val="24"/>
          <w:szCs w:val="24"/>
          <w:lang w:eastAsia="en-US" w:bidi="mr-IN"/>
        </w:rPr>
        <w:lastRenderedPageBreak/>
        <w:t xml:space="preserve">• Knowledge of Arctic ice connects environmental observation, cultural identity, and subsistence activities. </w:t>
      </w:r>
    </w:p>
    <w:p w14:paraId="3E70F2F7" w14:textId="77777777" w:rsidR="00F940AA" w:rsidRPr="00740740"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740740">
        <w:rPr>
          <w:rFonts w:ascii="Times New Roman" w:eastAsia="Times New Roman" w:hAnsi="Times New Roman"/>
          <w:sz w:val="24"/>
          <w:szCs w:val="24"/>
          <w:lang w:eastAsia="en-US" w:bidi="mr-IN"/>
        </w:rPr>
        <w:t>Compared to conservation strategies that only concentrate on species-level or habitat-level interventions, this holistic framework frequently results in greater resilience.</w:t>
      </w:r>
    </w:p>
    <w:p w14:paraId="0E25C925" w14:textId="77777777" w:rsidR="00F940AA"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9668AD">
        <w:rPr>
          <w:rFonts w:ascii="Times New Roman" w:eastAsia="Times New Roman" w:hAnsi="Times New Roman"/>
          <w:b/>
          <w:bCs/>
          <w:sz w:val="24"/>
          <w:szCs w:val="24"/>
          <w:lang w:eastAsia="en-US" w:bidi="mr-IN"/>
        </w:rPr>
        <w:t>2. Long-term, Place-Based Adaptation</w:t>
      </w:r>
    </w:p>
    <w:p w14:paraId="5AA25AFE" w14:textId="77777777" w:rsidR="00F940AA" w:rsidRPr="009668AD"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9668AD">
        <w:rPr>
          <w:rFonts w:ascii="Times New Roman" w:eastAsia="Times New Roman" w:hAnsi="Times New Roman"/>
          <w:sz w:val="24"/>
          <w:szCs w:val="24"/>
          <w:lang w:eastAsia="en-US" w:bidi="mr-IN"/>
        </w:rPr>
        <w:t>Through centuries of constant observation, indigenous communities have refined ecological practices. They are able to identify minute changes in the environment before scientific instruments do because of this long-term perspective. For instance, Inuit sea-ice indicators are deeply ingrained in seasonal rhythms and oral histories, making it possible to identify shifting wind patterns, ice thinning, and wildlife behavior early on.</w:t>
      </w:r>
    </w:p>
    <w:p w14:paraId="2189B836" w14:textId="77777777" w:rsidR="00F940AA" w:rsidRPr="00036EB3" w:rsidRDefault="00F940AA" w:rsidP="00F940AA">
      <w:pPr>
        <w:spacing w:before="100" w:beforeAutospacing="1" w:after="100" w:afterAutospacing="1" w:line="240" w:lineRule="auto"/>
        <w:outlineLvl w:val="2"/>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3. Social Governance and Customary Institutions</w:t>
      </w:r>
    </w:p>
    <w:p w14:paraId="3B6CC5B6"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IEK-based conservation is often governed through:</w:t>
      </w:r>
    </w:p>
    <w:p w14:paraId="56E9A5A4" w14:textId="77777777" w:rsidR="00F940AA" w:rsidRPr="00036EB3" w:rsidRDefault="00F940AA" w:rsidP="00F940AA">
      <w:pPr>
        <w:numPr>
          <w:ilvl w:val="0"/>
          <w:numId w:val="27"/>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collective decision-making</w:t>
      </w:r>
    </w:p>
    <w:p w14:paraId="5C846C34" w14:textId="77777777" w:rsidR="00F940AA" w:rsidRPr="00036EB3" w:rsidRDefault="00F940AA" w:rsidP="00F940AA">
      <w:pPr>
        <w:numPr>
          <w:ilvl w:val="0"/>
          <w:numId w:val="27"/>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customary tenure rules</w:t>
      </w:r>
    </w:p>
    <w:p w14:paraId="5F37E8BF" w14:textId="77777777" w:rsidR="00F940AA" w:rsidRPr="00036EB3" w:rsidRDefault="00F940AA" w:rsidP="00F940AA">
      <w:pPr>
        <w:numPr>
          <w:ilvl w:val="0"/>
          <w:numId w:val="27"/>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spiritual sanctions</w:t>
      </w:r>
    </w:p>
    <w:p w14:paraId="7EE8C9C4" w14:textId="77777777" w:rsidR="00F940AA" w:rsidRPr="00036EB3" w:rsidRDefault="00F940AA" w:rsidP="00F940AA">
      <w:pPr>
        <w:numPr>
          <w:ilvl w:val="0"/>
          <w:numId w:val="27"/>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community oversight</w:t>
      </w:r>
    </w:p>
    <w:p w14:paraId="43915100"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 xml:space="preserve">Such governance systems effectively regulate resource use. Evidence shows that forests under community management often perform </w:t>
      </w:r>
      <w:r w:rsidRPr="00036EB3">
        <w:rPr>
          <w:rFonts w:ascii="Times New Roman" w:eastAsia="Times New Roman" w:hAnsi="Times New Roman"/>
          <w:b/>
          <w:bCs/>
          <w:sz w:val="24"/>
          <w:szCs w:val="24"/>
          <w:lang w:eastAsia="en-US" w:bidi="mr-IN"/>
        </w:rPr>
        <w:t>as well as or better</w:t>
      </w:r>
      <w:r w:rsidRPr="00036EB3">
        <w:rPr>
          <w:rFonts w:ascii="Times New Roman" w:eastAsia="Times New Roman" w:hAnsi="Times New Roman"/>
          <w:sz w:val="24"/>
          <w:szCs w:val="24"/>
          <w:lang w:eastAsia="en-US" w:bidi="mr-IN"/>
        </w:rPr>
        <w:t xml:space="preserve"> than state-protected areas in preventing deforestation.</w:t>
      </w:r>
    </w:p>
    <w:p w14:paraId="38DD3CF3"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 xml:space="preserve">These insights suggest that IEK is not merely a cultural artifact but a </w:t>
      </w:r>
      <w:r w:rsidRPr="00036EB3">
        <w:rPr>
          <w:rFonts w:ascii="Times New Roman" w:eastAsia="Times New Roman" w:hAnsi="Times New Roman"/>
          <w:b/>
          <w:bCs/>
          <w:sz w:val="24"/>
          <w:szCs w:val="24"/>
          <w:lang w:eastAsia="en-US" w:bidi="mr-IN"/>
        </w:rPr>
        <w:t>scientifically robust system of environmental management</w:t>
      </w:r>
      <w:r w:rsidRPr="00036EB3">
        <w:rPr>
          <w:rFonts w:ascii="Times New Roman" w:eastAsia="Times New Roman" w:hAnsi="Times New Roman"/>
          <w:sz w:val="24"/>
          <w:szCs w:val="24"/>
          <w:lang w:eastAsia="en-US" w:bidi="mr-IN"/>
        </w:rPr>
        <w:t>.</w:t>
      </w:r>
    </w:p>
    <w:p w14:paraId="1A7808DA" w14:textId="77777777" w:rsidR="00F940AA" w:rsidRPr="00036EB3" w:rsidRDefault="00F940AA" w:rsidP="00F940AA">
      <w:pPr>
        <w:spacing w:before="100" w:beforeAutospacing="1" w:after="100" w:afterAutospacing="1" w:line="240" w:lineRule="auto"/>
        <w:outlineLvl w:val="0"/>
        <w:rPr>
          <w:rFonts w:ascii="Times New Roman" w:eastAsia="Times New Roman" w:hAnsi="Times New Roman"/>
          <w:b/>
          <w:bCs/>
          <w:kern w:val="36"/>
          <w:sz w:val="24"/>
          <w:szCs w:val="24"/>
          <w:lang w:eastAsia="en-US" w:bidi="mr-IN"/>
        </w:rPr>
      </w:pPr>
      <w:r w:rsidRPr="00036EB3">
        <w:rPr>
          <w:rFonts w:ascii="Times New Roman" w:eastAsia="Times New Roman" w:hAnsi="Times New Roman"/>
          <w:b/>
          <w:bCs/>
          <w:kern w:val="36"/>
          <w:sz w:val="24"/>
          <w:szCs w:val="24"/>
          <w:lang w:eastAsia="en-US" w:bidi="mr-IN"/>
        </w:rPr>
        <w:t>4.2 Synergies Between IEK and Western Scientific Knowledge</w:t>
      </w:r>
    </w:p>
    <w:p w14:paraId="09F84D1E" w14:textId="77777777" w:rsidR="00F940AA" w:rsidRPr="009668AD"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9668AD">
        <w:rPr>
          <w:rFonts w:ascii="Times New Roman" w:eastAsia="Times New Roman" w:hAnsi="Times New Roman"/>
          <w:sz w:val="24"/>
          <w:szCs w:val="24"/>
          <w:lang w:eastAsia="en-US" w:bidi="mr-IN"/>
        </w:rPr>
        <w:t>Knowledge co-production, or the cooperative integration of Indigenous and scientific knowledge systems, has been revived as a result of ecological scientists' increasing recognition of IEK. Several promising areas of synergy are highlighted in this study.</w:t>
      </w:r>
    </w:p>
    <w:p w14:paraId="15B33B09" w14:textId="77777777" w:rsidR="00F940AA"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9668AD">
        <w:rPr>
          <w:rFonts w:ascii="Times New Roman" w:eastAsia="Times New Roman" w:hAnsi="Times New Roman"/>
          <w:b/>
          <w:bCs/>
          <w:sz w:val="24"/>
          <w:szCs w:val="24"/>
          <w:lang w:eastAsia="en-US" w:bidi="mr-IN"/>
        </w:rPr>
        <w:t>4.2.1 Climate Modeling and Seasonal Knowledge</w:t>
      </w:r>
    </w:p>
    <w:p w14:paraId="17EC9885" w14:textId="77777777" w:rsidR="00F940AA"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9668AD">
        <w:rPr>
          <w:rFonts w:ascii="Times New Roman" w:eastAsia="Times New Roman" w:hAnsi="Times New Roman"/>
          <w:sz w:val="24"/>
          <w:szCs w:val="24"/>
          <w:lang w:eastAsia="en-US" w:bidi="mr-IN"/>
        </w:rPr>
        <w:t>Micro-scale climatic variation is frequently difficult for climate models to capture. Predictive models can be greatly improved by using native seasonal indicators, such as snow hardness, irregular flowering cycles, and shifting bird migration timings. By combining these indicators with meteorological data, regional model uncertainties were decreased and correlations were strengthened.</w:t>
      </w:r>
      <w:r w:rsidRPr="009668AD">
        <w:rPr>
          <w:rFonts w:ascii="Times New Roman" w:eastAsia="Times New Roman" w:hAnsi="Times New Roman"/>
          <w:sz w:val="24"/>
          <w:szCs w:val="24"/>
          <w:lang w:eastAsia="en-US" w:bidi="mr-IN"/>
        </w:rPr>
        <w:br/>
        <w:t xml:space="preserve">These jointly created models: </w:t>
      </w:r>
      <w:r w:rsidRPr="009668AD">
        <w:rPr>
          <w:rFonts w:ascii="Times New Roman" w:eastAsia="Times New Roman" w:hAnsi="Times New Roman"/>
          <w:sz w:val="24"/>
          <w:szCs w:val="24"/>
          <w:lang w:eastAsia="en-US" w:bidi="mr-IN"/>
        </w:rPr>
        <w:br/>
      </w:r>
    </w:p>
    <w:p w14:paraId="6AA3EE65" w14:textId="77777777" w:rsidR="00F940AA" w:rsidRPr="009668AD" w:rsidRDefault="00F940AA" w:rsidP="00F940AA">
      <w:pPr>
        <w:pStyle w:val="ListParagraph"/>
        <w:numPr>
          <w:ilvl w:val="0"/>
          <w:numId w:val="45"/>
        </w:numPr>
        <w:spacing w:before="100" w:beforeAutospacing="1" w:after="100" w:afterAutospacing="1" w:line="240" w:lineRule="auto"/>
        <w:rPr>
          <w:rFonts w:ascii="Times New Roman" w:eastAsia="Times New Roman" w:hAnsi="Times New Roman"/>
          <w:sz w:val="24"/>
          <w:szCs w:val="24"/>
          <w:lang w:eastAsia="en-US" w:bidi="mr-IN"/>
        </w:rPr>
      </w:pPr>
      <w:r w:rsidRPr="009668AD">
        <w:rPr>
          <w:rFonts w:ascii="Times New Roman" w:eastAsia="Times New Roman" w:hAnsi="Times New Roman"/>
          <w:sz w:val="24"/>
          <w:szCs w:val="24"/>
          <w:lang w:eastAsia="en-US" w:bidi="mr-IN"/>
        </w:rPr>
        <w:lastRenderedPageBreak/>
        <w:t>Provide early warning systems</w:t>
      </w:r>
    </w:p>
    <w:p w14:paraId="2DFD8EDB" w14:textId="77777777" w:rsidR="00F940AA" w:rsidRPr="009668AD" w:rsidRDefault="00F940AA" w:rsidP="00F940AA">
      <w:pPr>
        <w:pStyle w:val="ListParagraph"/>
        <w:numPr>
          <w:ilvl w:val="0"/>
          <w:numId w:val="45"/>
        </w:numPr>
        <w:spacing w:before="100" w:beforeAutospacing="1" w:after="100" w:afterAutospacing="1" w:line="240" w:lineRule="auto"/>
        <w:rPr>
          <w:rFonts w:ascii="Times New Roman" w:eastAsia="Times New Roman" w:hAnsi="Times New Roman"/>
          <w:sz w:val="24"/>
          <w:szCs w:val="24"/>
          <w:lang w:eastAsia="en-US" w:bidi="mr-IN"/>
        </w:rPr>
      </w:pPr>
      <w:r w:rsidRPr="009668AD">
        <w:rPr>
          <w:rFonts w:ascii="Times New Roman" w:eastAsia="Times New Roman" w:hAnsi="Times New Roman"/>
          <w:sz w:val="24"/>
          <w:szCs w:val="24"/>
          <w:lang w:eastAsia="en-US" w:bidi="mr-IN"/>
        </w:rPr>
        <w:t xml:space="preserve">Enhance planning for climate adaptation and </w:t>
      </w:r>
    </w:p>
    <w:p w14:paraId="735E2C31" w14:textId="77777777" w:rsidR="00F940AA" w:rsidRDefault="00F940AA" w:rsidP="00F940AA">
      <w:pPr>
        <w:pStyle w:val="ListParagraph"/>
        <w:numPr>
          <w:ilvl w:val="0"/>
          <w:numId w:val="45"/>
        </w:numPr>
        <w:spacing w:before="100" w:beforeAutospacing="1" w:after="100" w:afterAutospacing="1" w:line="240" w:lineRule="auto"/>
        <w:rPr>
          <w:rFonts w:ascii="Times New Roman" w:eastAsia="Times New Roman" w:hAnsi="Times New Roman"/>
          <w:sz w:val="24"/>
          <w:szCs w:val="24"/>
          <w:lang w:eastAsia="en-US" w:bidi="mr-IN"/>
        </w:rPr>
      </w:pPr>
      <w:r w:rsidRPr="009668AD">
        <w:rPr>
          <w:rFonts w:ascii="Times New Roman" w:eastAsia="Times New Roman" w:hAnsi="Times New Roman"/>
          <w:sz w:val="24"/>
          <w:szCs w:val="24"/>
          <w:lang w:eastAsia="en-US" w:bidi="mr-IN"/>
        </w:rPr>
        <w:t>Identify localized climate anomalies</w:t>
      </w:r>
    </w:p>
    <w:p w14:paraId="7ED23C52" w14:textId="77777777" w:rsidR="00F940AA" w:rsidRPr="009668AD"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9668AD">
        <w:rPr>
          <w:rFonts w:ascii="Times New Roman" w:eastAsia="Times New Roman" w:hAnsi="Times New Roman"/>
          <w:sz w:val="24"/>
          <w:szCs w:val="24"/>
          <w:lang w:eastAsia="en-US" w:bidi="mr-IN"/>
        </w:rPr>
        <w:t>For delicate ecosystems like the Western Ghats and Arctic coastlines, this synergy is especially crucial.</w:t>
      </w:r>
    </w:p>
    <w:p w14:paraId="626124FA" w14:textId="77777777" w:rsidR="00F940AA" w:rsidRPr="00036EB3" w:rsidRDefault="00F940AA" w:rsidP="00F940AA">
      <w:pPr>
        <w:spacing w:before="100" w:beforeAutospacing="1" w:after="100" w:afterAutospacing="1" w:line="240" w:lineRule="auto"/>
        <w:outlineLvl w:val="1"/>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4.2.2 Geospatial Mapping of Indigenous Lands</w:t>
      </w:r>
    </w:p>
    <w:p w14:paraId="43D46928"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Mapping sacred groves, reindeer migration routes, and forest gardens using GIS supports:</w:t>
      </w:r>
    </w:p>
    <w:p w14:paraId="46D2F14F" w14:textId="77777777" w:rsidR="00F940AA" w:rsidRPr="00036EB3" w:rsidRDefault="00F940AA" w:rsidP="00F940AA">
      <w:pPr>
        <w:numPr>
          <w:ilvl w:val="0"/>
          <w:numId w:val="28"/>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Territorial recognition</w:t>
      </w:r>
    </w:p>
    <w:p w14:paraId="25802C02" w14:textId="77777777" w:rsidR="00F940AA" w:rsidRPr="00036EB3" w:rsidRDefault="00F940AA" w:rsidP="00F940AA">
      <w:pPr>
        <w:numPr>
          <w:ilvl w:val="0"/>
          <w:numId w:val="28"/>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Community forestry planning</w:t>
      </w:r>
    </w:p>
    <w:p w14:paraId="41250711" w14:textId="77777777" w:rsidR="00F940AA" w:rsidRPr="00036EB3" w:rsidRDefault="00F940AA" w:rsidP="00F940AA">
      <w:pPr>
        <w:numPr>
          <w:ilvl w:val="0"/>
          <w:numId w:val="28"/>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Conservation prioritization</w:t>
      </w:r>
    </w:p>
    <w:p w14:paraId="448CF5CF" w14:textId="77777777" w:rsidR="00F940AA" w:rsidRPr="00036EB3" w:rsidRDefault="00F940AA" w:rsidP="00F940AA">
      <w:pPr>
        <w:numPr>
          <w:ilvl w:val="0"/>
          <w:numId w:val="28"/>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Land rights claims</w:t>
      </w:r>
    </w:p>
    <w:p w14:paraId="6EBEEFD8"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Digitization and geospatial analysis of sacred landscapes reveal the ecological stability Indigenous communities maintain across decades—even under climate stress.</w:t>
      </w:r>
    </w:p>
    <w:p w14:paraId="2E043605" w14:textId="77777777" w:rsidR="00F940AA" w:rsidRPr="00036EB3" w:rsidRDefault="00F940AA" w:rsidP="00F940AA">
      <w:pPr>
        <w:spacing w:before="100" w:beforeAutospacing="1" w:after="100" w:afterAutospacing="1" w:line="240" w:lineRule="auto"/>
        <w:outlineLvl w:val="1"/>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4.2.3 Agroecological Innovations</w:t>
      </w:r>
    </w:p>
    <w:p w14:paraId="72991DBA"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Agroecological science increasingly validates IEK-based agricultural systems:</w:t>
      </w:r>
    </w:p>
    <w:p w14:paraId="77166672" w14:textId="77777777" w:rsidR="00F940AA" w:rsidRPr="00036EB3" w:rsidRDefault="00F940AA" w:rsidP="00F940AA">
      <w:pPr>
        <w:numPr>
          <w:ilvl w:val="0"/>
          <w:numId w:val="29"/>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polycultures</w:t>
      </w:r>
    </w:p>
    <w:p w14:paraId="3165299D" w14:textId="77777777" w:rsidR="00F940AA" w:rsidRPr="00036EB3" w:rsidRDefault="00F940AA" w:rsidP="00F940AA">
      <w:pPr>
        <w:numPr>
          <w:ilvl w:val="0"/>
          <w:numId w:val="29"/>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no-till practices</w:t>
      </w:r>
    </w:p>
    <w:p w14:paraId="10FA2BCD" w14:textId="77777777" w:rsidR="00F940AA" w:rsidRPr="00036EB3" w:rsidRDefault="00F940AA" w:rsidP="00F940AA">
      <w:pPr>
        <w:numPr>
          <w:ilvl w:val="0"/>
          <w:numId w:val="29"/>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integrated pest management using botanical knowledge</w:t>
      </w:r>
    </w:p>
    <w:p w14:paraId="686F210D" w14:textId="77777777" w:rsidR="00F940AA" w:rsidRPr="00036EB3" w:rsidRDefault="00F940AA" w:rsidP="00F940AA">
      <w:pPr>
        <w:numPr>
          <w:ilvl w:val="0"/>
          <w:numId w:val="29"/>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multilayer canopy farming</w:t>
      </w:r>
    </w:p>
    <w:p w14:paraId="0A53D7CD"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 xml:space="preserve">Agroforestry systems managed by Indigenous communities show </w:t>
      </w:r>
      <w:r w:rsidRPr="00036EB3">
        <w:rPr>
          <w:rFonts w:ascii="Times New Roman" w:eastAsia="Times New Roman" w:hAnsi="Times New Roman"/>
          <w:b/>
          <w:bCs/>
          <w:sz w:val="24"/>
          <w:szCs w:val="24"/>
          <w:lang w:eastAsia="en-US" w:bidi="mr-IN"/>
        </w:rPr>
        <w:t>higher carbon sequestration rates</w:t>
      </w:r>
      <w:r w:rsidRPr="00036EB3">
        <w:rPr>
          <w:rFonts w:ascii="Times New Roman" w:eastAsia="Times New Roman" w:hAnsi="Times New Roman"/>
          <w:sz w:val="24"/>
          <w:szCs w:val="24"/>
          <w:lang w:eastAsia="en-US" w:bidi="mr-IN"/>
        </w:rPr>
        <w:t xml:space="preserve"> and </w:t>
      </w:r>
      <w:r w:rsidRPr="00036EB3">
        <w:rPr>
          <w:rFonts w:ascii="Times New Roman" w:eastAsia="Times New Roman" w:hAnsi="Times New Roman"/>
          <w:b/>
          <w:bCs/>
          <w:sz w:val="24"/>
          <w:szCs w:val="24"/>
          <w:lang w:eastAsia="en-US" w:bidi="mr-IN"/>
        </w:rPr>
        <w:t>greater soil health</w:t>
      </w:r>
      <w:r w:rsidRPr="00036EB3">
        <w:rPr>
          <w:rFonts w:ascii="Times New Roman" w:eastAsia="Times New Roman" w:hAnsi="Times New Roman"/>
          <w:sz w:val="24"/>
          <w:szCs w:val="24"/>
          <w:lang w:eastAsia="en-US" w:bidi="mr-IN"/>
        </w:rPr>
        <w:t xml:space="preserve"> than industrial monocropping. These systems provide a viable model for climate-resilient agriculture.</w:t>
      </w:r>
    </w:p>
    <w:p w14:paraId="4D8A9269" w14:textId="77777777" w:rsidR="00F940AA" w:rsidRPr="00036EB3" w:rsidRDefault="00F940AA" w:rsidP="00F940AA">
      <w:pPr>
        <w:spacing w:before="100" w:beforeAutospacing="1" w:after="100" w:afterAutospacing="1" w:line="240" w:lineRule="auto"/>
        <w:outlineLvl w:val="1"/>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4.2.4 Biodiversity and Genetic Resource Conservation</w:t>
      </w:r>
    </w:p>
    <w:p w14:paraId="581FB629" w14:textId="77777777" w:rsidR="00F940AA" w:rsidRPr="001C3008"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1C3008">
        <w:rPr>
          <w:rFonts w:ascii="Times New Roman" w:eastAsia="Times New Roman" w:hAnsi="Times New Roman"/>
          <w:sz w:val="24"/>
          <w:szCs w:val="24"/>
          <w:lang w:eastAsia="en-US" w:bidi="mr-IN"/>
        </w:rPr>
        <w:t xml:space="preserve">The genetic diversity that contemporary scientific breeding programs depend more and more on is preserved by indigenous seed systems. Indigenous farmers' landraces are reservoirs of nutritional resilience, pest resistance, and drought tolerance—qualities that are desperately needed for global food security in the face of climate change. </w:t>
      </w:r>
      <w:r w:rsidRPr="001C3008">
        <w:rPr>
          <w:rFonts w:ascii="Times New Roman" w:eastAsia="Times New Roman" w:hAnsi="Times New Roman"/>
          <w:sz w:val="24"/>
          <w:szCs w:val="24"/>
          <w:lang w:eastAsia="en-US" w:bidi="mr-IN"/>
        </w:rPr>
        <w:br/>
        <w:t>These synergies imply that IEK is a complementary epistemology that enhances scientific practice rather than a substitute for science.</w:t>
      </w:r>
    </w:p>
    <w:p w14:paraId="539C31F0" w14:textId="77777777" w:rsidR="00F940AA"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1C3008">
        <w:rPr>
          <w:rFonts w:ascii="Times New Roman" w:eastAsia="Times New Roman" w:hAnsi="Times New Roman"/>
          <w:b/>
          <w:bCs/>
          <w:sz w:val="24"/>
          <w:szCs w:val="24"/>
          <w:lang w:eastAsia="en-US" w:bidi="mr-IN"/>
        </w:rPr>
        <w:t>4.3 Challenges and Ethical Concerns in IEK Integration</w:t>
      </w:r>
    </w:p>
    <w:p w14:paraId="2A34A55F" w14:textId="77777777" w:rsidR="00F940AA" w:rsidRPr="001C3008"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1C3008">
        <w:rPr>
          <w:rFonts w:ascii="Times New Roman" w:eastAsia="Times New Roman" w:hAnsi="Times New Roman"/>
          <w:sz w:val="24"/>
          <w:szCs w:val="24"/>
          <w:lang w:eastAsia="en-US" w:bidi="mr-IN"/>
        </w:rPr>
        <w:t xml:space="preserve">IEK has long been marginalized and exploited within formal governance structures, despite its contributions. Four major issues are identified by the study: cultural deterioration, conflict over </w:t>
      </w:r>
      <w:r w:rsidRPr="001C3008">
        <w:rPr>
          <w:rFonts w:ascii="Times New Roman" w:eastAsia="Times New Roman" w:hAnsi="Times New Roman"/>
          <w:sz w:val="24"/>
          <w:szCs w:val="24"/>
          <w:lang w:eastAsia="en-US" w:bidi="mr-IN"/>
        </w:rPr>
        <w:lastRenderedPageBreak/>
        <w:t>land rights, exclusion of Indigenous communities from policy processes, and misappropriation of knowledge.</w:t>
      </w:r>
    </w:p>
    <w:p w14:paraId="40B8F78B" w14:textId="77777777" w:rsidR="00F940AA" w:rsidRPr="00036EB3" w:rsidRDefault="00F940AA" w:rsidP="00F940AA">
      <w:pPr>
        <w:spacing w:before="100" w:beforeAutospacing="1" w:after="100" w:afterAutospacing="1" w:line="240" w:lineRule="auto"/>
        <w:outlineLvl w:val="1"/>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4.3.1 Biopiracy and Misappropriation</w:t>
      </w:r>
    </w:p>
    <w:p w14:paraId="12FD54A8"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IEK-based medicinal knowledge, botanical classifications, and crop varieties have often been extracted without:</w:t>
      </w:r>
    </w:p>
    <w:p w14:paraId="1BA57D9C" w14:textId="77777777" w:rsidR="00F940AA" w:rsidRPr="00036EB3" w:rsidRDefault="00F940AA" w:rsidP="00F940AA">
      <w:pPr>
        <w:numPr>
          <w:ilvl w:val="0"/>
          <w:numId w:val="30"/>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consent</w:t>
      </w:r>
    </w:p>
    <w:p w14:paraId="36D09593" w14:textId="77777777" w:rsidR="00F940AA" w:rsidRPr="00036EB3" w:rsidRDefault="00F940AA" w:rsidP="00F940AA">
      <w:pPr>
        <w:numPr>
          <w:ilvl w:val="0"/>
          <w:numId w:val="30"/>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benefit-sharing</w:t>
      </w:r>
    </w:p>
    <w:p w14:paraId="7B070250" w14:textId="77777777" w:rsidR="00F940AA" w:rsidRPr="00036EB3" w:rsidRDefault="00F940AA" w:rsidP="00F940AA">
      <w:pPr>
        <w:numPr>
          <w:ilvl w:val="0"/>
          <w:numId w:val="30"/>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recognition of intellectual property (IP)</w:t>
      </w:r>
    </w:p>
    <w:p w14:paraId="56F0B611"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The patenting of neem, turmeric, and basmati rice in India exemplifies how IEK can be commodified through global patent systems. In the Amazon, pharmaceutical companies have extracted compounds from plants known to Indigenous healers for generations.</w:t>
      </w:r>
    </w:p>
    <w:p w14:paraId="6B857F84"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Without proper IP protection, IEK becomes vulnerable to unethical commercialization.</w:t>
      </w:r>
    </w:p>
    <w:p w14:paraId="7B79E6E2" w14:textId="77777777" w:rsidR="00F940AA" w:rsidRPr="00036EB3" w:rsidRDefault="00F940AA" w:rsidP="00F940AA">
      <w:pPr>
        <w:spacing w:before="100" w:beforeAutospacing="1" w:after="100" w:afterAutospacing="1" w:line="240" w:lineRule="auto"/>
        <w:outlineLvl w:val="1"/>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4.3.2 Exclusion from Decision-Making</w:t>
      </w:r>
    </w:p>
    <w:p w14:paraId="0E9B56BA"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Although many conservation policies claim to support Indigenous rights, implementation often falls short. In several regions:</w:t>
      </w:r>
    </w:p>
    <w:p w14:paraId="785AE353" w14:textId="77777777" w:rsidR="00F940AA" w:rsidRPr="00036EB3" w:rsidRDefault="00F940AA" w:rsidP="00F940AA">
      <w:pPr>
        <w:numPr>
          <w:ilvl w:val="0"/>
          <w:numId w:val="31"/>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sacred groves are excluded from official forest maps</w:t>
      </w:r>
    </w:p>
    <w:p w14:paraId="51CFEB7A" w14:textId="77777777" w:rsidR="00F940AA" w:rsidRPr="00036EB3" w:rsidRDefault="00F940AA" w:rsidP="00F940AA">
      <w:pPr>
        <w:numPr>
          <w:ilvl w:val="0"/>
          <w:numId w:val="31"/>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Indigenous territories remain unrecognized</w:t>
      </w:r>
    </w:p>
    <w:p w14:paraId="308978C5" w14:textId="77777777" w:rsidR="00F940AA" w:rsidRPr="00036EB3" w:rsidRDefault="00F940AA" w:rsidP="00F940AA">
      <w:pPr>
        <w:numPr>
          <w:ilvl w:val="0"/>
          <w:numId w:val="31"/>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protected areas criminalize traditional practices such as grazing, hunting, and gathering</w:t>
      </w:r>
    </w:p>
    <w:p w14:paraId="24EAE20E" w14:textId="77777777" w:rsidR="00F940AA" w:rsidRPr="00036EB3" w:rsidRDefault="00F940AA" w:rsidP="00F940AA">
      <w:pPr>
        <w:numPr>
          <w:ilvl w:val="0"/>
          <w:numId w:val="31"/>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community knowledge is extracted but not meaningfully incorporated</w:t>
      </w:r>
    </w:p>
    <w:p w14:paraId="61EEE74F"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 xml:space="preserve">This results in what scholars call </w:t>
      </w:r>
      <w:r w:rsidRPr="00036EB3">
        <w:rPr>
          <w:rFonts w:ascii="Times New Roman" w:eastAsia="Times New Roman" w:hAnsi="Times New Roman"/>
          <w:i/>
          <w:iCs/>
          <w:sz w:val="24"/>
          <w:szCs w:val="24"/>
          <w:lang w:eastAsia="en-US" w:bidi="mr-IN"/>
        </w:rPr>
        <w:t>epistemic injustice</w:t>
      </w:r>
      <w:r w:rsidRPr="00036EB3">
        <w:rPr>
          <w:rFonts w:ascii="Times New Roman" w:eastAsia="Times New Roman" w:hAnsi="Times New Roman"/>
          <w:sz w:val="24"/>
          <w:szCs w:val="24"/>
          <w:lang w:eastAsia="en-US" w:bidi="mr-IN"/>
        </w:rPr>
        <w:t>—the systematic undervaluing of Indigenous ways of knowing.</w:t>
      </w:r>
    </w:p>
    <w:p w14:paraId="252CB2B1" w14:textId="77777777" w:rsidR="00F940AA" w:rsidRPr="00036EB3" w:rsidRDefault="00F940AA" w:rsidP="00F940AA">
      <w:pPr>
        <w:spacing w:before="100" w:beforeAutospacing="1" w:after="100" w:afterAutospacing="1" w:line="240" w:lineRule="auto"/>
        <w:outlineLvl w:val="1"/>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4.3.3 Cultural Erosion and Knowledge Loss</w:t>
      </w:r>
    </w:p>
    <w:p w14:paraId="3ED006D8"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Modernization, schooling systems that favor Western science, and migration patterns disrupt the intergenerational transmission of IEK. Younger generations may lack exposure to:</w:t>
      </w:r>
    </w:p>
    <w:p w14:paraId="4DA35E71" w14:textId="77777777" w:rsidR="00F940AA" w:rsidRPr="00036EB3" w:rsidRDefault="00F940AA" w:rsidP="00F940AA">
      <w:pPr>
        <w:numPr>
          <w:ilvl w:val="0"/>
          <w:numId w:val="32"/>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oral histories</w:t>
      </w:r>
    </w:p>
    <w:p w14:paraId="0F6AE3F4" w14:textId="77777777" w:rsidR="00F940AA" w:rsidRPr="00036EB3" w:rsidRDefault="00F940AA" w:rsidP="00F940AA">
      <w:pPr>
        <w:numPr>
          <w:ilvl w:val="0"/>
          <w:numId w:val="32"/>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ritual practices</w:t>
      </w:r>
    </w:p>
    <w:p w14:paraId="12B7C562" w14:textId="77777777" w:rsidR="00F940AA" w:rsidRPr="00036EB3" w:rsidRDefault="00F940AA" w:rsidP="00F940AA">
      <w:pPr>
        <w:numPr>
          <w:ilvl w:val="0"/>
          <w:numId w:val="32"/>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traditional ecological classification systems</w:t>
      </w:r>
    </w:p>
    <w:p w14:paraId="2F1C0DDB" w14:textId="77777777" w:rsidR="00F940AA" w:rsidRPr="00036EB3" w:rsidRDefault="00F940AA" w:rsidP="00F940AA">
      <w:pPr>
        <w:numPr>
          <w:ilvl w:val="0"/>
          <w:numId w:val="32"/>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land-based learning</w:t>
      </w:r>
    </w:p>
    <w:p w14:paraId="624C4873"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Without active reinforcement, IEK may be lost within a few generations.</w:t>
      </w:r>
    </w:p>
    <w:p w14:paraId="23843EF8" w14:textId="77777777" w:rsidR="00F940AA" w:rsidRPr="00036EB3" w:rsidRDefault="00F940AA" w:rsidP="00F940AA">
      <w:pPr>
        <w:spacing w:before="100" w:beforeAutospacing="1" w:after="100" w:afterAutospacing="1" w:line="240" w:lineRule="auto"/>
        <w:outlineLvl w:val="1"/>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4.3.4 Land Rights Conflicts</w:t>
      </w:r>
    </w:p>
    <w:p w14:paraId="237065BF"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Indigenous land rights remain deeply contested.</w:t>
      </w:r>
    </w:p>
    <w:p w14:paraId="29FC05F6" w14:textId="77777777" w:rsidR="00F940AA" w:rsidRPr="00036EB3" w:rsidRDefault="00F940AA" w:rsidP="00F940AA">
      <w:pPr>
        <w:numPr>
          <w:ilvl w:val="0"/>
          <w:numId w:val="33"/>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lastRenderedPageBreak/>
        <w:t>In India, forest-dwelling communities struggle for recognition under the Forest Rights Act.</w:t>
      </w:r>
    </w:p>
    <w:p w14:paraId="447D8356" w14:textId="77777777" w:rsidR="00F940AA" w:rsidRPr="00036EB3" w:rsidRDefault="00F940AA" w:rsidP="00F940AA">
      <w:pPr>
        <w:numPr>
          <w:ilvl w:val="0"/>
          <w:numId w:val="33"/>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In the Amazon, deforestation, mining, and logging threaten Indigenous territories.</w:t>
      </w:r>
    </w:p>
    <w:p w14:paraId="1E245356" w14:textId="77777777" w:rsidR="00F940AA" w:rsidRPr="00036EB3" w:rsidRDefault="00F940AA" w:rsidP="00F940AA">
      <w:pPr>
        <w:numPr>
          <w:ilvl w:val="0"/>
          <w:numId w:val="33"/>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In the Arctic, resource extraction and melting sea ice disrupt migratory routes central to Indigenous livelihoods.</w:t>
      </w:r>
    </w:p>
    <w:p w14:paraId="729DBC97"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Without territorial security, IEK-based governance cannot function.</w:t>
      </w:r>
    </w:p>
    <w:p w14:paraId="2858EF75" w14:textId="77777777" w:rsidR="00F940AA" w:rsidRPr="00036EB3" w:rsidRDefault="00F940AA" w:rsidP="00F940AA">
      <w:pPr>
        <w:spacing w:before="100" w:beforeAutospacing="1" w:after="100" w:afterAutospacing="1" w:line="240" w:lineRule="auto"/>
        <w:outlineLvl w:val="0"/>
        <w:rPr>
          <w:rFonts w:ascii="Times New Roman" w:eastAsia="Times New Roman" w:hAnsi="Times New Roman"/>
          <w:b/>
          <w:bCs/>
          <w:kern w:val="36"/>
          <w:sz w:val="24"/>
          <w:szCs w:val="24"/>
          <w:lang w:eastAsia="en-US" w:bidi="mr-IN"/>
        </w:rPr>
      </w:pPr>
      <w:r w:rsidRPr="00036EB3">
        <w:rPr>
          <w:rFonts w:ascii="Times New Roman" w:eastAsia="Times New Roman" w:hAnsi="Times New Roman"/>
          <w:b/>
          <w:bCs/>
          <w:kern w:val="36"/>
          <w:sz w:val="24"/>
          <w:szCs w:val="24"/>
          <w:lang w:eastAsia="en-US" w:bidi="mr-IN"/>
        </w:rPr>
        <w:t>4.4 The Need for Decolonial and Participatory Approaches</w:t>
      </w:r>
    </w:p>
    <w:p w14:paraId="76E7260E"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 xml:space="preserve">Given the historical marginalization of Indigenous communities, a shift toward </w:t>
      </w:r>
      <w:r w:rsidRPr="00036EB3">
        <w:rPr>
          <w:rFonts w:ascii="Times New Roman" w:eastAsia="Times New Roman" w:hAnsi="Times New Roman"/>
          <w:b/>
          <w:bCs/>
          <w:sz w:val="24"/>
          <w:szCs w:val="24"/>
          <w:lang w:eastAsia="en-US" w:bidi="mr-IN"/>
        </w:rPr>
        <w:t>decolonial environmental governance</w:t>
      </w:r>
      <w:r w:rsidRPr="00036EB3">
        <w:rPr>
          <w:rFonts w:ascii="Times New Roman" w:eastAsia="Times New Roman" w:hAnsi="Times New Roman"/>
          <w:sz w:val="24"/>
          <w:szCs w:val="24"/>
          <w:lang w:eastAsia="en-US" w:bidi="mr-IN"/>
        </w:rPr>
        <w:t xml:space="preserve"> is essential. This includes recognition of IEK as a legitimate scientific system and Indigenous peoples as rightful environmental custodians.</w:t>
      </w:r>
    </w:p>
    <w:p w14:paraId="1CABDD07" w14:textId="77777777" w:rsidR="00F940AA" w:rsidRPr="00036EB3" w:rsidRDefault="00F940AA" w:rsidP="00F940AA">
      <w:pPr>
        <w:spacing w:before="100" w:beforeAutospacing="1" w:after="100" w:afterAutospacing="1" w:line="240" w:lineRule="auto"/>
        <w:outlineLvl w:val="2"/>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Core Principles for Decolonial Governance</w:t>
      </w:r>
    </w:p>
    <w:p w14:paraId="084B056D" w14:textId="77777777" w:rsidR="00F940AA" w:rsidRPr="00036EB3" w:rsidRDefault="00F940AA" w:rsidP="00F940AA">
      <w:pPr>
        <w:spacing w:before="100" w:beforeAutospacing="1" w:after="100" w:afterAutospacing="1" w:line="240" w:lineRule="auto"/>
        <w:outlineLvl w:val="2"/>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1. Free, Prior, and Informed Consent (FPIC)</w:t>
      </w:r>
    </w:p>
    <w:p w14:paraId="411BDCB2"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FPIC ensures that no external entity—government, corporation, or researcher—can access knowledge, land, or resources without full community consent.</w:t>
      </w:r>
    </w:p>
    <w:p w14:paraId="64EE780C" w14:textId="77777777" w:rsidR="00F940AA" w:rsidRPr="00036EB3" w:rsidRDefault="00F940AA" w:rsidP="00F940AA">
      <w:pPr>
        <w:spacing w:before="100" w:beforeAutospacing="1" w:after="100" w:afterAutospacing="1" w:line="240" w:lineRule="auto"/>
        <w:outlineLvl w:val="2"/>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2. Community-Led Monitoring and Evaluation</w:t>
      </w:r>
    </w:p>
    <w:p w14:paraId="2B8046F7"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Monitoring systems should be designed and led by Indigenous communities, with scientific institutions playing a supportive role.</w:t>
      </w:r>
    </w:p>
    <w:p w14:paraId="732F4D11" w14:textId="77777777" w:rsidR="00F940AA" w:rsidRPr="00036EB3" w:rsidRDefault="00F940AA" w:rsidP="00F940AA">
      <w:pPr>
        <w:spacing w:before="100" w:beforeAutospacing="1" w:after="100" w:afterAutospacing="1" w:line="240" w:lineRule="auto"/>
        <w:outlineLvl w:val="2"/>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3. Respect for Indigenous Data Sovereignty</w:t>
      </w:r>
    </w:p>
    <w:p w14:paraId="78AC6F1F"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Communities must control how ecological data, place names, maps, and knowledge are stored, shared, or published.</w:t>
      </w:r>
    </w:p>
    <w:p w14:paraId="0A2FF279" w14:textId="77777777" w:rsidR="00F940AA" w:rsidRPr="00036EB3" w:rsidRDefault="00F940AA" w:rsidP="00F940AA">
      <w:pPr>
        <w:spacing w:before="100" w:beforeAutospacing="1" w:after="100" w:afterAutospacing="1" w:line="240" w:lineRule="auto"/>
        <w:outlineLvl w:val="2"/>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4. Equitable Benefit Sharing</w:t>
      </w:r>
    </w:p>
    <w:p w14:paraId="6C75C952"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Any use of Indigenous knowledge in research or commercial activities must include fair compensation and inclusion of Indigenous co-authors or partners.</w:t>
      </w:r>
    </w:p>
    <w:p w14:paraId="7DB945EC" w14:textId="77777777" w:rsidR="00F940AA" w:rsidRPr="00036EB3" w:rsidRDefault="00F940AA" w:rsidP="00F940AA">
      <w:pPr>
        <w:spacing w:before="100" w:beforeAutospacing="1" w:after="100" w:afterAutospacing="1" w:line="240" w:lineRule="auto"/>
        <w:outlineLvl w:val="0"/>
        <w:rPr>
          <w:rFonts w:ascii="Times New Roman" w:eastAsia="Times New Roman" w:hAnsi="Times New Roman"/>
          <w:b/>
          <w:bCs/>
          <w:kern w:val="36"/>
          <w:sz w:val="24"/>
          <w:szCs w:val="24"/>
          <w:lang w:eastAsia="en-US" w:bidi="mr-IN"/>
        </w:rPr>
      </w:pPr>
      <w:r w:rsidRPr="00036EB3">
        <w:rPr>
          <w:rFonts w:ascii="Times New Roman" w:eastAsia="Times New Roman" w:hAnsi="Times New Roman"/>
          <w:b/>
          <w:bCs/>
          <w:kern w:val="36"/>
          <w:sz w:val="24"/>
          <w:szCs w:val="24"/>
          <w:lang w:eastAsia="en-US" w:bidi="mr-IN"/>
        </w:rPr>
        <w:t>4.5 A New Governance Paradigm: IEK as Science</w:t>
      </w:r>
    </w:p>
    <w:p w14:paraId="47BC67BE"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 xml:space="preserve">The study supports a paradigm shift in environmental governance: IEK must be treated as </w:t>
      </w:r>
      <w:r w:rsidRPr="00036EB3">
        <w:rPr>
          <w:rFonts w:ascii="Times New Roman" w:eastAsia="Times New Roman" w:hAnsi="Times New Roman"/>
          <w:b/>
          <w:bCs/>
          <w:sz w:val="24"/>
          <w:szCs w:val="24"/>
          <w:lang w:eastAsia="en-US" w:bidi="mr-IN"/>
        </w:rPr>
        <w:t>coequal to Western science</w:t>
      </w:r>
      <w:r w:rsidRPr="00036EB3">
        <w:rPr>
          <w:rFonts w:ascii="Times New Roman" w:eastAsia="Times New Roman" w:hAnsi="Times New Roman"/>
          <w:sz w:val="24"/>
          <w:szCs w:val="24"/>
          <w:lang w:eastAsia="en-US" w:bidi="mr-IN"/>
        </w:rPr>
        <w:t>, not as supplementary information.</w:t>
      </w:r>
    </w:p>
    <w:p w14:paraId="21E4CB5A"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This requires:</w:t>
      </w:r>
    </w:p>
    <w:p w14:paraId="615A01AD" w14:textId="77777777" w:rsidR="00F940AA" w:rsidRPr="00036EB3" w:rsidRDefault="00F940AA" w:rsidP="00F940AA">
      <w:pPr>
        <w:numPr>
          <w:ilvl w:val="0"/>
          <w:numId w:val="34"/>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epistemological pluralism</w:t>
      </w:r>
    </w:p>
    <w:p w14:paraId="54FF3CB6" w14:textId="77777777" w:rsidR="00F940AA" w:rsidRPr="00036EB3" w:rsidRDefault="00F940AA" w:rsidP="00F940AA">
      <w:pPr>
        <w:numPr>
          <w:ilvl w:val="0"/>
          <w:numId w:val="34"/>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co-management frameworks</w:t>
      </w:r>
    </w:p>
    <w:p w14:paraId="5EC8FD6A" w14:textId="77777777" w:rsidR="00F940AA" w:rsidRPr="00036EB3" w:rsidRDefault="00F940AA" w:rsidP="00F940AA">
      <w:pPr>
        <w:numPr>
          <w:ilvl w:val="0"/>
          <w:numId w:val="34"/>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long-term cross-cultural partnerships</w:t>
      </w:r>
    </w:p>
    <w:p w14:paraId="5FAEA98B" w14:textId="77777777" w:rsidR="00F940AA" w:rsidRPr="00036EB3" w:rsidRDefault="00F940AA" w:rsidP="00F940AA">
      <w:pPr>
        <w:numPr>
          <w:ilvl w:val="0"/>
          <w:numId w:val="34"/>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lastRenderedPageBreak/>
        <w:t>dismantling of colonial power structures in conservation</w:t>
      </w:r>
    </w:p>
    <w:p w14:paraId="4AAB11C3"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IEK’s demonstrated ecological effectiveness makes it indispensable for addressing 21st-century environmental challenges.</w:t>
      </w:r>
    </w:p>
    <w:p w14:paraId="1FD53EA2" w14:textId="77777777" w:rsidR="00F940AA" w:rsidRPr="00641180"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641180">
        <w:rPr>
          <w:rFonts w:ascii="Times New Roman" w:eastAsia="Times New Roman" w:hAnsi="Times New Roman"/>
          <w:b/>
          <w:bCs/>
          <w:sz w:val="24"/>
          <w:szCs w:val="24"/>
          <w:lang w:eastAsia="en-US" w:bidi="mr-IN"/>
        </w:rPr>
        <w:t xml:space="preserve">5. Conclusion </w:t>
      </w:r>
    </w:p>
    <w:p w14:paraId="52D089B1" w14:textId="1CC25D32" w:rsidR="00F940AA" w:rsidRPr="009675EE"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9675EE">
        <w:rPr>
          <w:rFonts w:ascii="Times New Roman" w:eastAsia="Times New Roman" w:hAnsi="Times New Roman"/>
          <w:sz w:val="24"/>
          <w:szCs w:val="24"/>
          <w:lang w:eastAsia="en-US" w:bidi="mr-IN"/>
        </w:rPr>
        <w:t>In order to address the current climate and biodiversity crises, this study shows that Indigenous Ecological Knowledge (IEK) is a highly advanced, locally sensitive, and scientifically valid knowledge system. Through the preservation of ecosystem resilience, carbon storage, climate regulation, and biodiversity conservation, IEK has consistently demonstrated ecological efficacy throughout the three comparative regions—India, the Amazon Basin, and Arctic Indigenous territories. The results show that IEK-based techniques like rotational grazing, forest gardening, agroforestry, sacred grove protection, and Indigenous seed preservation are effective ecological tactics. These methods improve soil fertility, foster functional biodiversity, boost ecosystem stability, and offer climate variability adaptation. Furthermore, IEK is ingrained in governance, cultural, and spiritual frameworks that support sustainable resource use, environmental ethics, and community responsibility.</w:t>
      </w:r>
    </w:p>
    <w:p w14:paraId="0555072A" w14:textId="67FF4BFF" w:rsidR="00F940AA"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9675EE">
        <w:rPr>
          <w:rFonts w:ascii="Times New Roman" w:eastAsia="Times New Roman" w:hAnsi="Times New Roman"/>
          <w:sz w:val="24"/>
          <w:szCs w:val="24"/>
          <w:lang w:eastAsia="en-US" w:bidi="mr-IN"/>
        </w:rPr>
        <w:t xml:space="preserve">The cross-scale validation of IEK using scientific methods, such as GIS analysis, climate modeling, ecological surveys, and agroecological simulations, is a significant contribution of the study. These instruments validate the sustainability of Indigenous agricultural systems, the ecological stability of community-managed forests, and the empirical accuracy of Indigenous climate indicators. Both knowledge systems appear to provide complementary insights into ecosystem processes, based on the strong alignment between IEK and scientific data. </w:t>
      </w:r>
      <w:r w:rsidRPr="009675EE">
        <w:rPr>
          <w:rFonts w:ascii="Times New Roman" w:eastAsia="Times New Roman" w:hAnsi="Times New Roman"/>
          <w:sz w:val="24"/>
          <w:szCs w:val="24"/>
          <w:lang w:eastAsia="en-US" w:bidi="mr-IN"/>
        </w:rPr>
        <w:br/>
        <w:t>Nevertheless, a number of obstacles prevent IEK from being fully incorporated into traditional environmental governance. These include ongoing disputes over land rights, the exclusion of Indigenous communities from policy processes, biopiracy and knowledge misappropriation, and a lack of legal recognition and intellectual property protections. These difficulties draw attention to structural injustices present in conservation frameworks and research systems.</w:t>
      </w:r>
      <w:r w:rsidR="00C66151">
        <w:rPr>
          <w:rFonts w:ascii="Times New Roman" w:eastAsia="Times New Roman" w:hAnsi="Times New Roman"/>
          <w:sz w:val="24"/>
          <w:szCs w:val="24"/>
          <w:lang w:eastAsia="en-US" w:bidi="mr-IN"/>
        </w:rPr>
        <w:t xml:space="preserve"> </w:t>
      </w:r>
      <w:r w:rsidRPr="009675EE">
        <w:rPr>
          <w:rFonts w:ascii="Times New Roman" w:eastAsia="Times New Roman" w:hAnsi="Times New Roman"/>
          <w:sz w:val="24"/>
          <w:szCs w:val="24"/>
          <w:lang w:eastAsia="en-US" w:bidi="mr-IN"/>
        </w:rPr>
        <w:t>The results of this study support the idea that IEK should be regarded as a coequal scientific system deserving of official recognition, legal protection, and institutional integration rather than as supplemental knowledge. For a very long time, indigenous communities have maintained climate-stable ecosystems and landscapes rich in biodiversity. Global sustainability initiatives must therefore embrace IEK as a body of knowledge as well as a governance paradigm based on reciprocity, relational ethics, and environmental care.</w:t>
      </w:r>
    </w:p>
    <w:p w14:paraId="2A008697" w14:textId="77777777" w:rsidR="00F940AA" w:rsidRPr="00641180"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641180">
        <w:rPr>
          <w:rFonts w:ascii="Times New Roman" w:eastAsia="Times New Roman" w:hAnsi="Times New Roman"/>
          <w:b/>
          <w:bCs/>
          <w:sz w:val="24"/>
          <w:szCs w:val="24"/>
          <w:lang w:eastAsia="en-US" w:bidi="mr-IN"/>
        </w:rPr>
        <w:t xml:space="preserve">Recommendations </w:t>
      </w:r>
    </w:p>
    <w:p w14:paraId="71380866" w14:textId="77777777" w:rsidR="00F940AA" w:rsidRPr="00641180"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Based on the findings and the challenges identified, this study proposes a set of recommendations aimed at strengthening IEK integration within environmental governance systems, climate adaptation frameworks, and biodiversity conservation strategies.</w:t>
      </w:r>
    </w:p>
    <w:p w14:paraId="0DA71E14" w14:textId="77777777" w:rsidR="00F940AA" w:rsidRPr="00641180"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641180">
        <w:rPr>
          <w:rFonts w:ascii="Times New Roman" w:eastAsia="Times New Roman" w:hAnsi="Times New Roman"/>
          <w:b/>
          <w:bCs/>
          <w:sz w:val="24"/>
          <w:szCs w:val="24"/>
          <w:lang w:eastAsia="en-US" w:bidi="mr-IN"/>
        </w:rPr>
        <w:t>1. Strengthening Legal Protection of IEK</w:t>
      </w:r>
    </w:p>
    <w:p w14:paraId="5F39A3D4" w14:textId="77777777" w:rsidR="00F940AA" w:rsidRPr="00641180" w:rsidRDefault="00F940AA" w:rsidP="00F940AA">
      <w:pPr>
        <w:numPr>
          <w:ilvl w:val="0"/>
          <w:numId w:val="35"/>
        </w:num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lastRenderedPageBreak/>
        <w:t>Enact region-specific legislation recognizing Indigenous intellectual property rights (IPR).</w:t>
      </w:r>
    </w:p>
    <w:p w14:paraId="414EEF8E" w14:textId="77777777" w:rsidR="00F940AA" w:rsidRPr="00641180" w:rsidRDefault="00F940AA" w:rsidP="00F940AA">
      <w:pPr>
        <w:numPr>
          <w:ilvl w:val="0"/>
          <w:numId w:val="35"/>
        </w:num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Integrate IEK protection within national biodiversity laws, patent systems, and Access and Benefit Sharing (ABS) mechanisms.</w:t>
      </w:r>
    </w:p>
    <w:p w14:paraId="0C48F7E0" w14:textId="77777777" w:rsidR="00F940AA" w:rsidRPr="00641180" w:rsidRDefault="00F940AA" w:rsidP="00F940AA">
      <w:pPr>
        <w:numPr>
          <w:ilvl w:val="0"/>
          <w:numId w:val="35"/>
        </w:num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Strengthen enforcement of the Nagoya Protocol to prevent biopiracy and unauthorized commercial use of traditional knowledge.</w:t>
      </w:r>
    </w:p>
    <w:p w14:paraId="665A0552" w14:textId="77777777" w:rsidR="00F940AA" w:rsidRPr="00641180" w:rsidRDefault="00F940AA" w:rsidP="00F940AA">
      <w:pPr>
        <w:numPr>
          <w:ilvl w:val="0"/>
          <w:numId w:val="35"/>
        </w:num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Develop Indigenous-led knowledge registries with strict access guidelines to preserve cultural sovereignty.</w:t>
      </w:r>
    </w:p>
    <w:p w14:paraId="268AF66E" w14:textId="77777777" w:rsidR="00F940AA" w:rsidRPr="00641180"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641180">
        <w:rPr>
          <w:rFonts w:ascii="Times New Roman" w:eastAsia="Times New Roman" w:hAnsi="Times New Roman"/>
          <w:b/>
          <w:bCs/>
          <w:sz w:val="24"/>
          <w:szCs w:val="24"/>
          <w:lang w:eastAsia="en-US" w:bidi="mr-IN"/>
        </w:rPr>
        <w:t>2. Incorporating IEK into National Climate and Biodiversity Strategies</w:t>
      </w:r>
    </w:p>
    <w:p w14:paraId="3C1C930F" w14:textId="77777777" w:rsidR="00F940AA" w:rsidRPr="00641180" w:rsidRDefault="00F940AA" w:rsidP="00F940AA">
      <w:pPr>
        <w:numPr>
          <w:ilvl w:val="0"/>
          <w:numId w:val="36"/>
        </w:num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Embed IEK within Nationally Determined Contributions (NDCs) under the Paris Agreement.</w:t>
      </w:r>
    </w:p>
    <w:p w14:paraId="2F4269A9" w14:textId="77777777" w:rsidR="00F940AA" w:rsidRPr="00641180" w:rsidRDefault="00F940AA" w:rsidP="00F940AA">
      <w:pPr>
        <w:numPr>
          <w:ilvl w:val="0"/>
          <w:numId w:val="36"/>
        </w:num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Include sacred groves, community-managed forests, and Indigenous agroforestry systems in national carbon accounting frameworks.</w:t>
      </w:r>
    </w:p>
    <w:p w14:paraId="21DC4F9D" w14:textId="77777777" w:rsidR="00F940AA" w:rsidRPr="00641180" w:rsidRDefault="00F940AA" w:rsidP="00F940AA">
      <w:pPr>
        <w:numPr>
          <w:ilvl w:val="0"/>
          <w:numId w:val="36"/>
        </w:num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Integrate Indigenous seasonal calendars into climate early-warning systems.</w:t>
      </w:r>
    </w:p>
    <w:p w14:paraId="1BE6FDFF" w14:textId="77777777" w:rsidR="00F940AA" w:rsidRPr="00641180" w:rsidRDefault="00F940AA" w:rsidP="00F940AA">
      <w:pPr>
        <w:numPr>
          <w:ilvl w:val="0"/>
          <w:numId w:val="36"/>
        </w:num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Recognize IEK contributions within national and subnational biodiversity action plans.</w:t>
      </w:r>
    </w:p>
    <w:p w14:paraId="07AAEFD0" w14:textId="77777777" w:rsidR="00F940AA" w:rsidRPr="00641180"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641180">
        <w:rPr>
          <w:rFonts w:ascii="Times New Roman" w:eastAsia="Times New Roman" w:hAnsi="Times New Roman"/>
          <w:b/>
          <w:bCs/>
          <w:sz w:val="24"/>
          <w:szCs w:val="24"/>
          <w:lang w:eastAsia="en-US" w:bidi="mr-IN"/>
        </w:rPr>
        <w:t>3. Supporting Community-Led Conservation and Governance</w:t>
      </w:r>
    </w:p>
    <w:p w14:paraId="43BEBFAD" w14:textId="77777777" w:rsidR="00F940AA" w:rsidRPr="00641180" w:rsidRDefault="00F940AA" w:rsidP="00F940AA">
      <w:pPr>
        <w:numPr>
          <w:ilvl w:val="0"/>
          <w:numId w:val="37"/>
        </w:num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Promote co-management models in which Indigenous communities share authority with state agencies.</w:t>
      </w:r>
    </w:p>
    <w:p w14:paraId="07CC23C5" w14:textId="77777777" w:rsidR="00F940AA" w:rsidRPr="00641180" w:rsidRDefault="00F940AA" w:rsidP="00F940AA">
      <w:pPr>
        <w:numPr>
          <w:ilvl w:val="0"/>
          <w:numId w:val="37"/>
        </w:num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Legally recognize Indigenous governance institutions such as village councils, clan elders, and tribal environmental committees.</w:t>
      </w:r>
    </w:p>
    <w:p w14:paraId="3D8500D4" w14:textId="77777777" w:rsidR="00F940AA" w:rsidRPr="00641180" w:rsidRDefault="00F940AA" w:rsidP="00F940AA">
      <w:pPr>
        <w:numPr>
          <w:ilvl w:val="0"/>
          <w:numId w:val="37"/>
        </w:num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Establish long-term funding mechanisms for community conservation initiatives.</w:t>
      </w:r>
    </w:p>
    <w:p w14:paraId="327D8AB3" w14:textId="77777777" w:rsidR="00F940AA" w:rsidRPr="00641180" w:rsidRDefault="00F940AA" w:rsidP="00F940AA">
      <w:pPr>
        <w:numPr>
          <w:ilvl w:val="0"/>
          <w:numId w:val="37"/>
        </w:num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Facilitate Indigenous participation in global environmental forums and policy dialogues.</w:t>
      </w:r>
    </w:p>
    <w:p w14:paraId="153ECC06" w14:textId="77777777" w:rsidR="00F940AA" w:rsidRPr="00641180"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641180">
        <w:rPr>
          <w:rFonts w:ascii="Times New Roman" w:eastAsia="Times New Roman" w:hAnsi="Times New Roman"/>
          <w:b/>
          <w:bCs/>
          <w:sz w:val="24"/>
          <w:szCs w:val="24"/>
          <w:lang w:eastAsia="en-US" w:bidi="mr-IN"/>
        </w:rPr>
        <w:t>4. Promoting Transdisciplinary Collaboration</w:t>
      </w:r>
    </w:p>
    <w:p w14:paraId="2525B13D" w14:textId="77777777" w:rsidR="00F940AA" w:rsidRPr="00641180" w:rsidRDefault="00F940AA" w:rsidP="00F940AA">
      <w:pPr>
        <w:numPr>
          <w:ilvl w:val="0"/>
          <w:numId w:val="38"/>
        </w:num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Create platforms for continuous collaboration between Indigenous knowledge holders, scientists, and policymakers.</w:t>
      </w:r>
    </w:p>
    <w:p w14:paraId="320D2756" w14:textId="77777777" w:rsidR="00F940AA" w:rsidRPr="00641180" w:rsidRDefault="00F940AA" w:rsidP="00F940AA">
      <w:pPr>
        <w:numPr>
          <w:ilvl w:val="0"/>
          <w:numId w:val="38"/>
        </w:num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Encourage co-authorship and co-leadership of research with Indigenous scholars and community experts.</w:t>
      </w:r>
    </w:p>
    <w:p w14:paraId="3DAACE3B" w14:textId="77777777" w:rsidR="00F940AA" w:rsidRPr="00641180" w:rsidRDefault="00F940AA" w:rsidP="00F940AA">
      <w:pPr>
        <w:numPr>
          <w:ilvl w:val="0"/>
          <w:numId w:val="38"/>
        </w:num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Support research programs that combine ethnographic, ecological, and geospatial approaches.</w:t>
      </w:r>
    </w:p>
    <w:p w14:paraId="5CB68BEB" w14:textId="77777777" w:rsidR="00F940AA" w:rsidRPr="00641180" w:rsidRDefault="00F940AA" w:rsidP="00F940AA">
      <w:pPr>
        <w:numPr>
          <w:ilvl w:val="0"/>
          <w:numId w:val="38"/>
        </w:num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Facilitate cross-cultural educational exchanges and community–university partnerships.</w:t>
      </w:r>
    </w:p>
    <w:p w14:paraId="62229215" w14:textId="77777777" w:rsidR="00F940AA" w:rsidRPr="00641180"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641180">
        <w:rPr>
          <w:rFonts w:ascii="Times New Roman" w:eastAsia="Times New Roman" w:hAnsi="Times New Roman"/>
          <w:b/>
          <w:bCs/>
          <w:sz w:val="24"/>
          <w:szCs w:val="24"/>
          <w:lang w:eastAsia="en-US" w:bidi="mr-IN"/>
        </w:rPr>
        <w:t>5. Capacity Building and Intergenerational Knowledge Transmission</w:t>
      </w:r>
    </w:p>
    <w:p w14:paraId="634B160E" w14:textId="77777777" w:rsidR="00F940AA" w:rsidRPr="00641180" w:rsidRDefault="00F940AA" w:rsidP="00F940AA">
      <w:pPr>
        <w:numPr>
          <w:ilvl w:val="0"/>
          <w:numId w:val="39"/>
        </w:num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Develop community learning centers focused on ecological knowledge, language preservation, and traditional skills.</w:t>
      </w:r>
    </w:p>
    <w:p w14:paraId="5299FC8A" w14:textId="77777777" w:rsidR="00F940AA" w:rsidRPr="00641180" w:rsidRDefault="00F940AA" w:rsidP="00F940AA">
      <w:pPr>
        <w:numPr>
          <w:ilvl w:val="0"/>
          <w:numId w:val="39"/>
        </w:num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Support Indigenous youth programs centered on cultural revitalization, ecological monitoring, and leadership training.</w:t>
      </w:r>
    </w:p>
    <w:p w14:paraId="787A11B9" w14:textId="77777777" w:rsidR="00F940AA" w:rsidRPr="00641180" w:rsidRDefault="00F940AA" w:rsidP="00F940AA">
      <w:pPr>
        <w:numPr>
          <w:ilvl w:val="0"/>
          <w:numId w:val="39"/>
        </w:num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Recognize and strengthen the roles of women and elders as primary custodians of ecological knowledge.</w:t>
      </w:r>
    </w:p>
    <w:p w14:paraId="7E06CD01" w14:textId="77777777" w:rsidR="00F940AA" w:rsidRPr="00641180" w:rsidRDefault="00F940AA" w:rsidP="00F940AA">
      <w:pPr>
        <w:numPr>
          <w:ilvl w:val="0"/>
          <w:numId w:val="39"/>
        </w:num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lastRenderedPageBreak/>
        <w:t>Facilitate digital documentation of IEK while ensuring compliance with data sovereignty principles.</w:t>
      </w:r>
    </w:p>
    <w:p w14:paraId="65F3A7A8" w14:textId="77777777" w:rsidR="00F940AA" w:rsidRPr="00641180"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commentRangeStart w:id="5"/>
      <w:r w:rsidRPr="00641180">
        <w:rPr>
          <w:rFonts w:ascii="Times New Roman" w:eastAsia="Times New Roman" w:hAnsi="Times New Roman"/>
          <w:b/>
          <w:bCs/>
          <w:sz w:val="24"/>
          <w:szCs w:val="24"/>
          <w:lang w:eastAsia="en-US" w:bidi="mr-IN"/>
        </w:rPr>
        <w:t xml:space="preserve">References </w:t>
      </w:r>
      <w:commentRangeEnd w:id="5"/>
      <w:r w:rsidR="00842A7B">
        <w:rPr>
          <w:rStyle w:val="CommentReference"/>
        </w:rPr>
        <w:commentReference w:id="5"/>
      </w:r>
    </w:p>
    <w:p w14:paraId="4F73C174" w14:textId="77777777" w:rsidR="00F940AA" w:rsidRPr="00641180"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 xml:space="preserve">Altieri, M. A. (2004). </w:t>
      </w:r>
      <w:r w:rsidRPr="00641180">
        <w:rPr>
          <w:rFonts w:ascii="Times New Roman" w:eastAsia="Times New Roman" w:hAnsi="Times New Roman"/>
          <w:i/>
          <w:iCs/>
          <w:sz w:val="24"/>
          <w:szCs w:val="24"/>
          <w:lang w:eastAsia="en-US" w:bidi="mr-IN"/>
        </w:rPr>
        <w:t>Agroecology: The science of sustainable agriculture</w:t>
      </w:r>
      <w:r w:rsidRPr="00641180">
        <w:rPr>
          <w:rFonts w:ascii="Times New Roman" w:eastAsia="Times New Roman" w:hAnsi="Times New Roman"/>
          <w:sz w:val="24"/>
          <w:szCs w:val="24"/>
          <w:lang w:eastAsia="en-US" w:bidi="mr-IN"/>
        </w:rPr>
        <w:t>. CRC Press.</w:t>
      </w:r>
    </w:p>
    <w:p w14:paraId="26D16EC9" w14:textId="77777777" w:rsidR="00F940AA" w:rsidRPr="00641180"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proofErr w:type="spellStart"/>
      <w:r w:rsidRPr="00641180">
        <w:rPr>
          <w:rFonts w:ascii="Times New Roman" w:eastAsia="Times New Roman" w:hAnsi="Times New Roman"/>
          <w:sz w:val="24"/>
          <w:szCs w:val="24"/>
          <w:lang w:eastAsia="en-US" w:bidi="mr-IN"/>
        </w:rPr>
        <w:t>Aporta</w:t>
      </w:r>
      <w:proofErr w:type="spellEnd"/>
      <w:r w:rsidRPr="00641180">
        <w:rPr>
          <w:rFonts w:ascii="Times New Roman" w:eastAsia="Times New Roman" w:hAnsi="Times New Roman"/>
          <w:sz w:val="24"/>
          <w:szCs w:val="24"/>
          <w:lang w:eastAsia="en-US" w:bidi="mr-IN"/>
        </w:rPr>
        <w:t xml:space="preserve">, C. (2004). Routes, trails, and tracks: Trail breaking among the Inuit. </w:t>
      </w:r>
      <w:r w:rsidRPr="00641180">
        <w:rPr>
          <w:rFonts w:ascii="Times New Roman" w:eastAsia="Times New Roman" w:hAnsi="Times New Roman"/>
          <w:i/>
          <w:iCs/>
          <w:sz w:val="24"/>
          <w:szCs w:val="24"/>
          <w:lang w:eastAsia="en-US" w:bidi="mr-IN"/>
        </w:rPr>
        <w:t>Études/Inuit/Studies</w:t>
      </w:r>
      <w:r w:rsidRPr="00641180">
        <w:rPr>
          <w:rFonts w:ascii="Times New Roman" w:eastAsia="Times New Roman" w:hAnsi="Times New Roman"/>
          <w:sz w:val="24"/>
          <w:szCs w:val="24"/>
          <w:lang w:eastAsia="en-US" w:bidi="mr-IN"/>
        </w:rPr>
        <w:t>, 28(2), 9–38.</w:t>
      </w:r>
    </w:p>
    <w:p w14:paraId="4B93E139" w14:textId="77777777" w:rsidR="00F940AA" w:rsidRPr="00641180"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 xml:space="preserve">Berkes, F. (2012). </w:t>
      </w:r>
      <w:r w:rsidRPr="00641180">
        <w:rPr>
          <w:rFonts w:ascii="Times New Roman" w:eastAsia="Times New Roman" w:hAnsi="Times New Roman"/>
          <w:i/>
          <w:iCs/>
          <w:sz w:val="24"/>
          <w:szCs w:val="24"/>
          <w:lang w:eastAsia="en-US" w:bidi="mr-IN"/>
        </w:rPr>
        <w:t>Sacred ecology</w:t>
      </w:r>
      <w:r w:rsidRPr="00641180">
        <w:rPr>
          <w:rFonts w:ascii="Times New Roman" w:eastAsia="Times New Roman" w:hAnsi="Times New Roman"/>
          <w:sz w:val="24"/>
          <w:szCs w:val="24"/>
          <w:lang w:eastAsia="en-US" w:bidi="mr-IN"/>
        </w:rPr>
        <w:t xml:space="preserve"> (4th ed.). Routledge.</w:t>
      </w:r>
    </w:p>
    <w:p w14:paraId="03341723" w14:textId="77777777" w:rsidR="00F940AA" w:rsidRPr="00641180"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 xml:space="preserve">Berkes, F., Colding, J., &amp; Folke, C. (2000). Rediscovery of traditional ecological knowledge as adaptive management. </w:t>
      </w:r>
      <w:r w:rsidRPr="00641180">
        <w:rPr>
          <w:rFonts w:ascii="Times New Roman" w:eastAsia="Times New Roman" w:hAnsi="Times New Roman"/>
          <w:i/>
          <w:iCs/>
          <w:sz w:val="24"/>
          <w:szCs w:val="24"/>
          <w:lang w:eastAsia="en-US" w:bidi="mr-IN"/>
        </w:rPr>
        <w:t>Ecological Applications</w:t>
      </w:r>
      <w:r w:rsidRPr="00641180">
        <w:rPr>
          <w:rFonts w:ascii="Times New Roman" w:eastAsia="Times New Roman" w:hAnsi="Times New Roman"/>
          <w:sz w:val="24"/>
          <w:szCs w:val="24"/>
          <w:lang w:eastAsia="en-US" w:bidi="mr-IN"/>
        </w:rPr>
        <w:t>, 10(5), 1251–1262.</w:t>
      </w:r>
    </w:p>
    <w:p w14:paraId="00683B83" w14:textId="77777777" w:rsidR="00F940AA" w:rsidRPr="00641180"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 xml:space="preserve">Bhagwat, S. A., &amp; Rutte, C. (2006). Sacred groves: Resource use and conservation. </w:t>
      </w:r>
      <w:r w:rsidRPr="00641180">
        <w:rPr>
          <w:rFonts w:ascii="Times New Roman" w:eastAsia="Times New Roman" w:hAnsi="Times New Roman"/>
          <w:i/>
          <w:iCs/>
          <w:sz w:val="24"/>
          <w:szCs w:val="24"/>
          <w:lang w:eastAsia="en-US" w:bidi="mr-IN"/>
        </w:rPr>
        <w:t>Biological Conservation</w:t>
      </w:r>
      <w:r w:rsidRPr="00641180">
        <w:rPr>
          <w:rFonts w:ascii="Times New Roman" w:eastAsia="Times New Roman" w:hAnsi="Times New Roman"/>
          <w:sz w:val="24"/>
          <w:szCs w:val="24"/>
          <w:lang w:eastAsia="en-US" w:bidi="mr-IN"/>
        </w:rPr>
        <w:t>, 134(2), 232–242.</w:t>
      </w:r>
    </w:p>
    <w:p w14:paraId="39BFC0FF" w14:textId="77777777" w:rsidR="00F940AA" w:rsidRPr="00641180"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 xml:space="preserve">CBD Secretariat. (2011). </w:t>
      </w:r>
      <w:proofErr w:type="spellStart"/>
      <w:r w:rsidRPr="00641180">
        <w:rPr>
          <w:rFonts w:ascii="Times New Roman" w:eastAsia="Times New Roman" w:hAnsi="Times New Roman"/>
          <w:i/>
          <w:iCs/>
          <w:sz w:val="24"/>
          <w:szCs w:val="24"/>
          <w:lang w:eastAsia="en-US" w:bidi="mr-IN"/>
        </w:rPr>
        <w:t>Tkarihwaié:ri</w:t>
      </w:r>
      <w:proofErr w:type="spellEnd"/>
      <w:r w:rsidRPr="00641180">
        <w:rPr>
          <w:rFonts w:ascii="Times New Roman" w:eastAsia="Times New Roman" w:hAnsi="Times New Roman"/>
          <w:i/>
          <w:iCs/>
          <w:sz w:val="24"/>
          <w:szCs w:val="24"/>
          <w:lang w:eastAsia="en-US" w:bidi="mr-IN"/>
        </w:rPr>
        <w:t>: Code of Ethical Conduct</w:t>
      </w:r>
      <w:r w:rsidRPr="00641180">
        <w:rPr>
          <w:rFonts w:ascii="Times New Roman" w:eastAsia="Times New Roman" w:hAnsi="Times New Roman"/>
          <w:sz w:val="24"/>
          <w:szCs w:val="24"/>
          <w:lang w:eastAsia="en-US" w:bidi="mr-IN"/>
        </w:rPr>
        <w:t>. Convention on Biological Diversity.</w:t>
      </w:r>
    </w:p>
    <w:p w14:paraId="0C5BCE27" w14:textId="77777777" w:rsidR="00F940AA" w:rsidRPr="00641180"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 xml:space="preserve">Ford, J. D. (2012). Indigenous health and climate change. </w:t>
      </w:r>
      <w:r w:rsidRPr="00641180">
        <w:rPr>
          <w:rFonts w:ascii="Times New Roman" w:eastAsia="Times New Roman" w:hAnsi="Times New Roman"/>
          <w:i/>
          <w:iCs/>
          <w:sz w:val="24"/>
          <w:szCs w:val="24"/>
          <w:lang w:eastAsia="en-US" w:bidi="mr-IN"/>
        </w:rPr>
        <w:t>American Journal of Public Health</w:t>
      </w:r>
      <w:r w:rsidRPr="00641180">
        <w:rPr>
          <w:rFonts w:ascii="Times New Roman" w:eastAsia="Times New Roman" w:hAnsi="Times New Roman"/>
          <w:sz w:val="24"/>
          <w:szCs w:val="24"/>
          <w:lang w:eastAsia="en-US" w:bidi="mr-IN"/>
        </w:rPr>
        <w:t>, 102(7), 1260–1266.</w:t>
      </w:r>
    </w:p>
    <w:p w14:paraId="39005761" w14:textId="77777777" w:rsidR="00F940AA" w:rsidRPr="00641180"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 xml:space="preserve">Gadgil, M., Berkes, F., &amp; Folke, C. (1993). Indigenous knowledge for biodiversity conservation. </w:t>
      </w:r>
      <w:proofErr w:type="spellStart"/>
      <w:r w:rsidRPr="00641180">
        <w:rPr>
          <w:rFonts w:ascii="Times New Roman" w:eastAsia="Times New Roman" w:hAnsi="Times New Roman"/>
          <w:i/>
          <w:iCs/>
          <w:sz w:val="24"/>
          <w:szCs w:val="24"/>
          <w:lang w:eastAsia="en-US" w:bidi="mr-IN"/>
        </w:rPr>
        <w:t>Ambio</w:t>
      </w:r>
      <w:proofErr w:type="spellEnd"/>
      <w:r w:rsidRPr="00641180">
        <w:rPr>
          <w:rFonts w:ascii="Times New Roman" w:eastAsia="Times New Roman" w:hAnsi="Times New Roman"/>
          <w:sz w:val="24"/>
          <w:szCs w:val="24"/>
          <w:lang w:eastAsia="en-US" w:bidi="mr-IN"/>
        </w:rPr>
        <w:t>, 22(2–3), 151–156.</w:t>
      </w:r>
    </w:p>
    <w:p w14:paraId="5D24FA54" w14:textId="77777777" w:rsidR="00F940AA" w:rsidRPr="00641180"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 xml:space="preserve">IPBES. (2019). </w:t>
      </w:r>
      <w:r w:rsidRPr="00641180">
        <w:rPr>
          <w:rFonts w:ascii="Times New Roman" w:eastAsia="Times New Roman" w:hAnsi="Times New Roman"/>
          <w:i/>
          <w:iCs/>
          <w:sz w:val="24"/>
          <w:szCs w:val="24"/>
          <w:lang w:eastAsia="en-US" w:bidi="mr-IN"/>
        </w:rPr>
        <w:t>Global assessment report on biodiversity and ecosystem services</w:t>
      </w:r>
      <w:r w:rsidRPr="00641180">
        <w:rPr>
          <w:rFonts w:ascii="Times New Roman" w:eastAsia="Times New Roman" w:hAnsi="Times New Roman"/>
          <w:sz w:val="24"/>
          <w:szCs w:val="24"/>
          <w:lang w:eastAsia="en-US" w:bidi="mr-IN"/>
        </w:rPr>
        <w:t>.</w:t>
      </w:r>
    </w:p>
    <w:p w14:paraId="6EA45D67" w14:textId="77777777" w:rsidR="00F940AA" w:rsidRPr="00641180"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 xml:space="preserve">Krupnik, I., &amp; Jolly, D. (2002). </w:t>
      </w:r>
      <w:r w:rsidRPr="00641180">
        <w:rPr>
          <w:rFonts w:ascii="Times New Roman" w:eastAsia="Times New Roman" w:hAnsi="Times New Roman"/>
          <w:i/>
          <w:iCs/>
          <w:sz w:val="24"/>
          <w:szCs w:val="24"/>
          <w:lang w:eastAsia="en-US" w:bidi="mr-IN"/>
        </w:rPr>
        <w:t>The Earth is faster now: Indigenous observations of Arctic environmental change</w:t>
      </w:r>
      <w:r w:rsidRPr="00641180">
        <w:rPr>
          <w:rFonts w:ascii="Times New Roman" w:eastAsia="Times New Roman" w:hAnsi="Times New Roman"/>
          <w:sz w:val="24"/>
          <w:szCs w:val="24"/>
          <w:lang w:eastAsia="en-US" w:bidi="mr-IN"/>
        </w:rPr>
        <w:t>. ARCUS.</w:t>
      </w:r>
    </w:p>
    <w:p w14:paraId="32A0200C" w14:textId="77777777" w:rsidR="00F940AA" w:rsidRPr="00641180"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 xml:space="preserve">Reyes-García, V. (2015). Traditional knowledge systems and ethnopharmacological research. </w:t>
      </w:r>
      <w:r w:rsidRPr="00641180">
        <w:rPr>
          <w:rFonts w:ascii="Times New Roman" w:eastAsia="Times New Roman" w:hAnsi="Times New Roman"/>
          <w:i/>
          <w:iCs/>
          <w:sz w:val="24"/>
          <w:szCs w:val="24"/>
          <w:lang w:eastAsia="en-US" w:bidi="mr-IN"/>
        </w:rPr>
        <w:t>Journal of Ethnopharmacology</w:t>
      </w:r>
      <w:r w:rsidRPr="00641180">
        <w:rPr>
          <w:rFonts w:ascii="Times New Roman" w:eastAsia="Times New Roman" w:hAnsi="Times New Roman"/>
          <w:sz w:val="24"/>
          <w:szCs w:val="24"/>
          <w:lang w:eastAsia="en-US" w:bidi="mr-IN"/>
        </w:rPr>
        <w:t>, 161, 1–7.</w:t>
      </w:r>
    </w:p>
    <w:p w14:paraId="43FA27ED" w14:textId="77777777" w:rsidR="00F940AA" w:rsidRPr="00641180"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 xml:space="preserve">Singh, R. K., &amp; </w:t>
      </w:r>
      <w:proofErr w:type="spellStart"/>
      <w:r w:rsidRPr="00641180">
        <w:rPr>
          <w:rFonts w:ascii="Times New Roman" w:eastAsia="Times New Roman" w:hAnsi="Times New Roman"/>
          <w:sz w:val="24"/>
          <w:szCs w:val="24"/>
          <w:lang w:eastAsia="en-US" w:bidi="mr-IN"/>
        </w:rPr>
        <w:t>Sureja</w:t>
      </w:r>
      <w:proofErr w:type="spellEnd"/>
      <w:r w:rsidRPr="00641180">
        <w:rPr>
          <w:rFonts w:ascii="Times New Roman" w:eastAsia="Times New Roman" w:hAnsi="Times New Roman"/>
          <w:sz w:val="24"/>
          <w:szCs w:val="24"/>
          <w:lang w:eastAsia="en-US" w:bidi="mr-IN"/>
        </w:rPr>
        <w:t xml:space="preserve">, A. K. (2006). Community knowledge and natural resource management. </w:t>
      </w:r>
      <w:r w:rsidRPr="00641180">
        <w:rPr>
          <w:rFonts w:ascii="Times New Roman" w:eastAsia="Times New Roman" w:hAnsi="Times New Roman"/>
          <w:i/>
          <w:iCs/>
          <w:sz w:val="24"/>
          <w:szCs w:val="24"/>
          <w:lang w:eastAsia="en-US" w:bidi="mr-IN"/>
        </w:rPr>
        <w:t>Indian Journal of Traditional Knowledge</w:t>
      </w:r>
      <w:r w:rsidRPr="00641180">
        <w:rPr>
          <w:rFonts w:ascii="Times New Roman" w:eastAsia="Times New Roman" w:hAnsi="Times New Roman"/>
          <w:sz w:val="24"/>
          <w:szCs w:val="24"/>
          <w:lang w:eastAsia="en-US" w:bidi="mr-IN"/>
        </w:rPr>
        <w:t>, 5(3), 281–283.</w:t>
      </w:r>
    </w:p>
    <w:p w14:paraId="6EDA9872" w14:textId="77777777" w:rsidR="00F940AA" w:rsidRPr="00641180"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 xml:space="preserve">United Nations. (2007). </w:t>
      </w:r>
      <w:r w:rsidRPr="00641180">
        <w:rPr>
          <w:rFonts w:ascii="Times New Roman" w:eastAsia="Times New Roman" w:hAnsi="Times New Roman"/>
          <w:i/>
          <w:iCs/>
          <w:sz w:val="24"/>
          <w:szCs w:val="24"/>
          <w:lang w:eastAsia="en-US" w:bidi="mr-IN"/>
        </w:rPr>
        <w:t>United Nations Declaration on the Rights of Indigenous Peoples (UNDRIP)</w:t>
      </w:r>
      <w:r w:rsidRPr="00641180">
        <w:rPr>
          <w:rFonts w:ascii="Times New Roman" w:eastAsia="Times New Roman" w:hAnsi="Times New Roman"/>
          <w:sz w:val="24"/>
          <w:szCs w:val="24"/>
          <w:lang w:eastAsia="en-US" w:bidi="mr-IN"/>
        </w:rPr>
        <w:t>.</w:t>
      </w:r>
    </w:p>
    <w:p w14:paraId="53173617" w14:textId="77777777" w:rsidR="00F940AA" w:rsidRPr="00641180"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 xml:space="preserve">Agrawal, A. (1995). Dismantling the divide between Indigenous and scientific knowledge. </w:t>
      </w:r>
      <w:r w:rsidRPr="00641180">
        <w:rPr>
          <w:rFonts w:ascii="Times New Roman" w:eastAsia="Times New Roman" w:hAnsi="Times New Roman"/>
          <w:i/>
          <w:iCs/>
          <w:sz w:val="24"/>
          <w:szCs w:val="24"/>
          <w:lang w:eastAsia="en-US" w:bidi="mr-IN"/>
        </w:rPr>
        <w:t>Development and Change</w:t>
      </w:r>
      <w:r w:rsidRPr="00641180">
        <w:rPr>
          <w:rFonts w:ascii="Times New Roman" w:eastAsia="Times New Roman" w:hAnsi="Times New Roman"/>
          <w:sz w:val="24"/>
          <w:szCs w:val="24"/>
          <w:lang w:eastAsia="en-US" w:bidi="mr-IN"/>
        </w:rPr>
        <w:t>, 26(3), 413–439.</w:t>
      </w:r>
    </w:p>
    <w:p w14:paraId="3C82E0C1" w14:textId="77777777" w:rsidR="00F940AA" w:rsidRPr="00641180"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 xml:space="preserve">Anderson, E. (2005). </w:t>
      </w:r>
      <w:r w:rsidRPr="00641180">
        <w:rPr>
          <w:rFonts w:ascii="Times New Roman" w:eastAsia="Times New Roman" w:hAnsi="Times New Roman"/>
          <w:i/>
          <w:iCs/>
          <w:sz w:val="24"/>
          <w:szCs w:val="24"/>
          <w:lang w:eastAsia="en-US" w:bidi="mr-IN"/>
        </w:rPr>
        <w:t>Tending the wild: Native American knowledge and the management of California's natural resources</w:t>
      </w:r>
      <w:r w:rsidRPr="00641180">
        <w:rPr>
          <w:rFonts w:ascii="Times New Roman" w:eastAsia="Times New Roman" w:hAnsi="Times New Roman"/>
          <w:sz w:val="24"/>
          <w:szCs w:val="24"/>
          <w:lang w:eastAsia="en-US" w:bidi="mr-IN"/>
        </w:rPr>
        <w:t>. University of California Press.</w:t>
      </w:r>
    </w:p>
    <w:p w14:paraId="03F52223" w14:textId="77777777" w:rsidR="00F940AA" w:rsidRPr="00641180"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lastRenderedPageBreak/>
        <w:t xml:space="preserve">Berkes, F., &amp; Turner, N. (2006). Knowledge, learning, and the evolution of conservation practice. </w:t>
      </w:r>
      <w:r w:rsidRPr="00641180">
        <w:rPr>
          <w:rFonts w:ascii="Times New Roman" w:eastAsia="Times New Roman" w:hAnsi="Times New Roman"/>
          <w:i/>
          <w:iCs/>
          <w:sz w:val="24"/>
          <w:szCs w:val="24"/>
          <w:lang w:eastAsia="en-US" w:bidi="mr-IN"/>
        </w:rPr>
        <w:t>Human Ecology</w:t>
      </w:r>
      <w:r w:rsidRPr="00641180">
        <w:rPr>
          <w:rFonts w:ascii="Times New Roman" w:eastAsia="Times New Roman" w:hAnsi="Times New Roman"/>
          <w:sz w:val="24"/>
          <w:szCs w:val="24"/>
          <w:lang w:eastAsia="en-US" w:bidi="mr-IN"/>
        </w:rPr>
        <w:t>, 34(4), 479–494.</w:t>
      </w:r>
    </w:p>
    <w:p w14:paraId="6E2B39E8" w14:textId="77777777" w:rsidR="00F940AA" w:rsidRPr="00641180"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 xml:space="preserve">Chhatre, A., &amp; Agrawal, A. (2009). Trade-offs and synergies in forest governance. </w:t>
      </w:r>
      <w:r w:rsidRPr="00641180">
        <w:rPr>
          <w:rFonts w:ascii="Times New Roman" w:eastAsia="Times New Roman" w:hAnsi="Times New Roman"/>
          <w:i/>
          <w:iCs/>
          <w:sz w:val="24"/>
          <w:szCs w:val="24"/>
          <w:lang w:eastAsia="en-US" w:bidi="mr-IN"/>
        </w:rPr>
        <w:t>Proceedings of the National Academy of Sciences</w:t>
      </w:r>
      <w:r w:rsidRPr="00641180">
        <w:rPr>
          <w:rFonts w:ascii="Times New Roman" w:eastAsia="Times New Roman" w:hAnsi="Times New Roman"/>
          <w:sz w:val="24"/>
          <w:szCs w:val="24"/>
          <w:lang w:eastAsia="en-US" w:bidi="mr-IN"/>
        </w:rPr>
        <w:t>, 106(42), 17667–17670.</w:t>
      </w:r>
    </w:p>
    <w:p w14:paraId="0B596508" w14:textId="77777777" w:rsidR="00F940AA" w:rsidRPr="00641180"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 xml:space="preserve">Gadgil, M., &amp; Guha, R. (1992). </w:t>
      </w:r>
      <w:r w:rsidRPr="00641180">
        <w:rPr>
          <w:rFonts w:ascii="Times New Roman" w:eastAsia="Times New Roman" w:hAnsi="Times New Roman"/>
          <w:i/>
          <w:iCs/>
          <w:sz w:val="24"/>
          <w:szCs w:val="24"/>
          <w:lang w:eastAsia="en-US" w:bidi="mr-IN"/>
        </w:rPr>
        <w:t>This fissured land: An ecological history of India</w:t>
      </w:r>
      <w:r w:rsidRPr="00641180">
        <w:rPr>
          <w:rFonts w:ascii="Times New Roman" w:eastAsia="Times New Roman" w:hAnsi="Times New Roman"/>
          <w:sz w:val="24"/>
          <w:szCs w:val="24"/>
          <w:lang w:eastAsia="en-US" w:bidi="mr-IN"/>
        </w:rPr>
        <w:t>. Oxford University Press.</w:t>
      </w:r>
    </w:p>
    <w:p w14:paraId="7F859F2C" w14:textId="77777777" w:rsidR="00F940AA" w:rsidRPr="00641180"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 xml:space="preserve">IPCC. (2022). </w:t>
      </w:r>
      <w:r w:rsidRPr="00641180">
        <w:rPr>
          <w:rFonts w:ascii="Times New Roman" w:eastAsia="Times New Roman" w:hAnsi="Times New Roman"/>
          <w:i/>
          <w:iCs/>
          <w:sz w:val="24"/>
          <w:szCs w:val="24"/>
          <w:lang w:eastAsia="en-US" w:bidi="mr-IN"/>
        </w:rPr>
        <w:t>Sixth Assessment Report: Impacts, Adaptation, and Vulnerability</w:t>
      </w:r>
      <w:r w:rsidRPr="00641180">
        <w:rPr>
          <w:rFonts w:ascii="Times New Roman" w:eastAsia="Times New Roman" w:hAnsi="Times New Roman"/>
          <w:sz w:val="24"/>
          <w:szCs w:val="24"/>
          <w:lang w:eastAsia="en-US" w:bidi="mr-IN"/>
        </w:rPr>
        <w:t>.</w:t>
      </w:r>
    </w:p>
    <w:p w14:paraId="44384ED3" w14:textId="77777777" w:rsidR="00F940AA" w:rsidRPr="00641180"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 xml:space="preserve">Kimmerer, R. W. (2013). </w:t>
      </w:r>
      <w:r w:rsidRPr="00641180">
        <w:rPr>
          <w:rFonts w:ascii="Times New Roman" w:eastAsia="Times New Roman" w:hAnsi="Times New Roman"/>
          <w:i/>
          <w:iCs/>
          <w:sz w:val="24"/>
          <w:szCs w:val="24"/>
          <w:lang w:eastAsia="en-US" w:bidi="mr-IN"/>
        </w:rPr>
        <w:t>Braiding Sweetgrass: Indigenous Wisdom, Scientific Knowledge, and the Teachings of Plants</w:t>
      </w:r>
      <w:r w:rsidRPr="00641180">
        <w:rPr>
          <w:rFonts w:ascii="Times New Roman" w:eastAsia="Times New Roman" w:hAnsi="Times New Roman"/>
          <w:sz w:val="24"/>
          <w:szCs w:val="24"/>
          <w:lang w:eastAsia="en-US" w:bidi="mr-IN"/>
        </w:rPr>
        <w:t>. Milkweed Editions.</w:t>
      </w:r>
    </w:p>
    <w:p w14:paraId="3F34C799" w14:textId="77777777" w:rsidR="00F940AA" w:rsidRPr="00641180"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 xml:space="preserve">Mistry, J., &amp; Berardi, A. (2016). Bridging Indigenous and Western science. </w:t>
      </w:r>
      <w:r w:rsidRPr="00641180">
        <w:rPr>
          <w:rFonts w:ascii="Times New Roman" w:eastAsia="Times New Roman" w:hAnsi="Times New Roman"/>
          <w:i/>
          <w:iCs/>
          <w:sz w:val="24"/>
          <w:szCs w:val="24"/>
          <w:lang w:eastAsia="en-US" w:bidi="mr-IN"/>
        </w:rPr>
        <w:t>Current Opinion in Environmental Sustainability</w:t>
      </w:r>
      <w:r w:rsidRPr="00641180">
        <w:rPr>
          <w:rFonts w:ascii="Times New Roman" w:eastAsia="Times New Roman" w:hAnsi="Times New Roman"/>
          <w:sz w:val="24"/>
          <w:szCs w:val="24"/>
          <w:lang w:eastAsia="en-US" w:bidi="mr-IN"/>
        </w:rPr>
        <w:t>, 19, 67–75.</w:t>
      </w:r>
    </w:p>
    <w:p w14:paraId="66DA1557" w14:textId="77777777" w:rsidR="00F940AA" w:rsidRPr="00641180"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 xml:space="preserve">Posey, D. A. (1999). </w:t>
      </w:r>
      <w:r w:rsidRPr="00641180">
        <w:rPr>
          <w:rFonts w:ascii="Times New Roman" w:eastAsia="Times New Roman" w:hAnsi="Times New Roman"/>
          <w:i/>
          <w:iCs/>
          <w:sz w:val="24"/>
          <w:szCs w:val="24"/>
          <w:lang w:eastAsia="en-US" w:bidi="mr-IN"/>
        </w:rPr>
        <w:t>Cultural and spiritual values of biodiversity</w:t>
      </w:r>
      <w:r w:rsidRPr="00641180">
        <w:rPr>
          <w:rFonts w:ascii="Times New Roman" w:eastAsia="Times New Roman" w:hAnsi="Times New Roman"/>
          <w:sz w:val="24"/>
          <w:szCs w:val="24"/>
          <w:lang w:eastAsia="en-US" w:bidi="mr-IN"/>
        </w:rPr>
        <w:t>. UNEP.</w:t>
      </w:r>
    </w:p>
    <w:p w14:paraId="5771A5DD" w14:textId="77777777" w:rsidR="00F940AA" w:rsidRPr="00641180"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 xml:space="preserve">Sillitoe, P. (2007). Local science vs. global science: An overview. </w:t>
      </w:r>
      <w:r w:rsidRPr="00641180">
        <w:rPr>
          <w:rFonts w:ascii="Times New Roman" w:eastAsia="Times New Roman" w:hAnsi="Times New Roman"/>
          <w:i/>
          <w:iCs/>
          <w:sz w:val="24"/>
          <w:szCs w:val="24"/>
          <w:lang w:eastAsia="en-US" w:bidi="mr-IN"/>
        </w:rPr>
        <w:t>World Archaeology</w:t>
      </w:r>
      <w:r w:rsidRPr="00641180">
        <w:rPr>
          <w:rFonts w:ascii="Times New Roman" w:eastAsia="Times New Roman" w:hAnsi="Times New Roman"/>
          <w:sz w:val="24"/>
          <w:szCs w:val="24"/>
          <w:lang w:eastAsia="en-US" w:bidi="mr-IN"/>
        </w:rPr>
        <w:t>, 39(3), 357–373.</w:t>
      </w:r>
    </w:p>
    <w:p w14:paraId="3DF4E168" w14:textId="77777777" w:rsidR="00F940AA"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 xml:space="preserve">Whyte, K. (2013). On the role of traditional ecological knowledge as a collaborative concept. </w:t>
      </w:r>
      <w:r w:rsidRPr="00641180">
        <w:rPr>
          <w:rFonts w:ascii="Times New Roman" w:eastAsia="Times New Roman" w:hAnsi="Times New Roman"/>
          <w:i/>
          <w:iCs/>
          <w:sz w:val="24"/>
          <w:szCs w:val="24"/>
          <w:lang w:eastAsia="en-US" w:bidi="mr-IN"/>
        </w:rPr>
        <w:t>Ecology and Society</w:t>
      </w:r>
      <w:r w:rsidRPr="00641180">
        <w:rPr>
          <w:rFonts w:ascii="Times New Roman" w:eastAsia="Times New Roman" w:hAnsi="Times New Roman"/>
          <w:sz w:val="24"/>
          <w:szCs w:val="24"/>
          <w:lang w:eastAsia="en-US" w:bidi="mr-IN"/>
        </w:rPr>
        <w:t>, 18(3), 10.</w:t>
      </w:r>
    </w:p>
    <w:p w14:paraId="76782F9D" w14:textId="77777777" w:rsidR="00F940AA" w:rsidRPr="009675EE"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p>
    <w:p w14:paraId="020308AA" w14:textId="77777777" w:rsidR="00F940AA" w:rsidRDefault="00F940AA"/>
    <w:sectPr w:rsidR="00F940AA" w:rsidSect="00F940A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urmu" w:date="2025-11-29T00:51:00Z" w:initials="m">
    <w:p w14:paraId="21AA3541" w14:textId="6BC27D20" w:rsidR="000961C5" w:rsidRDefault="000961C5">
      <w:pPr>
        <w:pStyle w:val="CommentText"/>
      </w:pPr>
      <w:r>
        <w:rPr>
          <w:rStyle w:val="CommentReference"/>
        </w:rPr>
        <w:annotationRef/>
      </w:r>
      <w:r>
        <w:t>Please check the abbreviation.</w:t>
      </w:r>
    </w:p>
  </w:comment>
  <w:comment w:id="1" w:author="murmu" w:date="2025-11-29T01:10:00Z" w:initials="m">
    <w:p w14:paraId="2B52D4A7" w14:textId="3D16A644" w:rsidR="003C57F9" w:rsidRDefault="003C57F9">
      <w:pPr>
        <w:pStyle w:val="CommentText"/>
      </w:pPr>
      <w:r>
        <w:rPr>
          <w:rStyle w:val="CommentReference"/>
        </w:rPr>
        <w:annotationRef/>
      </w:r>
      <w:r>
        <w:t>It would be better to provide references against the statements</w:t>
      </w:r>
    </w:p>
  </w:comment>
  <w:comment w:id="2" w:author="murmu" w:date="2025-11-29T01:26:00Z" w:initials="m">
    <w:p w14:paraId="184C10E3" w14:textId="5DBB5FBF" w:rsidR="00B72AB8" w:rsidRDefault="00B72AB8">
      <w:pPr>
        <w:pStyle w:val="CommentText"/>
      </w:pPr>
      <w:r>
        <w:rPr>
          <w:rStyle w:val="CommentReference"/>
        </w:rPr>
        <w:annotationRef/>
      </w:r>
      <w:r>
        <w:t>Already introduced full form and abbreviation, so avoid repetition.</w:t>
      </w:r>
    </w:p>
  </w:comment>
  <w:comment w:id="3" w:author="murmu" w:date="2025-12-01T12:20:00Z" w:initials="m">
    <w:p w14:paraId="4BF81066" w14:textId="7E347757" w:rsidR="001F03F7" w:rsidRDefault="001F03F7">
      <w:pPr>
        <w:pStyle w:val="CommentText"/>
      </w:pPr>
      <w:r>
        <w:rPr>
          <w:rStyle w:val="CommentReference"/>
        </w:rPr>
        <w:annotationRef/>
      </w:r>
      <w:r>
        <w:t>Table could be enhanced by reclassifying the 112 selected documents with respect to regions and representing their absolute numbers</w:t>
      </w:r>
    </w:p>
  </w:comment>
  <w:comment w:id="4" w:author="murmu" w:date="2025-12-01T11:56:00Z" w:initials="m">
    <w:p w14:paraId="017FD469" w14:textId="34180E26" w:rsidR="00842A7B" w:rsidRDefault="00842A7B">
      <w:pPr>
        <w:pStyle w:val="CommentText"/>
      </w:pPr>
      <w:r>
        <w:rPr>
          <w:rStyle w:val="CommentReference"/>
        </w:rPr>
        <w:annotationRef/>
      </w:r>
      <w:r>
        <w:t>Please review the results section, as many statements and statistical/quantitative data lack in-text citations. This weakens credibility and hinders verification. Integrating appropriate citations will enhance rigor, transparency, and alignment with academic standards.</w:t>
      </w:r>
    </w:p>
  </w:comment>
  <w:comment w:id="5" w:author="murmu" w:date="2025-12-01T11:50:00Z" w:initials="m">
    <w:p w14:paraId="0FFA7F79" w14:textId="7A1710D3" w:rsidR="00230C77" w:rsidRPr="00230C77" w:rsidRDefault="00842A7B" w:rsidP="00230C77">
      <w:pPr>
        <w:pStyle w:val="CommentText"/>
        <w:rPr>
          <w:lang w:val="en-IN"/>
        </w:rPr>
      </w:pPr>
      <w:r>
        <w:rPr>
          <w:rStyle w:val="CommentReference"/>
        </w:rPr>
        <w:annotationRef/>
      </w:r>
      <w:r>
        <w:t xml:space="preserve">Several references are not cited in </w:t>
      </w:r>
      <w:r w:rsidR="001F03F7">
        <w:t xml:space="preserve">the </w:t>
      </w:r>
      <w:r>
        <w:t>main text; please review and refine the reference section.</w:t>
      </w:r>
      <w:r w:rsidR="001F03F7">
        <w:t xml:space="preserve"> Most recent studies are recommended.</w:t>
      </w:r>
      <w:r w:rsidR="00230C77">
        <w:t xml:space="preserve"> Some of the literature you could include- 1.</w:t>
      </w:r>
      <w:r w:rsidR="00230C77" w:rsidRPr="00230C77">
        <w:rPr>
          <w:lang w:val="en-IN"/>
        </w:rPr>
        <w:t xml:space="preserve">Challa, K. (2023). Recognizing Role </w:t>
      </w:r>
      <w:r w:rsidR="00230C77">
        <w:rPr>
          <w:lang w:val="en-IN"/>
        </w:rPr>
        <w:t>o</w:t>
      </w:r>
      <w:r w:rsidR="00230C77" w:rsidRPr="00230C77">
        <w:rPr>
          <w:lang w:val="en-IN"/>
        </w:rPr>
        <w:t>f Indigenous Communities In Biodiversity Conservation In India: An Analysis. </w:t>
      </w:r>
      <w:r w:rsidR="00230C77" w:rsidRPr="00230C77">
        <w:rPr>
          <w:i/>
          <w:iCs/>
          <w:lang w:val="en-IN"/>
        </w:rPr>
        <w:t>Russian Law Journal</w:t>
      </w:r>
      <w:r w:rsidR="00230C77" w:rsidRPr="00230C77">
        <w:rPr>
          <w:lang w:val="en-IN"/>
        </w:rPr>
        <w:t>, </w:t>
      </w:r>
      <w:r w:rsidR="00230C77" w:rsidRPr="00230C77">
        <w:rPr>
          <w:i/>
          <w:iCs/>
          <w:lang w:val="en-IN"/>
        </w:rPr>
        <w:t>11</w:t>
      </w:r>
      <w:r w:rsidR="00230C77" w:rsidRPr="00230C77">
        <w:rPr>
          <w:lang w:val="en-IN"/>
        </w:rPr>
        <w:t xml:space="preserve">(1S). </w:t>
      </w:r>
      <w:hyperlink r:id="rId1" w:history="1">
        <w:r w:rsidR="00230C77" w:rsidRPr="00230C77">
          <w:rPr>
            <w:rStyle w:val="Hyperlink"/>
            <w:lang w:val="en-IN"/>
          </w:rPr>
          <w:t>https://doi.org/10.52783/rlj.v11i1s.366</w:t>
        </w:r>
      </w:hyperlink>
    </w:p>
    <w:p w14:paraId="17F906AC" w14:textId="6C13D3B2" w:rsidR="00230C77" w:rsidRPr="00230C77" w:rsidRDefault="00230C77" w:rsidP="00230C77">
      <w:pPr>
        <w:pStyle w:val="CommentText"/>
        <w:rPr>
          <w:color w:val="0070C0"/>
          <w:lang w:val="en-IN"/>
        </w:rPr>
      </w:pPr>
      <w:r>
        <w:rPr>
          <w:lang w:val="en-IN"/>
        </w:rPr>
        <w:t>2.</w:t>
      </w:r>
      <w:r w:rsidRPr="00230C77">
        <w:rPr>
          <w:lang w:val="en-IN"/>
        </w:rPr>
        <w:t>Debnath et al. (2023). </w:t>
      </w:r>
      <w:r w:rsidRPr="00230C77">
        <w:rPr>
          <w:i/>
          <w:iCs/>
          <w:lang w:val="en-IN"/>
        </w:rPr>
        <w:t>Propelling on Biodiversity Conservation in India</w:t>
      </w:r>
      <w:r w:rsidRPr="00230C77">
        <w:rPr>
          <w:lang w:val="en-IN"/>
        </w:rPr>
        <w:t xml:space="preserve">. </w:t>
      </w:r>
      <w:proofErr w:type="spellStart"/>
      <w:r w:rsidRPr="00230C77">
        <w:rPr>
          <w:lang w:val="en-IN"/>
        </w:rPr>
        <w:t>Scienceopen</w:t>
      </w:r>
      <w:proofErr w:type="spellEnd"/>
      <w:r w:rsidRPr="00230C77">
        <w:rPr>
          <w:lang w:val="en-IN"/>
        </w:rPr>
        <w:t xml:space="preserve">. </w:t>
      </w:r>
      <w:hyperlink r:id="rId2" w:history="1">
        <w:r w:rsidRPr="00230C77">
          <w:rPr>
            <w:rStyle w:val="Hyperlink"/>
            <w:color w:val="0070C0"/>
            <w:lang w:val="en-IN"/>
          </w:rPr>
          <w:t>https://doi.org/10.14293/pr2199.000270.v1</w:t>
        </w:r>
      </w:hyperlink>
    </w:p>
    <w:p w14:paraId="4FEFD75A" w14:textId="535C6C80" w:rsidR="00842A7B" w:rsidRDefault="00230C77">
      <w:pPr>
        <w:pStyle w:val="CommentText"/>
      </w:pPr>
      <w:r>
        <w:t>In addition, snowball method or citation chaining may be utilize with the above sources.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AA3541" w15:done="0"/>
  <w15:commentEx w15:paraId="2B52D4A7" w15:done="0"/>
  <w15:commentEx w15:paraId="184C10E3" w15:done="0"/>
  <w15:commentEx w15:paraId="4BF81066" w15:done="0"/>
  <w15:commentEx w15:paraId="017FD469" w15:done="0"/>
  <w15:commentEx w15:paraId="4FEFD7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E482CA" w16cex:dateUtc="2025-11-28T19:21:00Z"/>
  <w16cex:commentExtensible w16cex:durableId="34CFB0BB" w16cex:dateUtc="2025-11-28T19:40:00Z"/>
  <w16cex:commentExtensible w16cex:durableId="003F3D25" w16cex:dateUtc="2025-11-28T19:56:00Z"/>
  <w16cex:commentExtensible w16cex:durableId="0D9193FA" w16cex:dateUtc="2025-12-01T06:50:00Z"/>
  <w16cex:commentExtensible w16cex:durableId="66C9546F" w16cex:dateUtc="2025-12-01T06:26:00Z"/>
  <w16cex:commentExtensible w16cex:durableId="671CD0D9" w16cex:dateUtc="2025-12-01T0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AA3541" w16cid:durableId="56E482CA"/>
  <w16cid:commentId w16cid:paraId="2B52D4A7" w16cid:durableId="34CFB0BB"/>
  <w16cid:commentId w16cid:paraId="184C10E3" w16cid:durableId="003F3D25"/>
  <w16cid:commentId w16cid:paraId="4BF81066" w16cid:durableId="0D9193FA"/>
  <w16cid:commentId w16cid:paraId="017FD469" w16cid:durableId="66C9546F"/>
  <w16cid:commentId w16cid:paraId="4FEFD75A" w16cid:durableId="671CD0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15995" w14:textId="77777777" w:rsidR="00CA619C" w:rsidRDefault="00CA619C" w:rsidP="00DD3E3C">
      <w:pPr>
        <w:spacing w:after="0" w:line="240" w:lineRule="auto"/>
      </w:pPr>
      <w:r>
        <w:separator/>
      </w:r>
    </w:p>
  </w:endnote>
  <w:endnote w:type="continuationSeparator" w:id="0">
    <w:p w14:paraId="182BB84C" w14:textId="77777777" w:rsidR="00CA619C" w:rsidRDefault="00CA619C" w:rsidP="00DD3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E58F" w14:textId="77777777" w:rsidR="00DD3E3C" w:rsidRDefault="00DD3E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CDB8B" w14:textId="77777777" w:rsidR="00DD3E3C" w:rsidRDefault="00DD3E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53832" w14:textId="77777777" w:rsidR="00DD3E3C" w:rsidRDefault="00DD3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31E51" w14:textId="77777777" w:rsidR="00CA619C" w:rsidRDefault="00CA619C" w:rsidP="00DD3E3C">
      <w:pPr>
        <w:spacing w:after="0" w:line="240" w:lineRule="auto"/>
      </w:pPr>
      <w:r>
        <w:separator/>
      </w:r>
    </w:p>
  </w:footnote>
  <w:footnote w:type="continuationSeparator" w:id="0">
    <w:p w14:paraId="3677B9D3" w14:textId="77777777" w:rsidR="00CA619C" w:rsidRDefault="00CA619C" w:rsidP="00DD3E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3F465" w14:textId="11B1D269" w:rsidR="00DD3E3C" w:rsidRDefault="00000000">
    <w:pPr>
      <w:pStyle w:val="Header"/>
    </w:pPr>
    <w:r>
      <w:rPr>
        <w:noProof/>
      </w:rPr>
      <w:pict w14:anchorId="1822F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904094"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9CE6C" w14:textId="466420E5" w:rsidR="00DD3E3C" w:rsidRDefault="00000000">
    <w:pPr>
      <w:pStyle w:val="Header"/>
    </w:pPr>
    <w:r>
      <w:rPr>
        <w:noProof/>
      </w:rPr>
      <w:pict w14:anchorId="1A90F7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904095"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AA1CC" w14:textId="309D2F38" w:rsidR="00DD3E3C" w:rsidRDefault="00000000">
    <w:pPr>
      <w:pStyle w:val="Header"/>
    </w:pPr>
    <w:r>
      <w:rPr>
        <w:noProof/>
      </w:rPr>
      <w:pict w14:anchorId="2251A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904093"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5478"/>
    <w:multiLevelType w:val="multilevel"/>
    <w:tmpl w:val="A2FA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C5334"/>
    <w:multiLevelType w:val="multilevel"/>
    <w:tmpl w:val="4928D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F910D3"/>
    <w:multiLevelType w:val="multilevel"/>
    <w:tmpl w:val="3CB4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83DD0"/>
    <w:multiLevelType w:val="multilevel"/>
    <w:tmpl w:val="40520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B0988"/>
    <w:multiLevelType w:val="multilevel"/>
    <w:tmpl w:val="CC0C7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2B53C3"/>
    <w:multiLevelType w:val="multilevel"/>
    <w:tmpl w:val="3A1A5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480E4F"/>
    <w:multiLevelType w:val="multilevel"/>
    <w:tmpl w:val="38FC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487983"/>
    <w:multiLevelType w:val="hybridMultilevel"/>
    <w:tmpl w:val="E74A94CE"/>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E0372"/>
    <w:multiLevelType w:val="multilevel"/>
    <w:tmpl w:val="BD4A5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521FBE"/>
    <w:multiLevelType w:val="multilevel"/>
    <w:tmpl w:val="CC1A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B04A6A"/>
    <w:multiLevelType w:val="multilevel"/>
    <w:tmpl w:val="0358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B46CAA"/>
    <w:multiLevelType w:val="multilevel"/>
    <w:tmpl w:val="18F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5A6E10"/>
    <w:multiLevelType w:val="multilevel"/>
    <w:tmpl w:val="4B58D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9D7CAB"/>
    <w:multiLevelType w:val="multilevel"/>
    <w:tmpl w:val="06F2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AB1C11"/>
    <w:multiLevelType w:val="multilevel"/>
    <w:tmpl w:val="EF1E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E75B39"/>
    <w:multiLevelType w:val="multilevel"/>
    <w:tmpl w:val="EAF8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221620"/>
    <w:multiLevelType w:val="hybridMultilevel"/>
    <w:tmpl w:val="2D4658AA"/>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7B345DA"/>
    <w:multiLevelType w:val="multilevel"/>
    <w:tmpl w:val="14A2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2E121E"/>
    <w:multiLevelType w:val="multilevel"/>
    <w:tmpl w:val="70C4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530B66"/>
    <w:multiLevelType w:val="multilevel"/>
    <w:tmpl w:val="E8083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EC33E7"/>
    <w:multiLevelType w:val="multilevel"/>
    <w:tmpl w:val="E84E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485B84"/>
    <w:multiLevelType w:val="multilevel"/>
    <w:tmpl w:val="27BA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4118AB"/>
    <w:multiLevelType w:val="multilevel"/>
    <w:tmpl w:val="FC0AB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6B3D24"/>
    <w:multiLevelType w:val="multilevel"/>
    <w:tmpl w:val="A43AC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7A7884"/>
    <w:multiLevelType w:val="multilevel"/>
    <w:tmpl w:val="626A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CD28DC"/>
    <w:multiLevelType w:val="multilevel"/>
    <w:tmpl w:val="713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5B6683"/>
    <w:multiLevelType w:val="multilevel"/>
    <w:tmpl w:val="FD16D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2404AC"/>
    <w:multiLevelType w:val="multilevel"/>
    <w:tmpl w:val="DE58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8602F2"/>
    <w:multiLevelType w:val="multilevel"/>
    <w:tmpl w:val="F972176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AB100E"/>
    <w:multiLevelType w:val="multilevel"/>
    <w:tmpl w:val="3B58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430968"/>
    <w:multiLevelType w:val="hybridMultilevel"/>
    <w:tmpl w:val="FDDA2FEE"/>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361374"/>
    <w:multiLevelType w:val="multilevel"/>
    <w:tmpl w:val="1DCC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E37A6F"/>
    <w:multiLevelType w:val="multilevel"/>
    <w:tmpl w:val="9CBC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2A2C20"/>
    <w:multiLevelType w:val="multilevel"/>
    <w:tmpl w:val="0F545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441EC1"/>
    <w:multiLevelType w:val="multilevel"/>
    <w:tmpl w:val="2304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7B0708"/>
    <w:multiLevelType w:val="multilevel"/>
    <w:tmpl w:val="C1A6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3F7135"/>
    <w:multiLevelType w:val="multilevel"/>
    <w:tmpl w:val="9BD49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9931DB"/>
    <w:multiLevelType w:val="multilevel"/>
    <w:tmpl w:val="CB32D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F3034F"/>
    <w:multiLevelType w:val="multilevel"/>
    <w:tmpl w:val="514A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507723"/>
    <w:multiLevelType w:val="multilevel"/>
    <w:tmpl w:val="B412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7D1A35"/>
    <w:multiLevelType w:val="multilevel"/>
    <w:tmpl w:val="55CE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773F2A"/>
    <w:multiLevelType w:val="multilevel"/>
    <w:tmpl w:val="D51C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A06939"/>
    <w:multiLevelType w:val="multilevel"/>
    <w:tmpl w:val="E550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6E5781"/>
    <w:multiLevelType w:val="multilevel"/>
    <w:tmpl w:val="7460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C2193A"/>
    <w:multiLevelType w:val="hybridMultilevel"/>
    <w:tmpl w:val="E1E6D762"/>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1882297">
    <w:abstractNumId w:val="21"/>
  </w:num>
  <w:num w:numId="2" w16cid:durableId="147016721">
    <w:abstractNumId w:val="18"/>
  </w:num>
  <w:num w:numId="3" w16cid:durableId="1809738226">
    <w:abstractNumId w:val="2"/>
  </w:num>
  <w:num w:numId="4" w16cid:durableId="1486580552">
    <w:abstractNumId w:val="39"/>
  </w:num>
  <w:num w:numId="5" w16cid:durableId="681397551">
    <w:abstractNumId w:val="14"/>
  </w:num>
  <w:num w:numId="6" w16cid:durableId="52970699">
    <w:abstractNumId w:val="41"/>
  </w:num>
  <w:num w:numId="7" w16cid:durableId="1883012604">
    <w:abstractNumId w:val="19"/>
  </w:num>
  <w:num w:numId="8" w16cid:durableId="1336768637">
    <w:abstractNumId w:val="37"/>
  </w:num>
  <w:num w:numId="9" w16cid:durableId="63845727">
    <w:abstractNumId w:val="13"/>
  </w:num>
  <w:num w:numId="10" w16cid:durableId="1142386043">
    <w:abstractNumId w:val="10"/>
  </w:num>
  <w:num w:numId="11" w16cid:durableId="1671103405">
    <w:abstractNumId w:val="34"/>
  </w:num>
  <w:num w:numId="12" w16cid:durableId="692733308">
    <w:abstractNumId w:val="12"/>
  </w:num>
  <w:num w:numId="13" w16cid:durableId="1750807954">
    <w:abstractNumId w:val="28"/>
  </w:num>
  <w:num w:numId="14" w16cid:durableId="1708555738">
    <w:abstractNumId w:val="26"/>
  </w:num>
  <w:num w:numId="15" w16cid:durableId="886264638">
    <w:abstractNumId w:val="27"/>
  </w:num>
  <w:num w:numId="16" w16cid:durableId="1835534084">
    <w:abstractNumId w:val="35"/>
  </w:num>
  <w:num w:numId="17" w16cid:durableId="1616911760">
    <w:abstractNumId w:val="4"/>
  </w:num>
  <w:num w:numId="18" w16cid:durableId="1209224006">
    <w:abstractNumId w:val="24"/>
  </w:num>
  <w:num w:numId="19" w16cid:durableId="1353343077">
    <w:abstractNumId w:val="15"/>
  </w:num>
  <w:num w:numId="20" w16cid:durableId="978270898">
    <w:abstractNumId w:val="23"/>
  </w:num>
  <w:num w:numId="21" w16cid:durableId="591620737">
    <w:abstractNumId w:val="20"/>
  </w:num>
  <w:num w:numId="22" w16cid:durableId="1155683503">
    <w:abstractNumId w:val="6"/>
  </w:num>
  <w:num w:numId="23" w16cid:durableId="1750957355">
    <w:abstractNumId w:val="32"/>
  </w:num>
  <w:num w:numId="24" w16cid:durableId="920065288">
    <w:abstractNumId w:val="38"/>
  </w:num>
  <w:num w:numId="25" w16cid:durableId="1362515975">
    <w:abstractNumId w:val="33"/>
  </w:num>
  <w:num w:numId="26" w16cid:durableId="1896623814">
    <w:abstractNumId w:val="22"/>
  </w:num>
  <w:num w:numId="27" w16cid:durableId="502284176">
    <w:abstractNumId w:val="42"/>
  </w:num>
  <w:num w:numId="28" w16cid:durableId="1636179810">
    <w:abstractNumId w:val="0"/>
  </w:num>
  <w:num w:numId="29" w16cid:durableId="255525318">
    <w:abstractNumId w:val="43"/>
  </w:num>
  <w:num w:numId="30" w16cid:durableId="1768380757">
    <w:abstractNumId w:val="17"/>
  </w:num>
  <w:num w:numId="31" w16cid:durableId="708723218">
    <w:abstractNumId w:val="31"/>
  </w:num>
  <w:num w:numId="32" w16cid:durableId="1184593612">
    <w:abstractNumId w:val="36"/>
  </w:num>
  <w:num w:numId="33" w16cid:durableId="116603825">
    <w:abstractNumId w:val="25"/>
  </w:num>
  <w:num w:numId="34" w16cid:durableId="141624244">
    <w:abstractNumId w:val="9"/>
  </w:num>
  <w:num w:numId="35" w16cid:durableId="1190802454">
    <w:abstractNumId w:val="29"/>
  </w:num>
  <w:num w:numId="36" w16cid:durableId="1051884523">
    <w:abstractNumId w:val="3"/>
  </w:num>
  <w:num w:numId="37" w16cid:durableId="1882663815">
    <w:abstractNumId w:val="11"/>
  </w:num>
  <w:num w:numId="38" w16cid:durableId="958415286">
    <w:abstractNumId w:val="40"/>
  </w:num>
  <w:num w:numId="39" w16cid:durableId="1107583045">
    <w:abstractNumId w:val="8"/>
  </w:num>
  <w:num w:numId="40" w16cid:durableId="696662807">
    <w:abstractNumId w:val="1"/>
  </w:num>
  <w:num w:numId="41" w16cid:durableId="938175885">
    <w:abstractNumId w:val="5"/>
  </w:num>
  <w:num w:numId="42" w16cid:durableId="1148015107">
    <w:abstractNumId w:val="16"/>
  </w:num>
  <w:num w:numId="43" w16cid:durableId="802388350">
    <w:abstractNumId w:val="7"/>
  </w:num>
  <w:num w:numId="44" w16cid:durableId="2054847677">
    <w:abstractNumId w:val="30"/>
  </w:num>
  <w:num w:numId="45" w16cid:durableId="1134565422">
    <w:abstractNumId w:val="4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rmu">
    <w15:presenceInfo w15:providerId="None" w15:userId="murm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0AA"/>
    <w:rsid w:val="000064D2"/>
    <w:rsid w:val="00087623"/>
    <w:rsid w:val="000961C5"/>
    <w:rsid w:val="001F03F7"/>
    <w:rsid w:val="0021650B"/>
    <w:rsid w:val="00230C77"/>
    <w:rsid w:val="0028565A"/>
    <w:rsid w:val="002B0377"/>
    <w:rsid w:val="002D517E"/>
    <w:rsid w:val="003C3679"/>
    <w:rsid w:val="003C57F9"/>
    <w:rsid w:val="003E4F37"/>
    <w:rsid w:val="00480697"/>
    <w:rsid w:val="004F0624"/>
    <w:rsid w:val="006C5842"/>
    <w:rsid w:val="006D1A75"/>
    <w:rsid w:val="00842A7B"/>
    <w:rsid w:val="00992D11"/>
    <w:rsid w:val="00B15D3D"/>
    <w:rsid w:val="00B72AB8"/>
    <w:rsid w:val="00BA78D7"/>
    <w:rsid w:val="00C14C1D"/>
    <w:rsid w:val="00C66151"/>
    <w:rsid w:val="00C718D2"/>
    <w:rsid w:val="00CA619C"/>
    <w:rsid w:val="00CC731F"/>
    <w:rsid w:val="00D218D0"/>
    <w:rsid w:val="00D62B2A"/>
    <w:rsid w:val="00DA350E"/>
    <w:rsid w:val="00DD3E3C"/>
    <w:rsid w:val="00E53E75"/>
    <w:rsid w:val="00E85599"/>
    <w:rsid w:val="00F940AA"/>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F0F0C"/>
  <w15:chartTrackingRefBased/>
  <w15:docId w15:val="{D126D6FC-1695-4695-AAE6-F9BA871EA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US" w:eastAsia="en-US" w:bidi="mr-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0AA"/>
    <w:pPr>
      <w:spacing w:after="200" w:line="276" w:lineRule="auto"/>
    </w:pPr>
    <w:rPr>
      <w:rFonts w:ascii="Calibri" w:eastAsia="SimSun" w:hAnsi="Calibri" w:cs="Times New Roman"/>
      <w:kern w:val="0"/>
      <w:sz w:val="22"/>
      <w:szCs w:val="22"/>
      <w:lang w:eastAsia="zh-CN" w:bidi="ar-SA"/>
      <w14:ligatures w14:val="none"/>
    </w:rPr>
  </w:style>
  <w:style w:type="paragraph" w:styleId="Heading1">
    <w:name w:val="heading 1"/>
    <w:basedOn w:val="Normal"/>
    <w:next w:val="Normal"/>
    <w:link w:val="Heading1Char"/>
    <w:uiPriority w:val="9"/>
    <w:qFormat/>
    <w:rsid w:val="00F940AA"/>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F940AA"/>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F940AA"/>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F940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40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40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0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0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0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0AA"/>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F940AA"/>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F940AA"/>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F940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40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40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0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0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0AA"/>
    <w:rPr>
      <w:rFonts w:eastAsiaTheme="majorEastAsia" w:cstheme="majorBidi"/>
      <w:color w:val="272727" w:themeColor="text1" w:themeTint="D8"/>
    </w:rPr>
  </w:style>
  <w:style w:type="paragraph" w:styleId="Title">
    <w:name w:val="Title"/>
    <w:basedOn w:val="Normal"/>
    <w:next w:val="Normal"/>
    <w:link w:val="TitleChar"/>
    <w:uiPriority w:val="10"/>
    <w:qFormat/>
    <w:rsid w:val="00F940AA"/>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F940AA"/>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F940AA"/>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F940AA"/>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F940AA"/>
    <w:pPr>
      <w:spacing w:before="160"/>
      <w:jc w:val="center"/>
    </w:pPr>
    <w:rPr>
      <w:i/>
      <w:iCs/>
      <w:color w:val="404040" w:themeColor="text1" w:themeTint="BF"/>
    </w:rPr>
  </w:style>
  <w:style w:type="character" w:customStyle="1" w:styleId="QuoteChar">
    <w:name w:val="Quote Char"/>
    <w:basedOn w:val="DefaultParagraphFont"/>
    <w:link w:val="Quote"/>
    <w:uiPriority w:val="29"/>
    <w:rsid w:val="00F940AA"/>
    <w:rPr>
      <w:i/>
      <w:iCs/>
      <w:color w:val="404040" w:themeColor="text1" w:themeTint="BF"/>
    </w:rPr>
  </w:style>
  <w:style w:type="paragraph" w:styleId="ListParagraph">
    <w:name w:val="List Paragraph"/>
    <w:basedOn w:val="Normal"/>
    <w:uiPriority w:val="34"/>
    <w:qFormat/>
    <w:rsid w:val="00F940AA"/>
    <w:pPr>
      <w:ind w:left="720"/>
      <w:contextualSpacing/>
    </w:pPr>
  </w:style>
  <w:style w:type="character" w:styleId="IntenseEmphasis">
    <w:name w:val="Intense Emphasis"/>
    <w:basedOn w:val="DefaultParagraphFont"/>
    <w:uiPriority w:val="21"/>
    <w:qFormat/>
    <w:rsid w:val="00F940AA"/>
    <w:rPr>
      <w:i/>
      <w:iCs/>
      <w:color w:val="2F5496" w:themeColor="accent1" w:themeShade="BF"/>
    </w:rPr>
  </w:style>
  <w:style w:type="paragraph" w:styleId="IntenseQuote">
    <w:name w:val="Intense Quote"/>
    <w:basedOn w:val="Normal"/>
    <w:next w:val="Normal"/>
    <w:link w:val="IntenseQuoteChar"/>
    <w:uiPriority w:val="30"/>
    <w:qFormat/>
    <w:rsid w:val="00F940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40AA"/>
    <w:rPr>
      <w:i/>
      <w:iCs/>
      <w:color w:val="2F5496" w:themeColor="accent1" w:themeShade="BF"/>
    </w:rPr>
  </w:style>
  <w:style w:type="character" w:styleId="IntenseReference">
    <w:name w:val="Intense Reference"/>
    <w:basedOn w:val="DefaultParagraphFont"/>
    <w:uiPriority w:val="32"/>
    <w:qFormat/>
    <w:rsid w:val="00F940AA"/>
    <w:rPr>
      <w:b/>
      <w:bCs/>
      <w:smallCaps/>
      <w:color w:val="2F5496" w:themeColor="accent1" w:themeShade="BF"/>
      <w:spacing w:val="5"/>
    </w:rPr>
  </w:style>
  <w:style w:type="paragraph" w:styleId="NormalWeb">
    <w:name w:val="Normal (Web)"/>
    <w:basedOn w:val="Normal"/>
    <w:uiPriority w:val="99"/>
    <w:unhideWhenUsed/>
    <w:rsid w:val="00F940AA"/>
    <w:rPr>
      <w:rFonts w:ascii="Times New Roman" w:hAnsi="Times New Roman"/>
      <w:sz w:val="24"/>
      <w:szCs w:val="24"/>
    </w:rPr>
  </w:style>
  <w:style w:type="character" w:styleId="Hyperlink">
    <w:name w:val="Hyperlink"/>
    <w:basedOn w:val="DefaultParagraphFont"/>
    <w:uiPriority w:val="99"/>
    <w:unhideWhenUsed/>
    <w:rsid w:val="006D1A75"/>
    <w:rPr>
      <w:color w:val="0563C1" w:themeColor="hyperlink"/>
      <w:u w:val="single"/>
    </w:rPr>
  </w:style>
  <w:style w:type="character" w:styleId="UnresolvedMention">
    <w:name w:val="Unresolved Mention"/>
    <w:basedOn w:val="DefaultParagraphFont"/>
    <w:uiPriority w:val="99"/>
    <w:semiHidden/>
    <w:unhideWhenUsed/>
    <w:rsid w:val="006D1A75"/>
    <w:rPr>
      <w:color w:val="605E5C"/>
      <w:shd w:val="clear" w:color="auto" w:fill="E1DFDD"/>
    </w:rPr>
  </w:style>
  <w:style w:type="paragraph" w:styleId="Header">
    <w:name w:val="header"/>
    <w:basedOn w:val="Normal"/>
    <w:link w:val="HeaderChar"/>
    <w:uiPriority w:val="99"/>
    <w:unhideWhenUsed/>
    <w:rsid w:val="00DD3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E3C"/>
    <w:rPr>
      <w:rFonts w:ascii="Calibri" w:eastAsia="SimSun" w:hAnsi="Calibri" w:cs="Times New Roman"/>
      <w:kern w:val="0"/>
      <w:sz w:val="22"/>
      <w:szCs w:val="22"/>
      <w:lang w:eastAsia="zh-CN" w:bidi="ar-SA"/>
      <w14:ligatures w14:val="none"/>
    </w:rPr>
  </w:style>
  <w:style w:type="paragraph" w:styleId="Footer">
    <w:name w:val="footer"/>
    <w:basedOn w:val="Normal"/>
    <w:link w:val="FooterChar"/>
    <w:uiPriority w:val="99"/>
    <w:unhideWhenUsed/>
    <w:rsid w:val="00DD3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E3C"/>
    <w:rPr>
      <w:rFonts w:ascii="Calibri" w:eastAsia="SimSun" w:hAnsi="Calibri" w:cs="Times New Roman"/>
      <w:kern w:val="0"/>
      <w:sz w:val="22"/>
      <w:szCs w:val="22"/>
      <w:lang w:eastAsia="zh-CN" w:bidi="ar-SA"/>
      <w14:ligatures w14:val="none"/>
    </w:rPr>
  </w:style>
  <w:style w:type="character" w:styleId="CommentReference">
    <w:name w:val="annotation reference"/>
    <w:basedOn w:val="DefaultParagraphFont"/>
    <w:uiPriority w:val="99"/>
    <w:semiHidden/>
    <w:unhideWhenUsed/>
    <w:rsid w:val="000961C5"/>
    <w:rPr>
      <w:sz w:val="16"/>
      <w:szCs w:val="16"/>
    </w:rPr>
  </w:style>
  <w:style w:type="paragraph" w:styleId="CommentText">
    <w:name w:val="annotation text"/>
    <w:basedOn w:val="Normal"/>
    <w:link w:val="CommentTextChar"/>
    <w:uiPriority w:val="99"/>
    <w:semiHidden/>
    <w:unhideWhenUsed/>
    <w:rsid w:val="000961C5"/>
    <w:pPr>
      <w:spacing w:line="240" w:lineRule="auto"/>
    </w:pPr>
    <w:rPr>
      <w:sz w:val="20"/>
      <w:szCs w:val="20"/>
    </w:rPr>
  </w:style>
  <w:style w:type="character" w:customStyle="1" w:styleId="CommentTextChar">
    <w:name w:val="Comment Text Char"/>
    <w:basedOn w:val="DefaultParagraphFont"/>
    <w:link w:val="CommentText"/>
    <w:uiPriority w:val="99"/>
    <w:semiHidden/>
    <w:rsid w:val="000961C5"/>
    <w:rPr>
      <w:rFonts w:ascii="Calibri" w:eastAsia="SimSun" w:hAnsi="Calibri" w:cs="Times New Roman"/>
      <w:kern w:val="0"/>
      <w:sz w:val="20"/>
      <w:szCs w:val="20"/>
      <w:lang w:eastAsia="zh-CN" w:bidi="ar-SA"/>
      <w14:ligatures w14:val="none"/>
    </w:rPr>
  </w:style>
  <w:style w:type="paragraph" w:styleId="CommentSubject">
    <w:name w:val="annotation subject"/>
    <w:basedOn w:val="CommentText"/>
    <w:next w:val="CommentText"/>
    <w:link w:val="CommentSubjectChar"/>
    <w:uiPriority w:val="99"/>
    <w:semiHidden/>
    <w:unhideWhenUsed/>
    <w:rsid w:val="000961C5"/>
    <w:rPr>
      <w:b/>
      <w:bCs/>
    </w:rPr>
  </w:style>
  <w:style w:type="character" w:customStyle="1" w:styleId="CommentSubjectChar">
    <w:name w:val="Comment Subject Char"/>
    <w:basedOn w:val="CommentTextChar"/>
    <w:link w:val="CommentSubject"/>
    <w:uiPriority w:val="99"/>
    <w:semiHidden/>
    <w:rsid w:val="000961C5"/>
    <w:rPr>
      <w:rFonts w:ascii="Calibri" w:eastAsia="SimSun" w:hAnsi="Calibri" w:cs="Times New Roman"/>
      <w:b/>
      <w:bCs/>
      <w:kern w:val="0"/>
      <w:sz w:val="20"/>
      <w:szCs w:val="20"/>
      <w:lang w:eastAsia="zh-CN" w:bidi="ar-SA"/>
      <w14:ligatures w14:val="none"/>
    </w:rPr>
  </w:style>
  <w:style w:type="character" w:styleId="FollowedHyperlink">
    <w:name w:val="FollowedHyperlink"/>
    <w:basedOn w:val="DefaultParagraphFont"/>
    <w:uiPriority w:val="99"/>
    <w:semiHidden/>
    <w:unhideWhenUsed/>
    <w:rsid w:val="00230C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doi.org/10.14293/pr2199.000270.v1" TargetMode="External"/><Relationship Id="rId1" Type="http://schemas.openxmlformats.org/officeDocument/2006/relationships/hyperlink" Target="https://doi.org/10.52783/rlj.v11i1s.366"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21</Pages>
  <Words>6175</Words>
  <Characters>35203</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Gajanan Lambade</dc:creator>
  <cp:keywords/>
  <dc:description/>
  <cp:lastModifiedBy>murmu</cp:lastModifiedBy>
  <cp:revision>18</cp:revision>
  <dcterms:created xsi:type="dcterms:W3CDTF">2025-11-24T18:01:00Z</dcterms:created>
  <dcterms:modified xsi:type="dcterms:W3CDTF">2025-12-01T16:41:00Z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5cd7fdd9-c06a-41a9-a575-2e47839b5864</vt:lpwstr>
  </property>
</Properties>
</file>