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DC58" w14:textId="77777777" w:rsidR="005A53E7" w:rsidRDefault="005A53E7" w:rsidP="005B4A37">
      <w:pPr>
        <w:pStyle w:val="Author"/>
        <w:spacing w:line="240" w:lineRule="auto"/>
        <w:rPr>
          <w:rFonts w:ascii="Arial" w:hAnsi="Arial" w:cs="Arial"/>
          <w:sz w:val="36"/>
          <w:szCs w:val="36"/>
        </w:rPr>
      </w:pPr>
      <w:r w:rsidRPr="005A53E7">
        <w:rPr>
          <w:rFonts w:ascii="Arial" w:hAnsi="Arial" w:cs="Arial"/>
          <w:sz w:val="36"/>
          <w:szCs w:val="36"/>
        </w:rPr>
        <w:t>Minireview Article</w:t>
      </w:r>
    </w:p>
    <w:p w14:paraId="1A15E945" w14:textId="77777777" w:rsidR="005A53E7" w:rsidRDefault="005A53E7" w:rsidP="005B4A37">
      <w:pPr>
        <w:pStyle w:val="Author"/>
        <w:spacing w:line="240" w:lineRule="auto"/>
        <w:rPr>
          <w:rFonts w:ascii="Arial" w:hAnsi="Arial" w:cs="Arial"/>
          <w:sz w:val="36"/>
          <w:szCs w:val="36"/>
        </w:rPr>
      </w:pPr>
    </w:p>
    <w:p w14:paraId="4E47E973" w14:textId="72A75FDF" w:rsidR="00A258C3" w:rsidRDefault="00C34BE5" w:rsidP="005B4A37">
      <w:pPr>
        <w:pStyle w:val="Author"/>
        <w:spacing w:line="240" w:lineRule="auto"/>
        <w:rPr>
          <w:rFonts w:ascii="Arial" w:hAnsi="Arial" w:cs="Arial"/>
          <w:sz w:val="36"/>
          <w:szCs w:val="36"/>
        </w:rPr>
      </w:pPr>
      <w:r w:rsidRPr="0019055A">
        <w:rPr>
          <w:rFonts w:ascii="Arial" w:hAnsi="Arial" w:cs="Arial"/>
          <w:sz w:val="36"/>
          <w:szCs w:val="36"/>
        </w:rPr>
        <w:t>Vitamin B12 Deficiency: Biological Mechanisms, Diagnostic Developments, and Evidence-Supported Therapeutic Approaches — A Comprehensive Review</w:t>
      </w:r>
    </w:p>
    <w:p w14:paraId="5E1724AC" w14:textId="585ACB86" w:rsidR="0011564E" w:rsidRDefault="0011564E" w:rsidP="00136643">
      <w:pPr>
        <w:pStyle w:val="Author"/>
        <w:spacing w:line="240" w:lineRule="auto"/>
        <w:rPr>
          <w:rFonts w:ascii="Arial" w:hAnsi="Arial" w:cs="Arial"/>
        </w:rPr>
      </w:pPr>
    </w:p>
    <w:p w14:paraId="2E3ECB31" w14:textId="3A05E5C7" w:rsidR="00557AC6" w:rsidRDefault="00557AC6" w:rsidP="00136643">
      <w:pPr>
        <w:pStyle w:val="Author"/>
        <w:spacing w:line="240" w:lineRule="auto"/>
        <w:rPr>
          <w:rFonts w:ascii="Arial" w:hAnsi="Arial" w:cs="Arial"/>
          <w:b w:val="0"/>
          <w:i/>
          <w:sz w:val="16"/>
        </w:rPr>
      </w:pPr>
    </w:p>
    <w:p w14:paraId="0F4CC801" w14:textId="0FA1977F" w:rsidR="00557AC6" w:rsidRDefault="00557AC6" w:rsidP="00136643">
      <w:pPr>
        <w:pStyle w:val="Author"/>
        <w:spacing w:line="240" w:lineRule="auto"/>
        <w:rPr>
          <w:rFonts w:ascii="Arial" w:hAnsi="Arial" w:cs="Arial"/>
          <w:b w:val="0"/>
          <w:i/>
          <w:sz w:val="16"/>
        </w:rPr>
      </w:pPr>
    </w:p>
    <w:p w14:paraId="453DA167" w14:textId="6865C415" w:rsidR="00557AC6" w:rsidRDefault="00557AC6" w:rsidP="00136643">
      <w:pPr>
        <w:pStyle w:val="Author"/>
        <w:spacing w:line="240" w:lineRule="auto"/>
        <w:rPr>
          <w:rFonts w:ascii="Arial" w:hAnsi="Arial" w:cs="Arial"/>
          <w:b w:val="0"/>
          <w:i/>
          <w:sz w:val="16"/>
        </w:rPr>
      </w:pPr>
    </w:p>
    <w:p w14:paraId="23204767" w14:textId="285FF1DE" w:rsidR="00557AC6" w:rsidRDefault="00557AC6" w:rsidP="00136643">
      <w:pPr>
        <w:pStyle w:val="Author"/>
        <w:spacing w:line="240" w:lineRule="auto"/>
        <w:rPr>
          <w:rFonts w:ascii="Arial" w:hAnsi="Arial" w:cs="Arial"/>
          <w:b w:val="0"/>
          <w:i/>
          <w:sz w:val="16"/>
        </w:rPr>
      </w:pPr>
    </w:p>
    <w:p w14:paraId="03CE9503" w14:textId="273752E2" w:rsidR="00557AC6" w:rsidRDefault="00557AC6" w:rsidP="00136643">
      <w:pPr>
        <w:pStyle w:val="Author"/>
        <w:spacing w:line="240" w:lineRule="auto"/>
        <w:rPr>
          <w:rFonts w:ascii="Arial" w:hAnsi="Arial" w:cs="Arial"/>
          <w:b w:val="0"/>
          <w:i/>
          <w:sz w:val="16"/>
        </w:rPr>
      </w:pPr>
    </w:p>
    <w:p w14:paraId="107363D3" w14:textId="77777777" w:rsidR="00557AC6" w:rsidRPr="00136643" w:rsidRDefault="00557AC6" w:rsidP="00136643">
      <w:pPr>
        <w:pStyle w:val="Author"/>
        <w:spacing w:line="240" w:lineRule="auto"/>
        <w:rPr>
          <w:rFonts w:ascii="Arial" w:hAnsi="Arial" w:cs="Arial"/>
          <w:b w:val="0"/>
          <w:i/>
          <w:sz w:val="16"/>
        </w:rPr>
      </w:pPr>
    </w:p>
    <w:p w14:paraId="382982F0" w14:textId="1ED07EE5" w:rsidR="00B01FCD" w:rsidRPr="0019055A" w:rsidRDefault="006430FD" w:rsidP="00441B6F">
      <w:pPr>
        <w:pStyle w:val="Copyright"/>
        <w:spacing w:after="0" w:line="240" w:lineRule="auto"/>
        <w:jc w:val="both"/>
        <w:rPr>
          <w:rFonts w:ascii="Arial" w:hAnsi="Arial" w:cs="Arial"/>
        </w:rPr>
        <w:sectPr w:rsidR="00B01FCD" w:rsidRPr="0019055A" w:rsidSect="00964E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666175" wp14:editId="14125841">
                <wp:extent cx="5303520" cy="635"/>
                <wp:effectExtent l="17145" t="11430" r="13335" b="17145"/>
                <wp:docPr id="1983086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16A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9055A">
        <w:rPr>
          <w:rFonts w:ascii="Arial" w:hAnsi="Arial" w:cs="Arial"/>
        </w:rPr>
        <w:t>.</w:t>
      </w:r>
    </w:p>
    <w:p w14:paraId="2B90F2E7" w14:textId="77777777" w:rsidR="00136643" w:rsidRDefault="00136643" w:rsidP="00441B6F">
      <w:pPr>
        <w:pStyle w:val="AbstHead"/>
        <w:spacing w:after="0"/>
        <w:jc w:val="both"/>
        <w:rPr>
          <w:rFonts w:ascii="Arial" w:hAnsi="Arial" w:cs="Arial"/>
        </w:rPr>
      </w:pPr>
    </w:p>
    <w:p w14:paraId="72C346DB" w14:textId="77777777" w:rsidR="00B01FCD" w:rsidRPr="0019055A" w:rsidRDefault="00B01FCD" w:rsidP="00441B6F">
      <w:pPr>
        <w:pStyle w:val="AbstHead"/>
        <w:spacing w:after="0"/>
        <w:jc w:val="both"/>
        <w:rPr>
          <w:rFonts w:ascii="Arial" w:hAnsi="Arial" w:cs="Arial"/>
        </w:rPr>
      </w:pPr>
      <w:r w:rsidRPr="0019055A">
        <w:rPr>
          <w:rFonts w:ascii="Arial" w:hAnsi="Arial" w:cs="Arial"/>
        </w:rPr>
        <w:t>ABSTRACT</w:t>
      </w:r>
      <w:r w:rsidR="0066510A" w:rsidRPr="0019055A">
        <w:rPr>
          <w:rFonts w:ascii="Arial" w:hAnsi="Arial" w:cs="Arial"/>
        </w:rPr>
        <w:t xml:space="preserve"> </w:t>
      </w:r>
    </w:p>
    <w:p w14:paraId="48822F94" w14:textId="77777777" w:rsidR="00790ADA" w:rsidRPr="0019055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9055A" w14:paraId="5A249080" w14:textId="77777777" w:rsidTr="001E44FE">
        <w:tc>
          <w:tcPr>
            <w:tcW w:w="9576" w:type="dxa"/>
            <w:shd w:val="clear" w:color="auto" w:fill="F2F2F2"/>
          </w:tcPr>
          <w:p w14:paraId="45680985" w14:textId="63FAC2CD" w:rsidR="0035337A" w:rsidRPr="0019055A" w:rsidRDefault="0035337A" w:rsidP="0035337A">
            <w:pPr>
              <w:pStyle w:val="Normal1"/>
              <w:spacing w:line="360" w:lineRule="auto"/>
              <w:rPr>
                <w:rFonts w:eastAsia="Times New Roman"/>
                <w:sz w:val="20"/>
                <w:szCs w:val="20"/>
              </w:rPr>
            </w:pPr>
            <w:r w:rsidRPr="0019055A">
              <w:rPr>
                <w:rFonts w:eastAsia="Times New Roman"/>
                <w:sz w:val="20"/>
                <w:szCs w:val="20"/>
              </w:rPr>
              <w:t xml:space="preserve">Vitamin B12 or Cobalamin is a water-soluble vitamin that is needed in the synthesis of DNA, methylation reactions, metabolism of amino acids and fatty acid biosynthesis. Vitamin B12 deficiency is a significant social issue of concern to individuals regardless of their age and socioeconomic status, particularly in developing nations, including India. The clinical manifestations involve megaloblastic anemia, neurologic impairment, cognitive decline, cardiovascular issues, and poor maternal fetal disorders (neural tube defects, low birth weights). The causes of deficiency include </w:t>
            </w:r>
            <w:commentRangeStart w:id="0"/>
            <w:r w:rsidRPr="00D71C82">
              <w:rPr>
                <w:rFonts w:eastAsia="Times New Roman"/>
                <w:color w:val="FF0000"/>
                <w:sz w:val="20"/>
                <w:szCs w:val="20"/>
              </w:rPr>
              <w:t>mal</w:t>
            </w:r>
            <w:r w:rsidR="00D71C82" w:rsidRPr="00D71C82">
              <w:rPr>
                <w:rFonts w:eastAsia="Times New Roman"/>
                <w:color w:val="FF0000"/>
                <w:sz w:val="20"/>
                <w:szCs w:val="20"/>
              </w:rPr>
              <w:t xml:space="preserve"> </w:t>
            </w:r>
            <w:r w:rsidRPr="00D71C82">
              <w:rPr>
                <w:rFonts w:eastAsia="Times New Roman"/>
                <w:color w:val="FF0000"/>
                <w:sz w:val="20"/>
                <w:szCs w:val="20"/>
              </w:rPr>
              <w:t>absorption</w:t>
            </w:r>
            <w:commentRangeEnd w:id="0"/>
            <w:r w:rsidR="00D71C82" w:rsidRPr="00D71C82">
              <w:rPr>
                <w:rStyle w:val="CommentReference"/>
                <w:rFonts w:ascii="Times New Roman" w:eastAsia="Times New Roman" w:hAnsi="Times New Roman" w:cs="Times New Roman"/>
                <w:color w:val="FF0000"/>
                <w:lang w:val="nb-NO" w:eastAsia="nb-NO"/>
              </w:rPr>
              <w:commentReference w:id="0"/>
            </w:r>
            <w:r w:rsidRPr="0019055A">
              <w:rPr>
                <w:rFonts w:eastAsia="Times New Roman"/>
                <w:sz w:val="20"/>
                <w:szCs w:val="20"/>
              </w:rPr>
              <w:t xml:space="preserve">, gastrointestinal disorders, poor diet, chronic medication and genetic variables. Irrespective of this clinical importance, however, B12 deficiency is often under diagnosed due to the insidious manifestation, as well as the absence of easily accessible diagnostic instruments. This is a comprehensive review of the biochemical process of vitamin B12, its absorption and metabolism, the prevalence of the vitamin all over the world and in India, the clinical outcome, the diagnosis, the supplementation plan, and the measures taken by the government to prevent diseases. There are also emerging studies, policy implications and future perspectives that are discussed with the intention of informing how to prevent and manage this </w:t>
            </w:r>
            <w:commentRangeStart w:id="1"/>
            <w:r w:rsidRPr="00B02353">
              <w:rPr>
                <w:rFonts w:eastAsia="Times New Roman"/>
                <w:color w:val="FF0000"/>
                <w:sz w:val="20"/>
                <w:szCs w:val="20"/>
              </w:rPr>
              <w:t>pandemic nutritional deficiency</w:t>
            </w:r>
            <w:commentRangeEnd w:id="1"/>
            <w:r w:rsidR="00B02353">
              <w:rPr>
                <w:rStyle w:val="CommentReference"/>
                <w:rFonts w:ascii="Times New Roman" w:eastAsia="Times New Roman" w:hAnsi="Times New Roman" w:cs="Times New Roman"/>
                <w:lang w:val="nb-NO" w:eastAsia="nb-NO"/>
              </w:rPr>
              <w:commentReference w:id="1"/>
            </w:r>
            <w:r w:rsidRPr="0019055A">
              <w:rPr>
                <w:rFonts w:eastAsia="Times New Roman"/>
                <w:sz w:val="20"/>
                <w:szCs w:val="20"/>
              </w:rPr>
              <w:t>.</w:t>
            </w:r>
          </w:p>
          <w:p w14:paraId="43421B78" w14:textId="77777777" w:rsidR="00505F06" w:rsidRPr="0019055A" w:rsidRDefault="00505F06" w:rsidP="00441B6F">
            <w:pPr>
              <w:pStyle w:val="Body"/>
              <w:spacing w:after="0"/>
              <w:rPr>
                <w:rFonts w:ascii="Arial" w:eastAsia="Calibri" w:hAnsi="Arial" w:cs="Arial"/>
                <w:szCs w:val="22"/>
              </w:rPr>
            </w:pPr>
          </w:p>
        </w:tc>
      </w:tr>
    </w:tbl>
    <w:p w14:paraId="47C86A66" w14:textId="77777777" w:rsidR="00636EB2" w:rsidRPr="0019055A" w:rsidRDefault="00636EB2" w:rsidP="00441B6F">
      <w:pPr>
        <w:pStyle w:val="Body"/>
        <w:spacing w:after="0"/>
        <w:rPr>
          <w:rFonts w:ascii="Arial" w:hAnsi="Arial" w:cs="Arial"/>
          <w:i/>
        </w:rPr>
      </w:pPr>
    </w:p>
    <w:p w14:paraId="6EA6941B" w14:textId="77777777" w:rsidR="00BF5155" w:rsidRPr="0019055A" w:rsidRDefault="0035337A" w:rsidP="00441B6F">
      <w:pPr>
        <w:pStyle w:val="Body"/>
        <w:spacing w:after="0"/>
        <w:rPr>
          <w:rFonts w:ascii="Arial" w:hAnsi="Arial" w:cs="Arial"/>
          <w:i/>
        </w:rPr>
      </w:pPr>
      <w:r w:rsidRPr="0019055A">
        <w:rPr>
          <w:rFonts w:ascii="Arial" w:hAnsi="Arial" w:cs="Arial"/>
          <w:i/>
        </w:rPr>
        <w:t>Keywords: Vitamin B12 Deficiency, Megaloblastic Anemia, Homocysteine, Methylmalonic acid, Diagnostic Biomarker, Holotranscobalamine, Therapeutic Supplementation</w:t>
      </w:r>
    </w:p>
    <w:p w14:paraId="078CD3D6" w14:textId="77777777" w:rsidR="00BF5155" w:rsidRPr="0019055A" w:rsidRDefault="00BF5155" w:rsidP="00441B6F">
      <w:pPr>
        <w:pStyle w:val="Body"/>
        <w:spacing w:after="0"/>
        <w:rPr>
          <w:rFonts w:ascii="Arial" w:hAnsi="Arial" w:cs="Arial"/>
          <w:i/>
          <w:sz w:val="18"/>
        </w:rPr>
      </w:pPr>
    </w:p>
    <w:p w14:paraId="40A76E51" w14:textId="77777777" w:rsidR="00505F06" w:rsidRPr="0019055A" w:rsidRDefault="00505F06" w:rsidP="00441B6F">
      <w:pPr>
        <w:pStyle w:val="Body"/>
        <w:spacing w:after="0"/>
        <w:rPr>
          <w:rFonts w:ascii="Arial" w:hAnsi="Arial" w:cs="Arial"/>
          <w:i/>
        </w:rPr>
      </w:pPr>
    </w:p>
    <w:p w14:paraId="723FEE64" w14:textId="77777777" w:rsidR="00BF5155" w:rsidRPr="0019055A" w:rsidRDefault="00902823" w:rsidP="005B4A37">
      <w:pPr>
        <w:pStyle w:val="AbstHead"/>
        <w:spacing w:after="0"/>
        <w:jc w:val="both"/>
        <w:rPr>
          <w:rFonts w:ascii="Arial" w:hAnsi="Arial" w:cs="Arial"/>
        </w:rPr>
      </w:pPr>
      <w:r w:rsidRPr="0019055A">
        <w:rPr>
          <w:rFonts w:ascii="Arial" w:hAnsi="Arial" w:cs="Arial"/>
        </w:rPr>
        <w:t xml:space="preserve">1. </w:t>
      </w:r>
      <w:r w:rsidR="00B01FCD" w:rsidRPr="0019055A">
        <w:rPr>
          <w:rFonts w:ascii="Arial" w:hAnsi="Arial" w:cs="Arial"/>
        </w:rPr>
        <w:t>INTRODUCTION</w:t>
      </w:r>
    </w:p>
    <w:p w14:paraId="19A971C9" w14:textId="77777777" w:rsidR="00BF5155" w:rsidRPr="0019055A" w:rsidRDefault="00BF5155" w:rsidP="00BF5155">
      <w:pPr>
        <w:pStyle w:val="Normal1"/>
        <w:spacing w:line="240" w:lineRule="auto"/>
        <w:jc w:val="both"/>
        <w:rPr>
          <w:rFonts w:eastAsia="Times New Roman"/>
          <w:sz w:val="20"/>
          <w:szCs w:val="20"/>
        </w:rPr>
      </w:pPr>
      <w:r w:rsidRPr="0019055A">
        <w:rPr>
          <w:rFonts w:eastAsia="Times New Roman"/>
          <w:sz w:val="20"/>
          <w:szCs w:val="20"/>
        </w:rPr>
        <w:t xml:space="preserve">Cobalamin or vitamin B12 is a water-soluble vitamin that is needed to maintain the health of a human being, with significant roles in the synthesis of DNA, the formation of red blood cells, neurological functioning, and one-carbon metabolism. This has enabled it to be used as a cofactor in important enzymatic reactions because of its unusual chemical structure that contains a cobalt atom in the centre of a corrin ring. Although </w:t>
      </w:r>
      <w:bookmarkStart w:id="2" w:name="_Hlk214087765"/>
      <w:r w:rsidRPr="0019055A">
        <w:rPr>
          <w:rFonts w:eastAsia="Times New Roman"/>
          <w:sz w:val="20"/>
          <w:szCs w:val="20"/>
        </w:rPr>
        <w:t xml:space="preserve">vitamin B12 </w:t>
      </w:r>
      <w:bookmarkEnd w:id="2"/>
      <w:r w:rsidRPr="0019055A">
        <w:rPr>
          <w:rFonts w:eastAsia="Times New Roman"/>
          <w:sz w:val="20"/>
          <w:szCs w:val="20"/>
        </w:rPr>
        <w:t xml:space="preserve">has very significant functions, it is a global health problem and the rate of vitamin B12 deficiency is rising among all population groups, particularly vegetarians, vegans, pregnant women, older individuals and individuals with gastrointestinal diseases or </w:t>
      </w:r>
      <w:r w:rsidRPr="0019055A">
        <w:rPr>
          <w:rFonts w:eastAsia="Times New Roman"/>
          <w:sz w:val="20"/>
          <w:szCs w:val="20"/>
        </w:rPr>
        <w:lastRenderedPageBreak/>
        <w:t>genetic defects that impair absorption and metabolism of vitamin B12. Its deficiency has both direct and indirect influences on the hematological, neurological, metabolic and developmental health and therefore, the significance of knowing its biochemistry, absorption and its clinical relevance.</w:t>
      </w:r>
    </w:p>
    <w:p w14:paraId="147EDE73" w14:textId="77777777" w:rsidR="00BF5155" w:rsidRPr="0019055A" w:rsidRDefault="00BF5155" w:rsidP="00BF5155">
      <w:pPr>
        <w:pStyle w:val="Normal1"/>
        <w:spacing w:line="240" w:lineRule="auto"/>
        <w:jc w:val="both"/>
        <w:rPr>
          <w:rFonts w:eastAsia="Times New Roman"/>
          <w:sz w:val="20"/>
          <w:szCs w:val="20"/>
        </w:rPr>
      </w:pPr>
    </w:p>
    <w:p w14:paraId="62289E9E" w14:textId="77777777" w:rsidR="00BF5155" w:rsidRPr="0019055A" w:rsidRDefault="00BF5155" w:rsidP="00BF5155">
      <w:pPr>
        <w:pStyle w:val="Normal1"/>
        <w:spacing w:line="240" w:lineRule="auto"/>
        <w:jc w:val="both"/>
        <w:rPr>
          <w:rFonts w:eastAsia="Times New Roman"/>
          <w:b/>
        </w:rPr>
      </w:pPr>
      <w:r w:rsidRPr="0019055A">
        <w:rPr>
          <w:rFonts w:eastAsia="Times New Roman"/>
          <w:b/>
        </w:rPr>
        <w:t>1.1 Chemical Structure and Biological Significance:</w:t>
      </w:r>
    </w:p>
    <w:p w14:paraId="4B5A001E" w14:textId="77777777" w:rsidR="00BF5155" w:rsidRPr="0019055A" w:rsidRDefault="00BF5155" w:rsidP="00BF5155">
      <w:pPr>
        <w:pStyle w:val="Normal1"/>
        <w:spacing w:line="240" w:lineRule="auto"/>
        <w:jc w:val="both"/>
        <w:rPr>
          <w:rFonts w:eastAsia="Times New Roman"/>
          <w:sz w:val="20"/>
          <w:szCs w:val="20"/>
        </w:rPr>
      </w:pPr>
      <w:r w:rsidRPr="0019055A">
        <w:rPr>
          <w:rFonts w:eastAsia="Times New Roman"/>
          <w:sz w:val="20"/>
          <w:szCs w:val="20"/>
        </w:rPr>
        <w:t xml:space="preserve">Cobalamin is the only vitamin with a cobalt atom attached to the corrin ring that allows it to serve in enzymatic reactions as an essential cofactor. </w:t>
      </w:r>
      <w:r w:rsidR="003F27E9" w:rsidRPr="0019055A">
        <w:rPr>
          <w:rFonts w:eastAsia="Times New Roman"/>
          <w:sz w:val="20"/>
          <w:szCs w:val="20"/>
        </w:rPr>
        <w:t>Vitamin B12 (cobalamin) is an essential dietary micronutrient that humans cannot synthesize and must obtain from food, primarily of animal origin, and its significance in supporting both simple and complex biochemical processes in the body has been emphasized (O’Leary and Samman 2020)</w:t>
      </w:r>
      <w:r w:rsidR="00DA7AE6" w:rsidRPr="0019055A">
        <w:rPr>
          <w:rFonts w:eastAsia="Times New Roman"/>
          <w:sz w:val="20"/>
          <w:szCs w:val="20"/>
        </w:rPr>
        <w:t xml:space="preserve"> </w:t>
      </w:r>
      <w:r w:rsidR="003F27E9" w:rsidRPr="0019055A">
        <w:rPr>
          <w:rFonts w:eastAsia="Times New Roman"/>
          <w:sz w:val="20"/>
          <w:szCs w:val="20"/>
        </w:rPr>
        <w:t>[1] and (Fang et al. 2022)</w:t>
      </w:r>
      <w:r w:rsidR="00DA7AE6" w:rsidRPr="0019055A">
        <w:rPr>
          <w:rFonts w:eastAsia="Times New Roman"/>
          <w:sz w:val="20"/>
          <w:szCs w:val="20"/>
        </w:rPr>
        <w:t xml:space="preserve"> </w:t>
      </w:r>
      <w:r w:rsidR="003F27E9" w:rsidRPr="0019055A">
        <w:rPr>
          <w:rFonts w:eastAsia="Times New Roman"/>
          <w:sz w:val="20"/>
          <w:szCs w:val="20"/>
        </w:rPr>
        <w:t>[2]</w:t>
      </w:r>
      <w:r w:rsidR="003F27E9" w:rsidRPr="0019055A">
        <w:rPr>
          <w:sz w:val="20"/>
          <w:szCs w:val="20"/>
        </w:rPr>
        <w:t>.</w:t>
      </w:r>
      <w:r w:rsidR="00DA7AE6" w:rsidRPr="0019055A">
        <w:rPr>
          <w:sz w:val="20"/>
          <w:szCs w:val="20"/>
        </w:rPr>
        <w:t xml:space="preserve"> </w:t>
      </w:r>
      <w:r w:rsidR="003F27E9" w:rsidRPr="0019055A">
        <w:rPr>
          <w:sz w:val="20"/>
          <w:szCs w:val="20"/>
        </w:rPr>
        <w:t xml:space="preserve">It is emphasized that </w:t>
      </w:r>
      <w:r w:rsidR="003F27E9" w:rsidRPr="0019055A">
        <w:rPr>
          <w:rFonts w:eastAsia="Times New Roman"/>
          <w:sz w:val="20"/>
          <w:szCs w:val="20"/>
        </w:rPr>
        <w:t xml:space="preserve">vitamin B12 </w:t>
      </w:r>
      <w:r w:rsidR="003F27E9" w:rsidRPr="0019055A">
        <w:rPr>
          <w:sz w:val="20"/>
          <w:szCs w:val="20"/>
        </w:rPr>
        <w:t>exists in various chemical forms, including cyanocobalamin, hydroxocobalamin, adenosylcobalamin, and methylcobalamin</w:t>
      </w:r>
      <w:r w:rsidR="00DA7AE6" w:rsidRPr="0019055A">
        <w:rPr>
          <w:sz w:val="20"/>
          <w:szCs w:val="20"/>
        </w:rPr>
        <w:t xml:space="preserve"> </w:t>
      </w:r>
      <w:r w:rsidR="003F27E9" w:rsidRPr="0019055A">
        <w:rPr>
          <w:sz w:val="20"/>
          <w:szCs w:val="20"/>
        </w:rPr>
        <w:t>(</w:t>
      </w:r>
      <w:r w:rsidR="003F27E9" w:rsidRPr="0019055A">
        <w:rPr>
          <w:rFonts w:eastAsia="Times New Roman"/>
          <w:sz w:val="20"/>
          <w:szCs w:val="20"/>
        </w:rPr>
        <w:t>Temova Rakuša</w:t>
      </w:r>
      <w:r w:rsidR="003F27E9" w:rsidRPr="0019055A">
        <w:rPr>
          <w:sz w:val="20"/>
          <w:szCs w:val="20"/>
        </w:rPr>
        <w:t xml:space="preserve"> et al. 2022)</w:t>
      </w:r>
      <w:r w:rsidR="00DA7AE6" w:rsidRPr="0019055A">
        <w:rPr>
          <w:sz w:val="20"/>
          <w:szCs w:val="20"/>
        </w:rPr>
        <w:t xml:space="preserve"> </w:t>
      </w:r>
      <w:r w:rsidR="003F27E9" w:rsidRPr="0019055A">
        <w:rPr>
          <w:sz w:val="20"/>
          <w:szCs w:val="20"/>
        </w:rPr>
        <w:t>[3].</w:t>
      </w:r>
      <w:r w:rsidR="00DA7AE6" w:rsidRPr="0019055A">
        <w:rPr>
          <w:sz w:val="20"/>
          <w:szCs w:val="20"/>
        </w:rPr>
        <w:t xml:space="preserve"> </w:t>
      </w:r>
      <w:r w:rsidRPr="0019055A">
        <w:rPr>
          <w:rFonts w:eastAsia="Times New Roman"/>
          <w:sz w:val="20"/>
          <w:szCs w:val="20"/>
        </w:rPr>
        <w:t xml:space="preserve">It contributes to processes that are critical to cellular and systemic health, such as the synthesis of </w:t>
      </w:r>
      <w:r w:rsidR="00016BB7" w:rsidRPr="0019055A">
        <w:rPr>
          <w:rFonts w:eastAsia="Times New Roman"/>
          <w:sz w:val="20"/>
          <w:szCs w:val="20"/>
        </w:rPr>
        <w:t>Deoxyribonucleic acid (DNA)</w:t>
      </w:r>
      <w:r w:rsidRPr="0019055A">
        <w:rPr>
          <w:rFonts w:eastAsia="Times New Roman"/>
          <w:sz w:val="20"/>
          <w:szCs w:val="20"/>
        </w:rPr>
        <w:t xml:space="preserve">, methylation reactions, and energy metabolism. These responses are very critical to the sustenance of normal hematopoietic, neurological, and general metabolic homeostasis. The biological importance of vitamin B12 is not limited to the fundamental metabolic process and has been linked to cognitive health in old age, heart activity and the development of the fetus. </w:t>
      </w:r>
    </w:p>
    <w:p w14:paraId="56C36E3E" w14:textId="77777777" w:rsidR="003F27E9" w:rsidRPr="0019055A" w:rsidRDefault="003F27E9" w:rsidP="00BF5155">
      <w:pPr>
        <w:pStyle w:val="Normal1"/>
        <w:spacing w:line="240" w:lineRule="auto"/>
        <w:jc w:val="both"/>
        <w:rPr>
          <w:rFonts w:eastAsia="Times New Roman"/>
          <w:sz w:val="20"/>
          <w:szCs w:val="20"/>
        </w:rPr>
      </w:pPr>
    </w:p>
    <w:p w14:paraId="22691738" w14:textId="77777777" w:rsidR="003F27E9" w:rsidRPr="0019055A" w:rsidRDefault="00BF5155" w:rsidP="00BF5155">
      <w:pPr>
        <w:pStyle w:val="Normal1"/>
        <w:spacing w:line="240" w:lineRule="auto"/>
        <w:jc w:val="both"/>
        <w:rPr>
          <w:rFonts w:eastAsia="Times New Roman"/>
        </w:rPr>
      </w:pPr>
      <w:r w:rsidRPr="0019055A">
        <w:rPr>
          <w:rFonts w:eastAsia="Times New Roman"/>
          <w:b/>
        </w:rPr>
        <w:t>1.2. Metabolic Functions</w:t>
      </w:r>
      <w:r w:rsidRPr="0019055A">
        <w:rPr>
          <w:rFonts w:eastAsia="Times New Roman"/>
        </w:rPr>
        <w:t>:</w:t>
      </w:r>
    </w:p>
    <w:p w14:paraId="34AC78E4" w14:textId="77777777" w:rsidR="00BF5155" w:rsidRPr="0019055A" w:rsidRDefault="00BF5155" w:rsidP="00BF5155">
      <w:pPr>
        <w:pStyle w:val="Normal1"/>
        <w:spacing w:line="240" w:lineRule="auto"/>
        <w:jc w:val="both"/>
        <w:rPr>
          <w:sz w:val="20"/>
          <w:szCs w:val="20"/>
          <w:shd w:val="clear" w:color="auto" w:fill="FFFFFF"/>
        </w:rPr>
      </w:pPr>
      <w:r w:rsidRPr="0019055A">
        <w:rPr>
          <w:rFonts w:eastAsia="Times New Roman"/>
          <w:sz w:val="20"/>
          <w:szCs w:val="20"/>
        </w:rPr>
        <w:t xml:space="preserve">The vitamin B12 facilitates two important enzyme reactions during the methylation of methionine synthase and in a second reaction with methylmalonic acid mutase. The catalyst of the remethylation of homocysteine into methionine is methionine synthetase a process that is central to DNA synthesis, methylation reaction and multiplication of cells. The disruption of this pathway results in hyperhomocysteinemia which has been associated with cardiovascular diseases, mental impairment and complications during pregnancy. </w:t>
      </w:r>
      <w:r w:rsidR="00016BB7" w:rsidRPr="0019055A">
        <w:rPr>
          <w:rFonts w:eastAsia="Times New Roman"/>
          <w:sz w:val="20"/>
          <w:szCs w:val="20"/>
        </w:rPr>
        <w:t>(</w:t>
      </w:r>
      <w:r w:rsidRPr="0019055A">
        <w:rPr>
          <w:rFonts w:eastAsia="Times New Roman"/>
          <w:sz w:val="20"/>
          <w:szCs w:val="20"/>
        </w:rPr>
        <w:t>Methylmalonyl-CoA</w:t>
      </w:r>
      <w:r w:rsidR="00016BB7" w:rsidRPr="0019055A">
        <w:rPr>
          <w:rFonts w:eastAsia="Times New Roman"/>
          <w:sz w:val="20"/>
          <w:szCs w:val="20"/>
        </w:rPr>
        <w:t>) Methymalonyl-Coenzyme A</w:t>
      </w:r>
      <w:r w:rsidRPr="0019055A">
        <w:rPr>
          <w:rFonts w:eastAsia="Times New Roman"/>
          <w:sz w:val="20"/>
          <w:szCs w:val="20"/>
        </w:rPr>
        <w:t xml:space="preserve"> mutase accomplishes the conversion of methylmalonyl-CoA to succinyl-CoA and links the metabolism of the amino acid and fatty acid to the tricarboxylic acid cycle. Absence of such a reaction results in the build-up of methylmalonic acid, and the latter is an approachable biomarker of B12 deficiency and induces a metabolic disharmony. The importance of these pathways is well established in the literature, which extensively explores the downstream consequences of B12 deficiency </w:t>
      </w:r>
      <w:r w:rsidRPr="0019055A">
        <w:rPr>
          <w:sz w:val="20"/>
          <w:szCs w:val="20"/>
        </w:rPr>
        <w:t>leads to the accumulation of branched-chain fatty acids in cell membranes, which, when deposited in neurons, result in neurological manifestations</w:t>
      </w:r>
      <w:r w:rsidRPr="0019055A">
        <w:rPr>
          <w:rFonts w:eastAsia="Times New Roman"/>
          <w:sz w:val="20"/>
          <w:szCs w:val="20"/>
        </w:rPr>
        <w:t xml:space="preserve"> cardiovascular, and metabolic health</w:t>
      </w:r>
      <w:r w:rsidR="00DA7AE6"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Zhao et al. 2022)</w:t>
      </w:r>
      <w:r w:rsidR="00DA7AE6" w:rsidRPr="0019055A">
        <w:rPr>
          <w:rFonts w:eastAsia="Times New Roman"/>
          <w:sz w:val="20"/>
          <w:szCs w:val="20"/>
        </w:rPr>
        <w:t xml:space="preserve"> </w:t>
      </w:r>
      <w:r w:rsidR="00EB0A2F" w:rsidRPr="0019055A">
        <w:rPr>
          <w:rFonts w:eastAsia="Times New Roman"/>
          <w:sz w:val="20"/>
          <w:szCs w:val="20"/>
        </w:rPr>
        <w:t>[4</w:t>
      </w:r>
      <w:r w:rsidRPr="0019055A">
        <w:rPr>
          <w:rFonts w:eastAsia="Times New Roman"/>
          <w:sz w:val="20"/>
          <w:szCs w:val="20"/>
        </w:rPr>
        <w:t>] (</w:t>
      </w:r>
      <w:r w:rsidR="00EB0A2F" w:rsidRPr="0019055A">
        <w:rPr>
          <w:rFonts w:eastAsia="Times New Roman"/>
          <w:sz w:val="20"/>
          <w:szCs w:val="20"/>
        </w:rPr>
        <w:t>Sayedali et al. 2023)</w:t>
      </w:r>
      <w:r w:rsidR="00DA7AE6" w:rsidRPr="0019055A">
        <w:rPr>
          <w:rFonts w:eastAsia="Times New Roman"/>
          <w:sz w:val="20"/>
          <w:szCs w:val="20"/>
        </w:rPr>
        <w:t xml:space="preserve"> </w:t>
      </w:r>
      <w:r w:rsidR="00EB0A2F" w:rsidRPr="0019055A">
        <w:rPr>
          <w:rFonts w:eastAsia="Times New Roman"/>
          <w:sz w:val="20"/>
          <w:szCs w:val="20"/>
        </w:rPr>
        <w:t>[5</w:t>
      </w:r>
      <w:r w:rsidRPr="0019055A">
        <w:rPr>
          <w:rFonts w:eastAsia="Times New Roman"/>
          <w:sz w:val="20"/>
          <w:szCs w:val="20"/>
        </w:rPr>
        <w:t>]</w:t>
      </w:r>
      <w:r w:rsidRPr="0019055A">
        <w:rPr>
          <w:sz w:val="20"/>
          <w:szCs w:val="20"/>
        </w:rPr>
        <w:t xml:space="preserve"> (Sridevi Nutakki et al. 2023)</w:t>
      </w:r>
      <w:r w:rsidR="00DA7AE6" w:rsidRPr="0019055A">
        <w:rPr>
          <w:sz w:val="20"/>
          <w:szCs w:val="20"/>
        </w:rPr>
        <w:t xml:space="preserve"> </w:t>
      </w:r>
      <w:r w:rsidR="00EB0A2F" w:rsidRPr="0019055A">
        <w:rPr>
          <w:sz w:val="20"/>
          <w:szCs w:val="20"/>
        </w:rPr>
        <w:t>[6]</w:t>
      </w:r>
      <w:r w:rsidRPr="0019055A">
        <w:rPr>
          <w:rFonts w:eastAsia="Times New Roman"/>
          <w:sz w:val="20"/>
          <w:szCs w:val="20"/>
        </w:rPr>
        <w:t>.</w:t>
      </w:r>
      <w:r w:rsidRPr="0019055A">
        <w:rPr>
          <w:sz w:val="20"/>
          <w:szCs w:val="20"/>
        </w:rPr>
        <w:t xml:space="preserve"> </w:t>
      </w:r>
      <w:r w:rsidRPr="0019055A">
        <w:rPr>
          <w:sz w:val="20"/>
          <w:szCs w:val="20"/>
          <w:shd w:val="clear" w:color="auto" w:fill="FFFFFF"/>
        </w:rPr>
        <w:t>Vitamin B</w:t>
      </w:r>
      <w:r w:rsidRPr="0019055A">
        <w:rPr>
          <w:rFonts w:ascii="Cambria Math" w:hAnsi="Cambria Math" w:cs="Cambria Math"/>
          <w:sz w:val="20"/>
          <w:szCs w:val="20"/>
          <w:shd w:val="clear" w:color="auto" w:fill="FFFFFF"/>
        </w:rPr>
        <w:t>₁₂</w:t>
      </w:r>
      <w:r w:rsidRPr="0019055A">
        <w:rPr>
          <w:sz w:val="20"/>
          <w:szCs w:val="20"/>
          <w:shd w:val="clear" w:color="auto" w:fill="FFFFFF"/>
        </w:rPr>
        <w:t xml:space="preserve"> deficiency has been linked not only to haematological and neurological disorders but also to metabolic disturbances such as insulin resistance and body-composition changes. Its deficiency disrupts the activity of methionine synthase, resulting in homocysteine accumulation, and impairs methylmalonyl-CoA mutase, leading to elevated methylmalonic acid, ultimately causing myelin damage, abnormal DNA synthesis, and megaloblastic </w:t>
      </w:r>
      <w:r w:rsidR="0019055A" w:rsidRPr="0019055A">
        <w:rPr>
          <w:sz w:val="20"/>
          <w:szCs w:val="20"/>
          <w:shd w:val="clear" w:color="auto" w:fill="FFFFFF"/>
        </w:rPr>
        <w:t>anemia</w:t>
      </w:r>
      <w:r w:rsidRPr="0019055A">
        <w:rPr>
          <w:sz w:val="20"/>
          <w:szCs w:val="20"/>
          <w:shd w:val="clear" w:color="auto" w:fill="FFFFFF"/>
        </w:rPr>
        <w:t xml:space="preserve"> (Lopes et al. 2019)</w:t>
      </w:r>
      <w:r w:rsidR="00DA7AE6" w:rsidRPr="0019055A">
        <w:rPr>
          <w:sz w:val="20"/>
          <w:szCs w:val="20"/>
          <w:shd w:val="clear" w:color="auto" w:fill="FFFFFF"/>
        </w:rPr>
        <w:t xml:space="preserve"> </w:t>
      </w:r>
      <w:r w:rsidR="00EB0A2F" w:rsidRPr="0019055A">
        <w:rPr>
          <w:sz w:val="20"/>
          <w:szCs w:val="20"/>
          <w:shd w:val="clear" w:color="auto" w:fill="FFFFFF"/>
        </w:rPr>
        <w:t>[7]</w:t>
      </w:r>
      <w:r w:rsidRPr="0019055A">
        <w:rPr>
          <w:sz w:val="20"/>
          <w:szCs w:val="20"/>
          <w:shd w:val="clear" w:color="auto" w:fill="FFFFFF"/>
        </w:rPr>
        <w:t>.</w:t>
      </w:r>
    </w:p>
    <w:p w14:paraId="57A6897C" w14:textId="77777777" w:rsidR="00BF5155" w:rsidRPr="0019055A" w:rsidRDefault="00BF5155" w:rsidP="00BF5155">
      <w:pPr>
        <w:pStyle w:val="Normal1"/>
        <w:spacing w:line="240" w:lineRule="auto"/>
        <w:jc w:val="both"/>
        <w:rPr>
          <w:rFonts w:eastAsia="Times New Roman"/>
          <w:sz w:val="20"/>
          <w:szCs w:val="20"/>
        </w:rPr>
      </w:pPr>
    </w:p>
    <w:p w14:paraId="2AF53EE7" w14:textId="77777777" w:rsidR="00BF5155" w:rsidRPr="0019055A" w:rsidRDefault="00BF5155" w:rsidP="00BF5155">
      <w:pPr>
        <w:pStyle w:val="Normal1"/>
        <w:spacing w:line="240" w:lineRule="auto"/>
        <w:jc w:val="both"/>
        <w:rPr>
          <w:rFonts w:eastAsia="Times New Roman"/>
          <w:b/>
        </w:rPr>
      </w:pPr>
      <w:r w:rsidRPr="0019055A">
        <w:rPr>
          <w:rFonts w:eastAsia="Times New Roman"/>
          <w:b/>
        </w:rPr>
        <w:t>1.3. Absorptive and Transportation Mechanisms:</w:t>
      </w:r>
    </w:p>
    <w:p w14:paraId="1D7AEA21" w14:textId="77777777" w:rsidR="00DA7AE6" w:rsidRPr="0019055A" w:rsidRDefault="00BF5155" w:rsidP="00DA7AE6">
      <w:pPr>
        <w:pStyle w:val="Normal1"/>
        <w:spacing w:line="240" w:lineRule="auto"/>
        <w:jc w:val="both"/>
        <w:rPr>
          <w:sz w:val="20"/>
          <w:szCs w:val="20"/>
        </w:rPr>
      </w:pPr>
      <w:r w:rsidRPr="0019055A">
        <w:rPr>
          <w:rFonts w:eastAsia="Times New Roman"/>
          <w:sz w:val="20"/>
          <w:szCs w:val="20"/>
        </w:rPr>
        <w:t>Vitamin B12 absorption is an extremely complicated process, which entails coordination of gastric, pancreatic and intestinal elements. Dietary vitamin B12 that is predominantly present in animal food is initially bound to proteins. In the stomach, vitamin B12 is released by gastric acid and pepsin in the same way as these proteins bound with vitamin B12 before being degraded, as the vitamin B12 is bound to haptocorrin. The pancreatic enzymes degrade haptocorrin in the small intestine allow the binding of cobalamin to intrinsic factor, a glycoprotein that gastric parietal cells secrete. Receptor-mediated endocytosis occurs in the distal ileum, taking up the vitamin B12 -intrinsic factor complex. Once absorbed, vitamin B12 is affixed to a protein known as transcobalamin II which is employed in ferrying vitamin B12 to its respective target tissues such as the liver, bone marrow and nervous system. Clinical vitamin B12 deficiency can arise from disruptions at any stage of its absorption or metabolism, including dietary inadequacy, malabsorption syndromes, gastrointestinal surgeries, chronic medication use, and genetic defects</w:t>
      </w:r>
      <w:r w:rsidR="00DA7AE6"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Fang et al. 2022)</w:t>
      </w:r>
      <w:r w:rsidR="00DA7AE6" w:rsidRPr="0019055A">
        <w:rPr>
          <w:rFonts w:eastAsia="Times New Roman"/>
          <w:sz w:val="20"/>
          <w:szCs w:val="20"/>
        </w:rPr>
        <w:t xml:space="preserve"> </w:t>
      </w:r>
      <w:r w:rsidR="00EB0A2F" w:rsidRPr="0019055A">
        <w:rPr>
          <w:rFonts w:eastAsia="Times New Roman"/>
          <w:sz w:val="20"/>
          <w:szCs w:val="20"/>
        </w:rPr>
        <w:t>[2</w:t>
      </w:r>
      <w:r w:rsidRPr="0019055A">
        <w:rPr>
          <w:rFonts w:eastAsia="Times New Roman"/>
          <w:sz w:val="20"/>
          <w:szCs w:val="20"/>
        </w:rPr>
        <w:t>] and (</w:t>
      </w:r>
      <w:r w:rsidR="00EB0A2F" w:rsidRPr="0019055A">
        <w:rPr>
          <w:rFonts w:eastAsia="Times New Roman"/>
          <w:sz w:val="20"/>
          <w:szCs w:val="20"/>
        </w:rPr>
        <w:t>Carmel 2019)</w:t>
      </w:r>
      <w:r w:rsidR="00DA7AE6" w:rsidRPr="0019055A">
        <w:rPr>
          <w:rFonts w:eastAsia="Times New Roman"/>
          <w:sz w:val="20"/>
          <w:szCs w:val="20"/>
        </w:rPr>
        <w:t xml:space="preserve"> </w:t>
      </w:r>
      <w:r w:rsidR="00EB0A2F" w:rsidRPr="0019055A">
        <w:rPr>
          <w:rFonts w:eastAsia="Times New Roman"/>
          <w:sz w:val="20"/>
          <w:szCs w:val="20"/>
        </w:rPr>
        <w:t>[8</w:t>
      </w:r>
      <w:r w:rsidRPr="0019055A">
        <w:rPr>
          <w:rFonts w:eastAsia="Times New Roman"/>
          <w:sz w:val="20"/>
          <w:szCs w:val="20"/>
        </w:rPr>
        <w:t>].</w:t>
      </w:r>
      <w:r w:rsidRPr="0019055A">
        <w:rPr>
          <w:sz w:val="20"/>
          <w:szCs w:val="20"/>
        </w:rPr>
        <w:t xml:space="preserve"> </w:t>
      </w:r>
      <w:r w:rsidRPr="0019055A">
        <w:rPr>
          <w:rFonts w:eastAsia="Times New Roman"/>
          <w:sz w:val="20"/>
          <w:szCs w:val="20"/>
        </w:rPr>
        <w:t xml:space="preserve">Vitamin B12 </w:t>
      </w:r>
      <w:r w:rsidRPr="0019055A">
        <w:rPr>
          <w:sz w:val="20"/>
          <w:szCs w:val="20"/>
        </w:rPr>
        <w:t>(cobalamin) obtained from animal-based foods undergoes a multi-step process involving its release from dietary proteins, binding to intrinsic factor, absorption in the ileum, transport through transcobalamins, and subsequent conversion into the active cofactor forms methylcobalamin and 5-deoxyadenosylcobalamin, (</w:t>
      </w:r>
      <w:r w:rsidR="00EB0A2F" w:rsidRPr="0019055A">
        <w:rPr>
          <w:rFonts w:eastAsia="Times New Roman"/>
          <w:sz w:val="20"/>
          <w:szCs w:val="20"/>
        </w:rPr>
        <w:t>Chatterji, N., &amp; Saraswat</w:t>
      </w:r>
      <w:r w:rsidRPr="0019055A">
        <w:rPr>
          <w:sz w:val="20"/>
          <w:szCs w:val="20"/>
        </w:rPr>
        <w:t xml:space="preserve"> 2022)</w:t>
      </w:r>
      <w:r w:rsidR="00DA7AE6" w:rsidRPr="0019055A">
        <w:rPr>
          <w:sz w:val="20"/>
          <w:szCs w:val="20"/>
        </w:rPr>
        <w:t xml:space="preserve"> </w:t>
      </w:r>
      <w:r w:rsidR="00EB0A2F" w:rsidRPr="0019055A">
        <w:rPr>
          <w:sz w:val="20"/>
          <w:szCs w:val="20"/>
        </w:rPr>
        <w:t>[9]</w:t>
      </w:r>
      <w:r w:rsidRPr="0019055A">
        <w:rPr>
          <w:sz w:val="20"/>
          <w:szCs w:val="20"/>
        </w:rPr>
        <w:t>.</w:t>
      </w:r>
      <w:r w:rsidRPr="0019055A">
        <w:rPr>
          <w:rFonts w:eastAsia="Times New Roman"/>
          <w:sz w:val="20"/>
          <w:szCs w:val="20"/>
        </w:rPr>
        <w:t xml:space="preserve"> These active forms are essential for two key enzymatic reactions: </w:t>
      </w:r>
    </w:p>
    <w:p w14:paraId="0F74AF09" w14:textId="77777777" w:rsidR="00DA7AE6" w:rsidRPr="0019055A" w:rsidRDefault="00BF5155" w:rsidP="00DA7AE6">
      <w:pPr>
        <w:pStyle w:val="Normal1"/>
        <w:spacing w:line="240" w:lineRule="auto"/>
        <w:jc w:val="both"/>
        <w:rPr>
          <w:rFonts w:eastAsia="Times New Roman"/>
          <w:sz w:val="20"/>
          <w:szCs w:val="20"/>
        </w:rPr>
      </w:pPr>
      <w:r w:rsidRPr="0019055A">
        <w:rPr>
          <w:rFonts w:eastAsia="Times New Roman"/>
          <w:sz w:val="20"/>
          <w:szCs w:val="20"/>
        </w:rPr>
        <w:t xml:space="preserve">(1) the conversion of homocysteine to methionine (via methionine synthase), and </w:t>
      </w:r>
    </w:p>
    <w:p w14:paraId="0A6BA4D8" w14:textId="77777777" w:rsidR="00BF5155" w:rsidRPr="0019055A" w:rsidRDefault="00BF5155" w:rsidP="00DA7AE6">
      <w:pPr>
        <w:pStyle w:val="Normal1"/>
        <w:spacing w:line="240" w:lineRule="auto"/>
        <w:jc w:val="both"/>
        <w:rPr>
          <w:rFonts w:eastAsia="Times New Roman"/>
          <w:sz w:val="20"/>
          <w:szCs w:val="20"/>
        </w:rPr>
      </w:pPr>
      <w:r w:rsidRPr="0019055A">
        <w:rPr>
          <w:rFonts w:eastAsia="Times New Roman"/>
          <w:sz w:val="20"/>
          <w:szCs w:val="20"/>
        </w:rPr>
        <w:t>(2) the conversion of methylmalonyl-CoA to succinyl-CoA (via methylmalonyl-CoA mutase). A disruption in these pathways underpins many of the deficiency consequences.</w:t>
      </w:r>
    </w:p>
    <w:p w14:paraId="5E9FAB43" w14:textId="77777777" w:rsidR="005B4A37" w:rsidRPr="0019055A" w:rsidRDefault="006263E0" w:rsidP="005B4A37">
      <w:pPr>
        <w:pStyle w:val="NormalWeb"/>
        <w:rPr>
          <w:rFonts w:ascii="Arial" w:hAnsi="Arial" w:cs="Arial"/>
          <w:sz w:val="20"/>
          <w:szCs w:val="20"/>
        </w:rPr>
      </w:pPr>
      <w:r w:rsidRPr="0019055A">
        <w:rPr>
          <w:rFonts w:ascii="Arial" w:hAnsi="Arial" w:cs="Arial"/>
          <w:sz w:val="20"/>
          <w:szCs w:val="20"/>
        </w:rPr>
        <w:t>Colonic absorption, together with the very low daily excretion of vitamin B</w:t>
      </w:r>
      <w:r w:rsidR="00016BB7" w:rsidRPr="0019055A">
        <w:rPr>
          <w:rFonts w:ascii="Arial" w:hAnsi="Arial" w:cs="Arial"/>
          <w:sz w:val="20"/>
          <w:szCs w:val="20"/>
        </w:rPr>
        <w:t>12</w:t>
      </w:r>
      <w:r w:rsidRPr="0019055A">
        <w:rPr>
          <w:rFonts w:ascii="Arial" w:hAnsi="Arial" w:cs="Arial"/>
          <w:sz w:val="20"/>
          <w:szCs w:val="20"/>
        </w:rPr>
        <w:t>, may help keep B</w:t>
      </w:r>
      <w:r w:rsidR="00016BB7" w:rsidRPr="0019055A">
        <w:rPr>
          <w:rFonts w:ascii="Arial" w:hAnsi="Arial" w:cs="Arial"/>
          <w:sz w:val="20"/>
          <w:szCs w:val="20"/>
        </w:rPr>
        <w:t>12</w:t>
      </w:r>
      <w:r w:rsidRPr="0019055A">
        <w:rPr>
          <w:rFonts w:ascii="Arial" w:hAnsi="Arial" w:cs="Arial"/>
          <w:sz w:val="20"/>
          <w:szCs w:val="20"/>
        </w:rPr>
        <w:t xml:space="preserve"> levels stable in those who don't eat enough of it, which could explain why many vegetarian populations have reasonably stable B</w:t>
      </w:r>
      <w:r w:rsidR="00016BB7" w:rsidRPr="0019055A">
        <w:rPr>
          <w:rFonts w:ascii="Arial" w:hAnsi="Arial" w:cs="Arial"/>
          <w:sz w:val="20"/>
          <w:szCs w:val="20"/>
        </w:rPr>
        <w:t xml:space="preserve">12 </w:t>
      </w:r>
      <w:r w:rsidRPr="0019055A">
        <w:rPr>
          <w:rFonts w:ascii="Arial" w:hAnsi="Arial" w:cs="Arial"/>
          <w:sz w:val="20"/>
          <w:szCs w:val="20"/>
        </w:rPr>
        <w:t>levels</w:t>
      </w:r>
      <w:r w:rsidR="0019055A">
        <w:rPr>
          <w:rFonts w:ascii="Arial" w:hAnsi="Arial" w:cs="Arial"/>
          <w:sz w:val="20"/>
          <w:szCs w:val="20"/>
        </w:rPr>
        <w:t xml:space="preserve"> </w:t>
      </w:r>
      <w:r w:rsidRPr="0019055A">
        <w:rPr>
          <w:rFonts w:ascii="Arial" w:hAnsi="Arial" w:cs="Arial"/>
          <w:sz w:val="20"/>
          <w:szCs w:val="20"/>
        </w:rPr>
        <w:t>(Kurpad.et al 2023)</w:t>
      </w:r>
      <w:r w:rsidR="00DA7AE6" w:rsidRPr="0019055A">
        <w:rPr>
          <w:rFonts w:ascii="Arial" w:hAnsi="Arial" w:cs="Arial"/>
        </w:rPr>
        <w:t xml:space="preserve"> </w:t>
      </w:r>
      <w:r w:rsidRPr="0019055A">
        <w:rPr>
          <w:rFonts w:ascii="Arial" w:hAnsi="Arial" w:cs="Arial"/>
          <w:sz w:val="20"/>
          <w:szCs w:val="20"/>
        </w:rPr>
        <w:t>[29]</w:t>
      </w:r>
      <w:r w:rsidR="00DA7AE6" w:rsidRPr="0019055A">
        <w:rPr>
          <w:rFonts w:ascii="Arial" w:hAnsi="Arial" w:cs="Arial"/>
        </w:rPr>
        <w:t>.</w:t>
      </w:r>
      <w:r w:rsidR="00D91D2E" w:rsidRPr="0019055A">
        <w:rPr>
          <w:rFonts w:ascii="Arial" w:hAnsi="Arial" w:cs="Arial"/>
          <w:sz w:val="20"/>
          <w:szCs w:val="20"/>
        </w:rPr>
        <w:t xml:space="preserve"> Cyanocobalamin, a synthetic and well-studied form of </w:t>
      </w:r>
      <w:r w:rsidR="00D91D2E" w:rsidRPr="0019055A">
        <w:rPr>
          <w:rFonts w:ascii="Arial" w:hAnsi="Arial" w:cs="Arial"/>
          <w:sz w:val="20"/>
          <w:szCs w:val="20"/>
          <w:lang w:val="en-IN"/>
        </w:rPr>
        <w:t xml:space="preserve">vitamin B12, </w:t>
      </w:r>
      <w:r w:rsidR="00D91D2E" w:rsidRPr="0019055A">
        <w:rPr>
          <w:rFonts w:ascii="Arial" w:hAnsi="Arial" w:cs="Arial"/>
          <w:sz w:val="20"/>
          <w:szCs w:val="20"/>
        </w:rPr>
        <w:t>is cost-effective and suitable for long-term supplementation. However, certain combinations—such as multivitamins containing vitamin C or copper—may degrade vitamin B12 or produce inactive forms, potentially impairing absorption (Rizzo, G. et al., 2016)</w:t>
      </w:r>
      <w:r w:rsidR="0019055A">
        <w:rPr>
          <w:rFonts w:ascii="Arial" w:hAnsi="Arial" w:cs="Arial"/>
          <w:sz w:val="20"/>
          <w:szCs w:val="20"/>
        </w:rPr>
        <w:t xml:space="preserve"> </w:t>
      </w:r>
      <w:r w:rsidR="00D91D2E" w:rsidRPr="0019055A">
        <w:rPr>
          <w:rFonts w:ascii="Arial" w:hAnsi="Arial" w:cs="Arial"/>
          <w:sz w:val="20"/>
          <w:szCs w:val="20"/>
        </w:rPr>
        <w:t>[27].</w:t>
      </w:r>
    </w:p>
    <w:p w14:paraId="2E7A1D68" w14:textId="77777777" w:rsidR="005B4A37" w:rsidRPr="0019055A" w:rsidRDefault="00BF5155" w:rsidP="005B4A37">
      <w:pPr>
        <w:pStyle w:val="Normal1"/>
        <w:spacing w:line="240" w:lineRule="auto"/>
        <w:jc w:val="both"/>
        <w:rPr>
          <w:b/>
        </w:rPr>
      </w:pPr>
      <w:r w:rsidRPr="0019055A">
        <w:rPr>
          <w:rFonts w:eastAsia="Times New Roman"/>
          <w:b/>
        </w:rPr>
        <w:lastRenderedPageBreak/>
        <w:t xml:space="preserve">1.4. </w:t>
      </w:r>
      <w:r w:rsidRPr="0019055A">
        <w:rPr>
          <w:b/>
        </w:rPr>
        <w:t>Etiology and Risk Factors</w:t>
      </w:r>
    </w:p>
    <w:p w14:paraId="1DC6E01F" w14:textId="77777777" w:rsidR="00BF5155" w:rsidRPr="0019055A" w:rsidRDefault="00BF5155" w:rsidP="005B4A37">
      <w:pPr>
        <w:pStyle w:val="Normal1"/>
        <w:spacing w:line="240" w:lineRule="auto"/>
        <w:jc w:val="both"/>
        <w:rPr>
          <w:rFonts w:eastAsia="Times New Roman"/>
          <w:b/>
        </w:rPr>
      </w:pPr>
      <w:r w:rsidRPr="0019055A">
        <w:rPr>
          <w:sz w:val="20"/>
          <w:szCs w:val="20"/>
        </w:rPr>
        <w:t xml:space="preserve">Many factors cause the deficiency of vitamin B12. Deficiency is quite common, especially in individuals with low intake of animal foods (e.g., vegans, vegetarians), the elderly (due to malabsorption), and those with gastrointestinal disorders. One of the main causes of vegetarians and vegans is dietary insufficiency because bodily vitamin B12 in vegetarian food is not bioavailable. Consequences include haematological abnormalities (such as megaloblastic </w:t>
      </w:r>
      <w:r w:rsidR="0019055A" w:rsidRPr="0019055A">
        <w:rPr>
          <w:sz w:val="20"/>
          <w:szCs w:val="20"/>
        </w:rPr>
        <w:t>anemia</w:t>
      </w:r>
      <w:r w:rsidRPr="0019055A">
        <w:rPr>
          <w:sz w:val="20"/>
          <w:szCs w:val="20"/>
        </w:rPr>
        <w:t>), neurological damage (e.g., neuropathy, cognitive decline) and emerging associations with adverse pregnancy outcomes, vascular disease, bone and eye health</w:t>
      </w:r>
      <w:r w:rsidR="00DA7AE6" w:rsidRPr="0019055A">
        <w:rPr>
          <w:sz w:val="20"/>
          <w:szCs w:val="20"/>
        </w:rPr>
        <w:t xml:space="preserve">. </w:t>
      </w:r>
      <w:r w:rsidRPr="0019055A">
        <w:rPr>
          <w:sz w:val="20"/>
          <w:szCs w:val="20"/>
        </w:rPr>
        <w:t>Cobalamin uptake is reduced in a variety of malabsorption syndromes, including pernicious anemia, celiac disease and Crohn's disease and after surgery to the gastrointestinal tract. Other factors that are leading to reduced absorption are chronic use of drugs such as metformin and proton pump inhibitors</w:t>
      </w:r>
      <w:r w:rsidR="00DA7AE6" w:rsidRPr="0019055A">
        <w:t xml:space="preserve"> </w:t>
      </w:r>
      <w:r w:rsidR="00DA7AE6" w:rsidRPr="0019055A">
        <w:rPr>
          <w:sz w:val="20"/>
          <w:szCs w:val="20"/>
        </w:rPr>
        <w:t>(PPI)</w:t>
      </w:r>
      <w:r w:rsidRPr="0019055A">
        <w:rPr>
          <w:sz w:val="20"/>
          <w:szCs w:val="20"/>
        </w:rPr>
        <w:t>. Moreover, defects of genetic nature in terms of cobalamin transportation and the use of enzymes can trigger a deficiency. Clinically, vitamin B12 deficiency often presents with macrocytic anaemia, hyper-segmented neutrophils, fatigue, pallor, glossitis, peripheral neuropathy, ataxia, and even neuropsychiatric changes</w:t>
      </w:r>
      <w:r w:rsidR="0055397A" w:rsidRPr="0019055A">
        <w:t xml:space="preserve"> </w:t>
      </w:r>
      <w:r w:rsidRPr="0019055A">
        <w:rPr>
          <w:sz w:val="20"/>
          <w:szCs w:val="20"/>
        </w:rPr>
        <w:t>(Lopes et al., 2019)</w:t>
      </w:r>
      <w:r w:rsidR="0019055A">
        <w:rPr>
          <w:sz w:val="20"/>
          <w:szCs w:val="20"/>
        </w:rPr>
        <w:t xml:space="preserve"> </w:t>
      </w:r>
      <w:r w:rsidR="0055397A" w:rsidRPr="0019055A">
        <w:t>[7].</w:t>
      </w:r>
      <w:r w:rsidRPr="0019055A">
        <w:rPr>
          <w:sz w:val="20"/>
          <w:szCs w:val="20"/>
        </w:rPr>
        <w:t xml:space="preserve"> </w:t>
      </w:r>
    </w:p>
    <w:p w14:paraId="7190C7B8" w14:textId="77777777" w:rsidR="00BF5155" w:rsidRPr="0019055A" w:rsidRDefault="00BF5155" w:rsidP="00BF5155">
      <w:pPr>
        <w:pStyle w:val="NormalWeb"/>
        <w:jc w:val="both"/>
        <w:rPr>
          <w:rFonts w:ascii="Arial" w:hAnsi="Arial" w:cs="Arial"/>
          <w:sz w:val="20"/>
          <w:szCs w:val="20"/>
        </w:rPr>
      </w:pPr>
      <w:r w:rsidRPr="0019055A">
        <w:rPr>
          <w:rFonts w:ascii="Arial" w:hAnsi="Arial" w:cs="Arial"/>
          <w:sz w:val="20"/>
          <w:szCs w:val="20"/>
        </w:rPr>
        <w:t>On laboratory evaluation</w:t>
      </w:r>
      <w:r w:rsidR="0055397A" w:rsidRPr="0019055A">
        <w:rPr>
          <w:rFonts w:ascii="Arial" w:hAnsi="Arial" w:cs="Arial"/>
          <w:sz w:val="20"/>
          <w:szCs w:val="20"/>
        </w:rPr>
        <w:t xml:space="preserve"> </w:t>
      </w:r>
      <w:r w:rsidRPr="0019055A">
        <w:rPr>
          <w:rFonts w:ascii="Arial" w:hAnsi="Arial" w:cs="Arial"/>
          <w:sz w:val="20"/>
          <w:szCs w:val="20"/>
        </w:rPr>
        <w:t>serum B</w:t>
      </w:r>
      <w:r w:rsidR="00016BB7" w:rsidRPr="0019055A">
        <w:rPr>
          <w:rFonts w:ascii="Arial" w:hAnsi="Arial" w:cs="Arial"/>
          <w:sz w:val="20"/>
          <w:szCs w:val="20"/>
        </w:rPr>
        <w:t>12</w:t>
      </w:r>
      <w:r w:rsidRPr="0019055A">
        <w:rPr>
          <w:rFonts w:ascii="Arial" w:hAnsi="Arial" w:cs="Arial"/>
          <w:sz w:val="20"/>
          <w:szCs w:val="20"/>
        </w:rPr>
        <w:t xml:space="preserve">, methylmalonic acid (MMA), and homocysteine </w:t>
      </w:r>
      <w:r w:rsidR="0055397A" w:rsidRPr="0019055A">
        <w:rPr>
          <w:rFonts w:ascii="Arial" w:hAnsi="Arial" w:cs="Arial"/>
          <w:sz w:val="20"/>
          <w:szCs w:val="20"/>
        </w:rPr>
        <w:t>is</w:t>
      </w:r>
      <w:r w:rsidRPr="0019055A">
        <w:rPr>
          <w:rFonts w:ascii="Arial" w:hAnsi="Arial" w:cs="Arial"/>
          <w:sz w:val="20"/>
          <w:szCs w:val="20"/>
        </w:rPr>
        <w:t xml:space="preserve"> important</w:t>
      </w:r>
      <w:r w:rsidR="0055397A" w:rsidRPr="0019055A">
        <w:rPr>
          <w:rFonts w:ascii="Arial" w:hAnsi="Arial" w:cs="Arial"/>
          <w:sz w:val="20"/>
          <w:szCs w:val="20"/>
        </w:rPr>
        <w:t xml:space="preserve">. </w:t>
      </w:r>
      <w:r w:rsidRPr="0019055A">
        <w:rPr>
          <w:rFonts w:ascii="Arial" w:hAnsi="Arial" w:cs="Arial"/>
          <w:sz w:val="20"/>
          <w:szCs w:val="20"/>
        </w:rPr>
        <w:t>MMA and homocysteine are elevated in true deficiency, making them useful functional markers (Lopes et al., 2019)</w:t>
      </w:r>
      <w:r w:rsidR="00DA7AE6" w:rsidRPr="0019055A">
        <w:rPr>
          <w:rFonts w:ascii="Arial" w:hAnsi="Arial" w:cs="Arial"/>
          <w:sz w:val="20"/>
          <w:szCs w:val="20"/>
        </w:rPr>
        <w:t xml:space="preserve"> </w:t>
      </w:r>
      <w:r w:rsidR="00EB0A2F" w:rsidRPr="0019055A">
        <w:rPr>
          <w:rFonts w:ascii="Arial" w:hAnsi="Arial" w:cs="Arial"/>
          <w:sz w:val="20"/>
          <w:szCs w:val="20"/>
        </w:rPr>
        <w:t>[7]</w:t>
      </w:r>
      <w:r w:rsidR="00DA7AE6" w:rsidRPr="0019055A">
        <w:rPr>
          <w:rFonts w:ascii="Arial" w:hAnsi="Arial" w:cs="Arial"/>
          <w:sz w:val="20"/>
          <w:szCs w:val="20"/>
        </w:rPr>
        <w:t xml:space="preserve">. </w:t>
      </w:r>
      <w:r w:rsidRPr="0019055A">
        <w:rPr>
          <w:rFonts w:ascii="Arial" w:hAnsi="Arial" w:cs="Arial"/>
          <w:sz w:val="20"/>
          <w:szCs w:val="20"/>
        </w:rPr>
        <w:t>A systematic review examining daily vitamin B12 losses and absorption efficiency reported that approximately 0.13% ± 0.03% of total body stores are lost per day, corresponding to an estimated 1.4–5.1 µg daily loss in healthy adults and older individuals, as demonstrated (Doets et al. 2013)</w:t>
      </w:r>
      <w:r w:rsidR="00DA7AE6" w:rsidRPr="0019055A">
        <w:rPr>
          <w:rFonts w:ascii="Arial" w:hAnsi="Arial" w:cs="Arial"/>
          <w:sz w:val="20"/>
          <w:szCs w:val="20"/>
        </w:rPr>
        <w:t xml:space="preserve"> </w:t>
      </w:r>
      <w:r w:rsidR="00EB0A2F" w:rsidRPr="0019055A">
        <w:rPr>
          <w:rFonts w:ascii="Arial" w:hAnsi="Arial" w:cs="Arial"/>
          <w:sz w:val="20"/>
          <w:szCs w:val="20"/>
        </w:rPr>
        <w:t>[12]</w:t>
      </w:r>
      <w:r w:rsidRPr="0019055A">
        <w:rPr>
          <w:rFonts w:ascii="Arial" w:hAnsi="Arial" w:cs="Arial"/>
          <w:sz w:val="20"/>
          <w:szCs w:val="20"/>
        </w:rPr>
        <w:t xml:space="preserve"> </w:t>
      </w:r>
      <w:r w:rsidR="00EB0A2F" w:rsidRPr="0019055A">
        <w:rPr>
          <w:rFonts w:ascii="Arial" w:hAnsi="Arial" w:cs="Arial"/>
          <w:sz w:val="20"/>
          <w:szCs w:val="20"/>
        </w:rPr>
        <w:t>.</w:t>
      </w:r>
      <w:r w:rsidRPr="0019055A">
        <w:rPr>
          <w:rFonts w:ascii="Arial" w:hAnsi="Arial" w:cs="Arial"/>
          <w:sz w:val="20"/>
          <w:szCs w:val="20"/>
        </w:rPr>
        <w:t>On absorption</w:t>
      </w:r>
      <w:r w:rsidR="0055397A" w:rsidRPr="0019055A">
        <w:rPr>
          <w:rFonts w:ascii="Arial" w:hAnsi="Arial" w:cs="Arial"/>
          <w:sz w:val="20"/>
          <w:szCs w:val="20"/>
        </w:rPr>
        <w:t xml:space="preserve"> the </w:t>
      </w:r>
      <w:r w:rsidRPr="0019055A">
        <w:rPr>
          <w:rFonts w:ascii="Arial" w:hAnsi="Arial" w:cs="Arial"/>
          <w:sz w:val="20"/>
          <w:szCs w:val="20"/>
        </w:rPr>
        <w:t>bioavailability, report a very wide rang</w:t>
      </w:r>
      <w:r w:rsidR="00DA7AE6" w:rsidRPr="0019055A">
        <w:rPr>
          <w:rFonts w:ascii="Arial" w:hAnsi="Arial" w:cs="Arial"/>
          <w:sz w:val="20"/>
          <w:szCs w:val="20"/>
        </w:rPr>
        <w:t>e</w:t>
      </w:r>
      <w:r w:rsidRPr="0019055A">
        <w:rPr>
          <w:rFonts w:ascii="Arial" w:hAnsi="Arial" w:cs="Arial"/>
          <w:sz w:val="20"/>
          <w:szCs w:val="20"/>
        </w:rPr>
        <w:t xml:space="preserve"> from as low as </w:t>
      </w:r>
      <w:r w:rsidRPr="0019055A">
        <w:rPr>
          <w:rStyle w:val="Strong"/>
          <w:rFonts w:ascii="Arial" w:hAnsi="Arial" w:cs="Arial"/>
          <w:sz w:val="20"/>
          <w:szCs w:val="20"/>
        </w:rPr>
        <w:t>4.5%</w:t>
      </w:r>
      <w:r w:rsidRPr="0019055A">
        <w:rPr>
          <w:rFonts w:ascii="Arial" w:hAnsi="Arial" w:cs="Arial"/>
          <w:sz w:val="20"/>
          <w:szCs w:val="20"/>
        </w:rPr>
        <w:t xml:space="preserve"> (for a 38 µg dose from liver) to </w:t>
      </w:r>
      <w:r w:rsidRPr="0019055A">
        <w:rPr>
          <w:rStyle w:val="Strong"/>
          <w:rFonts w:ascii="Arial" w:hAnsi="Arial" w:cs="Arial"/>
          <w:sz w:val="20"/>
          <w:szCs w:val="20"/>
        </w:rPr>
        <w:t>83%</w:t>
      </w:r>
      <w:r w:rsidRPr="0019055A">
        <w:rPr>
          <w:rFonts w:ascii="Arial" w:hAnsi="Arial" w:cs="Arial"/>
          <w:sz w:val="20"/>
          <w:szCs w:val="20"/>
        </w:rPr>
        <w:t xml:space="preserve"> (for a 3.0 µg dose from mutton meat).</w:t>
      </w:r>
      <w:r w:rsidR="00DA7AE6" w:rsidRPr="0019055A">
        <w:rPr>
          <w:rFonts w:ascii="Arial" w:hAnsi="Arial" w:cs="Arial"/>
          <w:sz w:val="20"/>
          <w:szCs w:val="20"/>
        </w:rPr>
        <w:t xml:space="preserve"> Overt and subclinical vitamin B12 deficiency is particularly prevalent in populations with high rates of dietary restrictions and gastrointestinal disorders, as shown in population-based studies. (Gupta et al. 2024) [10] and (Mukhtar, M., Mohamed, Y., et al. 2024) [11].</w:t>
      </w:r>
    </w:p>
    <w:p w14:paraId="5A4AE277" w14:textId="77777777" w:rsidR="00BF5155" w:rsidRPr="0019055A" w:rsidRDefault="00BF5155" w:rsidP="00BF5155">
      <w:pPr>
        <w:pStyle w:val="Normal1"/>
        <w:spacing w:line="240" w:lineRule="auto"/>
        <w:jc w:val="both"/>
        <w:rPr>
          <w:rFonts w:eastAsia="Times New Roman"/>
          <w:sz w:val="20"/>
          <w:szCs w:val="20"/>
        </w:rPr>
      </w:pPr>
    </w:p>
    <w:p w14:paraId="05DEDC8E"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5. Epidemiology</w:t>
      </w:r>
    </w:p>
    <w:p w14:paraId="51BFE796" w14:textId="77777777" w:rsidR="006C31EC" w:rsidRPr="0019055A" w:rsidRDefault="00BF5155" w:rsidP="005B4A37">
      <w:pPr>
        <w:pStyle w:val="Normal1"/>
        <w:spacing w:line="240" w:lineRule="auto"/>
        <w:jc w:val="both"/>
        <w:rPr>
          <w:rFonts w:eastAsia="Times New Roman"/>
          <w:b/>
          <w:sz w:val="20"/>
          <w:szCs w:val="20"/>
        </w:rPr>
      </w:pPr>
      <w:r w:rsidRPr="0019055A">
        <w:rPr>
          <w:rFonts w:eastAsia="Times New Roman"/>
          <w:sz w:val="20"/>
          <w:szCs w:val="20"/>
        </w:rPr>
        <w:t>Vitamin B12 deficiency is a significant problem of public health in the world. It affects approximately 6 to 12% of the population of the developed countries and even higher, greater than 40 to 60 in the developing countries, mainly in South Asia and sub-Saharan Africa. At-risk groups encompass vegetarians and vegans, pregnant women, children, the elderly people and people with chronic illnesses. The quiet but widespread prevalence of subclinical vitamin B</w:t>
      </w:r>
      <w:r w:rsidR="00016BB7" w:rsidRPr="0019055A">
        <w:rPr>
          <w:rFonts w:eastAsia="Times New Roman"/>
          <w:sz w:val="20"/>
          <w:szCs w:val="20"/>
        </w:rPr>
        <w:t xml:space="preserve">12 </w:t>
      </w:r>
      <w:r w:rsidRPr="0019055A">
        <w:rPr>
          <w:rFonts w:eastAsia="Times New Roman"/>
          <w:sz w:val="20"/>
          <w:szCs w:val="20"/>
        </w:rPr>
        <w:t xml:space="preserve">deficiency in the adult population of India </w:t>
      </w:r>
      <w:r w:rsidR="00A33295" w:rsidRPr="0019055A">
        <w:t>emphasizes</w:t>
      </w:r>
      <w:r w:rsidRPr="0019055A">
        <w:rPr>
          <w:rFonts w:eastAsia="Times New Roman"/>
          <w:sz w:val="20"/>
          <w:szCs w:val="20"/>
        </w:rPr>
        <w:t xml:space="preserve"> the necessity for targeted screening strategies in high-risk groups</w:t>
      </w:r>
      <w:r w:rsidR="00016BB7" w:rsidRPr="0019055A">
        <w:rPr>
          <w:rFonts w:eastAsia="Times New Roman"/>
          <w:sz w:val="20"/>
          <w:szCs w:val="20"/>
        </w:rPr>
        <w:t xml:space="preserve"> </w:t>
      </w:r>
      <w:r w:rsidRPr="0019055A">
        <w:rPr>
          <w:rFonts w:eastAsia="Times New Roman"/>
          <w:sz w:val="20"/>
          <w:szCs w:val="20"/>
        </w:rPr>
        <w:t>(</w:t>
      </w:r>
      <w:r w:rsidR="00EB0A2F" w:rsidRPr="0019055A">
        <w:rPr>
          <w:rFonts w:eastAsia="Times New Roman"/>
          <w:sz w:val="20"/>
          <w:szCs w:val="20"/>
        </w:rPr>
        <w:t>Singla et al. 2019)</w:t>
      </w:r>
      <w:r w:rsidR="00DA7AE6" w:rsidRPr="0019055A">
        <w:t xml:space="preserve"> </w:t>
      </w:r>
      <w:r w:rsidR="00EB0A2F" w:rsidRPr="0019055A">
        <w:rPr>
          <w:rFonts w:eastAsia="Times New Roman"/>
          <w:sz w:val="20"/>
          <w:szCs w:val="20"/>
        </w:rPr>
        <w:t>[13</w:t>
      </w:r>
      <w:r w:rsidRPr="0019055A">
        <w:rPr>
          <w:rFonts w:eastAsia="Times New Roman"/>
          <w:sz w:val="20"/>
          <w:szCs w:val="20"/>
        </w:rPr>
        <w:t xml:space="preserve">] and (Parikh F. </w:t>
      </w:r>
      <w:r w:rsidR="00EB0A2F" w:rsidRPr="0019055A">
        <w:rPr>
          <w:rFonts w:eastAsia="Times New Roman"/>
          <w:sz w:val="20"/>
          <w:szCs w:val="20"/>
        </w:rPr>
        <w:t>2025)</w:t>
      </w:r>
      <w:r w:rsidR="00DA7AE6" w:rsidRPr="0019055A">
        <w:t xml:space="preserve"> </w:t>
      </w:r>
      <w:r w:rsidR="00EB0A2F" w:rsidRPr="0019055A">
        <w:rPr>
          <w:rFonts w:eastAsia="Times New Roman"/>
          <w:sz w:val="20"/>
          <w:szCs w:val="20"/>
        </w:rPr>
        <w:t>[14</w:t>
      </w:r>
      <w:r w:rsidRPr="0019055A">
        <w:rPr>
          <w:rFonts w:eastAsia="Times New Roman"/>
          <w:sz w:val="20"/>
          <w:szCs w:val="20"/>
        </w:rPr>
        <w:t>].</w:t>
      </w:r>
      <w:r w:rsidRPr="0019055A">
        <w:rPr>
          <w:sz w:val="20"/>
          <w:szCs w:val="20"/>
        </w:rPr>
        <w:t xml:space="preserve"> </w:t>
      </w:r>
      <w:r w:rsidR="0019055A" w:rsidRPr="0019055A">
        <w:rPr>
          <w:sz w:val="20"/>
          <w:szCs w:val="20"/>
        </w:rPr>
        <w:t>Research</w:t>
      </w:r>
      <w:r w:rsidR="00A33295" w:rsidRPr="0019055A">
        <w:rPr>
          <w:sz w:val="20"/>
          <w:szCs w:val="20"/>
        </w:rPr>
        <w:t xml:space="preserve"> indicated that the prevalence of vitamin B12 deficiency was notably elevated in infants between 6 to 11 months, marking this age range as particularly susceptible during the initial phase of complementary feeding. The researchers emphasize the importance of conducting regular screenings during infancy and early childhood and suggest that administering a single intramuscular dose of vitamin B12 at birth may be advantageous in areas with a high prevalence of deficiency and restricted access to diagnostic testing.</w:t>
      </w:r>
      <w:r w:rsidR="00A33295" w:rsidRPr="0019055A">
        <w:rPr>
          <w:color w:val="222222"/>
          <w:sz w:val="20"/>
          <w:szCs w:val="20"/>
          <w:shd w:val="clear" w:color="auto" w:fill="FFFFFF"/>
        </w:rPr>
        <w:t xml:space="preserve"> (Elgormus Y</w:t>
      </w:r>
      <w:r w:rsidR="00A33295" w:rsidRPr="0019055A">
        <w:rPr>
          <w:sz w:val="20"/>
          <w:szCs w:val="20"/>
        </w:rPr>
        <w:t xml:space="preserve"> et al 2023)</w:t>
      </w:r>
      <w:r w:rsidR="00A33295" w:rsidRPr="0019055A">
        <w:t xml:space="preserve"> </w:t>
      </w:r>
      <w:r w:rsidR="00A33295" w:rsidRPr="0019055A">
        <w:rPr>
          <w:sz w:val="20"/>
          <w:szCs w:val="20"/>
        </w:rPr>
        <w:t xml:space="preserve">[30]. </w:t>
      </w:r>
      <w:r w:rsidRPr="0019055A">
        <w:rPr>
          <w:sz w:val="20"/>
          <w:szCs w:val="20"/>
        </w:rPr>
        <w:t xml:space="preserve">The vitamin B12 deficiency in children often presents as megaloblastic anemia, with some developing pancytopenia. It can cause neurological symptoms due to impaired myelin synthesis, which may become irreversible if untreated. Deficiency also affects somatic growth. Risk factors include poor dietary intake and malabsorption, and both oral and parenteral supplementation are effective, </w:t>
      </w:r>
      <w:r w:rsidR="00A33295" w:rsidRPr="0019055A">
        <w:t xml:space="preserve">which is </w:t>
      </w:r>
      <w:r w:rsidRPr="0019055A">
        <w:rPr>
          <w:sz w:val="20"/>
          <w:szCs w:val="20"/>
        </w:rPr>
        <w:t>highlighting the need for awareness and preventive strategies (Mandal and Chandra 2025)</w:t>
      </w:r>
      <w:r w:rsidR="00DA7AE6" w:rsidRPr="0019055A">
        <w:t xml:space="preserve"> </w:t>
      </w:r>
      <w:r w:rsidR="00EB0A2F" w:rsidRPr="0019055A">
        <w:rPr>
          <w:sz w:val="20"/>
          <w:szCs w:val="20"/>
        </w:rPr>
        <w:t>[15]</w:t>
      </w:r>
      <w:r w:rsidRPr="0019055A">
        <w:rPr>
          <w:sz w:val="20"/>
          <w:szCs w:val="20"/>
        </w:rPr>
        <w:t>.</w:t>
      </w:r>
      <w:r w:rsidR="00DA7AE6" w:rsidRPr="0019055A">
        <w:t xml:space="preserve"> </w:t>
      </w:r>
      <w:r w:rsidRPr="0019055A">
        <w:rPr>
          <w:sz w:val="20"/>
          <w:szCs w:val="20"/>
        </w:rPr>
        <w:t>A study evaluating 238 individuals with low serum cobalamin levels (&lt;200 ng/L) reported significant improvements in sleep duration, sleep quality, and overall quality of life following two months of vitamin B</w:t>
      </w:r>
      <w:r w:rsidRPr="0019055A">
        <w:rPr>
          <w:rFonts w:ascii="Cambria Math" w:hAnsi="Cambria Math" w:cs="Cambria Math"/>
          <w:sz w:val="20"/>
          <w:szCs w:val="20"/>
        </w:rPr>
        <w:t>₁₂</w:t>
      </w:r>
      <w:r w:rsidRPr="0019055A">
        <w:rPr>
          <w:sz w:val="20"/>
          <w:szCs w:val="20"/>
        </w:rPr>
        <w:t xml:space="preserve"> supplementation. Mean sleep duration increased from 6.46 ± 1.87 to 7.44 ± 1.42 hours, and </w:t>
      </w:r>
      <w:r w:rsidR="009C7D26" w:rsidRPr="0019055A">
        <w:rPr>
          <w:sz w:val="20"/>
          <w:szCs w:val="20"/>
        </w:rPr>
        <w:t>Pittsburgh Sleep Quality Index (</w:t>
      </w:r>
      <w:r w:rsidRPr="0019055A">
        <w:rPr>
          <w:sz w:val="20"/>
          <w:szCs w:val="20"/>
        </w:rPr>
        <w:t>PSQI</w:t>
      </w:r>
      <w:r w:rsidR="009C7D26" w:rsidRPr="0019055A">
        <w:rPr>
          <w:sz w:val="20"/>
          <w:szCs w:val="20"/>
        </w:rPr>
        <w:t>)</w:t>
      </w:r>
      <w:r w:rsidRPr="0019055A">
        <w:rPr>
          <w:sz w:val="20"/>
          <w:szCs w:val="20"/>
        </w:rPr>
        <w:t xml:space="preserve"> scores decreased from 9.77 ± 5.01 to 4.31 ± 3.59. Improvements were also noted across multiple </w:t>
      </w:r>
      <w:r w:rsidR="009C7D26" w:rsidRPr="0019055A">
        <w:rPr>
          <w:sz w:val="20"/>
          <w:szCs w:val="20"/>
        </w:rPr>
        <w:t>Short Form-36 Health Survey (</w:t>
      </w:r>
      <w:r w:rsidRPr="0019055A">
        <w:rPr>
          <w:sz w:val="20"/>
          <w:szCs w:val="20"/>
        </w:rPr>
        <w:t>SF-36</w:t>
      </w:r>
      <w:r w:rsidR="009C7D26" w:rsidRPr="0019055A">
        <w:rPr>
          <w:sz w:val="20"/>
          <w:szCs w:val="20"/>
        </w:rPr>
        <w:t>)</w:t>
      </w:r>
      <w:r w:rsidRPr="0019055A">
        <w:rPr>
          <w:sz w:val="20"/>
          <w:szCs w:val="20"/>
        </w:rPr>
        <w:t xml:space="preserve"> subscales, indicating enhanced physical and mental well-being</w:t>
      </w:r>
      <w:r w:rsidR="0027488F" w:rsidRPr="0019055A">
        <w:rPr>
          <w:sz w:val="20"/>
          <w:szCs w:val="20"/>
        </w:rPr>
        <w:t xml:space="preserve"> </w:t>
      </w:r>
      <w:r w:rsidRPr="0019055A">
        <w:rPr>
          <w:sz w:val="20"/>
          <w:szCs w:val="20"/>
        </w:rPr>
        <w:t>(Adem Durmaz and Melek Topaloğlu 2024)</w:t>
      </w:r>
      <w:r w:rsidR="0027488F" w:rsidRPr="0019055A">
        <w:rPr>
          <w:sz w:val="20"/>
          <w:szCs w:val="20"/>
        </w:rPr>
        <w:t xml:space="preserve"> </w:t>
      </w:r>
      <w:r w:rsidR="00EB0A2F" w:rsidRPr="0019055A">
        <w:rPr>
          <w:sz w:val="20"/>
          <w:szCs w:val="20"/>
        </w:rPr>
        <w:t>[16]</w:t>
      </w:r>
      <w:r w:rsidRPr="0019055A">
        <w:rPr>
          <w:sz w:val="20"/>
          <w:szCs w:val="20"/>
        </w:rPr>
        <w:t>.</w:t>
      </w:r>
      <w:r w:rsidR="006C31EC" w:rsidRPr="0019055A">
        <w:rPr>
          <w:sz w:val="20"/>
          <w:szCs w:val="20"/>
        </w:rPr>
        <w:t xml:space="preserve">  </w:t>
      </w:r>
    </w:p>
    <w:p w14:paraId="4A244194" w14:textId="77777777" w:rsidR="00BF5155" w:rsidRPr="0019055A" w:rsidRDefault="00BF5155" w:rsidP="00BF5155">
      <w:pPr>
        <w:pStyle w:val="Normal1"/>
        <w:spacing w:line="240" w:lineRule="auto"/>
        <w:jc w:val="both"/>
        <w:rPr>
          <w:sz w:val="20"/>
          <w:szCs w:val="20"/>
        </w:rPr>
      </w:pPr>
    </w:p>
    <w:p w14:paraId="6BF4ADAB" w14:textId="77777777" w:rsidR="00BF5155" w:rsidRPr="0019055A" w:rsidRDefault="00BF5155" w:rsidP="00BF5155">
      <w:pPr>
        <w:pStyle w:val="Normal1"/>
        <w:spacing w:line="240" w:lineRule="auto"/>
        <w:jc w:val="both"/>
        <w:rPr>
          <w:rFonts w:eastAsia="Times New Roman"/>
          <w:sz w:val="20"/>
          <w:szCs w:val="20"/>
        </w:rPr>
      </w:pPr>
    </w:p>
    <w:p w14:paraId="24B77056" w14:textId="77777777" w:rsidR="005B4A37" w:rsidRPr="0019055A" w:rsidRDefault="00EE7BA9" w:rsidP="00BF5155">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6. Clinical Manifestations</w:t>
      </w:r>
    </w:p>
    <w:p w14:paraId="2C5D466B" w14:textId="77777777" w:rsidR="00BF5155" w:rsidRPr="0019055A" w:rsidRDefault="00BF5155" w:rsidP="00BF5155">
      <w:pPr>
        <w:pStyle w:val="Normal1"/>
        <w:spacing w:line="240" w:lineRule="auto"/>
        <w:jc w:val="both"/>
        <w:rPr>
          <w:rFonts w:eastAsia="Times New Roman"/>
          <w:b/>
        </w:rPr>
      </w:pPr>
      <w:r w:rsidRPr="0019055A">
        <w:rPr>
          <w:rFonts w:eastAsia="Times New Roman"/>
          <w:sz w:val="20"/>
          <w:szCs w:val="20"/>
        </w:rPr>
        <w:t xml:space="preserve">Vitamin B12 deficiency has a wide range of clinical manifestations. </w:t>
      </w:r>
      <w:r w:rsidRPr="0019055A">
        <w:rPr>
          <w:sz w:val="20"/>
          <w:szCs w:val="20"/>
        </w:rPr>
        <w:t xml:space="preserve">Clinical conditions such as autoimmune gastritis/Pernicious anemia, gastric surgery, malabsorption syndromes, vegetarian/vegan diets, and certain drugs (e.g., metformin, proton-pump inhibitors) </w:t>
      </w:r>
      <w:r w:rsidR="0019055A" w:rsidRPr="0019055A">
        <w:rPr>
          <w:sz w:val="20"/>
          <w:szCs w:val="20"/>
        </w:rPr>
        <w:t>increased</w:t>
      </w:r>
      <w:r w:rsidRPr="0019055A">
        <w:rPr>
          <w:sz w:val="20"/>
          <w:szCs w:val="20"/>
        </w:rPr>
        <w:t xml:space="preserve"> risk of deficiency. </w:t>
      </w:r>
      <w:r w:rsidR="00A33295" w:rsidRPr="0019055A">
        <w:rPr>
          <w:rFonts w:eastAsia="Times New Roman"/>
          <w:sz w:val="20"/>
          <w:szCs w:val="20"/>
        </w:rPr>
        <w:t>Babies born to mothers with vitamin B12 deficiency might develop slowly in terms of cognitive and motor development. Glossitis, gastrointestinal issues and augmented cardiovascular danger mediated by high levels of homocysteine are systemic manifestations of the disease. The multi-system involvement of vitamin B12 deficiency often complicates early diagnosis due to its subtle or nonspecific clinical presentation (Alruwaili et al. 2023) [17].</w:t>
      </w:r>
      <w:r w:rsidR="00A33295" w:rsidRPr="0019055A">
        <w:rPr>
          <w:sz w:val="20"/>
          <w:szCs w:val="20"/>
        </w:rPr>
        <w:t xml:space="preserve"> </w:t>
      </w:r>
      <w:r w:rsidRPr="0019055A">
        <w:rPr>
          <w:rFonts w:eastAsia="Times New Roman"/>
          <w:sz w:val="20"/>
          <w:szCs w:val="20"/>
        </w:rPr>
        <w:t xml:space="preserve">Hematologically, the deficiency results in Megaloblastic anemia, which is the presence of macrocytic erythrocytes, unproductive erythropoiesis, fatigue, pallor and cardiovascular strain. There are neurological presentations that comprise peripheral neuropathy and impairment of the brain, mood disorders and in severe cases, subacute combined degeneration of the spinal cord. In humans, higher serum vitamin B12 levels have been associated with lower concentrations of </w:t>
      </w:r>
      <w:r w:rsidR="00016BB7" w:rsidRPr="0019055A">
        <w:rPr>
          <w:rFonts w:eastAsia="Times New Roman"/>
          <w:sz w:val="20"/>
          <w:szCs w:val="20"/>
        </w:rPr>
        <w:t>Interleukin-6 (</w:t>
      </w:r>
      <w:r w:rsidRPr="0019055A">
        <w:rPr>
          <w:rFonts w:eastAsia="Times New Roman"/>
          <w:sz w:val="20"/>
          <w:szCs w:val="20"/>
        </w:rPr>
        <w:t>IL-6</w:t>
      </w:r>
      <w:r w:rsidR="00016BB7" w:rsidRPr="0019055A">
        <w:rPr>
          <w:rFonts w:eastAsia="Times New Roman"/>
          <w:sz w:val="20"/>
          <w:szCs w:val="20"/>
        </w:rPr>
        <w:t>)</w:t>
      </w:r>
      <w:r w:rsidRPr="0019055A">
        <w:rPr>
          <w:rFonts w:eastAsia="Times New Roman"/>
          <w:sz w:val="20"/>
          <w:szCs w:val="20"/>
        </w:rPr>
        <w:t xml:space="preserve"> and </w:t>
      </w:r>
      <w:r w:rsidR="00016BB7" w:rsidRPr="0019055A">
        <w:rPr>
          <w:rFonts w:eastAsia="Times New Roman"/>
          <w:sz w:val="20"/>
          <w:szCs w:val="20"/>
        </w:rPr>
        <w:t>C-Reactive protein (</w:t>
      </w:r>
      <w:r w:rsidRPr="0019055A">
        <w:rPr>
          <w:rFonts w:eastAsia="Times New Roman"/>
          <w:sz w:val="20"/>
          <w:szCs w:val="20"/>
        </w:rPr>
        <w:t>CRP</w:t>
      </w:r>
      <w:r w:rsidR="00016BB7" w:rsidRPr="0019055A">
        <w:rPr>
          <w:rFonts w:eastAsia="Times New Roman"/>
          <w:sz w:val="20"/>
          <w:szCs w:val="20"/>
        </w:rPr>
        <w:t>)</w:t>
      </w:r>
      <w:r w:rsidRPr="0019055A">
        <w:rPr>
          <w:rFonts w:eastAsia="Times New Roman"/>
          <w:sz w:val="20"/>
          <w:szCs w:val="20"/>
        </w:rPr>
        <w:t xml:space="preserve"> after adjustment for </w:t>
      </w:r>
      <w:r w:rsidRPr="0019055A">
        <w:rPr>
          <w:rFonts w:eastAsia="Times New Roman"/>
          <w:sz w:val="20"/>
          <w:szCs w:val="20"/>
        </w:rPr>
        <w:lastRenderedPageBreak/>
        <w:t>confounders, indicating an inverse relationship between circulating vitamin B12 and inflammatory markers</w:t>
      </w:r>
      <w:r w:rsidR="0055397A" w:rsidRPr="0019055A">
        <w:rPr>
          <w:rFonts w:eastAsia="Times New Roman"/>
          <w:sz w:val="20"/>
          <w:szCs w:val="20"/>
        </w:rPr>
        <w:t xml:space="preserve"> </w:t>
      </w:r>
      <w:r w:rsidRPr="0019055A">
        <w:rPr>
          <w:rFonts w:eastAsia="Times New Roman"/>
          <w:sz w:val="20"/>
          <w:szCs w:val="20"/>
        </w:rPr>
        <w:t>(Domínguez-López et al. 2024)</w:t>
      </w:r>
      <w:r w:rsidR="0055397A" w:rsidRPr="0019055A">
        <w:rPr>
          <w:rFonts w:eastAsia="Times New Roman"/>
          <w:sz w:val="20"/>
          <w:szCs w:val="20"/>
        </w:rPr>
        <w:t xml:space="preserve"> </w:t>
      </w:r>
      <w:r w:rsidR="00C67500" w:rsidRPr="0019055A">
        <w:rPr>
          <w:rFonts w:eastAsia="Times New Roman"/>
          <w:sz w:val="20"/>
          <w:szCs w:val="20"/>
        </w:rPr>
        <w:t>[18]</w:t>
      </w:r>
      <w:r w:rsidRPr="0019055A">
        <w:rPr>
          <w:rFonts w:eastAsia="Times New Roman"/>
          <w:sz w:val="20"/>
          <w:szCs w:val="20"/>
        </w:rPr>
        <w:t>.</w:t>
      </w:r>
    </w:p>
    <w:p w14:paraId="11635309" w14:textId="77777777" w:rsidR="0074396A" w:rsidRPr="0019055A" w:rsidRDefault="0074396A" w:rsidP="00BF5155">
      <w:pPr>
        <w:pStyle w:val="Normal1"/>
        <w:spacing w:line="240" w:lineRule="auto"/>
        <w:jc w:val="both"/>
        <w:rPr>
          <w:rFonts w:eastAsia="Times New Roman"/>
          <w:sz w:val="20"/>
          <w:szCs w:val="20"/>
        </w:rPr>
      </w:pPr>
    </w:p>
    <w:p w14:paraId="2A7543C8"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7. Diagnostic Approaches</w:t>
      </w:r>
    </w:p>
    <w:p w14:paraId="6FB61C61" w14:textId="77777777" w:rsidR="00BF5155" w:rsidRPr="0019055A" w:rsidRDefault="00BF5155" w:rsidP="005B4A37">
      <w:pPr>
        <w:pStyle w:val="Normal1"/>
        <w:spacing w:line="240" w:lineRule="auto"/>
        <w:jc w:val="both"/>
        <w:rPr>
          <w:rFonts w:eastAsia="Times New Roman"/>
          <w:b/>
        </w:rPr>
      </w:pPr>
      <w:r w:rsidRPr="0019055A">
        <w:rPr>
          <w:sz w:val="20"/>
          <w:szCs w:val="20"/>
        </w:rPr>
        <w:t>The level of serum B12 is not always a reliable measure of deficiency because normal levels circulating in the body can be insufficient to refill tissue hoards. The assessment can be done more accurately with the help of functional biomarkers, such as methylmalonic acid and homocysteine. High concentrations of such metabolites indicate dysfunction of enzymes that require vitamin B12. The biologically active fraction of vitamin B12 (holotranscobalamin II) has become a sensitive early marker. Diagnostic accuracy is improved with the use of a comprehensive evaluation based on these biomarkers and especially among high-risk populations. The combination of multiple biomarkers is essential to prevent delayed diagnosis and subsequent complications, (Niklewicz et al., 2024)</w:t>
      </w:r>
      <w:r w:rsidR="0055397A" w:rsidRPr="0019055A">
        <w:rPr>
          <w:sz w:val="20"/>
          <w:szCs w:val="20"/>
        </w:rPr>
        <w:t xml:space="preserve"> </w:t>
      </w:r>
      <w:r w:rsidR="00C67500" w:rsidRPr="0019055A">
        <w:rPr>
          <w:sz w:val="20"/>
          <w:szCs w:val="20"/>
        </w:rPr>
        <w:t>[19</w:t>
      </w:r>
      <w:r w:rsidRPr="0019055A">
        <w:rPr>
          <w:sz w:val="20"/>
          <w:szCs w:val="20"/>
        </w:rPr>
        <w:t>]. Type 2 diabetes mellitus patients on long-term high-dose metformin were found to have significantly elevated homocysteine levels, consistent with known concerns about reduced vitamin B</w:t>
      </w:r>
      <w:r w:rsidR="00016BB7" w:rsidRPr="0019055A">
        <w:rPr>
          <w:sz w:val="20"/>
          <w:szCs w:val="20"/>
        </w:rPr>
        <w:t>12</w:t>
      </w:r>
      <w:r w:rsidRPr="0019055A">
        <w:rPr>
          <w:sz w:val="20"/>
          <w:szCs w:val="20"/>
        </w:rPr>
        <w:t xml:space="preserve"> bioavailability in this population. Interestingly, this cohort also exhibited lower methylmalonic acid levels and higher concentrations of transcobalamin and holo-transcobalamin compared to controls—an atypical pattern that does not align with classical B</w:t>
      </w:r>
      <w:r w:rsidR="00016BB7" w:rsidRPr="0019055A">
        <w:rPr>
          <w:sz w:val="20"/>
          <w:szCs w:val="20"/>
        </w:rPr>
        <w:t>12</w:t>
      </w:r>
      <w:r w:rsidRPr="0019055A">
        <w:rPr>
          <w:sz w:val="20"/>
          <w:szCs w:val="20"/>
        </w:rPr>
        <w:t xml:space="preserve"> deficiency profiles</w:t>
      </w:r>
      <w:r w:rsidR="00016BB7" w:rsidRPr="0019055A">
        <w:rPr>
          <w:sz w:val="20"/>
          <w:szCs w:val="20"/>
        </w:rPr>
        <w:t xml:space="preserve"> (</w:t>
      </w:r>
      <w:r w:rsidRPr="0019055A">
        <w:rPr>
          <w:sz w:val="20"/>
          <w:szCs w:val="20"/>
        </w:rPr>
        <w:t>Mukhtar et al. 2024)</w:t>
      </w:r>
      <w:r w:rsidR="0055397A" w:rsidRPr="0019055A">
        <w:rPr>
          <w:sz w:val="20"/>
          <w:szCs w:val="20"/>
        </w:rPr>
        <w:t xml:space="preserve"> </w:t>
      </w:r>
      <w:r w:rsidR="00C67500" w:rsidRPr="0019055A">
        <w:rPr>
          <w:sz w:val="20"/>
          <w:szCs w:val="20"/>
        </w:rPr>
        <w:t>[11]</w:t>
      </w:r>
      <w:r w:rsidRPr="0019055A">
        <w:rPr>
          <w:sz w:val="20"/>
          <w:szCs w:val="20"/>
        </w:rPr>
        <w:t>. These findings suggest complexity in B</w:t>
      </w:r>
      <w:r w:rsidR="00016BB7" w:rsidRPr="0019055A">
        <w:rPr>
          <w:sz w:val="20"/>
          <w:szCs w:val="20"/>
        </w:rPr>
        <w:t>12</w:t>
      </w:r>
      <w:r w:rsidRPr="0019055A">
        <w:rPr>
          <w:sz w:val="20"/>
          <w:szCs w:val="20"/>
        </w:rPr>
        <w:t xml:space="preserve"> metabolism under metformin therapy, </w:t>
      </w:r>
      <w:r w:rsidR="00016BB7" w:rsidRPr="0019055A">
        <w:rPr>
          <w:sz w:val="20"/>
          <w:szCs w:val="20"/>
        </w:rPr>
        <w:t>Holotranscobalamin (</w:t>
      </w:r>
      <w:r w:rsidRPr="0019055A">
        <w:rPr>
          <w:sz w:val="20"/>
          <w:szCs w:val="20"/>
        </w:rPr>
        <w:t>HoloTC</w:t>
      </w:r>
      <w:r w:rsidR="00016BB7" w:rsidRPr="0019055A">
        <w:rPr>
          <w:sz w:val="20"/>
          <w:szCs w:val="20"/>
        </w:rPr>
        <w:t>)</w:t>
      </w:r>
      <w:r w:rsidRPr="0019055A">
        <w:rPr>
          <w:sz w:val="20"/>
          <w:szCs w:val="20"/>
        </w:rPr>
        <w:t xml:space="preserve"> (often called “active vitamin B12”) provides earlier indication of B</w:t>
      </w:r>
      <w:r w:rsidR="00016BB7" w:rsidRPr="0019055A">
        <w:rPr>
          <w:sz w:val="20"/>
          <w:szCs w:val="20"/>
        </w:rPr>
        <w:t>12</w:t>
      </w:r>
      <w:r w:rsidRPr="0019055A">
        <w:rPr>
          <w:sz w:val="20"/>
          <w:szCs w:val="20"/>
        </w:rPr>
        <w:t xml:space="preserve"> status changes (especially in pregnancy and infancy) and is less bound by certain protein interferences (Sobczyńska-Malefora et al., 2021)</w:t>
      </w:r>
      <w:r w:rsidR="0055397A" w:rsidRPr="0019055A">
        <w:rPr>
          <w:sz w:val="20"/>
          <w:szCs w:val="20"/>
        </w:rPr>
        <w:t xml:space="preserve"> </w:t>
      </w:r>
      <w:r w:rsidR="00C67500" w:rsidRPr="0019055A">
        <w:rPr>
          <w:sz w:val="20"/>
          <w:szCs w:val="20"/>
        </w:rPr>
        <w:t>[20]</w:t>
      </w:r>
      <w:r w:rsidR="00016BB7" w:rsidRPr="0019055A">
        <w:rPr>
          <w:sz w:val="20"/>
          <w:szCs w:val="20"/>
        </w:rPr>
        <w:t xml:space="preserve">. </w:t>
      </w:r>
      <w:r w:rsidRPr="0019055A">
        <w:rPr>
          <w:sz w:val="20"/>
          <w:szCs w:val="20"/>
        </w:rPr>
        <w:t>Vitamin B12 supplementation was found to be effective in correcting metformin-associated B12 deficiency, consistently improving serum B12 levels and reducing related clinical manifestations. The routine monitoring and timely supplementation can significantly prevent long-term neurological and hematological complications in metformin users, thereby supporting integration of vitamin B12 assessment into diabetes management protocols (Pratama et al., 2022)</w:t>
      </w:r>
      <w:r w:rsidR="0055397A" w:rsidRPr="0019055A">
        <w:rPr>
          <w:sz w:val="20"/>
          <w:szCs w:val="20"/>
        </w:rPr>
        <w:t xml:space="preserve"> </w:t>
      </w:r>
      <w:r w:rsidR="00C67500" w:rsidRPr="0019055A">
        <w:rPr>
          <w:sz w:val="20"/>
          <w:szCs w:val="20"/>
        </w:rPr>
        <w:t>[22]</w:t>
      </w:r>
      <w:r w:rsidRPr="0019055A">
        <w:rPr>
          <w:sz w:val="20"/>
          <w:szCs w:val="20"/>
        </w:rPr>
        <w:t>.</w:t>
      </w:r>
    </w:p>
    <w:p w14:paraId="386BB571" w14:textId="77777777" w:rsidR="00BF5155" w:rsidRPr="0019055A" w:rsidRDefault="00BF5155" w:rsidP="006C31EC">
      <w:pPr>
        <w:pStyle w:val="NormalWeb"/>
        <w:jc w:val="both"/>
        <w:rPr>
          <w:rFonts w:ascii="Arial" w:hAnsi="Arial" w:cs="Arial"/>
          <w:sz w:val="20"/>
          <w:szCs w:val="20"/>
        </w:rPr>
      </w:pPr>
      <w:r w:rsidRPr="0019055A">
        <w:rPr>
          <w:rFonts w:ascii="Arial" w:hAnsi="Arial" w:cs="Arial"/>
          <w:sz w:val="20"/>
          <w:szCs w:val="20"/>
        </w:rPr>
        <w:t xml:space="preserve">MMA and </w:t>
      </w:r>
      <w:r w:rsidR="006C31EC" w:rsidRPr="0019055A">
        <w:rPr>
          <w:rFonts w:ascii="Arial" w:hAnsi="Arial" w:cs="Arial"/>
          <w:sz w:val="20"/>
          <w:szCs w:val="20"/>
        </w:rPr>
        <w:t>Total homocysteine (</w:t>
      </w:r>
      <w:r w:rsidRPr="0019055A">
        <w:rPr>
          <w:rFonts w:ascii="Arial" w:hAnsi="Arial" w:cs="Arial"/>
          <w:sz w:val="20"/>
          <w:szCs w:val="20"/>
        </w:rPr>
        <w:t>tHcy</w:t>
      </w:r>
      <w:r w:rsidR="006C31EC" w:rsidRPr="0019055A">
        <w:rPr>
          <w:rFonts w:ascii="Arial" w:hAnsi="Arial" w:cs="Arial"/>
          <w:sz w:val="20"/>
          <w:szCs w:val="20"/>
        </w:rPr>
        <w:t>)</w:t>
      </w:r>
      <w:r w:rsidRPr="0019055A">
        <w:rPr>
          <w:rFonts w:ascii="Arial" w:hAnsi="Arial" w:cs="Arial"/>
          <w:sz w:val="20"/>
          <w:szCs w:val="20"/>
        </w:rPr>
        <w:t xml:space="preserve"> are metabolic markers and can detect functional deficiency even when serum vitamin B12 is “normal”, but their interpretation is complicated by renal insufficiency, folate/ </w:t>
      </w:r>
      <w:r w:rsidR="006C31EC" w:rsidRPr="0019055A">
        <w:rPr>
          <w:rFonts w:ascii="Arial" w:hAnsi="Arial" w:cs="Arial"/>
          <w:sz w:val="20"/>
          <w:szCs w:val="20"/>
        </w:rPr>
        <w:t>Pyridoxine (</w:t>
      </w:r>
      <w:r w:rsidRPr="0019055A">
        <w:rPr>
          <w:rFonts w:ascii="Arial" w:hAnsi="Arial" w:cs="Arial"/>
          <w:sz w:val="20"/>
          <w:szCs w:val="20"/>
        </w:rPr>
        <w:t>B6</w:t>
      </w:r>
      <w:r w:rsidR="006C31EC" w:rsidRPr="0019055A">
        <w:rPr>
          <w:rFonts w:ascii="Arial" w:hAnsi="Arial" w:cs="Arial"/>
          <w:sz w:val="20"/>
          <w:szCs w:val="20"/>
        </w:rPr>
        <w:t xml:space="preserve">) </w:t>
      </w:r>
      <w:r w:rsidRPr="0019055A">
        <w:rPr>
          <w:rFonts w:ascii="Arial" w:hAnsi="Arial" w:cs="Arial"/>
          <w:sz w:val="20"/>
          <w:szCs w:val="20"/>
        </w:rPr>
        <w:t>/ riboflavin status (Sobczyńska-Malefora et al., 2021)</w:t>
      </w:r>
      <w:r w:rsidR="0055397A" w:rsidRPr="0019055A">
        <w:rPr>
          <w:rFonts w:ascii="Arial" w:hAnsi="Arial" w:cs="Arial"/>
          <w:sz w:val="20"/>
          <w:szCs w:val="20"/>
        </w:rPr>
        <w:t xml:space="preserve"> </w:t>
      </w:r>
      <w:r w:rsidR="00C67500" w:rsidRPr="0019055A">
        <w:rPr>
          <w:rFonts w:ascii="Arial" w:hAnsi="Arial" w:cs="Arial"/>
          <w:sz w:val="20"/>
          <w:szCs w:val="20"/>
        </w:rPr>
        <w:t>[20]</w:t>
      </w:r>
      <w:r w:rsidRPr="0019055A">
        <w:rPr>
          <w:rFonts w:ascii="Arial" w:hAnsi="Arial" w:cs="Arial"/>
          <w:sz w:val="20"/>
          <w:szCs w:val="20"/>
        </w:rPr>
        <w:t>. The clinical symptoms often come before classical lab abnormalities, and that diagnosis shouldn’t rely solely on serum vitamin B12 levels. They emphasis combining clinical assessment with appropriate lab markers (serum B12, methylmalonic acid, homocysteine) and incorporating risk factors (lifestyle, medications, disease history)</w:t>
      </w:r>
      <w:r w:rsidR="00296A87" w:rsidRPr="0019055A">
        <w:rPr>
          <w:rFonts w:ascii="Arial" w:hAnsi="Arial" w:cs="Arial"/>
          <w:sz w:val="20"/>
          <w:szCs w:val="20"/>
        </w:rPr>
        <w:t xml:space="preserve"> shown in Table 1 below</w:t>
      </w:r>
      <w:r w:rsidRPr="0019055A">
        <w:rPr>
          <w:rFonts w:ascii="Arial" w:hAnsi="Arial" w:cs="Arial"/>
          <w:sz w:val="20"/>
          <w:szCs w:val="20"/>
        </w:rPr>
        <w:t xml:space="preserve">. </w:t>
      </w:r>
    </w:p>
    <w:p w14:paraId="171C81CD" w14:textId="77777777" w:rsidR="0074396A" w:rsidRPr="0019055A" w:rsidRDefault="00636AAB" w:rsidP="0074396A">
      <w:pPr>
        <w:pStyle w:val="NormalWeb"/>
        <w:spacing w:before="0" w:beforeAutospacing="0" w:after="0" w:afterAutospacing="0"/>
        <w:rPr>
          <w:rFonts w:ascii="Arial" w:hAnsi="Arial" w:cs="Arial"/>
          <w:sz w:val="22"/>
          <w:szCs w:val="22"/>
        </w:rPr>
      </w:pPr>
      <w:r w:rsidRPr="0019055A">
        <w:rPr>
          <w:rFonts w:ascii="Arial" w:hAnsi="Arial" w:cs="Arial"/>
          <w:b/>
        </w:rPr>
        <w:t xml:space="preserve">Table 1. </w:t>
      </w:r>
      <w:r w:rsidR="0074396A" w:rsidRPr="0019055A">
        <w:rPr>
          <w:rStyle w:val="Strong"/>
          <w:rFonts w:ascii="Arial" w:hAnsi="Arial" w:cs="Arial"/>
          <w:sz w:val="22"/>
          <w:szCs w:val="22"/>
        </w:rPr>
        <w:t>Overview of Key Laboratory Biomarkers Used in the Diagnosis of Cobalamin Deficiency</w:t>
      </w:r>
    </w:p>
    <w:tbl>
      <w:tblPr>
        <w:tblStyle w:val="LightShading1"/>
        <w:tblW w:w="8373" w:type="dxa"/>
        <w:shd w:val="clear" w:color="auto" w:fill="FFFFFF" w:themeFill="background1"/>
        <w:tblLayout w:type="fixed"/>
        <w:tblLook w:val="04A0" w:firstRow="1" w:lastRow="0" w:firstColumn="1" w:lastColumn="0" w:noHBand="0" w:noVBand="1"/>
      </w:tblPr>
      <w:tblGrid>
        <w:gridCol w:w="2029"/>
        <w:gridCol w:w="1655"/>
        <w:gridCol w:w="1559"/>
        <w:gridCol w:w="1493"/>
        <w:gridCol w:w="1637"/>
      </w:tblGrid>
      <w:tr w:rsidR="00636AAB" w:rsidRPr="0019055A" w14:paraId="0458AED5" w14:textId="77777777" w:rsidTr="00636AAB">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tcPr>
          <w:p w14:paraId="3BAC4F78"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Biomarker</w:t>
            </w:r>
          </w:p>
        </w:tc>
        <w:tc>
          <w:tcPr>
            <w:tcW w:w="1655" w:type="dxa"/>
          </w:tcPr>
          <w:p w14:paraId="5C7178B2"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What it measures</w:t>
            </w:r>
          </w:p>
        </w:tc>
        <w:tc>
          <w:tcPr>
            <w:tcW w:w="1559" w:type="dxa"/>
          </w:tcPr>
          <w:p w14:paraId="08303729" w14:textId="77777777" w:rsidR="00636AAB" w:rsidRPr="0019055A" w:rsidRDefault="00636AAB" w:rsidP="0077529E">
            <w:pPr>
              <w:pStyle w:val="NormalWeb"/>
              <w:tabs>
                <w:tab w:val="left" w:pos="240"/>
                <w:tab w:val="center" w:pos="751"/>
              </w:tabs>
              <w:spacing w:line="480" w:lineRule="auto"/>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ab/>
            </w:r>
            <w:r w:rsidRPr="0019055A">
              <w:rPr>
                <w:rFonts w:ascii="Arial" w:hAnsi="Arial"/>
                <w:sz w:val="20"/>
                <w:szCs w:val="20"/>
              </w:rPr>
              <w:tab/>
              <w:t>Strengths</w:t>
            </w:r>
          </w:p>
        </w:tc>
        <w:tc>
          <w:tcPr>
            <w:tcW w:w="1493" w:type="dxa"/>
          </w:tcPr>
          <w:p w14:paraId="3CC0C1FD"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Limitations</w:t>
            </w:r>
          </w:p>
        </w:tc>
        <w:tc>
          <w:tcPr>
            <w:tcW w:w="1637" w:type="dxa"/>
          </w:tcPr>
          <w:p w14:paraId="49DED330" w14:textId="77777777" w:rsidR="00636AAB" w:rsidRPr="0019055A" w:rsidRDefault="00636AAB" w:rsidP="0077529E">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Clinical notes</w:t>
            </w:r>
          </w:p>
        </w:tc>
      </w:tr>
      <w:tr w:rsidR="00636AAB" w:rsidRPr="0019055A" w14:paraId="3E7E9A13" w14:textId="77777777" w:rsidTr="00636AA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14:paraId="5937E56A" w14:textId="77777777" w:rsidR="00636AAB" w:rsidRPr="0019055A" w:rsidRDefault="00636AAB" w:rsidP="0077529E">
            <w:pPr>
              <w:spacing w:line="480" w:lineRule="auto"/>
              <w:rPr>
                <w:rFonts w:ascii="Arial" w:hAnsi="Arial"/>
                <w:sz w:val="20"/>
                <w:szCs w:val="20"/>
              </w:rPr>
            </w:pPr>
            <w:r w:rsidRPr="0019055A">
              <w:rPr>
                <w:rFonts w:ascii="Arial" w:hAnsi="Arial"/>
                <w:sz w:val="20"/>
                <w:szCs w:val="20"/>
              </w:rPr>
              <w:t>Total serum B</w:t>
            </w:r>
            <w:r w:rsidRPr="0019055A">
              <w:rPr>
                <w:rFonts w:ascii="Cambria Math" w:hAnsi="Cambria Math" w:cs="Cambria Math"/>
                <w:sz w:val="20"/>
                <w:szCs w:val="20"/>
              </w:rPr>
              <w:t>₁₂</w:t>
            </w:r>
          </w:p>
        </w:tc>
        <w:tc>
          <w:tcPr>
            <w:tcW w:w="1655" w:type="dxa"/>
            <w:shd w:val="clear" w:color="auto" w:fill="FFFFFF" w:themeFill="background1"/>
          </w:tcPr>
          <w:p w14:paraId="5068EAA6"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The total cobalamin concentration in serum (bound to all carrier proteins)</w:t>
            </w:r>
          </w:p>
        </w:tc>
        <w:tc>
          <w:tcPr>
            <w:tcW w:w="1559" w:type="dxa"/>
            <w:shd w:val="clear" w:color="auto" w:fill="FFFFFF" w:themeFill="background1"/>
          </w:tcPr>
          <w:p w14:paraId="63FEC5A8"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Widely available, first-line screening test</w:t>
            </w:r>
          </w:p>
        </w:tc>
        <w:tc>
          <w:tcPr>
            <w:tcW w:w="1493" w:type="dxa"/>
            <w:shd w:val="clear" w:color="auto" w:fill="FFFFFF" w:themeFill="background1"/>
          </w:tcPr>
          <w:p w14:paraId="3FF1B8B0"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 xml:space="preserve">Low sensitivity and specificity; may appear “normal” even when deficiency is present; affected by binding proteins and non-functional </w:t>
            </w:r>
            <w:r w:rsidRPr="0019055A">
              <w:rPr>
                <w:rFonts w:ascii="Arial" w:hAnsi="Arial"/>
                <w:sz w:val="20"/>
                <w:szCs w:val="20"/>
              </w:rPr>
              <w:lastRenderedPageBreak/>
              <w:t>analogs</w:t>
            </w:r>
          </w:p>
        </w:tc>
        <w:tc>
          <w:tcPr>
            <w:tcW w:w="1637" w:type="dxa"/>
            <w:shd w:val="clear" w:color="auto" w:fill="FFFFFF" w:themeFill="background1"/>
          </w:tcPr>
          <w:p w14:paraId="37471F0A" w14:textId="77777777" w:rsidR="00636AAB" w:rsidRPr="0019055A" w:rsidRDefault="00636AAB" w:rsidP="0077529E">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lastRenderedPageBreak/>
              <w:t>A normal result does not rule out deficiency — consider further testing if clinical suspicion remains</w:t>
            </w:r>
          </w:p>
        </w:tc>
      </w:tr>
      <w:tr w:rsidR="00636AAB" w:rsidRPr="0019055A" w14:paraId="4826BCCB" w14:textId="77777777" w:rsidTr="00636AAB">
        <w:trPr>
          <w:trHeight w:val="537"/>
        </w:trPr>
        <w:tc>
          <w:tcPr>
            <w:cnfStyle w:val="001000000000" w:firstRow="0" w:lastRow="0" w:firstColumn="1" w:lastColumn="0" w:oddVBand="0" w:evenVBand="0" w:oddHBand="0" w:evenHBand="0" w:firstRowFirstColumn="0" w:firstRowLastColumn="0" w:lastRowFirstColumn="0" w:lastRowLastColumn="0"/>
            <w:tcW w:w="2029" w:type="dxa"/>
          </w:tcPr>
          <w:p w14:paraId="19E9A3C5" w14:textId="77777777" w:rsidR="00636AAB" w:rsidRPr="0019055A" w:rsidRDefault="00636AAB" w:rsidP="0077529E">
            <w:pPr>
              <w:pStyle w:val="NormalWeb"/>
              <w:spacing w:line="480" w:lineRule="auto"/>
              <w:jc w:val="center"/>
              <w:rPr>
                <w:rFonts w:ascii="Arial" w:hAnsi="Arial"/>
                <w:b w:val="0"/>
                <w:bCs w:val="0"/>
                <w:sz w:val="20"/>
                <w:szCs w:val="20"/>
              </w:rPr>
            </w:pPr>
            <w:r w:rsidRPr="0019055A">
              <w:rPr>
                <w:rFonts w:ascii="Arial" w:hAnsi="Arial"/>
                <w:sz w:val="20"/>
                <w:szCs w:val="20"/>
              </w:rPr>
              <w:t>Holotranscobalmin</w:t>
            </w:r>
          </w:p>
          <w:p w14:paraId="333C8061"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(holoTC, “active B</w:t>
            </w:r>
            <w:r w:rsidRPr="0019055A">
              <w:rPr>
                <w:rFonts w:ascii="Cambria Math" w:hAnsi="Cambria Math" w:cs="Cambria Math"/>
                <w:sz w:val="20"/>
                <w:szCs w:val="20"/>
              </w:rPr>
              <w:t>₁₂</w:t>
            </w:r>
            <w:r w:rsidRPr="0019055A">
              <w:rPr>
                <w:rFonts w:ascii="Arial" w:hAnsi="Arial"/>
                <w:sz w:val="20"/>
                <w:szCs w:val="20"/>
              </w:rPr>
              <w:t>”)</w:t>
            </w:r>
          </w:p>
        </w:tc>
        <w:tc>
          <w:tcPr>
            <w:tcW w:w="1655" w:type="dxa"/>
          </w:tcPr>
          <w:p w14:paraId="3315CB7A"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The fraction of B</w:t>
            </w:r>
            <w:r w:rsidRPr="0019055A">
              <w:rPr>
                <w:rFonts w:ascii="Cambria Math" w:hAnsi="Cambria Math" w:cs="Cambria Math"/>
                <w:sz w:val="20"/>
                <w:szCs w:val="20"/>
              </w:rPr>
              <w:t>₁₂</w:t>
            </w:r>
            <w:r w:rsidRPr="0019055A">
              <w:rPr>
                <w:rFonts w:ascii="Arial" w:hAnsi="Arial"/>
                <w:sz w:val="20"/>
                <w:szCs w:val="20"/>
              </w:rPr>
              <w:t xml:space="preserve"> bound to transcobalamin (the portion available for cellular uptake)</w:t>
            </w:r>
          </w:p>
        </w:tc>
        <w:tc>
          <w:tcPr>
            <w:tcW w:w="1559" w:type="dxa"/>
          </w:tcPr>
          <w:p w14:paraId="662BD0AC"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More responsive to recent changes in intake/absorption; earlier indicator of negative vitamin B12 balance</w:t>
            </w:r>
          </w:p>
        </w:tc>
        <w:tc>
          <w:tcPr>
            <w:tcW w:w="1493" w:type="dxa"/>
          </w:tcPr>
          <w:p w14:paraId="39F15005"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 xml:space="preserve">Less widely used; fewer </w:t>
            </w:r>
            <w:r w:rsidR="0019055A" w:rsidRPr="0019055A">
              <w:rPr>
                <w:rFonts w:ascii="Arial" w:hAnsi="Arial"/>
                <w:sz w:val="20"/>
                <w:szCs w:val="20"/>
              </w:rPr>
              <w:t>standardized</w:t>
            </w:r>
            <w:r w:rsidRPr="0019055A">
              <w:rPr>
                <w:rFonts w:ascii="Arial" w:hAnsi="Arial"/>
                <w:sz w:val="20"/>
                <w:szCs w:val="20"/>
              </w:rPr>
              <w:t xml:space="preserve"> reference ranges; may be influenced by other factors</w:t>
            </w:r>
          </w:p>
        </w:tc>
        <w:tc>
          <w:tcPr>
            <w:tcW w:w="1637" w:type="dxa"/>
          </w:tcPr>
          <w:p w14:paraId="79979B1E"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Low holoTC may be an early sign of deficiency even if total B</w:t>
            </w:r>
            <w:r w:rsidRPr="0019055A">
              <w:rPr>
                <w:rFonts w:ascii="Cambria Math" w:hAnsi="Cambria Math" w:cs="Cambria Math"/>
                <w:sz w:val="20"/>
                <w:szCs w:val="20"/>
              </w:rPr>
              <w:t>₁₂</w:t>
            </w:r>
            <w:r w:rsidRPr="0019055A">
              <w:rPr>
                <w:rFonts w:ascii="Arial" w:hAnsi="Arial"/>
                <w:sz w:val="20"/>
                <w:szCs w:val="20"/>
              </w:rPr>
              <w:t xml:space="preserve"> is “normal</w:t>
            </w:r>
          </w:p>
        </w:tc>
      </w:tr>
      <w:tr w:rsidR="00636AAB" w:rsidRPr="0019055A" w14:paraId="7ADAE51A" w14:textId="77777777" w:rsidTr="00636AAB">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029" w:type="dxa"/>
            <w:shd w:val="clear" w:color="auto" w:fill="FFFFFF" w:themeFill="background1"/>
          </w:tcPr>
          <w:p w14:paraId="11258AFF" w14:textId="77777777" w:rsidR="00636AAB" w:rsidRPr="0019055A" w:rsidRDefault="00636AAB" w:rsidP="0077529E">
            <w:pPr>
              <w:pStyle w:val="NormalWeb"/>
              <w:spacing w:line="480" w:lineRule="auto"/>
              <w:jc w:val="both"/>
              <w:rPr>
                <w:rFonts w:ascii="Arial" w:hAnsi="Arial"/>
                <w:sz w:val="20"/>
                <w:szCs w:val="20"/>
              </w:rPr>
            </w:pPr>
            <w:r w:rsidRPr="0019055A">
              <w:rPr>
                <w:rFonts w:ascii="Arial" w:hAnsi="Arial"/>
                <w:sz w:val="20"/>
                <w:szCs w:val="20"/>
              </w:rPr>
              <w:t>Methylmalonic acid (MMA)</w:t>
            </w:r>
          </w:p>
        </w:tc>
        <w:tc>
          <w:tcPr>
            <w:tcW w:w="1655" w:type="dxa"/>
            <w:shd w:val="clear" w:color="auto" w:fill="FFFFFF" w:themeFill="background1"/>
          </w:tcPr>
          <w:p w14:paraId="6852048B"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A metabolic marker: rises when intracellular vitamin B12 deficiency impairs conversion of methylmalonyl-CoA → succinyl-CoA</w:t>
            </w:r>
          </w:p>
        </w:tc>
        <w:tc>
          <w:tcPr>
            <w:tcW w:w="1559" w:type="dxa"/>
            <w:shd w:val="clear" w:color="auto" w:fill="FFFFFF" w:themeFill="background1"/>
          </w:tcPr>
          <w:p w14:paraId="2D853345"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Detects functional vitamin B12 deficiency even when serum vitamin B12 is normal; good specificity</w:t>
            </w:r>
          </w:p>
        </w:tc>
        <w:tc>
          <w:tcPr>
            <w:tcW w:w="1493" w:type="dxa"/>
            <w:shd w:val="clear" w:color="auto" w:fill="FFFFFF" w:themeFill="background1"/>
          </w:tcPr>
          <w:p w14:paraId="6A0CB1AF"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Elevated by renal impairment, some other metabolic disorders; slightly more expensive test</w:t>
            </w:r>
          </w:p>
        </w:tc>
        <w:tc>
          <w:tcPr>
            <w:tcW w:w="1637" w:type="dxa"/>
            <w:shd w:val="clear" w:color="auto" w:fill="FFFFFF" w:themeFill="background1"/>
          </w:tcPr>
          <w:p w14:paraId="04097BB1" w14:textId="77777777" w:rsidR="00636AAB" w:rsidRPr="0019055A" w:rsidRDefault="00636AAB" w:rsidP="0077529E">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9055A">
              <w:rPr>
                <w:rFonts w:ascii="Arial" w:hAnsi="Arial"/>
                <w:sz w:val="20"/>
                <w:szCs w:val="20"/>
              </w:rPr>
              <w:t>Elevated MMA suggests tissue/functional B</w:t>
            </w:r>
            <w:r w:rsidRPr="0019055A">
              <w:rPr>
                <w:rFonts w:ascii="Cambria Math" w:hAnsi="Cambria Math" w:cs="Cambria Math"/>
                <w:sz w:val="20"/>
                <w:szCs w:val="20"/>
              </w:rPr>
              <w:t>₁₂</w:t>
            </w:r>
            <w:r w:rsidRPr="0019055A">
              <w:rPr>
                <w:rFonts w:ascii="Arial" w:hAnsi="Arial"/>
                <w:sz w:val="20"/>
                <w:szCs w:val="20"/>
              </w:rPr>
              <w:t xml:space="preserve"> deficiency; interpret in context of renal function</w:t>
            </w:r>
          </w:p>
        </w:tc>
      </w:tr>
      <w:tr w:rsidR="00636AAB" w:rsidRPr="0019055A" w14:paraId="0360837C" w14:textId="77777777" w:rsidTr="00636AAB">
        <w:trPr>
          <w:trHeight w:val="431"/>
        </w:trPr>
        <w:tc>
          <w:tcPr>
            <w:cnfStyle w:val="001000000000" w:firstRow="0" w:lastRow="0" w:firstColumn="1" w:lastColumn="0" w:oddVBand="0" w:evenVBand="0" w:oddHBand="0" w:evenHBand="0" w:firstRowFirstColumn="0" w:firstRowLastColumn="0" w:lastRowFirstColumn="0" w:lastRowLastColumn="0"/>
            <w:tcW w:w="2029" w:type="dxa"/>
          </w:tcPr>
          <w:p w14:paraId="3A94124D" w14:textId="77777777" w:rsidR="00636AAB" w:rsidRPr="0019055A" w:rsidRDefault="00636AAB" w:rsidP="0077529E">
            <w:pPr>
              <w:pStyle w:val="NormalWeb"/>
              <w:spacing w:line="480" w:lineRule="auto"/>
              <w:jc w:val="center"/>
              <w:rPr>
                <w:rFonts w:ascii="Arial" w:hAnsi="Arial"/>
                <w:sz w:val="20"/>
                <w:szCs w:val="20"/>
              </w:rPr>
            </w:pPr>
            <w:r w:rsidRPr="0019055A">
              <w:rPr>
                <w:rFonts w:ascii="Arial" w:hAnsi="Arial"/>
                <w:sz w:val="20"/>
                <w:szCs w:val="20"/>
              </w:rPr>
              <w:t>Total homocysteine (tHcy)</w:t>
            </w:r>
          </w:p>
        </w:tc>
        <w:tc>
          <w:tcPr>
            <w:tcW w:w="1655" w:type="dxa"/>
          </w:tcPr>
          <w:p w14:paraId="5D8EF78D" w14:textId="77777777" w:rsidR="00636AAB" w:rsidRPr="0019055A" w:rsidRDefault="00636AAB" w:rsidP="0077529E">
            <w:pPr>
              <w:pStyle w:val="NormalWeb"/>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A metabolic marker: rises when remethylation (requiring vitamin B12 and folate) is impaired</w:t>
            </w:r>
          </w:p>
        </w:tc>
        <w:tc>
          <w:tcPr>
            <w:tcW w:w="1559" w:type="dxa"/>
          </w:tcPr>
          <w:p w14:paraId="50BBC56C"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Useful when combined with other markers; indicates remethylation pathway stress</w:t>
            </w:r>
          </w:p>
        </w:tc>
        <w:tc>
          <w:tcPr>
            <w:tcW w:w="1493" w:type="dxa"/>
          </w:tcPr>
          <w:p w14:paraId="4E919AF9"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Less specific: elevated in folate deficiency, B</w:t>
            </w:r>
            <w:r w:rsidRPr="0019055A">
              <w:rPr>
                <w:rFonts w:ascii="Cambria Math" w:hAnsi="Cambria Math" w:cs="Cambria Math"/>
                <w:sz w:val="20"/>
                <w:szCs w:val="20"/>
              </w:rPr>
              <w:t>₆</w:t>
            </w:r>
            <w:r w:rsidRPr="0019055A">
              <w:rPr>
                <w:rFonts w:ascii="Arial" w:hAnsi="Arial"/>
                <w:sz w:val="20"/>
                <w:szCs w:val="20"/>
              </w:rPr>
              <w:t xml:space="preserve"> deficiency, renal disease, other causes</w:t>
            </w:r>
          </w:p>
        </w:tc>
        <w:tc>
          <w:tcPr>
            <w:tcW w:w="1637" w:type="dxa"/>
          </w:tcPr>
          <w:p w14:paraId="42F31B06" w14:textId="77777777" w:rsidR="00636AAB" w:rsidRPr="0019055A" w:rsidRDefault="00636AAB" w:rsidP="0077529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19055A">
              <w:rPr>
                <w:rFonts w:ascii="Arial" w:hAnsi="Arial"/>
                <w:sz w:val="20"/>
                <w:szCs w:val="20"/>
              </w:rPr>
              <w:t>Elevated tHcy may suggest vitamin B12 deficiency but must interpret with folate/B6/renal status</w:t>
            </w:r>
          </w:p>
        </w:tc>
      </w:tr>
    </w:tbl>
    <w:p w14:paraId="28A0D868" w14:textId="77777777" w:rsidR="00BF5155" w:rsidRPr="0019055A" w:rsidRDefault="00BF5155" w:rsidP="00BF5155">
      <w:pPr>
        <w:pStyle w:val="Normal1"/>
        <w:spacing w:line="240" w:lineRule="auto"/>
        <w:jc w:val="both"/>
        <w:rPr>
          <w:rFonts w:eastAsia="Times New Roman"/>
          <w:sz w:val="20"/>
          <w:szCs w:val="20"/>
        </w:rPr>
      </w:pPr>
    </w:p>
    <w:p w14:paraId="3D9AD5A3"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8. Therapeutic Strategies</w:t>
      </w:r>
    </w:p>
    <w:p w14:paraId="7802AF78" w14:textId="77777777" w:rsidR="00296A87" w:rsidRPr="0019055A" w:rsidRDefault="00BF5155" w:rsidP="005B4A37">
      <w:pPr>
        <w:pStyle w:val="Normal1"/>
        <w:spacing w:line="240" w:lineRule="auto"/>
        <w:jc w:val="both"/>
        <w:rPr>
          <w:rFonts w:eastAsia="Times New Roman"/>
          <w:b/>
        </w:rPr>
      </w:pPr>
      <w:r w:rsidRPr="0019055A">
        <w:rPr>
          <w:rFonts w:eastAsia="Times New Roman"/>
          <w:sz w:val="20"/>
          <w:szCs w:val="20"/>
        </w:rPr>
        <w:t>Vitamin B12 deficiency can be treated using oral, sublingual, and parenteral vitamin B12 supplementation. The intramuscular injections were long preferred, particularly among those where malabsorption or extreme deficiency prevails. Nonetheless, recent studies have shown that high-dose oral supplementation works even without the presence of intrinsic factor. New preparations, including Sucrosomial vitamin B12, have enhanced bioavailability, patient compliance, and clinical performance. Oral supplementation has the potential to provide hematological and neurological outcomes comparable to parenteral therapy, and ensuring adequate prenatal intake is crucial for expectant mothers to prevent adverse fetal consequences such as neural tube defects and impaired neurodevelopment</w:t>
      </w:r>
      <w:r w:rsidR="0055397A" w:rsidRPr="0019055A">
        <w:rPr>
          <w:rFonts w:eastAsia="Times New Roman"/>
          <w:sz w:val="20"/>
          <w:szCs w:val="20"/>
        </w:rPr>
        <w:t xml:space="preserve"> </w:t>
      </w:r>
      <w:r w:rsidRPr="0019055A">
        <w:rPr>
          <w:rFonts w:eastAsia="Times New Roman"/>
          <w:sz w:val="20"/>
          <w:szCs w:val="20"/>
        </w:rPr>
        <w:t>(</w:t>
      </w:r>
      <w:r w:rsidR="00C67500" w:rsidRPr="0019055A">
        <w:rPr>
          <w:rFonts w:eastAsia="Times New Roman"/>
          <w:sz w:val="20"/>
          <w:szCs w:val="20"/>
        </w:rPr>
        <w:t>Chatterjee and Ghosh 2022)[9</w:t>
      </w:r>
      <w:r w:rsidRPr="0019055A">
        <w:rPr>
          <w:rFonts w:eastAsia="Times New Roman"/>
          <w:sz w:val="20"/>
          <w:szCs w:val="20"/>
        </w:rPr>
        <w:t>] and (Biswas et al. 2024)</w:t>
      </w:r>
      <w:r w:rsidR="00C67500" w:rsidRPr="0019055A">
        <w:rPr>
          <w:rFonts w:eastAsia="Times New Roman"/>
          <w:sz w:val="20"/>
          <w:szCs w:val="20"/>
        </w:rPr>
        <w:t>[23]</w:t>
      </w:r>
      <w:r w:rsidRPr="0019055A">
        <w:rPr>
          <w:rFonts w:eastAsia="Times New Roman"/>
          <w:sz w:val="20"/>
          <w:szCs w:val="20"/>
        </w:rPr>
        <w:t>.It is recommended that individuals consider regular consumption of vitamin B12, as even non-vegetarian</w:t>
      </w:r>
      <w:r w:rsidR="00296A87" w:rsidRPr="0019055A">
        <w:rPr>
          <w:rFonts w:eastAsia="Times New Roman"/>
          <w:sz w:val="20"/>
          <w:szCs w:val="20"/>
        </w:rPr>
        <w:t>s</w:t>
      </w:r>
      <w:r w:rsidRPr="0019055A">
        <w:rPr>
          <w:rFonts w:eastAsia="Times New Roman"/>
          <w:sz w:val="20"/>
          <w:szCs w:val="20"/>
        </w:rPr>
        <w:t>—despite access to animal-derived foods—may still exhibit deficiency, indicating that dietary intake alone may not ensure sufficiency therefore, screening or supplementation may be necessary for high-risk groups such as young adults with dietary restrictions or possible malabsorption (Sridevi Nutakki et al. 2023)</w:t>
      </w:r>
      <w:r w:rsidR="00C67500" w:rsidRPr="0019055A">
        <w:rPr>
          <w:rFonts w:eastAsia="Times New Roman"/>
          <w:sz w:val="20"/>
          <w:szCs w:val="20"/>
        </w:rPr>
        <w:t>[6]</w:t>
      </w:r>
      <w:r w:rsidRPr="0019055A">
        <w:rPr>
          <w:rFonts w:eastAsia="Times New Roman"/>
          <w:sz w:val="20"/>
          <w:szCs w:val="20"/>
        </w:rPr>
        <w:t>.The treatment depends on underlying cause. For example, in dietary deficiency an adequate oral B</w:t>
      </w:r>
      <w:r w:rsidR="006C31EC" w:rsidRPr="0019055A">
        <w:rPr>
          <w:rFonts w:eastAsia="Times New Roman"/>
          <w:sz w:val="20"/>
          <w:szCs w:val="20"/>
        </w:rPr>
        <w:t>12</w:t>
      </w:r>
      <w:r w:rsidRPr="0019055A">
        <w:rPr>
          <w:rFonts w:eastAsia="Times New Roman"/>
          <w:sz w:val="20"/>
          <w:szCs w:val="20"/>
        </w:rPr>
        <w:t xml:space="preserve"> supplementation may suffice; but in malabsorption (e.g., pernicious </w:t>
      </w:r>
      <w:r w:rsidR="0019055A" w:rsidRPr="0019055A">
        <w:rPr>
          <w:rFonts w:eastAsia="Times New Roman"/>
          <w:sz w:val="20"/>
          <w:szCs w:val="20"/>
        </w:rPr>
        <w:t>anemia</w:t>
      </w:r>
      <w:r w:rsidRPr="0019055A">
        <w:rPr>
          <w:rFonts w:eastAsia="Times New Roman"/>
          <w:sz w:val="20"/>
          <w:szCs w:val="20"/>
        </w:rPr>
        <w:t>, post-gastrectomy) parenteral administration is required.</w:t>
      </w:r>
      <w:r w:rsidR="00296A87" w:rsidRPr="0019055A">
        <w:rPr>
          <w:sz w:val="20"/>
          <w:szCs w:val="20"/>
        </w:rPr>
        <w:t xml:space="preserve"> Treatment recommendations differentiate severity, with severe or acute presentations requiring initial parenteral vitamin B12, followed by long-term high-dose oral therapy depending on the underlying cause and absorption status. Prophylactic supplementation is advised for individuals at increased risk, such as those with malabsorption or on specific medications. Still its seen that </w:t>
      </w:r>
      <w:r w:rsidR="00296A87" w:rsidRPr="0019055A">
        <w:rPr>
          <w:rStyle w:val="Strong"/>
          <w:b w:val="0"/>
          <w:bCs w:val="0"/>
          <w:sz w:val="20"/>
          <w:szCs w:val="20"/>
        </w:rPr>
        <w:t>High-dose oral B12 supplementation is effective</w:t>
      </w:r>
      <w:r w:rsidR="00296A87" w:rsidRPr="0019055A">
        <w:rPr>
          <w:sz w:val="20"/>
          <w:szCs w:val="20"/>
        </w:rPr>
        <w:t xml:space="preserve"> and comparable to intramuscular therapy in most cases (Al Amin, A. 2023) [28].The need for </w:t>
      </w:r>
      <w:r w:rsidR="0019055A" w:rsidRPr="0019055A">
        <w:rPr>
          <w:sz w:val="20"/>
          <w:szCs w:val="20"/>
        </w:rPr>
        <w:t>organizational</w:t>
      </w:r>
      <w:r w:rsidR="00296A87" w:rsidRPr="0019055A">
        <w:rPr>
          <w:sz w:val="20"/>
          <w:szCs w:val="20"/>
        </w:rPr>
        <w:t xml:space="preserve"> and educational improvements within healthcare systems to support effective implementation of these strategies is also emphasized (Obeid et al. 2024) [22]. </w:t>
      </w:r>
    </w:p>
    <w:p w14:paraId="1A1285F5" w14:textId="77777777" w:rsidR="00BF5155" w:rsidRPr="0019055A" w:rsidRDefault="00BF5155" w:rsidP="00BF5155">
      <w:pPr>
        <w:pStyle w:val="Normal1"/>
        <w:spacing w:line="240" w:lineRule="auto"/>
        <w:jc w:val="both"/>
        <w:rPr>
          <w:rFonts w:eastAsia="Times New Roman"/>
          <w:sz w:val="20"/>
          <w:szCs w:val="20"/>
        </w:rPr>
      </w:pPr>
    </w:p>
    <w:p w14:paraId="53A9C91E" w14:textId="77777777" w:rsidR="00BF5155" w:rsidRPr="0019055A" w:rsidRDefault="00BF5155" w:rsidP="00BF5155">
      <w:pPr>
        <w:pStyle w:val="Normal1"/>
        <w:spacing w:line="240" w:lineRule="auto"/>
        <w:jc w:val="both"/>
        <w:rPr>
          <w:rFonts w:eastAsia="Times New Roman"/>
          <w:sz w:val="20"/>
          <w:szCs w:val="20"/>
        </w:rPr>
      </w:pPr>
    </w:p>
    <w:p w14:paraId="339557D2" w14:textId="77777777" w:rsidR="005B4A37" w:rsidRPr="0019055A" w:rsidRDefault="00EE7BA9" w:rsidP="005B4A37">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9. Health and nutrition services: Public health and fortification</w:t>
      </w:r>
    </w:p>
    <w:p w14:paraId="0356D78E" w14:textId="77777777" w:rsidR="00BF5155" w:rsidRPr="0019055A" w:rsidRDefault="00BF5155" w:rsidP="005B4A37">
      <w:pPr>
        <w:pStyle w:val="Normal1"/>
        <w:spacing w:line="240" w:lineRule="auto"/>
        <w:jc w:val="both"/>
        <w:rPr>
          <w:rFonts w:eastAsia="Times New Roman"/>
          <w:b/>
        </w:rPr>
      </w:pPr>
      <w:r w:rsidRPr="0019055A">
        <w:rPr>
          <w:sz w:val="20"/>
          <w:szCs w:val="20"/>
        </w:rPr>
        <w:t>Vitamin B12 deficiency is an important population health problem, especially in groups of people who have a high prevalence of vegetarianism or have low access to animal-based foods. To minimize the prevalence of deficiency, various interventions have been used in most regions through public health programs, which include food fortification, supplementation programs, diversification campaigns and community education. The usefulness of fortification methods—particularly in staple foods—to help vulnerable groups achieve adequate vitamin B12 intake, along with the need for awareness campaigns and population-based screening to reduce long-term morbidity from clinical and subclinical deficiencies</w:t>
      </w:r>
      <w:r w:rsidR="0055397A" w:rsidRPr="0019055A">
        <w:rPr>
          <w:sz w:val="20"/>
          <w:szCs w:val="20"/>
        </w:rPr>
        <w:t xml:space="preserve"> </w:t>
      </w:r>
      <w:r w:rsidRPr="0019055A">
        <w:rPr>
          <w:sz w:val="20"/>
          <w:szCs w:val="20"/>
        </w:rPr>
        <w:t>(</w:t>
      </w:r>
      <w:r w:rsidR="00C67500" w:rsidRPr="0019055A">
        <w:rPr>
          <w:sz w:val="20"/>
          <w:szCs w:val="20"/>
        </w:rPr>
        <w:t>Pawlak et al. 2013)</w:t>
      </w:r>
      <w:r w:rsidR="0055397A" w:rsidRPr="0019055A">
        <w:rPr>
          <w:sz w:val="20"/>
          <w:szCs w:val="20"/>
        </w:rPr>
        <w:t xml:space="preserve"> </w:t>
      </w:r>
      <w:r w:rsidR="00C67500" w:rsidRPr="0019055A">
        <w:rPr>
          <w:sz w:val="20"/>
          <w:szCs w:val="20"/>
        </w:rPr>
        <w:t>[24</w:t>
      </w:r>
      <w:r w:rsidRPr="0019055A">
        <w:rPr>
          <w:sz w:val="20"/>
          <w:szCs w:val="20"/>
        </w:rPr>
        <w:t>]</w:t>
      </w:r>
      <w:r w:rsidRPr="0019055A">
        <w:rPr>
          <w:rStyle w:val="Strong"/>
          <w:sz w:val="20"/>
          <w:szCs w:val="20"/>
        </w:rPr>
        <w:t xml:space="preserve">. </w:t>
      </w:r>
      <w:r w:rsidR="00296A87" w:rsidRPr="0019055A">
        <w:rPr>
          <w:sz w:val="20"/>
          <w:szCs w:val="20"/>
        </w:rPr>
        <w:t>Vitamin B12</w:t>
      </w:r>
      <w:r w:rsidRPr="0019055A">
        <w:rPr>
          <w:sz w:val="20"/>
          <w:szCs w:val="20"/>
        </w:rPr>
        <w:t xml:space="preserve"> deficiency remains under-diagnosed even among high-risk groups, and reliance on classical hematologic markers such as elevated </w:t>
      </w:r>
      <w:r w:rsidR="006C31EC" w:rsidRPr="0019055A">
        <w:rPr>
          <w:sz w:val="20"/>
          <w:szCs w:val="20"/>
        </w:rPr>
        <w:t>Mean Corpuscular Volume</w:t>
      </w:r>
      <w:r w:rsidR="006C31EC" w:rsidRPr="0019055A">
        <w:t> </w:t>
      </w:r>
      <w:r w:rsidR="006C31EC" w:rsidRPr="0019055A">
        <w:rPr>
          <w:sz w:val="20"/>
          <w:szCs w:val="20"/>
        </w:rPr>
        <w:t>(</w:t>
      </w:r>
      <w:r w:rsidRPr="0019055A">
        <w:rPr>
          <w:sz w:val="20"/>
          <w:szCs w:val="20"/>
        </w:rPr>
        <w:t>MCV</w:t>
      </w:r>
      <w:r w:rsidR="006C31EC" w:rsidRPr="0019055A">
        <w:rPr>
          <w:sz w:val="20"/>
          <w:szCs w:val="20"/>
        </w:rPr>
        <w:t>)</w:t>
      </w:r>
      <w:r w:rsidRPr="0019055A">
        <w:rPr>
          <w:sz w:val="20"/>
          <w:szCs w:val="20"/>
        </w:rPr>
        <w:t xml:space="preserve"> is insufficient</w:t>
      </w:r>
      <w:r w:rsidR="00296A87" w:rsidRPr="0019055A">
        <w:rPr>
          <w:sz w:val="20"/>
          <w:szCs w:val="20"/>
        </w:rPr>
        <w:t xml:space="preserve"> </w:t>
      </w:r>
      <w:r w:rsidRPr="0019055A">
        <w:rPr>
          <w:sz w:val="20"/>
          <w:szCs w:val="20"/>
        </w:rPr>
        <w:t>rather, nutritional status and pregnancy emerge as key associated factors, underscoring the need for targeted screening in these populations</w:t>
      </w:r>
      <w:r w:rsidR="0055397A" w:rsidRPr="0019055A">
        <w:rPr>
          <w:sz w:val="20"/>
          <w:szCs w:val="20"/>
        </w:rPr>
        <w:t xml:space="preserve"> </w:t>
      </w:r>
      <w:r w:rsidRPr="0019055A">
        <w:rPr>
          <w:sz w:val="20"/>
          <w:szCs w:val="20"/>
        </w:rPr>
        <w:t>(Sowndarya</w:t>
      </w:r>
      <w:r w:rsidR="00C67500" w:rsidRPr="0019055A">
        <w:rPr>
          <w:sz w:val="20"/>
          <w:szCs w:val="20"/>
        </w:rPr>
        <w:t xml:space="preserve"> K</w:t>
      </w:r>
      <w:r w:rsidRPr="0019055A">
        <w:rPr>
          <w:sz w:val="20"/>
          <w:szCs w:val="20"/>
        </w:rPr>
        <w:t xml:space="preserve"> et al. 2019)</w:t>
      </w:r>
      <w:r w:rsidR="0055397A" w:rsidRPr="0019055A">
        <w:rPr>
          <w:sz w:val="20"/>
          <w:szCs w:val="20"/>
        </w:rPr>
        <w:t xml:space="preserve"> </w:t>
      </w:r>
      <w:r w:rsidR="00C67500" w:rsidRPr="0019055A">
        <w:rPr>
          <w:sz w:val="20"/>
          <w:szCs w:val="20"/>
        </w:rPr>
        <w:t>[25]</w:t>
      </w:r>
      <w:r w:rsidRPr="0019055A">
        <w:rPr>
          <w:sz w:val="20"/>
          <w:szCs w:val="20"/>
        </w:rPr>
        <w:t>.</w:t>
      </w:r>
      <w:r w:rsidRPr="0019055A">
        <w:rPr>
          <w:sz w:val="20"/>
          <w:szCs w:val="20"/>
          <w:lang w:val="en-IN" w:eastAsia="en-IN"/>
        </w:rPr>
        <w:t xml:space="preserve"> </w:t>
      </w:r>
      <w:r w:rsidRPr="0019055A">
        <w:rPr>
          <w:sz w:val="20"/>
          <w:szCs w:val="20"/>
          <w:lang w:val="en-IN"/>
        </w:rPr>
        <w:t xml:space="preserve">The </w:t>
      </w:r>
      <w:r w:rsidR="00D91D2E" w:rsidRPr="0019055A">
        <w:rPr>
          <w:sz w:val="20"/>
          <w:szCs w:val="20"/>
          <w:lang w:val="en-IN"/>
        </w:rPr>
        <w:t>review till now</w:t>
      </w:r>
      <w:r w:rsidRPr="0019055A">
        <w:rPr>
          <w:sz w:val="20"/>
          <w:szCs w:val="20"/>
          <w:lang w:val="en-IN"/>
        </w:rPr>
        <w:t xml:space="preserve"> comprehensively evaluated the clinical and </w:t>
      </w:r>
      <w:r w:rsidR="0019055A" w:rsidRPr="0019055A">
        <w:rPr>
          <w:sz w:val="20"/>
          <w:szCs w:val="20"/>
          <w:lang w:val="en-IN"/>
        </w:rPr>
        <w:t>haematological</w:t>
      </w:r>
      <w:r w:rsidRPr="0019055A">
        <w:rPr>
          <w:sz w:val="20"/>
          <w:szCs w:val="20"/>
          <w:lang w:val="en-IN"/>
        </w:rPr>
        <w:t xml:space="preserve"> characteristics of patients with vitamin B12 deficiency. </w:t>
      </w:r>
      <w:r w:rsidR="00296A87" w:rsidRPr="0019055A">
        <w:rPr>
          <w:sz w:val="20"/>
          <w:szCs w:val="20"/>
          <w:lang w:val="en-IN"/>
        </w:rPr>
        <w:t xml:space="preserve">Its </w:t>
      </w:r>
      <w:r w:rsidRPr="0019055A">
        <w:rPr>
          <w:sz w:val="20"/>
          <w:szCs w:val="20"/>
          <w:lang w:val="en-IN"/>
        </w:rPr>
        <w:t xml:space="preserve">observed that the most common </w:t>
      </w:r>
      <w:r w:rsidR="00D91D2E" w:rsidRPr="0019055A">
        <w:rPr>
          <w:sz w:val="20"/>
          <w:szCs w:val="20"/>
          <w:lang w:val="en-IN"/>
        </w:rPr>
        <w:t>symptoms</w:t>
      </w:r>
      <w:r w:rsidRPr="0019055A">
        <w:rPr>
          <w:sz w:val="20"/>
          <w:szCs w:val="20"/>
          <w:lang w:val="en-IN"/>
        </w:rPr>
        <w:t xml:space="preserve"> included megaloblastic anemia, fatigue, pallor, glossitis, and neurological manifestations such as paresthesia and numbness. </w:t>
      </w:r>
      <w:r w:rsidR="0019055A" w:rsidRPr="0019055A">
        <w:rPr>
          <w:sz w:val="20"/>
          <w:szCs w:val="20"/>
          <w:lang w:val="en-IN"/>
        </w:rPr>
        <w:t>Haematological</w:t>
      </w:r>
      <w:r w:rsidRPr="0019055A">
        <w:rPr>
          <w:sz w:val="20"/>
          <w:szCs w:val="20"/>
          <w:lang w:val="en-IN"/>
        </w:rPr>
        <w:t xml:space="preserve"> findings revealed macrocytosis, elevated MCV, and hypersegmented neutrophils, consistent with classical features of </w:t>
      </w:r>
      <w:r w:rsidRPr="0019055A">
        <w:rPr>
          <w:sz w:val="20"/>
          <w:szCs w:val="20"/>
        </w:rPr>
        <w:t xml:space="preserve">vitamin B12 </w:t>
      </w:r>
      <w:r w:rsidRPr="0019055A">
        <w:rPr>
          <w:sz w:val="20"/>
          <w:szCs w:val="20"/>
          <w:lang w:val="en-IN"/>
        </w:rPr>
        <w:t>deficiency.</w:t>
      </w:r>
    </w:p>
    <w:p w14:paraId="359801E8" w14:textId="77777777" w:rsidR="00BF5155" w:rsidRPr="0019055A" w:rsidRDefault="00BF5155" w:rsidP="005C2410">
      <w:pPr>
        <w:pStyle w:val="NormalWeb"/>
        <w:rPr>
          <w:rFonts w:ascii="Arial" w:hAnsi="Arial" w:cs="Arial"/>
          <w:sz w:val="20"/>
          <w:szCs w:val="20"/>
        </w:rPr>
      </w:pPr>
      <w:r w:rsidRPr="0019055A">
        <w:rPr>
          <w:rFonts w:ascii="Arial" w:hAnsi="Arial" w:cs="Arial"/>
          <w:sz w:val="20"/>
          <w:szCs w:val="20"/>
          <w:lang w:val="en-IN"/>
        </w:rPr>
        <w:t xml:space="preserve">Upon administration of vitamin B12 therapy, both clinical symptoms and </w:t>
      </w:r>
      <w:r w:rsidR="0019055A" w:rsidRPr="0019055A">
        <w:rPr>
          <w:rFonts w:ascii="Arial" w:hAnsi="Arial" w:cs="Arial"/>
          <w:sz w:val="20"/>
          <w:szCs w:val="20"/>
          <w:lang w:val="en-IN"/>
        </w:rPr>
        <w:t>haematological</w:t>
      </w:r>
      <w:r w:rsidRPr="0019055A">
        <w:rPr>
          <w:rFonts w:ascii="Arial" w:hAnsi="Arial" w:cs="Arial"/>
          <w:sz w:val="20"/>
          <w:szCs w:val="20"/>
          <w:lang w:val="en-IN"/>
        </w:rPr>
        <w:t xml:space="preserve"> parameters improved significantly, highlighting the efficacy of timely supplementation. The importance of early recognition of subtle symptoms, especially in populations at risk, since delayed treatment may lead to irreversible neurological damage. </w:t>
      </w:r>
      <w:r w:rsidR="00D91D2E" w:rsidRPr="0019055A">
        <w:rPr>
          <w:rFonts w:ascii="Arial" w:hAnsi="Arial" w:cs="Arial"/>
          <w:sz w:val="20"/>
          <w:szCs w:val="20"/>
          <w:lang w:val="en-IN"/>
        </w:rPr>
        <w:t>And</w:t>
      </w:r>
      <w:r w:rsidRPr="0019055A">
        <w:rPr>
          <w:rFonts w:ascii="Arial" w:hAnsi="Arial" w:cs="Arial"/>
          <w:sz w:val="20"/>
          <w:szCs w:val="20"/>
          <w:lang w:val="en-IN"/>
        </w:rPr>
        <w:t xml:space="preserve"> also note that routine screening and awareness programs could help reduce the burden of deficiency-related morbidity</w:t>
      </w:r>
      <w:r w:rsidR="00C67500" w:rsidRPr="0019055A">
        <w:rPr>
          <w:rFonts w:ascii="Arial" w:hAnsi="Arial" w:cs="Arial"/>
          <w:sz w:val="20"/>
          <w:szCs w:val="20"/>
          <w:lang w:val="en-IN"/>
        </w:rPr>
        <w:t xml:space="preserve"> </w:t>
      </w:r>
      <w:r w:rsidRPr="0019055A">
        <w:rPr>
          <w:rFonts w:ascii="Arial" w:eastAsia="Arial" w:hAnsi="Arial" w:cs="Arial"/>
          <w:sz w:val="20"/>
          <w:szCs w:val="20"/>
        </w:rPr>
        <w:t>(</w:t>
      </w:r>
      <w:r w:rsidRPr="0019055A">
        <w:rPr>
          <w:rFonts w:ascii="Arial" w:hAnsi="Arial" w:cs="Arial"/>
          <w:sz w:val="20"/>
          <w:szCs w:val="20"/>
        </w:rPr>
        <w:t>Aher et. al. 2024)</w:t>
      </w:r>
      <w:r w:rsidR="0055397A" w:rsidRPr="0019055A">
        <w:rPr>
          <w:rFonts w:ascii="Arial" w:hAnsi="Arial" w:cs="Arial"/>
          <w:sz w:val="20"/>
          <w:szCs w:val="20"/>
        </w:rPr>
        <w:t xml:space="preserve"> </w:t>
      </w:r>
      <w:r w:rsidR="00C67500" w:rsidRPr="0019055A">
        <w:rPr>
          <w:rFonts w:ascii="Arial" w:hAnsi="Arial" w:cs="Arial"/>
          <w:sz w:val="20"/>
          <w:szCs w:val="20"/>
        </w:rPr>
        <w:t>[26]</w:t>
      </w:r>
      <w:r w:rsidRPr="0019055A">
        <w:rPr>
          <w:rFonts w:ascii="Arial" w:hAnsi="Arial" w:cs="Arial"/>
          <w:sz w:val="20"/>
          <w:szCs w:val="20"/>
        </w:rPr>
        <w:t xml:space="preserve">. Because of absorption limitations, relatively high oral doses of vitamin B12 may be required for instance, 50–100 µg of cyanocobalamin daily or 2000 µg weekly can adequately meet the approximate daily requirement of 2.4 µg for healthy vegetarians. </w:t>
      </w:r>
    </w:p>
    <w:p w14:paraId="238DF846" w14:textId="77777777" w:rsidR="00BF5155" w:rsidRPr="0019055A" w:rsidRDefault="00BF5155" w:rsidP="00BF5155">
      <w:pPr>
        <w:pStyle w:val="Normal1"/>
        <w:spacing w:line="240" w:lineRule="auto"/>
        <w:jc w:val="both"/>
        <w:rPr>
          <w:rFonts w:eastAsia="Times New Roman"/>
          <w:sz w:val="20"/>
          <w:szCs w:val="20"/>
        </w:rPr>
      </w:pPr>
    </w:p>
    <w:p w14:paraId="187A6ADA" w14:textId="77777777" w:rsidR="00BF5155" w:rsidRPr="0019055A" w:rsidRDefault="00EE7BA9" w:rsidP="00BF5155">
      <w:pPr>
        <w:pStyle w:val="Normal1"/>
        <w:spacing w:line="240" w:lineRule="auto"/>
        <w:jc w:val="both"/>
        <w:rPr>
          <w:rFonts w:eastAsia="Times New Roman"/>
          <w:b/>
        </w:rPr>
      </w:pPr>
      <w:r w:rsidRPr="0019055A">
        <w:rPr>
          <w:rFonts w:eastAsia="Times New Roman"/>
          <w:b/>
        </w:rPr>
        <w:t>1.</w:t>
      </w:r>
      <w:r w:rsidR="00BF5155" w:rsidRPr="0019055A">
        <w:rPr>
          <w:rFonts w:eastAsia="Times New Roman"/>
          <w:b/>
        </w:rPr>
        <w:t>10. Molecular Biology and Biotechnology</w:t>
      </w:r>
    </w:p>
    <w:p w14:paraId="2B61E35F" w14:textId="77777777" w:rsidR="00A03B96" w:rsidRPr="0019055A" w:rsidRDefault="00BF5155" w:rsidP="00EE7BA9">
      <w:pPr>
        <w:pStyle w:val="Normal1"/>
        <w:spacing w:line="240" w:lineRule="auto"/>
        <w:jc w:val="both"/>
        <w:rPr>
          <w:rFonts w:eastAsia="Times New Roman"/>
          <w:sz w:val="20"/>
          <w:szCs w:val="20"/>
        </w:rPr>
      </w:pPr>
      <w:r w:rsidRPr="0019055A">
        <w:rPr>
          <w:rFonts w:eastAsia="Times New Roman"/>
          <w:sz w:val="20"/>
          <w:szCs w:val="20"/>
        </w:rPr>
        <w:t xml:space="preserve">Recent studies have increased the knowledge on the genetic, molecular and biotechnological mechanisms of vitamin B12 metabolism. </w:t>
      </w:r>
      <w:r w:rsidR="0094767A" w:rsidRPr="0019055A">
        <w:rPr>
          <w:rFonts w:eastAsia="Times New Roman"/>
          <w:sz w:val="20"/>
          <w:szCs w:val="20"/>
        </w:rPr>
        <w:t>The primary method for producing industrial vitamin B12 is through microbial fermentation, and recent improvements in metabolic engineering have significantly increased yield. In conjunction with these advancements, bioprocess optimization—such as improved medium formulations and fed-batch cultivation—has enhanced production efficiency and reduced overall costs. Fortifying functional foods with stable forms of vitamin B12, particularly cyanocobalamin, is an effective strategy for addressing deficiencies, especially among vegetarian populations with limited dietary intake. Furthermore, new delivery technologies like microencapsulation and liposomal or Sucrosomial formulations greatly enhance the stability and bioavailability of vitamin B12 in food products (Raju</w:t>
      </w:r>
      <w:r w:rsidR="006C31EC" w:rsidRPr="0019055A">
        <w:rPr>
          <w:rFonts w:eastAsia="Times New Roman"/>
          <w:sz w:val="20"/>
          <w:szCs w:val="20"/>
        </w:rPr>
        <w:t xml:space="preserve"> </w:t>
      </w:r>
      <w:r w:rsidR="0094767A" w:rsidRPr="0019055A">
        <w:rPr>
          <w:rFonts w:eastAsia="Times New Roman"/>
          <w:sz w:val="20"/>
          <w:szCs w:val="20"/>
        </w:rPr>
        <w:t>Kumar et al 2023)</w:t>
      </w:r>
      <w:r w:rsidR="0055397A" w:rsidRPr="0019055A">
        <w:rPr>
          <w:rFonts w:eastAsia="Times New Roman"/>
          <w:sz w:val="20"/>
          <w:szCs w:val="20"/>
        </w:rPr>
        <w:t xml:space="preserve"> </w:t>
      </w:r>
      <w:r w:rsidR="0094767A" w:rsidRPr="0019055A">
        <w:rPr>
          <w:rFonts w:eastAsia="Times New Roman"/>
          <w:sz w:val="20"/>
          <w:szCs w:val="20"/>
        </w:rPr>
        <w:t>[31].</w:t>
      </w:r>
      <w:r w:rsidR="006C31EC" w:rsidRPr="0019055A">
        <w:rPr>
          <w:rFonts w:eastAsia="Times New Roman"/>
          <w:sz w:val="20"/>
          <w:szCs w:val="20"/>
        </w:rPr>
        <w:t xml:space="preserve"> </w:t>
      </w:r>
      <w:r w:rsidRPr="0019055A">
        <w:rPr>
          <w:rFonts w:eastAsia="Times New Roman"/>
          <w:sz w:val="20"/>
          <w:szCs w:val="20"/>
        </w:rPr>
        <w:t xml:space="preserve">Genetic research has traced the mutations to absorption, transport and enzymatic use that gives information on personal vulnerability. The delivery systems are improved through nanotechnology, liposomal formulations, and Sucrosomial </w:t>
      </w:r>
      <w:r w:rsidRPr="0019055A">
        <w:rPr>
          <w:rFonts w:eastAsia="Times New Roman"/>
          <w:sz w:val="20"/>
          <w:szCs w:val="20"/>
        </w:rPr>
        <w:lastRenderedPageBreak/>
        <w:t>vitamin B12 with better oral absorption and cli</w:t>
      </w:r>
      <w:r w:rsidR="00C67500" w:rsidRPr="0019055A">
        <w:rPr>
          <w:rFonts w:eastAsia="Times New Roman"/>
          <w:sz w:val="20"/>
          <w:szCs w:val="20"/>
        </w:rPr>
        <w:t>nical efficacy. The metabol</w:t>
      </w:r>
      <w:r w:rsidRPr="0019055A">
        <w:rPr>
          <w:rFonts w:eastAsia="Times New Roman"/>
          <w:sz w:val="20"/>
          <w:szCs w:val="20"/>
        </w:rPr>
        <w:t>ic and epigenetic studies have shown that vitamin B12 deficiency has the capacity to trigger changes in DNA methylation, gene expression and neurodevelopment, which influence health outcomes in the long term. These innovations allow individualized medicine and targeted treatment of people who are at risk, enhancing the efficiency of supplementation and preventive measures</w:t>
      </w:r>
      <w:r w:rsidR="0094767A" w:rsidRPr="0019055A">
        <w:rPr>
          <w:rFonts w:eastAsia="Times New Roman"/>
          <w:sz w:val="20"/>
          <w:szCs w:val="20"/>
        </w:rPr>
        <w:t xml:space="preserve"> Overall, the ongoing innovation in production techniques and fortification methods is essential for reducing the growing global problem of vitamin B12 deficiency.</w:t>
      </w:r>
    </w:p>
    <w:p w14:paraId="655C7380" w14:textId="77777777" w:rsidR="00A03B96" w:rsidRPr="0019055A" w:rsidRDefault="00A03B96" w:rsidP="00441B6F">
      <w:pPr>
        <w:pStyle w:val="Body"/>
        <w:spacing w:after="0"/>
        <w:rPr>
          <w:rFonts w:ascii="Arial" w:hAnsi="Arial" w:cs="Arial"/>
        </w:rPr>
      </w:pPr>
    </w:p>
    <w:p w14:paraId="26C7D3FD" w14:textId="77777777" w:rsidR="00790ADA" w:rsidRPr="0019055A" w:rsidRDefault="00790ADA" w:rsidP="00441B6F">
      <w:pPr>
        <w:pStyle w:val="Body"/>
        <w:spacing w:after="0"/>
        <w:rPr>
          <w:rFonts w:ascii="Arial" w:hAnsi="Arial" w:cs="Arial"/>
        </w:rPr>
      </w:pPr>
    </w:p>
    <w:p w14:paraId="5B1C4642" w14:textId="77777777" w:rsidR="00902823" w:rsidRPr="0019055A" w:rsidRDefault="00000F8F" w:rsidP="00441B6F">
      <w:pPr>
        <w:pStyle w:val="Head1"/>
        <w:spacing w:after="0"/>
        <w:jc w:val="both"/>
        <w:rPr>
          <w:rFonts w:ascii="Arial" w:hAnsi="Arial" w:cs="Arial"/>
        </w:rPr>
      </w:pPr>
      <w:r w:rsidRPr="0019055A">
        <w:rPr>
          <w:rFonts w:ascii="Arial" w:hAnsi="Arial" w:cs="Arial"/>
        </w:rPr>
        <w:t>3</w:t>
      </w:r>
      <w:r w:rsidR="00902823" w:rsidRPr="0019055A">
        <w:rPr>
          <w:rFonts w:ascii="Arial" w:hAnsi="Arial" w:cs="Arial"/>
        </w:rPr>
        <w:t xml:space="preserve">. </w:t>
      </w:r>
      <w:r w:rsidRPr="0019055A">
        <w:rPr>
          <w:rFonts w:ascii="Arial" w:hAnsi="Arial" w:cs="Arial"/>
        </w:rPr>
        <w:t>results and discussion</w:t>
      </w:r>
    </w:p>
    <w:p w14:paraId="66C03867"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Cobalamin or vitamin B12 is a crucial vitamin in the synthesis of DNA, erythropoiesis and in maintaining neurological wellbeing. Lack of this vital micronutrient has been linked to an excessive number of clinical manifestations, such as megaloblastic anemia, neuro-developmental delays, cognitive issues, and metabolic issues. It has been established that inadequate </w:t>
      </w:r>
      <w:r w:rsidRPr="0019055A">
        <w:rPr>
          <w:sz w:val="20"/>
          <w:szCs w:val="20"/>
          <w:lang w:val="en-IN"/>
        </w:rPr>
        <w:t xml:space="preserve">vitamin </w:t>
      </w:r>
      <w:r w:rsidRPr="0019055A">
        <w:rPr>
          <w:rFonts w:eastAsia="Times New Roman"/>
          <w:sz w:val="20"/>
          <w:szCs w:val="20"/>
        </w:rPr>
        <w:t>B12 intake or absorption is a key social health issue, especially in groups that have mostly vegetarian diets, the elderly, pregnant women, and persons using long-term medications like metformin or proton pump inhibitors. Various studies in India show a high prevalence of deficiency in all age groups, with children, adolescents, and adults often showing low levels of serum vitamin B12, which are usually aggravated by socioeconomic and dietary factors.</w:t>
      </w:r>
    </w:p>
    <w:p w14:paraId="7740ACDE" w14:textId="77777777" w:rsidR="005E5442" w:rsidRPr="0019055A" w:rsidRDefault="005E5442" w:rsidP="005E5442">
      <w:pPr>
        <w:pStyle w:val="Normal1"/>
        <w:spacing w:line="240" w:lineRule="auto"/>
        <w:jc w:val="both"/>
        <w:rPr>
          <w:rFonts w:eastAsia="Times New Roman"/>
          <w:sz w:val="20"/>
          <w:szCs w:val="20"/>
        </w:rPr>
      </w:pPr>
    </w:p>
    <w:p w14:paraId="0734BE9B"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There are clinical and neurological implications of vitamin B12 deficiency. In children, deficiency is a cause of delayed development, growth disorders and frequent infections. Prenatal maternal deficiency has been associated with neonatal underdevelopment in the form of low birth weight, neural tube defects and poor cognitive development. Vitamin B12 deficiency in adults particularly elderly patients is linked to memory impairments, depression and increased chances of developing neurodegenerative diseases. The neurological and hematologic implication shows that, early diagnosis and treatment of deficiency to prevent long-term complications are essential.</w:t>
      </w:r>
    </w:p>
    <w:p w14:paraId="0D8100D3" w14:textId="77777777" w:rsidR="005E5442" w:rsidRPr="0019055A" w:rsidRDefault="005E5442" w:rsidP="005E5442">
      <w:pPr>
        <w:pStyle w:val="Normal1"/>
        <w:spacing w:line="240" w:lineRule="auto"/>
        <w:jc w:val="both"/>
        <w:rPr>
          <w:rFonts w:eastAsia="Times New Roman"/>
          <w:sz w:val="20"/>
          <w:szCs w:val="20"/>
        </w:rPr>
      </w:pPr>
    </w:p>
    <w:p w14:paraId="29096131"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In order to be capable of measuring the vitamin B12 status, biochemical parameters such as serum vitamin B12, methylmalonic acid, and homocysteine are required since clinical manifestations may not be adequate to identify the disease in good time. Functional deficiency can actually exist even in the case when it is observed that the serum vitamin B12 levels are normal, which explains why it is necessary to conduct a comprehensive lab analysis. Recent research </w:t>
      </w:r>
      <w:r w:rsidR="0019055A" w:rsidRPr="0019055A">
        <w:rPr>
          <w:rFonts w:eastAsia="Times New Roman"/>
          <w:sz w:val="20"/>
          <w:szCs w:val="20"/>
        </w:rPr>
        <w:t>emphasizes</w:t>
      </w:r>
      <w:r w:rsidRPr="0019055A">
        <w:rPr>
          <w:rFonts w:eastAsia="Times New Roman"/>
          <w:sz w:val="20"/>
          <w:szCs w:val="20"/>
        </w:rPr>
        <w:t xml:space="preserve"> the significance of the complex of different biomarkers to detect subclinical deficiency that is particularly crucial in high-risk populations.</w:t>
      </w:r>
    </w:p>
    <w:p w14:paraId="67E253AA" w14:textId="77777777" w:rsidR="005E5442" w:rsidRPr="0019055A" w:rsidRDefault="005E5442" w:rsidP="005E5442">
      <w:pPr>
        <w:pStyle w:val="Normal1"/>
        <w:spacing w:line="240" w:lineRule="auto"/>
        <w:jc w:val="both"/>
        <w:rPr>
          <w:rFonts w:eastAsia="Times New Roman"/>
          <w:sz w:val="20"/>
          <w:szCs w:val="20"/>
        </w:rPr>
      </w:pPr>
    </w:p>
    <w:p w14:paraId="70B089CE"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Treatment of vitamin B12 deficiency is based on therapies which include oral, intramuscular and sub lingual supplements. Randomized controlled trials have demonstrated that oral high-dose vitamin B12 is often as effective as intramuscular therapy, in terms of hematological parameters as well as cognitive performance. New preparations such as Sucrosomial vitamin B12 are better absorbing and may be utilized on patients experiencing absorption problems. The study of the superior neurocognitive outcomes of pediatric and adult populations has supported the clinical relevance of long-term supplementation.</w:t>
      </w:r>
    </w:p>
    <w:p w14:paraId="3FA39700" w14:textId="77777777" w:rsidR="005E5442" w:rsidRPr="0019055A" w:rsidRDefault="005E5442" w:rsidP="005E5442">
      <w:pPr>
        <w:pStyle w:val="Normal1"/>
        <w:spacing w:line="240" w:lineRule="auto"/>
        <w:jc w:val="both"/>
        <w:rPr>
          <w:rFonts w:eastAsia="Times New Roman"/>
          <w:sz w:val="20"/>
          <w:szCs w:val="20"/>
        </w:rPr>
      </w:pPr>
    </w:p>
    <w:p w14:paraId="01E4BBE3"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 compounding and cumulative nature of the vitamin B12 deficiency are topical and interventions in the health area should be intensive. The prevention of the impact of the deficit issue, such as the fortification of food, prenatal supplementation programs, school-based prevention, and targeted screening of the groups of the high-risk population, are the measures that can be taken to facilitate the improvement of the health status of the population and achieve improved outcomes. Through awareness programs and dietary counseling, preventive efforts are necessary and particularly in areas where vegetarians are the majority.</w:t>
      </w:r>
    </w:p>
    <w:p w14:paraId="3F08A19F" w14:textId="77777777" w:rsidR="005E5442" w:rsidRPr="0019055A" w:rsidRDefault="005E5442" w:rsidP="005E5442">
      <w:pPr>
        <w:pStyle w:val="Normal1"/>
        <w:spacing w:line="240" w:lineRule="auto"/>
        <w:jc w:val="both"/>
        <w:rPr>
          <w:rFonts w:eastAsia="Times New Roman"/>
          <w:sz w:val="20"/>
          <w:szCs w:val="20"/>
        </w:rPr>
      </w:pPr>
    </w:p>
    <w:p w14:paraId="492D2668"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Although this amount of research has been gathered, some gaps in knowledge still exist regarding the optimal supplementation techniques and results, as well as the general impacts of vitamin B12 deficiency on the metabolic and epigenetic health. Investigations in the future need to target case-specific practices depending on food habits, genetic inclinations, and biochemical indicators with a view to maximizing the effectiveness of intervention. The research on the problem of the intergenerational effects of maternal deficiency and its influence on chronic diseases and neuro</w:t>
      </w:r>
      <w:r w:rsidR="0094767A" w:rsidRPr="0019055A">
        <w:rPr>
          <w:rFonts w:eastAsia="Times New Roman"/>
          <w:sz w:val="20"/>
          <w:szCs w:val="20"/>
        </w:rPr>
        <w:t xml:space="preserve"> </w:t>
      </w:r>
      <w:r w:rsidRPr="0019055A">
        <w:rPr>
          <w:rFonts w:eastAsia="Times New Roman"/>
          <w:sz w:val="20"/>
          <w:szCs w:val="20"/>
        </w:rPr>
        <w:t xml:space="preserve">developmental disorders </w:t>
      </w:r>
      <w:r w:rsidR="00D91D2E" w:rsidRPr="0019055A">
        <w:rPr>
          <w:rFonts w:eastAsia="Times New Roman"/>
          <w:sz w:val="20"/>
          <w:szCs w:val="20"/>
        </w:rPr>
        <w:t>can</w:t>
      </w:r>
      <w:r w:rsidRPr="0019055A">
        <w:rPr>
          <w:rFonts w:eastAsia="Times New Roman"/>
          <w:sz w:val="20"/>
          <w:szCs w:val="20"/>
        </w:rPr>
        <w:t xml:space="preserve"> yield more information about the importance of vitamin B12 in the context of the social health of the population.</w:t>
      </w:r>
    </w:p>
    <w:p w14:paraId="642745DC" w14:textId="77777777" w:rsidR="00790ADA" w:rsidRPr="0019055A" w:rsidRDefault="00790ADA" w:rsidP="00441B6F">
      <w:pPr>
        <w:pStyle w:val="Head1"/>
        <w:spacing w:after="0"/>
        <w:jc w:val="both"/>
        <w:rPr>
          <w:rFonts w:ascii="Arial" w:hAnsi="Arial" w:cs="Arial"/>
        </w:rPr>
      </w:pPr>
    </w:p>
    <w:p w14:paraId="51B00035" w14:textId="77777777" w:rsidR="00790ADA" w:rsidRPr="0019055A" w:rsidRDefault="00790ADA" w:rsidP="00441B6F">
      <w:pPr>
        <w:pStyle w:val="Body"/>
        <w:spacing w:after="0"/>
        <w:rPr>
          <w:rFonts w:ascii="Arial" w:hAnsi="Arial" w:cs="Arial"/>
        </w:rPr>
      </w:pPr>
    </w:p>
    <w:p w14:paraId="6804D1AF" w14:textId="77777777" w:rsidR="00B01FCD" w:rsidRPr="0019055A" w:rsidRDefault="00000F8F" w:rsidP="00441B6F">
      <w:pPr>
        <w:pStyle w:val="ConcHead"/>
        <w:spacing w:after="0"/>
        <w:jc w:val="both"/>
        <w:rPr>
          <w:rFonts w:ascii="Arial" w:hAnsi="Arial" w:cs="Arial"/>
        </w:rPr>
      </w:pPr>
      <w:r w:rsidRPr="0019055A">
        <w:rPr>
          <w:rFonts w:ascii="Arial" w:hAnsi="Arial" w:cs="Arial"/>
        </w:rPr>
        <w:t xml:space="preserve">4. </w:t>
      </w:r>
      <w:r w:rsidR="00B01FCD" w:rsidRPr="0019055A">
        <w:rPr>
          <w:rFonts w:ascii="Arial" w:hAnsi="Arial" w:cs="Arial"/>
        </w:rPr>
        <w:t>Conclusion</w:t>
      </w:r>
    </w:p>
    <w:p w14:paraId="1BED1E03"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 xml:space="preserve">Vitamin B12 deficiency remains a globally pervasive yet preventable nutritional disorder with profound hematological, neurological, metabolic, and developmental consequences. The evidence synthesized in this review underscores that the burden of deficiency extends across all age groups, but is disproportionately higher among populations with limited intake of animal-source foods, malabsorption syndromes, chronic medication use, and increased physiological needs, such as pregnancy and aging. A consistent observation across studies is that deficiency often develops insidiously and remains </w:t>
      </w:r>
      <w:r w:rsidRPr="0019055A">
        <w:rPr>
          <w:rFonts w:eastAsia="Times New Roman"/>
          <w:sz w:val="20"/>
          <w:szCs w:val="20"/>
        </w:rPr>
        <w:lastRenderedPageBreak/>
        <w:t>undiagnosed until advanced manifestations—megaloblastic anemia, neuropathy, cognitive impairment, or adverse pregnancy outcomes—become clinically evident. This highlights the limitations of relying solely on clinical signs or serum vitamin B12 levels for diagnosis.</w:t>
      </w:r>
    </w:p>
    <w:p w14:paraId="72A52118" w14:textId="77777777" w:rsidR="005E5442" w:rsidRPr="0019055A" w:rsidRDefault="005E5442" w:rsidP="005E5442">
      <w:pPr>
        <w:pStyle w:val="Normal1"/>
        <w:spacing w:line="240" w:lineRule="auto"/>
        <w:jc w:val="both"/>
        <w:rPr>
          <w:rFonts w:eastAsia="Times New Roman"/>
          <w:sz w:val="20"/>
          <w:szCs w:val="20"/>
        </w:rPr>
      </w:pPr>
    </w:p>
    <w:p w14:paraId="43F384EA"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Advances in biochemical assessment now confirm that functional markers such as methylmalonic acid, homocysteine, and holotranscobalamin provide superior sensitivity for early detection, particularly in subclinical deficiency. These biomarkers are essential in identifying at-risk individuals before irreversible neurological damage occurs. Emerging evidence further demonstrates the complex interactions between vitamin B12 metabolism, inflammation, genetic determinants, and epigenetic regulation, emphasizing that deficiency is not merely a nutritional problem but contributes to broader metabolic and developmental dysregulation.</w:t>
      </w:r>
    </w:p>
    <w:p w14:paraId="703ECDC3" w14:textId="77777777" w:rsidR="005E5442" w:rsidRPr="0019055A" w:rsidRDefault="005E5442" w:rsidP="005E5442">
      <w:pPr>
        <w:pStyle w:val="Normal1"/>
        <w:spacing w:line="240" w:lineRule="auto"/>
        <w:jc w:val="both"/>
        <w:rPr>
          <w:rFonts w:eastAsia="Times New Roman"/>
          <w:sz w:val="20"/>
          <w:szCs w:val="20"/>
        </w:rPr>
      </w:pPr>
    </w:p>
    <w:p w14:paraId="346899FE"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Therapeutically, both high-dose oral and parenteral supplementation are effective in normalizing biochemical abnormalities and improving clinical outcomes. Newer formulations such as Sucrosomial vitamin B12 have shown promising bioavailability, offering practical alternatives for individuals with impaired absorption. The consistent improvements observed in hematological indices, neurocognitive performance, sleep quality, metabolic parameters, and maternal–fetal outcomes affirm that timely intervention can significantly modify disease progression.</w:t>
      </w:r>
    </w:p>
    <w:p w14:paraId="2BE86B55" w14:textId="77777777" w:rsidR="005E5442" w:rsidRPr="0019055A" w:rsidRDefault="005E5442" w:rsidP="005E5442">
      <w:pPr>
        <w:pStyle w:val="Normal1"/>
        <w:spacing w:line="240" w:lineRule="auto"/>
        <w:jc w:val="both"/>
        <w:rPr>
          <w:rFonts w:eastAsia="Times New Roman"/>
          <w:sz w:val="20"/>
          <w:szCs w:val="20"/>
        </w:rPr>
      </w:pPr>
    </w:p>
    <w:p w14:paraId="0E6A6F5A" w14:textId="77777777" w:rsidR="005E5442" w:rsidRPr="0019055A" w:rsidRDefault="005E5442" w:rsidP="005E5442">
      <w:pPr>
        <w:pStyle w:val="Normal1"/>
        <w:spacing w:line="240" w:lineRule="auto"/>
        <w:jc w:val="both"/>
        <w:rPr>
          <w:rFonts w:eastAsia="Times New Roman"/>
          <w:sz w:val="20"/>
          <w:szCs w:val="20"/>
        </w:rPr>
      </w:pPr>
      <w:r w:rsidRPr="0019055A">
        <w:rPr>
          <w:rFonts w:eastAsia="Times New Roman"/>
          <w:sz w:val="20"/>
          <w:szCs w:val="20"/>
        </w:rPr>
        <w:t>Given the substantial prevalence of deficiency in India and other developing regions, population-level strategies are urgently needed. Food fortification, routine screening of high-risk groups, antenatal supplementation, and community-based awareness programs are critical components of prevention. Addressing socio-economic and dietary determinants is equally important, particularly in predominantly vegetarian societies where endogenous stores are often insufficient. Strengthening primary healthcare systems to incorporate standardized diagnostic algorithms and ensuring access to affordable supplementation will further diminish the clinical and public-health burden.</w:t>
      </w:r>
    </w:p>
    <w:p w14:paraId="243E9083" w14:textId="77777777" w:rsidR="005E5442" w:rsidRPr="0019055A" w:rsidRDefault="005E5442" w:rsidP="005E5442">
      <w:pPr>
        <w:pStyle w:val="Normal1"/>
        <w:spacing w:line="240" w:lineRule="auto"/>
        <w:jc w:val="both"/>
        <w:rPr>
          <w:rFonts w:eastAsia="Times New Roman"/>
          <w:sz w:val="20"/>
          <w:szCs w:val="20"/>
        </w:rPr>
      </w:pPr>
    </w:p>
    <w:p w14:paraId="0F3AA9A4" w14:textId="77777777" w:rsidR="005E5442" w:rsidRDefault="005E5442" w:rsidP="005E5442">
      <w:pPr>
        <w:pStyle w:val="Normal1"/>
        <w:spacing w:line="240" w:lineRule="auto"/>
        <w:jc w:val="both"/>
        <w:rPr>
          <w:rFonts w:eastAsia="Times New Roman"/>
          <w:sz w:val="20"/>
          <w:szCs w:val="20"/>
        </w:rPr>
      </w:pPr>
      <w:r w:rsidRPr="0019055A">
        <w:rPr>
          <w:rFonts w:eastAsia="Times New Roman"/>
          <w:sz w:val="20"/>
          <w:szCs w:val="20"/>
        </w:rPr>
        <w:t>Despite significant advancements, gaps remain regarding optimal dosing regimens, long-term metabolic impacts, and the role of genetic and epigenetic variations in susceptibility. Future research should prioritize longitudinal studies, personalized supplementation approaches, and evaluation of fortification policies. Overall, vitamin B12 deficiency represents a major yet modifiable public-health issue, and comprehensive strategies—combining early detection, effective treatment, and robust preventive interventions—is essential to reduce its widespread clinical and societal impacts.</w:t>
      </w:r>
    </w:p>
    <w:p w14:paraId="25982FBE" w14:textId="77777777" w:rsidR="00BD6C30" w:rsidRDefault="00BD6C30" w:rsidP="005E5442">
      <w:pPr>
        <w:pStyle w:val="Normal1"/>
        <w:spacing w:line="240" w:lineRule="auto"/>
        <w:jc w:val="both"/>
        <w:rPr>
          <w:rFonts w:eastAsia="Times New Roman"/>
          <w:sz w:val="20"/>
          <w:szCs w:val="20"/>
        </w:rPr>
      </w:pPr>
    </w:p>
    <w:p w14:paraId="4B24A34A" w14:textId="77777777" w:rsidR="00BD6C30" w:rsidRDefault="00BD6C30" w:rsidP="005E5442">
      <w:pPr>
        <w:pStyle w:val="Normal1"/>
        <w:spacing w:line="240" w:lineRule="auto"/>
        <w:jc w:val="both"/>
        <w:rPr>
          <w:rFonts w:eastAsia="Times New Roman"/>
          <w:sz w:val="20"/>
          <w:szCs w:val="20"/>
        </w:rPr>
      </w:pPr>
    </w:p>
    <w:p w14:paraId="366F7195" w14:textId="77777777" w:rsidR="00BD6C30" w:rsidRPr="0019055A" w:rsidRDefault="00BD6C30" w:rsidP="00BD6C30">
      <w:pPr>
        <w:pStyle w:val="DefAcrHead"/>
        <w:spacing w:after="0"/>
        <w:jc w:val="both"/>
        <w:rPr>
          <w:rFonts w:ascii="Arial" w:hAnsi="Arial" w:cs="Arial"/>
        </w:rPr>
      </w:pPr>
      <w:r w:rsidRPr="0019055A">
        <w:rPr>
          <w:rFonts w:ascii="Arial" w:hAnsi="Arial" w:cs="Arial"/>
        </w:rPr>
        <w:t>Abbreviations</w:t>
      </w:r>
    </w:p>
    <w:p w14:paraId="6C652E4D" w14:textId="77777777" w:rsidR="00BD6C30" w:rsidRPr="0019055A" w:rsidRDefault="00BD6C30" w:rsidP="00BD6C30">
      <w:pPr>
        <w:pStyle w:val="Body"/>
        <w:spacing w:after="0"/>
        <w:rPr>
          <w:rFonts w:ascii="Arial" w:hAnsi="Arial" w:cs="Arial"/>
        </w:rPr>
      </w:pPr>
    </w:p>
    <w:p w14:paraId="00AE43A0" w14:textId="77777777" w:rsidR="00BD6C30" w:rsidRPr="0019055A" w:rsidRDefault="00BD6C30" w:rsidP="00BD6C30">
      <w:pPr>
        <w:pStyle w:val="Body"/>
        <w:spacing w:after="0"/>
        <w:rPr>
          <w:rFonts w:ascii="Arial" w:hAnsi="Arial" w:cs="Arial"/>
        </w:rPr>
      </w:pPr>
      <w:r w:rsidRPr="0019055A">
        <w:rPr>
          <w:rFonts w:ascii="Arial" w:hAnsi="Arial" w:cs="Arial"/>
        </w:rPr>
        <w:t>B6-Pyridoxine, or vitamin B6</w:t>
      </w:r>
    </w:p>
    <w:p w14:paraId="38650A25" w14:textId="77777777" w:rsidR="00BD6C30" w:rsidRPr="0019055A" w:rsidRDefault="00BD6C30" w:rsidP="00BD6C30">
      <w:pPr>
        <w:pStyle w:val="Body"/>
        <w:spacing w:after="0"/>
        <w:rPr>
          <w:rFonts w:ascii="Arial" w:hAnsi="Arial" w:cs="Arial"/>
        </w:rPr>
      </w:pPr>
      <w:r w:rsidRPr="0019055A">
        <w:rPr>
          <w:rFonts w:ascii="Arial" w:hAnsi="Arial" w:cs="Arial"/>
        </w:rPr>
        <w:t>B12/Vit B12-Vitamin B12/ Cobalamin</w:t>
      </w:r>
    </w:p>
    <w:p w14:paraId="1743100D" w14:textId="77777777" w:rsidR="00BD6C30" w:rsidRPr="0019055A" w:rsidRDefault="00BD6C30" w:rsidP="00BD6C30">
      <w:pPr>
        <w:pStyle w:val="Body"/>
        <w:spacing w:after="0"/>
        <w:rPr>
          <w:rFonts w:ascii="Arial" w:hAnsi="Arial" w:cs="Arial"/>
        </w:rPr>
      </w:pPr>
      <w:r w:rsidRPr="0019055A">
        <w:rPr>
          <w:rFonts w:ascii="Arial" w:hAnsi="Arial" w:cs="Arial"/>
        </w:rPr>
        <w:t xml:space="preserve">CBC-Complete Blood Count </w:t>
      </w:r>
    </w:p>
    <w:p w14:paraId="02CB832A" w14:textId="77777777" w:rsidR="00BD6C30" w:rsidRPr="0019055A" w:rsidRDefault="00BD6C30" w:rsidP="00BD6C30">
      <w:pPr>
        <w:pStyle w:val="Body"/>
        <w:spacing w:after="0"/>
        <w:rPr>
          <w:rFonts w:ascii="Arial" w:hAnsi="Arial" w:cs="Arial"/>
        </w:rPr>
      </w:pPr>
      <w:r w:rsidRPr="0019055A">
        <w:rPr>
          <w:rFonts w:ascii="Arial" w:hAnsi="Arial" w:cs="Arial"/>
        </w:rPr>
        <w:t>Co A- coenzyme A</w:t>
      </w:r>
    </w:p>
    <w:p w14:paraId="54739DD3" w14:textId="77777777" w:rsidR="00BD6C30" w:rsidRPr="0019055A" w:rsidRDefault="00BD6C30" w:rsidP="00BD6C30">
      <w:pPr>
        <w:pStyle w:val="Body"/>
        <w:spacing w:after="0"/>
        <w:rPr>
          <w:rFonts w:ascii="Arial" w:hAnsi="Arial" w:cs="Arial"/>
        </w:rPr>
      </w:pPr>
      <w:r w:rsidRPr="0019055A">
        <w:rPr>
          <w:rFonts w:ascii="Arial" w:hAnsi="Arial" w:cs="Arial"/>
        </w:rPr>
        <w:t>CNS-central nervous system</w:t>
      </w:r>
    </w:p>
    <w:p w14:paraId="727A9100" w14:textId="77777777" w:rsidR="00BD6C30" w:rsidRPr="0019055A" w:rsidRDefault="00BD6C30" w:rsidP="00BD6C30">
      <w:pPr>
        <w:pStyle w:val="Body"/>
        <w:spacing w:after="0"/>
        <w:rPr>
          <w:rFonts w:ascii="Arial" w:hAnsi="Arial" w:cs="Arial"/>
        </w:rPr>
      </w:pPr>
      <w:r w:rsidRPr="0019055A">
        <w:rPr>
          <w:rFonts w:ascii="Arial" w:hAnsi="Arial" w:cs="Arial"/>
        </w:rPr>
        <w:t>CRP-C-Reactive Protein </w:t>
      </w:r>
    </w:p>
    <w:p w14:paraId="6319ACAD" w14:textId="77777777" w:rsidR="00BD6C30" w:rsidRPr="0019055A" w:rsidRDefault="00BD6C30" w:rsidP="00BD6C30">
      <w:pPr>
        <w:pStyle w:val="Body"/>
        <w:spacing w:after="0"/>
        <w:rPr>
          <w:rFonts w:ascii="Arial" w:hAnsi="Arial" w:cs="Arial"/>
        </w:rPr>
      </w:pPr>
      <w:r w:rsidRPr="0019055A">
        <w:rPr>
          <w:rFonts w:ascii="Arial" w:hAnsi="Arial" w:cs="Arial"/>
        </w:rPr>
        <w:t>DNA-Deoxyribonucleic Acid</w:t>
      </w:r>
    </w:p>
    <w:p w14:paraId="6B025677" w14:textId="77777777" w:rsidR="00BD6C30" w:rsidRPr="0019055A" w:rsidRDefault="00BD6C30" w:rsidP="00BD6C30">
      <w:pPr>
        <w:pStyle w:val="Body"/>
        <w:spacing w:after="0"/>
        <w:rPr>
          <w:rFonts w:ascii="Arial" w:hAnsi="Arial" w:cs="Arial"/>
        </w:rPr>
      </w:pPr>
      <w:r w:rsidRPr="0019055A">
        <w:rPr>
          <w:rFonts w:ascii="Arial" w:hAnsi="Arial" w:cs="Arial"/>
        </w:rPr>
        <w:t>GI - gastrointestinal </w:t>
      </w:r>
    </w:p>
    <w:p w14:paraId="53BC0977" w14:textId="77777777" w:rsidR="00BD6C30" w:rsidRPr="0019055A" w:rsidRDefault="00BD6C30" w:rsidP="00BD6C30">
      <w:pPr>
        <w:pStyle w:val="Body"/>
        <w:spacing w:after="0"/>
        <w:rPr>
          <w:rFonts w:ascii="Arial" w:hAnsi="Arial" w:cs="Arial"/>
        </w:rPr>
      </w:pPr>
      <w:r w:rsidRPr="0019055A">
        <w:rPr>
          <w:rFonts w:ascii="Arial" w:hAnsi="Arial" w:cs="Arial"/>
        </w:rPr>
        <w:t>Hb-hemoglobin</w:t>
      </w:r>
    </w:p>
    <w:p w14:paraId="6FC40C58" w14:textId="77777777" w:rsidR="00BD6C30" w:rsidRPr="0019055A" w:rsidRDefault="00BD6C30" w:rsidP="00BD6C30">
      <w:pPr>
        <w:pStyle w:val="Body"/>
        <w:spacing w:after="0"/>
        <w:rPr>
          <w:rFonts w:ascii="Arial" w:hAnsi="Arial" w:cs="Arial"/>
        </w:rPr>
      </w:pPr>
      <w:r w:rsidRPr="0019055A">
        <w:rPr>
          <w:rFonts w:ascii="Arial" w:hAnsi="Arial" w:cs="Arial"/>
        </w:rPr>
        <w:t>Hcy / tHcy – homocysteine /total homocysteine.</w:t>
      </w:r>
    </w:p>
    <w:p w14:paraId="4F1A7E4F" w14:textId="77777777" w:rsidR="00BD6C30" w:rsidRPr="0019055A" w:rsidRDefault="00BD6C30" w:rsidP="00BD6C30">
      <w:pPr>
        <w:pStyle w:val="Body"/>
        <w:spacing w:after="0"/>
        <w:rPr>
          <w:rFonts w:ascii="Arial" w:hAnsi="Arial" w:cs="Arial"/>
        </w:rPr>
      </w:pPr>
      <w:r w:rsidRPr="0019055A">
        <w:rPr>
          <w:rFonts w:ascii="Arial" w:hAnsi="Arial" w:cs="Arial"/>
        </w:rPr>
        <w:t>HoloTC- Holotranscobalamin</w:t>
      </w:r>
    </w:p>
    <w:p w14:paraId="466C7DBB" w14:textId="77777777" w:rsidR="00BD6C30" w:rsidRPr="0019055A" w:rsidRDefault="00BD6C30" w:rsidP="00BD6C30">
      <w:pPr>
        <w:pStyle w:val="Body"/>
        <w:spacing w:after="0"/>
        <w:rPr>
          <w:rFonts w:ascii="Arial" w:hAnsi="Arial" w:cs="Arial"/>
        </w:rPr>
      </w:pPr>
      <w:r w:rsidRPr="0019055A">
        <w:rPr>
          <w:rFonts w:ascii="Arial" w:hAnsi="Arial" w:cs="Arial"/>
        </w:rPr>
        <w:t>MMA- Methylmalonic Acid </w:t>
      </w:r>
    </w:p>
    <w:p w14:paraId="4B205164" w14:textId="77777777" w:rsidR="00BD6C30" w:rsidRPr="0019055A" w:rsidRDefault="00BD6C30" w:rsidP="00BD6C30">
      <w:pPr>
        <w:pStyle w:val="Body"/>
        <w:spacing w:after="0"/>
        <w:rPr>
          <w:rFonts w:ascii="Arial" w:hAnsi="Arial" w:cs="Arial"/>
        </w:rPr>
      </w:pPr>
      <w:r w:rsidRPr="0019055A">
        <w:rPr>
          <w:rFonts w:ascii="Arial" w:hAnsi="Arial" w:cs="Arial"/>
        </w:rPr>
        <w:t>MCV - Mean Corpuscular Volume </w:t>
      </w:r>
    </w:p>
    <w:p w14:paraId="31DF36BB" w14:textId="77777777" w:rsidR="00BD6C30" w:rsidRPr="0019055A" w:rsidRDefault="00BD6C30" w:rsidP="00BD6C30">
      <w:pPr>
        <w:pStyle w:val="Body"/>
        <w:spacing w:after="0"/>
        <w:rPr>
          <w:rFonts w:ascii="Arial" w:hAnsi="Arial" w:cs="Arial"/>
        </w:rPr>
      </w:pPr>
      <w:r w:rsidRPr="0019055A">
        <w:rPr>
          <w:rFonts w:ascii="Arial" w:hAnsi="Arial" w:cs="Arial"/>
        </w:rPr>
        <w:t xml:space="preserve">PPIs - Proton Pump Inhibitors  </w:t>
      </w:r>
    </w:p>
    <w:p w14:paraId="5B436FC2" w14:textId="77777777" w:rsidR="00BD6C30" w:rsidRPr="0019055A" w:rsidRDefault="00BD6C30" w:rsidP="00BD6C30">
      <w:pPr>
        <w:pStyle w:val="Body"/>
        <w:spacing w:after="0"/>
        <w:rPr>
          <w:rFonts w:ascii="Arial" w:hAnsi="Arial" w:cs="Arial"/>
        </w:rPr>
      </w:pPr>
      <w:r w:rsidRPr="0019055A">
        <w:rPr>
          <w:rFonts w:ascii="Arial" w:hAnsi="Arial" w:cs="Arial"/>
        </w:rPr>
        <w:t>IF-6- Intrinsic Factor -</w:t>
      </w:r>
    </w:p>
    <w:p w14:paraId="45235EC9" w14:textId="77777777" w:rsidR="00BD6C30" w:rsidRPr="0019055A" w:rsidRDefault="00BD6C30" w:rsidP="00BD6C30">
      <w:pPr>
        <w:pStyle w:val="Body"/>
        <w:spacing w:after="0"/>
        <w:rPr>
          <w:rFonts w:ascii="Arial" w:hAnsi="Arial" w:cs="Arial"/>
        </w:rPr>
      </w:pPr>
      <w:r w:rsidRPr="0019055A">
        <w:rPr>
          <w:rFonts w:ascii="Arial" w:hAnsi="Arial" w:cs="Arial"/>
        </w:rPr>
        <w:t>IL-6- Interleukin-6</w:t>
      </w:r>
    </w:p>
    <w:p w14:paraId="78F821C7" w14:textId="77777777" w:rsidR="00BD6C30" w:rsidRPr="0019055A" w:rsidRDefault="00BD6C30" w:rsidP="00BD6C30">
      <w:pPr>
        <w:pStyle w:val="Body"/>
        <w:spacing w:after="0"/>
        <w:rPr>
          <w:rFonts w:ascii="Arial" w:hAnsi="Arial" w:cs="Arial"/>
        </w:rPr>
      </w:pPr>
      <w:r w:rsidRPr="0019055A">
        <w:rPr>
          <w:rFonts w:ascii="Arial" w:hAnsi="Arial" w:cs="Arial"/>
        </w:rPr>
        <w:t>SF-6- Short Form-36 Health Survey  </w:t>
      </w:r>
    </w:p>
    <w:p w14:paraId="6234CA8C" w14:textId="77777777" w:rsidR="00BD6C30" w:rsidRPr="0019055A" w:rsidRDefault="00BD6C30" w:rsidP="00BD6C30">
      <w:pPr>
        <w:pStyle w:val="Body"/>
        <w:spacing w:after="0"/>
        <w:rPr>
          <w:rFonts w:ascii="Arial" w:hAnsi="Arial" w:cs="Arial"/>
        </w:rPr>
      </w:pPr>
      <w:r w:rsidRPr="0019055A">
        <w:rPr>
          <w:rFonts w:ascii="Arial" w:hAnsi="Arial" w:cs="Arial"/>
        </w:rPr>
        <w:t xml:space="preserve">PSQI- Pittsburgh Sleep Quality Index </w:t>
      </w:r>
    </w:p>
    <w:p w14:paraId="1E4B556C" w14:textId="77777777" w:rsidR="00BD6C30" w:rsidRPr="0019055A" w:rsidRDefault="00BD6C30" w:rsidP="00BD6C30">
      <w:pPr>
        <w:pStyle w:val="Body"/>
        <w:spacing w:after="0"/>
        <w:rPr>
          <w:rFonts w:ascii="Arial" w:hAnsi="Arial" w:cs="Arial"/>
        </w:rPr>
      </w:pPr>
      <w:r w:rsidRPr="0019055A">
        <w:rPr>
          <w:rFonts w:ascii="Arial" w:hAnsi="Arial" w:cs="Arial"/>
        </w:rPr>
        <w:t>TC-Transcobalamin</w:t>
      </w:r>
    </w:p>
    <w:p w14:paraId="4B18CDAD" w14:textId="77777777" w:rsidR="00BD6C30" w:rsidRPr="0019055A" w:rsidRDefault="00BD6C30" w:rsidP="00BD6C30">
      <w:pPr>
        <w:pStyle w:val="Body"/>
        <w:spacing w:after="0"/>
        <w:rPr>
          <w:rFonts w:ascii="Arial" w:hAnsi="Arial" w:cs="Arial"/>
        </w:rPr>
      </w:pPr>
    </w:p>
    <w:p w14:paraId="213E2525" w14:textId="77777777" w:rsidR="00BD6C30" w:rsidRPr="0019055A" w:rsidRDefault="00BD6C30" w:rsidP="005E5442">
      <w:pPr>
        <w:pStyle w:val="Normal1"/>
        <w:spacing w:line="240" w:lineRule="auto"/>
        <w:jc w:val="both"/>
        <w:rPr>
          <w:rFonts w:eastAsia="Times New Roman"/>
          <w:sz w:val="20"/>
          <w:szCs w:val="20"/>
        </w:rPr>
      </w:pPr>
    </w:p>
    <w:p w14:paraId="588AA6F5" w14:textId="77777777" w:rsidR="001A29D8" w:rsidRPr="0019055A" w:rsidRDefault="001A29D8" w:rsidP="00441B6F">
      <w:pPr>
        <w:pStyle w:val="ReferHead"/>
        <w:spacing w:after="0"/>
        <w:jc w:val="both"/>
        <w:rPr>
          <w:rFonts w:ascii="Arial" w:hAnsi="Arial" w:cs="Arial"/>
          <w:b w:val="0"/>
          <w:caps w:val="0"/>
          <w:sz w:val="20"/>
        </w:rPr>
      </w:pPr>
    </w:p>
    <w:p w14:paraId="5A33EF8D" w14:textId="77777777" w:rsidR="005C784C" w:rsidRPr="0019055A" w:rsidRDefault="005C784C" w:rsidP="00441B6F">
      <w:pPr>
        <w:pStyle w:val="ReferHead"/>
        <w:spacing w:after="0"/>
        <w:jc w:val="both"/>
        <w:rPr>
          <w:rFonts w:ascii="Arial" w:hAnsi="Arial" w:cs="Arial"/>
          <w:b w:val="0"/>
          <w:caps w:val="0"/>
          <w:sz w:val="20"/>
        </w:rPr>
      </w:pPr>
    </w:p>
    <w:p w14:paraId="1579D94E" w14:textId="77777777" w:rsidR="00B01FCD" w:rsidRPr="0019055A" w:rsidRDefault="00B01FCD" w:rsidP="00441B6F">
      <w:pPr>
        <w:pStyle w:val="ReferHead"/>
        <w:spacing w:after="0"/>
        <w:jc w:val="both"/>
        <w:rPr>
          <w:rFonts w:ascii="Arial" w:hAnsi="Arial" w:cs="Arial"/>
        </w:rPr>
      </w:pPr>
      <w:r w:rsidRPr="0019055A">
        <w:rPr>
          <w:rFonts w:ascii="Arial" w:hAnsi="Arial" w:cs="Arial"/>
        </w:rPr>
        <w:t>References</w:t>
      </w:r>
    </w:p>
    <w:p w14:paraId="7E923A15" w14:textId="77777777" w:rsidR="00790ADA" w:rsidRPr="0019055A" w:rsidRDefault="00790ADA" w:rsidP="00441B6F">
      <w:pPr>
        <w:pStyle w:val="ReferHead"/>
        <w:spacing w:after="0"/>
        <w:jc w:val="both"/>
        <w:rPr>
          <w:rFonts w:ascii="Arial" w:hAnsi="Arial" w:cs="Arial"/>
        </w:rPr>
      </w:pPr>
    </w:p>
    <w:p w14:paraId="4ACB3309"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eastAsia="Times New Roman" w:hAnsi="Arial" w:cs="Arial"/>
          <w:color w:val="000000" w:themeColor="text1"/>
          <w:sz w:val="20"/>
          <w:szCs w:val="20"/>
        </w:rPr>
        <w:t xml:space="preserve">O’Leary, F., &amp; Samman, S. (2010). </w:t>
      </w:r>
      <w:r w:rsidRPr="0019055A">
        <w:rPr>
          <w:rFonts w:ascii="Arial" w:eastAsia="Times New Roman" w:hAnsi="Arial" w:cs="Arial"/>
          <w:i/>
          <w:iCs/>
          <w:color w:val="000000" w:themeColor="text1"/>
          <w:sz w:val="20"/>
          <w:szCs w:val="20"/>
        </w:rPr>
        <w:t>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in health and disease: A review</w:t>
      </w:r>
      <w:r w:rsidRPr="0019055A">
        <w:rPr>
          <w:rFonts w:ascii="Arial" w:eastAsia="Times New Roman" w:hAnsi="Arial" w:cs="Arial"/>
          <w:color w:val="000000" w:themeColor="text1"/>
          <w:sz w:val="20"/>
          <w:szCs w:val="20"/>
        </w:rPr>
        <w:t xml:space="preserve">. Nutrients, 2(3), 299-316. </w:t>
      </w:r>
      <w:hyperlink r:id="rId18" w:tgtFrame="_new" w:history="1">
        <w:r w:rsidRPr="0019055A">
          <w:rPr>
            <w:rStyle w:val="Hyperlink"/>
            <w:rFonts w:ascii="Arial" w:eastAsia="Times New Roman" w:hAnsi="Arial" w:cs="Arial"/>
            <w:color w:val="000000" w:themeColor="text1"/>
            <w:sz w:val="20"/>
            <w:szCs w:val="20"/>
          </w:rPr>
          <w:t>https://doi.org/10.3390/nu2030299</w:t>
        </w:r>
      </w:hyperlink>
    </w:p>
    <w:p w14:paraId="7071C06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lastRenderedPageBreak/>
        <w:t xml:space="preserve">Fang, H., Kang, J., &amp; Zhang, D. (2017). </w:t>
      </w:r>
      <w:r w:rsidRPr="0019055A">
        <w:rPr>
          <w:rFonts w:eastAsia="Times New Roman"/>
          <w:i/>
          <w:iCs/>
          <w:color w:val="000000" w:themeColor="text1"/>
          <w:sz w:val="20"/>
          <w:szCs w:val="20"/>
        </w:rPr>
        <w:t>Microbial production of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A review and future perspectives</w:t>
      </w:r>
      <w:r w:rsidRPr="0019055A">
        <w:rPr>
          <w:rFonts w:eastAsia="Times New Roman"/>
          <w:color w:val="000000" w:themeColor="text1"/>
          <w:sz w:val="20"/>
          <w:szCs w:val="20"/>
        </w:rPr>
        <w:t xml:space="preserve">. Microbial Cell Factories, 16, 15. https://doi.org/10.1186/s12934-017-0631-y </w:t>
      </w:r>
    </w:p>
    <w:p w14:paraId="56EF0AFB"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eastAsia="Times New Roman" w:hAnsi="Arial" w:cs="Arial"/>
          <w:color w:val="000000" w:themeColor="text1"/>
          <w:sz w:val="20"/>
          <w:szCs w:val="20"/>
        </w:rPr>
        <w:t xml:space="preserve">Temova Rakuša, Ž., Roškar, R., Hickey, N., &amp; Geremia, S. (2022). </w:t>
      </w:r>
      <w:r w:rsidRPr="0019055A">
        <w:rPr>
          <w:rFonts w:ascii="Arial" w:eastAsia="Times New Roman" w:hAnsi="Arial" w:cs="Arial"/>
          <w:i/>
          <w:iCs/>
          <w:color w:val="000000" w:themeColor="text1"/>
          <w:sz w:val="20"/>
          <w:szCs w:val="20"/>
        </w:rPr>
        <w:t>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in foods, food supplements, and medicines — a review of its role and properties with a focus on its stability</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Molecules, 28</w:t>
      </w:r>
      <w:r w:rsidRPr="0019055A">
        <w:rPr>
          <w:rFonts w:ascii="Arial" w:eastAsia="Times New Roman" w:hAnsi="Arial" w:cs="Arial"/>
          <w:color w:val="000000" w:themeColor="text1"/>
          <w:sz w:val="20"/>
          <w:szCs w:val="20"/>
        </w:rPr>
        <w:t xml:space="preserve">(1), 240. </w:t>
      </w:r>
      <w:hyperlink r:id="rId19" w:history="1">
        <w:r w:rsidRPr="0019055A">
          <w:rPr>
            <w:rStyle w:val="Hyperlink"/>
            <w:rFonts w:ascii="Arial" w:eastAsia="Times New Roman" w:hAnsi="Arial" w:cs="Arial"/>
            <w:color w:val="000000" w:themeColor="text1"/>
            <w:sz w:val="20"/>
            <w:szCs w:val="20"/>
          </w:rPr>
          <w:t>https://doi.org/10.3390/molecules28010240</w:t>
        </w:r>
      </w:hyperlink>
    </w:p>
    <w:p w14:paraId="2B8517D3"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Zhao, L., et al. (2022). Epigenetic consequences of B12 deficiency in neurodevelopment. </w:t>
      </w:r>
      <w:r w:rsidRPr="0019055A">
        <w:rPr>
          <w:rFonts w:ascii="Arial" w:eastAsia="Times New Roman" w:hAnsi="Arial" w:cs="Arial"/>
          <w:i/>
          <w:iCs/>
          <w:color w:val="000000" w:themeColor="text1"/>
          <w:sz w:val="20"/>
          <w:szCs w:val="20"/>
        </w:rPr>
        <w:t>Frontiers in Neuroscience, 16</w:t>
      </w:r>
      <w:r w:rsidRPr="0019055A">
        <w:rPr>
          <w:rFonts w:ascii="Arial" w:eastAsia="Times New Roman" w:hAnsi="Arial" w:cs="Arial"/>
          <w:color w:val="000000" w:themeColor="text1"/>
          <w:sz w:val="20"/>
          <w:szCs w:val="20"/>
        </w:rPr>
        <w:t>, 905478.</w:t>
      </w:r>
    </w:p>
    <w:p w14:paraId="2BEFCEEC"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Sayedali, E., Yalin, A. E., &amp; Yalin, S. (2023). </w:t>
      </w:r>
      <w:r w:rsidRPr="0019055A">
        <w:rPr>
          <w:rFonts w:ascii="Arial" w:eastAsia="Times New Roman" w:hAnsi="Arial" w:cs="Arial"/>
          <w:i/>
          <w:iCs/>
          <w:color w:val="000000" w:themeColor="text1"/>
          <w:sz w:val="20"/>
          <w:szCs w:val="20"/>
        </w:rPr>
        <w:t>Association between metformin and vitamin B</w:t>
      </w:r>
      <w:r w:rsidRPr="0019055A">
        <w:rPr>
          <w:rFonts w:ascii="Cambria Math" w:eastAsia="Times New Roman" w:hAnsi="Cambria Math" w:cs="Cambria Math"/>
          <w:i/>
          <w:iCs/>
          <w:color w:val="000000" w:themeColor="text1"/>
          <w:sz w:val="20"/>
          <w:szCs w:val="20"/>
        </w:rPr>
        <w:t>₁₂</w:t>
      </w:r>
      <w:r w:rsidRPr="0019055A">
        <w:rPr>
          <w:rFonts w:ascii="Arial" w:eastAsia="Times New Roman" w:hAnsi="Arial" w:cs="Arial"/>
          <w:i/>
          <w:iCs/>
          <w:color w:val="000000" w:themeColor="text1"/>
          <w:sz w:val="20"/>
          <w:szCs w:val="20"/>
        </w:rPr>
        <w:t xml:space="preserve"> deficiency in patients with type 2 diabetes.</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World Journal of Diabetes, 14</w:t>
      </w:r>
      <w:r w:rsidRPr="0019055A">
        <w:rPr>
          <w:rFonts w:ascii="Arial" w:eastAsia="Times New Roman" w:hAnsi="Arial" w:cs="Arial"/>
          <w:color w:val="000000" w:themeColor="text1"/>
          <w:sz w:val="20"/>
          <w:szCs w:val="20"/>
        </w:rPr>
        <w:t xml:space="preserve">(5), 585-593. </w:t>
      </w:r>
      <w:hyperlink r:id="rId20" w:history="1">
        <w:r w:rsidRPr="0019055A">
          <w:rPr>
            <w:rStyle w:val="Hyperlink"/>
            <w:rFonts w:ascii="Arial" w:eastAsia="Times New Roman" w:hAnsi="Arial" w:cs="Arial"/>
            <w:color w:val="000000" w:themeColor="text1"/>
            <w:sz w:val="20"/>
            <w:szCs w:val="20"/>
          </w:rPr>
          <w:t>https://doi.org/10.4239/wjd.v14.i5.585</w:t>
        </w:r>
      </w:hyperlink>
    </w:p>
    <w:p w14:paraId="29E2025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Srivani S, Nutakki S, Chowdeswari N, Swathi V, Sreya (2023)Comparative Study of Vitamin B12 and Folic Acid Levels among Vegetarian andNon Vegetarian Medical Students. Biochem Physiol 12: 410. DOI: 10.4172/2168-9652.1000410</w:t>
      </w:r>
    </w:p>
    <w:p w14:paraId="5E806579"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Lopes, S. C., Gadelha, D. D., Carvalho, M. D., Oliveira, V. F., &amp; Montenegro Junior, R. M. (2019). </w:t>
      </w:r>
      <w:r w:rsidRPr="0019055A">
        <w:rPr>
          <w:rFonts w:eastAsia="Times New Roman"/>
          <w:i/>
          <w:iCs/>
          <w:color w:val="000000" w:themeColor="text1"/>
          <w:sz w:val="20"/>
          <w:szCs w:val="20"/>
        </w:rPr>
        <w:t>Vitamin B12 deficiency: metabolic effects, clinical evaluation, and treatment</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Revista de Medicina da UFC, 59</w:t>
      </w:r>
      <w:r w:rsidRPr="0019055A">
        <w:rPr>
          <w:rFonts w:eastAsia="Times New Roman"/>
          <w:color w:val="000000" w:themeColor="text1"/>
          <w:sz w:val="20"/>
          <w:szCs w:val="20"/>
        </w:rPr>
        <w:t xml:space="preserve">(2), 40–49. </w:t>
      </w:r>
      <w:hyperlink r:id="rId21" w:history="1">
        <w:r w:rsidRPr="0019055A">
          <w:rPr>
            <w:rStyle w:val="Hyperlink"/>
            <w:rFonts w:eastAsia="Times New Roman"/>
            <w:color w:val="000000" w:themeColor="text1"/>
            <w:sz w:val="20"/>
            <w:szCs w:val="20"/>
          </w:rPr>
          <w:t>https://doi.org/10.20513/2447-6595.2019v59n2p40-49</w:t>
        </w:r>
      </w:hyperlink>
    </w:p>
    <w:p w14:paraId="7EC1B0B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Carmel, R. (2013). </w:t>
      </w:r>
      <w:r w:rsidRPr="0019055A">
        <w:rPr>
          <w:rFonts w:eastAsia="Times New Roman"/>
          <w:i/>
          <w:iCs/>
          <w:color w:val="000000" w:themeColor="text1"/>
          <w:sz w:val="20"/>
          <w:szCs w:val="20"/>
        </w:rPr>
        <w:t>Diagnosis and management of clinical and subclinical cobalamin deficiencies: Why controversies persist in the age of sensitive metabolic testing.</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Biochimie, 95</w:t>
      </w:r>
      <w:r w:rsidRPr="0019055A">
        <w:rPr>
          <w:rFonts w:eastAsia="Times New Roman"/>
          <w:color w:val="000000" w:themeColor="text1"/>
          <w:sz w:val="20"/>
          <w:szCs w:val="20"/>
        </w:rPr>
        <w:t xml:space="preserve">(5), 1047–1055. </w:t>
      </w:r>
      <w:hyperlink r:id="rId22" w:history="1">
        <w:r w:rsidRPr="0019055A">
          <w:rPr>
            <w:rStyle w:val="Hyperlink"/>
            <w:rFonts w:eastAsia="Times New Roman"/>
            <w:color w:val="000000" w:themeColor="text1"/>
            <w:sz w:val="20"/>
            <w:szCs w:val="20"/>
          </w:rPr>
          <w:t>https://doi.org/10.1016/j.biochi.2012.10.023</w:t>
        </w:r>
      </w:hyperlink>
    </w:p>
    <w:p w14:paraId="67A4590E"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Chatterji, N., &amp; Saraswat, R. (2022). </w:t>
      </w:r>
      <w:r w:rsidRPr="0019055A">
        <w:rPr>
          <w:rFonts w:eastAsia="Times New Roman"/>
          <w:i/>
          <w:iCs/>
          <w:color w:val="000000" w:themeColor="text1"/>
          <w:sz w:val="20"/>
          <w:szCs w:val="20"/>
        </w:rPr>
        <w:t>An overview on metabolism and consequences of deficiency of vitamin B12</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International Journal of Advances in Engineering and Management, 4</w:t>
      </w:r>
      <w:r w:rsidRPr="0019055A">
        <w:rPr>
          <w:rFonts w:eastAsia="Times New Roman"/>
          <w:color w:val="000000" w:themeColor="text1"/>
          <w:sz w:val="20"/>
          <w:szCs w:val="20"/>
        </w:rPr>
        <w:t>(4), 90–94.</w:t>
      </w:r>
    </w:p>
    <w:p w14:paraId="26F95783" w14:textId="77777777" w:rsidR="00D614D7" w:rsidRPr="0019055A" w:rsidRDefault="00D614D7" w:rsidP="00D614D7">
      <w:pPr>
        <w:pStyle w:val="ListParagraph"/>
        <w:numPr>
          <w:ilvl w:val="0"/>
          <w:numId w:val="31"/>
        </w:numPr>
        <w:spacing w:after="0"/>
        <w:rPr>
          <w:rFonts w:ascii="Arial" w:eastAsia="Arial" w:hAnsi="Arial" w:cs="Arial"/>
          <w:color w:val="000000" w:themeColor="text1"/>
          <w:sz w:val="20"/>
          <w:szCs w:val="20"/>
        </w:rPr>
      </w:pPr>
      <w:r w:rsidRPr="0019055A">
        <w:rPr>
          <w:rFonts w:ascii="Arial" w:eastAsia="Times New Roman" w:hAnsi="Arial" w:cs="Arial"/>
          <w:color w:val="000000" w:themeColor="text1"/>
          <w:sz w:val="20"/>
          <w:szCs w:val="20"/>
        </w:rPr>
        <w:t xml:space="preserve">Gupta, S. K., Goyal, P., Gupta, P. P., Khan, I. A., &amp; Gupta, S. (2024). </w:t>
      </w:r>
      <w:r w:rsidRPr="0019055A">
        <w:rPr>
          <w:rFonts w:ascii="Arial" w:eastAsia="Times New Roman" w:hAnsi="Arial" w:cs="Arial"/>
          <w:i/>
          <w:iCs/>
          <w:color w:val="000000" w:themeColor="text1"/>
          <w:sz w:val="20"/>
          <w:szCs w:val="20"/>
        </w:rPr>
        <w:t>Prevalence of vitamin B12 deficiency in North India: A multicentric study of 15,837 asymptomatic individuals undergoing health checkups.</w:t>
      </w:r>
      <w:r w:rsidRPr="0019055A">
        <w:rPr>
          <w:rFonts w:ascii="Arial" w:eastAsia="Times New Roman" w:hAnsi="Arial" w:cs="Arial"/>
          <w:color w:val="000000" w:themeColor="text1"/>
          <w:sz w:val="20"/>
          <w:szCs w:val="20"/>
        </w:rPr>
        <w:t xml:space="preserve"> </w:t>
      </w:r>
      <w:r w:rsidRPr="0019055A">
        <w:rPr>
          <w:rFonts w:ascii="Arial" w:eastAsia="Times New Roman" w:hAnsi="Arial" w:cs="Arial"/>
          <w:i/>
          <w:iCs/>
          <w:color w:val="000000" w:themeColor="text1"/>
          <w:sz w:val="20"/>
          <w:szCs w:val="20"/>
        </w:rPr>
        <w:t>Journal of International Medical Sciences Academy, 37</w:t>
      </w:r>
      <w:r w:rsidRPr="0019055A">
        <w:rPr>
          <w:rFonts w:ascii="Arial" w:eastAsia="Times New Roman" w:hAnsi="Arial" w:cs="Arial"/>
          <w:color w:val="000000" w:themeColor="text1"/>
          <w:sz w:val="20"/>
          <w:szCs w:val="20"/>
        </w:rPr>
        <w:t>(1), 21–24</w:t>
      </w:r>
    </w:p>
    <w:p w14:paraId="469F05DF"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Mukhtar, M., Mohamed, Y., Elbagir, M., Tesfa, Y., Kenz, S., Kumar, V., Skaria, S., Baraka, M., Darwiche, G., &amp; Elmalti, A. (2024). Vitamin B12 Status Among Patients With Type 2 Diabetes Mellitus. </w:t>
      </w:r>
      <w:r w:rsidRPr="0019055A">
        <w:rPr>
          <w:rFonts w:eastAsia="Times New Roman"/>
          <w:i/>
          <w:iCs/>
          <w:color w:val="000000" w:themeColor="text1"/>
          <w:sz w:val="20"/>
          <w:szCs w:val="20"/>
        </w:rPr>
        <w:t>Journal Of Endocrinology And Metabolism, 14</w:t>
      </w:r>
      <w:r w:rsidRPr="0019055A">
        <w:rPr>
          <w:rFonts w:eastAsia="Times New Roman"/>
          <w:color w:val="000000" w:themeColor="text1"/>
          <w:sz w:val="20"/>
          <w:szCs w:val="20"/>
        </w:rPr>
        <w:t>(1), 33-39.</w:t>
      </w:r>
    </w:p>
    <w:p w14:paraId="5DB10836"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Doets, E. L., Veld, P. H. i. '., Szczecińska, A., Dhonukshe-Rutten, R., Cavelaars, A. E., Veer, P. v. ’., … &amp; Groot, C. d. (2013). Systematic review on daily vitamin b12 losses and bioavailability for deriving recommendations on vitamin b12 intake with the factorial approach. Annals of Nutrition and Metabolism, 62(4), 311-322. https://doi.org/10.1159/000346968</w:t>
      </w:r>
    </w:p>
    <w:p w14:paraId="6B94F56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Singla, R., Garg, A., Surana, V., Aggarwal, S., Gupta, G., &amp; Singla, S. (2019). </w:t>
      </w:r>
      <w:r w:rsidRPr="0019055A">
        <w:rPr>
          <w:rFonts w:eastAsia="Times New Roman"/>
          <w:i/>
          <w:iCs/>
          <w:color w:val="000000" w:themeColor="text1"/>
          <w:sz w:val="20"/>
          <w:szCs w:val="20"/>
        </w:rPr>
        <w:t>Vitamin B12 deficiency is endemic in Indian population: A perspective from North India.</w:t>
      </w:r>
      <w:r w:rsidRPr="0019055A">
        <w:rPr>
          <w:rFonts w:eastAsia="Times New Roman"/>
          <w:color w:val="000000" w:themeColor="text1"/>
          <w:sz w:val="20"/>
          <w:szCs w:val="20"/>
        </w:rPr>
        <w:t xml:space="preserve"> Indian Journal of Endocrinology and Metabolism, 23(2), 211–214. </w:t>
      </w:r>
      <w:hyperlink r:id="rId23" w:history="1">
        <w:r w:rsidRPr="0019055A">
          <w:rPr>
            <w:rStyle w:val="Hyperlink"/>
            <w:rFonts w:eastAsia="Times New Roman"/>
            <w:color w:val="000000" w:themeColor="text1"/>
            <w:sz w:val="20"/>
            <w:szCs w:val="20"/>
          </w:rPr>
          <w:t>https://doi.org/10.4103/ijem.IJEM_122_19</w:t>
        </w:r>
      </w:hyperlink>
    </w:p>
    <w:p w14:paraId="4C975EF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Parikh, F. (2025). </w:t>
      </w:r>
      <w:r w:rsidRPr="0019055A">
        <w:rPr>
          <w:rFonts w:eastAsia="Times New Roman"/>
          <w:i/>
          <w:iCs/>
          <w:color w:val="000000" w:themeColor="text1"/>
          <w:sz w:val="20"/>
          <w:szCs w:val="20"/>
        </w:rPr>
        <w:t>B12 Deficiency Hemolytic Anemia with Deep Vein Thrombosis.</w:t>
      </w:r>
      <w:r w:rsidRPr="0019055A">
        <w:rPr>
          <w:rFonts w:eastAsia="Times New Roman"/>
          <w:color w:val="000000" w:themeColor="text1"/>
          <w:sz w:val="20"/>
          <w:szCs w:val="20"/>
        </w:rPr>
        <w:t xml:space="preserve"> Cureus. </w:t>
      </w:r>
      <w:hyperlink r:id="rId24" w:history="1">
        <w:r w:rsidRPr="0019055A">
          <w:rPr>
            <w:rStyle w:val="Hyperlink"/>
            <w:rFonts w:eastAsia="Times New Roman"/>
            <w:color w:val="000000" w:themeColor="text1"/>
            <w:sz w:val="20"/>
            <w:szCs w:val="20"/>
          </w:rPr>
          <w:t>https://doi.org/10.7759/cureus.82151</w:t>
        </w:r>
      </w:hyperlink>
    </w:p>
    <w:p w14:paraId="6621F407" w14:textId="77777777" w:rsidR="00D614D7" w:rsidRPr="0019055A" w:rsidRDefault="00D614D7" w:rsidP="00D614D7">
      <w:pPr>
        <w:pStyle w:val="ListParagraph"/>
        <w:numPr>
          <w:ilvl w:val="0"/>
          <w:numId w:val="31"/>
        </w:numPr>
        <w:spacing w:after="0"/>
        <w:rPr>
          <w:rFonts w:ascii="Arial" w:hAnsi="Arial" w:cs="Arial"/>
          <w:color w:val="000000" w:themeColor="text1"/>
          <w:sz w:val="20"/>
          <w:szCs w:val="20"/>
        </w:rPr>
      </w:pPr>
      <w:r w:rsidRPr="0019055A">
        <w:rPr>
          <w:rFonts w:ascii="Arial" w:hAnsi="Arial" w:cs="Arial"/>
          <w:color w:val="000000" w:themeColor="text1"/>
          <w:sz w:val="20"/>
          <w:szCs w:val="20"/>
          <w:shd w:val="clear" w:color="auto" w:fill="FFFFFF"/>
        </w:rPr>
        <w:t>Mandal, P., &amp; Chandra, J. (2025). Vitamin B12 Deficiency in Children. </w:t>
      </w:r>
      <w:r w:rsidRPr="0019055A">
        <w:rPr>
          <w:rFonts w:ascii="Arial" w:hAnsi="Arial" w:cs="Arial"/>
          <w:i/>
          <w:iCs/>
          <w:color w:val="000000" w:themeColor="text1"/>
          <w:sz w:val="20"/>
          <w:szCs w:val="20"/>
          <w:shd w:val="clear" w:color="auto" w:fill="FFFFFF"/>
        </w:rPr>
        <w:t>Indian journal of hematology &amp; blood transfusion : an official journal of Indian Society of Hematology and Blood Transfusion</w:t>
      </w:r>
      <w:r w:rsidRPr="0019055A">
        <w:rPr>
          <w:rFonts w:ascii="Arial" w:hAnsi="Arial" w:cs="Arial"/>
          <w:color w:val="000000" w:themeColor="text1"/>
          <w:sz w:val="20"/>
          <w:szCs w:val="20"/>
          <w:shd w:val="clear" w:color="auto" w:fill="FFFFFF"/>
        </w:rPr>
        <w:t>, </w:t>
      </w:r>
      <w:r w:rsidRPr="0019055A">
        <w:rPr>
          <w:rFonts w:ascii="Arial" w:hAnsi="Arial" w:cs="Arial"/>
          <w:i/>
          <w:iCs/>
          <w:color w:val="000000" w:themeColor="text1"/>
          <w:sz w:val="20"/>
          <w:szCs w:val="20"/>
          <w:shd w:val="clear" w:color="auto" w:fill="FFFFFF"/>
        </w:rPr>
        <w:t>41</w:t>
      </w:r>
      <w:r w:rsidRPr="0019055A">
        <w:rPr>
          <w:rFonts w:ascii="Arial" w:hAnsi="Arial" w:cs="Arial"/>
          <w:color w:val="000000" w:themeColor="text1"/>
          <w:sz w:val="20"/>
          <w:szCs w:val="20"/>
          <w:shd w:val="clear" w:color="auto" w:fill="FFFFFF"/>
        </w:rPr>
        <w:t xml:space="preserve">(4), 753–764. </w:t>
      </w:r>
      <w:hyperlink r:id="rId25" w:history="1">
        <w:r w:rsidRPr="0019055A">
          <w:rPr>
            <w:rStyle w:val="Hyperlink"/>
            <w:rFonts w:ascii="Arial" w:hAnsi="Arial" w:cs="Arial"/>
            <w:color w:val="000000" w:themeColor="text1"/>
            <w:sz w:val="20"/>
            <w:szCs w:val="20"/>
            <w:shd w:val="clear" w:color="auto" w:fill="FFFFFF"/>
          </w:rPr>
          <w:t>https://doi.org/10.1007/s12288-025-02025-8</w:t>
        </w:r>
      </w:hyperlink>
    </w:p>
    <w:p w14:paraId="3F9B9E63"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Durmaz A, Topaloğlu M. Effects of Vitamin B12 on the Quality of Sleep and Life. Iran Red Crescent Med J. 2024,89.1-8.</w:t>
      </w:r>
    </w:p>
    <w:p w14:paraId="501820BE"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Alruwaili, M., Basri, R., Al</w:t>
      </w:r>
      <w:r w:rsidR="0019055A">
        <w:rPr>
          <w:rFonts w:eastAsia="Times New Roman"/>
          <w:color w:val="000000" w:themeColor="text1"/>
          <w:sz w:val="20"/>
          <w:szCs w:val="20"/>
        </w:rPr>
        <w:t xml:space="preserve"> </w:t>
      </w:r>
      <w:r w:rsidRPr="0019055A">
        <w:rPr>
          <w:rFonts w:eastAsia="Times New Roman"/>
          <w:color w:val="000000" w:themeColor="text1"/>
          <w:sz w:val="20"/>
          <w:szCs w:val="20"/>
        </w:rPr>
        <w:t xml:space="preserve">Ruwaili, R., Albarrak, A. M., &amp; Ali, N. H. (2023). </w:t>
      </w:r>
      <w:r w:rsidRPr="0019055A">
        <w:rPr>
          <w:rFonts w:eastAsia="Times New Roman"/>
          <w:i/>
          <w:iCs/>
          <w:color w:val="000000" w:themeColor="text1"/>
          <w:sz w:val="20"/>
          <w:szCs w:val="20"/>
        </w:rPr>
        <w:t>Neurological implications of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deficiency in diet: A systematic review and meta-analysis.</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Healthcare, 11</w:t>
      </w:r>
      <w:r w:rsidRPr="0019055A">
        <w:rPr>
          <w:rFonts w:eastAsia="Times New Roman"/>
          <w:color w:val="000000" w:themeColor="text1"/>
          <w:sz w:val="20"/>
          <w:szCs w:val="20"/>
        </w:rPr>
        <w:t xml:space="preserve">(7), 958. </w:t>
      </w:r>
      <w:hyperlink r:id="rId26" w:history="1">
        <w:r w:rsidRPr="0019055A">
          <w:rPr>
            <w:rStyle w:val="Hyperlink"/>
            <w:rFonts w:eastAsia="Times New Roman"/>
            <w:color w:val="000000" w:themeColor="text1"/>
            <w:sz w:val="20"/>
            <w:szCs w:val="20"/>
          </w:rPr>
          <w:t>https://doi.org/10.3390/healthcare11070958</w:t>
        </w:r>
      </w:hyperlink>
    </w:p>
    <w:p w14:paraId="48ACFEA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lastRenderedPageBreak/>
        <w:t xml:space="preserve">Domínguez-López, I., Kovatcheva, M., Casas, R., Toledo, E., Fitó, M., Ros, E., Estruch, R., Serrano, M., &amp; Lamuela-Raventós, R. M. (2024). Higher circulating vitamin B12 is associated with lower levels of inflammatory markers in individuals at high cardiovascular risk and in naturally aged mice. </w:t>
      </w:r>
      <w:r w:rsidRPr="0019055A">
        <w:rPr>
          <w:rFonts w:eastAsia="Times New Roman"/>
          <w:i/>
          <w:iCs/>
          <w:color w:val="000000" w:themeColor="text1"/>
          <w:sz w:val="20"/>
          <w:szCs w:val="20"/>
        </w:rPr>
        <w:t>Journal of the Science of Food and Agriculture</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104</w:t>
      </w:r>
      <w:r w:rsidRPr="0019055A">
        <w:rPr>
          <w:rFonts w:eastAsia="Times New Roman"/>
          <w:color w:val="000000" w:themeColor="text1"/>
          <w:sz w:val="20"/>
          <w:szCs w:val="20"/>
        </w:rPr>
        <w:t>(2), 875-882. https://doi.org/10.1002/jsfa.12976</w:t>
      </w:r>
    </w:p>
    <w:p w14:paraId="2FB125A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Niklewicz, A., Hannibal, L., Warren, M., &amp; Ahmadi, K. R. (2024). </w:t>
      </w:r>
      <w:r w:rsidRPr="0019055A">
        <w:rPr>
          <w:rFonts w:eastAsia="Times New Roman"/>
          <w:i/>
          <w:iCs/>
          <w:color w:val="000000" w:themeColor="text1"/>
          <w:sz w:val="20"/>
          <w:szCs w:val="20"/>
        </w:rPr>
        <w:t>A systematic review and meta-analysis of functional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status among adult vegans.</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Nutrition Bulletin, 49</w:t>
      </w:r>
      <w:r w:rsidRPr="0019055A">
        <w:rPr>
          <w:rFonts w:eastAsia="Times New Roman"/>
          <w:color w:val="000000" w:themeColor="text1"/>
          <w:sz w:val="20"/>
          <w:szCs w:val="20"/>
        </w:rPr>
        <w:t xml:space="preserve">(4), 463–479. </w:t>
      </w:r>
      <w:hyperlink r:id="rId27" w:tgtFrame="_new" w:history="1">
        <w:r w:rsidRPr="0019055A">
          <w:rPr>
            <w:rStyle w:val="Hyperlink"/>
            <w:rFonts w:eastAsia="Times New Roman"/>
            <w:color w:val="000000" w:themeColor="text1"/>
            <w:sz w:val="20"/>
            <w:szCs w:val="20"/>
          </w:rPr>
          <w:t>https://doi.org/10.1111/nbu.12712</w:t>
        </w:r>
      </w:hyperlink>
    </w:p>
    <w:p w14:paraId="39FE563A"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Sobczyńska-Malefora, A., Delvin, E., McCaddon, A., Ahmadi, K. R., &amp; Harrington, D. J. (2021). Vitamin B</w:t>
      </w:r>
      <w:r w:rsidRPr="0019055A">
        <w:rPr>
          <w:rFonts w:eastAsia="Times New Roman"/>
          <w:color w:val="000000" w:themeColor="text1"/>
          <w:sz w:val="20"/>
          <w:szCs w:val="20"/>
          <w:vertAlign w:val="subscript"/>
        </w:rPr>
        <w:t>12</w:t>
      </w:r>
      <w:r w:rsidRPr="0019055A">
        <w:rPr>
          <w:rFonts w:eastAsia="Times New Roman"/>
          <w:color w:val="000000" w:themeColor="text1"/>
          <w:sz w:val="20"/>
          <w:szCs w:val="20"/>
        </w:rPr>
        <w:t> status in health and disease: a critical review. Diagnosis of deficiency and insufficiency – clinical and laboratory pitfalls .</w:t>
      </w:r>
      <w:r w:rsidRPr="0019055A">
        <w:rPr>
          <w:rFonts w:eastAsia="Times New Roman"/>
          <w:i/>
          <w:iCs/>
          <w:color w:val="000000" w:themeColor="text1"/>
          <w:sz w:val="20"/>
          <w:szCs w:val="20"/>
        </w:rPr>
        <w:t>Critical Reviews in Clinical Laboratory Sciences</w:t>
      </w:r>
      <w:r w:rsidRPr="0019055A">
        <w:rPr>
          <w:rFonts w:eastAsia="Times New Roman"/>
          <w:color w:val="000000" w:themeColor="text1"/>
          <w:sz w:val="20"/>
          <w:szCs w:val="20"/>
        </w:rPr>
        <w:t>, </w:t>
      </w:r>
      <w:r w:rsidRPr="0019055A">
        <w:rPr>
          <w:rFonts w:eastAsia="Times New Roman"/>
          <w:i/>
          <w:iCs/>
          <w:color w:val="000000" w:themeColor="text1"/>
          <w:sz w:val="20"/>
          <w:szCs w:val="20"/>
        </w:rPr>
        <w:t>58</w:t>
      </w:r>
      <w:r w:rsidRPr="0019055A">
        <w:rPr>
          <w:rFonts w:eastAsia="Times New Roman"/>
          <w:color w:val="000000" w:themeColor="text1"/>
          <w:sz w:val="20"/>
          <w:szCs w:val="20"/>
        </w:rPr>
        <w:t xml:space="preserve">(6), 399–429. </w:t>
      </w:r>
      <w:hyperlink r:id="rId28" w:history="1">
        <w:r w:rsidRPr="0019055A">
          <w:rPr>
            <w:rStyle w:val="Hyperlink"/>
            <w:rFonts w:eastAsia="Times New Roman"/>
            <w:color w:val="000000" w:themeColor="text1"/>
            <w:sz w:val="20"/>
            <w:szCs w:val="20"/>
          </w:rPr>
          <w:t>https://doi.org/10.1080/10408363.2021.1885339</w:t>
        </w:r>
      </w:hyperlink>
    </w:p>
    <w:p w14:paraId="6D3ED1C0"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Pratama, S., et al. (2022). The efficacy of vitamin B12 supplementation for treating metformin-associated B12 deficiency: Systematic review. Diabetes Therapy, 13, 1125–1139.</w:t>
      </w:r>
    </w:p>
    <w:p w14:paraId="1E01950F"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Obeid R, Andrès E, Češka R, Hooshmand B, Guéant-Rodriguez R-M, Prada GI, Sławek J, Traykov L, Ta Van B, Várkonyi T, et al. Diagnosis, Treatment and Long-Term Management of Vitamin B12 Deficiency in Adults: A Delphi Expert Consensus. </w:t>
      </w:r>
      <w:r w:rsidRPr="0019055A">
        <w:rPr>
          <w:rFonts w:eastAsia="Times New Roman"/>
          <w:i/>
          <w:iCs/>
          <w:color w:val="000000" w:themeColor="text1"/>
          <w:sz w:val="20"/>
          <w:szCs w:val="20"/>
        </w:rPr>
        <w:t>Journal of Clinical Medicine</w:t>
      </w:r>
      <w:r w:rsidRPr="0019055A">
        <w:rPr>
          <w:rFonts w:eastAsia="Times New Roman"/>
          <w:color w:val="000000" w:themeColor="text1"/>
          <w:sz w:val="20"/>
          <w:szCs w:val="20"/>
        </w:rPr>
        <w:t xml:space="preserve">. 2024; 13(8):2176. </w:t>
      </w:r>
      <w:hyperlink r:id="rId29" w:history="1">
        <w:r w:rsidRPr="0019055A">
          <w:rPr>
            <w:rStyle w:val="Hyperlink"/>
            <w:rFonts w:eastAsia="Times New Roman"/>
            <w:color w:val="000000" w:themeColor="text1"/>
            <w:sz w:val="20"/>
            <w:szCs w:val="20"/>
          </w:rPr>
          <w:t>https://doi.org/10.3390/jcm13082176</w:t>
        </w:r>
      </w:hyperlink>
    </w:p>
    <w:p w14:paraId="3DC01FEA"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Biswas, K., Kushwaha, V., Singh, J. K., &amp; Mir, A. A. (2024). </w:t>
      </w:r>
      <w:r w:rsidRPr="0019055A">
        <w:rPr>
          <w:rFonts w:eastAsia="Times New Roman"/>
          <w:i/>
          <w:iCs/>
          <w:color w:val="000000" w:themeColor="text1"/>
          <w:sz w:val="20"/>
          <w:szCs w:val="20"/>
        </w:rPr>
        <w:t>Burden of Vitamin D and Vitamin B12 Deficiency among Older Patients in North India: A Single-Centre Study.</w:t>
      </w:r>
      <w:r w:rsidRPr="0019055A">
        <w:rPr>
          <w:rFonts w:eastAsia="Times New Roman"/>
          <w:color w:val="000000" w:themeColor="text1"/>
          <w:sz w:val="20"/>
          <w:szCs w:val="20"/>
        </w:rPr>
        <w:t xml:space="preserve"> </w:t>
      </w:r>
      <w:r w:rsidRPr="0019055A">
        <w:rPr>
          <w:rFonts w:eastAsia="Times New Roman"/>
          <w:i/>
          <w:iCs/>
          <w:color w:val="000000" w:themeColor="text1"/>
          <w:sz w:val="20"/>
          <w:szCs w:val="20"/>
        </w:rPr>
        <w:t>Mædica, 19</w:t>
      </w:r>
      <w:r w:rsidRPr="0019055A">
        <w:rPr>
          <w:rFonts w:eastAsia="Times New Roman"/>
          <w:color w:val="000000" w:themeColor="text1"/>
          <w:sz w:val="20"/>
          <w:szCs w:val="20"/>
        </w:rPr>
        <w:t xml:space="preserve">(3), 580–586. </w:t>
      </w:r>
      <w:hyperlink r:id="rId30" w:history="1">
        <w:r w:rsidRPr="0019055A">
          <w:rPr>
            <w:rStyle w:val="Hyperlink"/>
            <w:rFonts w:eastAsia="Times New Roman"/>
            <w:color w:val="000000" w:themeColor="text1"/>
            <w:sz w:val="20"/>
            <w:szCs w:val="20"/>
          </w:rPr>
          <w:t>https://doi.org/10.26574/maedica.2024.19.3.580</w:t>
        </w:r>
      </w:hyperlink>
    </w:p>
    <w:p w14:paraId="0E952815"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Pawlak, R., Parrott, S. J., Raj, S., et al. (2013). </w:t>
      </w:r>
      <w:r w:rsidRPr="0019055A">
        <w:rPr>
          <w:rFonts w:eastAsia="Times New Roman"/>
          <w:i/>
          <w:iCs/>
          <w:color w:val="000000" w:themeColor="text1"/>
          <w:sz w:val="20"/>
          <w:szCs w:val="20"/>
        </w:rPr>
        <w:t>How prevalent is vitamin B</w:t>
      </w:r>
      <w:r w:rsidRPr="0019055A">
        <w:rPr>
          <w:rFonts w:ascii="Cambria Math" w:eastAsia="Times New Roman" w:hAnsi="Cambria Math" w:cs="Cambria Math"/>
          <w:i/>
          <w:iCs/>
          <w:color w:val="000000" w:themeColor="text1"/>
          <w:sz w:val="20"/>
          <w:szCs w:val="20"/>
        </w:rPr>
        <w:t>₁₂</w:t>
      </w:r>
      <w:r w:rsidRPr="0019055A">
        <w:rPr>
          <w:rFonts w:eastAsia="Times New Roman"/>
          <w:i/>
          <w:iCs/>
          <w:color w:val="000000" w:themeColor="text1"/>
          <w:sz w:val="20"/>
          <w:szCs w:val="20"/>
        </w:rPr>
        <w:t xml:space="preserve"> deficiency among vegetarians?</w:t>
      </w:r>
      <w:r w:rsidRPr="0019055A">
        <w:rPr>
          <w:rFonts w:eastAsia="Times New Roman"/>
          <w:color w:val="000000" w:themeColor="text1"/>
          <w:sz w:val="20"/>
          <w:szCs w:val="20"/>
        </w:rPr>
        <w:t xml:space="preserve"> Nutrition Reviews, 71(2), 110–117. </w:t>
      </w:r>
      <w:hyperlink r:id="rId31" w:tgtFrame="_new" w:history="1">
        <w:r w:rsidRPr="0019055A">
          <w:rPr>
            <w:rStyle w:val="Hyperlink"/>
            <w:rFonts w:eastAsia="Times New Roman"/>
            <w:color w:val="000000" w:themeColor="text1"/>
            <w:sz w:val="20"/>
            <w:szCs w:val="20"/>
          </w:rPr>
          <w:t>https://doi.org/10.1111/nure.12001</w:t>
        </w:r>
      </w:hyperlink>
    </w:p>
    <w:p w14:paraId="0B2F5977"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Sowndarya K, Basavaiah S. H, Shenoy R, Hegde A. Proportion and Associated Factors of Vitamin B12 Deficiency - A Retrospective Laboratory-Based Study. Curr Res Nutr Food Sci 2019; 7(3). doi : </w:t>
      </w:r>
      <w:hyperlink r:id="rId32" w:history="1">
        <w:r w:rsidRPr="0019055A">
          <w:rPr>
            <w:rStyle w:val="Hyperlink"/>
            <w:rFonts w:eastAsia="Times New Roman"/>
            <w:color w:val="000000" w:themeColor="text1"/>
            <w:sz w:val="20"/>
            <w:szCs w:val="20"/>
          </w:rPr>
          <w:t>http://dx.doi.org/10.12944/CRNFSJ.7.3.07</w:t>
        </w:r>
      </w:hyperlink>
    </w:p>
    <w:p w14:paraId="3287E7AC" w14:textId="77777777" w:rsidR="00D614D7" w:rsidRPr="0019055A" w:rsidRDefault="00D614D7" w:rsidP="00D614D7">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Aher, A., Navghare, P., &amp; Zawar, S. (2024). Study of clinical and haematological profile of vitamin B12 deficiency and to check response to vitamin B12 therapy. </w:t>
      </w:r>
      <w:r w:rsidRPr="0019055A">
        <w:rPr>
          <w:rFonts w:eastAsia="Times New Roman"/>
          <w:i/>
          <w:iCs/>
          <w:color w:val="000000" w:themeColor="text1"/>
          <w:sz w:val="20"/>
          <w:szCs w:val="20"/>
        </w:rPr>
        <w:t>Vidarbha Journal of Internal Medicine, 33</w:t>
      </w:r>
      <w:r w:rsidRPr="0019055A">
        <w:rPr>
          <w:rFonts w:eastAsia="Times New Roman"/>
          <w:color w:val="000000" w:themeColor="text1"/>
          <w:sz w:val="20"/>
          <w:szCs w:val="20"/>
        </w:rPr>
        <w:t>(1), 73–76. https://doi.org/10.25259/VJIM_43_2022</w:t>
      </w:r>
      <w:r w:rsidR="0094767A" w:rsidRPr="0019055A">
        <w:rPr>
          <w:rFonts w:eastAsia="Times New Roman"/>
          <w:color w:val="000000" w:themeColor="text1"/>
          <w:sz w:val="20"/>
          <w:szCs w:val="20"/>
        </w:rPr>
        <w:t>.</w:t>
      </w:r>
    </w:p>
    <w:p w14:paraId="22CF893A" w14:textId="77777777" w:rsidR="0094767A" w:rsidRPr="0019055A" w:rsidRDefault="00D614D7" w:rsidP="0094767A">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Rizzo, G., Laganà, A. S., Rapisarda, A. M., La Ferrera, G. M., Buscema, M., Rossetti, P., Nigro, A., Muscia, V., Valenti, G., Sapia, F., Sarpietro, G., Zigarelli, M., &amp; Vitale, S. G. (2016). Vitamin B12 among Vegetarians: Status, Assessment and Supplementation. </w:t>
      </w:r>
      <w:r w:rsidRPr="0019055A">
        <w:rPr>
          <w:rFonts w:eastAsia="Times New Roman"/>
          <w:i/>
          <w:iCs/>
          <w:color w:val="000000" w:themeColor="text1"/>
          <w:sz w:val="20"/>
          <w:szCs w:val="20"/>
        </w:rPr>
        <w:t>Nutrients</w:t>
      </w:r>
      <w:r w:rsidRPr="0019055A">
        <w:rPr>
          <w:rFonts w:eastAsia="Times New Roman"/>
          <w:color w:val="000000" w:themeColor="text1"/>
          <w:sz w:val="20"/>
          <w:szCs w:val="20"/>
        </w:rPr>
        <w:t>, </w:t>
      </w:r>
      <w:r w:rsidRPr="0019055A">
        <w:rPr>
          <w:rFonts w:eastAsia="Times New Roman"/>
          <w:i/>
          <w:iCs/>
          <w:color w:val="000000" w:themeColor="text1"/>
          <w:sz w:val="20"/>
          <w:szCs w:val="20"/>
        </w:rPr>
        <w:t>8</w:t>
      </w:r>
      <w:r w:rsidRPr="0019055A">
        <w:rPr>
          <w:rFonts w:eastAsia="Times New Roman"/>
          <w:color w:val="000000" w:themeColor="text1"/>
          <w:sz w:val="20"/>
          <w:szCs w:val="20"/>
        </w:rPr>
        <w:t xml:space="preserve">(12), 767. </w:t>
      </w:r>
      <w:hyperlink r:id="rId33" w:history="1">
        <w:r w:rsidR="0094767A" w:rsidRPr="0019055A">
          <w:rPr>
            <w:rStyle w:val="Hyperlink"/>
            <w:rFonts w:eastAsia="Times New Roman"/>
            <w:color w:val="000000" w:themeColor="text1"/>
            <w:sz w:val="20"/>
            <w:szCs w:val="20"/>
          </w:rPr>
          <w:t>https://doi.org/10.3390/nu8120767</w:t>
        </w:r>
      </w:hyperlink>
      <w:r w:rsidR="0094767A" w:rsidRPr="0019055A">
        <w:rPr>
          <w:rFonts w:eastAsia="Times New Roman"/>
          <w:color w:val="000000" w:themeColor="text1"/>
          <w:sz w:val="20"/>
          <w:szCs w:val="20"/>
        </w:rPr>
        <w:t>.</w:t>
      </w:r>
    </w:p>
    <w:p w14:paraId="0ED04473"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r w:rsidRPr="0019055A">
        <w:rPr>
          <w:rFonts w:eastAsia="Times New Roman"/>
          <w:color w:val="000000" w:themeColor="text1"/>
          <w:sz w:val="20"/>
          <w:szCs w:val="20"/>
        </w:rPr>
        <w:t xml:space="preserve">Al Amin, A. (2023). Vitamin B12 deficiency: Prevalence and nutritional challenges. </w:t>
      </w:r>
      <w:r w:rsidRPr="0019055A">
        <w:rPr>
          <w:rFonts w:eastAsia="Times New Roman"/>
          <w:i/>
          <w:iCs/>
          <w:color w:val="000000" w:themeColor="text1"/>
          <w:sz w:val="20"/>
          <w:szCs w:val="20"/>
        </w:rPr>
        <w:t>Journal of Nutrition and Metabolism, 10</w:t>
      </w:r>
      <w:r w:rsidRPr="0019055A">
        <w:rPr>
          <w:rFonts w:eastAsia="Times New Roman"/>
          <w:color w:val="000000" w:themeColor="text1"/>
          <w:sz w:val="20"/>
          <w:szCs w:val="20"/>
        </w:rPr>
        <w:t>(4), 125–138.</w:t>
      </w:r>
    </w:p>
    <w:p w14:paraId="66DEA31A"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r w:rsidRPr="0019055A">
        <w:rPr>
          <w:color w:val="000000" w:themeColor="text1"/>
          <w:sz w:val="20"/>
          <w:szCs w:val="20"/>
          <w:shd w:val="clear" w:color="auto" w:fill="FFFFFF"/>
        </w:rPr>
        <w:t>Kurpad, A. V., Pasanna, R. M., Hegde, S. G., Patil, M., Mukhopadhyay, A., Sachdev, H. S., Bhat, K. G., Sivadas, A., &amp; Devi, S. (2023). Bioavailability and daily requirement of vitamin B</w:t>
      </w:r>
      <w:r w:rsidRPr="0019055A">
        <w:rPr>
          <w:color w:val="000000" w:themeColor="text1"/>
          <w:sz w:val="20"/>
          <w:szCs w:val="20"/>
          <w:shd w:val="clear" w:color="auto" w:fill="FFFFFF"/>
          <w:vertAlign w:val="subscript"/>
        </w:rPr>
        <w:t>12</w:t>
      </w:r>
      <w:r w:rsidRPr="0019055A">
        <w:rPr>
          <w:color w:val="000000" w:themeColor="text1"/>
          <w:sz w:val="20"/>
          <w:szCs w:val="20"/>
          <w:shd w:val="clear" w:color="auto" w:fill="FFFFFF"/>
        </w:rPr>
        <w:t> in adult humans: an observational study of its colonic absorption and daily excretion as measured by [</w:t>
      </w:r>
      <w:r w:rsidRPr="0019055A">
        <w:rPr>
          <w:color w:val="000000" w:themeColor="text1"/>
          <w:sz w:val="20"/>
          <w:szCs w:val="20"/>
          <w:shd w:val="clear" w:color="auto" w:fill="FFFFFF"/>
          <w:vertAlign w:val="superscript"/>
        </w:rPr>
        <w:t>13</w:t>
      </w:r>
      <w:r w:rsidRPr="0019055A">
        <w:rPr>
          <w:color w:val="000000" w:themeColor="text1"/>
          <w:sz w:val="20"/>
          <w:szCs w:val="20"/>
          <w:shd w:val="clear" w:color="auto" w:fill="FFFFFF"/>
        </w:rPr>
        <w:t>C]-cyanocobalamin kinetics. </w:t>
      </w:r>
      <w:r w:rsidRPr="0019055A">
        <w:rPr>
          <w:i/>
          <w:iCs/>
          <w:color w:val="000000" w:themeColor="text1"/>
          <w:sz w:val="20"/>
          <w:szCs w:val="20"/>
          <w:shd w:val="clear" w:color="auto" w:fill="FFFFFF"/>
        </w:rPr>
        <w:t>The American journal of clinical nutrition</w:t>
      </w:r>
      <w:r w:rsidRPr="0019055A">
        <w:rPr>
          <w:color w:val="000000" w:themeColor="text1"/>
          <w:sz w:val="20"/>
          <w:szCs w:val="20"/>
          <w:shd w:val="clear" w:color="auto" w:fill="FFFFFF"/>
        </w:rPr>
        <w:t>, </w:t>
      </w:r>
      <w:r w:rsidRPr="0019055A">
        <w:rPr>
          <w:i/>
          <w:iCs/>
          <w:color w:val="000000" w:themeColor="text1"/>
          <w:sz w:val="20"/>
          <w:szCs w:val="20"/>
          <w:shd w:val="clear" w:color="auto" w:fill="FFFFFF"/>
        </w:rPr>
        <w:t>118</w:t>
      </w:r>
      <w:r w:rsidRPr="0019055A">
        <w:rPr>
          <w:color w:val="000000" w:themeColor="text1"/>
          <w:sz w:val="20"/>
          <w:szCs w:val="20"/>
          <w:shd w:val="clear" w:color="auto" w:fill="FFFFFF"/>
        </w:rPr>
        <w:t xml:space="preserve">(6), 1214–1223. </w:t>
      </w:r>
      <w:hyperlink r:id="rId34" w:history="1">
        <w:r w:rsidRPr="0019055A">
          <w:rPr>
            <w:rStyle w:val="Hyperlink"/>
            <w:color w:val="000000" w:themeColor="text1"/>
            <w:sz w:val="20"/>
            <w:szCs w:val="20"/>
            <w:shd w:val="clear" w:color="auto" w:fill="FFFFFF"/>
          </w:rPr>
          <w:t>https://doi.org/10.1016/j.ajcnut.2023.08.020</w:t>
        </w:r>
      </w:hyperlink>
    </w:p>
    <w:p w14:paraId="0624068C" w14:textId="77777777" w:rsidR="0094767A" w:rsidRPr="0019055A" w:rsidRDefault="0094767A" w:rsidP="0094767A">
      <w:pPr>
        <w:pStyle w:val="Normal1"/>
        <w:numPr>
          <w:ilvl w:val="0"/>
          <w:numId w:val="31"/>
        </w:numPr>
        <w:spacing w:line="360" w:lineRule="auto"/>
        <w:jc w:val="both"/>
        <w:rPr>
          <w:rFonts w:eastAsia="Times New Roman"/>
          <w:color w:val="000000" w:themeColor="text1"/>
          <w:sz w:val="20"/>
          <w:szCs w:val="20"/>
        </w:rPr>
      </w:pPr>
      <w:commentRangeStart w:id="3"/>
      <w:r w:rsidRPr="0019055A">
        <w:rPr>
          <w:color w:val="000000" w:themeColor="text1"/>
          <w:sz w:val="20"/>
          <w:szCs w:val="20"/>
          <w:shd w:val="clear" w:color="auto" w:fill="FFFFFF"/>
        </w:rPr>
        <w:t>Elgormus Y, Okuyan O, Dumur S, Sayili U, Uzun H. The Epidemiology of Deficiency of Vitamin B12 in Preschool Children in Turkey. </w:t>
      </w:r>
      <w:r w:rsidRPr="0019055A">
        <w:rPr>
          <w:rStyle w:val="Emphasis"/>
          <w:color w:val="000000" w:themeColor="text1"/>
          <w:sz w:val="20"/>
          <w:szCs w:val="20"/>
          <w:shd w:val="clear" w:color="auto" w:fill="FFFFFF"/>
        </w:rPr>
        <w:t>Medicina</w:t>
      </w:r>
      <w:r w:rsidRPr="0019055A">
        <w:rPr>
          <w:color w:val="000000" w:themeColor="text1"/>
          <w:sz w:val="20"/>
          <w:szCs w:val="20"/>
          <w:shd w:val="clear" w:color="auto" w:fill="FFFFFF"/>
        </w:rPr>
        <w:t xml:space="preserve">. 2023; 59(10):1809. </w:t>
      </w:r>
      <w:hyperlink r:id="rId35" w:history="1">
        <w:r w:rsidRPr="0019055A">
          <w:rPr>
            <w:rStyle w:val="Hyperlink"/>
            <w:color w:val="000000" w:themeColor="text1"/>
            <w:sz w:val="20"/>
            <w:szCs w:val="20"/>
            <w:shd w:val="clear" w:color="auto" w:fill="FFFFFF"/>
          </w:rPr>
          <w:t>https://doi.org/10.3390/medicina59101809</w:t>
        </w:r>
      </w:hyperlink>
      <w:commentRangeEnd w:id="3"/>
      <w:r w:rsidR="00B02353">
        <w:rPr>
          <w:rStyle w:val="CommentReference"/>
          <w:rFonts w:ascii="Times New Roman" w:eastAsia="Times New Roman" w:hAnsi="Times New Roman" w:cs="Times New Roman"/>
          <w:lang w:val="nb-NO" w:eastAsia="nb-NO"/>
        </w:rPr>
        <w:commentReference w:id="3"/>
      </w:r>
    </w:p>
    <w:p w14:paraId="2F1BE421" w14:textId="77777777" w:rsidR="0094767A" w:rsidRPr="00B02353" w:rsidRDefault="0094767A" w:rsidP="0094767A">
      <w:pPr>
        <w:pStyle w:val="Normal1"/>
        <w:numPr>
          <w:ilvl w:val="0"/>
          <w:numId w:val="31"/>
        </w:numPr>
        <w:spacing w:line="360" w:lineRule="auto"/>
        <w:jc w:val="both"/>
        <w:rPr>
          <w:rFonts w:eastAsia="Times New Roman"/>
          <w:color w:val="FF0000"/>
          <w:sz w:val="20"/>
          <w:szCs w:val="20"/>
        </w:rPr>
      </w:pPr>
      <w:commentRangeStart w:id="4"/>
      <w:r w:rsidRPr="00B02353">
        <w:rPr>
          <w:color w:val="FF0000"/>
          <w:sz w:val="20"/>
          <w:szCs w:val="20"/>
        </w:rPr>
        <w:lastRenderedPageBreak/>
        <w:t xml:space="preserve">Raju Kumar, Umesh Singh, Abhay Tiwari, Pooja Tiwari, Jatindra K. Sahu, Satyawati Sharma,Vitamin B12: Strategies for enhanced production, fortified functional food products and health </w:t>
      </w:r>
      <w:r w:rsidR="0019055A" w:rsidRPr="00B02353">
        <w:rPr>
          <w:color w:val="FF0000"/>
          <w:sz w:val="20"/>
          <w:szCs w:val="20"/>
        </w:rPr>
        <w:t>benefits, Process</w:t>
      </w:r>
      <w:r w:rsidRPr="00B02353">
        <w:rPr>
          <w:color w:val="FF0000"/>
          <w:sz w:val="20"/>
          <w:szCs w:val="20"/>
        </w:rPr>
        <w:t xml:space="preserve"> </w:t>
      </w:r>
      <w:r w:rsidR="0019055A" w:rsidRPr="00B02353">
        <w:rPr>
          <w:color w:val="FF0000"/>
          <w:sz w:val="20"/>
          <w:szCs w:val="20"/>
        </w:rPr>
        <w:t>Biochemistry, Volume</w:t>
      </w:r>
      <w:r w:rsidRPr="00B02353">
        <w:rPr>
          <w:color w:val="FF0000"/>
          <w:sz w:val="20"/>
          <w:szCs w:val="20"/>
        </w:rPr>
        <w:t xml:space="preserve"> 127,</w:t>
      </w:r>
      <w:r w:rsidR="0019055A" w:rsidRPr="00B02353">
        <w:rPr>
          <w:color w:val="FF0000"/>
          <w:sz w:val="20"/>
          <w:szCs w:val="20"/>
        </w:rPr>
        <w:t>2023, Pages</w:t>
      </w:r>
      <w:r w:rsidRPr="00B02353">
        <w:rPr>
          <w:color w:val="FF0000"/>
          <w:sz w:val="20"/>
          <w:szCs w:val="20"/>
        </w:rPr>
        <w:t xml:space="preserve"> 44-</w:t>
      </w:r>
      <w:r w:rsidR="0019055A" w:rsidRPr="00B02353">
        <w:rPr>
          <w:color w:val="FF0000"/>
          <w:sz w:val="20"/>
          <w:szCs w:val="20"/>
        </w:rPr>
        <w:t>55, ISSN</w:t>
      </w:r>
      <w:r w:rsidRPr="00B02353">
        <w:rPr>
          <w:color w:val="FF0000"/>
          <w:sz w:val="20"/>
          <w:szCs w:val="20"/>
        </w:rPr>
        <w:t xml:space="preserve"> 1359-5113,</w:t>
      </w:r>
      <w:commentRangeEnd w:id="4"/>
      <w:r w:rsidR="00B02353">
        <w:rPr>
          <w:rStyle w:val="CommentReference"/>
          <w:rFonts w:ascii="Times New Roman" w:eastAsia="Times New Roman" w:hAnsi="Times New Roman" w:cs="Times New Roman"/>
          <w:lang w:val="nb-NO" w:eastAsia="nb-NO"/>
        </w:rPr>
        <w:commentReference w:id="4"/>
      </w:r>
    </w:p>
    <w:p w14:paraId="5C0B9376" w14:textId="77777777" w:rsidR="0094767A" w:rsidRPr="0019055A" w:rsidRDefault="0094767A" w:rsidP="0094767A">
      <w:pPr>
        <w:pStyle w:val="Normal1"/>
        <w:spacing w:line="360" w:lineRule="auto"/>
        <w:ind w:left="360"/>
        <w:jc w:val="both"/>
        <w:rPr>
          <w:rFonts w:eastAsia="Times New Roman"/>
          <w:sz w:val="20"/>
          <w:szCs w:val="20"/>
        </w:rPr>
      </w:pPr>
    </w:p>
    <w:p w14:paraId="43250F07" w14:textId="77777777" w:rsidR="00B01FCD" w:rsidRPr="0019055A" w:rsidRDefault="00B01FCD" w:rsidP="00441B6F">
      <w:pPr>
        <w:pStyle w:val="Reference"/>
        <w:numPr>
          <w:ilvl w:val="0"/>
          <w:numId w:val="0"/>
        </w:numPr>
        <w:spacing w:line="240" w:lineRule="auto"/>
        <w:rPr>
          <w:rFonts w:ascii="Arial" w:hAnsi="Arial" w:cs="Arial"/>
        </w:rPr>
      </w:pPr>
    </w:p>
    <w:p w14:paraId="2A41D6E7" w14:textId="77777777" w:rsidR="000B225A" w:rsidRPr="0019055A" w:rsidRDefault="000B225A" w:rsidP="00441B6F">
      <w:pPr>
        <w:pStyle w:val="Body"/>
        <w:spacing w:after="0"/>
        <w:rPr>
          <w:rFonts w:ascii="Arial" w:hAnsi="Arial" w:cs="Arial"/>
        </w:rPr>
      </w:pPr>
    </w:p>
    <w:p w14:paraId="3ADE2E0A" w14:textId="77777777" w:rsidR="00B01FCD" w:rsidRPr="0019055A" w:rsidRDefault="00B01FCD" w:rsidP="00441B6F">
      <w:pPr>
        <w:pStyle w:val="Appendix"/>
        <w:spacing w:after="0"/>
        <w:jc w:val="both"/>
        <w:rPr>
          <w:rFonts w:ascii="Arial" w:hAnsi="Arial" w:cs="Arial"/>
          <w:b w:val="0"/>
        </w:rPr>
      </w:pPr>
    </w:p>
    <w:sectPr w:rsidR="00B01FCD" w:rsidRPr="0019055A" w:rsidSect="00964E8D">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o Gogo" w:date="2025-11-26T18:37:00Z" w:initials="OG">
    <w:p w14:paraId="2610312E" w14:textId="77777777" w:rsidR="00D71C82" w:rsidRDefault="00D71C82" w:rsidP="00D71C82">
      <w:pPr>
        <w:pStyle w:val="CommentText"/>
      </w:pPr>
      <w:r>
        <w:rPr>
          <w:rStyle w:val="CommentReference"/>
        </w:rPr>
        <w:annotationRef/>
      </w:r>
      <w:r>
        <w:t>malabsorption</w:t>
      </w:r>
    </w:p>
  </w:comment>
  <w:comment w:id="1" w:author="Owo Gogo" w:date="2025-11-26T19:13:00Z" w:initials="OG">
    <w:p w14:paraId="523235DD" w14:textId="77777777" w:rsidR="00B02353" w:rsidRDefault="00B02353" w:rsidP="00B02353">
      <w:pPr>
        <w:pStyle w:val="CommentText"/>
      </w:pPr>
      <w:r>
        <w:rPr>
          <w:rStyle w:val="CommentReference"/>
        </w:rPr>
        <w:annotationRef/>
      </w:r>
      <w:r>
        <w:t xml:space="preserve">Avoid terms like “pandemic nutritional deficiency.” Widespread” or “high-burden” would be more precise. </w:t>
      </w:r>
    </w:p>
  </w:comment>
  <w:comment w:id="3" w:author="Owo Gogo" w:date="2025-11-26T19:16:00Z" w:initials="OG">
    <w:p w14:paraId="4DFE2206" w14:textId="77777777" w:rsidR="00B02353" w:rsidRDefault="00B02353" w:rsidP="00B02353">
      <w:pPr>
        <w:pStyle w:val="CommentText"/>
      </w:pPr>
      <w:r>
        <w:rPr>
          <w:rStyle w:val="CommentReference"/>
        </w:rPr>
        <w:annotationRef/>
      </w:r>
      <w:r>
        <w:t>Not APA style</w:t>
      </w:r>
    </w:p>
  </w:comment>
  <w:comment w:id="4" w:author="Owo Gogo" w:date="2025-11-26T19:16:00Z" w:initials="OG">
    <w:p w14:paraId="6E8576D1" w14:textId="0B8C487C" w:rsidR="00B02353" w:rsidRDefault="00B02353" w:rsidP="00B02353">
      <w:pPr>
        <w:pStyle w:val="CommentText"/>
      </w:pPr>
      <w:r>
        <w:rPr>
          <w:rStyle w:val="CommentReference"/>
        </w:rPr>
        <w:annotationRef/>
      </w:r>
      <w:r>
        <w:t>Not properly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10312E" w15:done="0"/>
  <w15:commentEx w15:paraId="523235DD" w15:done="0"/>
  <w15:commentEx w15:paraId="4DFE2206" w15:done="0"/>
  <w15:commentEx w15:paraId="6E8576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6D1C1" w16cex:dateUtc="2025-11-26T17:37:00Z"/>
  <w16cex:commentExtensible w16cex:durableId="630F0C06" w16cex:dateUtc="2025-11-26T18:13:00Z"/>
  <w16cex:commentExtensible w16cex:durableId="0ADB0E53" w16cex:dateUtc="2025-11-26T18:16:00Z"/>
  <w16cex:commentExtensible w16cex:durableId="56312850" w16cex:dateUtc="2025-11-26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10312E" w16cid:durableId="6156D1C1"/>
  <w16cid:commentId w16cid:paraId="523235DD" w16cid:durableId="630F0C06"/>
  <w16cid:commentId w16cid:paraId="4DFE2206" w16cid:durableId="0ADB0E53"/>
  <w16cid:commentId w16cid:paraId="6E8576D1" w16cid:durableId="563128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DBFC" w14:textId="77777777" w:rsidR="003E591A" w:rsidRDefault="003E591A" w:rsidP="00C37E61">
      <w:r>
        <w:separator/>
      </w:r>
    </w:p>
  </w:endnote>
  <w:endnote w:type="continuationSeparator" w:id="0">
    <w:p w14:paraId="18B4BA75" w14:textId="77777777" w:rsidR="003E591A" w:rsidRDefault="003E59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5879" w14:textId="77777777" w:rsidR="00964E8D" w:rsidRDefault="0096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6221" w14:textId="77777777" w:rsidR="00964E8D" w:rsidRDefault="0096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4296" w14:textId="77777777" w:rsidR="009E048A" w:rsidRDefault="009E048A">
    <w:pPr>
      <w:pStyle w:val="Footer"/>
      <w:rPr>
        <w:rFonts w:ascii="Arial" w:hAnsi="Arial" w:cs="Arial"/>
        <w:sz w:val="16"/>
      </w:rPr>
    </w:pPr>
  </w:p>
  <w:p w14:paraId="37727B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FEF64F" w14:textId="77777777" w:rsidR="009E048A" w:rsidRDefault="009E048A">
    <w:pPr>
      <w:pStyle w:val="Footer"/>
      <w:rPr>
        <w:rFonts w:ascii="Arial" w:hAnsi="Arial" w:cs="Arial"/>
        <w:sz w:val="16"/>
      </w:rPr>
    </w:pPr>
  </w:p>
  <w:p w14:paraId="793C0E76" w14:textId="7AA57CA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6F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40E8" w14:textId="77777777" w:rsidR="003E591A" w:rsidRDefault="003E591A" w:rsidP="00C37E61">
      <w:r>
        <w:separator/>
      </w:r>
    </w:p>
  </w:footnote>
  <w:footnote w:type="continuationSeparator" w:id="0">
    <w:p w14:paraId="628B169D" w14:textId="77777777" w:rsidR="003E591A" w:rsidRDefault="003E59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E466" w14:textId="4C7E54D4" w:rsidR="00964E8D" w:rsidRDefault="00000000">
    <w:pPr>
      <w:pStyle w:val="Header"/>
    </w:pPr>
    <w:r>
      <w:rPr>
        <w:noProof/>
      </w:rPr>
      <w:pict w14:anchorId="0173A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6C3B" w14:textId="32A93CC5" w:rsidR="00964E8D" w:rsidRDefault="00000000">
    <w:pPr>
      <w:pStyle w:val="Header"/>
    </w:pPr>
    <w:r>
      <w:rPr>
        <w:noProof/>
      </w:rPr>
      <w:pict w14:anchorId="183E8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935B" w14:textId="2D4663F7" w:rsidR="00296529" w:rsidRPr="00296529" w:rsidRDefault="00000000" w:rsidP="00296529">
    <w:pPr>
      <w:ind w:left="2160"/>
      <w:jc w:val="center"/>
      <w:rPr>
        <w:rFonts w:ascii="Times New Roman" w:eastAsia="Calibri" w:hAnsi="Times New Roman"/>
        <w:i/>
        <w:sz w:val="18"/>
        <w:szCs w:val="22"/>
      </w:rPr>
    </w:pPr>
    <w:r>
      <w:rPr>
        <w:noProof/>
      </w:rPr>
      <w:pict w14:anchorId="4A1F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D8DD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B76B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921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0BD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7065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E3A2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296E" w14:textId="20160DAE" w:rsidR="00964E8D" w:rsidRDefault="00000000">
    <w:pPr>
      <w:pStyle w:val="Header"/>
    </w:pPr>
    <w:r>
      <w:rPr>
        <w:noProof/>
      </w:rPr>
      <w:pict w14:anchorId="40BFF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FB93" w14:textId="1101AE2E" w:rsidR="00964E8D" w:rsidRDefault="00000000">
    <w:pPr>
      <w:pStyle w:val="Header"/>
    </w:pPr>
    <w:r>
      <w:rPr>
        <w:noProof/>
      </w:rPr>
      <w:pict w14:anchorId="2C674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0CA9" w14:textId="30F5D9E1" w:rsidR="00964E8D" w:rsidRDefault="00000000">
    <w:pPr>
      <w:pStyle w:val="Header"/>
    </w:pPr>
    <w:r>
      <w:rPr>
        <w:noProof/>
      </w:rPr>
      <w:pict w14:anchorId="1EBF6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83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A95D01"/>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D3"/>
    <w:multiLevelType w:val="hybridMultilevel"/>
    <w:tmpl w:val="5CCC6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64905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0050518">
    <w:abstractNumId w:val="17"/>
  </w:num>
  <w:num w:numId="3" w16cid:durableId="1014962831">
    <w:abstractNumId w:val="25"/>
  </w:num>
  <w:num w:numId="4" w16cid:durableId="11126245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17989759">
    <w:abstractNumId w:val="8"/>
  </w:num>
  <w:num w:numId="6" w16cid:durableId="857161624">
    <w:abstractNumId w:val="6"/>
  </w:num>
  <w:num w:numId="7" w16cid:durableId="1417707396">
    <w:abstractNumId w:val="1"/>
  </w:num>
  <w:num w:numId="8" w16cid:durableId="158618649">
    <w:abstractNumId w:val="13"/>
  </w:num>
  <w:num w:numId="9" w16cid:durableId="75173073">
    <w:abstractNumId w:val="27"/>
  </w:num>
  <w:num w:numId="10" w16cid:durableId="1834297425">
    <w:abstractNumId w:val="2"/>
  </w:num>
  <w:num w:numId="11" w16cid:durableId="146820574">
    <w:abstractNumId w:val="20"/>
  </w:num>
  <w:num w:numId="12" w16cid:durableId="97995339">
    <w:abstractNumId w:val="3"/>
  </w:num>
  <w:num w:numId="13" w16cid:durableId="1462651892">
    <w:abstractNumId w:val="19"/>
  </w:num>
  <w:num w:numId="14" w16cid:durableId="1009024655">
    <w:abstractNumId w:val="9"/>
  </w:num>
  <w:num w:numId="15" w16cid:durableId="495926135">
    <w:abstractNumId w:val="23"/>
  </w:num>
  <w:num w:numId="16" w16cid:durableId="793404894">
    <w:abstractNumId w:val="5"/>
  </w:num>
  <w:num w:numId="17" w16cid:durableId="1263760890">
    <w:abstractNumId w:val="24"/>
  </w:num>
  <w:num w:numId="18" w16cid:durableId="2134321793">
    <w:abstractNumId w:val="16"/>
  </w:num>
  <w:num w:numId="19" w16cid:durableId="2132624975">
    <w:abstractNumId w:val="30"/>
  </w:num>
  <w:num w:numId="20" w16cid:durableId="65300874">
    <w:abstractNumId w:val="12"/>
  </w:num>
  <w:num w:numId="21" w16cid:durableId="789471757">
    <w:abstractNumId w:val="10"/>
  </w:num>
  <w:num w:numId="22" w16cid:durableId="373358790">
    <w:abstractNumId w:val="15"/>
  </w:num>
  <w:num w:numId="23" w16cid:durableId="796262688">
    <w:abstractNumId w:val="21"/>
  </w:num>
  <w:num w:numId="24" w16cid:durableId="1403868284">
    <w:abstractNumId w:val="28"/>
  </w:num>
  <w:num w:numId="25" w16cid:durableId="1726103175">
    <w:abstractNumId w:val="4"/>
  </w:num>
  <w:num w:numId="26" w16cid:durableId="492569954">
    <w:abstractNumId w:val="18"/>
  </w:num>
  <w:num w:numId="27" w16cid:durableId="1971933279">
    <w:abstractNumId w:val="22"/>
  </w:num>
  <w:num w:numId="28" w16cid:durableId="198902027">
    <w:abstractNumId w:val="29"/>
  </w:num>
  <w:num w:numId="29" w16cid:durableId="1746757636">
    <w:abstractNumId w:val="26"/>
  </w:num>
  <w:num w:numId="30" w16cid:durableId="624821445">
    <w:abstractNumId w:val="11"/>
  </w:num>
  <w:num w:numId="31" w16cid:durableId="1923374093">
    <w:abstractNumId w:val="7"/>
  </w:num>
  <w:num w:numId="32" w16cid:durableId="6300900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o Gogo">
    <w15:presenceInfo w15:providerId="Windows Live" w15:userId="5e71b4abc9b5f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BB7"/>
    <w:rsid w:val="00030174"/>
    <w:rsid w:val="0004579C"/>
    <w:rsid w:val="00090CC3"/>
    <w:rsid w:val="000A47FA"/>
    <w:rsid w:val="000A65D3"/>
    <w:rsid w:val="000B1E33"/>
    <w:rsid w:val="000B225A"/>
    <w:rsid w:val="000D689F"/>
    <w:rsid w:val="000E7B7B"/>
    <w:rsid w:val="000E7D62"/>
    <w:rsid w:val="000F71F0"/>
    <w:rsid w:val="00103357"/>
    <w:rsid w:val="0011564E"/>
    <w:rsid w:val="00123C9F"/>
    <w:rsid w:val="00126190"/>
    <w:rsid w:val="00130F17"/>
    <w:rsid w:val="001320BF"/>
    <w:rsid w:val="00136643"/>
    <w:rsid w:val="00147A47"/>
    <w:rsid w:val="00163BC4"/>
    <w:rsid w:val="0019055A"/>
    <w:rsid w:val="00191062"/>
    <w:rsid w:val="00192B72"/>
    <w:rsid w:val="001A29D8"/>
    <w:rsid w:val="001A5CAA"/>
    <w:rsid w:val="001B0427"/>
    <w:rsid w:val="001D3A51"/>
    <w:rsid w:val="001E10D2"/>
    <w:rsid w:val="001E25B4"/>
    <w:rsid w:val="001E44FE"/>
    <w:rsid w:val="00200595"/>
    <w:rsid w:val="00204835"/>
    <w:rsid w:val="00231920"/>
    <w:rsid w:val="0023195C"/>
    <w:rsid w:val="00240C97"/>
    <w:rsid w:val="0024282C"/>
    <w:rsid w:val="002460DC"/>
    <w:rsid w:val="00250985"/>
    <w:rsid w:val="002556F6"/>
    <w:rsid w:val="0027488F"/>
    <w:rsid w:val="00283105"/>
    <w:rsid w:val="00284C4C"/>
    <w:rsid w:val="00287E68"/>
    <w:rsid w:val="00296529"/>
    <w:rsid w:val="00296A87"/>
    <w:rsid w:val="002B27FB"/>
    <w:rsid w:val="002B685A"/>
    <w:rsid w:val="002C57D2"/>
    <w:rsid w:val="002E0D56"/>
    <w:rsid w:val="00315186"/>
    <w:rsid w:val="00323AE5"/>
    <w:rsid w:val="0033343E"/>
    <w:rsid w:val="00342A4D"/>
    <w:rsid w:val="003512C2"/>
    <w:rsid w:val="0035337A"/>
    <w:rsid w:val="00371FB6"/>
    <w:rsid w:val="003763C1"/>
    <w:rsid w:val="00376BBE"/>
    <w:rsid w:val="0039224F"/>
    <w:rsid w:val="003A43A4"/>
    <w:rsid w:val="003A7E18"/>
    <w:rsid w:val="003C4C86"/>
    <w:rsid w:val="003C6258"/>
    <w:rsid w:val="003E2904"/>
    <w:rsid w:val="003E591A"/>
    <w:rsid w:val="003F27E9"/>
    <w:rsid w:val="00401927"/>
    <w:rsid w:val="0041027F"/>
    <w:rsid w:val="00412475"/>
    <w:rsid w:val="00423789"/>
    <w:rsid w:val="00440F43"/>
    <w:rsid w:val="00441B6F"/>
    <w:rsid w:val="00446221"/>
    <w:rsid w:val="00450E62"/>
    <w:rsid w:val="00452CA2"/>
    <w:rsid w:val="004539DB"/>
    <w:rsid w:val="00471A80"/>
    <w:rsid w:val="004D305E"/>
    <w:rsid w:val="004D4277"/>
    <w:rsid w:val="00502516"/>
    <w:rsid w:val="00505F06"/>
    <w:rsid w:val="00506828"/>
    <w:rsid w:val="0053056E"/>
    <w:rsid w:val="00543C25"/>
    <w:rsid w:val="0055397A"/>
    <w:rsid w:val="00554FDA"/>
    <w:rsid w:val="00557AC6"/>
    <w:rsid w:val="00571F6E"/>
    <w:rsid w:val="005A53E7"/>
    <w:rsid w:val="005B4A37"/>
    <w:rsid w:val="005C2410"/>
    <w:rsid w:val="005C7757"/>
    <w:rsid w:val="005C784C"/>
    <w:rsid w:val="005D17F6"/>
    <w:rsid w:val="005E17B9"/>
    <w:rsid w:val="005E5442"/>
    <w:rsid w:val="005E5539"/>
    <w:rsid w:val="00602BF5"/>
    <w:rsid w:val="00617FDD"/>
    <w:rsid w:val="006263E0"/>
    <w:rsid w:val="00633614"/>
    <w:rsid w:val="00633F68"/>
    <w:rsid w:val="00636AAB"/>
    <w:rsid w:val="00636EB2"/>
    <w:rsid w:val="006375B8"/>
    <w:rsid w:val="006430FD"/>
    <w:rsid w:val="0066510A"/>
    <w:rsid w:val="00665411"/>
    <w:rsid w:val="00673F9F"/>
    <w:rsid w:val="00686953"/>
    <w:rsid w:val="00687DEA"/>
    <w:rsid w:val="00687E67"/>
    <w:rsid w:val="00694433"/>
    <w:rsid w:val="006967F7"/>
    <w:rsid w:val="006A250C"/>
    <w:rsid w:val="006B21D3"/>
    <w:rsid w:val="006B57D0"/>
    <w:rsid w:val="006C31EC"/>
    <w:rsid w:val="006D30FF"/>
    <w:rsid w:val="006D6940"/>
    <w:rsid w:val="006F11EC"/>
    <w:rsid w:val="0070082C"/>
    <w:rsid w:val="007369E6"/>
    <w:rsid w:val="0074396A"/>
    <w:rsid w:val="00746E59"/>
    <w:rsid w:val="00754C9A"/>
    <w:rsid w:val="0075599A"/>
    <w:rsid w:val="00761D52"/>
    <w:rsid w:val="0077749E"/>
    <w:rsid w:val="00790ADA"/>
    <w:rsid w:val="007D2288"/>
    <w:rsid w:val="007E088F"/>
    <w:rsid w:val="007F7B32"/>
    <w:rsid w:val="00804BC2"/>
    <w:rsid w:val="0081431A"/>
    <w:rsid w:val="008211DE"/>
    <w:rsid w:val="0082656E"/>
    <w:rsid w:val="0083216F"/>
    <w:rsid w:val="00860000"/>
    <w:rsid w:val="00863BD3"/>
    <w:rsid w:val="008641ED"/>
    <w:rsid w:val="00866D66"/>
    <w:rsid w:val="008671C6"/>
    <w:rsid w:val="00875803"/>
    <w:rsid w:val="008942DF"/>
    <w:rsid w:val="008B459E"/>
    <w:rsid w:val="008D6622"/>
    <w:rsid w:val="008E13AE"/>
    <w:rsid w:val="008E1506"/>
    <w:rsid w:val="008E710C"/>
    <w:rsid w:val="008F69D6"/>
    <w:rsid w:val="00902823"/>
    <w:rsid w:val="00913FE1"/>
    <w:rsid w:val="00915CA6"/>
    <w:rsid w:val="00927834"/>
    <w:rsid w:val="0094767A"/>
    <w:rsid w:val="009500A6"/>
    <w:rsid w:val="00957C18"/>
    <w:rsid w:val="00964E8D"/>
    <w:rsid w:val="009659BA"/>
    <w:rsid w:val="00983040"/>
    <w:rsid w:val="009B3FB9"/>
    <w:rsid w:val="009C0E73"/>
    <w:rsid w:val="009C2465"/>
    <w:rsid w:val="009C7D26"/>
    <w:rsid w:val="009D35A0"/>
    <w:rsid w:val="009D7EB7"/>
    <w:rsid w:val="009E048A"/>
    <w:rsid w:val="009E08E9"/>
    <w:rsid w:val="009E3DB9"/>
    <w:rsid w:val="009E5C67"/>
    <w:rsid w:val="009E6E35"/>
    <w:rsid w:val="009F0EDA"/>
    <w:rsid w:val="00A03B96"/>
    <w:rsid w:val="00A05B19"/>
    <w:rsid w:val="00A106F9"/>
    <w:rsid w:val="00A1134E"/>
    <w:rsid w:val="00A23219"/>
    <w:rsid w:val="00A24E7E"/>
    <w:rsid w:val="00A258C3"/>
    <w:rsid w:val="00A33295"/>
    <w:rsid w:val="00A347C0"/>
    <w:rsid w:val="00A51431"/>
    <w:rsid w:val="00A539AD"/>
    <w:rsid w:val="00A94063"/>
    <w:rsid w:val="00AA6219"/>
    <w:rsid w:val="00AA74E0"/>
    <w:rsid w:val="00AB703F"/>
    <w:rsid w:val="00AC6BB8"/>
    <w:rsid w:val="00AE008F"/>
    <w:rsid w:val="00B01FCD"/>
    <w:rsid w:val="00B02353"/>
    <w:rsid w:val="00B1776C"/>
    <w:rsid w:val="00B52583"/>
    <w:rsid w:val="00B52896"/>
    <w:rsid w:val="00B95236"/>
    <w:rsid w:val="00B96BD9"/>
    <w:rsid w:val="00BA1B01"/>
    <w:rsid w:val="00BA2641"/>
    <w:rsid w:val="00BB37AA"/>
    <w:rsid w:val="00BC53A0"/>
    <w:rsid w:val="00BD6C30"/>
    <w:rsid w:val="00BE62AD"/>
    <w:rsid w:val="00BF121F"/>
    <w:rsid w:val="00BF1F80"/>
    <w:rsid w:val="00BF2CA9"/>
    <w:rsid w:val="00BF5155"/>
    <w:rsid w:val="00C166EF"/>
    <w:rsid w:val="00C17EB0"/>
    <w:rsid w:val="00C27F5F"/>
    <w:rsid w:val="00C30A0F"/>
    <w:rsid w:val="00C34BE5"/>
    <w:rsid w:val="00C37E61"/>
    <w:rsid w:val="00C67500"/>
    <w:rsid w:val="00C70F1B"/>
    <w:rsid w:val="00C71A47"/>
    <w:rsid w:val="00C7464C"/>
    <w:rsid w:val="00C85588"/>
    <w:rsid w:val="00CD6755"/>
    <w:rsid w:val="00CD6856"/>
    <w:rsid w:val="00CE0089"/>
    <w:rsid w:val="00CE793C"/>
    <w:rsid w:val="00CF193C"/>
    <w:rsid w:val="00D046A4"/>
    <w:rsid w:val="00D173F1"/>
    <w:rsid w:val="00D614D7"/>
    <w:rsid w:val="00D71C82"/>
    <w:rsid w:val="00D74CB0"/>
    <w:rsid w:val="00D8295D"/>
    <w:rsid w:val="00D91D2E"/>
    <w:rsid w:val="00DA7AE6"/>
    <w:rsid w:val="00DC2A65"/>
    <w:rsid w:val="00DE15F0"/>
    <w:rsid w:val="00DE5663"/>
    <w:rsid w:val="00DE78AA"/>
    <w:rsid w:val="00E053D0"/>
    <w:rsid w:val="00E15994"/>
    <w:rsid w:val="00E3114E"/>
    <w:rsid w:val="00E31A70"/>
    <w:rsid w:val="00E33445"/>
    <w:rsid w:val="00E35B02"/>
    <w:rsid w:val="00E66496"/>
    <w:rsid w:val="00E66B35"/>
    <w:rsid w:val="00E66E10"/>
    <w:rsid w:val="00E769F6"/>
    <w:rsid w:val="00E8407C"/>
    <w:rsid w:val="00E84F3C"/>
    <w:rsid w:val="00EA012C"/>
    <w:rsid w:val="00EB0A2F"/>
    <w:rsid w:val="00EC6A55"/>
    <w:rsid w:val="00ED0288"/>
    <w:rsid w:val="00ED50B7"/>
    <w:rsid w:val="00EE52CB"/>
    <w:rsid w:val="00EE7BA9"/>
    <w:rsid w:val="00EF581D"/>
    <w:rsid w:val="00EF7FD8"/>
    <w:rsid w:val="00F00C9D"/>
    <w:rsid w:val="00F06F59"/>
    <w:rsid w:val="00F17988"/>
    <w:rsid w:val="00F469F0"/>
    <w:rsid w:val="00F53273"/>
    <w:rsid w:val="00F755E4"/>
    <w:rsid w:val="00F77D02"/>
    <w:rsid w:val="00FA7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EAAEF"/>
  <w15:docId w15:val="{59ED90FC-7970-4A56-A96A-7B990DF6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7439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35337A"/>
    <w:pPr>
      <w:spacing w:line="276" w:lineRule="auto"/>
    </w:pPr>
    <w:rPr>
      <w:rFonts w:ascii="Arial" w:eastAsia="Arial" w:hAnsi="Arial" w:cs="Arial"/>
      <w:sz w:val="22"/>
      <w:szCs w:val="22"/>
    </w:rPr>
  </w:style>
  <w:style w:type="character" w:styleId="Strong">
    <w:name w:val="Strong"/>
    <w:basedOn w:val="DefaultParagraphFont"/>
    <w:uiPriority w:val="22"/>
    <w:qFormat/>
    <w:rsid w:val="00BF5155"/>
    <w:rPr>
      <w:b/>
      <w:bCs/>
    </w:rPr>
  </w:style>
  <w:style w:type="paragraph" w:styleId="NormalWeb">
    <w:name w:val="Normal (Web)"/>
    <w:basedOn w:val="Normal"/>
    <w:uiPriority w:val="99"/>
    <w:unhideWhenUsed/>
    <w:rsid w:val="00BF515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5155"/>
    <w:pPr>
      <w:spacing w:after="200" w:line="276" w:lineRule="auto"/>
      <w:ind w:left="720"/>
      <w:contextualSpacing/>
    </w:pPr>
    <w:rPr>
      <w:rFonts w:asciiTheme="minorHAnsi" w:eastAsiaTheme="minorHAnsi" w:hAnsiTheme="minorHAnsi" w:cstheme="minorBidi"/>
      <w:sz w:val="22"/>
      <w:szCs w:val="22"/>
    </w:rPr>
  </w:style>
  <w:style w:type="table" w:customStyle="1" w:styleId="GridTable1Light-Accent51">
    <w:name w:val="Grid Table 1 Light - Accent 51"/>
    <w:basedOn w:val="TableNormal"/>
    <w:uiPriority w:val="46"/>
    <w:rsid w:val="00BF5155"/>
    <w:rPr>
      <w:rFonts w:ascii="Arial" w:eastAsia="Arial" w:hAnsi="Arial" w:cs="Arial"/>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rsid w:val="0074396A"/>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5E5442"/>
    <w:rPr>
      <w:rFonts w:ascii="Arial" w:eastAsia="Arial" w:hAnsi="Arial" w:cs="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106F9"/>
    <w:rPr>
      <w:color w:val="605E5C"/>
      <w:shd w:val="clear" w:color="auto" w:fill="E1DFDD"/>
    </w:rPr>
  </w:style>
  <w:style w:type="paragraph" w:styleId="CommentSubject">
    <w:name w:val="annotation subject"/>
    <w:basedOn w:val="CommentText"/>
    <w:next w:val="CommentText"/>
    <w:link w:val="CommentSubjectChar"/>
    <w:semiHidden/>
    <w:unhideWhenUsed/>
    <w:rsid w:val="00D71C82"/>
    <w:rPr>
      <w:rFonts w:ascii="Helvetica" w:hAnsi="Helvetica"/>
      <w:b/>
      <w:bCs/>
      <w:lang w:val="en-US" w:eastAsia="en-US"/>
    </w:rPr>
  </w:style>
  <w:style w:type="character" w:customStyle="1" w:styleId="CommentSubjectChar">
    <w:name w:val="Comment Subject Char"/>
    <w:basedOn w:val="CommentTextChar"/>
    <w:link w:val="CommentSubject"/>
    <w:semiHidden/>
    <w:rsid w:val="00D71C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61252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1335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6352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34429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nu2030299" TargetMode="External"/><Relationship Id="rId26" Type="http://schemas.openxmlformats.org/officeDocument/2006/relationships/hyperlink" Target="https://doi.org/10.3390/healthcare11070958" TargetMode="External"/><Relationship Id="rId39" Type="http://schemas.openxmlformats.org/officeDocument/2006/relationships/header" Target="header6.xml"/><Relationship Id="rId21" Type="http://schemas.openxmlformats.org/officeDocument/2006/relationships/hyperlink" Target="https://doi.org/10.20513/2447-6595.2019v59n2p40-49" TargetMode="External"/><Relationship Id="rId34" Type="http://schemas.openxmlformats.org/officeDocument/2006/relationships/hyperlink" Target="https://doi.org/10.1016/j.ajcnut.2023.08.02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4239/wjd.v14.i5.585" TargetMode="External"/><Relationship Id="rId29" Type="http://schemas.openxmlformats.org/officeDocument/2006/relationships/hyperlink" Target="https://doi.org/10.3390/jcm13082176"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7759/cureus.82151" TargetMode="External"/><Relationship Id="rId32" Type="http://schemas.openxmlformats.org/officeDocument/2006/relationships/hyperlink" Target="http://dx.doi.org/10.12944/CRNFSJ.7.3.07"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4103/ijem.IJEM_122_19" TargetMode="External"/><Relationship Id="rId28" Type="http://schemas.openxmlformats.org/officeDocument/2006/relationships/hyperlink" Target="https://doi.org/10.1080/10408363.2021.1885339"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3390/molecules28010240" TargetMode="External"/><Relationship Id="rId31" Type="http://schemas.openxmlformats.org/officeDocument/2006/relationships/hyperlink" Target="https://doi.org/10.1111/nure.12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biochi.2012.10.023" TargetMode="External"/><Relationship Id="rId27" Type="http://schemas.openxmlformats.org/officeDocument/2006/relationships/hyperlink" Target="https://doi.org/10.1111/nbu.12712" TargetMode="External"/><Relationship Id="rId30" Type="http://schemas.openxmlformats.org/officeDocument/2006/relationships/hyperlink" Target="https://doi.org/10.26574/maedica.2024.19.3.580" TargetMode="External"/><Relationship Id="rId35" Type="http://schemas.openxmlformats.org/officeDocument/2006/relationships/hyperlink" Target="https://doi.org/10.3390/medicina5910180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07/s12288-025-02025-8" TargetMode="External"/><Relationship Id="rId33" Type="http://schemas.openxmlformats.org/officeDocument/2006/relationships/hyperlink" Target="https://doi.org/10.3390/nu8120767"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C7E6-B70C-404C-83BF-46AC5CF3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Owo Gogo</cp:lastModifiedBy>
  <cp:revision>2</cp:revision>
  <cp:lastPrinted>1999-07-06T11:00:00Z</cp:lastPrinted>
  <dcterms:created xsi:type="dcterms:W3CDTF">2025-11-26T18:48:00Z</dcterms:created>
  <dcterms:modified xsi:type="dcterms:W3CDTF">2025-11-26T18:48:00Z</dcterms:modified>
</cp:coreProperties>
</file>