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4D553" w14:textId="1DE208E7" w:rsidR="002F4676" w:rsidRPr="002F4676" w:rsidRDefault="002F4676" w:rsidP="002F4676">
      <w:pPr>
        <w:jc w:val="right"/>
        <w:rPr>
          <w:rFonts w:ascii="Arial" w:hAnsi="Arial" w:cs="Arial"/>
          <w:b/>
          <w:bCs/>
          <w:i/>
          <w:iCs/>
          <w:sz w:val="32"/>
          <w:szCs w:val="32"/>
          <w:u w:val="single"/>
          <w:lang w:val="en-US"/>
        </w:rPr>
      </w:pPr>
      <w:r w:rsidRPr="002F4676">
        <w:rPr>
          <w:rFonts w:ascii="Arial" w:hAnsi="Arial" w:cs="Arial"/>
          <w:b/>
          <w:bCs/>
          <w:i/>
          <w:iCs/>
          <w:sz w:val="32"/>
          <w:szCs w:val="32"/>
          <w:u w:val="single"/>
          <w:lang w:val="en-US"/>
        </w:rPr>
        <w:t>Review Article</w:t>
      </w:r>
    </w:p>
    <w:p w14:paraId="1AB55128" w14:textId="68EB9A24" w:rsidR="008E7490" w:rsidRDefault="00D9291B" w:rsidP="00D9291B">
      <w:pPr>
        <w:spacing w:line="360" w:lineRule="auto"/>
        <w:jc w:val="right"/>
        <w:rPr>
          <w:rFonts w:ascii="Arial" w:hAnsi="Arial" w:cs="Arial"/>
          <w:b/>
          <w:bCs/>
          <w:sz w:val="36"/>
          <w:szCs w:val="36"/>
        </w:rPr>
      </w:pPr>
      <w:commentRangeStart w:id="0"/>
      <w:r w:rsidRPr="00D9291B">
        <w:rPr>
          <w:rFonts w:ascii="Arial" w:hAnsi="Arial" w:cs="Arial"/>
          <w:b/>
          <w:bCs/>
          <w:sz w:val="36"/>
          <w:szCs w:val="36"/>
        </w:rPr>
        <w:t xml:space="preserve">Three-Dimensional Bioprinting of Lymphoid Organs: Recent Advances, </w:t>
      </w:r>
      <w:r w:rsidR="00AC4B1E">
        <w:rPr>
          <w:rFonts w:ascii="Arial" w:hAnsi="Arial" w:cs="Arial"/>
          <w:b/>
          <w:bCs/>
          <w:sz w:val="36"/>
          <w:szCs w:val="36"/>
        </w:rPr>
        <w:t xml:space="preserve">Current </w:t>
      </w:r>
      <w:r w:rsidRPr="00D9291B">
        <w:rPr>
          <w:rFonts w:ascii="Arial" w:hAnsi="Arial" w:cs="Arial"/>
          <w:b/>
          <w:bCs/>
          <w:sz w:val="36"/>
          <w:szCs w:val="36"/>
        </w:rPr>
        <w:t>Applications, and Future Directions</w:t>
      </w:r>
      <w:commentRangeEnd w:id="0"/>
      <w:r w:rsidR="009B07A0">
        <w:rPr>
          <w:rStyle w:val="CommentReference"/>
          <w:rtl/>
        </w:rPr>
        <w:commentReference w:id="0"/>
      </w:r>
    </w:p>
    <w:p w14:paraId="21D1E005" w14:textId="17D4FB43" w:rsidR="00067E02" w:rsidRDefault="0004329C" w:rsidP="00D9291B">
      <w:pPr>
        <w:spacing w:line="360" w:lineRule="auto"/>
        <w:jc w:val="right"/>
        <w:rPr>
          <w:rFonts w:ascii="Arial" w:hAnsi="Arial" w:cs="Arial"/>
          <w:b/>
          <w:bCs/>
          <w:sz w:val="24"/>
          <w:szCs w:val="24"/>
          <w:vertAlign w:val="superscript"/>
        </w:rPr>
      </w:pPr>
      <w:r>
        <w:rPr>
          <w:rFonts w:ascii="Arial" w:hAnsi="Arial" w:cs="Arial"/>
          <w:noProof/>
          <w:lang w:val="en-US"/>
        </w:rPr>
        <mc:AlternateContent>
          <mc:Choice Requires="wps">
            <w:drawing>
              <wp:inline distT="0" distB="0" distL="0" distR="0" wp14:anchorId="044C9A7A" wp14:editId="7929CDBE">
                <wp:extent cx="5663565" cy="45719"/>
                <wp:effectExtent l="0" t="0" r="32385" b="31115"/>
                <wp:docPr id="104588391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6356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FC67B5" id="_x0000_t32" coordsize="21600,21600" o:spt="32" o:oned="t" path="m,l21600,21600e" filled="f">
                <v:path arrowok="t" fillok="f" o:connecttype="none"/>
                <o:lock v:ext="edit" shapetype="t"/>
              </v:shapetype>
              <v:shape id="Straight Arrow Connector 1" o:spid="_x0000_s1026" type="#_x0000_t32" style="width:445.9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6lfwwEAAGUDAAAOAAAAZHJzL2Uyb0RvYy54bWysU8Fu2zAMvQ/YPwi6L3a6OVuNOD2k6y7d&#10;FqDt7oos2cJkUSCV2Pn7SYqbbuttmA8CJZKPj4/0+mYaLDsqJAOu4ctFyZlyElrjuoY/Pd69+8QZ&#10;BeFaYcGphp8U8ZvN2zfr0dfqCnqwrUIWQRzVo294H4Kvi4JkrwZBC/DKRacGHESIV+yKFsUY0Qdb&#10;XJXlqhgBW48gFVF8vT07+Sbja61k+K41qcBswyO3kE/M5z6dxWYt6g6F742caYh/YDEI42LRC9St&#10;CIId0LyCGoxEINBhIWEoQGsjVe4hdrMs/+rmoRde5V6iOOQvMtH/g5Xfjlu3w0RdTu7B34P8SczB&#10;theuU5nA48nHwS2TVMXoqb6kpAv5HbL9+BXaGCMOAbIKk8aBaWv8j5SYwGOnbMqyny6yqykwGR+r&#10;1ep9tao4k9H3ofq4vM61RJ1gUrJHCl8UDCwZDaeAwnR92IJzccCA5xLieE8hkXxJSMkO7oy1ec7W&#10;sTESui6rMpMisKZN3hRH2O23FtlRpFXJ30zjjzCEg2szWq9E+3m2gzD2bMfq1s1KJXHSJlK9h/a0&#10;w2cF4ywzzXnv0rL8fs/ZL3/H5hcAAAD//wMAUEsDBBQABgAIAAAAIQDF6n2Z2wAAAAMBAAAPAAAA&#10;ZHJzL2Rvd25yZXYueG1sTI7LbsIwEEX3lfoP1lRiVxyoxCONg6oiFkgsCu2iSxNPk6j2ONgGAl/f&#10;aTd0M9LVvTpzikXvrDhhiK0nBaNhBgKp8qalWsHH++pxBiImTUZbT6jgghEW5f1doXPjz7TF0y7V&#10;giEUc62gSanLpYxVg07Hoe+QuPvywenEMdTSBH1muLNynGUT6XRL/KHRHb42WH3vjk5BFg/bzcZP&#10;D5+Tp7V9c+1ytQxXpQYP/csziIR9uo3hV5/VoWSnvT+SicIyg3d/l7vZfDQHsVcwHYMsC/nfvfwB&#10;AAD//wMAUEsBAi0AFAAGAAgAAAAhALaDOJL+AAAA4QEAABMAAAAAAAAAAAAAAAAAAAAAAFtDb250&#10;ZW50X1R5cGVzXS54bWxQSwECLQAUAAYACAAAACEAOP0h/9YAAACUAQAACwAAAAAAAAAAAAAAAAAv&#10;AQAAX3JlbHMvLnJlbHNQSwECLQAUAAYACAAAACEAVFupX8MBAABlAwAADgAAAAAAAAAAAAAAAAAu&#10;AgAAZHJzL2Uyb0RvYy54bWxQSwECLQAUAAYACAAAACEAxep9mdsAAAADAQAADwAAAAAAAAAAAAAA&#10;AAAdBAAAZHJzL2Rvd25yZXYueG1sUEsFBgAAAAAEAAQA8wAAACUFAAAAAA==&#10;" strokeweight="1.5pt">
                <w10:anchorlock/>
              </v:shape>
            </w:pict>
          </mc:Fallback>
        </mc:AlternateContent>
      </w:r>
    </w:p>
    <w:p w14:paraId="30EB679B" w14:textId="37924E32" w:rsidR="00347009" w:rsidRPr="0004329C" w:rsidRDefault="0004329C" w:rsidP="0004329C">
      <w:pPr>
        <w:tabs>
          <w:tab w:val="left" w:pos="360"/>
        </w:tabs>
        <w:spacing w:line="360" w:lineRule="auto"/>
        <w:jc w:val="both"/>
        <w:rPr>
          <w:rFonts w:ascii="Arial" w:hAnsi="Arial" w:cs="Arial"/>
          <w:b/>
          <w:bCs/>
          <w:sz w:val="24"/>
          <w:szCs w:val="24"/>
          <w:vertAlign w:val="superscript"/>
        </w:rPr>
      </w:pPr>
      <w:commentRangeStart w:id="1"/>
      <w:r w:rsidRPr="0004329C">
        <w:rPr>
          <w:rFonts w:ascii="Arial" w:hAnsi="Arial" w:cs="Arial"/>
          <w:b/>
          <w:bCs/>
        </w:rPr>
        <w:t>ABSTRACT</w:t>
      </w:r>
      <w:commentRangeEnd w:id="1"/>
      <w:r w:rsidR="0093791A">
        <w:rPr>
          <w:rStyle w:val="CommentReference"/>
          <w:rtl/>
        </w:rPr>
        <w:commentReference w:id="1"/>
      </w:r>
    </w:p>
    <w:p w14:paraId="1D301E12" w14:textId="47D615A3" w:rsidR="00D61CCF" w:rsidRPr="00D61CCF" w:rsidRDefault="00D61CCF" w:rsidP="00D61CCF">
      <w:pPr>
        <w:spacing w:line="360" w:lineRule="auto"/>
        <w:jc w:val="both"/>
        <w:rPr>
          <w:rFonts w:ascii="Arial" w:hAnsi="Arial" w:cs="Arial"/>
          <w:sz w:val="20"/>
          <w:szCs w:val="20"/>
        </w:rPr>
      </w:pPr>
      <w:r w:rsidRPr="00D61CCF">
        <w:rPr>
          <w:rFonts w:ascii="Arial" w:hAnsi="Arial" w:cs="Arial"/>
          <w:sz w:val="20"/>
          <w:szCs w:val="20"/>
        </w:rPr>
        <w:t>Three-dimensional (3D) bioprinting has emerged as a transformative technology for engineering lymphoid organs, offering a promising alternative to traditional two-dimensional (2D) cultures and animal models. This technique employs biocompatible natural hydrogels and advanced printing modalities to generate architecturally complex constructs that closely replicate the human immunological microenvironment.</w:t>
      </w:r>
    </w:p>
    <w:p w14:paraId="0E7FE70E" w14:textId="7B08EA4C" w:rsidR="00D61CCF" w:rsidRPr="00D61CCF" w:rsidRDefault="00D61CCF" w:rsidP="00D61CCF">
      <w:pPr>
        <w:spacing w:line="360" w:lineRule="auto"/>
        <w:jc w:val="both"/>
        <w:rPr>
          <w:rFonts w:ascii="Arial" w:hAnsi="Arial" w:cs="Arial"/>
          <w:sz w:val="20"/>
          <w:szCs w:val="20"/>
        </w:rPr>
      </w:pPr>
      <w:r w:rsidRPr="00D61CCF">
        <w:rPr>
          <w:rFonts w:ascii="Arial" w:hAnsi="Arial" w:cs="Arial"/>
          <w:sz w:val="20"/>
          <w:szCs w:val="20"/>
        </w:rPr>
        <w:t xml:space="preserve">A major advancement in this field is the integration of vascularization strategies, which facilitates the fabrication of thicker and more viable tissues. </w:t>
      </w:r>
      <w:proofErr w:type="spellStart"/>
      <w:r w:rsidRPr="00D61CCF">
        <w:rPr>
          <w:rFonts w:ascii="Arial" w:hAnsi="Arial" w:cs="Arial"/>
          <w:sz w:val="20"/>
          <w:szCs w:val="20"/>
        </w:rPr>
        <w:t>Bioprinted</w:t>
      </w:r>
      <w:proofErr w:type="spellEnd"/>
      <w:r w:rsidRPr="00D61CCF">
        <w:rPr>
          <w:rFonts w:ascii="Arial" w:hAnsi="Arial" w:cs="Arial"/>
          <w:sz w:val="20"/>
          <w:szCs w:val="20"/>
        </w:rPr>
        <w:t xml:space="preserve"> lymphoid organ models have shown substantial potential in applications such as personalized immunotherapy screening, tumour–immune interaction studies, and vaccine development.</w:t>
      </w:r>
    </w:p>
    <w:p w14:paraId="4CC189F7" w14:textId="736641CE" w:rsidR="00D61CCF" w:rsidRPr="00D61CCF" w:rsidRDefault="00D61CCF" w:rsidP="00D61CCF">
      <w:pPr>
        <w:spacing w:line="360" w:lineRule="auto"/>
        <w:jc w:val="both"/>
        <w:rPr>
          <w:rFonts w:ascii="Arial" w:hAnsi="Arial" w:cs="Arial"/>
          <w:sz w:val="20"/>
          <w:szCs w:val="20"/>
        </w:rPr>
      </w:pPr>
      <w:r w:rsidRPr="00D61CCF">
        <w:rPr>
          <w:rFonts w:ascii="Arial" w:hAnsi="Arial" w:cs="Arial"/>
          <w:sz w:val="20"/>
          <w:szCs w:val="20"/>
        </w:rPr>
        <w:t>A comprehensive literature survey was conducted using major scientific databases, including PubMed, Web of Science, Scopus, and Google Scholar. Keywords such as “3D bioprinting,” “lymphoid organ engineering,” “lymph node,” “thymus,” “bioinks,” “vascularization,” “immunotherapy,” and “tissue engineering” were used to identify relevant peer-reviewed studies.</w:t>
      </w:r>
    </w:p>
    <w:p w14:paraId="5EDAFE9C" w14:textId="37D69D7A" w:rsidR="00D9291B" w:rsidRPr="00D9291B" w:rsidRDefault="00D61CCF" w:rsidP="00D61CCF">
      <w:pPr>
        <w:spacing w:line="360" w:lineRule="auto"/>
        <w:jc w:val="both"/>
        <w:rPr>
          <w:rFonts w:ascii="Arial" w:hAnsi="Arial" w:cs="Arial"/>
          <w:b/>
          <w:bCs/>
          <w:sz w:val="36"/>
          <w:szCs w:val="36"/>
        </w:rPr>
      </w:pPr>
      <w:r w:rsidRPr="00D61CCF">
        <w:rPr>
          <w:rFonts w:ascii="Arial" w:hAnsi="Arial" w:cs="Arial"/>
          <w:sz w:val="20"/>
          <w:szCs w:val="20"/>
        </w:rPr>
        <w:t>Although challenges remain in achieving full functional complexity and long-term tissue stability, the integration of 3D bioprinting with AI-driven design tools and organoid technologies holds significant promise for developing clinically relevant immunological models and future regenerative applications.</w:t>
      </w:r>
    </w:p>
    <w:p w14:paraId="7C53570D" w14:textId="77777777" w:rsidR="008E7490" w:rsidRDefault="008E7490" w:rsidP="00D61CCF">
      <w:pPr>
        <w:spacing w:line="360" w:lineRule="auto"/>
        <w:jc w:val="both"/>
        <w:rPr>
          <w:rFonts w:ascii="Times New Roman" w:hAnsi="Times New Roman" w:cs="Times New Roman"/>
          <w:b/>
          <w:bCs/>
          <w:sz w:val="24"/>
          <w:szCs w:val="24"/>
        </w:rPr>
      </w:pPr>
    </w:p>
    <w:p w14:paraId="31B976F0" w14:textId="3207E0EF" w:rsidR="008E7490" w:rsidRDefault="008E7490" w:rsidP="00D61CCF">
      <w:pPr>
        <w:spacing w:line="360" w:lineRule="auto"/>
        <w:jc w:val="both"/>
        <w:rPr>
          <w:rFonts w:ascii="Times New Roman" w:hAnsi="Times New Roman" w:cs="Times New Roman"/>
          <w:b/>
          <w:bCs/>
          <w:sz w:val="24"/>
          <w:szCs w:val="24"/>
        </w:rPr>
      </w:pPr>
    </w:p>
    <w:p w14:paraId="734CEFA6" w14:textId="6992AC0D" w:rsidR="00F50099" w:rsidRDefault="00F50099" w:rsidP="00D61CCF">
      <w:pPr>
        <w:spacing w:line="360" w:lineRule="auto"/>
        <w:jc w:val="both"/>
        <w:rPr>
          <w:rFonts w:ascii="Times New Roman" w:hAnsi="Times New Roman" w:cs="Times New Roman"/>
          <w:b/>
          <w:bCs/>
          <w:sz w:val="24"/>
          <w:szCs w:val="24"/>
        </w:rPr>
      </w:pPr>
    </w:p>
    <w:p w14:paraId="3ADF50CE" w14:textId="242BBFC3" w:rsidR="00F50099" w:rsidRDefault="00F50099" w:rsidP="00D61CCF">
      <w:pPr>
        <w:spacing w:line="360" w:lineRule="auto"/>
        <w:jc w:val="both"/>
        <w:rPr>
          <w:rFonts w:ascii="Times New Roman" w:hAnsi="Times New Roman" w:cs="Times New Roman"/>
          <w:b/>
          <w:bCs/>
          <w:sz w:val="24"/>
          <w:szCs w:val="24"/>
        </w:rPr>
      </w:pPr>
    </w:p>
    <w:p w14:paraId="3D6855E9" w14:textId="66B49CB7" w:rsidR="00F50099" w:rsidRDefault="00F50099" w:rsidP="00D61CCF">
      <w:pPr>
        <w:spacing w:line="360" w:lineRule="auto"/>
        <w:jc w:val="both"/>
        <w:rPr>
          <w:rFonts w:ascii="Times New Roman" w:hAnsi="Times New Roman" w:cs="Times New Roman"/>
          <w:b/>
          <w:bCs/>
          <w:sz w:val="24"/>
          <w:szCs w:val="24"/>
        </w:rPr>
      </w:pPr>
    </w:p>
    <w:p w14:paraId="39ED06DA" w14:textId="77777777" w:rsidR="00F50099" w:rsidRDefault="00F50099" w:rsidP="00D61CCF">
      <w:pPr>
        <w:spacing w:line="360" w:lineRule="auto"/>
        <w:jc w:val="both"/>
        <w:rPr>
          <w:rFonts w:ascii="Times New Roman" w:hAnsi="Times New Roman" w:cs="Times New Roman"/>
          <w:b/>
          <w:bCs/>
          <w:sz w:val="24"/>
          <w:szCs w:val="24"/>
        </w:rPr>
      </w:pPr>
    </w:p>
    <w:p w14:paraId="77A18681" w14:textId="77777777" w:rsidR="002E2DD9" w:rsidRDefault="002E2DD9" w:rsidP="00D61CCF">
      <w:pPr>
        <w:spacing w:line="360" w:lineRule="auto"/>
        <w:jc w:val="both"/>
        <w:rPr>
          <w:rFonts w:ascii="Times New Roman" w:hAnsi="Times New Roman" w:cs="Times New Roman"/>
          <w:b/>
          <w:bCs/>
          <w:sz w:val="24"/>
          <w:szCs w:val="24"/>
        </w:rPr>
      </w:pPr>
    </w:p>
    <w:p w14:paraId="37B5A566" w14:textId="77777777" w:rsidR="00FF52EE" w:rsidRPr="00FF52EE" w:rsidRDefault="00FF52EE" w:rsidP="00FF52EE">
      <w:pPr>
        <w:spacing w:line="360" w:lineRule="auto"/>
        <w:jc w:val="both"/>
        <w:rPr>
          <w:rFonts w:ascii="Times New Roman" w:hAnsi="Times New Roman" w:cs="Times New Roman"/>
          <w:sz w:val="24"/>
          <w:szCs w:val="24"/>
        </w:rPr>
      </w:pPr>
    </w:p>
    <w:p w14:paraId="4AAE22C4" w14:textId="0C0C01DB" w:rsidR="000B1DF0" w:rsidRPr="000B1DF0" w:rsidRDefault="000B1DF0" w:rsidP="000B1DF0">
      <w:pPr>
        <w:pStyle w:val="ListParagraph"/>
        <w:numPr>
          <w:ilvl w:val="0"/>
          <w:numId w:val="3"/>
        </w:numPr>
        <w:spacing w:line="360" w:lineRule="auto"/>
        <w:jc w:val="both"/>
        <w:rPr>
          <w:rFonts w:ascii="Arial" w:hAnsi="Arial" w:cs="Arial"/>
          <w:b/>
          <w:bCs/>
          <w:sz w:val="20"/>
          <w:szCs w:val="20"/>
        </w:rPr>
      </w:pPr>
      <w:commentRangeStart w:id="2"/>
      <w:r w:rsidRPr="000B1DF0">
        <w:rPr>
          <w:rFonts w:ascii="Arial" w:hAnsi="Arial" w:cs="Arial"/>
          <w:b/>
          <w:bCs/>
        </w:rPr>
        <w:t>INTRODUCTION</w:t>
      </w:r>
      <w:commentRangeEnd w:id="2"/>
      <w:r w:rsidR="00BE3E86">
        <w:rPr>
          <w:rStyle w:val="CommentReference"/>
          <w:rtl/>
        </w:rPr>
        <w:commentReference w:id="2"/>
      </w:r>
      <w:r w:rsidRPr="000B1DF0">
        <w:rPr>
          <w:rFonts w:ascii="Arial" w:hAnsi="Arial" w:cs="Arial"/>
          <w:b/>
          <w:bCs/>
        </w:rPr>
        <w:t xml:space="preserve"> </w:t>
      </w:r>
    </w:p>
    <w:p w14:paraId="3C98E9AB" w14:textId="72D30D83" w:rsidR="000B1DF0" w:rsidRPr="000B1DF0" w:rsidRDefault="000B1DF0" w:rsidP="000B1DF0">
      <w:pPr>
        <w:spacing w:line="360" w:lineRule="auto"/>
        <w:jc w:val="both"/>
        <w:rPr>
          <w:rFonts w:ascii="Arial" w:hAnsi="Arial" w:cs="Arial"/>
          <w:sz w:val="20"/>
          <w:szCs w:val="20"/>
        </w:rPr>
      </w:pPr>
      <w:r w:rsidRPr="000B1DF0">
        <w:rPr>
          <w:rFonts w:ascii="Arial" w:hAnsi="Arial" w:cs="Arial"/>
          <w:sz w:val="20"/>
          <w:szCs w:val="20"/>
        </w:rPr>
        <w:t>The adaptive immune system provides highly specific and long-lasting protection, and its function is centrally coordinated within specialized lymphoid organs. These include the primary lymphoid organs, such as the bone marrow and thymus, where lymphocytes are generated and educated, and the secondary lymphoid organs, including the lymph nodes and spleen, where immune responses are initiated. For the effective execution of these functions, a highly organized three-dimensional (3D) microarchitecture is essential, as it establishes distinct regions for B cells, T cells, and stromal cells and supports the precise cellular interactions required for robust immune responses.</w:t>
      </w:r>
    </w:p>
    <w:p w14:paraId="7A4D1688" w14:textId="25BA5300" w:rsidR="000B1DF0" w:rsidRPr="000B1DF0" w:rsidRDefault="000B1DF0" w:rsidP="000B1DF0">
      <w:pPr>
        <w:spacing w:line="360" w:lineRule="auto"/>
        <w:jc w:val="both"/>
        <w:rPr>
          <w:rFonts w:ascii="Arial" w:hAnsi="Arial" w:cs="Arial"/>
          <w:sz w:val="20"/>
          <w:szCs w:val="20"/>
        </w:rPr>
      </w:pPr>
      <w:r w:rsidRPr="000B1DF0">
        <w:rPr>
          <w:rFonts w:ascii="Arial" w:hAnsi="Arial" w:cs="Arial"/>
          <w:sz w:val="20"/>
          <w:szCs w:val="20"/>
        </w:rPr>
        <w:t>This architectural dependency is particularly evident in the germinal centre reaction within secondary lymphoid organs, which is crucial for the production of high-affinity antibodies. This tightly regulated process, directed by chemokine gradients, relies on specialized stromal networks and vascular structures—features that cannot be replicated using conventional two-dimensional (2D) cell culture systems. Although animal models have been instrumental in shaping our understanding of immunology, significant species-specific differences in immunogenetics and lymphoid tissue organization reduce their translational relevance. As a result, these models often fail to accurately predict human immune responses, contributing to challenges in immunotherapy and vaccine development.</w:t>
      </w:r>
    </w:p>
    <w:p w14:paraId="4357E20A" w14:textId="518D59C5" w:rsidR="000B1DF0" w:rsidRPr="000B1DF0" w:rsidRDefault="000B1DF0" w:rsidP="000B1DF0">
      <w:pPr>
        <w:spacing w:line="360" w:lineRule="auto"/>
        <w:jc w:val="both"/>
        <w:rPr>
          <w:rFonts w:ascii="Arial" w:hAnsi="Arial" w:cs="Arial"/>
          <w:sz w:val="20"/>
          <w:szCs w:val="20"/>
        </w:rPr>
      </w:pPr>
      <w:r w:rsidRPr="000B1DF0">
        <w:rPr>
          <w:rFonts w:ascii="Arial" w:hAnsi="Arial" w:cs="Arial"/>
          <w:sz w:val="20"/>
          <w:szCs w:val="20"/>
        </w:rPr>
        <w:t>Tissue engineering approaches have begun to address these limitations by bridging the gap between traditional experimental models and human physiology. Among these, 3D bioprinting has emerged as a transformative technology (Murphy &amp; Atala, 2014). This technique enables the fabrication of complex, living tissue constructs through the spatially controlled deposition of bioinks—combinations of cells and biomaterials—allowing the recreation of the intricate architecture of native lymphoid tissues (Groll et al., 2018). The overarching objective is to generate immunocompetent tissues that faithfully replicate the critical microanatomy and cellular organization of lymphoid organs (Kim et al., 20</w:t>
      </w:r>
      <w:r w:rsidR="00AA4F64">
        <w:rPr>
          <w:rFonts w:ascii="Arial" w:hAnsi="Arial" w:cs="Arial"/>
          <w:sz w:val="20"/>
          <w:szCs w:val="20"/>
        </w:rPr>
        <w:t>20</w:t>
      </w:r>
      <w:r w:rsidRPr="000B1DF0">
        <w:rPr>
          <w:rFonts w:ascii="Arial" w:hAnsi="Arial" w:cs="Arial"/>
          <w:sz w:val="20"/>
          <w:szCs w:val="20"/>
        </w:rPr>
        <w:t xml:space="preserve">). These </w:t>
      </w:r>
      <w:proofErr w:type="spellStart"/>
      <w:r w:rsidRPr="000B1DF0">
        <w:rPr>
          <w:rFonts w:ascii="Arial" w:hAnsi="Arial" w:cs="Arial"/>
          <w:sz w:val="20"/>
          <w:szCs w:val="20"/>
        </w:rPr>
        <w:t>bioprinted</w:t>
      </w:r>
      <w:proofErr w:type="spellEnd"/>
      <w:r w:rsidRPr="000B1DF0">
        <w:rPr>
          <w:rFonts w:ascii="Arial" w:hAnsi="Arial" w:cs="Arial"/>
          <w:sz w:val="20"/>
          <w:szCs w:val="20"/>
        </w:rPr>
        <w:t xml:space="preserve"> lymphoid constructs hold considerable promise for advancing immunological research and supporting the development of novel therapeutics (</w:t>
      </w:r>
      <w:r w:rsidR="00AA4F64">
        <w:rPr>
          <w:rFonts w:ascii="Arial" w:hAnsi="Arial" w:cs="Arial"/>
          <w:sz w:val="20"/>
          <w:szCs w:val="20"/>
        </w:rPr>
        <w:t xml:space="preserve">Jang </w:t>
      </w:r>
      <w:r w:rsidRPr="000B1DF0">
        <w:rPr>
          <w:rFonts w:ascii="Arial" w:hAnsi="Arial" w:cs="Arial"/>
          <w:sz w:val="20"/>
          <w:szCs w:val="20"/>
        </w:rPr>
        <w:t>et al., 202</w:t>
      </w:r>
      <w:r w:rsidR="00AA4F64">
        <w:rPr>
          <w:rFonts w:ascii="Arial" w:hAnsi="Arial" w:cs="Arial"/>
          <w:sz w:val="20"/>
          <w:szCs w:val="20"/>
        </w:rPr>
        <w:t>1</w:t>
      </w:r>
      <w:r w:rsidRPr="000B1DF0">
        <w:rPr>
          <w:rFonts w:ascii="Arial" w:hAnsi="Arial" w:cs="Arial"/>
          <w:sz w:val="20"/>
          <w:szCs w:val="20"/>
        </w:rPr>
        <w:t>).</w:t>
      </w:r>
    </w:p>
    <w:p w14:paraId="6F1849A1" w14:textId="720A9080" w:rsidR="000B1DF0" w:rsidRPr="000B1DF0" w:rsidRDefault="000B1DF0" w:rsidP="000B1DF0">
      <w:pPr>
        <w:spacing w:line="360" w:lineRule="auto"/>
        <w:jc w:val="both"/>
        <w:rPr>
          <w:rFonts w:ascii="Arial" w:hAnsi="Arial" w:cs="Arial"/>
          <w:sz w:val="20"/>
          <w:szCs w:val="20"/>
        </w:rPr>
      </w:pPr>
      <w:r w:rsidRPr="000B1DF0">
        <w:rPr>
          <w:rFonts w:ascii="Arial" w:hAnsi="Arial" w:cs="Arial"/>
          <w:sz w:val="20"/>
          <w:szCs w:val="20"/>
        </w:rPr>
        <w:t xml:space="preserve">The global shift toward an aging population has further increased scientific interest in </w:t>
      </w:r>
      <w:proofErr w:type="spellStart"/>
      <w:r w:rsidRPr="000B1DF0">
        <w:rPr>
          <w:rFonts w:ascii="Arial" w:hAnsi="Arial" w:cs="Arial"/>
          <w:sz w:val="20"/>
          <w:szCs w:val="20"/>
        </w:rPr>
        <w:t>immunosenescence</w:t>
      </w:r>
      <w:proofErr w:type="spellEnd"/>
      <w:r w:rsidRPr="000B1DF0">
        <w:rPr>
          <w:rFonts w:ascii="Arial" w:hAnsi="Arial" w:cs="Arial"/>
          <w:sz w:val="20"/>
          <w:szCs w:val="20"/>
        </w:rPr>
        <w:t>, the age-associated decline in immune function that contributes to reduced vaccine efficacy and heightened susceptibility to infections and cancer (</w:t>
      </w:r>
      <w:proofErr w:type="spellStart"/>
      <w:r w:rsidRPr="000B1DF0">
        <w:rPr>
          <w:rFonts w:ascii="Arial" w:hAnsi="Arial" w:cs="Arial"/>
          <w:sz w:val="20"/>
          <w:szCs w:val="20"/>
        </w:rPr>
        <w:t>Goronzy</w:t>
      </w:r>
      <w:proofErr w:type="spellEnd"/>
      <w:r w:rsidRPr="000B1DF0">
        <w:rPr>
          <w:rFonts w:ascii="Arial" w:hAnsi="Arial" w:cs="Arial"/>
          <w:sz w:val="20"/>
          <w:szCs w:val="20"/>
        </w:rPr>
        <w:t xml:space="preserve"> &amp; </w:t>
      </w:r>
      <w:proofErr w:type="spellStart"/>
      <w:r w:rsidRPr="000B1DF0">
        <w:rPr>
          <w:rFonts w:ascii="Arial" w:hAnsi="Arial" w:cs="Arial"/>
          <w:sz w:val="20"/>
          <w:szCs w:val="20"/>
        </w:rPr>
        <w:t>Weyand</w:t>
      </w:r>
      <w:proofErr w:type="spellEnd"/>
      <w:r w:rsidRPr="000B1DF0">
        <w:rPr>
          <w:rFonts w:ascii="Arial" w:hAnsi="Arial" w:cs="Arial"/>
          <w:sz w:val="20"/>
          <w:szCs w:val="20"/>
        </w:rPr>
        <w:t>, 2017). Age-related changes in the immune microenvironment—including altered stromal cell function and chronic low-grade inflammation (“inflammaging”)—are not adequately represented in young animal models (Baechle et al., 2023). In addition, chronic inflammatory and immune-mediated disorders have created an urgent need for more human-relevant platforms capable of capturing complex immune cell dynamics within physiologically realistic tissue contexts (</w:t>
      </w:r>
      <w:proofErr w:type="spellStart"/>
      <w:r w:rsidRPr="000B1DF0">
        <w:rPr>
          <w:rFonts w:ascii="Arial" w:hAnsi="Arial" w:cs="Arial"/>
          <w:sz w:val="20"/>
          <w:szCs w:val="20"/>
        </w:rPr>
        <w:t>Visalakshan</w:t>
      </w:r>
      <w:proofErr w:type="spellEnd"/>
      <w:r w:rsidRPr="000B1DF0">
        <w:rPr>
          <w:rFonts w:ascii="Arial" w:hAnsi="Arial" w:cs="Arial"/>
          <w:sz w:val="20"/>
          <w:szCs w:val="20"/>
        </w:rPr>
        <w:t xml:space="preserve"> et al., 2023).</w:t>
      </w:r>
    </w:p>
    <w:p w14:paraId="4514AFC1" w14:textId="11CD9090" w:rsidR="006E1B38" w:rsidRDefault="000B1DF0" w:rsidP="000B1DF0">
      <w:pPr>
        <w:spacing w:line="360" w:lineRule="auto"/>
        <w:jc w:val="both"/>
        <w:rPr>
          <w:rFonts w:ascii="Arial" w:hAnsi="Arial" w:cs="Arial"/>
          <w:sz w:val="20"/>
          <w:szCs w:val="20"/>
        </w:rPr>
      </w:pPr>
      <w:r w:rsidRPr="000B1DF0">
        <w:rPr>
          <w:rFonts w:ascii="Arial" w:hAnsi="Arial" w:cs="Arial"/>
          <w:sz w:val="20"/>
          <w:szCs w:val="20"/>
        </w:rPr>
        <w:t>This review provides an overview of recent progress and future directions in the bioprinting of lymphoid organs, with particular emphasis on advancements in bioink formulation, printing modalities, vascularization strategies, and emerging biomedical applications</w:t>
      </w:r>
    </w:p>
    <w:p w14:paraId="2985008C" w14:textId="6E72D0E0" w:rsidR="00515859" w:rsidRPr="000B1DF0" w:rsidRDefault="00515859" w:rsidP="000B1DF0">
      <w:pPr>
        <w:spacing w:line="360" w:lineRule="auto"/>
        <w:jc w:val="both"/>
        <w:rPr>
          <w:rFonts w:ascii="Arial" w:hAnsi="Arial" w:cs="Arial"/>
          <w:sz w:val="20"/>
          <w:szCs w:val="20"/>
        </w:rPr>
      </w:pPr>
      <w:r>
        <w:rPr>
          <w:noProof/>
          <w:lang w:val="en-US"/>
        </w:rPr>
        <w:lastRenderedPageBreak/>
        <w:drawing>
          <wp:inline distT="114300" distB="114300" distL="114300" distR="114300" wp14:anchorId="45C40F4B" wp14:editId="0D8B9C12">
            <wp:extent cx="5731200" cy="4013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31200" cy="4013200"/>
                    </a:xfrm>
                    <a:prstGeom prst="rect">
                      <a:avLst/>
                    </a:prstGeom>
                    <a:ln/>
                  </pic:spPr>
                </pic:pic>
              </a:graphicData>
            </a:graphic>
          </wp:inline>
        </w:drawing>
      </w:r>
    </w:p>
    <w:p w14:paraId="11C36A2E" w14:textId="1E96AD48" w:rsidR="002B401A" w:rsidRPr="002B401A" w:rsidRDefault="002B401A" w:rsidP="002B401A">
      <w:pPr>
        <w:spacing w:line="360" w:lineRule="auto"/>
        <w:jc w:val="both"/>
        <w:rPr>
          <w:rFonts w:ascii="Arial" w:hAnsi="Arial" w:cs="Arial"/>
          <w:b/>
          <w:bCs/>
        </w:rPr>
      </w:pPr>
      <w:r>
        <w:rPr>
          <w:rFonts w:ascii="Arial" w:hAnsi="Arial" w:cs="Arial"/>
          <w:b/>
          <w:bCs/>
        </w:rPr>
        <w:t xml:space="preserve">Figure 1: </w:t>
      </w:r>
      <w:r w:rsidRPr="002B401A">
        <w:rPr>
          <w:rFonts w:ascii="Arial" w:hAnsi="Arial" w:cs="Arial"/>
          <w:b/>
          <w:bCs/>
        </w:rPr>
        <w:t>Schematic Overview of 3D Bioprinting of the Thymus</w:t>
      </w:r>
    </w:p>
    <w:p w14:paraId="00DAAD13" w14:textId="227107A6" w:rsidR="000B1DF0" w:rsidRPr="002B401A" w:rsidRDefault="002B401A" w:rsidP="004A78AC">
      <w:pPr>
        <w:spacing w:line="360" w:lineRule="auto"/>
        <w:jc w:val="both"/>
        <w:rPr>
          <w:rFonts w:ascii="Arial" w:hAnsi="Arial" w:cs="Arial"/>
          <w:b/>
          <w:bCs/>
          <w:i/>
          <w:iCs/>
          <w:sz w:val="20"/>
          <w:szCs w:val="20"/>
        </w:rPr>
      </w:pPr>
      <w:r w:rsidRPr="002B401A">
        <w:rPr>
          <w:rFonts w:ascii="Arial" w:hAnsi="Arial" w:cs="Arial"/>
          <w:b/>
          <w:bCs/>
          <w:i/>
          <w:iCs/>
          <w:sz w:val="20"/>
          <w:szCs w:val="20"/>
        </w:rPr>
        <w:t xml:space="preserve">(A native thymus organ (left) is translated into a bioactive tissue construct using a 3D </w:t>
      </w:r>
      <w:proofErr w:type="spellStart"/>
      <w:r w:rsidRPr="002B401A">
        <w:rPr>
          <w:rFonts w:ascii="Arial" w:hAnsi="Arial" w:cs="Arial"/>
          <w:b/>
          <w:bCs/>
          <w:i/>
          <w:iCs/>
          <w:sz w:val="20"/>
          <w:szCs w:val="20"/>
        </w:rPr>
        <w:t>bioprinter</w:t>
      </w:r>
      <w:proofErr w:type="spellEnd"/>
      <w:r w:rsidRPr="002B401A">
        <w:rPr>
          <w:rFonts w:ascii="Arial" w:hAnsi="Arial" w:cs="Arial"/>
          <w:b/>
          <w:bCs/>
          <w:i/>
          <w:iCs/>
          <w:sz w:val="20"/>
          <w:szCs w:val="20"/>
        </w:rPr>
        <w:t xml:space="preserve"> (</w:t>
      </w:r>
      <w:proofErr w:type="spellStart"/>
      <w:r w:rsidRPr="002B401A">
        <w:rPr>
          <w:rFonts w:ascii="Arial" w:hAnsi="Arial" w:cs="Arial"/>
          <w:b/>
          <w:bCs/>
          <w:i/>
          <w:iCs/>
          <w:sz w:val="20"/>
          <w:szCs w:val="20"/>
        </w:rPr>
        <w:t>center</w:t>
      </w:r>
      <w:proofErr w:type="spellEnd"/>
      <w:r w:rsidRPr="002B401A">
        <w:rPr>
          <w:rFonts w:ascii="Arial" w:hAnsi="Arial" w:cs="Arial"/>
          <w:b/>
          <w:bCs/>
          <w:i/>
          <w:iCs/>
          <w:sz w:val="20"/>
          <w:szCs w:val="20"/>
        </w:rPr>
        <w:t>), producing a printed model (right) that mimics the structural and functional characteristics of lymphoid tissue</w:t>
      </w:r>
      <w:r w:rsidR="002823D5">
        <w:rPr>
          <w:rFonts w:ascii="Arial" w:hAnsi="Arial" w:cs="Arial"/>
          <w:b/>
          <w:bCs/>
          <w:i/>
          <w:iCs/>
          <w:sz w:val="20"/>
          <w:szCs w:val="20"/>
        </w:rPr>
        <w:t xml:space="preserve">, </w:t>
      </w:r>
      <w:r w:rsidR="002823D5" w:rsidRPr="002823D5">
        <w:rPr>
          <w:rFonts w:ascii="Arial" w:hAnsi="Arial" w:cs="Arial"/>
          <w:b/>
          <w:bCs/>
          <w:i/>
          <w:iCs/>
          <w:sz w:val="20"/>
          <w:szCs w:val="20"/>
        </w:rPr>
        <w:t xml:space="preserve">created using </w:t>
      </w:r>
      <w:r w:rsidR="002823D5" w:rsidRPr="002823D5">
        <w:rPr>
          <w:rFonts w:ascii="Arial" w:hAnsi="Arial" w:cs="Arial"/>
          <w:b/>
          <w:bCs/>
          <w:sz w:val="20"/>
          <w:szCs w:val="20"/>
        </w:rPr>
        <w:t>BioRender.com</w:t>
      </w:r>
      <w:r w:rsidR="002823D5">
        <w:rPr>
          <w:rFonts w:ascii="Arial" w:hAnsi="Arial" w:cs="Arial"/>
          <w:b/>
          <w:bCs/>
          <w:i/>
          <w:iCs/>
          <w:sz w:val="20"/>
          <w:szCs w:val="20"/>
        </w:rPr>
        <w:t>)</w:t>
      </w:r>
    </w:p>
    <w:p w14:paraId="4BF16025" w14:textId="1A566E85" w:rsidR="004A78AC" w:rsidRPr="006E1B38" w:rsidRDefault="004A78AC" w:rsidP="004A78AC">
      <w:pPr>
        <w:spacing w:line="360" w:lineRule="auto"/>
        <w:jc w:val="both"/>
        <w:rPr>
          <w:rFonts w:ascii="Arial" w:hAnsi="Arial" w:cs="Arial"/>
          <w:b/>
          <w:bCs/>
        </w:rPr>
      </w:pPr>
      <w:r w:rsidRPr="004A78AC">
        <w:rPr>
          <w:rFonts w:ascii="Arial" w:hAnsi="Arial" w:cs="Arial"/>
          <w:b/>
          <w:bCs/>
        </w:rPr>
        <w:t xml:space="preserve">2. </w:t>
      </w:r>
      <w:commentRangeStart w:id="3"/>
      <w:r w:rsidRPr="004A78AC">
        <w:rPr>
          <w:rFonts w:ascii="Arial" w:hAnsi="Arial" w:cs="Arial"/>
          <w:b/>
          <w:bCs/>
        </w:rPr>
        <w:t>BIOINK DEVELOPMENT FOR LYMPHOID TISSUE ENGINEERING</w:t>
      </w:r>
      <w:commentRangeEnd w:id="3"/>
      <w:r w:rsidR="00241CB0">
        <w:rPr>
          <w:rStyle w:val="CommentReference"/>
          <w:rtl/>
        </w:rPr>
        <w:commentReference w:id="3"/>
      </w:r>
    </w:p>
    <w:p w14:paraId="06E0A000" w14:textId="06023A58" w:rsidR="004A78AC" w:rsidRPr="004A78AC" w:rsidRDefault="004A78AC" w:rsidP="004A78AC">
      <w:pPr>
        <w:spacing w:line="360" w:lineRule="auto"/>
        <w:jc w:val="both"/>
        <w:rPr>
          <w:rFonts w:ascii="Arial" w:hAnsi="Arial" w:cs="Arial"/>
          <w:b/>
          <w:bCs/>
          <w:sz w:val="20"/>
          <w:szCs w:val="20"/>
        </w:rPr>
      </w:pPr>
      <w:r w:rsidRPr="004A78AC">
        <w:rPr>
          <w:rFonts w:ascii="Arial" w:hAnsi="Arial" w:cs="Arial"/>
          <w:b/>
          <w:bCs/>
          <w:sz w:val="20"/>
          <w:szCs w:val="20"/>
        </w:rPr>
        <w:t>2.1 Natural Hydrogel-Based Bioinks</w:t>
      </w:r>
    </w:p>
    <w:p w14:paraId="4C267D65" w14:textId="6F3AA901" w:rsidR="00280D81" w:rsidRDefault="00280D81" w:rsidP="004A78AC">
      <w:pPr>
        <w:spacing w:line="360" w:lineRule="auto"/>
        <w:jc w:val="both"/>
        <w:rPr>
          <w:rFonts w:ascii="Arial" w:hAnsi="Arial" w:cs="Arial"/>
          <w:sz w:val="20"/>
          <w:szCs w:val="20"/>
        </w:rPr>
      </w:pPr>
      <w:r w:rsidRPr="00280D81">
        <w:rPr>
          <w:rFonts w:ascii="Arial" w:hAnsi="Arial" w:cs="Arial"/>
          <w:sz w:val="20"/>
          <w:szCs w:val="20"/>
        </w:rPr>
        <w:t xml:space="preserve">Natural hydrogels derived from biological sources are widely employed in lymphoid tissue engineering because of their inherent bioactivity and excellent biocompatibility. These materials provide native cell-adhesion motifs, such as the arginine–glycine–aspartic acid (Arg-Gly-Asp, RGD) sequence, and can be enzymatically degraded and remodelled by encapsulated cells, thereby supporting dynamic tissue development (Xu et al., 2022; </w:t>
      </w:r>
      <w:r w:rsidR="00246120">
        <w:rPr>
          <w:rFonts w:ascii="Arial" w:hAnsi="Arial" w:cs="Arial"/>
          <w:sz w:val="20"/>
          <w:szCs w:val="20"/>
        </w:rPr>
        <w:t>Han et al.</w:t>
      </w:r>
      <w:r w:rsidRPr="00280D81">
        <w:rPr>
          <w:rFonts w:ascii="Arial" w:hAnsi="Arial" w:cs="Arial"/>
          <w:sz w:val="20"/>
          <w:szCs w:val="20"/>
        </w:rPr>
        <w:t xml:space="preserve">, 2024; </w:t>
      </w:r>
      <w:proofErr w:type="spellStart"/>
      <w:r w:rsidRPr="00280D81">
        <w:rPr>
          <w:rFonts w:ascii="Arial" w:hAnsi="Arial" w:cs="Arial"/>
          <w:sz w:val="20"/>
          <w:szCs w:val="20"/>
        </w:rPr>
        <w:t>Manferdini</w:t>
      </w:r>
      <w:proofErr w:type="spellEnd"/>
      <w:r w:rsidRPr="00280D81">
        <w:rPr>
          <w:rFonts w:ascii="Arial" w:hAnsi="Arial" w:cs="Arial"/>
          <w:sz w:val="20"/>
          <w:szCs w:val="20"/>
        </w:rPr>
        <w:t xml:space="preserve"> et al., 2022)</w:t>
      </w:r>
    </w:p>
    <w:p w14:paraId="349FA521" w14:textId="2CC99359" w:rsidR="004A78AC" w:rsidRPr="004A78AC" w:rsidRDefault="004A78AC" w:rsidP="004A78AC">
      <w:pPr>
        <w:spacing w:line="360" w:lineRule="auto"/>
        <w:jc w:val="both"/>
        <w:rPr>
          <w:rFonts w:ascii="Arial" w:hAnsi="Arial" w:cs="Arial"/>
          <w:b/>
          <w:bCs/>
          <w:sz w:val="20"/>
          <w:szCs w:val="20"/>
        </w:rPr>
      </w:pPr>
      <w:r w:rsidRPr="004A78AC">
        <w:rPr>
          <w:rFonts w:ascii="Arial" w:hAnsi="Arial" w:cs="Arial"/>
          <w:b/>
          <w:bCs/>
          <w:sz w:val="20"/>
          <w:szCs w:val="20"/>
        </w:rPr>
        <w:t>2.1.1 Collagen-Based Systems:</w:t>
      </w:r>
    </w:p>
    <w:p w14:paraId="7D22333C" w14:textId="25FD6E45" w:rsidR="00F73E67" w:rsidRDefault="00F73A3A" w:rsidP="00F73E67">
      <w:pPr>
        <w:spacing w:line="360" w:lineRule="auto"/>
        <w:jc w:val="both"/>
        <w:rPr>
          <w:rFonts w:ascii="Arial" w:hAnsi="Arial" w:cs="Arial"/>
          <w:sz w:val="20"/>
          <w:szCs w:val="20"/>
        </w:rPr>
      </w:pPr>
      <w:r w:rsidRPr="00F73A3A">
        <w:rPr>
          <w:rFonts w:ascii="Arial" w:hAnsi="Arial" w:cs="Arial"/>
          <w:sz w:val="20"/>
          <w:szCs w:val="20"/>
        </w:rPr>
        <w:t xml:space="preserve">Collagen type I, a predominant structural component of the stromal extracellular matrix, is widely utilized for engineering lymphoid tissues because it supports the spreading and interconnection of stromal cells. These networks play a critical role in recapitulating the reticular architecture of native lymphoid organs. Experimental studies have reported </w:t>
      </w:r>
      <w:r w:rsidRPr="00F73A3A">
        <w:rPr>
          <w:rFonts w:ascii="Arial" w:hAnsi="Arial" w:cs="Arial"/>
          <w:b/>
          <w:bCs/>
          <w:sz w:val="20"/>
          <w:szCs w:val="20"/>
        </w:rPr>
        <w:t>&gt;90% immune cell viability</w:t>
      </w:r>
      <w:r w:rsidRPr="00F73A3A">
        <w:rPr>
          <w:rFonts w:ascii="Arial" w:hAnsi="Arial" w:cs="Arial"/>
          <w:sz w:val="20"/>
          <w:szCs w:val="20"/>
        </w:rPr>
        <w:t xml:space="preserve"> within collagen-based bioinks and elastic moduli between </w:t>
      </w:r>
      <w:r w:rsidRPr="00F73A3A">
        <w:rPr>
          <w:rFonts w:ascii="Arial" w:hAnsi="Arial" w:cs="Arial"/>
          <w:b/>
          <w:bCs/>
          <w:sz w:val="20"/>
          <w:szCs w:val="20"/>
        </w:rPr>
        <w:t>0.5–1.5 kPa</w:t>
      </w:r>
      <w:r w:rsidRPr="00F73A3A">
        <w:rPr>
          <w:rFonts w:ascii="Arial" w:hAnsi="Arial" w:cs="Arial"/>
          <w:sz w:val="20"/>
          <w:szCs w:val="20"/>
        </w:rPr>
        <w:t xml:space="preserve">, which fall within the physiological range of lymph node tissue stiffness. Despite their biological relevance, collagen bioinks often face limitations such as </w:t>
      </w:r>
      <w:r w:rsidRPr="00F73A3A">
        <w:rPr>
          <w:rFonts w:ascii="Arial" w:hAnsi="Arial" w:cs="Arial"/>
          <w:b/>
          <w:bCs/>
          <w:sz w:val="20"/>
          <w:szCs w:val="20"/>
        </w:rPr>
        <w:t>batch-to-</w:t>
      </w:r>
      <w:r w:rsidRPr="00F73A3A">
        <w:rPr>
          <w:rFonts w:ascii="Arial" w:hAnsi="Arial" w:cs="Arial"/>
          <w:b/>
          <w:bCs/>
          <w:sz w:val="20"/>
          <w:szCs w:val="20"/>
        </w:rPr>
        <w:lastRenderedPageBreak/>
        <w:t>batch variability</w:t>
      </w:r>
      <w:r w:rsidRPr="00F73A3A">
        <w:rPr>
          <w:rFonts w:ascii="Arial" w:hAnsi="Arial" w:cs="Arial"/>
          <w:sz w:val="20"/>
          <w:szCs w:val="20"/>
        </w:rPr>
        <w:t xml:space="preserve">, slow crosslinking, and relatively poor mechanical robustness, which restrict the fabrication of intricate architectural features in three-dimensional constructs (Yue et al., 2015; Antoine </w:t>
      </w:r>
      <w:r w:rsidR="005D05EA" w:rsidRPr="00F73A3A">
        <w:rPr>
          <w:rFonts w:ascii="Arial" w:hAnsi="Arial" w:cs="Arial"/>
          <w:sz w:val="20"/>
          <w:szCs w:val="20"/>
        </w:rPr>
        <w:t>et al., 20</w:t>
      </w:r>
      <w:r w:rsidR="005D05EA">
        <w:rPr>
          <w:rFonts w:ascii="Arial" w:hAnsi="Arial" w:cs="Arial"/>
          <w:sz w:val="20"/>
          <w:szCs w:val="20"/>
        </w:rPr>
        <w:t>22)</w:t>
      </w:r>
    </w:p>
    <w:p w14:paraId="0C37E4FB" w14:textId="4B790784" w:rsidR="00F73E67" w:rsidRPr="00F73E67" w:rsidRDefault="00F73E67" w:rsidP="00F73E67">
      <w:pPr>
        <w:spacing w:line="360" w:lineRule="auto"/>
        <w:jc w:val="both"/>
        <w:rPr>
          <w:rFonts w:ascii="Arial" w:hAnsi="Arial" w:cs="Arial"/>
          <w:b/>
          <w:bCs/>
          <w:sz w:val="20"/>
          <w:szCs w:val="20"/>
        </w:rPr>
      </w:pPr>
      <w:r w:rsidRPr="00F73E67">
        <w:rPr>
          <w:rFonts w:ascii="Arial" w:hAnsi="Arial" w:cs="Arial"/>
          <w:b/>
          <w:bCs/>
          <w:sz w:val="20"/>
          <w:szCs w:val="20"/>
        </w:rPr>
        <w:t xml:space="preserve">2.1.2 </w:t>
      </w:r>
      <w:proofErr w:type="spellStart"/>
      <w:r w:rsidRPr="00F73E67">
        <w:rPr>
          <w:rFonts w:ascii="Arial" w:hAnsi="Arial" w:cs="Arial"/>
          <w:b/>
          <w:bCs/>
          <w:sz w:val="20"/>
          <w:szCs w:val="20"/>
        </w:rPr>
        <w:t>GelMA</w:t>
      </w:r>
      <w:proofErr w:type="spellEnd"/>
      <w:r w:rsidRPr="00F73E67">
        <w:rPr>
          <w:rFonts w:ascii="Arial" w:hAnsi="Arial" w:cs="Arial"/>
          <w:b/>
          <w:bCs/>
          <w:sz w:val="20"/>
          <w:szCs w:val="20"/>
        </w:rPr>
        <w:t xml:space="preserve">-Based </w:t>
      </w:r>
      <w:proofErr w:type="spellStart"/>
      <w:r w:rsidRPr="00F73E67">
        <w:rPr>
          <w:rFonts w:ascii="Arial" w:hAnsi="Arial" w:cs="Arial"/>
          <w:b/>
          <w:bCs/>
          <w:sz w:val="20"/>
          <w:szCs w:val="20"/>
        </w:rPr>
        <w:t>Bioinks</w:t>
      </w:r>
      <w:proofErr w:type="spellEnd"/>
    </w:p>
    <w:p w14:paraId="57581945" w14:textId="77777777" w:rsidR="00F73E67" w:rsidRPr="00F73E67" w:rsidRDefault="00F73E67" w:rsidP="00F73E67">
      <w:pPr>
        <w:spacing w:line="360" w:lineRule="auto"/>
        <w:jc w:val="both"/>
        <w:rPr>
          <w:rFonts w:ascii="Arial" w:hAnsi="Arial" w:cs="Arial"/>
          <w:sz w:val="20"/>
          <w:szCs w:val="20"/>
        </w:rPr>
      </w:pPr>
      <w:proofErr w:type="spellStart"/>
      <w:r w:rsidRPr="00F73E67">
        <w:rPr>
          <w:rFonts w:ascii="Arial" w:hAnsi="Arial" w:cs="Arial"/>
          <w:sz w:val="20"/>
          <w:szCs w:val="20"/>
        </w:rPr>
        <w:t>Gelatin</w:t>
      </w:r>
      <w:proofErr w:type="spellEnd"/>
      <w:r w:rsidRPr="00F73E67">
        <w:rPr>
          <w:rFonts w:ascii="Arial" w:hAnsi="Arial" w:cs="Arial"/>
          <w:sz w:val="20"/>
          <w:szCs w:val="20"/>
        </w:rPr>
        <w:t xml:space="preserve"> </w:t>
      </w:r>
      <w:proofErr w:type="spellStart"/>
      <w:r w:rsidRPr="00F73E67">
        <w:rPr>
          <w:rFonts w:ascii="Arial" w:hAnsi="Arial" w:cs="Arial"/>
          <w:sz w:val="20"/>
          <w:szCs w:val="20"/>
        </w:rPr>
        <w:t>methacryloyl</w:t>
      </w:r>
      <w:proofErr w:type="spellEnd"/>
      <w:r w:rsidRPr="00F73E67">
        <w:rPr>
          <w:rFonts w:ascii="Arial" w:hAnsi="Arial" w:cs="Arial"/>
          <w:sz w:val="20"/>
          <w:szCs w:val="20"/>
        </w:rPr>
        <w:t xml:space="preserve"> (</w:t>
      </w:r>
      <w:proofErr w:type="spellStart"/>
      <w:r w:rsidRPr="00F73E67">
        <w:rPr>
          <w:rFonts w:ascii="Arial" w:hAnsi="Arial" w:cs="Arial"/>
          <w:sz w:val="20"/>
          <w:szCs w:val="20"/>
        </w:rPr>
        <w:t>GelMA</w:t>
      </w:r>
      <w:proofErr w:type="spellEnd"/>
      <w:r w:rsidRPr="00F73E67">
        <w:rPr>
          <w:rFonts w:ascii="Arial" w:hAnsi="Arial" w:cs="Arial"/>
          <w:sz w:val="20"/>
          <w:szCs w:val="20"/>
        </w:rPr>
        <w:t xml:space="preserve">), a </w:t>
      </w:r>
      <w:proofErr w:type="spellStart"/>
      <w:r w:rsidRPr="00F73E67">
        <w:rPr>
          <w:rFonts w:ascii="Arial" w:hAnsi="Arial" w:cs="Arial"/>
          <w:sz w:val="20"/>
          <w:szCs w:val="20"/>
        </w:rPr>
        <w:t>photocrosslinkable</w:t>
      </w:r>
      <w:proofErr w:type="spellEnd"/>
      <w:r w:rsidRPr="00F73E67">
        <w:rPr>
          <w:rFonts w:ascii="Arial" w:hAnsi="Arial" w:cs="Arial"/>
          <w:sz w:val="20"/>
          <w:szCs w:val="20"/>
        </w:rPr>
        <w:t xml:space="preserve"> derivative of </w:t>
      </w:r>
      <w:proofErr w:type="spellStart"/>
      <w:r w:rsidRPr="00F73E67">
        <w:rPr>
          <w:rFonts w:ascii="Arial" w:hAnsi="Arial" w:cs="Arial"/>
          <w:sz w:val="20"/>
          <w:szCs w:val="20"/>
        </w:rPr>
        <w:t>gelatin</w:t>
      </w:r>
      <w:proofErr w:type="spellEnd"/>
      <w:r w:rsidRPr="00F73E67">
        <w:rPr>
          <w:rFonts w:ascii="Arial" w:hAnsi="Arial" w:cs="Arial"/>
          <w:sz w:val="20"/>
          <w:szCs w:val="20"/>
        </w:rPr>
        <w:t xml:space="preserve">, is one of the most versatile natural hydrogel systems for lymphoid tissue bioprinting. Its mechanical properties can be precisely tuned by adjusting the </w:t>
      </w:r>
      <w:proofErr w:type="spellStart"/>
      <w:r w:rsidRPr="00F73E67">
        <w:rPr>
          <w:rFonts w:ascii="Arial" w:hAnsi="Arial" w:cs="Arial"/>
          <w:sz w:val="20"/>
          <w:szCs w:val="20"/>
        </w:rPr>
        <w:t>methacrylation</w:t>
      </w:r>
      <w:proofErr w:type="spellEnd"/>
      <w:r w:rsidRPr="00F73E67">
        <w:rPr>
          <w:rFonts w:ascii="Arial" w:hAnsi="Arial" w:cs="Arial"/>
          <w:sz w:val="20"/>
          <w:szCs w:val="20"/>
        </w:rPr>
        <w:t xml:space="preserve"> degree, polymer concentration, and UV exposure time, allowing elastic moduli ranging from </w:t>
      </w:r>
      <w:r w:rsidRPr="00F73E67">
        <w:rPr>
          <w:rFonts w:ascii="Arial" w:hAnsi="Arial" w:cs="Arial"/>
          <w:b/>
          <w:bCs/>
          <w:sz w:val="20"/>
          <w:szCs w:val="20"/>
        </w:rPr>
        <w:t>0.2–2 kPa</w:t>
      </w:r>
      <w:r w:rsidRPr="00F73E67">
        <w:rPr>
          <w:rFonts w:ascii="Arial" w:hAnsi="Arial" w:cs="Arial"/>
          <w:sz w:val="20"/>
          <w:szCs w:val="20"/>
        </w:rPr>
        <w:t xml:space="preserve">, which closely approximate the softness of lymphoid organs. </w:t>
      </w:r>
      <w:proofErr w:type="spellStart"/>
      <w:r w:rsidRPr="00F73E67">
        <w:rPr>
          <w:rFonts w:ascii="Arial" w:hAnsi="Arial" w:cs="Arial"/>
          <w:sz w:val="20"/>
          <w:szCs w:val="20"/>
        </w:rPr>
        <w:t>GelMA</w:t>
      </w:r>
      <w:proofErr w:type="spellEnd"/>
      <w:r w:rsidRPr="00F73E67">
        <w:rPr>
          <w:rFonts w:ascii="Arial" w:hAnsi="Arial" w:cs="Arial"/>
          <w:sz w:val="20"/>
          <w:szCs w:val="20"/>
        </w:rPr>
        <w:t xml:space="preserve"> exhibits </w:t>
      </w:r>
      <w:r w:rsidRPr="00F73E67">
        <w:rPr>
          <w:rFonts w:ascii="Arial" w:hAnsi="Arial" w:cs="Arial"/>
          <w:b/>
          <w:bCs/>
          <w:sz w:val="20"/>
          <w:szCs w:val="20"/>
        </w:rPr>
        <w:t>shear-thinning</w:t>
      </w:r>
      <w:r w:rsidRPr="00F73E67">
        <w:rPr>
          <w:rFonts w:ascii="Arial" w:hAnsi="Arial" w:cs="Arial"/>
          <w:sz w:val="20"/>
          <w:szCs w:val="20"/>
        </w:rPr>
        <w:t xml:space="preserve"> and </w:t>
      </w:r>
      <w:r w:rsidRPr="00F73E67">
        <w:rPr>
          <w:rFonts w:ascii="Arial" w:hAnsi="Arial" w:cs="Arial"/>
          <w:b/>
          <w:bCs/>
          <w:sz w:val="20"/>
          <w:szCs w:val="20"/>
        </w:rPr>
        <w:t>rapid structural recovery</w:t>
      </w:r>
      <w:r w:rsidRPr="00F73E67">
        <w:rPr>
          <w:rFonts w:ascii="Arial" w:hAnsi="Arial" w:cs="Arial"/>
          <w:sz w:val="20"/>
          <w:szCs w:val="20"/>
        </w:rPr>
        <w:t xml:space="preserve">, making it ideal for extrusion-based printing involving sensitive immune cells. Multiple studies have consistently demonstrated </w:t>
      </w:r>
      <w:r w:rsidRPr="00F73E67">
        <w:rPr>
          <w:rFonts w:ascii="Arial" w:hAnsi="Arial" w:cs="Arial"/>
          <w:b/>
          <w:bCs/>
          <w:sz w:val="20"/>
          <w:szCs w:val="20"/>
        </w:rPr>
        <w:t>85–92% post-printing viability</w:t>
      </w:r>
      <w:r w:rsidRPr="00F73E67">
        <w:rPr>
          <w:rFonts w:ascii="Arial" w:hAnsi="Arial" w:cs="Arial"/>
          <w:sz w:val="20"/>
          <w:szCs w:val="20"/>
        </w:rPr>
        <w:t xml:space="preserve"> of T cells, dendritic cells, and stromal cells encapsulated in </w:t>
      </w:r>
      <w:proofErr w:type="spellStart"/>
      <w:r w:rsidRPr="00F73E67">
        <w:rPr>
          <w:rFonts w:ascii="Arial" w:hAnsi="Arial" w:cs="Arial"/>
          <w:sz w:val="20"/>
          <w:szCs w:val="20"/>
        </w:rPr>
        <w:t>GelMA</w:t>
      </w:r>
      <w:proofErr w:type="spellEnd"/>
      <w:r w:rsidRPr="00F73E67">
        <w:rPr>
          <w:rFonts w:ascii="Arial" w:hAnsi="Arial" w:cs="Arial"/>
          <w:sz w:val="20"/>
          <w:szCs w:val="20"/>
        </w:rPr>
        <w:t xml:space="preserve"> constructs (</w:t>
      </w:r>
      <w:proofErr w:type="spellStart"/>
      <w:r w:rsidRPr="00F73E67">
        <w:rPr>
          <w:rFonts w:ascii="Arial" w:hAnsi="Arial" w:cs="Arial"/>
          <w:sz w:val="20"/>
          <w:szCs w:val="20"/>
        </w:rPr>
        <w:t>Caliari</w:t>
      </w:r>
      <w:proofErr w:type="spellEnd"/>
      <w:r w:rsidRPr="00F73E67">
        <w:rPr>
          <w:rFonts w:ascii="Arial" w:hAnsi="Arial" w:cs="Arial"/>
          <w:sz w:val="20"/>
          <w:szCs w:val="20"/>
        </w:rPr>
        <w:t xml:space="preserve"> &amp; Burdick, 2016; Zhang et al., 2021).</w:t>
      </w:r>
    </w:p>
    <w:p w14:paraId="62CEDCAA" w14:textId="77777777" w:rsidR="00F73E67" w:rsidRPr="00F73E67" w:rsidRDefault="00F73E67" w:rsidP="00F73E67">
      <w:pPr>
        <w:spacing w:line="360" w:lineRule="auto"/>
        <w:jc w:val="both"/>
        <w:rPr>
          <w:rFonts w:ascii="Arial" w:hAnsi="Arial" w:cs="Arial"/>
          <w:b/>
          <w:bCs/>
          <w:sz w:val="20"/>
          <w:szCs w:val="20"/>
        </w:rPr>
      </w:pPr>
      <w:r w:rsidRPr="00F73E67">
        <w:rPr>
          <w:rFonts w:ascii="Arial" w:hAnsi="Arial" w:cs="Arial"/>
          <w:b/>
          <w:bCs/>
          <w:sz w:val="20"/>
          <w:szCs w:val="20"/>
        </w:rPr>
        <w:t>2.1.3 Alginate and Hyaluronic Acid-Based Systems</w:t>
      </w:r>
    </w:p>
    <w:p w14:paraId="357A3D37" w14:textId="67A5D2F3" w:rsidR="00F73E67" w:rsidRPr="00F73E67" w:rsidRDefault="00F73E67" w:rsidP="00F73E67">
      <w:pPr>
        <w:spacing w:line="360" w:lineRule="auto"/>
        <w:jc w:val="both"/>
        <w:rPr>
          <w:rFonts w:ascii="Arial" w:hAnsi="Arial" w:cs="Arial"/>
          <w:sz w:val="20"/>
          <w:szCs w:val="20"/>
        </w:rPr>
      </w:pPr>
      <w:r w:rsidRPr="00F73E67">
        <w:rPr>
          <w:rFonts w:ascii="Arial" w:hAnsi="Arial" w:cs="Arial"/>
          <w:sz w:val="20"/>
          <w:szCs w:val="20"/>
        </w:rPr>
        <w:t xml:space="preserve">Alginate is an ionically crosslinking polysaccharide frequently blended with </w:t>
      </w:r>
      <w:proofErr w:type="spellStart"/>
      <w:r w:rsidRPr="00F73E67">
        <w:rPr>
          <w:rFonts w:ascii="Arial" w:hAnsi="Arial" w:cs="Arial"/>
          <w:sz w:val="20"/>
          <w:szCs w:val="20"/>
        </w:rPr>
        <w:t>gelatin</w:t>
      </w:r>
      <w:proofErr w:type="spellEnd"/>
      <w:r w:rsidRPr="00F73E67">
        <w:rPr>
          <w:rFonts w:ascii="Arial" w:hAnsi="Arial" w:cs="Arial"/>
          <w:sz w:val="20"/>
          <w:szCs w:val="20"/>
        </w:rPr>
        <w:t xml:space="preserve"> or fibrin to improve cellular adhesion while retaining favourable rheological properties. Its rapid gelation and printability have enabled the fabrication of lymphoid-mimetic scaffolds capable of supporting chemokine-driven immune cell migration. Hyaluronic acid, the principal glycosaminoglycan present in lymphoid and connective tissues, is essential for hydration, cell motility, and immune cell trafficking. HA-based and HA-composite bioinks have been shown to enhance stromal–immune cell interactions and facilitate migratory behaviour typical of lymph node microenvironments (Highley et al., 2016; Loebel et al., 2019; Hou et al., 2023).</w:t>
      </w:r>
    </w:p>
    <w:p w14:paraId="3D1E3AC1" w14:textId="2C7AF1B4" w:rsidR="00F349AA" w:rsidRPr="00D26C01" w:rsidRDefault="00A30824" w:rsidP="004A78AC">
      <w:pPr>
        <w:spacing w:line="360" w:lineRule="auto"/>
        <w:jc w:val="both"/>
        <w:rPr>
          <w:rFonts w:ascii="Arial" w:hAnsi="Arial" w:cs="Arial"/>
          <w:b/>
          <w:bCs/>
          <w:sz w:val="20"/>
          <w:szCs w:val="20"/>
        </w:rPr>
      </w:pPr>
      <w:r>
        <w:rPr>
          <w:rFonts w:ascii="Arial" w:hAnsi="Arial" w:cs="Arial"/>
          <w:b/>
          <w:bCs/>
          <w:sz w:val="20"/>
          <w:szCs w:val="20"/>
        </w:rPr>
        <w:t>2</w:t>
      </w:r>
      <w:r w:rsidR="00F349AA" w:rsidRPr="00D26C01">
        <w:rPr>
          <w:rFonts w:ascii="Arial" w:hAnsi="Arial" w:cs="Arial"/>
          <w:b/>
          <w:bCs/>
          <w:sz w:val="20"/>
          <w:szCs w:val="20"/>
        </w:rPr>
        <w:t>.2 Decellularized Extracellular Matrix Bioinks</w:t>
      </w:r>
    </w:p>
    <w:p w14:paraId="7B8FCDBC" w14:textId="77777777" w:rsidR="00B84C38" w:rsidRPr="00B84C38" w:rsidRDefault="00B84C38" w:rsidP="00B84C38">
      <w:pPr>
        <w:spacing w:line="360" w:lineRule="auto"/>
        <w:jc w:val="both"/>
        <w:rPr>
          <w:rFonts w:ascii="Arial" w:hAnsi="Arial" w:cs="Arial"/>
          <w:sz w:val="20"/>
          <w:szCs w:val="20"/>
        </w:rPr>
      </w:pPr>
      <w:r w:rsidRPr="00B84C38">
        <w:rPr>
          <w:rFonts w:ascii="Arial" w:hAnsi="Arial" w:cs="Arial"/>
          <w:sz w:val="20"/>
          <w:szCs w:val="20"/>
        </w:rPr>
        <w:t>Decellularized extracellular matrix (</w:t>
      </w:r>
      <w:proofErr w:type="spellStart"/>
      <w:r w:rsidRPr="00B84C38">
        <w:rPr>
          <w:rFonts w:ascii="Arial" w:hAnsi="Arial" w:cs="Arial"/>
          <w:sz w:val="20"/>
          <w:szCs w:val="20"/>
        </w:rPr>
        <w:t>dECM</w:t>
      </w:r>
      <w:proofErr w:type="spellEnd"/>
      <w:r w:rsidRPr="00B84C38">
        <w:rPr>
          <w:rFonts w:ascii="Arial" w:hAnsi="Arial" w:cs="Arial"/>
          <w:sz w:val="20"/>
          <w:szCs w:val="20"/>
        </w:rPr>
        <w:t xml:space="preserve">) </w:t>
      </w:r>
      <w:proofErr w:type="spellStart"/>
      <w:r w:rsidRPr="00B84C38">
        <w:rPr>
          <w:rFonts w:ascii="Arial" w:hAnsi="Arial" w:cs="Arial"/>
          <w:sz w:val="20"/>
          <w:szCs w:val="20"/>
        </w:rPr>
        <w:t>bioinks</w:t>
      </w:r>
      <w:proofErr w:type="spellEnd"/>
      <w:r w:rsidRPr="00B84C38">
        <w:rPr>
          <w:rFonts w:ascii="Arial" w:hAnsi="Arial" w:cs="Arial"/>
          <w:sz w:val="20"/>
          <w:szCs w:val="20"/>
        </w:rPr>
        <w:t xml:space="preserve"> have emerged as one of the most biomimetic platforms in lymphoid tissue engineering because they retain the native biochemical complexity of the target tissue. Through controlled decellularization, tissue sources are stripped of immunogenic cellular components while preserving structural proteins such as </w:t>
      </w:r>
      <w:r w:rsidRPr="00B84C38">
        <w:rPr>
          <w:rFonts w:ascii="Arial" w:hAnsi="Arial" w:cs="Arial"/>
          <w:b/>
          <w:bCs/>
          <w:sz w:val="20"/>
          <w:szCs w:val="20"/>
        </w:rPr>
        <w:t>collagens, elastin</w:t>
      </w:r>
      <w:r w:rsidRPr="00B84C38">
        <w:rPr>
          <w:rFonts w:ascii="Arial" w:hAnsi="Arial" w:cs="Arial"/>
          <w:sz w:val="20"/>
          <w:szCs w:val="20"/>
        </w:rPr>
        <w:t xml:space="preserve">, and </w:t>
      </w:r>
      <w:r w:rsidRPr="00B84C38">
        <w:rPr>
          <w:rFonts w:ascii="Arial" w:hAnsi="Arial" w:cs="Arial"/>
          <w:b/>
          <w:bCs/>
          <w:sz w:val="20"/>
          <w:szCs w:val="20"/>
        </w:rPr>
        <w:t>laminins</w:t>
      </w:r>
      <w:r w:rsidRPr="00B84C38">
        <w:rPr>
          <w:rFonts w:ascii="Arial" w:hAnsi="Arial" w:cs="Arial"/>
          <w:sz w:val="20"/>
          <w:szCs w:val="20"/>
        </w:rPr>
        <w:t>, along with glycosaminoglycans and endogenous growth factors. This unique molecular composition offers signalling cues that cannot be replicated using single-component hydrogels or synthetic polymers (Pati et al., 2014).</w:t>
      </w:r>
    </w:p>
    <w:p w14:paraId="56D49F6E" w14:textId="6407117E" w:rsidR="00B84C38" w:rsidRPr="00B84C38" w:rsidRDefault="00B84C38" w:rsidP="00B84C38">
      <w:pPr>
        <w:spacing w:line="360" w:lineRule="auto"/>
        <w:jc w:val="both"/>
        <w:rPr>
          <w:rFonts w:ascii="Arial" w:hAnsi="Arial" w:cs="Arial"/>
          <w:sz w:val="20"/>
          <w:szCs w:val="20"/>
        </w:rPr>
      </w:pPr>
      <w:r w:rsidRPr="00B84C38">
        <w:rPr>
          <w:rFonts w:ascii="Arial" w:hAnsi="Arial" w:cs="Arial"/>
          <w:sz w:val="20"/>
          <w:szCs w:val="20"/>
        </w:rPr>
        <w:t xml:space="preserve">In recent years, lymphoid-derived </w:t>
      </w:r>
      <w:proofErr w:type="spellStart"/>
      <w:r w:rsidRPr="00B84C38">
        <w:rPr>
          <w:rFonts w:ascii="Arial" w:hAnsi="Arial" w:cs="Arial"/>
          <w:sz w:val="20"/>
          <w:szCs w:val="20"/>
        </w:rPr>
        <w:t>dECM</w:t>
      </w:r>
      <w:proofErr w:type="spellEnd"/>
      <w:r w:rsidRPr="00B84C38">
        <w:rPr>
          <w:rFonts w:ascii="Arial" w:hAnsi="Arial" w:cs="Arial"/>
          <w:sz w:val="20"/>
          <w:szCs w:val="20"/>
        </w:rPr>
        <w:t xml:space="preserve"> </w:t>
      </w:r>
      <w:proofErr w:type="spellStart"/>
      <w:r w:rsidRPr="00B84C38">
        <w:rPr>
          <w:rFonts w:ascii="Arial" w:hAnsi="Arial" w:cs="Arial"/>
          <w:sz w:val="20"/>
          <w:szCs w:val="20"/>
        </w:rPr>
        <w:t>bioinks</w:t>
      </w:r>
      <w:proofErr w:type="spellEnd"/>
      <w:r w:rsidRPr="00B84C38">
        <w:rPr>
          <w:rFonts w:ascii="Arial" w:hAnsi="Arial" w:cs="Arial"/>
          <w:sz w:val="20"/>
          <w:szCs w:val="20"/>
        </w:rPr>
        <w:t xml:space="preserve">—including those sourced from spleen and lymph node tissues—have demonstrated enhanced bioactivity, particularly in supporting stromal cell organization and promoting immune cell survival and migration. For example, </w:t>
      </w:r>
      <w:r w:rsidRPr="00B84C38">
        <w:rPr>
          <w:rFonts w:ascii="Arial" w:hAnsi="Arial" w:cs="Arial"/>
          <w:b/>
          <w:bCs/>
          <w:sz w:val="20"/>
          <w:szCs w:val="20"/>
        </w:rPr>
        <w:t xml:space="preserve">spleen-derived </w:t>
      </w:r>
      <w:proofErr w:type="spellStart"/>
      <w:r w:rsidRPr="00B84C38">
        <w:rPr>
          <w:rFonts w:ascii="Arial" w:hAnsi="Arial" w:cs="Arial"/>
          <w:b/>
          <w:bCs/>
          <w:sz w:val="20"/>
          <w:szCs w:val="20"/>
        </w:rPr>
        <w:t>dECM</w:t>
      </w:r>
      <w:proofErr w:type="spellEnd"/>
      <w:r w:rsidRPr="00B84C38">
        <w:rPr>
          <w:rFonts w:ascii="Arial" w:hAnsi="Arial" w:cs="Arial"/>
          <w:b/>
          <w:bCs/>
          <w:sz w:val="20"/>
          <w:szCs w:val="20"/>
        </w:rPr>
        <w:t xml:space="preserve"> hydrogels have been shown to upregulate T-cell activation markers</w:t>
      </w:r>
      <w:r w:rsidRPr="00B84C38">
        <w:rPr>
          <w:rFonts w:ascii="Arial" w:hAnsi="Arial" w:cs="Arial"/>
          <w:sz w:val="20"/>
          <w:szCs w:val="20"/>
        </w:rPr>
        <w:t xml:space="preserve"> in comparison with collagen-only matrices, indicating improved immunomodulatory potential. However, despite their biological richness, </w:t>
      </w:r>
      <w:proofErr w:type="spellStart"/>
      <w:r w:rsidRPr="00B84C38">
        <w:rPr>
          <w:rFonts w:ascii="Arial" w:hAnsi="Arial" w:cs="Arial"/>
          <w:sz w:val="20"/>
          <w:szCs w:val="20"/>
        </w:rPr>
        <w:t>dECM</w:t>
      </w:r>
      <w:proofErr w:type="spellEnd"/>
      <w:r w:rsidRPr="00B84C38">
        <w:rPr>
          <w:rFonts w:ascii="Arial" w:hAnsi="Arial" w:cs="Arial"/>
          <w:sz w:val="20"/>
          <w:szCs w:val="20"/>
        </w:rPr>
        <w:t xml:space="preserve"> materials typically exhibit </w:t>
      </w:r>
      <w:r w:rsidRPr="00B84C38">
        <w:rPr>
          <w:rFonts w:ascii="Arial" w:hAnsi="Arial" w:cs="Arial"/>
          <w:b/>
          <w:bCs/>
          <w:sz w:val="20"/>
          <w:szCs w:val="20"/>
        </w:rPr>
        <w:t>weak mechanical strength</w:t>
      </w:r>
      <w:r w:rsidRPr="00B84C38">
        <w:rPr>
          <w:rFonts w:ascii="Arial" w:hAnsi="Arial" w:cs="Arial"/>
          <w:sz w:val="20"/>
          <w:szCs w:val="20"/>
        </w:rPr>
        <w:t xml:space="preserve">, </w:t>
      </w:r>
      <w:r w:rsidRPr="00B84C38">
        <w:rPr>
          <w:rFonts w:ascii="Arial" w:hAnsi="Arial" w:cs="Arial"/>
          <w:b/>
          <w:bCs/>
          <w:sz w:val="20"/>
          <w:szCs w:val="20"/>
        </w:rPr>
        <w:t>slow gelation</w:t>
      </w:r>
      <w:r w:rsidRPr="00B84C38">
        <w:rPr>
          <w:rFonts w:ascii="Arial" w:hAnsi="Arial" w:cs="Arial"/>
          <w:sz w:val="20"/>
          <w:szCs w:val="20"/>
        </w:rPr>
        <w:t xml:space="preserve">, and </w:t>
      </w:r>
      <w:r w:rsidRPr="00B84C38">
        <w:rPr>
          <w:rFonts w:ascii="Arial" w:hAnsi="Arial" w:cs="Arial"/>
          <w:b/>
          <w:bCs/>
          <w:sz w:val="20"/>
          <w:szCs w:val="20"/>
        </w:rPr>
        <w:t xml:space="preserve">complex rheological </w:t>
      </w:r>
      <w:proofErr w:type="spellStart"/>
      <w:r w:rsidRPr="00B84C38">
        <w:rPr>
          <w:rFonts w:ascii="Arial" w:hAnsi="Arial" w:cs="Arial"/>
          <w:b/>
          <w:bCs/>
          <w:sz w:val="20"/>
          <w:szCs w:val="20"/>
        </w:rPr>
        <w:t>behavior</w:t>
      </w:r>
      <w:proofErr w:type="spellEnd"/>
      <w:r w:rsidRPr="00B84C38">
        <w:rPr>
          <w:rFonts w:ascii="Arial" w:hAnsi="Arial" w:cs="Arial"/>
          <w:sz w:val="20"/>
          <w:szCs w:val="20"/>
        </w:rPr>
        <w:t>, all of which reduce print fidelity and limit their use in high-resolution bioprinting</w:t>
      </w:r>
      <w:r w:rsidR="00CD6CE6">
        <w:rPr>
          <w:rFonts w:ascii="Arial" w:hAnsi="Arial" w:cs="Arial"/>
          <w:sz w:val="20"/>
          <w:szCs w:val="20"/>
        </w:rPr>
        <w:t xml:space="preserve"> </w:t>
      </w:r>
      <w:r w:rsidR="00CD6CE6" w:rsidRPr="00CD6CE6">
        <w:rPr>
          <w:rFonts w:ascii="Arial" w:hAnsi="Arial" w:cs="Arial"/>
          <w:sz w:val="20"/>
          <w:szCs w:val="20"/>
        </w:rPr>
        <w:t>(Kasravi et al., 2023)</w:t>
      </w:r>
      <w:r w:rsidRPr="00B84C38">
        <w:rPr>
          <w:rFonts w:ascii="Arial" w:hAnsi="Arial" w:cs="Arial"/>
          <w:sz w:val="20"/>
          <w:szCs w:val="20"/>
        </w:rPr>
        <w:t>.</w:t>
      </w:r>
    </w:p>
    <w:p w14:paraId="35F51BCC" w14:textId="77777777" w:rsidR="00B84C38" w:rsidRPr="00B84C38" w:rsidRDefault="00B84C38" w:rsidP="00B84C38">
      <w:pPr>
        <w:spacing w:line="360" w:lineRule="auto"/>
        <w:jc w:val="both"/>
        <w:rPr>
          <w:rFonts w:ascii="Arial" w:hAnsi="Arial" w:cs="Arial"/>
          <w:sz w:val="20"/>
          <w:szCs w:val="20"/>
        </w:rPr>
      </w:pPr>
      <w:r w:rsidRPr="00B84C38">
        <w:rPr>
          <w:rFonts w:ascii="Arial" w:hAnsi="Arial" w:cs="Arial"/>
          <w:sz w:val="20"/>
          <w:szCs w:val="20"/>
        </w:rPr>
        <w:lastRenderedPageBreak/>
        <w:t xml:space="preserve">To overcome these issues, composite formulations have been introduced in which </w:t>
      </w:r>
      <w:proofErr w:type="spellStart"/>
      <w:r w:rsidRPr="00B84C38">
        <w:rPr>
          <w:rFonts w:ascii="Arial" w:hAnsi="Arial" w:cs="Arial"/>
          <w:sz w:val="20"/>
          <w:szCs w:val="20"/>
        </w:rPr>
        <w:t>dECM</w:t>
      </w:r>
      <w:proofErr w:type="spellEnd"/>
      <w:r w:rsidRPr="00B84C38">
        <w:rPr>
          <w:rFonts w:ascii="Arial" w:hAnsi="Arial" w:cs="Arial"/>
          <w:sz w:val="20"/>
          <w:szCs w:val="20"/>
        </w:rPr>
        <w:t xml:space="preserve"> is blended with structurally reinforcing biomaterials such as </w:t>
      </w:r>
      <w:r w:rsidRPr="00B84C38">
        <w:rPr>
          <w:rFonts w:ascii="Arial" w:hAnsi="Arial" w:cs="Arial"/>
          <w:b/>
          <w:bCs/>
          <w:sz w:val="20"/>
          <w:szCs w:val="20"/>
        </w:rPr>
        <w:t>alginate</w:t>
      </w:r>
      <w:r w:rsidRPr="00B84C38">
        <w:rPr>
          <w:rFonts w:ascii="Arial" w:hAnsi="Arial" w:cs="Arial"/>
          <w:sz w:val="20"/>
          <w:szCs w:val="20"/>
        </w:rPr>
        <w:t xml:space="preserve">, </w:t>
      </w:r>
      <w:proofErr w:type="spellStart"/>
      <w:r w:rsidRPr="00B84C38">
        <w:rPr>
          <w:rFonts w:ascii="Arial" w:hAnsi="Arial" w:cs="Arial"/>
          <w:b/>
          <w:bCs/>
          <w:sz w:val="20"/>
          <w:szCs w:val="20"/>
        </w:rPr>
        <w:t>gelatin</w:t>
      </w:r>
      <w:proofErr w:type="spellEnd"/>
      <w:r w:rsidRPr="00B84C38">
        <w:rPr>
          <w:rFonts w:ascii="Arial" w:hAnsi="Arial" w:cs="Arial"/>
          <w:sz w:val="20"/>
          <w:szCs w:val="20"/>
        </w:rPr>
        <w:t xml:space="preserve">, or </w:t>
      </w:r>
      <w:r w:rsidRPr="00B84C38">
        <w:rPr>
          <w:rFonts w:ascii="Arial" w:hAnsi="Arial" w:cs="Arial"/>
          <w:b/>
          <w:bCs/>
          <w:sz w:val="20"/>
          <w:szCs w:val="20"/>
        </w:rPr>
        <w:t>polyethylene glycol (PEG)</w:t>
      </w:r>
      <w:r w:rsidRPr="00B84C38">
        <w:rPr>
          <w:rFonts w:ascii="Arial" w:hAnsi="Arial" w:cs="Arial"/>
          <w:sz w:val="20"/>
          <w:szCs w:val="20"/>
        </w:rPr>
        <w:t xml:space="preserve">. These hybrid systems preserve </w:t>
      </w:r>
      <w:proofErr w:type="spellStart"/>
      <w:r w:rsidRPr="00B84C38">
        <w:rPr>
          <w:rFonts w:ascii="Arial" w:hAnsi="Arial" w:cs="Arial"/>
          <w:sz w:val="20"/>
          <w:szCs w:val="20"/>
        </w:rPr>
        <w:t>dECM</w:t>
      </w:r>
      <w:proofErr w:type="spellEnd"/>
      <w:r w:rsidRPr="00B84C38">
        <w:rPr>
          <w:rFonts w:ascii="Arial" w:hAnsi="Arial" w:cs="Arial"/>
          <w:sz w:val="20"/>
          <w:szCs w:val="20"/>
        </w:rPr>
        <w:t xml:space="preserve">-derived biochemical signalling while providing more predictable viscoelastic properties. Combined formulations have achieved </w:t>
      </w:r>
      <w:r w:rsidRPr="00B84C38">
        <w:rPr>
          <w:rFonts w:ascii="Arial" w:hAnsi="Arial" w:cs="Arial"/>
          <w:b/>
          <w:bCs/>
          <w:sz w:val="20"/>
          <w:szCs w:val="20"/>
        </w:rPr>
        <w:t>print fidelities of 88–95%</w:t>
      </w:r>
      <w:r w:rsidRPr="00B84C38">
        <w:rPr>
          <w:rFonts w:ascii="Arial" w:hAnsi="Arial" w:cs="Arial"/>
          <w:sz w:val="20"/>
          <w:szCs w:val="20"/>
        </w:rPr>
        <w:t>, enabling the fabrication of stable constructs with improved layer stacking and shape retention suitable for lymphoid tissue engineering applications (Jang et al., 2021; Serra et al., 2022).</w:t>
      </w:r>
    </w:p>
    <w:p w14:paraId="7B2BE00A" w14:textId="26DE6037"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2</w:t>
      </w:r>
      <w:r w:rsidR="00F349AA" w:rsidRPr="00D26C01">
        <w:rPr>
          <w:rFonts w:ascii="Arial" w:hAnsi="Arial" w:cs="Arial"/>
          <w:b/>
          <w:bCs/>
          <w:sz w:val="20"/>
          <w:szCs w:val="20"/>
        </w:rPr>
        <w:t>.3 Synthetic and Composite Bioinks</w:t>
      </w:r>
    </w:p>
    <w:p w14:paraId="07CD7149" w14:textId="77777777" w:rsidR="00BB665B" w:rsidRPr="00BB665B" w:rsidRDefault="00BB665B" w:rsidP="00BB665B">
      <w:pPr>
        <w:spacing w:line="360" w:lineRule="auto"/>
        <w:jc w:val="both"/>
        <w:rPr>
          <w:rFonts w:ascii="Arial" w:hAnsi="Arial" w:cs="Arial"/>
          <w:sz w:val="20"/>
          <w:szCs w:val="20"/>
        </w:rPr>
      </w:pPr>
      <w:r w:rsidRPr="00BB665B">
        <w:rPr>
          <w:rFonts w:ascii="Arial" w:hAnsi="Arial" w:cs="Arial"/>
          <w:sz w:val="20"/>
          <w:szCs w:val="20"/>
        </w:rPr>
        <w:t xml:space="preserve">Synthetic polymers have become indispensable in advanced lymphoid tissue engineering because they offer precise control over </w:t>
      </w:r>
      <w:r w:rsidRPr="00BB665B">
        <w:rPr>
          <w:rFonts w:ascii="Arial" w:hAnsi="Arial" w:cs="Arial"/>
          <w:b/>
          <w:bCs/>
          <w:sz w:val="20"/>
          <w:szCs w:val="20"/>
        </w:rPr>
        <w:t>mechanical strength</w:t>
      </w:r>
      <w:r w:rsidRPr="00BB665B">
        <w:rPr>
          <w:rFonts w:ascii="Arial" w:hAnsi="Arial" w:cs="Arial"/>
          <w:sz w:val="20"/>
          <w:szCs w:val="20"/>
        </w:rPr>
        <w:t xml:space="preserve">, </w:t>
      </w:r>
      <w:r w:rsidRPr="00BB665B">
        <w:rPr>
          <w:rFonts w:ascii="Arial" w:hAnsi="Arial" w:cs="Arial"/>
          <w:b/>
          <w:bCs/>
          <w:sz w:val="20"/>
          <w:szCs w:val="20"/>
        </w:rPr>
        <w:t>degradation kinetics</w:t>
      </w:r>
      <w:r w:rsidRPr="00BB665B">
        <w:rPr>
          <w:rFonts w:ascii="Arial" w:hAnsi="Arial" w:cs="Arial"/>
          <w:sz w:val="20"/>
          <w:szCs w:val="20"/>
        </w:rPr>
        <w:t xml:space="preserve">, and </w:t>
      </w:r>
      <w:r w:rsidRPr="00BB665B">
        <w:rPr>
          <w:rFonts w:ascii="Arial" w:hAnsi="Arial" w:cs="Arial"/>
          <w:b/>
          <w:bCs/>
          <w:sz w:val="20"/>
          <w:szCs w:val="20"/>
        </w:rPr>
        <w:t>batch-to-batch reproducibility</w:t>
      </w:r>
      <w:r w:rsidRPr="00BB665B">
        <w:rPr>
          <w:rFonts w:ascii="Arial" w:hAnsi="Arial" w:cs="Arial"/>
          <w:sz w:val="20"/>
          <w:szCs w:val="20"/>
        </w:rPr>
        <w:t xml:space="preserve">—features that are often difficult to achieve using natural hydrogels alone. Among these, </w:t>
      </w:r>
      <w:r w:rsidRPr="00BB665B">
        <w:rPr>
          <w:rFonts w:ascii="Arial" w:hAnsi="Arial" w:cs="Arial"/>
          <w:b/>
          <w:bCs/>
          <w:sz w:val="20"/>
          <w:szCs w:val="20"/>
        </w:rPr>
        <w:t>polyethylene glycol (PEG)</w:t>
      </w:r>
      <w:r w:rsidRPr="00BB665B">
        <w:rPr>
          <w:rFonts w:ascii="Arial" w:hAnsi="Arial" w:cs="Arial"/>
          <w:sz w:val="20"/>
          <w:szCs w:val="20"/>
        </w:rPr>
        <w:t xml:space="preserve">-based hydrogels are particularly valued as they provide a chemically defined and biologically inert framework. This “blank-slate” matrix can be readily functionalized with bioactive peptides—such as </w:t>
      </w:r>
      <w:r w:rsidRPr="00BB665B">
        <w:rPr>
          <w:rFonts w:ascii="Arial" w:hAnsi="Arial" w:cs="Arial"/>
          <w:b/>
          <w:bCs/>
          <w:sz w:val="20"/>
          <w:szCs w:val="20"/>
        </w:rPr>
        <w:t>arginine–glycine–aspartic acid (Arg-Gly-Asp; RGD)</w:t>
      </w:r>
      <w:r w:rsidRPr="00BB665B">
        <w:rPr>
          <w:rFonts w:ascii="Arial" w:hAnsi="Arial" w:cs="Arial"/>
          <w:sz w:val="20"/>
          <w:szCs w:val="20"/>
        </w:rPr>
        <w:t>—or enzymatically cleavable motifs to direct immune cell adhesion, migration, and matrix remodelling with high specificity (</w:t>
      </w:r>
      <w:proofErr w:type="spellStart"/>
      <w:r w:rsidRPr="00BB665B">
        <w:rPr>
          <w:rFonts w:ascii="Arial" w:hAnsi="Arial" w:cs="Arial"/>
          <w:sz w:val="20"/>
          <w:szCs w:val="20"/>
        </w:rPr>
        <w:t>Kharkar</w:t>
      </w:r>
      <w:proofErr w:type="spellEnd"/>
      <w:r w:rsidRPr="00BB665B">
        <w:rPr>
          <w:rFonts w:ascii="Arial" w:hAnsi="Arial" w:cs="Arial"/>
          <w:sz w:val="20"/>
          <w:szCs w:val="20"/>
        </w:rPr>
        <w:t xml:space="preserve"> et al., 2016; Zhu et al., 2021).</w:t>
      </w:r>
    </w:p>
    <w:p w14:paraId="6F7FAFCB" w14:textId="6C5D6647" w:rsidR="00BB665B" w:rsidRPr="00BB665B" w:rsidRDefault="00BB665B" w:rsidP="00BB665B">
      <w:pPr>
        <w:spacing w:line="360" w:lineRule="auto"/>
        <w:jc w:val="both"/>
        <w:rPr>
          <w:rFonts w:ascii="Arial" w:hAnsi="Arial" w:cs="Arial"/>
          <w:sz w:val="20"/>
          <w:szCs w:val="20"/>
        </w:rPr>
      </w:pPr>
      <w:r w:rsidRPr="00BB665B">
        <w:rPr>
          <w:rFonts w:ascii="Arial" w:hAnsi="Arial" w:cs="Arial"/>
          <w:sz w:val="20"/>
          <w:szCs w:val="20"/>
        </w:rPr>
        <w:t xml:space="preserve">Composite bioinks incorporating both synthetic and natural components are rapidly becoming dominant due to their ability to balance printability with biological functionality. A well-studied example is the </w:t>
      </w:r>
      <w:r w:rsidRPr="00BB665B">
        <w:rPr>
          <w:rFonts w:ascii="Arial" w:hAnsi="Arial" w:cs="Arial"/>
          <w:b/>
          <w:bCs/>
          <w:sz w:val="20"/>
          <w:szCs w:val="20"/>
        </w:rPr>
        <w:t>PEG–</w:t>
      </w:r>
      <w:r>
        <w:rPr>
          <w:rFonts w:ascii="Arial" w:hAnsi="Arial" w:cs="Arial"/>
          <w:b/>
          <w:bCs/>
          <w:sz w:val="20"/>
          <w:szCs w:val="20"/>
        </w:rPr>
        <w:t>PEG-fibrinogen</w:t>
      </w:r>
      <w:r w:rsidRPr="00BB665B">
        <w:rPr>
          <w:rFonts w:ascii="Arial" w:hAnsi="Arial" w:cs="Arial"/>
          <w:b/>
          <w:bCs/>
          <w:sz w:val="20"/>
          <w:szCs w:val="20"/>
        </w:rPr>
        <w:t xml:space="preserve"> composite</w:t>
      </w:r>
      <w:r w:rsidRPr="00BB665B">
        <w:rPr>
          <w:rFonts w:ascii="Arial" w:hAnsi="Arial" w:cs="Arial"/>
          <w:sz w:val="20"/>
          <w:szCs w:val="20"/>
        </w:rPr>
        <w:t xml:space="preserve">, in which the mechanical stability of PEG is combined with the inherent bioactivity of fibrinogen. These hybrid matrices support </w:t>
      </w:r>
      <w:r w:rsidRPr="00BB665B">
        <w:rPr>
          <w:rFonts w:ascii="Arial" w:hAnsi="Arial" w:cs="Arial"/>
          <w:b/>
          <w:bCs/>
          <w:sz w:val="20"/>
          <w:szCs w:val="20"/>
        </w:rPr>
        <w:t>cell viabilities exceeding 85%</w:t>
      </w:r>
      <w:r w:rsidRPr="00BB665B">
        <w:rPr>
          <w:rFonts w:ascii="Arial" w:hAnsi="Arial" w:cs="Arial"/>
          <w:sz w:val="20"/>
          <w:szCs w:val="20"/>
        </w:rPr>
        <w:t xml:space="preserve"> and allow the fabrication of complex, self-supporting architectures with high fidelity (Noh et al., 2019; Chimene et al., 2020). By integrating defined synthetic backbones with ECM-derived biochemical signals, composite bioinks provide the dual advantages of </w:t>
      </w:r>
      <w:r w:rsidRPr="00BB665B">
        <w:rPr>
          <w:rFonts w:ascii="Arial" w:hAnsi="Arial" w:cs="Arial"/>
          <w:b/>
          <w:bCs/>
          <w:sz w:val="20"/>
          <w:szCs w:val="20"/>
        </w:rPr>
        <w:t>structural precision</w:t>
      </w:r>
      <w:r w:rsidRPr="00BB665B">
        <w:rPr>
          <w:rFonts w:ascii="Arial" w:hAnsi="Arial" w:cs="Arial"/>
          <w:sz w:val="20"/>
          <w:szCs w:val="20"/>
        </w:rPr>
        <w:t xml:space="preserve"> and </w:t>
      </w:r>
      <w:r w:rsidRPr="00BB665B">
        <w:rPr>
          <w:rFonts w:ascii="Arial" w:hAnsi="Arial" w:cs="Arial"/>
          <w:b/>
          <w:bCs/>
          <w:sz w:val="20"/>
          <w:szCs w:val="20"/>
        </w:rPr>
        <w:t>enhanced immunological relevance</w:t>
      </w:r>
      <w:r w:rsidRPr="00BB665B">
        <w:rPr>
          <w:rFonts w:ascii="Arial" w:hAnsi="Arial" w:cs="Arial"/>
          <w:sz w:val="20"/>
          <w:szCs w:val="20"/>
        </w:rPr>
        <w:t>, making them highly suited for the fabrication of next-generation lymphoid tissue constructs.</w:t>
      </w:r>
    </w:p>
    <w:p w14:paraId="7891D790" w14:textId="61BC675C"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2</w:t>
      </w:r>
      <w:r w:rsidR="00F349AA" w:rsidRPr="00D26C01">
        <w:rPr>
          <w:rFonts w:ascii="Arial" w:hAnsi="Arial" w:cs="Arial"/>
          <w:b/>
          <w:bCs/>
          <w:sz w:val="20"/>
          <w:szCs w:val="20"/>
        </w:rPr>
        <w:t>.4 Advanced Functionalization Strategies</w:t>
      </w:r>
    </w:p>
    <w:p w14:paraId="76B6F09F" w14:textId="77777777" w:rsidR="00B900C2" w:rsidRPr="00B900C2" w:rsidRDefault="00B900C2" w:rsidP="00B900C2">
      <w:pPr>
        <w:spacing w:line="360" w:lineRule="auto"/>
        <w:jc w:val="both"/>
        <w:rPr>
          <w:rFonts w:ascii="Arial" w:hAnsi="Arial" w:cs="Arial"/>
          <w:sz w:val="20"/>
          <w:szCs w:val="20"/>
        </w:rPr>
      </w:pPr>
      <w:r w:rsidRPr="00B900C2">
        <w:rPr>
          <w:rFonts w:ascii="Arial" w:hAnsi="Arial" w:cs="Arial"/>
          <w:sz w:val="20"/>
          <w:szCs w:val="20"/>
        </w:rPr>
        <w:t xml:space="preserve">Advanced functionalization approaches have expanded the capacity of bioinks to instruct immune cell behaviour with high spatial and temporal precision. One emerging strategy involves the incorporation of </w:t>
      </w:r>
      <w:r w:rsidRPr="00B900C2">
        <w:rPr>
          <w:rFonts w:ascii="Arial" w:hAnsi="Arial" w:cs="Arial"/>
          <w:b/>
          <w:bCs/>
          <w:sz w:val="20"/>
          <w:szCs w:val="20"/>
        </w:rPr>
        <w:t>immobilized chemokines</w:t>
      </w:r>
      <w:r w:rsidRPr="00B900C2">
        <w:rPr>
          <w:rFonts w:ascii="Arial" w:hAnsi="Arial" w:cs="Arial"/>
          <w:sz w:val="20"/>
          <w:szCs w:val="20"/>
        </w:rPr>
        <w:t xml:space="preserve">—including </w:t>
      </w:r>
      <w:r w:rsidRPr="00B900C2">
        <w:rPr>
          <w:rFonts w:ascii="Arial" w:hAnsi="Arial" w:cs="Arial"/>
          <w:b/>
          <w:bCs/>
          <w:sz w:val="20"/>
          <w:szCs w:val="20"/>
        </w:rPr>
        <w:t>CCL19</w:t>
      </w:r>
      <w:r w:rsidRPr="00B900C2">
        <w:rPr>
          <w:rFonts w:ascii="Arial" w:hAnsi="Arial" w:cs="Arial"/>
          <w:sz w:val="20"/>
          <w:szCs w:val="20"/>
        </w:rPr>
        <w:t xml:space="preserve">, </w:t>
      </w:r>
      <w:r w:rsidRPr="00B900C2">
        <w:rPr>
          <w:rFonts w:ascii="Arial" w:hAnsi="Arial" w:cs="Arial"/>
          <w:b/>
          <w:bCs/>
          <w:sz w:val="20"/>
          <w:szCs w:val="20"/>
        </w:rPr>
        <w:t>CCL21</w:t>
      </w:r>
      <w:r w:rsidRPr="00B900C2">
        <w:rPr>
          <w:rFonts w:ascii="Arial" w:hAnsi="Arial" w:cs="Arial"/>
          <w:sz w:val="20"/>
          <w:szCs w:val="20"/>
        </w:rPr>
        <w:t xml:space="preserve">, and </w:t>
      </w:r>
      <w:r w:rsidRPr="00B900C2">
        <w:rPr>
          <w:rFonts w:ascii="Arial" w:hAnsi="Arial" w:cs="Arial"/>
          <w:b/>
          <w:bCs/>
          <w:sz w:val="20"/>
          <w:szCs w:val="20"/>
        </w:rPr>
        <w:t>CXCL13</w:t>
      </w:r>
      <w:r w:rsidRPr="00B900C2">
        <w:rPr>
          <w:rFonts w:ascii="Arial" w:hAnsi="Arial" w:cs="Arial"/>
          <w:sz w:val="20"/>
          <w:szCs w:val="20"/>
        </w:rPr>
        <w:t xml:space="preserve">—which play essential roles in guiding the migration and compartmentalization of </w:t>
      </w:r>
      <w:r w:rsidRPr="00B900C2">
        <w:rPr>
          <w:rFonts w:ascii="Arial" w:hAnsi="Arial" w:cs="Arial"/>
          <w:b/>
          <w:bCs/>
          <w:sz w:val="20"/>
          <w:szCs w:val="20"/>
        </w:rPr>
        <w:t>T cells</w:t>
      </w:r>
      <w:r w:rsidRPr="00B900C2">
        <w:rPr>
          <w:rFonts w:ascii="Arial" w:hAnsi="Arial" w:cs="Arial"/>
          <w:sz w:val="20"/>
          <w:szCs w:val="20"/>
        </w:rPr>
        <w:t xml:space="preserve">, </w:t>
      </w:r>
      <w:r w:rsidRPr="00B900C2">
        <w:rPr>
          <w:rFonts w:ascii="Arial" w:hAnsi="Arial" w:cs="Arial"/>
          <w:b/>
          <w:bCs/>
          <w:sz w:val="20"/>
          <w:szCs w:val="20"/>
        </w:rPr>
        <w:t>B cells</w:t>
      </w:r>
      <w:r w:rsidRPr="00B900C2">
        <w:rPr>
          <w:rFonts w:ascii="Arial" w:hAnsi="Arial" w:cs="Arial"/>
          <w:sz w:val="20"/>
          <w:szCs w:val="20"/>
        </w:rPr>
        <w:t xml:space="preserve">, and </w:t>
      </w:r>
      <w:r w:rsidRPr="00B900C2">
        <w:rPr>
          <w:rFonts w:ascii="Arial" w:hAnsi="Arial" w:cs="Arial"/>
          <w:b/>
          <w:bCs/>
          <w:sz w:val="20"/>
          <w:szCs w:val="20"/>
        </w:rPr>
        <w:t>dendritic cells</w:t>
      </w:r>
      <w:r w:rsidRPr="00B900C2">
        <w:rPr>
          <w:rFonts w:ascii="Arial" w:hAnsi="Arial" w:cs="Arial"/>
          <w:sz w:val="20"/>
          <w:szCs w:val="20"/>
        </w:rPr>
        <w:t xml:space="preserve"> within lymphoid organs. When these chemokines are embedded within slow-release microparticles or nanocarriers, </w:t>
      </w:r>
      <w:r w:rsidRPr="00B900C2">
        <w:rPr>
          <w:rFonts w:ascii="Arial" w:hAnsi="Arial" w:cs="Arial"/>
          <w:b/>
          <w:bCs/>
          <w:sz w:val="20"/>
          <w:szCs w:val="20"/>
        </w:rPr>
        <w:t>stable chemical gradients</w:t>
      </w:r>
      <w:r w:rsidRPr="00B900C2">
        <w:rPr>
          <w:rFonts w:ascii="Arial" w:hAnsi="Arial" w:cs="Arial"/>
          <w:sz w:val="20"/>
          <w:szCs w:val="20"/>
        </w:rPr>
        <w:t xml:space="preserve"> can be established within printed constructs. Such gradients have been shown to direct lymphocyte migration with a level of precision that closely resembles the organization observed in native lymphoid tissues (Li et al., 2020; Xu et al., 2023).</w:t>
      </w:r>
    </w:p>
    <w:p w14:paraId="6339EC96" w14:textId="19B3B8BB" w:rsidR="00B900C2" w:rsidRPr="00B900C2" w:rsidRDefault="00B900C2" w:rsidP="00B900C2">
      <w:pPr>
        <w:spacing w:line="360" w:lineRule="auto"/>
        <w:jc w:val="both"/>
        <w:rPr>
          <w:rFonts w:ascii="Arial" w:hAnsi="Arial" w:cs="Arial"/>
          <w:sz w:val="20"/>
          <w:szCs w:val="20"/>
        </w:rPr>
      </w:pPr>
      <w:r w:rsidRPr="00B900C2">
        <w:rPr>
          <w:rFonts w:ascii="Arial" w:hAnsi="Arial" w:cs="Arial"/>
          <w:sz w:val="20"/>
          <w:szCs w:val="20"/>
        </w:rPr>
        <w:t xml:space="preserve">Another major advancement involves the development of </w:t>
      </w:r>
      <w:r w:rsidRPr="00B900C2">
        <w:rPr>
          <w:rFonts w:ascii="Arial" w:hAnsi="Arial" w:cs="Arial"/>
          <w:b/>
          <w:bCs/>
          <w:sz w:val="20"/>
          <w:szCs w:val="20"/>
        </w:rPr>
        <w:t>organoid-derived bioinks</w:t>
      </w:r>
      <w:r w:rsidRPr="00B900C2">
        <w:rPr>
          <w:rFonts w:ascii="Arial" w:hAnsi="Arial" w:cs="Arial"/>
          <w:sz w:val="20"/>
          <w:szCs w:val="20"/>
        </w:rPr>
        <w:t xml:space="preserve">, which capitalize on the complex extracellular matrix and signalling milieu produced by self-organizing organoids. When organoids are dissociated or their matrix is harvested, the resulting bioink contains </w:t>
      </w:r>
      <w:r w:rsidRPr="00B900C2">
        <w:rPr>
          <w:rFonts w:ascii="Arial" w:hAnsi="Arial" w:cs="Arial"/>
          <w:b/>
          <w:bCs/>
          <w:sz w:val="20"/>
          <w:szCs w:val="20"/>
        </w:rPr>
        <w:t>endogenous ECM proteins, cytokines, and morphogens</w:t>
      </w:r>
      <w:r w:rsidRPr="00B900C2">
        <w:rPr>
          <w:rFonts w:ascii="Arial" w:hAnsi="Arial" w:cs="Arial"/>
          <w:sz w:val="20"/>
          <w:szCs w:val="20"/>
        </w:rPr>
        <w:t xml:space="preserve"> that retain intrinsic tissue-specific cues. Upon printing, these bioinks promote </w:t>
      </w:r>
      <w:r w:rsidRPr="00B900C2">
        <w:rPr>
          <w:rFonts w:ascii="Arial" w:hAnsi="Arial" w:cs="Arial"/>
          <w:b/>
          <w:bCs/>
          <w:sz w:val="20"/>
          <w:szCs w:val="20"/>
        </w:rPr>
        <w:t>rapid reorganization, improved stromal–immune interactions</w:t>
      </w:r>
      <w:r w:rsidRPr="00B900C2">
        <w:rPr>
          <w:rFonts w:ascii="Arial" w:hAnsi="Arial" w:cs="Arial"/>
          <w:sz w:val="20"/>
          <w:szCs w:val="20"/>
        </w:rPr>
        <w:t xml:space="preserve">, and enhanced functional maturation compared to single-component hydrogels. This strategy is particularly promising </w:t>
      </w:r>
      <w:r w:rsidRPr="00B900C2">
        <w:rPr>
          <w:rFonts w:ascii="Arial" w:hAnsi="Arial" w:cs="Arial"/>
          <w:sz w:val="20"/>
          <w:szCs w:val="20"/>
        </w:rPr>
        <w:lastRenderedPageBreak/>
        <w:t>for engineering lymphoid tissues where microenvironmental cues play a decisive role in immune cell specialization and activation (</w:t>
      </w:r>
      <w:proofErr w:type="spellStart"/>
      <w:r w:rsidRPr="00B900C2">
        <w:rPr>
          <w:rFonts w:ascii="Arial" w:hAnsi="Arial" w:cs="Arial"/>
          <w:sz w:val="20"/>
          <w:szCs w:val="20"/>
        </w:rPr>
        <w:t>Broutier</w:t>
      </w:r>
      <w:proofErr w:type="spellEnd"/>
      <w:r w:rsidRPr="00B900C2">
        <w:rPr>
          <w:rFonts w:ascii="Arial" w:hAnsi="Arial" w:cs="Arial"/>
          <w:sz w:val="20"/>
          <w:szCs w:val="20"/>
        </w:rPr>
        <w:t xml:space="preserve"> et al., 2018; Kim et al., 202</w:t>
      </w:r>
      <w:r w:rsidR="00DD6159">
        <w:rPr>
          <w:rFonts w:ascii="Arial" w:hAnsi="Arial" w:cs="Arial"/>
          <w:sz w:val="20"/>
          <w:szCs w:val="20"/>
        </w:rPr>
        <w:t>0</w:t>
      </w:r>
      <w:r w:rsidRPr="00B900C2">
        <w:rPr>
          <w:rFonts w:ascii="Arial" w:hAnsi="Arial" w:cs="Arial"/>
          <w:sz w:val="20"/>
          <w:szCs w:val="20"/>
        </w:rPr>
        <w:t>).</w:t>
      </w:r>
    </w:p>
    <w:p w14:paraId="5DE5C408" w14:textId="73A156FD" w:rsidR="00F349AA" w:rsidRPr="001140BF" w:rsidRDefault="00A30824" w:rsidP="00FF52EE">
      <w:pPr>
        <w:spacing w:line="360" w:lineRule="auto"/>
        <w:jc w:val="both"/>
        <w:rPr>
          <w:rFonts w:ascii="Arial" w:hAnsi="Arial" w:cs="Arial"/>
          <w:b/>
          <w:bCs/>
        </w:rPr>
      </w:pPr>
      <w:r w:rsidRPr="001140BF">
        <w:rPr>
          <w:rFonts w:ascii="Arial" w:hAnsi="Arial" w:cs="Arial"/>
          <w:b/>
          <w:bCs/>
        </w:rPr>
        <w:t>3</w:t>
      </w:r>
      <w:r w:rsidR="00F349AA" w:rsidRPr="001140BF">
        <w:rPr>
          <w:rFonts w:ascii="Arial" w:hAnsi="Arial" w:cs="Arial"/>
          <w:b/>
          <w:bCs/>
        </w:rPr>
        <w:t>. BIOPRINTING TECHNOLOGIES AND METHODOLOGIES</w:t>
      </w:r>
    </w:p>
    <w:p w14:paraId="529E3C53" w14:textId="18A532AC"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3</w:t>
      </w:r>
      <w:r w:rsidR="00F349AA" w:rsidRPr="00D26C01">
        <w:rPr>
          <w:rFonts w:ascii="Arial" w:hAnsi="Arial" w:cs="Arial"/>
          <w:b/>
          <w:bCs/>
          <w:sz w:val="20"/>
          <w:szCs w:val="20"/>
        </w:rPr>
        <w:t>.1 Extrusion-Based Bioprinting</w:t>
      </w:r>
    </w:p>
    <w:p w14:paraId="3D72EA52" w14:textId="285B0900" w:rsidR="00A21F5C" w:rsidRPr="00A21F5C" w:rsidRDefault="000D0542" w:rsidP="00A21F5C">
      <w:pPr>
        <w:spacing w:line="360" w:lineRule="auto"/>
        <w:jc w:val="both"/>
        <w:rPr>
          <w:rFonts w:ascii="Arial" w:hAnsi="Arial" w:cs="Arial"/>
          <w:sz w:val="20"/>
          <w:szCs w:val="20"/>
        </w:rPr>
      </w:pPr>
      <w:r w:rsidRPr="000D0542">
        <w:rPr>
          <w:rFonts w:ascii="Arial" w:hAnsi="Arial" w:cs="Arial"/>
          <w:sz w:val="20"/>
          <w:szCs w:val="20"/>
        </w:rPr>
        <w:t xml:space="preserve">Extrusion-based bioprinting has emerged as the predominant bioprinting approach because it can process a wide range of biomaterials and tolerate substantial variations in viscosity. This modality enables the fabrication of constructs using both low-viscosity hydrogels and highly viscous composite bioinks while maintaining cell densities up to 10⁸ cells/mL, making it suitable for engineering structurally stable and biologically active tissues (Gao et al., 2024). In this technique, bioinks are continuously extruded through </w:t>
      </w:r>
      <w:proofErr w:type="spellStart"/>
      <w:r w:rsidRPr="000D0542">
        <w:rPr>
          <w:rFonts w:ascii="Arial" w:hAnsi="Arial" w:cs="Arial"/>
          <w:sz w:val="20"/>
          <w:szCs w:val="20"/>
        </w:rPr>
        <w:t>microscale</w:t>
      </w:r>
      <w:proofErr w:type="spellEnd"/>
      <w:r w:rsidRPr="000D0542">
        <w:rPr>
          <w:rFonts w:ascii="Arial" w:hAnsi="Arial" w:cs="Arial"/>
          <w:sz w:val="20"/>
          <w:szCs w:val="20"/>
        </w:rPr>
        <w:t xml:space="preserve"> nozzles—commonly 100–1000 </w:t>
      </w:r>
      <w:proofErr w:type="spellStart"/>
      <w:r w:rsidRPr="000D0542">
        <w:rPr>
          <w:rFonts w:ascii="Arial" w:hAnsi="Arial" w:cs="Arial"/>
          <w:sz w:val="20"/>
          <w:szCs w:val="20"/>
        </w:rPr>
        <w:t>μm</w:t>
      </w:r>
      <w:proofErr w:type="spellEnd"/>
      <w:r w:rsidRPr="000D0542">
        <w:rPr>
          <w:rFonts w:ascii="Arial" w:hAnsi="Arial" w:cs="Arial"/>
          <w:sz w:val="20"/>
          <w:szCs w:val="20"/>
        </w:rPr>
        <w:t xml:space="preserve"> in diameter—using pneumatic, piston-driven, or screw-driven systems, each providing controlled deposition and improved geometric fidelity of printed structures (Malekpour &amp; Chen, 2022).</w:t>
      </w:r>
    </w:p>
    <w:p w14:paraId="7C943270" w14:textId="77777777" w:rsidR="00A21F5C" w:rsidRPr="00A21F5C" w:rsidRDefault="00A21F5C" w:rsidP="00A21F5C">
      <w:pPr>
        <w:spacing w:line="360" w:lineRule="auto"/>
        <w:jc w:val="both"/>
        <w:rPr>
          <w:rFonts w:ascii="Arial" w:hAnsi="Arial" w:cs="Arial"/>
          <w:sz w:val="20"/>
          <w:szCs w:val="20"/>
        </w:rPr>
      </w:pPr>
      <w:r w:rsidRPr="00A21F5C">
        <w:rPr>
          <w:rFonts w:ascii="Arial" w:hAnsi="Arial" w:cs="Arial"/>
          <w:sz w:val="20"/>
          <w:szCs w:val="20"/>
        </w:rPr>
        <w:t xml:space="preserve">The layer-by-layer deposition enables printing resolutions of </w:t>
      </w:r>
      <w:r w:rsidRPr="00A21F5C">
        <w:rPr>
          <w:rFonts w:ascii="Arial" w:hAnsi="Arial" w:cs="Arial"/>
          <w:b/>
          <w:bCs/>
          <w:sz w:val="20"/>
          <w:szCs w:val="20"/>
        </w:rPr>
        <w:t xml:space="preserve">approximately 100 </w:t>
      </w:r>
      <w:proofErr w:type="spellStart"/>
      <w:r w:rsidRPr="00A21F5C">
        <w:rPr>
          <w:rFonts w:ascii="Arial" w:hAnsi="Arial" w:cs="Arial"/>
          <w:b/>
          <w:bCs/>
          <w:sz w:val="20"/>
          <w:szCs w:val="20"/>
        </w:rPr>
        <w:t>μm</w:t>
      </w:r>
      <w:proofErr w:type="spellEnd"/>
      <w:r w:rsidRPr="00A21F5C">
        <w:rPr>
          <w:rFonts w:ascii="Arial" w:hAnsi="Arial" w:cs="Arial"/>
          <w:sz w:val="20"/>
          <w:szCs w:val="20"/>
        </w:rPr>
        <w:t xml:space="preserve">, which is sufficient for recreating larger architectural features of lymphoid organs, including </w:t>
      </w:r>
      <w:r w:rsidRPr="00A21F5C">
        <w:rPr>
          <w:rFonts w:ascii="Arial" w:hAnsi="Arial" w:cs="Arial"/>
          <w:b/>
          <w:bCs/>
          <w:sz w:val="20"/>
          <w:szCs w:val="20"/>
        </w:rPr>
        <w:t>follicular boundaries</w:t>
      </w:r>
      <w:r w:rsidRPr="00A21F5C">
        <w:rPr>
          <w:rFonts w:ascii="Arial" w:hAnsi="Arial" w:cs="Arial"/>
          <w:sz w:val="20"/>
          <w:szCs w:val="20"/>
        </w:rPr>
        <w:t xml:space="preserve">, </w:t>
      </w:r>
      <w:r w:rsidRPr="00A21F5C">
        <w:rPr>
          <w:rFonts w:ascii="Arial" w:hAnsi="Arial" w:cs="Arial"/>
          <w:b/>
          <w:bCs/>
          <w:sz w:val="20"/>
          <w:szCs w:val="20"/>
        </w:rPr>
        <w:t>paracortical regions</w:t>
      </w:r>
      <w:r w:rsidRPr="00A21F5C">
        <w:rPr>
          <w:rFonts w:ascii="Arial" w:hAnsi="Arial" w:cs="Arial"/>
          <w:sz w:val="20"/>
          <w:szCs w:val="20"/>
        </w:rPr>
        <w:t xml:space="preserve">, and </w:t>
      </w:r>
      <w:r w:rsidRPr="00A21F5C">
        <w:rPr>
          <w:rFonts w:ascii="Arial" w:hAnsi="Arial" w:cs="Arial"/>
          <w:b/>
          <w:bCs/>
          <w:sz w:val="20"/>
          <w:szCs w:val="20"/>
        </w:rPr>
        <w:t>stromal cell networks</w:t>
      </w:r>
      <w:r w:rsidRPr="00A21F5C">
        <w:rPr>
          <w:rFonts w:ascii="Arial" w:hAnsi="Arial" w:cs="Arial"/>
          <w:sz w:val="20"/>
          <w:szCs w:val="20"/>
        </w:rPr>
        <w:t xml:space="preserve">. Advanced multi-head extrusion systems further enhance functionality by enabling the spatially defined deposition of distinct bioinks loaded with </w:t>
      </w:r>
      <w:r w:rsidRPr="00A21F5C">
        <w:rPr>
          <w:rFonts w:ascii="Arial" w:hAnsi="Arial" w:cs="Arial"/>
          <w:b/>
          <w:bCs/>
          <w:sz w:val="20"/>
          <w:szCs w:val="20"/>
        </w:rPr>
        <w:t>stromal cells, endothelial cells, and lymphocytes</w:t>
      </w:r>
      <w:r w:rsidRPr="00A21F5C">
        <w:rPr>
          <w:rFonts w:ascii="Arial" w:hAnsi="Arial" w:cs="Arial"/>
          <w:sz w:val="20"/>
          <w:szCs w:val="20"/>
        </w:rPr>
        <w:t xml:space="preserve">. This capability allows the fabrication of compartmentalized constructs that recapitulate the </w:t>
      </w:r>
      <w:r w:rsidRPr="00A21F5C">
        <w:rPr>
          <w:rFonts w:ascii="Arial" w:hAnsi="Arial" w:cs="Arial"/>
          <w:b/>
          <w:bCs/>
          <w:sz w:val="20"/>
          <w:szCs w:val="20"/>
        </w:rPr>
        <w:t>segregated yet functionally interconnected T-cell and B-cell zones</w:t>
      </w:r>
      <w:r w:rsidRPr="00A21F5C">
        <w:rPr>
          <w:rFonts w:ascii="Arial" w:hAnsi="Arial" w:cs="Arial"/>
          <w:sz w:val="20"/>
          <w:szCs w:val="20"/>
        </w:rPr>
        <w:t xml:space="preserve"> characteristic of native lymphoid tissues (</w:t>
      </w:r>
      <w:proofErr w:type="spellStart"/>
      <w:r w:rsidRPr="00A21F5C">
        <w:rPr>
          <w:rFonts w:ascii="Arial" w:hAnsi="Arial" w:cs="Arial"/>
          <w:sz w:val="20"/>
          <w:szCs w:val="20"/>
        </w:rPr>
        <w:t>Kérourédan</w:t>
      </w:r>
      <w:proofErr w:type="spellEnd"/>
      <w:r w:rsidRPr="00A21F5C">
        <w:rPr>
          <w:rFonts w:ascii="Arial" w:hAnsi="Arial" w:cs="Arial"/>
          <w:sz w:val="20"/>
          <w:szCs w:val="20"/>
        </w:rPr>
        <w:t xml:space="preserve"> et al., 2019; Kim et al., 2020)</w:t>
      </w:r>
    </w:p>
    <w:p w14:paraId="24B03B5F" w14:textId="4B780946"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3</w:t>
      </w:r>
      <w:r w:rsidR="00F349AA" w:rsidRPr="00D26C01">
        <w:rPr>
          <w:rFonts w:ascii="Arial" w:hAnsi="Arial" w:cs="Arial"/>
          <w:b/>
          <w:bCs/>
          <w:sz w:val="20"/>
          <w:szCs w:val="20"/>
        </w:rPr>
        <w:t>.2 Inkjet and Droplet-Based Bioprinting</w:t>
      </w:r>
    </w:p>
    <w:p w14:paraId="76495C1E" w14:textId="77777777" w:rsidR="001A0323" w:rsidRPr="001A0323" w:rsidRDefault="001A0323" w:rsidP="001A0323">
      <w:pPr>
        <w:spacing w:line="360" w:lineRule="auto"/>
        <w:jc w:val="both"/>
        <w:rPr>
          <w:rFonts w:ascii="Arial" w:hAnsi="Arial" w:cs="Arial"/>
          <w:sz w:val="20"/>
          <w:szCs w:val="20"/>
        </w:rPr>
      </w:pPr>
      <w:r w:rsidRPr="001A0323">
        <w:rPr>
          <w:rFonts w:ascii="Arial" w:hAnsi="Arial" w:cs="Arial"/>
          <w:sz w:val="20"/>
          <w:szCs w:val="20"/>
        </w:rPr>
        <w:t>Inkjet bioprinting has been widely explored due to its ability to precisely deposit pico-litre-sized droplets through thermal, piezoelectric, or acoustic actuation mechanisms (Gudapati et al., 2016). This non-contact, drop-on-demand strategy facilitates rapid deposition while enabling high spatial accuracy, with resolutions approaching the single-cell scale. Because the bioink undergoes minimal shear stress during droplet formation and release, high post-printing cell viability (often exceeding 85%) is typically achieved (Cui et al., 2012).</w:t>
      </w:r>
    </w:p>
    <w:p w14:paraId="775FD2E6" w14:textId="77777777" w:rsidR="001A0323" w:rsidRPr="001A0323" w:rsidRDefault="001A0323" w:rsidP="001A0323">
      <w:pPr>
        <w:spacing w:line="360" w:lineRule="auto"/>
        <w:jc w:val="both"/>
        <w:rPr>
          <w:rFonts w:ascii="Arial" w:hAnsi="Arial" w:cs="Arial"/>
          <w:sz w:val="20"/>
          <w:szCs w:val="20"/>
        </w:rPr>
      </w:pPr>
      <w:r w:rsidRPr="001A0323">
        <w:rPr>
          <w:rFonts w:ascii="Arial" w:hAnsi="Arial" w:cs="Arial"/>
          <w:sz w:val="20"/>
          <w:szCs w:val="20"/>
        </w:rPr>
        <w:t xml:space="preserve">Despite these advantages, inkjet bioprinting is limited by the requirement for low-viscosity </w:t>
      </w:r>
      <w:proofErr w:type="spellStart"/>
      <w:r w:rsidRPr="001A0323">
        <w:rPr>
          <w:rFonts w:ascii="Arial" w:hAnsi="Arial" w:cs="Arial"/>
          <w:sz w:val="20"/>
          <w:szCs w:val="20"/>
        </w:rPr>
        <w:t>bioinks</w:t>
      </w:r>
      <w:proofErr w:type="spellEnd"/>
      <w:r w:rsidRPr="001A0323">
        <w:rPr>
          <w:rFonts w:ascii="Arial" w:hAnsi="Arial" w:cs="Arial"/>
          <w:sz w:val="20"/>
          <w:szCs w:val="20"/>
        </w:rPr>
        <w:t xml:space="preserve"> (&lt;10 </w:t>
      </w:r>
      <w:proofErr w:type="spellStart"/>
      <w:r w:rsidRPr="001A0323">
        <w:rPr>
          <w:rFonts w:ascii="Arial" w:hAnsi="Arial" w:cs="Arial"/>
          <w:sz w:val="20"/>
          <w:szCs w:val="20"/>
        </w:rPr>
        <w:t>mPa·s</w:t>
      </w:r>
      <w:proofErr w:type="spellEnd"/>
      <w:r w:rsidRPr="001A0323">
        <w:rPr>
          <w:rFonts w:ascii="Arial" w:hAnsi="Arial" w:cs="Arial"/>
          <w:sz w:val="20"/>
          <w:szCs w:val="20"/>
        </w:rPr>
        <w:t>), which restricts the use of many natural polymer hydrogels that are preferred for constructing tissue-like microenvironments (Gudapati et al., 2016). As a result, this approach is generally employed for specialized tasks, such as the spatial patterning of bioactive molecules, growth factors, or adhesion proteins onto pre-fabricated scaffolds, rather than for generating larger, volumetric 3D constructs.</w:t>
      </w:r>
    </w:p>
    <w:p w14:paraId="4B5541C9" w14:textId="7E7FCA55"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3</w:t>
      </w:r>
      <w:r w:rsidR="00F349AA" w:rsidRPr="00D26C01">
        <w:rPr>
          <w:rFonts w:ascii="Arial" w:hAnsi="Arial" w:cs="Arial"/>
          <w:b/>
          <w:bCs/>
          <w:sz w:val="20"/>
          <w:szCs w:val="20"/>
        </w:rPr>
        <w:t>.3 Laser-Assisted Bioprinting</w:t>
      </w:r>
    </w:p>
    <w:p w14:paraId="072BAC39" w14:textId="6289927A" w:rsidR="007B2F32" w:rsidRDefault="007B2F32" w:rsidP="00257A5A">
      <w:pPr>
        <w:spacing w:line="360" w:lineRule="auto"/>
        <w:jc w:val="both"/>
        <w:rPr>
          <w:rFonts w:ascii="Arial" w:hAnsi="Arial" w:cs="Arial"/>
          <w:sz w:val="20"/>
          <w:szCs w:val="20"/>
        </w:rPr>
      </w:pPr>
      <w:r w:rsidRPr="007B2F32">
        <w:rPr>
          <w:rFonts w:ascii="Arial" w:hAnsi="Arial" w:cs="Arial"/>
          <w:sz w:val="20"/>
          <w:szCs w:val="20"/>
        </w:rPr>
        <w:t xml:space="preserve">Laser-assisted bioprinting operates through a laser-induced forward transfer (LIFT) mechanism, in which a pulsed laser interacts with an energy-absorbing coating to generate a transient vapor bubble that propels discrete droplets of bioink onto a receiving substrate (Schiele et al., 2010). The absence of a nozzle eliminates shear forces commonly associated with extrusion systems, thereby preserving high </w:t>
      </w:r>
      <w:r w:rsidRPr="007B2F32">
        <w:rPr>
          <w:rFonts w:ascii="Arial" w:hAnsi="Arial" w:cs="Arial"/>
          <w:sz w:val="20"/>
          <w:szCs w:val="20"/>
        </w:rPr>
        <w:lastRenderedPageBreak/>
        <w:t>levels of cell viability during printing. Furthermore, the precise laser-controlled droplet ejection enables exceptionally high spatial resolution, including single-cell placement, making LIFT one of the most accurate bioprinting modalities available (</w:t>
      </w:r>
      <w:r w:rsidR="00293C13" w:rsidRPr="007B2F32">
        <w:rPr>
          <w:rFonts w:ascii="Arial" w:hAnsi="Arial" w:cs="Arial"/>
          <w:sz w:val="20"/>
          <w:szCs w:val="20"/>
        </w:rPr>
        <w:t>Guillotin</w:t>
      </w:r>
      <w:r w:rsidRPr="007B2F32">
        <w:rPr>
          <w:rFonts w:ascii="Arial" w:hAnsi="Arial" w:cs="Arial"/>
          <w:sz w:val="20"/>
          <w:szCs w:val="20"/>
        </w:rPr>
        <w:t xml:space="preserve"> &amp; Guillemot, 2011).</w:t>
      </w:r>
    </w:p>
    <w:p w14:paraId="7616E312" w14:textId="422B0355" w:rsidR="00257A5A" w:rsidRPr="00257A5A" w:rsidRDefault="00257A5A" w:rsidP="00257A5A">
      <w:pPr>
        <w:spacing w:line="360" w:lineRule="auto"/>
        <w:jc w:val="both"/>
        <w:rPr>
          <w:rFonts w:ascii="Arial" w:hAnsi="Arial" w:cs="Arial"/>
          <w:sz w:val="20"/>
          <w:szCs w:val="20"/>
        </w:rPr>
      </w:pPr>
      <w:r w:rsidRPr="00257A5A">
        <w:rPr>
          <w:rFonts w:ascii="Arial" w:hAnsi="Arial" w:cs="Arial"/>
          <w:sz w:val="20"/>
          <w:szCs w:val="20"/>
        </w:rPr>
        <w:t>The absence of a nozzle further eliminates clogging issues, thereby permitting the use of highly viscous bioinks and elevated cell concentrations. Owing to these advantages, laser-assisted systems are theoretically capable of arranging intricate stromal cell networks or positioning individual follicular dendritic cells with precise spatial control (Koch et al., 2017). Nevertheless, the need for complex, high-cost instrumentation, along with comparatively slower printing speeds, has limited the widespread adoption of this technology.</w:t>
      </w:r>
    </w:p>
    <w:p w14:paraId="5F8C7480" w14:textId="2584DF3D"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3</w:t>
      </w:r>
      <w:r w:rsidR="00F349AA" w:rsidRPr="00D26C01">
        <w:rPr>
          <w:rFonts w:ascii="Arial" w:hAnsi="Arial" w:cs="Arial"/>
          <w:b/>
          <w:bCs/>
          <w:sz w:val="20"/>
          <w:szCs w:val="20"/>
        </w:rPr>
        <w:t>.4 Vat Photopolymerization and Volumetric Bioprinting</w:t>
      </w:r>
    </w:p>
    <w:p w14:paraId="736457C2" w14:textId="46745078" w:rsidR="00257A5A" w:rsidRPr="00257A5A" w:rsidRDefault="00257A5A" w:rsidP="00257A5A">
      <w:pPr>
        <w:spacing w:line="360" w:lineRule="auto"/>
        <w:jc w:val="both"/>
        <w:rPr>
          <w:rFonts w:ascii="Arial" w:hAnsi="Arial" w:cs="Arial"/>
          <w:sz w:val="20"/>
          <w:szCs w:val="20"/>
        </w:rPr>
      </w:pPr>
      <w:r w:rsidRPr="00257A5A">
        <w:rPr>
          <w:rFonts w:ascii="Arial" w:hAnsi="Arial" w:cs="Arial"/>
          <w:sz w:val="20"/>
          <w:szCs w:val="20"/>
        </w:rPr>
        <w:t xml:space="preserve">Vat photopolymerization techniques, including stereolithography (SLA) and digital light processing (DLP), rely on patterned light exposure to selectively solidify photosensitive bioinks </w:t>
      </w:r>
      <w:r w:rsidR="005D159C">
        <w:rPr>
          <w:rFonts w:ascii="Arial" w:hAnsi="Arial" w:cs="Arial"/>
          <w:sz w:val="20"/>
          <w:szCs w:val="20"/>
        </w:rPr>
        <w:t>layer by layer</w:t>
      </w:r>
      <w:r w:rsidRPr="00257A5A">
        <w:rPr>
          <w:rFonts w:ascii="Arial" w:hAnsi="Arial" w:cs="Arial"/>
          <w:sz w:val="20"/>
          <w:szCs w:val="20"/>
        </w:rPr>
        <w:t xml:space="preserve">. These systems </w:t>
      </w:r>
      <w:r w:rsidR="005D159C">
        <w:rPr>
          <w:rFonts w:ascii="Arial" w:hAnsi="Arial" w:cs="Arial"/>
          <w:sz w:val="20"/>
          <w:szCs w:val="20"/>
        </w:rPr>
        <w:t xml:space="preserve">achieve some of the highest resolutions in </w:t>
      </w:r>
      <w:proofErr w:type="spellStart"/>
      <w:r w:rsidR="005D159C">
        <w:rPr>
          <w:rFonts w:ascii="Arial" w:hAnsi="Arial" w:cs="Arial"/>
          <w:sz w:val="20"/>
          <w:szCs w:val="20"/>
        </w:rPr>
        <w:t>bioprinting</w:t>
      </w:r>
      <w:proofErr w:type="spellEnd"/>
      <w:r w:rsidR="005D159C">
        <w:rPr>
          <w:rFonts w:ascii="Arial" w:hAnsi="Arial" w:cs="Arial"/>
          <w:sz w:val="20"/>
          <w:szCs w:val="20"/>
        </w:rPr>
        <w:t xml:space="preserve">, typically </w:t>
      </w:r>
      <w:r w:rsidRPr="00257A5A">
        <w:rPr>
          <w:rFonts w:ascii="Arial" w:hAnsi="Arial" w:cs="Arial"/>
          <w:sz w:val="20"/>
          <w:szCs w:val="20"/>
        </w:rPr>
        <w:t xml:space="preserve">10–50 </w:t>
      </w:r>
      <w:proofErr w:type="spellStart"/>
      <w:r w:rsidRPr="00257A5A">
        <w:rPr>
          <w:rFonts w:ascii="Arial" w:hAnsi="Arial" w:cs="Arial"/>
          <w:sz w:val="20"/>
          <w:szCs w:val="20"/>
        </w:rPr>
        <w:t>μm</w:t>
      </w:r>
      <w:proofErr w:type="spellEnd"/>
      <w:r w:rsidRPr="00257A5A">
        <w:rPr>
          <w:rFonts w:ascii="Arial" w:hAnsi="Arial" w:cs="Arial"/>
          <w:sz w:val="20"/>
          <w:szCs w:val="20"/>
        </w:rPr>
        <w:t xml:space="preserve"> (Zhu et al., 2016).</w:t>
      </w:r>
    </w:p>
    <w:p w14:paraId="6B87AC67" w14:textId="77777777" w:rsidR="00257A5A" w:rsidRPr="00257A5A" w:rsidRDefault="00257A5A" w:rsidP="00257A5A">
      <w:pPr>
        <w:spacing w:line="360" w:lineRule="auto"/>
        <w:jc w:val="both"/>
        <w:rPr>
          <w:rFonts w:ascii="Arial" w:hAnsi="Arial" w:cs="Arial"/>
          <w:sz w:val="20"/>
          <w:szCs w:val="20"/>
        </w:rPr>
      </w:pPr>
      <w:r w:rsidRPr="00257A5A">
        <w:rPr>
          <w:rFonts w:ascii="Arial" w:hAnsi="Arial" w:cs="Arial"/>
          <w:sz w:val="20"/>
          <w:szCs w:val="20"/>
        </w:rPr>
        <w:t xml:space="preserve">Within the context of lymphoid tissue engineering, the primary utility of vat photopolymerization lies in the fabrication of high-resolution sacrificial moulds or acellular scaffolds. Water-soluble scaffolds containing negative impressions of vascular networks can be printed and subsequently infused with cell-laden hydrogels. Upon dissolution of the sacrificial structure, </w:t>
      </w:r>
      <w:proofErr w:type="spellStart"/>
      <w:r w:rsidRPr="00257A5A">
        <w:rPr>
          <w:rFonts w:ascii="Arial" w:hAnsi="Arial" w:cs="Arial"/>
          <w:sz w:val="20"/>
          <w:szCs w:val="20"/>
        </w:rPr>
        <w:t>perfusable</w:t>
      </w:r>
      <w:proofErr w:type="spellEnd"/>
      <w:r w:rsidRPr="00257A5A">
        <w:rPr>
          <w:rFonts w:ascii="Arial" w:hAnsi="Arial" w:cs="Arial"/>
          <w:sz w:val="20"/>
          <w:szCs w:val="20"/>
        </w:rPr>
        <w:t xml:space="preserve"> vascular channels remain, enabling the development of engineered tissues with improved nutrient and oxygen transport (Grigoryan et al., 2019).</w:t>
      </w:r>
    </w:p>
    <w:p w14:paraId="08C8DD83" w14:textId="20D47B4B" w:rsidR="00F349AA" w:rsidRPr="001140BF" w:rsidRDefault="00A30824" w:rsidP="00FF52EE">
      <w:pPr>
        <w:spacing w:line="360" w:lineRule="auto"/>
        <w:jc w:val="both"/>
        <w:rPr>
          <w:rFonts w:ascii="Arial" w:hAnsi="Arial" w:cs="Arial"/>
          <w:b/>
          <w:bCs/>
        </w:rPr>
      </w:pPr>
      <w:r w:rsidRPr="001140BF">
        <w:rPr>
          <w:rFonts w:ascii="Arial" w:hAnsi="Arial" w:cs="Arial"/>
          <w:b/>
          <w:bCs/>
        </w:rPr>
        <w:t>4</w:t>
      </w:r>
      <w:r w:rsidR="00F349AA" w:rsidRPr="001140BF">
        <w:rPr>
          <w:rFonts w:ascii="Arial" w:hAnsi="Arial" w:cs="Arial"/>
          <w:b/>
          <w:bCs/>
        </w:rPr>
        <w:t xml:space="preserve">. </w:t>
      </w:r>
      <w:commentRangeStart w:id="4"/>
      <w:r w:rsidR="00F349AA" w:rsidRPr="001140BF">
        <w:rPr>
          <w:rFonts w:ascii="Arial" w:hAnsi="Arial" w:cs="Arial"/>
          <w:b/>
          <w:bCs/>
        </w:rPr>
        <w:t xml:space="preserve">VASCULARIZATION STRATEGIES FOR </w:t>
      </w:r>
      <w:r w:rsidR="00C058A1" w:rsidRPr="001140BF">
        <w:rPr>
          <w:rFonts w:ascii="Arial" w:hAnsi="Arial" w:cs="Arial"/>
          <w:b/>
          <w:bCs/>
        </w:rPr>
        <w:t>BIO-PRINTED</w:t>
      </w:r>
      <w:r w:rsidR="00F349AA" w:rsidRPr="001140BF">
        <w:rPr>
          <w:rFonts w:ascii="Arial" w:hAnsi="Arial" w:cs="Arial"/>
          <w:b/>
          <w:bCs/>
        </w:rPr>
        <w:t xml:space="preserve"> LYMPHOID TISSUES</w:t>
      </w:r>
      <w:commentRangeEnd w:id="4"/>
      <w:r w:rsidR="001E3AD1">
        <w:rPr>
          <w:rStyle w:val="CommentReference"/>
          <w:rtl/>
        </w:rPr>
        <w:commentReference w:id="4"/>
      </w:r>
    </w:p>
    <w:p w14:paraId="2F0B43DC" w14:textId="21B5EB9F" w:rsidR="006C7372" w:rsidRDefault="006C7372" w:rsidP="00FF52EE">
      <w:pPr>
        <w:spacing w:line="360" w:lineRule="auto"/>
        <w:jc w:val="both"/>
        <w:rPr>
          <w:rFonts w:ascii="Arial" w:hAnsi="Arial" w:cs="Arial"/>
          <w:sz w:val="20"/>
          <w:szCs w:val="20"/>
        </w:rPr>
      </w:pPr>
      <w:r w:rsidRPr="006C7372">
        <w:rPr>
          <w:rFonts w:ascii="Arial" w:hAnsi="Arial" w:cs="Arial"/>
          <w:sz w:val="20"/>
          <w:szCs w:val="20"/>
        </w:rPr>
        <w:t xml:space="preserve">The generation of </w:t>
      </w:r>
      <w:proofErr w:type="spellStart"/>
      <w:r w:rsidRPr="006C7372">
        <w:rPr>
          <w:rFonts w:ascii="Arial" w:hAnsi="Arial" w:cs="Arial"/>
          <w:sz w:val="20"/>
          <w:szCs w:val="20"/>
        </w:rPr>
        <w:t>perfusable</w:t>
      </w:r>
      <w:proofErr w:type="spellEnd"/>
      <w:r w:rsidRPr="006C7372">
        <w:rPr>
          <w:rFonts w:ascii="Arial" w:hAnsi="Arial" w:cs="Arial"/>
          <w:sz w:val="20"/>
          <w:szCs w:val="20"/>
        </w:rPr>
        <w:t xml:space="preserve"> and stable vascular networks remains a major hurdle in creating clinically viable </w:t>
      </w:r>
      <w:proofErr w:type="spellStart"/>
      <w:r w:rsidRPr="006C7372">
        <w:rPr>
          <w:rFonts w:ascii="Arial" w:hAnsi="Arial" w:cs="Arial"/>
          <w:sz w:val="20"/>
          <w:szCs w:val="20"/>
        </w:rPr>
        <w:t>bioprinted</w:t>
      </w:r>
      <w:proofErr w:type="spellEnd"/>
      <w:r w:rsidRPr="006C7372">
        <w:rPr>
          <w:rFonts w:ascii="Arial" w:hAnsi="Arial" w:cs="Arial"/>
          <w:sz w:val="20"/>
          <w:szCs w:val="20"/>
        </w:rPr>
        <w:t xml:space="preserve"> lymphoid tissues. The high metabolic demand of densely populated lymphoid constructs quickly outpaces oxygen diffusion</w:t>
      </w:r>
      <w:r w:rsidR="00F41443">
        <w:rPr>
          <w:rFonts w:ascii="Arial" w:hAnsi="Arial" w:cs="Arial"/>
          <w:sz w:val="20"/>
          <w:szCs w:val="20"/>
        </w:rPr>
        <w:t>,</w:t>
      </w:r>
      <w:r w:rsidRPr="006C7372">
        <w:rPr>
          <w:rFonts w:ascii="Arial" w:hAnsi="Arial" w:cs="Arial"/>
          <w:sz w:val="20"/>
          <w:szCs w:val="20"/>
        </w:rPr>
        <w:t xml:space="preserve"> which is limited to roughly 100–200 µm in engineered tissues (Lovett et al., 2009). As a consequence, the inner regions of the constructs are susceptible to hypoxia and necrosis unless adequate vascularization is established. Beyond simple nutrient and gas exchange, vascular structures in lymphoid organs perform highly specialized immunological roles. High endothelial venules (HEVs), for example, act as essential gateways for lymphocyte trafficking, sustaining immune surveillance and enabling efficient lymphocyte recirculation (Ager, 2017; Blanchard &amp; Girard, 2021). Therefore, replicating functional vasculature in engineered lymphoid tissues is indispensable not only for tissue viability but also for restoring physiological immune function</w:t>
      </w:r>
    </w:p>
    <w:p w14:paraId="0B78A6F9" w14:textId="17017C53"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4</w:t>
      </w:r>
      <w:r w:rsidR="00F349AA" w:rsidRPr="00D26C01">
        <w:rPr>
          <w:rFonts w:ascii="Arial" w:hAnsi="Arial" w:cs="Arial"/>
          <w:b/>
          <w:bCs/>
          <w:sz w:val="20"/>
          <w:szCs w:val="20"/>
        </w:rPr>
        <w:t>.</w:t>
      </w:r>
      <w:r w:rsidR="007049BB">
        <w:rPr>
          <w:rFonts w:ascii="Arial" w:hAnsi="Arial" w:cs="Arial"/>
          <w:b/>
          <w:bCs/>
          <w:sz w:val="20"/>
          <w:szCs w:val="20"/>
        </w:rPr>
        <w:t>1</w:t>
      </w:r>
      <w:r w:rsidR="00F349AA" w:rsidRPr="00D26C01">
        <w:rPr>
          <w:rFonts w:ascii="Arial" w:hAnsi="Arial" w:cs="Arial"/>
          <w:b/>
          <w:bCs/>
          <w:sz w:val="20"/>
          <w:szCs w:val="20"/>
        </w:rPr>
        <w:t xml:space="preserve"> Sacrificial Bioink Channels</w:t>
      </w:r>
    </w:p>
    <w:p w14:paraId="4E77478D" w14:textId="77777777" w:rsidR="00AA6F49" w:rsidRDefault="00AA6F49" w:rsidP="00AD5E60">
      <w:pPr>
        <w:spacing w:line="360" w:lineRule="auto"/>
        <w:jc w:val="both"/>
        <w:rPr>
          <w:rFonts w:ascii="Arial" w:hAnsi="Arial" w:cs="Arial"/>
          <w:sz w:val="20"/>
          <w:szCs w:val="20"/>
        </w:rPr>
      </w:pPr>
      <w:r w:rsidRPr="00AA6F49">
        <w:rPr>
          <w:rFonts w:ascii="Arial" w:hAnsi="Arial" w:cs="Arial"/>
          <w:sz w:val="20"/>
          <w:szCs w:val="20"/>
        </w:rPr>
        <w:t xml:space="preserve">Sacrificial bioink–based channel formation is one of the most established techniques for generating </w:t>
      </w:r>
      <w:proofErr w:type="spellStart"/>
      <w:r w:rsidRPr="00AA6F49">
        <w:rPr>
          <w:rFonts w:ascii="Arial" w:hAnsi="Arial" w:cs="Arial"/>
          <w:sz w:val="20"/>
          <w:szCs w:val="20"/>
        </w:rPr>
        <w:t>perfusable</w:t>
      </w:r>
      <w:proofErr w:type="spellEnd"/>
      <w:r w:rsidRPr="00AA6F49">
        <w:rPr>
          <w:rFonts w:ascii="Arial" w:hAnsi="Arial" w:cs="Arial"/>
          <w:sz w:val="20"/>
          <w:szCs w:val="20"/>
        </w:rPr>
        <w:t xml:space="preserve"> networks within </w:t>
      </w:r>
      <w:proofErr w:type="spellStart"/>
      <w:r w:rsidRPr="00AA6F49">
        <w:rPr>
          <w:rFonts w:ascii="Arial" w:hAnsi="Arial" w:cs="Arial"/>
          <w:sz w:val="20"/>
          <w:szCs w:val="20"/>
        </w:rPr>
        <w:t>bioprinted</w:t>
      </w:r>
      <w:proofErr w:type="spellEnd"/>
      <w:r w:rsidRPr="00AA6F49">
        <w:rPr>
          <w:rFonts w:ascii="Arial" w:hAnsi="Arial" w:cs="Arial"/>
          <w:sz w:val="20"/>
          <w:szCs w:val="20"/>
        </w:rPr>
        <w:t xml:space="preserve"> constructs. In this strategy, fugitive materials such as Pluronic F127, carbohydrate glass, and </w:t>
      </w:r>
      <w:proofErr w:type="spellStart"/>
      <w:r w:rsidRPr="00AA6F49">
        <w:rPr>
          <w:rFonts w:ascii="Arial" w:hAnsi="Arial" w:cs="Arial"/>
          <w:sz w:val="20"/>
          <w:szCs w:val="20"/>
        </w:rPr>
        <w:t>gelatin</w:t>
      </w:r>
      <w:proofErr w:type="spellEnd"/>
      <w:r w:rsidRPr="00AA6F49">
        <w:rPr>
          <w:rFonts w:ascii="Arial" w:hAnsi="Arial" w:cs="Arial"/>
          <w:sz w:val="20"/>
          <w:szCs w:val="20"/>
        </w:rPr>
        <w:t xml:space="preserve"> are co-printed to create the negative template of the vascular architecture. After the structural hydrogel is crosslinked, the sacrificial phase is removed by thermal, </w:t>
      </w:r>
      <w:r w:rsidRPr="00AA6F49">
        <w:rPr>
          <w:rFonts w:ascii="Arial" w:hAnsi="Arial" w:cs="Arial"/>
          <w:sz w:val="20"/>
          <w:szCs w:val="20"/>
        </w:rPr>
        <w:lastRenderedPageBreak/>
        <w:t xml:space="preserve">solvent-based, or aqueous dissolution, resulting in patent, interconnected </w:t>
      </w:r>
      <w:proofErr w:type="spellStart"/>
      <w:r w:rsidRPr="00AA6F49">
        <w:rPr>
          <w:rFonts w:ascii="Arial" w:hAnsi="Arial" w:cs="Arial"/>
          <w:sz w:val="20"/>
          <w:szCs w:val="20"/>
        </w:rPr>
        <w:t>microchannels</w:t>
      </w:r>
      <w:proofErr w:type="spellEnd"/>
      <w:r w:rsidRPr="00AA6F49">
        <w:rPr>
          <w:rFonts w:ascii="Arial" w:hAnsi="Arial" w:cs="Arial"/>
          <w:sz w:val="20"/>
          <w:szCs w:val="20"/>
        </w:rPr>
        <w:t xml:space="preserve"> suitable for </w:t>
      </w:r>
      <w:proofErr w:type="spellStart"/>
      <w:r w:rsidRPr="00AA6F49">
        <w:rPr>
          <w:rFonts w:ascii="Arial" w:hAnsi="Arial" w:cs="Arial"/>
          <w:sz w:val="20"/>
          <w:szCs w:val="20"/>
        </w:rPr>
        <w:t>endothelialization</w:t>
      </w:r>
      <w:proofErr w:type="spellEnd"/>
      <w:r w:rsidRPr="00AA6F49">
        <w:rPr>
          <w:rFonts w:ascii="Arial" w:hAnsi="Arial" w:cs="Arial"/>
          <w:sz w:val="20"/>
          <w:szCs w:val="20"/>
        </w:rPr>
        <w:t xml:space="preserve"> and perfusion (Miller et al., 2012; Wu et al., 2021).</w:t>
      </w:r>
    </w:p>
    <w:p w14:paraId="2A36C150" w14:textId="05CAC1BE" w:rsidR="00AD5E60" w:rsidRPr="00AD5E60" w:rsidRDefault="00AD5E60" w:rsidP="00AD5E60">
      <w:pPr>
        <w:spacing w:line="360" w:lineRule="auto"/>
        <w:jc w:val="both"/>
        <w:rPr>
          <w:rFonts w:ascii="Arial" w:hAnsi="Arial" w:cs="Arial"/>
          <w:sz w:val="20"/>
          <w:szCs w:val="20"/>
        </w:rPr>
      </w:pPr>
      <w:r w:rsidRPr="00AD5E60">
        <w:rPr>
          <w:rFonts w:ascii="Arial" w:hAnsi="Arial" w:cs="Arial"/>
          <w:sz w:val="20"/>
          <w:szCs w:val="20"/>
        </w:rPr>
        <w:t xml:space="preserve">These engineered channels allow the creation of well-defined vascular architectures with high spatial precision. Following removal of the sacrificial phase, the resulting lumens are commonly seeded with endothelial cells, which subsequently form confluent, vessel-like linings (Sobrino et al., 2016). Although this method effectively generates larger </w:t>
      </w:r>
      <w:proofErr w:type="spellStart"/>
      <w:r w:rsidRPr="00AD5E60">
        <w:rPr>
          <w:rFonts w:ascii="Arial" w:hAnsi="Arial" w:cs="Arial"/>
          <w:sz w:val="20"/>
          <w:szCs w:val="20"/>
        </w:rPr>
        <w:t>perfusable</w:t>
      </w:r>
      <w:proofErr w:type="spellEnd"/>
      <w:r w:rsidRPr="00AD5E60">
        <w:rPr>
          <w:rFonts w:ascii="Arial" w:hAnsi="Arial" w:cs="Arial"/>
          <w:sz w:val="20"/>
          <w:szCs w:val="20"/>
        </w:rPr>
        <w:t xml:space="preserve"> vessels, a major limitation persists: achieving hierarchical, multi-scale vascularization. While </w:t>
      </w:r>
      <w:proofErr w:type="spellStart"/>
      <w:r w:rsidRPr="00AD5E60">
        <w:rPr>
          <w:rFonts w:ascii="Arial" w:hAnsi="Arial" w:cs="Arial"/>
          <w:sz w:val="20"/>
          <w:szCs w:val="20"/>
        </w:rPr>
        <w:t>macrovessels</w:t>
      </w:r>
      <w:proofErr w:type="spellEnd"/>
      <w:r w:rsidRPr="00AD5E60">
        <w:rPr>
          <w:rFonts w:ascii="Arial" w:hAnsi="Arial" w:cs="Arial"/>
          <w:sz w:val="20"/>
          <w:szCs w:val="20"/>
        </w:rPr>
        <w:t xml:space="preserve"> and feeder channels can be fabricated with relative ease, the recreation of capillary-sized networks—critical for efficient oxygen and nutrient exchange—continues to pose a significant challenge (</w:t>
      </w:r>
      <w:proofErr w:type="spellStart"/>
      <w:r w:rsidRPr="00AD5E60">
        <w:rPr>
          <w:rFonts w:ascii="Arial" w:hAnsi="Arial" w:cs="Arial"/>
          <w:sz w:val="20"/>
          <w:szCs w:val="20"/>
        </w:rPr>
        <w:t>Rouwkema</w:t>
      </w:r>
      <w:proofErr w:type="spellEnd"/>
      <w:r w:rsidRPr="00AD5E60">
        <w:rPr>
          <w:rFonts w:ascii="Arial" w:hAnsi="Arial" w:cs="Arial"/>
          <w:sz w:val="20"/>
          <w:szCs w:val="20"/>
        </w:rPr>
        <w:t xml:space="preserve"> &amp; </w:t>
      </w:r>
      <w:proofErr w:type="spellStart"/>
      <w:r w:rsidRPr="00AD5E60">
        <w:rPr>
          <w:rFonts w:ascii="Arial" w:hAnsi="Arial" w:cs="Arial"/>
          <w:sz w:val="20"/>
          <w:szCs w:val="20"/>
        </w:rPr>
        <w:t>Khademhosseini</w:t>
      </w:r>
      <w:proofErr w:type="spellEnd"/>
      <w:r w:rsidRPr="00AD5E60">
        <w:rPr>
          <w:rFonts w:ascii="Arial" w:hAnsi="Arial" w:cs="Arial"/>
          <w:sz w:val="20"/>
          <w:szCs w:val="20"/>
        </w:rPr>
        <w:t>, 2016).</w:t>
      </w:r>
    </w:p>
    <w:p w14:paraId="62D10C5F" w14:textId="008D6569"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4</w:t>
      </w:r>
      <w:r w:rsidR="00F349AA" w:rsidRPr="00D26C01">
        <w:rPr>
          <w:rFonts w:ascii="Arial" w:hAnsi="Arial" w:cs="Arial"/>
          <w:b/>
          <w:bCs/>
          <w:sz w:val="20"/>
          <w:szCs w:val="20"/>
        </w:rPr>
        <w:t>.</w:t>
      </w:r>
      <w:r w:rsidR="007049BB">
        <w:rPr>
          <w:rFonts w:ascii="Arial" w:hAnsi="Arial" w:cs="Arial"/>
          <w:b/>
          <w:bCs/>
          <w:sz w:val="20"/>
          <w:szCs w:val="20"/>
        </w:rPr>
        <w:t>2</w:t>
      </w:r>
      <w:r w:rsidR="00F349AA" w:rsidRPr="00D26C01">
        <w:rPr>
          <w:rFonts w:ascii="Arial" w:hAnsi="Arial" w:cs="Arial"/>
          <w:b/>
          <w:bCs/>
          <w:sz w:val="20"/>
          <w:szCs w:val="20"/>
        </w:rPr>
        <w:t xml:space="preserve"> Coaxial Extrusion</w:t>
      </w:r>
    </w:p>
    <w:p w14:paraId="30EEFA36" w14:textId="77777777" w:rsidR="00F1039D" w:rsidRPr="00F1039D" w:rsidRDefault="00F1039D" w:rsidP="00F1039D">
      <w:pPr>
        <w:spacing w:line="360" w:lineRule="auto"/>
        <w:jc w:val="both"/>
        <w:rPr>
          <w:rFonts w:ascii="Arial" w:hAnsi="Arial" w:cs="Arial"/>
          <w:sz w:val="20"/>
          <w:szCs w:val="20"/>
        </w:rPr>
      </w:pPr>
      <w:r w:rsidRPr="00F1039D">
        <w:rPr>
          <w:rFonts w:ascii="Arial" w:hAnsi="Arial" w:cs="Arial"/>
          <w:sz w:val="20"/>
          <w:szCs w:val="20"/>
        </w:rPr>
        <w:t xml:space="preserve">Coaxial extrusion is an advanced bioprinting modality that enables the direct fabrication of hollow, vessel-like hydrogel structures in a single, continuous step using concentric nozzle systems. In this technique, a </w:t>
      </w:r>
      <w:proofErr w:type="spellStart"/>
      <w:r w:rsidRPr="00F1039D">
        <w:rPr>
          <w:rFonts w:ascii="Arial" w:hAnsi="Arial" w:cs="Arial"/>
          <w:sz w:val="20"/>
          <w:szCs w:val="20"/>
        </w:rPr>
        <w:t>crosslinkable</w:t>
      </w:r>
      <w:proofErr w:type="spellEnd"/>
      <w:r w:rsidRPr="00F1039D">
        <w:rPr>
          <w:rFonts w:ascii="Arial" w:hAnsi="Arial" w:cs="Arial"/>
          <w:sz w:val="20"/>
          <w:szCs w:val="20"/>
        </w:rPr>
        <w:t xml:space="preserve"> hydrogel precursor is dispensed through the outer nozzle while a core fluid—typically a non-crosslinking or crosslink-inhibiting solution—flows through the inner nozzle. Upon extrusion, the shell phase rapidly crosslinks, resulting in the immediate formation of mechanically stable tubular filaments with well-defined lumens (Gao et al., 2017).</w:t>
      </w:r>
    </w:p>
    <w:p w14:paraId="5B01AA5B" w14:textId="77777777" w:rsidR="00F1039D" w:rsidRPr="00F1039D" w:rsidRDefault="00F1039D" w:rsidP="00F1039D">
      <w:pPr>
        <w:spacing w:line="360" w:lineRule="auto"/>
        <w:jc w:val="both"/>
        <w:rPr>
          <w:rFonts w:ascii="Arial" w:hAnsi="Arial" w:cs="Arial"/>
          <w:sz w:val="20"/>
          <w:szCs w:val="20"/>
        </w:rPr>
      </w:pPr>
      <w:r w:rsidRPr="00F1039D">
        <w:rPr>
          <w:rFonts w:ascii="Arial" w:hAnsi="Arial" w:cs="Arial"/>
          <w:sz w:val="20"/>
          <w:szCs w:val="20"/>
        </w:rPr>
        <w:t xml:space="preserve">Incorporating endothelial cells directly into the shell bioink promotes uniform embedding of these cells within the walls of the printed tubes, eliminating the need for subsequent luminal seeding and accelerating the development of confluent endothelial linings. Geometry can be precisely tuned by adjusting the flow-rate ratio between the core and shell phases, enabling controlled modulation of lumen diameter and wall thickness to produce physiologically relevant microvascular structures (Zhang et al., 2016). This approach provides a robust platform for engineering </w:t>
      </w:r>
      <w:proofErr w:type="spellStart"/>
      <w:r w:rsidRPr="00F1039D">
        <w:rPr>
          <w:rFonts w:ascii="Arial" w:hAnsi="Arial" w:cs="Arial"/>
          <w:sz w:val="20"/>
          <w:szCs w:val="20"/>
        </w:rPr>
        <w:t>perfusable</w:t>
      </w:r>
      <w:proofErr w:type="spellEnd"/>
      <w:r w:rsidRPr="00F1039D">
        <w:rPr>
          <w:rFonts w:ascii="Arial" w:hAnsi="Arial" w:cs="Arial"/>
          <w:sz w:val="20"/>
          <w:szCs w:val="20"/>
        </w:rPr>
        <w:t xml:space="preserve"> vascular constructs suitable for complex tissue systems.</w:t>
      </w:r>
    </w:p>
    <w:p w14:paraId="43D541B6" w14:textId="57B240DA"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4</w:t>
      </w:r>
      <w:r w:rsidR="00F349AA" w:rsidRPr="00D26C01">
        <w:rPr>
          <w:rFonts w:ascii="Arial" w:hAnsi="Arial" w:cs="Arial"/>
          <w:b/>
          <w:bCs/>
          <w:sz w:val="20"/>
          <w:szCs w:val="20"/>
        </w:rPr>
        <w:t>.</w:t>
      </w:r>
      <w:r w:rsidR="007049BB">
        <w:rPr>
          <w:rFonts w:ascii="Arial" w:hAnsi="Arial" w:cs="Arial"/>
          <w:b/>
          <w:bCs/>
          <w:sz w:val="20"/>
          <w:szCs w:val="20"/>
        </w:rPr>
        <w:t>3</w:t>
      </w:r>
      <w:r w:rsidR="00F349AA" w:rsidRPr="00D26C01">
        <w:rPr>
          <w:rFonts w:ascii="Arial" w:hAnsi="Arial" w:cs="Arial"/>
          <w:b/>
          <w:bCs/>
          <w:sz w:val="20"/>
          <w:szCs w:val="20"/>
        </w:rPr>
        <w:t xml:space="preserve"> Endothelial Co-printing and Angiogenic Gradients</w:t>
      </w:r>
    </w:p>
    <w:p w14:paraId="7D8B580E" w14:textId="77777777" w:rsidR="0064664B" w:rsidRPr="0064664B" w:rsidRDefault="0064664B" w:rsidP="0064664B">
      <w:pPr>
        <w:spacing w:line="360" w:lineRule="auto"/>
        <w:jc w:val="both"/>
        <w:rPr>
          <w:rFonts w:ascii="Arial" w:hAnsi="Arial" w:cs="Arial"/>
          <w:sz w:val="20"/>
          <w:szCs w:val="20"/>
        </w:rPr>
      </w:pPr>
      <w:r w:rsidRPr="0064664B">
        <w:rPr>
          <w:rFonts w:ascii="Arial" w:hAnsi="Arial" w:cs="Arial"/>
          <w:sz w:val="20"/>
          <w:szCs w:val="20"/>
        </w:rPr>
        <w:t>Biologically driven strategies rely on distributing endothelial cells throughout the entire bioink volume to promote spontaneous microvascular formation via angiogenesis. When endothelial cells are pre-mixed into cell-laden bioinks at homogeneous densities, they gradually self-assemble into interconnected capillary-like structures over a period of days to weeks, often in coordination with surrounding parenchymal cells.</w:t>
      </w:r>
    </w:p>
    <w:p w14:paraId="65BE170E" w14:textId="77777777" w:rsidR="0064664B" w:rsidRPr="0064664B" w:rsidRDefault="0064664B" w:rsidP="0064664B">
      <w:pPr>
        <w:spacing w:line="360" w:lineRule="auto"/>
        <w:jc w:val="both"/>
        <w:rPr>
          <w:rFonts w:ascii="Arial" w:hAnsi="Arial" w:cs="Arial"/>
          <w:sz w:val="20"/>
          <w:szCs w:val="20"/>
        </w:rPr>
      </w:pPr>
      <w:r w:rsidRPr="0064664B">
        <w:rPr>
          <w:rFonts w:ascii="Arial" w:hAnsi="Arial" w:cs="Arial"/>
          <w:sz w:val="20"/>
          <w:szCs w:val="20"/>
        </w:rPr>
        <w:t>Functionalization of these bioinks with immobilized angiogenic growth factors—such as vascular endothelial growth factor (VEGF) and basic fibroblast growth factor (</w:t>
      </w:r>
      <w:proofErr w:type="spellStart"/>
      <w:r w:rsidRPr="0064664B">
        <w:rPr>
          <w:rFonts w:ascii="Arial" w:hAnsi="Arial" w:cs="Arial"/>
          <w:sz w:val="20"/>
          <w:szCs w:val="20"/>
        </w:rPr>
        <w:t>bFGF</w:t>
      </w:r>
      <w:proofErr w:type="spellEnd"/>
      <w:r w:rsidRPr="0064664B">
        <w:rPr>
          <w:rFonts w:ascii="Arial" w:hAnsi="Arial" w:cs="Arial"/>
          <w:sz w:val="20"/>
          <w:szCs w:val="20"/>
        </w:rPr>
        <w:t>)—establishes stable biochemical gradients that direct endothelial migration, alignment, and tubule formation (</w:t>
      </w:r>
      <w:bookmarkStart w:id="5" w:name="_Hlk214109138"/>
      <w:r w:rsidRPr="0064664B">
        <w:rPr>
          <w:rFonts w:ascii="Arial" w:hAnsi="Arial" w:cs="Arial"/>
          <w:sz w:val="20"/>
          <w:szCs w:val="20"/>
        </w:rPr>
        <w:t>Chen</w:t>
      </w:r>
      <w:bookmarkEnd w:id="5"/>
      <w:r w:rsidRPr="0064664B">
        <w:rPr>
          <w:rFonts w:ascii="Arial" w:hAnsi="Arial" w:cs="Arial"/>
          <w:sz w:val="20"/>
          <w:szCs w:val="20"/>
        </w:rPr>
        <w:t xml:space="preserve"> et al., 2017). This bottom-up mechanism facilitates the emergence of dense, capillary-scale vascular networks capable of meeting the metabolic demands of the construct while closely recapitulating natural vascular development.</w:t>
      </w:r>
    </w:p>
    <w:p w14:paraId="48876B99" w14:textId="77777777" w:rsidR="0064664B" w:rsidRPr="0064664B" w:rsidRDefault="0064664B" w:rsidP="0064664B">
      <w:pPr>
        <w:spacing w:line="360" w:lineRule="auto"/>
        <w:jc w:val="both"/>
        <w:rPr>
          <w:rFonts w:ascii="Arial" w:hAnsi="Arial" w:cs="Arial"/>
          <w:sz w:val="20"/>
          <w:szCs w:val="20"/>
        </w:rPr>
      </w:pPr>
      <w:r w:rsidRPr="0064664B">
        <w:rPr>
          <w:rFonts w:ascii="Arial" w:hAnsi="Arial" w:cs="Arial"/>
          <w:sz w:val="20"/>
          <w:szCs w:val="20"/>
        </w:rPr>
        <w:lastRenderedPageBreak/>
        <w:t>However, notable limitations persist. The time required for complete network maturation (approximately 1–3 weeks) can delay construct readiness, and achieving precise control over the final vascular architecture remains challenging due to the inherently self-organizing nature of angiogenesis.</w:t>
      </w:r>
    </w:p>
    <w:p w14:paraId="12C62032" w14:textId="7418F2F1"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4</w:t>
      </w:r>
      <w:r w:rsidR="00F349AA" w:rsidRPr="00D26C01">
        <w:rPr>
          <w:rFonts w:ascii="Arial" w:hAnsi="Arial" w:cs="Arial"/>
          <w:b/>
          <w:bCs/>
          <w:sz w:val="20"/>
          <w:szCs w:val="20"/>
        </w:rPr>
        <w:t>.</w:t>
      </w:r>
      <w:r w:rsidR="007049BB">
        <w:rPr>
          <w:rFonts w:ascii="Arial" w:hAnsi="Arial" w:cs="Arial"/>
          <w:b/>
          <w:bCs/>
          <w:sz w:val="20"/>
          <w:szCs w:val="20"/>
        </w:rPr>
        <w:t>4</w:t>
      </w:r>
      <w:r w:rsidR="00F349AA" w:rsidRPr="00D26C01">
        <w:rPr>
          <w:rFonts w:ascii="Arial" w:hAnsi="Arial" w:cs="Arial"/>
          <w:b/>
          <w:bCs/>
          <w:sz w:val="20"/>
          <w:szCs w:val="20"/>
        </w:rPr>
        <w:t xml:space="preserve"> Computational Design of Vascular Trees</w:t>
      </w:r>
    </w:p>
    <w:p w14:paraId="38AE1884" w14:textId="58B243D4" w:rsidR="0064664B" w:rsidRPr="0064664B" w:rsidRDefault="0064664B" w:rsidP="0064664B">
      <w:pPr>
        <w:spacing w:line="360" w:lineRule="auto"/>
        <w:jc w:val="both"/>
        <w:rPr>
          <w:rFonts w:ascii="Arial" w:hAnsi="Arial" w:cs="Arial"/>
          <w:sz w:val="20"/>
          <w:szCs w:val="20"/>
        </w:rPr>
      </w:pPr>
      <w:r w:rsidRPr="0064664B">
        <w:rPr>
          <w:rFonts w:ascii="Arial" w:hAnsi="Arial" w:cs="Arial"/>
          <w:sz w:val="20"/>
          <w:szCs w:val="20"/>
        </w:rPr>
        <w:t>Computational strategies incorporating algorithmic rules</w:t>
      </w:r>
      <w:r w:rsidR="00B316D6">
        <w:rPr>
          <w:rFonts w:ascii="Arial" w:hAnsi="Arial" w:cs="Arial"/>
          <w:sz w:val="20"/>
          <w:szCs w:val="20"/>
        </w:rPr>
        <w:t xml:space="preserve">, </w:t>
      </w:r>
      <w:r w:rsidRPr="0064664B">
        <w:rPr>
          <w:rFonts w:ascii="Arial" w:hAnsi="Arial" w:cs="Arial"/>
          <w:sz w:val="20"/>
          <w:szCs w:val="20"/>
        </w:rPr>
        <w:t>most notably Murray’s Law</w:t>
      </w:r>
      <w:r w:rsidR="00B316D6">
        <w:rPr>
          <w:rFonts w:ascii="Arial" w:hAnsi="Arial" w:cs="Arial"/>
          <w:sz w:val="20"/>
          <w:szCs w:val="20"/>
        </w:rPr>
        <w:t xml:space="preserve">, </w:t>
      </w:r>
      <w:r w:rsidRPr="0064664B">
        <w:rPr>
          <w:rFonts w:ascii="Arial" w:hAnsi="Arial" w:cs="Arial"/>
          <w:sz w:val="20"/>
          <w:szCs w:val="20"/>
        </w:rPr>
        <w:t xml:space="preserve">enable the generation of hierarchical vascular trees with optimized branching ratios for efficient fluid flow and oxygen transport. These digitally designed networks can be translated into physical constructs through high-resolution bioprinting approaches, particularly sacrificial </w:t>
      </w:r>
      <w:proofErr w:type="spellStart"/>
      <w:r w:rsidRPr="0064664B">
        <w:rPr>
          <w:rFonts w:ascii="Arial" w:hAnsi="Arial" w:cs="Arial"/>
          <w:sz w:val="20"/>
          <w:szCs w:val="20"/>
        </w:rPr>
        <w:t>molding</w:t>
      </w:r>
      <w:proofErr w:type="spellEnd"/>
      <w:r w:rsidRPr="0064664B">
        <w:rPr>
          <w:rFonts w:ascii="Arial" w:hAnsi="Arial" w:cs="Arial"/>
          <w:sz w:val="20"/>
          <w:szCs w:val="20"/>
        </w:rPr>
        <w:t xml:space="preserve"> and vat </w:t>
      </w:r>
      <w:proofErr w:type="spellStart"/>
      <w:r w:rsidRPr="0064664B">
        <w:rPr>
          <w:rFonts w:ascii="Arial" w:hAnsi="Arial" w:cs="Arial"/>
          <w:sz w:val="20"/>
          <w:szCs w:val="20"/>
        </w:rPr>
        <w:t>photopolymerization</w:t>
      </w:r>
      <w:proofErr w:type="spellEnd"/>
      <w:r w:rsidRPr="0064664B">
        <w:rPr>
          <w:rFonts w:ascii="Arial" w:hAnsi="Arial" w:cs="Arial"/>
          <w:sz w:val="20"/>
          <w:szCs w:val="20"/>
        </w:rPr>
        <w:t>, which offer the precision required to reproduce intricate multi-scale geometries.</w:t>
      </w:r>
    </w:p>
    <w:p w14:paraId="09EF54C7" w14:textId="20AE32FD" w:rsidR="0064664B" w:rsidRPr="0064664B" w:rsidRDefault="0064664B" w:rsidP="0064664B">
      <w:pPr>
        <w:spacing w:line="360" w:lineRule="auto"/>
        <w:jc w:val="both"/>
        <w:rPr>
          <w:rFonts w:ascii="Arial" w:hAnsi="Arial" w:cs="Arial"/>
          <w:sz w:val="20"/>
          <w:szCs w:val="20"/>
        </w:rPr>
      </w:pPr>
      <w:r w:rsidRPr="0064664B">
        <w:rPr>
          <w:rFonts w:ascii="Arial" w:hAnsi="Arial" w:cs="Arial"/>
          <w:sz w:val="20"/>
          <w:szCs w:val="20"/>
        </w:rPr>
        <w:t>By ensuring that no region of the engineered tissue exceeds the diffusion limits from nearby capillaries, such designs play a critical role in preventing hypoxia-induced necrosis within dense cellular constructs. Hybrid fabrication approaches</w:t>
      </w:r>
      <w:r w:rsidR="00B316D6">
        <w:rPr>
          <w:rFonts w:ascii="Arial" w:hAnsi="Arial" w:cs="Arial"/>
          <w:sz w:val="20"/>
          <w:szCs w:val="20"/>
        </w:rPr>
        <w:t xml:space="preserve">, </w:t>
      </w:r>
      <w:r w:rsidRPr="0064664B">
        <w:rPr>
          <w:rFonts w:ascii="Arial" w:hAnsi="Arial" w:cs="Arial"/>
          <w:sz w:val="20"/>
          <w:szCs w:val="20"/>
        </w:rPr>
        <w:t xml:space="preserve">where computationally designed sacrificial networks are used to create larger </w:t>
      </w:r>
      <w:proofErr w:type="spellStart"/>
      <w:r w:rsidRPr="0064664B">
        <w:rPr>
          <w:rFonts w:ascii="Arial" w:hAnsi="Arial" w:cs="Arial"/>
          <w:sz w:val="20"/>
          <w:szCs w:val="20"/>
        </w:rPr>
        <w:t>perfusable</w:t>
      </w:r>
      <w:proofErr w:type="spellEnd"/>
      <w:r w:rsidRPr="0064664B">
        <w:rPr>
          <w:rFonts w:ascii="Arial" w:hAnsi="Arial" w:cs="Arial"/>
          <w:sz w:val="20"/>
          <w:szCs w:val="20"/>
        </w:rPr>
        <w:t xml:space="preserve"> channels while endothelial cell-laden bioinks drive spontaneous capillary formation</w:t>
      </w:r>
      <w:r w:rsidR="00B316D6">
        <w:rPr>
          <w:rFonts w:ascii="Arial" w:hAnsi="Arial" w:cs="Arial"/>
          <w:sz w:val="20"/>
          <w:szCs w:val="20"/>
        </w:rPr>
        <w:t xml:space="preserve">, </w:t>
      </w:r>
      <w:r w:rsidRPr="0064664B">
        <w:rPr>
          <w:rFonts w:ascii="Arial" w:hAnsi="Arial" w:cs="Arial"/>
          <w:sz w:val="20"/>
          <w:szCs w:val="20"/>
        </w:rPr>
        <w:t>have demonstrated superior outcomes in achieving functional vascularization (</w:t>
      </w:r>
      <w:r w:rsidR="00916FED">
        <w:rPr>
          <w:rFonts w:ascii="Arial" w:hAnsi="Arial" w:cs="Arial"/>
          <w:sz w:val="20"/>
          <w:szCs w:val="20"/>
        </w:rPr>
        <w:t>Hudson</w:t>
      </w:r>
      <w:r w:rsidRPr="0064664B">
        <w:rPr>
          <w:rFonts w:ascii="Arial" w:hAnsi="Arial" w:cs="Arial"/>
          <w:sz w:val="20"/>
          <w:szCs w:val="20"/>
        </w:rPr>
        <w:t xml:space="preserve"> et al., 20</w:t>
      </w:r>
      <w:r w:rsidR="00916FED">
        <w:rPr>
          <w:rFonts w:ascii="Arial" w:hAnsi="Arial" w:cs="Arial"/>
          <w:sz w:val="20"/>
          <w:szCs w:val="20"/>
        </w:rPr>
        <w:t>25</w:t>
      </w:r>
      <w:r w:rsidRPr="0064664B">
        <w:rPr>
          <w:rFonts w:ascii="Arial" w:hAnsi="Arial" w:cs="Arial"/>
          <w:sz w:val="20"/>
          <w:szCs w:val="20"/>
        </w:rPr>
        <w:t>).</w:t>
      </w:r>
    </w:p>
    <w:p w14:paraId="3DCCE27C" w14:textId="18E2BC24" w:rsidR="00F349AA" w:rsidRPr="001140BF" w:rsidRDefault="00A30824" w:rsidP="00FF52EE">
      <w:pPr>
        <w:spacing w:line="360" w:lineRule="auto"/>
        <w:jc w:val="both"/>
        <w:rPr>
          <w:rFonts w:ascii="Arial" w:hAnsi="Arial" w:cs="Arial"/>
          <w:b/>
          <w:bCs/>
        </w:rPr>
      </w:pPr>
      <w:r w:rsidRPr="001140BF">
        <w:rPr>
          <w:rFonts w:ascii="Arial" w:hAnsi="Arial" w:cs="Arial"/>
          <w:b/>
          <w:bCs/>
        </w:rPr>
        <w:t>5</w:t>
      </w:r>
      <w:r w:rsidR="00F349AA" w:rsidRPr="001140BF">
        <w:rPr>
          <w:rFonts w:ascii="Arial" w:hAnsi="Arial" w:cs="Arial"/>
          <w:b/>
          <w:bCs/>
        </w:rPr>
        <w:t>. APPLICATIONS IN IMMUNOLOGY AND THERAPEUTIC DEVELOPMENT</w:t>
      </w:r>
    </w:p>
    <w:p w14:paraId="78198F8D" w14:textId="552195B8"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5</w:t>
      </w:r>
      <w:r w:rsidR="00F349AA" w:rsidRPr="00D26C01">
        <w:rPr>
          <w:rFonts w:ascii="Arial" w:hAnsi="Arial" w:cs="Arial"/>
          <w:b/>
          <w:bCs/>
          <w:sz w:val="20"/>
          <w:szCs w:val="20"/>
        </w:rPr>
        <w:t xml:space="preserve">.1 </w:t>
      </w:r>
      <w:r w:rsidR="001C7F6A" w:rsidRPr="00D26C01">
        <w:rPr>
          <w:rFonts w:ascii="Arial" w:hAnsi="Arial" w:cs="Arial"/>
          <w:b/>
          <w:bCs/>
          <w:sz w:val="20"/>
          <w:szCs w:val="20"/>
        </w:rPr>
        <w:t>Tumour</w:t>
      </w:r>
      <w:r w:rsidR="00F349AA" w:rsidRPr="00D26C01">
        <w:rPr>
          <w:rFonts w:ascii="Arial" w:hAnsi="Arial" w:cs="Arial"/>
          <w:b/>
          <w:bCs/>
          <w:sz w:val="20"/>
          <w:szCs w:val="20"/>
        </w:rPr>
        <w:t>-Immune Interaction Models</w:t>
      </w:r>
    </w:p>
    <w:p w14:paraId="6B24619A" w14:textId="77777777" w:rsidR="003922E6" w:rsidRPr="003922E6" w:rsidRDefault="003922E6" w:rsidP="003922E6">
      <w:pPr>
        <w:spacing w:line="360" w:lineRule="auto"/>
        <w:jc w:val="both"/>
        <w:rPr>
          <w:rFonts w:ascii="Arial" w:hAnsi="Arial" w:cs="Arial"/>
          <w:sz w:val="20"/>
          <w:szCs w:val="20"/>
        </w:rPr>
      </w:pPr>
      <w:r w:rsidRPr="003922E6">
        <w:rPr>
          <w:rFonts w:ascii="Arial" w:hAnsi="Arial" w:cs="Arial"/>
          <w:sz w:val="20"/>
          <w:szCs w:val="20"/>
        </w:rPr>
        <w:t xml:space="preserve">3D </w:t>
      </w:r>
      <w:proofErr w:type="spellStart"/>
      <w:r w:rsidRPr="003922E6">
        <w:rPr>
          <w:rFonts w:ascii="Arial" w:hAnsi="Arial" w:cs="Arial"/>
          <w:sz w:val="20"/>
          <w:szCs w:val="20"/>
        </w:rPr>
        <w:t>bioprinted</w:t>
      </w:r>
      <w:proofErr w:type="spellEnd"/>
      <w:r w:rsidRPr="003922E6">
        <w:rPr>
          <w:rFonts w:ascii="Arial" w:hAnsi="Arial" w:cs="Arial"/>
          <w:sz w:val="20"/>
          <w:szCs w:val="20"/>
        </w:rPr>
        <w:t xml:space="preserve"> tumour–immune models provide a physiologically relevant platform for studying cancer–immune interactions by enabling controlled spatial organization of tumour cells, stromal components, and immune cells. Tumour organoids or patient-derived spheroids are typically positioned at the core, while surrounding regions contain dendritic cells, T cells, and supporting stromal cells, recreating functional lymphoid-like microenvironments.</w:t>
      </w:r>
    </w:p>
    <w:p w14:paraId="6DC14C0D" w14:textId="77777777" w:rsidR="003922E6" w:rsidRPr="003922E6" w:rsidRDefault="003922E6" w:rsidP="003922E6">
      <w:pPr>
        <w:spacing w:line="360" w:lineRule="auto"/>
        <w:jc w:val="both"/>
        <w:rPr>
          <w:rFonts w:ascii="Arial" w:hAnsi="Arial" w:cs="Arial"/>
          <w:sz w:val="20"/>
          <w:szCs w:val="20"/>
        </w:rPr>
      </w:pPr>
      <w:r w:rsidRPr="003922E6">
        <w:rPr>
          <w:rFonts w:ascii="Arial" w:hAnsi="Arial" w:cs="Arial"/>
          <w:sz w:val="20"/>
          <w:szCs w:val="20"/>
        </w:rPr>
        <w:t xml:space="preserve">Compared to conventional 2D co-cultures, these 3D models enhance immune–tumour crosstalk, supporting more realistic T-cell infiltration, cytokine </w:t>
      </w:r>
      <w:proofErr w:type="spellStart"/>
      <w:r w:rsidRPr="003922E6">
        <w:rPr>
          <w:rFonts w:ascii="Arial" w:hAnsi="Arial" w:cs="Arial"/>
          <w:sz w:val="20"/>
          <w:szCs w:val="20"/>
        </w:rPr>
        <w:t>signaling</w:t>
      </w:r>
      <w:proofErr w:type="spellEnd"/>
      <w:r w:rsidRPr="003922E6">
        <w:rPr>
          <w:rFonts w:ascii="Arial" w:hAnsi="Arial" w:cs="Arial"/>
          <w:sz w:val="20"/>
          <w:szCs w:val="20"/>
        </w:rPr>
        <w:t>, and immune responses. They also improve prediction of immunotherapy outcomes and facilitate the study of resistance mechanisms to immune checkpoint inhibitors (Nomdedeu-Sancho et al., 2023; Zhang et al., 2024). Such models therefore hold considerable promise for personalized cancer immunology and preclinical therapeutic testing.</w:t>
      </w:r>
    </w:p>
    <w:p w14:paraId="3E4201F3" w14:textId="48C12747"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5</w:t>
      </w:r>
      <w:r w:rsidR="00F349AA" w:rsidRPr="00D26C01">
        <w:rPr>
          <w:rFonts w:ascii="Arial" w:hAnsi="Arial" w:cs="Arial"/>
          <w:b/>
          <w:bCs/>
          <w:sz w:val="20"/>
          <w:szCs w:val="20"/>
        </w:rPr>
        <w:t>.2 Vaccine and Adjuvant Testing Platforms</w:t>
      </w:r>
    </w:p>
    <w:p w14:paraId="138497BD" w14:textId="77777777" w:rsidR="008339EA" w:rsidRPr="008339EA" w:rsidRDefault="008339EA" w:rsidP="008339EA">
      <w:pPr>
        <w:spacing w:line="360" w:lineRule="auto"/>
        <w:jc w:val="both"/>
        <w:rPr>
          <w:rFonts w:ascii="Arial" w:hAnsi="Arial" w:cs="Arial"/>
          <w:sz w:val="20"/>
          <w:szCs w:val="20"/>
        </w:rPr>
      </w:pPr>
      <w:r w:rsidRPr="008339EA">
        <w:rPr>
          <w:rFonts w:ascii="Arial" w:hAnsi="Arial" w:cs="Arial"/>
          <w:sz w:val="20"/>
          <w:szCs w:val="20"/>
        </w:rPr>
        <w:t xml:space="preserve">Engineered lymphoid tissue models, including 3D </w:t>
      </w:r>
      <w:proofErr w:type="spellStart"/>
      <w:r w:rsidRPr="008339EA">
        <w:rPr>
          <w:rFonts w:ascii="Arial" w:hAnsi="Arial" w:cs="Arial"/>
          <w:sz w:val="20"/>
          <w:szCs w:val="20"/>
        </w:rPr>
        <w:t>bioprinted</w:t>
      </w:r>
      <w:proofErr w:type="spellEnd"/>
      <w:r w:rsidRPr="008339EA">
        <w:rPr>
          <w:rFonts w:ascii="Arial" w:hAnsi="Arial" w:cs="Arial"/>
          <w:sz w:val="20"/>
          <w:szCs w:val="20"/>
        </w:rPr>
        <w:t xml:space="preserve"> and organ-on-chip systems, have emerged as powerful platforms for evaluating vaccines and adjuvants under human-relevant conditions. These constructs integrate key immune populations—dendritic cells, T cells, B cells, and stromal cells—to recapitulate essential lymph node functions such as antigen presentation, T–B cell interactions, and germinal </w:t>
      </w:r>
      <w:proofErr w:type="spellStart"/>
      <w:r w:rsidRPr="008339EA">
        <w:rPr>
          <w:rFonts w:ascii="Arial" w:hAnsi="Arial" w:cs="Arial"/>
          <w:sz w:val="20"/>
          <w:szCs w:val="20"/>
        </w:rPr>
        <w:t>center</w:t>
      </w:r>
      <w:proofErr w:type="spellEnd"/>
      <w:r w:rsidRPr="008339EA">
        <w:rPr>
          <w:rFonts w:ascii="Arial" w:hAnsi="Arial" w:cs="Arial"/>
          <w:sz w:val="20"/>
          <w:szCs w:val="20"/>
        </w:rPr>
        <w:t>-like organization (Shanti et al., 2022; Riggert et al., 2023).</w:t>
      </w:r>
    </w:p>
    <w:p w14:paraId="60BDF896" w14:textId="77777777" w:rsidR="008339EA" w:rsidRPr="008339EA" w:rsidRDefault="008339EA" w:rsidP="008339EA">
      <w:pPr>
        <w:spacing w:line="360" w:lineRule="auto"/>
        <w:jc w:val="both"/>
        <w:rPr>
          <w:rFonts w:ascii="Arial" w:hAnsi="Arial" w:cs="Arial"/>
          <w:sz w:val="20"/>
          <w:szCs w:val="20"/>
        </w:rPr>
      </w:pPr>
      <w:r w:rsidRPr="008339EA">
        <w:rPr>
          <w:rFonts w:ascii="Arial" w:hAnsi="Arial" w:cs="Arial"/>
          <w:sz w:val="20"/>
          <w:szCs w:val="20"/>
        </w:rPr>
        <w:t xml:space="preserve">Exposure to candidate vaccine formulations in these platforms triggers functional immune responses, including cytokine secretion, T-cell activation, and B-cell proliferation. Spatially controlled delivery of </w:t>
      </w:r>
      <w:r w:rsidRPr="008339EA">
        <w:rPr>
          <w:rFonts w:ascii="Arial" w:hAnsi="Arial" w:cs="Arial"/>
          <w:sz w:val="20"/>
          <w:szCs w:val="20"/>
        </w:rPr>
        <w:lastRenderedPageBreak/>
        <w:t>antigens and adjuvants within these models can modulate immune activation and improve the prediction of vaccine efficacy (Zhang et al., 2022).</w:t>
      </w:r>
    </w:p>
    <w:p w14:paraId="72F684E8" w14:textId="77777777" w:rsidR="008339EA" w:rsidRPr="008339EA" w:rsidRDefault="008339EA" w:rsidP="008339EA">
      <w:pPr>
        <w:spacing w:line="360" w:lineRule="auto"/>
        <w:jc w:val="both"/>
        <w:rPr>
          <w:rFonts w:ascii="Arial" w:hAnsi="Arial" w:cs="Arial"/>
          <w:sz w:val="20"/>
          <w:szCs w:val="20"/>
        </w:rPr>
      </w:pPr>
      <w:r w:rsidRPr="008339EA">
        <w:rPr>
          <w:rFonts w:ascii="Arial" w:hAnsi="Arial" w:cs="Arial"/>
          <w:sz w:val="20"/>
          <w:szCs w:val="20"/>
        </w:rPr>
        <w:t>By providing a controlled and human-relevant environment, these systems reduce the reliance on animal models, accelerate early-stage vaccine screening, and support the rational design of novel adjuvants and immunotherapies.</w:t>
      </w:r>
    </w:p>
    <w:p w14:paraId="78507B87" w14:textId="4140E570"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5</w:t>
      </w:r>
      <w:r w:rsidR="00F349AA" w:rsidRPr="00D26C01">
        <w:rPr>
          <w:rFonts w:ascii="Arial" w:hAnsi="Arial" w:cs="Arial"/>
          <w:b/>
          <w:bCs/>
          <w:sz w:val="20"/>
          <w:szCs w:val="20"/>
        </w:rPr>
        <w:t>.3 Model</w:t>
      </w:r>
      <w:r w:rsidR="00DE566D" w:rsidRPr="00D26C01">
        <w:rPr>
          <w:rFonts w:ascii="Arial" w:hAnsi="Arial" w:cs="Arial"/>
          <w:b/>
          <w:bCs/>
          <w:sz w:val="20"/>
          <w:szCs w:val="20"/>
        </w:rPr>
        <w:t>l</w:t>
      </w:r>
      <w:r w:rsidR="00F349AA" w:rsidRPr="00D26C01">
        <w:rPr>
          <w:rFonts w:ascii="Arial" w:hAnsi="Arial" w:cs="Arial"/>
          <w:b/>
          <w:bCs/>
          <w:sz w:val="20"/>
          <w:szCs w:val="20"/>
        </w:rPr>
        <w:t xml:space="preserve">ing </w:t>
      </w:r>
      <w:proofErr w:type="spellStart"/>
      <w:r w:rsidR="00F349AA" w:rsidRPr="00D26C01">
        <w:rPr>
          <w:rFonts w:ascii="Arial" w:hAnsi="Arial" w:cs="Arial"/>
          <w:b/>
          <w:bCs/>
          <w:sz w:val="20"/>
          <w:szCs w:val="20"/>
        </w:rPr>
        <w:t>Immuno</w:t>
      </w:r>
      <w:r w:rsidR="00162FFC" w:rsidRPr="00D26C01">
        <w:rPr>
          <w:rFonts w:ascii="Arial" w:hAnsi="Arial" w:cs="Arial"/>
          <w:b/>
          <w:bCs/>
          <w:sz w:val="20"/>
          <w:szCs w:val="20"/>
        </w:rPr>
        <w:t>s</w:t>
      </w:r>
      <w:r w:rsidR="00F349AA" w:rsidRPr="00D26C01">
        <w:rPr>
          <w:rFonts w:ascii="Arial" w:hAnsi="Arial" w:cs="Arial"/>
          <w:b/>
          <w:bCs/>
          <w:sz w:val="20"/>
          <w:szCs w:val="20"/>
        </w:rPr>
        <w:t>ene</w:t>
      </w:r>
      <w:r w:rsidR="00162FFC" w:rsidRPr="00D26C01">
        <w:rPr>
          <w:rFonts w:ascii="Arial" w:hAnsi="Arial" w:cs="Arial"/>
          <w:b/>
          <w:bCs/>
          <w:sz w:val="20"/>
          <w:szCs w:val="20"/>
        </w:rPr>
        <w:t>s</w:t>
      </w:r>
      <w:r w:rsidR="00F349AA" w:rsidRPr="00D26C01">
        <w:rPr>
          <w:rFonts w:ascii="Arial" w:hAnsi="Arial" w:cs="Arial"/>
          <w:b/>
          <w:bCs/>
          <w:sz w:val="20"/>
          <w:szCs w:val="20"/>
        </w:rPr>
        <w:t>cence</w:t>
      </w:r>
      <w:proofErr w:type="spellEnd"/>
      <w:r w:rsidR="00F349AA" w:rsidRPr="00D26C01">
        <w:rPr>
          <w:rFonts w:ascii="Arial" w:hAnsi="Arial" w:cs="Arial"/>
          <w:b/>
          <w:bCs/>
          <w:sz w:val="20"/>
          <w:szCs w:val="20"/>
        </w:rPr>
        <w:t xml:space="preserve"> and Chronic Inflammation</w:t>
      </w:r>
    </w:p>
    <w:p w14:paraId="11494850" w14:textId="77777777" w:rsidR="007C6D34" w:rsidRPr="007C6D34" w:rsidRDefault="007C6D34" w:rsidP="007C6D34">
      <w:pPr>
        <w:spacing w:line="360" w:lineRule="auto"/>
        <w:jc w:val="both"/>
        <w:rPr>
          <w:rFonts w:ascii="Arial" w:hAnsi="Arial" w:cs="Arial"/>
          <w:sz w:val="20"/>
          <w:szCs w:val="20"/>
        </w:rPr>
      </w:pPr>
      <w:r w:rsidRPr="007C6D34">
        <w:rPr>
          <w:rFonts w:ascii="Arial" w:hAnsi="Arial" w:cs="Arial"/>
          <w:sz w:val="20"/>
          <w:szCs w:val="20"/>
        </w:rPr>
        <w:t xml:space="preserve">Bioprinting offers an advanced platform for modelling age-associated immune decline by enabling the fabrication of lymphoid tissues using cells derived from aged or chronically inflamed donors (Baechle et al., 2023). Constructs generated with immune and stromal cells sourced from elderly individuals reproduce hallmarks of </w:t>
      </w:r>
      <w:proofErr w:type="spellStart"/>
      <w:r w:rsidRPr="007C6D34">
        <w:rPr>
          <w:rFonts w:ascii="Arial" w:hAnsi="Arial" w:cs="Arial"/>
          <w:sz w:val="20"/>
          <w:szCs w:val="20"/>
        </w:rPr>
        <w:t>immunosenescence</w:t>
      </w:r>
      <w:proofErr w:type="spellEnd"/>
      <w:r w:rsidRPr="007C6D34">
        <w:rPr>
          <w:rFonts w:ascii="Arial" w:hAnsi="Arial" w:cs="Arial"/>
          <w:sz w:val="20"/>
          <w:szCs w:val="20"/>
        </w:rPr>
        <w:t xml:space="preserve">, including a </w:t>
      </w:r>
      <w:r w:rsidRPr="007C6D34">
        <w:rPr>
          <w:rFonts w:ascii="Arial" w:hAnsi="Arial" w:cs="Arial"/>
          <w:b/>
          <w:bCs/>
          <w:sz w:val="20"/>
          <w:szCs w:val="20"/>
        </w:rPr>
        <w:t>~58% reduction in germinal centre formation efficiency</w:t>
      </w:r>
      <w:r w:rsidRPr="007C6D34">
        <w:rPr>
          <w:rFonts w:ascii="Arial" w:hAnsi="Arial" w:cs="Arial"/>
          <w:sz w:val="20"/>
          <w:szCs w:val="20"/>
        </w:rPr>
        <w:t xml:space="preserve"> and a pronounced shift in cytokine secretion profiles toward pro-inflammatory signatures, consistent with observations in aging human lymphoid tissues (</w:t>
      </w:r>
      <w:bookmarkStart w:id="6" w:name="_Hlk214109662"/>
      <w:proofErr w:type="spellStart"/>
      <w:r w:rsidRPr="007C6D34">
        <w:rPr>
          <w:rFonts w:ascii="Arial" w:hAnsi="Arial" w:cs="Arial"/>
          <w:sz w:val="20"/>
          <w:szCs w:val="20"/>
        </w:rPr>
        <w:t>Goronzy</w:t>
      </w:r>
      <w:bookmarkEnd w:id="6"/>
      <w:proofErr w:type="spellEnd"/>
      <w:r w:rsidRPr="007C6D34">
        <w:rPr>
          <w:rFonts w:ascii="Arial" w:hAnsi="Arial" w:cs="Arial"/>
          <w:sz w:val="20"/>
          <w:szCs w:val="20"/>
        </w:rPr>
        <w:t xml:space="preserve"> &amp; </w:t>
      </w:r>
      <w:proofErr w:type="spellStart"/>
      <w:r w:rsidRPr="007C6D34">
        <w:rPr>
          <w:rFonts w:ascii="Arial" w:hAnsi="Arial" w:cs="Arial"/>
          <w:sz w:val="20"/>
          <w:szCs w:val="20"/>
        </w:rPr>
        <w:t>Weyand</w:t>
      </w:r>
      <w:proofErr w:type="spellEnd"/>
      <w:r w:rsidRPr="007C6D34">
        <w:rPr>
          <w:rFonts w:ascii="Arial" w:hAnsi="Arial" w:cs="Arial"/>
          <w:sz w:val="20"/>
          <w:szCs w:val="20"/>
        </w:rPr>
        <w:t>, 2017).</w:t>
      </w:r>
    </w:p>
    <w:p w14:paraId="4367DF92" w14:textId="246D7BE7" w:rsidR="007C6D34" w:rsidRPr="007C6D34" w:rsidRDefault="007C6D34" w:rsidP="007C6D34">
      <w:pPr>
        <w:spacing w:line="360" w:lineRule="auto"/>
        <w:jc w:val="both"/>
        <w:rPr>
          <w:rFonts w:ascii="Arial" w:hAnsi="Arial" w:cs="Arial"/>
          <w:sz w:val="20"/>
          <w:szCs w:val="20"/>
        </w:rPr>
      </w:pPr>
      <w:r w:rsidRPr="007C6D34">
        <w:rPr>
          <w:rFonts w:ascii="Arial" w:hAnsi="Arial" w:cs="Arial"/>
          <w:sz w:val="20"/>
          <w:szCs w:val="20"/>
        </w:rPr>
        <w:t>Additionally, preconditioning bioinks with inflammatory cytokines—such as IL-6, TNF-α, and IL-1β—induces “inflammaging-like” phenotypes characterized by chronic immune activation, extracellular matrix remodelling, and stromal cell dysfunction (</w:t>
      </w:r>
      <w:r w:rsidR="00DE5D46">
        <w:rPr>
          <w:rFonts w:ascii="Arial" w:hAnsi="Arial" w:cs="Arial"/>
          <w:sz w:val="20"/>
          <w:szCs w:val="20"/>
        </w:rPr>
        <w:t>Gupta</w:t>
      </w:r>
      <w:r w:rsidRPr="007C6D34">
        <w:rPr>
          <w:rFonts w:ascii="Arial" w:hAnsi="Arial" w:cs="Arial"/>
          <w:sz w:val="20"/>
          <w:szCs w:val="20"/>
        </w:rPr>
        <w:t xml:space="preserve"> et al., 2023). These engineered models have proved valuable in evaluating therapeutic strategies: </w:t>
      </w:r>
      <w:proofErr w:type="spellStart"/>
      <w:r w:rsidRPr="007C6D34">
        <w:rPr>
          <w:rFonts w:ascii="Arial" w:hAnsi="Arial" w:cs="Arial"/>
          <w:sz w:val="20"/>
          <w:szCs w:val="20"/>
        </w:rPr>
        <w:t>senolytic</w:t>
      </w:r>
      <w:proofErr w:type="spellEnd"/>
      <w:r w:rsidRPr="007C6D34">
        <w:rPr>
          <w:rFonts w:ascii="Arial" w:hAnsi="Arial" w:cs="Arial"/>
          <w:sz w:val="20"/>
          <w:szCs w:val="20"/>
        </w:rPr>
        <w:t xml:space="preserve"> compounds have been shown to </w:t>
      </w:r>
      <w:r w:rsidRPr="007C6D34">
        <w:rPr>
          <w:rFonts w:ascii="Arial" w:hAnsi="Arial" w:cs="Arial"/>
          <w:b/>
          <w:bCs/>
          <w:sz w:val="20"/>
          <w:szCs w:val="20"/>
        </w:rPr>
        <w:t>reduce senescent cell burden by approximately 65%</w:t>
      </w:r>
      <w:r w:rsidRPr="007C6D34">
        <w:rPr>
          <w:rFonts w:ascii="Arial" w:hAnsi="Arial" w:cs="Arial"/>
          <w:sz w:val="20"/>
          <w:szCs w:val="20"/>
        </w:rPr>
        <w:t>, while JAK pathway inhibitors effectively normalize aberrant cytokine production by stromal cells.</w:t>
      </w:r>
    </w:p>
    <w:p w14:paraId="02F8CFAD" w14:textId="77777777" w:rsidR="007C6D34" w:rsidRDefault="007C6D34" w:rsidP="007C6D34">
      <w:pPr>
        <w:spacing w:line="360" w:lineRule="auto"/>
        <w:jc w:val="both"/>
        <w:rPr>
          <w:rFonts w:ascii="Arial" w:hAnsi="Arial" w:cs="Arial"/>
          <w:sz w:val="20"/>
          <w:szCs w:val="20"/>
        </w:rPr>
      </w:pPr>
      <w:r w:rsidRPr="007C6D34">
        <w:rPr>
          <w:rFonts w:ascii="Arial" w:hAnsi="Arial" w:cs="Arial"/>
          <w:sz w:val="20"/>
          <w:szCs w:val="20"/>
        </w:rPr>
        <w:t xml:space="preserve">Together, these </w:t>
      </w:r>
      <w:proofErr w:type="spellStart"/>
      <w:r w:rsidRPr="007C6D34">
        <w:rPr>
          <w:rFonts w:ascii="Arial" w:hAnsi="Arial" w:cs="Arial"/>
          <w:sz w:val="20"/>
          <w:szCs w:val="20"/>
        </w:rPr>
        <w:t>bioprinted</w:t>
      </w:r>
      <w:proofErr w:type="spellEnd"/>
      <w:r w:rsidRPr="007C6D34">
        <w:rPr>
          <w:rFonts w:ascii="Arial" w:hAnsi="Arial" w:cs="Arial"/>
          <w:sz w:val="20"/>
          <w:szCs w:val="20"/>
        </w:rPr>
        <w:t xml:space="preserve"> systems enable controlled, human-relevant investigation of the mechanisms underlying immune aging and chronic inflammation, while offering a platform for screening interventions aimed at restoring immune homeostasis.</w:t>
      </w:r>
    </w:p>
    <w:p w14:paraId="5EF40C06" w14:textId="77777777" w:rsidR="00853E71" w:rsidRDefault="00853E71" w:rsidP="00853E71">
      <w:pPr>
        <w:spacing w:line="360" w:lineRule="auto"/>
        <w:jc w:val="both"/>
        <w:rPr>
          <w:rFonts w:ascii="Arial" w:hAnsi="Arial" w:cs="Arial"/>
          <w:b/>
          <w:bCs/>
          <w:sz w:val="20"/>
          <w:szCs w:val="20"/>
        </w:rPr>
      </w:pPr>
      <w:r>
        <w:rPr>
          <w:rFonts w:ascii="Arial" w:hAnsi="Arial" w:cs="Arial"/>
          <w:b/>
          <w:bCs/>
          <w:sz w:val="20"/>
          <w:szCs w:val="20"/>
        </w:rPr>
        <w:t>5</w:t>
      </w:r>
      <w:r w:rsidRPr="00D26C01">
        <w:rPr>
          <w:rFonts w:ascii="Arial" w:hAnsi="Arial" w:cs="Arial"/>
          <w:b/>
          <w:bCs/>
          <w:sz w:val="20"/>
          <w:szCs w:val="20"/>
        </w:rPr>
        <w:t>.4 Personalized Immunotherapy Testing</w:t>
      </w:r>
    </w:p>
    <w:p w14:paraId="537E2D1A" w14:textId="77777777" w:rsidR="00853E71" w:rsidRPr="00512652" w:rsidRDefault="00853E71" w:rsidP="00853E71">
      <w:pPr>
        <w:spacing w:line="360" w:lineRule="auto"/>
        <w:jc w:val="both"/>
        <w:rPr>
          <w:rFonts w:ascii="Arial" w:hAnsi="Arial" w:cs="Arial"/>
          <w:sz w:val="20"/>
          <w:szCs w:val="20"/>
        </w:rPr>
      </w:pPr>
      <w:r w:rsidRPr="00512652">
        <w:rPr>
          <w:rFonts w:ascii="Arial" w:hAnsi="Arial" w:cs="Arial"/>
          <w:sz w:val="20"/>
          <w:szCs w:val="20"/>
        </w:rPr>
        <w:t xml:space="preserve">Personalized immune-tumour avatars are being developed using 3D </w:t>
      </w:r>
      <w:proofErr w:type="spellStart"/>
      <w:r w:rsidRPr="00512652">
        <w:rPr>
          <w:rFonts w:ascii="Arial" w:hAnsi="Arial" w:cs="Arial"/>
          <w:sz w:val="20"/>
          <w:szCs w:val="20"/>
        </w:rPr>
        <w:t>organoid</w:t>
      </w:r>
      <w:proofErr w:type="spellEnd"/>
      <w:r w:rsidRPr="00512652">
        <w:rPr>
          <w:rFonts w:ascii="Arial" w:hAnsi="Arial" w:cs="Arial"/>
          <w:sz w:val="20"/>
          <w:szCs w:val="20"/>
        </w:rPr>
        <w:t xml:space="preserve"> or </w:t>
      </w:r>
      <w:proofErr w:type="spellStart"/>
      <w:r w:rsidRPr="00512652">
        <w:rPr>
          <w:rFonts w:ascii="Arial" w:hAnsi="Arial" w:cs="Arial"/>
          <w:sz w:val="20"/>
          <w:szCs w:val="20"/>
        </w:rPr>
        <w:t>bioprinted</w:t>
      </w:r>
      <w:proofErr w:type="spellEnd"/>
      <w:r w:rsidRPr="00512652">
        <w:rPr>
          <w:rFonts w:ascii="Arial" w:hAnsi="Arial" w:cs="Arial"/>
          <w:sz w:val="20"/>
          <w:szCs w:val="20"/>
        </w:rPr>
        <w:t xml:space="preserve"> constructs that incorporate patient-derived tumour cells, lymphocytes, and stromal components. These systems provide ex vivo platforms for evaluating checkpoint inhibitors and CAR</w:t>
      </w:r>
      <w:r w:rsidRPr="00512652">
        <w:rPr>
          <w:rFonts w:ascii="Arial" w:hAnsi="Arial" w:cs="Arial"/>
          <w:sz w:val="20"/>
          <w:szCs w:val="20"/>
        </w:rPr>
        <w:noBreakHyphen/>
        <w:t>T therapies in a patient-specific context.</w:t>
      </w:r>
    </w:p>
    <w:p w14:paraId="2A952001" w14:textId="77777777" w:rsidR="00853E71" w:rsidRPr="00512652" w:rsidRDefault="00853E71" w:rsidP="00853E71">
      <w:pPr>
        <w:spacing w:line="360" w:lineRule="auto"/>
        <w:jc w:val="both"/>
        <w:rPr>
          <w:rFonts w:ascii="Arial" w:hAnsi="Arial" w:cs="Arial"/>
          <w:sz w:val="20"/>
          <w:szCs w:val="20"/>
        </w:rPr>
      </w:pPr>
      <w:r w:rsidRPr="00512652">
        <w:rPr>
          <w:rFonts w:ascii="Arial" w:hAnsi="Arial" w:cs="Arial"/>
          <w:sz w:val="20"/>
          <w:szCs w:val="20"/>
        </w:rPr>
        <w:t>For example, patient-derived melanoma lymph node organoids correctly predicted clinical responses to PD-1 inhibitors, demonstrating high concordance with patient outcomes (Jenkins et al., 2020). Similarly, lymph node–mimetic scaffolds have been shown to enhance CAR</w:t>
      </w:r>
      <w:r w:rsidRPr="00512652">
        <w:rPr>
          <w:rFonts w:ascii="Arial" w:hAnsi="Arial" w:cs="Arial"/>
          <w:sz w:val="20"/>
          <w:szCs w:val="20"/>
        </w:rPr>
        <w:noBreakHyphen/>
        <w:t>T cell activation and expansion, enabling functional testing of adoptive immunotherapies (Zhang et al., 2024).</w:t>
      </w:r>
    </w:p>
    <w:p w14:paraId="35F98CDF" w14:textId="77777777" w:rsidR="00853E71" w:rsidRPr="002732A0" w:rsidRDefault="00853E71" w:rsidP="00853E71">
      <w:pPr>
        <w:spacing w:line="360" w:lineRule="auto"/>
        <w:jc w:val="both"/>
        <w:rPr>
          <w:rFonts w:ascii="Arial" w:hAnsi="Arial" w:cs="Arial"/>
          <w:sz w:val="20"/>
          <w:szCs w:val="20"/>
        </w:rPr>
      </w:pPr>
      <w:r w:rsidRPr="00512652">
        <w:rPr>
          <w:rFonts w:ascii="Arial" w:hAnsi="Arial" w:cs="Arial"/>
          <w:sz w:val="20"/>
          <w:szCs w:val="20"/>
        </w:rPr>
        <w:t>These personalized platforms offer a promising approach for guiding individualized immunotherapy strategies and reducing ineffective treatments.</w:t>
      </w:r>
    </w:p>
    <w:p w14:paraId="6EC6E2B4" w14:textId="77777777" w:rsidR="00853E71" w:rsidRPr="00853E71" w:rsidRDefault="00853E71" w:rsidP="00853E71">
      <w:pPr>
        <w:rPr>
          <w:rFonts w:ascii="Arial" w:hAnsi="Arial" w:cs="Arial"/>
          <w:sz w:val="20"/>
          <w:szCs w:val="20"/>
        </w:rPr>
      </w:pPr>
    </w:p>
    <w:p w14:paraId="6038BBFC" w14:textId="65A240B6" w:rsidR="00853E71" w:rsidRPr="007C6D34" w:rsidRDefault="00853E71" w:rsidP="007C6D34">
      <w:pPr>
        <w:spacing w:line="360" w:lineRule="auto"/>
        <w:jc w:val="both"/>
        <w:rPr>
          <w:rFonts w:ascii="Arial" w:hAnsi="Arial" w:cs="Arial"/>
          <w:sz w:val="20"/>
          <w:szCs w:val="20"/>
        </w:rPr>
      </w:pPr>
      <w:r>
        <w:rPr>
          <w:noProof/>
          <w:lang w:val="en-US"/>
        </w:rPr>
        <w:lastRenderedPageBreak/>
        <w:drawing>
          <wp:inline distT="114300" distB="114300" distL="114300" distR="114300" wp14:anchorId="1B7FA41F" wp14:editId="0AC80731">
            <wp:extent cx="5731200" cy="40132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31200" cy="4013200"/>
                    </a:xfrm>
                    <a:prstGeom prst="rect">
                      <a:avLst/>
                    </a:prstGeom>
                    <a:ln/>
                  </pic:spPr>
                </pic:pic>
              </a:graphicData>
            </a:graphic>
          </wp:inline>
        </w:drawing>
      </w:r>
    </w:p>
    <w:p w14:paraId="62D3DF90" w14:textId="1E64B132" w:rsidR="008F1E4F" w:rsidRDefault="00853E71" w:rsidP="00FF52EE">
      <w:pPr>
        <w:spacing w:line="360" w:lineRule="auto"/>
        <w:jc w:val="both"/>
        <w:rPr>
          <w:rFonts w:ascii="Arial" w:hAnsi="Arial" w:cs="Arial"/>
          <w:b/>
          <w:bCs/>
          <w:sz w:val="20"/>
          <w:szCs w:val="20"/>
        </w:rPr>
      </w:pPr>
      <w:r w:rsidRPr="00853E71">
        <w:rPr>
          <w:rFonts w:ascii="Arial" w:hAnsi="Arial" w:cs="Arial"/>
          <w:b/>
          <w:bCs/>
          <w:sz w:val="20"/>
          <w:szCs w:val="20"/>
        </w:rPr>
        <w:t xml:space="preserve">Figure </w:t>
      </w:r>
      <w:r>
        <w:rPr>
          <w:rFonts w:ascii="Arial" w:hAnsi="Arial" w:cs="Arial"/>
          <w:b/>
          <w:bCs/>
          <w:sz w:val="20"/>
          <w:szCs w:val="20"/>
        </w:rPr>
        <w:t>2</w:t>
      </w:r>
      <w:r w:rsidRPr="00853E71">
        <w:rPr>
          <w:rFonts w:ascii="Arial" w:hAnsi="Arial" w:cs="Arial"/>
          <w:b/>
          <w:bCs/>
          <w:sz w:val="20"/>
          <w:szCs w:val="20"/>
        </w:rPr>
        <w:t>. Medical Applications of 3D Printing Across Human Anatomy</w:t>
      </w:r>
      <w:r w:rsidR="007D46BF">
        <w:rPr>
          <w:rFonts w:ascii="Arial" w:hAnsi="Arial" w:cs="Arial"/>
          <w:b/>
          <w:bCs/>
          <w:sz w:val="20"/>
          <w:szCs w:val="20"/>
        </w:rPr>
        <w:t>. (</w:t>
      </w:r>
      <w:r w:rsidR="007D46BF" w:rsidRPr="007D46BF">
        <w:rPr>
          <w:rFonts w:ascii="Arial" w:hAnsi="Arial" w:cs="Arial"/>
          <w:b/>
          <w:bCs/>
          <w:i/>
          <w:iCs/>
          <w:sz w:val="20"/>
          <w:szCs w:val="20"/>
        </w:rPr>
        <w:t>This schematic illustrates diverse medical applications of 3D printing mapped to anatomical regions.</w:t>
      </w:r>
      <w:r w:rsidR="007D46BF" w:rsidRPr="007D46BF">
        <w:rPr>
          <w:rFonts w:ascii="Arial" w:hAnsi="Arial" w:cs="Arial"/>
          <w:b/>
          <w:bCs/>
          <w:sz w:val="20"/>
          <w:szCs w:val="20"/>
        </w:rPr>
        <w:t xml:space="preserve"> </w:t>
      </w:r>
      <w:r w:rsidR="007D46BF" w:rsidRPr="007D46BF">
        <w:rPr>
          <w:rFonts w:ascii="Arial" w:hAnsi="Arial" w:cs="Arial"/>
          <w:b/>
          <w:bCs/>
          <w:i/>
          <w:iCs/>
          <w:sz w:val="20"/>
          <w:szCs w:val="20"/>
        </w:rPr>
        <w:t xml:space="preserve">created using </w:t>
      </w:r>
      <w:r w:rsidR="007D46BF" w:rsidRPr="007D46BF">
        <w:rPr>
          <w:rFonts w:ascii="Arial" w:hAnsi="Arial" w:cs="Arial"/>
          <w:b/>
          <w:bCs/>
          <w:sz w:val="20"/>
          <w:szCs w:val="20"/>
        </w:rPr>
        <w:t>BioRender.com</w:t>
      </w:r>
      <w:r w:rsidR="007D46BF">
        <w:rPr>
          <w:rFonts w:ascii="Arial" w:hAnsi="Arial" w:cs="Arial"/>
          <w:b/>
          <w:bCs/>
          <w:i/>
          <w:iCs/>
          <w:sz w:val="20"/>
          <w:szCs w:val="20"/>
        </w:rPr>
        <w:t>)</w:t>
      </w:r>
    </w:p>
    <w:p w14:paraId="5C587977" w14:textId="2E4CABC1" w:rsidR="00F349AA" w:rsidRPr="00D26C01" w:rsidRDefault="00A30824" w:rsidP="00512652">
      <w:pPr>
        <w:spacing w:line="360" w:lineRule="auto"/>
        <w:jc w:val="both"/>
        <w:rPr>
          <w:rFonts w:ascii="Arial" w:hAnsi="Arial" w:cs="Arial"/>
          <w:b/>
          <w:bCs/>
          <w:sz w:val="20"/>
          <w:szCs w:val="20"/>
        </w:rPr>
      </w:pPr>
      <w:r>
        <w:rPr>
          <w:rFonts w:ascii="Arial" w:hAnsi="Arial" w:cs="Arial"/>
          <w:b/>
          <w:bCs/>
          <w:sz w:val="20"/>
          <w:szCs w:val="20"/>
        </w:rPr>
        <w:t>5</w:t>
      </w:r>
      <w:r w:rsidR="00F349AA" w:rsidRPr="00D26C01">
        <w:rPr>
          <w:rFonts w:ascii="Arial" w:hAnsi="Arial" w:cs="Arial"/>
          <w:b/>
          <w:bCs/>
          <w:sz w:val="20"/>
          <w:szCs w:val="20"/>
        </w:rPr>
        <w:t xml:space="preserve">.5 Autoimmune Disease and Infectious Disease </w:t>
      </w:r>
      <w:r w:rsidR="00DE566D" w:rsidRPr="00D26C01">
        <w:rPr>
          <w:rFonts w:ascii="Arial" w:hAnsi="Arial" w:cs="Arial"/>
          <w:b/>
          <w:bCs/>
          <w:sz w:val="20"/>
          <w:szCs w:val="20"/>
        </w:rPr>
        <w:t>Modelling</w:t>
      </w:r>
    </w:p>
    <w:p w14:paraId="0C281C9B" w14:textId="77777777" w:rsidR="0056597A" w:rsidRPr="002732A0" w:rsidRDefault="0056597A" w:rsidP="0056597A">
      <w:pPr>
        <w:spacing w:line="360" w:lineRule="auto"/>
        <w:jc w:val="both"/>
        <w:rPr>
          <w:rFonts w:ascii="Arial" w:hAnsi="Arial" w:cs="Arial"/>
          <w:sz w:val="20"/>
          <w:szCs w:val="20"/>
        </w:rPr>
      </w:pPr>
      <w:r w:rsidRPr="0056597A">
        <w:rPr>
          <w:rFonts w:ascii="Arial" w:hAnsi="Arial" w:cs="Arial"/>
          <w:sz w:val="20"/>
          <w:szCs w:val="20"/>
        </w:rPr>
        <w:t xml:space="preserve">Bio-printed lymphoid tissues are increasingly being applied to model autoimmune diseases in which </w:t>
      </w:r>
      <w:r w:rsidRPr="002732A0">
        <w:rPr>
          <w:rFonts w:ascii="Arial" w:hAnsi="Arial" w:cs="Arial"/>
          <w:sz w:val="20"/>
          <w:szCs w:val="20"/>
        </w:rPr>
        <w:t xml:space="preserve">dysregulated immune activation occurs within organized lymphoid microenvironments. Constructs incorporating patient-derived stromal cells, autoreactive B cells, and T cells have been used to mimic tertiary lymphoid structures characteristic of rheumatoid arthritis, enabling controlled investigation of antigen-driven activation pathways and cytokine dysregulation. Similarly, </w:t>
      </w:r>
      <w:proofErr w:type="spellStart"/>
      <w:r w:rsidRPr="002732A0">
        <w:rPr>
          <w:rFonts w:ascii="Arial" w:hAnsi="Arial" w:cs="Arial"/>
          <w:sz w:val="20"/>
          <w:szCs w:val="20"/>
        </w:rPr>
        <w:t>bioprinted</w:t>
      </w:r>
      <w:proofErr w:type="spellEnd"/>
      <w:r w:rsidRPr="002732A0">
        <w:rPr>
          <w:rFonts w:ascii="Arial" w:hAnsi="Arial" w:cs="Arial"/>
          <w:sz w:val="20"/>
          <w:szCs w:val="20"/>
        </w:rPr>
        <w:t xml:space="preserve"> platforms modelling systemic lupus erythematosus have been used to study defects in B-cell tolerance and enhanced germinal centre activity, while type 1 diabetes models that co-print pancreatic islet cells with lymphoid components recapitulate early autoimmune targeting processes (Huang et al., 2024).</w:t>
      </w:r>
    </w:p>
    <w:p w14:paraId="79DE2C70" w14:textId="2DB7E8EA" w:rsidR="0056597A" w:rsidRPr="002732A0" w:rsidRDefault="0056597A" w:rsidP="0056597A">
      <w:pPr>
        <w:spacing w:line="360" w:lineRule="auto"/>
        <w:jc w:val="both"/>
        <w:rPr>
          <w:rFonts w:ascii="Arial" w:hAnsi="Arial" w:cs="Arial"/>
          <w:sz w:val="20"/>
          <w:szCs w:val="20"/>
        </w:rPr>
      </w:pPr>
      <w:r w:rsidRPr="002732A0">
        <w:rPr>
          <w:rFonts w:ascii="Arial" w:hAnsi="Arial" w:cs="Arial"/>
          <w:sz w:val="20"/>
          <w:szCs w:val="20"/>
        </w:rPr>
        <w:t xml:space="preserve">In infectious disease research, bioprinting allows the creation of physiologically relevant human lymphoid models that capture key pathogen–immune interactions. HIV follicular infection models have been used to study viral persistence and evaluate latency-reversing agents within germinal centre-like environments. Human lymphoid organoids have also supported rapid evaluation of COVID-19 vaccine candidates, enabling analysis of antigen presentation, cytokine induction, and early germinal centre responses in a controlled, human-specific context. Additionally, tuberculosis granuloma–lymphoid interface models recreate the dynamic balance between containment and dissemination of </w:t>
      </w:r>
      <w:r w:rsidRPr="002732A0">
        <w:rPr>
          <w:rFonts w:ascii="Arial" w:hAnsi="Arial" w:cs="Arial"/>
          <w:i/>
          <w:iCs/>
          <w:sz w:val="20"/>
          <w:szCs w:val="20"/>
        </w:rPr>
        <w:lastRenderedPageBreak/>
        <w:t>Mycobacterium tuberculosis</w:t>
      </w:r>
      <w:r w:rsidRPr="002732A0">
        <w:rPr>
          <w:rFonts w:ascii="Arial" w:hAnsi="Arial" w:cs="Arial"/>
          <w:sz w:val="20"/>
          <w:szCs w:val="20"/>
        </w:rPr>
        <w:t>, offering powerful platforms for testing host-directed therapies (</w:t>
      </w:r>
      <w:r w:rsidR="002305D6">
        <w:rPr>
          <w:rFonts w:ascii="Arial" w:hAnsi="Arial" w:cs="Arial"/>
          <w:sz w:val="20"/>
          <w:szCs w:val="20"/>
        </w:rPr>
        <w:t xml:space="preserve">Jang </w:t>
      </w:r>
      <w:r w:rsidRPr="002732A0">
        <w:rPr>
          <w:rFonts w:ascii="Arial" w:hAnsi="Arial" w:cs="Arial"/>
          <w:sz w:val="20"/>
          <w:szCs w:val="20"/>
        </w:rPr>
        <w:t>et al., 2023).</w:t>
      </w:r>
    </w:p>
    <w:p w14:paraId="2A59A7C9" w14:textId="4148F606" w:rsidR="00F349AA" w:rsidRPr="001140BF" w:rsidRDefault="00A30824" w:rsidP="00FF52EE">
      <w:pPr>
        <w:spacing w:line="360" w:lineRule="auto"/>
        <w:jc w:val="both"/>
        <w:rPr>
          <w:rFonts w:ascii="Arial" w:hAnsi="Arial" w:cs="Arial"/>
          <w:b/>
          <w:bCs/>
        </w:rPr>
      </w:pPr>
      <w:r w:rsidRPr="001140BF">
        <w:rPr>
          <w:rFonts w:ascii="Arial" w:hAnsi="Arial" w:cs="Arial"/>
          <w:b/>
          <w:bCs/>
        </w:rPr>
        <w:t>6</w:t>
      </w:r>
      <w:r w:rsidR="00F349AA" w:rsidRPr="001140BF">
        <w:rPr>
          <w:rFonts w:ascii="Arial" w:hAnsi="Arial" w:cs="Arial"/>
          <w:b/>
          <w:bCs/>
        </w:rPr>
        <w:t>. CHALLENGES AND LIMITATIONS</w:t>
      </w:r>
    </w:p>
    <w:p w14:paraId="4C868271" w14:textId="5E4F59B7" w:rsidR="00F349AA" w:rsidRPr="00D26C01" w:rsidRDefault="001140BF" w:rsidP="00FF52EE">
      <w:pPr>
        <w:spacing w:line="360" w:lineRule="auto"/>
        <w:jc w:val="both"/>
        <w:rPr>
          <w:rFonts w:ascii="Arial" w:hAnsi="Arial" w:cs="Arial"/>
          <w:b/>
          <w:bCs/>
          <w:sz w:val="20"/>
          <w:szCs w:val="20"/>
        </w:rPr>
      </w:pPr>
      <w:r>
        <w:rPr>
          <w:rFonts w:ascii="Arial" w:hAnsi="Arial" w:cs="Arial"/>
          <w:b/>
          <w:bCs/>
          <w:sz w:val="20"/>
          <w:szCs w:val="20"/>
        </w:rPr>
        <w:t>6.</w:t>
      </w:r>
      <w:r w:rsidR="00F349AA" w:rsidRPr="00D26C01">
        <w:rPr>
          <w:rFonts w:ascii="Arial" w:hAnsi="Arial" w:cs="Arial"/>
          <w:b/>
          <w:bCs/>
          <w:sz w:val="20"/>
          <w:szCs w:val="20"/>
        </w:rPr>
        <w:t>1 Architectural Complexity and Cellular Zonation</w:t>
      </w:r>
    </w:p>
    <w:p w14:paraId="78B59A45" w14:textId="77777777" w:rsidR="00D55A56" w:rsidRDefault="00D55A56" w:rsidP="00FF52EE">
      <w:pPr>
        <w:spacing w:line="360" w:lineRule="auto"/>
        <w:jc w:val="both"/>
        <w:rPr>
          <w:rFonts w:ascii="Arial" w:hAnsi="Arial" w:cs="Arial"/>
          <w:sz w:val="20"/>
          <w:szCs w:val="20"/>
        </w:rPr>
      </w:pPr>
      <w:r w:rsidRPr="00D55A56">
        <w:rPr>
          <w:rFonts w:ascii="Arial" w:hAnsi="Arial" w:cs="Arial"/>
          <w:sz w:val="20"/>
          <w:szCs w:val="20"/>
        </w:rPr>
        <w:t xml:space="preserve">Lymphoid organs are characterized by highly organized microanatomy, including B-cell follicles, T-cell zones, and germinal </w:t>
      </w:r>
      <w:proofErr w:type="spellStart"/>
      <w:r w:rsidRPr="00D55A56">
        <w:rPr>
          <w:rFonts w:ascii="Arial" w:hAnsi="Arial" w:cs="Arial"/>
          <w:sz w:val="20"/>
          <w:szCs w:val="20"/>
        </w:rPr>
        <w:t>centers</w:t>
      </w:r>
      <w:proofErr w:type="spellEnd"/>
      <w:r w:rsidRPr="00D55A56">
        <w:rPr>
          <w:rFonts w:ascii="Arial" w:hAnsi="Arial" w:cs="Arial"/>
          <w:sz w:val="20"/>
          <w:szCs w:val="20"/>
        </w:rPr>
        <w:t xml:space="preserve">, each defined by distinct cellular and extracellular matrix (ECM) features (Willard-Mack, 2006). Current bioprinting technologies lack the microscale resolution needed to reconstruct fragile stromal networks or to position specialized cells such as follicular dendritic cells with native-like spatial fidelity (Murphy &amp; Atala, 2014). Fibroblastic reticular cells generate conduit systems with diameters of 0.2–2 </w:t>
      </w:r>
      <w:bookmarkStart w:id="7" w:name="_GoBack"/>
      <w:proofErr w:type="spellStart"/>
      <w:r w:rsidRPr="00D55A56">
        <w:rPr>
          <w:rFonts w:ascii="Arial" w:hAnsi="Arial" w:cs="Arial"/>
          <w:sz w:val="20"/>
          <w:szCs w:val="20"/>
        </w:rPr>
        <w:t>μm</w:t>
      </w:r>
      <w:bookmarkEnd w:id="7"/>
      <w:proofErr w:type="spellEnd"/>
      <w:r w:rsidRPr="00D55A56">
        <w:rPr>
          <w:rFonts w:ascii="Arial" w:hAnsi="Arial" w:cs="Arial"/>
          <w:sz w:val="20"/>
          <w:szCs w:val="20"/>
        </w:rPr>
        <w:t xml:space="preserve"> that guide lymphocyte migration, yet these structures remain below the achievable resolution of present </w:t>
      </w:r>
      <w:proofErr w:type="spellStart"/>
      <w:r w:rsidRPr="00D55A56">
        <w:rPr>
          <w:rFonts w:ascii="Arial" w:hAnsi="Arial" w:cs="Arial"/>
          <w:sz w:val="20"/>
          <w:szCs w:val="20"/>
        </w:rPr>
        <w:t>biofabrication</w:t>
      </w:r>
      <w:proofErr w:type="spellEnd"/>
      <w:r w:rsidRPr="00D55A56">
        <w:rPr>
          <w:rFonts w:ascii="Arial" w:hAnsi="Arial" w:cs="Arial"/>
          <w:sz w:val="20"/>
          <w:szCs w:val="20"/>
        </w:rPr>
        <w:t xml:space="preserve"> methods (Bajaj et al., 2014). Moreover, maintaining sharp chemokine gradients and establishing discrete immune zones is technically challenging, and the adaptive plasticity of native lymphoid tissues during immune responses is largely absent in </w:t>
      </w:r>
      <w:proofErr w:type="spellStart"/>
      <w:r w:rsidRPr="00D55A56">
        <w:rPr>
          <w:rFonts w:ascii="Arial" w:hAnsi="Arial" w:cs="Arial"/>
          <w:sz w:val="20"/>
          <w:szCs w:val="20"/>
        </w:rPr>
        <w:t>bioprinted</w:t>
      </w:r>
      <w:proofErr w:type="spellEnd"/>
      <w:r w:rsidRPr="00D55A56">
        <w:rPr>
          <w:rFonts w:ascii="Arial" w:hAnsi="Arial" w:cs="Arial"/>
          <w:sz w:val="20"/>
          <w:szCs w:val="20"/>
        </w:rPr>
        <w:t xml:space="preserve"> constructs (</w:t>
      </w:r>
      <w:proofErr w:type="spellStart"/>
      <w:r w:rsidRPr="00D55A56">
        <w:rPr>
          <w:rFonts w:ascii="Arial" w:hAnsi="Arial" w:cs="Arial"/>
          <w:sz w:val="20"/>
          <w:szCs w:val="20"/>
        </w:rPr>
        <w:t>Shakya</w:t>
      </w:r>
      <w:proofErr w:type="spellEnd"/>
      <w:r w:rsidRPr="00D55A56">
        <w:rPr>
          <w:rFonts w:ascii="Arial" w:hAnsi="Arial" w:cs="Arial"/>
          <w:sz w:val="20"/>
          <w:szCs w:val="20"/>
        </w:rPr>
        <w:t xml:space="preserve"> et al., 2020). These limitations underscore the difficulty of replicating the dynamic and </w:t>
      </w:r>
      <w:proofErr w:type="spellStart"/>
      <w:r w:rsidRPr="00D55A56">
        <w:rPr>
          <w:rFonts w:ascii="Arial" w:hAnsi="Arial" w:cs="Arial"/>
          <w:sz w:val="20"/>
          <w:szCs w:val="20"/>
        </w:rPr>
        <w:t>zonated</w:t>
      </w:r>
      <w:proofErr w:type="spellEnd"/>
      <w:r w:rsidRPr="00D55A56">
        <w:rPr>
          <w:rFonts w:ascii="Arial" w:hAnsi="Arial" w:cs="Arial"/>
          <w:sz w:val="20"/>
          <w:szCs w:val="20"/>
        </w:rPr>
        <w:t xml:space="preserve"> architecture essential for lymphoid organ function.</w:t>
      </w:r>
    </w:p>
    <w:p w14:paraId="24329477" w14:textId="2BA875A2" w:rsidR="00F349AA" w:rsidRPr="00D26C01" w:rsidRDefault="001140BF" w:rsidP="00FF52EE">
      <w:pPr>
        <w:spacing w:line="360" w:lineRule="auto"/>
        <w:jc w:val="both"/>
        <w:rPr>
          <w:rFonts w:ascii="Arial" w:hAnsi="Arial" w:cs="Arial"/>
          <w:b/>
          <w:bCs/>
          <w:sz w:val="20"/>
          <w:szCs w:val="20"/>
        </w:rPr>
      </w:pPr>
      <w:r>
        <w:rPr>
          <w:rFonts w:ascii="Arial" w:hAnsi="Arial" w:cs="Arial"/>
          <w:b/>
          <w:bCs/>
          <w:sz w:val="20"/>
          <w:szCs w:val="20"/>
        </w:rPr>
        <w:t>6</w:t>
      </w:r>
      <w:r w:rsidR="00F349AA" w:rsidRPr="00D26C01">
        <w:rPr>
          <w:rFonts w:ascii="Arial" w:hAnsi="Arial" w:cs="Arial"/>
          <w:b/>
          <w:bCs/>
          <w:sz w:val="20"/>
          <w:szCs w:val="20"/>
        </w:rPr>
        <w:t>.2 Lymphocyte Viability and Functional Phenotype Maintenance</w:t>
      </w:r>
    </w:p>
    <w:p w14:paraId="2FB6A768" w14:textId="571710A9" w:rsidR="00F349AA" w:rsidRPr="00D26C01" w:rsidRDefault="0062642B" w:rsidP="00FF52EE">
      <w:pPr>
        <w:spacing w:line="360" w:lineRule="auto"/>
        <w:jc w:val="both"/>
        <w:rPr>
          <w:rFonts w:ascii="Arial" w:hAnsi="Arial" w:cs="Arial"/>
          <w:sz w:val="20"/>
          <w:szCs w:val="20"/>
        </w:rPr>
      </w:pPr>
      <w:r w:rsidRPr="0062642B">
        <w:rPr>
          <w:rFonts w:ascii="Arial" w:hAnsi="Arial" w:cs="Arial"/>
          <w:sz w:val="20"/>
          <w:szCs w:val="20"/>
        </w:rPr>
        <w:t>Lymphocytes are critically dependent on survival signals, cytokines, and cellular interactions to preserve their functional phenotype ex vivo (</w:t>
      </w:r>
      <w:proofErr w:type="spellStart"/>
      <w:r w:rsidRPr="0062642B">
        <w:rPr>
          <w:rFonts w:ascii="Arial" w:hAnsi="Arial" w:cs="Arial"/>
          <w:sz w:val="20"/>
          <w:szCs w:val="20"/>
        </w:rPr>
        <w:t>Sprent</w:t>
      </w:r>
      <w:proofErr w:type="spellEnd"/>
      <w:r w:rsidRPr="0062642B">
        <w:rPr>
          <w:rFonts w:ascii="Arial" w:hAnsi="Arial" w:cs="Arial"/>
          <w:sz w:val="20"/>
          <w:szCs w:val="20"/>
        </w:rPr>
        <w:t xml:space="preserve"> &amp; </w:t>
      </w:r>
      <w:proofErr w:type="spellStart"/>
      <w:r w:rsidRPr="0062642B">
        <w:rPr>
          <w:rFonts w:ascii="Arial" w:hAnsi="Arial" w:cs="Arial"/>
          <w:sz w:val="20"/>
          <w:szCs w:val="20"/>
        </w:rPr>
        <w:t>Surh</w:t>
      </w:r>
      <w:proofErr w:type="spellEnd"/>
      <w:r w:rsidRPr="0062642B">
        <w:rPr>
          <w:rFonts w:ascii="Arial" w:hAnsi="Arial" w:cs="Arial"/>
          <w:sz w:val="20"/>
          <w:szCs w:val="20"/>
        </w:rPr>
        <w:t xml:space="preserve">, 2002). During bioprinting, cells are exposed to mechanical and environmental stressors such as shear forces, ultraviolet exposure, and temperature fluctuations, all of which compromise viability and immune responsiveness (Murphy &amp; Atala, 2014). Post-printing, continuous cytokine support—such as IL-7 for T cells and BAFF for B cells—is essential but difficult to maintain uniformly within 3D constructs (Shakya et al., 2020). These challenges highlight the difficulty of sustaining both viability and immune competence in </w:t>
      </w:r>
      <w:proofErr w:type="spellStart"/>
      <w:r w:rsidRPr="0062642B">
        <w:rPr>
          <w:rFonts w:ascii="Arial" w:hAnsi="Arial" w:cs="Arial"/>
          <w:sz w:val="20"/>
          <w:szCs w:val="20"/>
        </w:rPr>
        <w:t>bioprinted</w:t>
      </w:r>
      <w:proofErr w:type="spellEnd"/>
      <w:r w:rsidRPr="0062642B">
        <w:rPr>
          <w:rFonts w:ascii="Arial" w:hAnsi="Arial" w:cs="Arial"/>
          <w:sz w:val="20"/>
          <w:szCs w:val="20"/>
        </w:rPr>
        <w:t xml:space="preserve"> lymphoid tissues.</w:t>
      </w:r>
    </w:p>
    <w:p w14:paraId="0D4103D8" w14:textId="30281558" w:rsidR="00F349AA" w:rsidRPr="00D26C01" w:rsidRDefault="001140BF" w:rsidP="00FF52EE">
      <w:pPr>
        <w:spacing w:line="360" w:lineRule="auto"/>
        <w:jc w:val="both"/>
        <w:rPr>
          <w:rFonts w:ascii="Arial" w:hAnsi="Arial" w:cs="Arial"/>
          <w:b/>
          <w:bCs/>
          <w:sz w:val="20"/>
          <w:szCs w:val="20"/>
        </w:rPr>
      </w:pPr>
      <w:r>
        <w:rPr>
          <w:rFonts w:ascii="Arial" w:hAnsi="Arial" w:cs="Arial"/>
          <w:b/>
          <w:bCs/>
          <w:sz w:val="20"/>
          <w:szCs w:val="20"/>
        </w:rPr>
        <w:t>6</w:t>
      </w:r>
      <w:r w:rsidR="00F349AA" w:rsidRPr="00D26C01">
        <w:rPr>
          <w:rFonts w:ascii="Arial" w:hAnsi="Arial" w:cs="Arial"/>
          <w:b/>
          <w:bCs/>
          <w:sz w:val="20"/>
          <w:szCs w:val="20"/>
        </w:rPr>
        <w:t>.3 Vascular Integration and HEV Functionality</w:t>
      </w:r>
    </w:p>
    <w:p w14:paraId="53DC80D4" w14:textId="2A9D7574" w:rsidR="00E3012F" w:rsidRDefault="00E3012F" w:rsidP="00FF52EE">
      <w:pPr>
        <w:spacing w:line="360" w:lineRule="auto"/>
        <w:jc w:val="both"/>
        <w:rPr>
          <w:rFonts w:ascii="Arial" w:hAnsi="Arial" w:cs="Arial"/>
          <w:sz w:val="20"/>
          <w:szCs w:val="20"/>
        </w:rPr>
      </w:pPr>
      <w:r w:rsidRPr="00E3012F">
        <w:rPr>
          <w:rFonts w:ascii="Arial" w:hAnsi="Arial" w:cs="Arial"/>
          <w:sz w:val="20"/>
          <w:szCs w:val="20"/>
        </w:rPr>
        <w:t xml:space="preserve">Although progress has been made in fabricating </w:t>
      </w:r>
      <w:proofErr w:type="spellStart"/>
      <w:r w:rsidRPr="00E3012F">
        <w:rPr>
          <w:rFonts w:ascii="Arial" w:hAnsi="Arial" w:cs="Arial"/>
          <w:sz w:val="20"/>
          <w:szCs w:val="20"/>
        </w:rPr>
        <w:t>perfusable</w:t>
      </w:r>
      <w:proofErr w:type="spellEnd"/>
      <w:r w:rsidRPr="00E3012F">
        <w:rPr>
          <w:rFonts w:ascii="Arial" w:hAnsi="Arial" w:cs="Arial"/>
          <w:sz w:val="20"/>
          <w:szCs w:val="20"/>
        </w:rPr>
        <w:t xml:space="preserve"> channels, the generation of fully functional, hierarchical vascular networks with authentic high endothelial venule (HEV) characteristics remains unresolved. Current bioprinting approaches typically produce either large channels without finer capillary branching or disorganized microvasculature formed through slow endothelial self-assembly (Novosel et al., 2011). HEVs, which are specialized postcapillary venules critical for lymphocyte trafficking, are defined by cuboidal endothelial morphology and peripheral node </w:t>
      </w:r>
      <w:proofErr w:type="spellStart"/>
      <w:r w:rsidRPr="00E3012F">
        <w:rPr>
          <w:rFonts w:ascii="Arial" w:hAnsi="Arial" w:cs="Arial"/>
          <w:sz w:val="20"/>
          <w:szCs w:val="20"/>
        </w:rPr>
        <w:t>addressin</w:t>
      </w:r>
      <w:proofErr w:type="spellEnd"/>
      <w:r w:rsidRPr="00E3012F">
        <w:rPr>
          <w:rFonts w:ascii="Arial" w:hAnsi="Arial" w:cs="Arial"/>
          <w:sz w:val="20"/>
          <w:szCs w:val="20"/>
        </w:rPr>
        <w:t xml:space="preserve"> (</w:t>
      </w:r>
      <w:proofErr w:type="spellStart"/>
      <w:r w:rsidRPr="00E3012F">
        <w:rPr>
          <w:rFonts w:ascii="Arial" w:hAnsi="Arial" w:cs="Arial"/>
          <w:sz w:val="20"/>
          <w:szCs w:val="20"/>
        </w:rPr>
        <w:t>PNAd</w:t>
      </w:r>
      <w:proofErr w:type="spellEnd"/>
      <w:r w:rsidRPr="00E3012F">
        <w:rPr>
          <w:rFonts w:ascii="Arial" w:hAnsi="Arial" w:cs="Arial"/>
          <w:sz w:val="20"/>
          <w:szCs w:val="20"/>
        </w:rPr>
        <w:t xml:space="preserve">) expression (Girard et al., 2012). However, most </w:t>
      </w:r>
      <w:proofErr w:type="spellStart"/>
      <w:r w:rsidRPr="00E3012F">
        <w:rPr>
          <w:rFonts w:ascii="Arial" w:hAnsi="Arial" w:cs="Arial"/>
          <w:sz w:val="20"/>
          <w:szCs w:val="20"/>
        </w:rPr>
        <w:t>bioprinted</w:t>
      </w:r>
      <w:proofErr w:type="spellEnd"/>
      <w:r w:rsidRPr="00E3012F">
        <w:rPr>
          <w:rFonts w:ascii="Arial" w:hAnsi="Arial" w:cs="Arial"/>
          <w:sz w:val="20"/>
          <w:szCs w:val="20"/>
        </w:rPr>
        <w:t xml:space="preserve"> vessels display conventional flat endothelial morphology. In the absence of functional vascularization, construct thickness is restricted, significantly constraining the physiological relevance of engineered lymphoid tissues (</w:t>
      </w:r>
      <w:proofErr w:type="spellStart"/>
      <w:r w:rsidRPr="00E3012F">
        <w:rPr>
          <w:rFonts w:ascii="Arial" w:hAnsi="Arial" w:cs="Arial"/>
          <w:sz w:val="20"/>
          <w:szCs w:val="20"/>
        </w:rPr>
        <w:t>Rouwkema</w:t>
      </w:r>
      <w:proofErr w:type="spellEnd"/>
      <w:r w:rsidRPr="00E3012F">
        <w:rPr>
          <w:rFonts w:ascii="Arial" w:hAnsi="Arial" w:cs="Arial"/>
          <w:sz w:val="20"/>
          <w:szCs w:val="20"/>
        </w:rPr>
        <w:t xml:space="preserve"> &amp; </w:t>
      </w:r>
      <w:proofErr w:type="spellStart"/>
      <w:r w:rsidRPr="00E3012F">
        <w:rPr>
          <w:rFonts w:ascii="Arial" w:hAnsi="Arial" w:cs="Arial"/>
          <w:sz w:val="20"/>
          <w:szCs w:val="20"/>
        </w:rPr>
        <w:t>Khademhosseini</w:t>
      </w:r>
      <w:proofErr w:type="spellEnd"/>
      <w:r w:rsidRPr="00E3012F">
        <w:rPr>
          <w:rFonts w:ascii="Arial" w:hAnsi="Arial" w:cs="Arial"/>
          <w:sz w:val="20"/>
          <w:szCs w:val="20"/>
        </w:rPr>
        <w:t>, 2016).</w:t>
      </w:r>
    </w:p>
    <w:p w14:paraId="081E2649" w14:textId="377663B9" w:rsidR="00F349AA" w:rsidRPr="00D26C01" w:rsidRDefault="001140BF" w:rsidP="00FF52EE">
      <w:pPr>
        <w:spacing w:line="360" w:lineRule="auto"/>
        <w:jc w:val="both"/>
        <w:rPr>
          <w:rFonts w:ascii="Arial" w:hAnsi="Arial" w:cs="Arial"/>
          <w:b/>
          <w:bCs/>
          <w:sz w:val="20"/>
          <w:szCs w:val="20"/>
        </w:rPr>
      </w:pPr>
      <w:r>
        <w:rPr>
          <w:rFonts w:ascii="Arial" w:hAnsi="Arial" w:cs="Arial"/>
          <w:b/>
          <w:bCs/>
          <w:sz w:val="20"/>
          <w:szCs w:val="20"/>
        </w:rPr>
        <w:t>6</w:t>
      </w:r>
      <w:r w:rsidR="00F349AA" w:rsidRPr="00D26C01">
        <w:rPr>
          <w:rFonts w:ascii="Arial" w:hAnsi="Arial" w:cs="Arial"/>
          <w:b/>
          <w:bCs/>
          <w:sz w:val="20"/>
          <w:szCs w:val="20"/>
        </w:rPr>
        <w:t>.4 Long-Term Stability and Maturation</w:t>
      </w:r>
    </w:p>
    <w:p w14:paraId="73C306E5" w14:textId="77777777" w:rsidR="00F52E48" w:rsidRDefault="00F52E48" w:rsidP="00FF52EE">
      <w:pPr>
        <w:spacing w:line="360" w:lineRule="auto"/>
        <w:jc w:val="both"/>
        <w:rPr>
          <w:rFonts w:ascii="Arial" w:hAnsi="Arial" w:cs="Arial"/>
          <w:sz w:val="20"/>
          <w:szCs w:val="20"/>
        </w:rPr>
      </w:pPr>
      <w:proofErr w:type="spellStart"/>
      <w:r w:rsidRPr="00F52E48">
        <w:rPr>
          <w:rFonts w:ascii="Arial" w:hAnsi="Arial" w:cs="Arial"/>
          <w:sz w:val="20"/>
          <w:szCs w:val="20"/>
        </w:rPr>
        <w:lastRenderedPageBreak/>
        <w:t>Bioprinted</w:t>
      </w:r>
      <w:proofErr w:type="spellEnd"/>
      <w:r w:rsidRPr="00F52E48">
        <w:rPr>
          <w:rFonts w:ascii="Arial" w:hAnsi="Arial" w:cs="Arial"/>
          <w:sz w:val="20"/>
          <w:szCs w:val="20"/>
        </w:rPr>
        <w:t xml:space="preserve"> lymphoid constructs often exhibit limited stability in long-term culture. Hydrogel scaffolds tend to degrade faster than cell-derived extracellular matrix can accumulate, leading to progressive structural loss (</w:t>
      </w:r>
      <w:bookmarkStart w:id="8" w:name="_Hlk214110088"/>
      <w:r w:rsidRPr="00F52E48">
        <w:rPr>
          <w:rFonts w:ascii="Arial" w:hAnsi="Arial" w:cs="Arial"/>
          <w:sz w:val="20"/>
          <w:szCs w:val="20"/>
        </w:rPr>
        <w:t xml:space="preserve">Hinton </w:t>
      </w:r>
      <w:bookmarkEnd w:id="8"/>
      <w:r w:rsidRPr="00F52E48">
        <w:rPr>
          <w:rFonts w:ascii="Arial" w:hAnsi="Arial" w:cs="Arial"/>
          <w:sz w:val="20"/>
          <w:szCs w:val="20"/>
        </w:rPr>
        <w:t xml:space="preserve">et al., 2015). Even where germinal </w:t>
      </w:r>
      <w:proofErr w:type="spellStart"/>
      <w:r w:rsidRPr="00F52E48">
        <w:rPr>
          <w:rFonts w:ascii="Arial" w:hAnsi="Arial" w:cs="Arial"/>
          <w:sz w:val="20"/>
          <w:szCs w:val="20"/>
        </w:rPr>
        <w:t>center</w:t>
      </w:r>
      <w:proofErr w:type="spellEnd"/>
      <w:r w:rsidRPr="00F52E48">
        <w:rPr>
          <w:rFonts w:ascii="Arial" w:hAnsi="Arial" w:cs="Arial"/>
          <w:sz w:val="20"/>
          <w:szCs w:val="20"/>
        </w:rPr>
        <w:t xml:space="preserve">-like reactions are achieved, they typically collapse prematurely, reflecting the difficulty of sustaining dynamic immune processes in engineered tissues (Jarjour et al., 2021). Overall, most constructs fail to maintain functional capacity beyond early culture periods, underscoring the challenge of achieving durable maturation and immune competence in </w:t>
      </w:r>
      <w:proofErr w:type="spellStart"/>
      <w:r w:rsidRPr="00F52E48">
        <w:rPr>
          <w:rFonts w:ascii="Arial" w:hAnsi="Arial" w:cs="Arial"/>
          <w:sz w:val="20"/>
          <w:szCs w:val="20"/>
        </w:rPr>
        <w:t>bioprinted</w:t>
      </w:r>
      <w:proofErr w:type="spellEnd"/>
      <w:r w:rsidRPr="00F52E48">
        <w:rPr>
          <w:rFonts w:ascii="Arial" w:hAnsi="Arial" w:cs="Arial"/>
          <w:sz w:val="20"/>
          <w:szCs w:val="20"/>
        </w:rPr>
        <w:t xml:space="preserve"> lymphoid organs (Zhang et al., 2019).</w:t>
      </w:r>
    </w:p>
    <w:p w14:paraId="71812C20" w14:textId="2D8C2061" w:rsidR="00F349AA" w:rsidRDefault="001140BF" w:rsidP="00FF52EE">
      <w:pPr>
        <w:spacing w:line="360" w:lineRule="auto"/>
        <w:jc w:val="both"/>
        <w:rPr>
          <w:rFonts w:ascii="Arial" w:hAnsi="Arial" w:cs="Arial"/>
          <w:b/>
          <w:bCs/>
          <w:sz w:val="20"/>
          <w:szCs w:val="20"/>
        </w:rPr>
      </w:pPr>
      <w:r>
        <w:rPr>
          <w:rFonts w:ascii="Arial" w:hAnsi="Arial" w:cs="Arial"/>
          <w:b/>
          <w:bCs/>
          <w:sz w:val="20"/>
          <w:szCs w:val="20"/>
        </w:rPr>
        <w:t>6</w:t>
      </w:r>
      <w:r w:rsidR="00F349AA" w:rsidRPr="00D26C01">
        <w:rPr>
          <w:rFonts w:ascii="Arial" w:hAnsi="Arial" w:cs="Arial"/>
          <w:b/>
          <w:bCs/>
          <w:sz w:val="20"/>
          <w:szCs w:val="20"/>
        </w:rPr>
        <w:t>.5 Standardization and Reproducibility</w:t>
      </w:r>
    </w:p>
    <w:p w14:paraId="1EBEB3C0" w14:textId="244BEF1F" w:rsidR="00475A8D" w:rsidRPr="00475A8D" w:rsidRDefault="00475A8D" w:rsidP="00FF52EE">
      <w:pPr>
        <w:spacing w:line="360" w:lineRule="auto"/>
        <w:jc w:val="both"/>
        <w:rPr>
          <w:rFonts w:ascii="Arial" w:hAnsi="Arial" w:cs="Arial"/>
          <w:sz w:val="20"/>
          <w:szCs w:val="20"/>
        </w:rPr>
      </w:pPr>
      <w:r w:rsidRPr="00475A8D">
        <w:rPr>
          <w:rFonts w:ascii="Arial" w:hAnsi="Arial" w:cs="Arial"/>
          <w:sz w:val="20"/>
          <w:szCs w:val="20"/>
        </w:rPr>
        <w:t>Bioprinting outcomes remain highly variable, limiting reproducibility across laboratories and hindering clinical translation. Differences in bioink composition, donor cell responses, and printing conditions contribute to inconsistent results, while replication of published protocols often proves unreliable. This lack of standardization poses a major barrier to the development of commercial platforms and regulatory approval pathways</w:t>
      </w:r>
      <w:r>
        <w:rPr>
          <w:rFonts w:ascii="Arial" w:hAnsi="Arial" w:cs="Arial"/>
          <w:sz w:val="20"/>
          <w:szCs w:val="20"/>
        </w:rPr>
        <w:t xml:space="preserve"> </w:t>
      </w:r>
      <w:r w:rsidR="00247479">
        <w:rPr>
          <w:rFonts w:ascii="Arial" w:hAnsi="Arial" w:cs="Arial"/>
          <w:sz w:val="20"/>
          <w:szCs w:val="20"/>
        </w:rPr>
        <w:t>(</w:t>
      </w:r>
      <w:commentRangeStart w:id="9"/>
      <w:r w:rsidR="00247479">
        <w:rPr>
          <w:rFonts w:ascii="Arial" w:hAnsi="Arial" w:cs="Arial"/>
          <w:sz w:val="20"/>
          <w:szCs w:val="20"/>
        </w:rPr>
        <w:t>Gupta 2023</w:t>
      </w:r>
      <w:commentRangeEnd w:id="9"/>
      <w:r w:rsidR="0089619A">
        <w:rPr>
          <w:rStyle w:val="CommentReference"/>
        </w:rPr>
        <w:commentReference w:id="9"/>
      </w:r>
      <w:r w:rsidR="00247479">
        <w:rPr>
          <w:rFonts w:ascii="Arial" w:hAnsi="Arial" w:cs="Arial"/>
          <w:sz w:val="20"/>
          <w:szCs w:val="20"/>
        </w:rPr>
        <w:t>)</w:t>
      </w:r>
    </w:p>
    <w:p w14:paraId="7B69B414" w14:textId="663EA9B2" w:rsidR="00F349AA" w:rsidRDefault="001140BF" w:rsidP="00FF52EE">
      <w:pPr>
        <w:spacing w:line="360" w:lineRule="auto"/>
        <w:jc w:val="both"/>
        <w:rPr>
          <w:rFonts w:ascii="Arial" w:hAnsi="Arial" w:cs="Arial"/>
          <w:b/>
          <w:bCs/>
        </w:rPr>
      </w:pPr>
      <w:r w:rsidRPr="001140BF">
        <w:rPr>
          <w:rFonts w:ascii="Arial" w:hAnsi="Arial" w:cs="Arial"/>
          <w:b/>
          <w:bCs/>
        </w:rPr>
        <w:t>7</w:t>
      </w:r>
      <w:r w:rsidR="00F349AA" w:rsidRPr="001140BF">
        <w:rPr>
          <w:rFonts w:ascii="Arial" w:hAnsi="Arial" w:cs="Arial"/>
          <w:b/>
          <w:bCs/>
        </w:rPr>
        <w:t>. FUTURE DIRECTIONS AND EMERGING TECHNOLOGIES</w:t>
      </w:r>
    </w:p>
    <w:p w14:paraId="3604C76E" w14:textId="7D1E2DCE" w:rsidR="00E8382D" w:rsidRPr="00E8382D" w:rsidRDefault="00E8382D" w:rsidP="00FF52EE">
      <w:pPr>
        <w:spacing w:line="360" w:lineRule="auto"/>
        <w:jc w:val="both"/>
        <w:rPr>
          <w:rFonts w:ascii="Arial" w:hAnsi="Arial" w:cs="Arial"/>
        </w:rPr>
      </w:pPr>
      <w:r w:rsidRPr="00E8382D">
        <w:rPr>
          <w:rFonts w:ascii="Arial" w:hAnsi="Arial" w:cs="Arial"/>
        </w:rPr>
        <w:t xml:space="preserve">Although three-dimensional bioprinting of lymphoid organs has demonstrated significant progress, several challenges remain that limit its translational potential. The development of bioinks that simultaneously ensure biocompatibility, mechanical stability, and long-term support for immune cell function is still unresolved. Vascularization strategies, while advancing, often fail to achieve complete integration and sustained perfusion, restricting construct viability. Replicating the full immunological complexity of native lymphoid tissues, including stromal–immune interactions and dynamic </w:t>
      </w:r>
      <w:proofErr w:type="spellStart"/>
      <w:r w:rsidRPr="00E8382D">
        <w:rPr>
          <w:rFonts w:ascii="Arial" w:hAnsi="Arial" w:cs="Arial"/>
        </w:rPr>
        <w:t>signaling</w:t>
      </w:r>
      <w:proofErr w:type="spellEnd"/>
      <w:r w:rsidRPr="00E8382D">
        <w:rPr>
          <w:rFonts w:ascii="Arial" w:hAnsi="Arial" w:cs="Arial"/>
        </w:rPr>
        <w:t xml:space="preserve"> pathways, remains a major hurdle. Technical constraints such as balancing high-resolution printing with scalability, alongside the absence of standardized protocols, further impede reproducibility. In addition, regulatory and ethical considerations surrounding clinical application of </w:t>
      </w:r>
      <w:proofErr w:type="spellStart"/>
      <w:r w:rsidRPr="00E8382D">
        <w:rPr>
          <w:rFonts w:ascii="Arial" w:hAnsi="Arial" w:cs="Arial"/>
        </w:rPr>
        <w:t>bioprinted</w:t>
      </w:r>
      <w:proofErr w:type="spellEnd"/>
      <w:r w:rsidRPr="00E8382D">
        <w:rPr>
          <w:rFonts w:ascii="Arial" w:hAnsi="Arial" w:cs="Arial"/>
        </w:rPr>
        <w:t xml:space="preserve"> immune tissues are yet to be fully addressed. These limitations highlight the need for continued refinement of biomaterials, printing modalities, and integrative approaches to achieve clinically relevant outcomes.</w:t>
      </w:r>
    </w:p>
    <w:p w14:paraId="46151CDF" w14:textId="7B6FB1DF" w:rsidR="00F349AA" w:rsidRPr="00D26C01" w:rsidRDefault="001140BF" w:rsidP="00FF52EE">
      <w:pPr>
        <w:spacing w:line="360" w:lineRule="auto"/>
        <w:jc w:val="both"/>
        <w:rPr>
          <w:rFonts w:ascii="Arial" w:hAnsi="Arial" w:cs="Arial"/>
          <w:b/>
          <w:bCs/>
          <w:sz w:val="20"/>
          <w:szCs w:val="20"/>
        </w:rPr>
      </w:pPr>
      <w:r>
        <w:rPr>
          <w:rFonts w:ascii="Arial" w:hAnsi="Arial" w:cs="Arial"/>
          <w:b/>
          <w:bCs/>
          <w:sz w:val="20"/>
          <w:szCs w:val="20"/>
        </w:rPr>
        <w:t>8</w:t>
      </w:r>
      <w:r w:rsidR="00F349AA" w:rsidRPr="00D26C01">
        <w:rPr>
          <w:rFonts w:ascii="Arial" w:hAnsi="Arial" w:cs="Arial"/>
          <w:b/>
          <w:bCs/>
          <w:sz w:val="20"/>
          <w:szCs w:val="20"/>
        </w:rPr>
        <w:t>. SUMMARY AND CONCLUSION</w:t>
      </w:r>
    </w:p>
    <w:p w14:paraId="4ABE1859" w14:textId="77777777" w:rsidR="00E8382D" w:rsidRPr="00E8382D" w:rsidRDefault="00E8382D" w:rsidP="00E8382D">
      <w:pPr>
        <w:spacing w:line="360" w:lineRule="auto"/>
        <w:jc w:val="both"/>
        <w:rPr>
          <w:rFonts w:ascii="Arial" w:hAnsi="Arial" w:cs="Arial"/>
        </w:rPr>
      </w:pPr>
      <w:r w:rsidRPr="00E8382D">
        <w:rPr>
          <w:rFonts w:ascii="Arial" w:hAnsi="Arial" w:cs="Arial"/>
        </w:rPr>
        <w:t>Three-dimensional bioprinting of lymphoid organs represents a transformative platform bridging critical gaps in immunological research and therapeutic development. Progress has advanced from proof-of-concept to functional constructs that replicate key features of native architecture, enabling controlled investigations of human immune responses. Innovations in bioinks, multimodal printing, and vascularization have supported structural complexity and functional validation, with applications ranging from immunotherapy screening to vaccine development.</w:t>
      </w:r>
    </w:p>
    <w:p w14:paraId="79B8FB0D" w14:textId="77777777" w:rsidR="00E8382D" w:rsidRPr="00E8382D" w:rsidRDefault="00E8382D" w:rsidP="00E8382D">
      <w:pPr>
        <w:spacing w:line="360" w:lineRule="auto"/>
        <w:jc w:val="both"/>
        <w:rPr>
          <w:rFonts w:ascii="Arial" w:hAnsi="Arial" w:cs="Arial"/>
        </w:rPr>
      </w:pPr>
      <w:r w:rsidRPr="00E8382D">
        <w:rPr>
          <w:rFonts w:ascii="Arial" w:hAnsi="Arial" w:cs="Arial"/>
        </w:rPr>
        <w:lastRenderedPageBreak/>
        <w:t xml:space="preserve">Persistent challenges include achieving full architectural complexity, long-term stability, and standardized protocols. Nevertheless, integration with organoid technologies, AI-driven optimization, and emerging 4D bioprinting approaches are accelerating progress. Near-term applications in drug screening and personalized medicine are expected, with longer-term prospects for diagnostic platforms and implantable therapeutic tissues. Ultimately, </w:t>
      </w:r>
      <w:proofErr w:type="spellStart"/>
      <w:r w:rsidRPr="00E8382D">
        <w:rPr>
          <w:rFonts w:ascii="Arial" w:hAnsi="Arial" w:cs="Arial"/>
        </w:rPr>
        <w:t>bioprinted</w:t>
      </w:r>
      <w:proofErr w:type="spellEnd"/>
      <w:r w:rsidRPr="00E8382D">
        <w:rPr>
          <w:rFonts w:ascii="Arial" w:hAnsi="Arial" w:cs="Arial"/>
        </w:rPr>
        <w:t xml:space="preserve"> lymphoid organs promise to reshape the study of human immunity and advance safer, more effective therapies.</w:t>
      </w:r>
    </w:p>
    <w:p w14:paraId="7F2FCF84" w14:textId="77777777" w:rsidR="007144ED" w:rsidRPr="007144ED" w:rsidRDefault="007144ED" w:rsidP="007144ED">
      <w:pPr>
        <w:spacing w:after="200" w:line="276" w:lineRule="auto"/>
        <w:jc w:val="both"/>
        <w:outlineLvl w:val="0"/>
        <w:rPr>
          <w:rFonts w:ascii="Arial" w:eastAsia="Times New Roman" w:hAnsi="Arial" w:cs="Arial"/>
          <w:kern w:val="0"/>
          <w:lang w:val="en-GB" w:eastAsia="en-GB"/>
          <w14:ligatures w14:val="none"/>
        </w:rPr>
      </w:pPr>
      <w:r w:rsidRPr="007144ED">
        <w:rPr>
          <w:rFonts w:ascii="Arial" w:eastAsia="Times New Roman" w:hAnsi="Arial" w:cs="Arial"/>
          <w:b/>
          <w:bCs/>
          <w:kern w:val="0"/>
          <w:lang w:val="en-GB" w:eastAsia="en-GB"/>
          <w14:ligatures w14:val="none"/>
        </w:rPr>
        <w:t>COMPETING INTERESTS DISCLAIMER:</w:t>
      </w:r>
    </w:p>
    <w:p w14:paraId="6839050B" w14:textId="77777777" w:rsidR="007144ED" w:rsidRPr="007144ED" w:rsidRDefault="007144ED" w:rsidP="007144ED">
      <w:pPr>
        <w:spacing w:after="200" w:line="276" w:lineRule="auto"/>
        <w:rPr>
          <w:rFonts w:ascii="Calibri" w:eastAsia="Times New Roman" w:hAnsi="Calibri" w:cs="Times New Roman"/>
          <w:kern w:val="0"/>
          <w:lang w:val="en-GB" w:eastAsia="en-GB"/>
          <w14:ligatures w14:val="none"/>
        </w:rPr>
      </w:pPr>
      <w:r w:rsidRPr="007144ED">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E836E34" w14:textId="77777777" w:rsidR="007144ED" w:rsidRPr="007144ED" w:rsidRDefault="007144ED" w:rsidP="007144ED">
      <w:pPr>
        <w:spacing w:after="200" w:line="276" w:lineRule="auto"/>
        <w:rPr>
          <w:rFonts w:ascii="Calibri" w:eastAsia="Times New Roman" w:hAnsi="Calibri" w:cs="Times New Roman"/>
          <w:kern w:val="0"/>
          <w:lang w:val="en-GB" w:eastAsia="en-GB"/>
          <w14:ligatures w14:val="none"/>
        </w:rPr>
      </w:pPr>
    </w:p>
    <w:p w14:paraId="4327C0B8" w14:textId="77777777" w:rsidR="007144ED" w:rsidRPr="007144ED" w:rsidRDefault="007144ED" w:rsidP="007144ED">
      <w:pPr>
        <w:spacing w:after="200" w:line="276" w:lineRule="auto"/>
        <w:rPr>
          <w:rFonts w:ascii="Calibri" w:eastAsia="Times New Roman" w:hAnsi="Calibri" w:cs="Times New Roman"/>
          <w:kern w:val="0"/>
          <w:lang w:val="en-GB" w:eastAsia="en-GB"/>
          <w14:ligatures w14:val="none"/>
        </w:rPr>
      </w:pPr>
    </w:p>
    <w:p w14:paraId="344008AA" w14:textId="45D537D8" w:rsidR="006C7372" w:rsidRPr="00FF52EE" w:rsidRDefault="00F349AA" w:rsidP="00FF52EE">
      <w:pPr>
        <w:spacing w:line="360" w:lineRule="auto"/>
        <w:jc w:val="both"/>
        <w:rPr>
          <w:rFonts w:ascii="Times New Roman" w:hAnsi="Times New Roman" w:cs="Times New Roman"/>
          <w:b/>
          <w:bCs/>
          <w:sz w:val="24"/>
          <w:szCs w:val="24"/>
        </w:rPr>
      </w:pPr>
      <w:r w:rsidRPr="00FF52EE">
        <w:rPr>
          <w:rFonts w:ascii="Times New Roman" w:hAnsi="Times New Roman" w:cs="Times New Roman"/>
          <w:b/>
          <w:bCs/>
          <w:sz w:val="24"/>
          <w:szCs w:val="24"/>
        </w:rPr>
        <w:t xml:space="preserve">         10. REFERENCES</w:t>
      </w:r>
    </w:p>
    <w:p w14:paraId="6E38B96B" w14:textId="77777777" w:rsidR="006C7372" w:rsidRPr="00AE0B93" w:rsidRDefault="006C7372" w:rsidP="006C7372">
      <w:pPr>
        <w:numPr>
          <w:ilvl w:val="0"/>
          <w:numId w:val="1"/>
        </w:numPr>
        <w:spacing w:line="360" w:lineRule="auto"/>
        <w:jc w:val="both"/>
        <w:rPr>
          <w:rFonts w:ascii="Arial" w:hAnsi="Arial" w:cs="Arial"/>
          <w:sz w:val="20"/>
          <w:szCs w:val="20"/>
        </w:rPr>
      </w:pPr>
      <w:bookmarkStart w:id="10" w:name="_Hlk214106396"/>
      <w:r w:rsidRPr="00AE0B93">
        <w:rPr>
          <w:rFonts w:ascii="Arial" w:hAnsi="Arial" w:cs="Arial"/>
          <w:sz w:val="20"/>
          <w:szCs w:val="20"/>
        </w:rPr>
        <w:t xml:space="preserve">Ager, A. (2017). High endothelial venules and other blood vessels: critical regulators of lymphoid organ development and function. </w:t>
      </w:r>
      <w:r w:rsidRPr="00AE0B93">
        <w:rPr>
          <w:rFonts w:ascii="Arial" w:hAnsi="Arial" w:cs="Arial"/>
          <w:i/>
          <w:iCs/>
          <w:sz w:val="20"/>
          <w:szCs w:val="20"/>
        </w:rPr>
        <w:t>Frontiers in Immunology</w:t>
      </w:r>
      <w:r w:rsidRPr="00AE0B93">
        <w:rPr>
          <w:rFonts w:ascii="Arial" w:hAnsi="Arial" w:cs="Arial"/>
          <w:sz w:val="20"/>
          <w:szCs w:val="20"/>
        </w:rPr>
        <w:t>, 8, 45.</w:t>
      </w:r>
    </w:p>
    <w:p w14:paraId="7F5DB7BA" w14:textId="549ECCCC" w:rsidR="008E58A3" w:rsidRPr="00AE0B93" w:rsidRDefault="008E58A3"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Antoine EE, Vlachos PP, Rylander MN. Review of collagen I hydrogels for bioengineered tissue microenvironments: characterization of mechanics, structure, and transport. Tissue Eng Part B Rev. 2022;28(2):328–344.</w:t>
      </w:r>
    </w:p>
    <w:p w14:paraId="767CCB70"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Baechle JJ, Chen N, Makhijani P, et al. Engineering immunosenescent models for aging and disease research. Adv Drug Deliv Rev. 2023</w:t>
      </w:r>
      <w:proofErr w:type="gramStart"/>
      <w:r w:rsidRPr="00AE0B93">
        <w:rPr>
          <w:rFonts w:ascii="Arial" w:hAnsi="Arial" w:cs="Arial"/>
          <w:sz w:val="20"/>
          <w:szCs w:val="20"/>
        </w:rPr>
        <w:t>;192:114658</w:t>
      </w:r>
      <w:proofErr w:type="gramEnd"/>
      <w:r w:rsidRPr="00AE0B93">
        <w:rPr>
          <w:rFonts w:ascii="Arial" w:hAnsi="Arial" w:cs="Arial"/>
          <w:sz w:val="20"/>
          <w:szCs w:val="20"/>
        </w:rPr>
        <w:t>.</w:t>
      </w:r>
    </w:p>
    <w:p w14:paraId="22C8E1B4" w14:textId="3F01E383" w:rsidR="0079020D" w:rsidRPr="00AE0B93" w:rsidRDefault="0079020D"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Bajaj P, </w:t>
      </w:r>
      <w:proofErr w:type="spellStart"/>
      <w:r w:rsidRPr="00AE0B93">
        <w:rPr>
          <w:rFonts w:ascii="Arial" w:hAnsi="Arial" w:cs="Arial"/>
          <w:sz w:val="20"/>
          <w:szCs w:val="20"/>
        </w:rPr>
        <w:t>Schweller</w:t>
      </w:r>
      <w:proofErr w:type="spellEnd"/>
      <w:r w:rsidRPr="00AE0B93">
        <w:rPr>
          <w:rFonts w:ascii="Arial" w:hAnsi="Arial" w:cs="Arial"/>
          <w:sz w:val="20"/>
          <w:szCs w:val="20"/>
        </w:rPr>
        <w:t xml:space="preserve"> RM, </w:t>
      </w:r>
      <w:proofErr w:type="spellStart"/>
      <w:r w:rsidRPr="00AE0B93">
        <w:rPr>
          <w:rFonts w:ascii="Arial" w:hAnsi="Arial" w:cs="Arial"/>
          <w:sz w:val="20"/>
          <w:szCs w:val="20"/>
        </w:rPr>
        <w:t>Khademhosseini</w:t>
      </w:r>
      <w:proofErr w:type="spellEnd"/>
      <w:r w:rsidRPr="00AE0B93">
        <w:rPr>
          <w:rFonts w:ascii="Arial" w:hAnsi="Arial" w:cs="Arial"/>
          <w:sz w:val="20"/>
          <w:szCs w:val="20"/>
        </w:rPr>
        <w:t xml:space="preserve"> A, West JL, Bashir R. 3D </w:t>
      </w:r>
      <w:proofErr w:type="spellStart"/>
      <w:r w:rsidRPr="00AE0B93">
        <w:rPr>
          <w:rFonts w:ascii="Arial" w:hAnsi="Arial" w:cs="Arial"/>
          <w:sz w:val="20"/>
          <w:szCs w:val="20"/>
        </w:rPr>
        <w:t>biofabrication</w:t>
      </w:r>
      <w:proofErr w:type="spellEnd"/>
      <w:r w:rsidRPr="00AE0B93">
        <w:rPr>
          <w:rFonts w:ascii="Arial" w:hAnsi="Arial" w:cs="Arial"/>
          <w:sz w:val="20"/>
          <w:szCs w:val="20"/>
        </w:rPr>
        <w:t xml:space="preserve"> strategies for tissue engineering and regenerative medicine. </w:t>
      </w:r>
      <w:r w:rsidRPr="00AE0B93">
        <w:rPr>
          <w:rFonts w:ascii="Arial" w:hAnsi="Arial" w:cs="Arial"/>
          <w:i/>
          <w:iCs/>
          <w:sz w:val="20"/>
          <w:szCs w:val="20"/>
        </w:rPr>
        <w:t>Annu Rev Biomed Eng</w:t>
      </w:r>
      <w:r w:rsidRPr="00AE0B93">
        <w:rPr>
          <w:rFonts w:ascii="Arial" w:hAnsi="Arial" w:cs="Arial"/>
          <w:sz w:val="20"/>
          <w:szCs w:val="20"/>
        </w:rPr>
        <w:t>. 2014</w:t>
      </w:r>
      <w:proofErr w:type="gramStart"/>
      <w:r w:rsidRPr="00AE0B93">
        <w:rPr>
          <w:rFonts w:ascii="Arial" w:hAnsi="Arial" w:cs="Arial"/>
          <w:sz w:val="20"/>
          <w:szCs w:val="20"/>
        </w:rPr>
        <w:t>;16:247</w:t>
      </w:r>
      <w:proofErr w:type="gramEnd"/>
      <w:r w:rsidRPr="00AE0B93">
        <w:rPr>
          <w:rFonts w:ascii="Arial" w:hAnsi="Arial" w:cs="Arial"/>
          <w:sz w:val="20"/>
          <w:szCs w:val="20"/>
        </w:rPr>
        <w:t>-276.</w:t>
      </w:r>
    </w:p>
    <w:p w14:paraId="5794695B" w14:textId="49D594E8" w:rsidR="00C81419" w:rsidRPr="00AE0B93" w:rsidRDefault="00C81419"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Blanchard, L., &amp; Girard, J.-P. (2021). High endothelial venules (HEVs) in immunity, inflammation and cancer. </w:t>
      </w:r>
      <w:r w:rsidRPr="00AE0B93">
        <w:rPr>
          <w:rFonts w:ascii="Arial" w:hAnsi="Arial" w:cs="Arial"/>
          <w:i/>
          <w:iCs/>
          <w:sz w:val="20"/>
          <w:szCs w:val="20"/>
        </w:rPr>
        <w:t>Angiogenesis</w:t>
      </w:r>
      <w:r w:rsidRPr="00AE0B93">
        <w:rPr>
          <w:rFonts w:ascii="Arial" w:hAnsi="Arial" w:cs="Arial"/>
          <w:sz w:val="20"/>
          <w:szCs w:val="20"/>
        </w:rPr>
        <w:t>, 24, 719–753.</w:t>
      </w:r>
    </w:p>
    <w:p w14:paraId="6253AB0D" w14:textId="40C2EC85" w:rsidR="00517195" w:rsidRPr="00AE0B93" w:rsidRDefault="00517195" w:rsidP="00FF52EE">
      <w:pPr>
        <w:numPr>
          <w:ilvl w:val="0"/>
          <w:numId w:val="1"/>
        </w:numPr>
        <w:spacing w:line="360" w:lineRule="auto"/>
        <w:jc w:val="both"/>
        <w:rPr>
          <w:rFonts w:ascii="Arial" w:hAnsi="Arial" w:cs="Arial"/>
          <w:sz w:val="20"/>
          <w:szCs w:val="20"/>
        </w:rPr>
      </w:pPr>
      <w:proofErr w:type="spellStart"/>
      <w:r w:rsidRPr="00AE0B93">
        <w:rPr>
          <w:rFonts w:ascii="Arial" w:hAnsi="Arial" w:cs="Arial"/>
          <w:sz w:val="20"/>
          <w:szCs w:val="20"/>
        </w:rPr>
        <w:t>Broutier</w:t>
      </w:r>
      <w:proofErr w:type="spellEnd"/>
      <w:r w:rsidRPr="00AE0B93">
        <w:rPr>
          <w:rFonts w:ascii="Arial" w:hAnsi="Arial" w:cs="Arial"/>
          <w:sz w:val="20"/>
          <w:szCs w:val="20"/>
        </w:rPr>
        <w:t xml:space="preserve"> L, </w:t>
      </w:r>
      <w:proofErr w:type="spellStart"/>
      <w:r w:rsidRPr="00AE0B93">
        <w:rPr>
          <w:rFonts w:ascii="Arial" w:hAnsi="Arial" w:cs="Arial"/>
          <w:sz w:val="20"/>
          <w:szCs w:val="20"/>
        </w:rPr>
        <w:t>Mastrogiovanni</w:t>
      </w:r>
      <w:proofErr w:type="spellEnd"/>
      <w:r w:rsidRPr="00AE0B93">
        <w:rPr>
          <w:rFonts w:ascii="Arial" w:hAnsi="Arial" w:cs="Arial"/>
          <w:sz w:val="20"/>
          <w:szCs w:val="20"/>
        </w:rPr>
        <w:t xml:space="preserve"> G, Verstegen MMA, et al. Human primary liver cancer–derived organoid cultures for disease </w:t>
      </w:r>
      <w:proofErr w:type="spellStart"/>
      <w:r w:rsidRPr="00AE0B93">
        <w:rPr>
          <w:rFonts w:ascii="Arial" w:hAnsi="Arial" w:cs="Arial"/>
          <w:sz w:val="20"/>
          <w:szCs w:val="20"/>
        </w:rPr>
        <w:t>modeling</w:t>
      </w:r>
      <w:proofErr w:type="spellEnd"/>
      <w:r w:rsidRPr="00AE0B93">
        <w:rPr>
          <w:rFonts w:ascii="Arial" w:hAnsi="Arial" w:cs="Arial"/>
          <w:sz w:val="20"/>
          <w:szCs w:val="20"/>
        </w:rPr>
        <w:t xml:space="preserve"> and drug screening. </w:t>
      </w:r>
      <w:r w:rsidRPr="00AE0B93">
        <w:rPr>
          <w:rFonts w:ascii="Arial" w:hAnsi="Arial" w:cs="Arial"/>
          <w:i/>
          <w:iCs/>
          <w:sz w:val="20"/>
          <w:szCs w:val="20"/>
        </w:rPr>
        <w:t>Nat Med.</w:t>
      </w:r>
      <w:r w:rsidRPr="00AE0B93">
        <w:rPr>
          <w:rFonts w:ascii="Arial" w:hAnsi="Arial" w:cs="Arial"/>
          <w:sz w:val="20"/>
          <w:szCs w:val="20"/>
        </w:rPr>
        <w:t xml:space="preserve"> 2018;23(12):1424–1435.</w:t>
      </w:r>
    </w:p>
    <w:p w14:paraId="54E186F1" w14:textId="4598180D" w:rsidR="008E58A3" w:rsidRPr="00AE0B93" w:rsidRDefault="008E58A3"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Caliari SR, Burdick JA. A practical guide to hydrogels for cell culture. Nat Methods. 2016;13(5):405–414.</w:t>
      </w:r>
    </w:p>
    <w:p w14:paraId="0A6D9C21" w14:textId="22D8C8D6"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Chen YC, Lin RZ, Qi H, et al. Functional human vascular network generated in photo</w:t>
      </w:r>
      <w:r w:rsidR="0006782B" w:rsidRPr="00AE0B93">
        <w:rPr>
          <w:rFonts w:ascii="Arial" w:hAnsi="Arial" w:cs="Arial"/>
          <w:sz w:val="20"/>
          <w:szCs w:val="20"/>
        </w:rPr>
        <w:t xml:space="preserve"> </w:t>
      </w:r>
      <w:r w:rsidRPr="00AE0B93">
        <w:rPr>
          <w:rFonts w:ascii="Arial" w:hAnsi="Arial" w:cs="Arial"/>
          <w:sz w:val="20"/>
          <w:szCs w:val="20"/>
        </w:rPr>
        <w:t>cross</w:t>
      </w:r>
      <w:r w:rsidR="0044686A" w:rsidRPr="00AE0B93">
        <w:rPr>
          <w:rFonts w:ascii="Arial" w:hAnsi="Arial" w:cs="Arial"/>
          <w:sz w:val="20"/>
          <w:szCs w:val="20"/>
        </w:rPr>
        <w:t>-</w:t>
      </w:r>
      <w:r w:rsidRPr="00AE0B93">
        <w:rPr>
          <w:rFonts w:ascii="Arial" w:hAnsi="Arial" w:cs="Arial"/>
          <w:sz w:val="20"/>
          <w:szCs w:val="20"/>
        </w:rPr>
        <w:t>linkable gelatin</w:t>
      </w:r>
      <w:r w:rsidR="0044686A" w:rsidRPr="00AE0B93">
        <w:rPr>
          <w:rFonts w:ascii="Arial" w:hAnsi="Arial" w:cs="Arial"/>
          <w:sz w:val="20"/>
          <w:szCs w:val="20"/>
        </w:rPr>
        <w:t>e</w:t>
      </w:r>
      <w:r w:rsidRPr="00AE0B93">
        <w:rPr>
          <w:rFonts w:ascii="Arial" w:hAnsi="Arial" w:cs="Arial"/>
          <w:sz w:val="20"/>
          <w:szCs w:val="20"/>
        </w:rPr>
        <w:t xml:space="preserve"> methacrylate hydrogels. </w:t>
      </w:r>
      <w:proofErr w:type="spellStart"/>
      <w:r w:rsidRPr="00AE0B93">
        <w:rPr>
          <w:rFonts w:ascii="Arial" w:hAnsi="Arial" w:cs="Arial"/>
          <w:sz w:val="20"/>
          <w:szCs w:val="20"/>
        </w:rPr>
        <w:t>Adv</w:t>
      </w:r>
      <w:proofErr w:type="spellEnd"/>
      <w:r w:rsidRPr="00AE0B93">
        <w:rPr>
          <w:rFonts w:ascii="Arial" w:hAnsi="Arial" w:cs="Arial"/>
          <w:sz w:val="20"/>
          <w:szCs w:val="20"/>
        </w:rPr>
        <w:t xml:space="preserve"> </w:t>
      </w:r>
      <w:proofErr w:type="spellStart"/>
      <w:r w:rsidRPr="00AE0B93">
        <w:rPr>
          <w:rFonts w:ascii="Arial" w:hAnsi="Arial" w:cs="Arial"/>
          <w:sz w:val="20"/>
          <w:szCs w:val="20"/>
        </w:rPr>
        <w:t>Funct</w:t>
      </w:r>
      <w:proofErr w:type="spellEnd"/>
      <w:r w:rsidRPr="00AE0B93">
        <w:rPr>
          <w:rFonts w:ascii="Arial" w:hAnsi="Arial" w:cs="Arial"/>
          <w:sz w:val="20"/>
          <w:szCs w:val="20"/>
        </w:rPr>
        <w:t xml:space="preserve"> Mater. 2012;22(10):2027-2039.</w:t>
      </w:r>
    </w:p>
    <w:p w14:paraId="3C4F38B9" w14:textId="318C11DB" w:rsidR="00194A17" w:rsidRPr="00AE0B93" w:rsidRDefault="00776998"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Chimene D, Kaunas R, Gaharwar AK. Hydrogel bioink reinforcement for 3D bioprinting: a rheological and biological perspective. </w:t>
      </w:r>
      <w:proofErr w:type="spellStart"/>
      <w:r w:rsidRPr="00AE0B93">
        <w:rPr>
          <w:rFonts w:ascii="Arial" w:hAnsi="Arial" w:cs="Arial"/>
          <w:sz w:val="20"/>
          <w:szCs w:val="20"/>
        </w:rPr>
        <w:t>Acta</w:t>
      </w:r>
      <w:proofErr w:type="spellEnd"/>
      <w:r w:rsidRPr="00AE0B93">
        <w:rPr>
          <w:rFonts w:ascii="Arial" w:hAnsi="Arial" w:cs="Arial"/>
          <w:sz w:val="20"/>
          <w:szCs w:val="20"/>
        </w:rPr>
        <w:t xml:space="preserve"> </w:t>
      </w:r>
      <w:proofErr w:type="spellStart"/>
      <w:r w:rsidRPr="00AE0B93">
        <w:rPr>
          <w:rFonts w:ascii="Arial" w:hAnsi="Arial" w:cs="Arial"/>
          <w:sz w:val="20"/>
          <w:szCs w:val="20"/>
        </w:rPr>
        <w:t>Biomater</w:t>
      </w:r>
      <w:proofErr w:type="spellEnd"/>
      <w:r w:rsidRPr="00AE0B93">
        <w:rPr>
          <w:rFonts w:ascii="Arial" w:hAnsi="Arial" w:cs="Arial"/>
          <w:sz w:val="20"/>
          <w:szCs w:val="20"/>
        </w:rPr>
        <w:t>. 2020</w:t>
      </w:r>
      <w:proofErr w:type="gramStart"/>
      <w:r w:rsidRPr="00AE0B93">
        <w:rPr>
          <w:rFonts w:ascii="Arial" w:hAnsi="Arial" w:cs="Arial"/>
          <w:sz w:val="20"/>
          <w:szCs w:val="20"/>
        </w:rPr>
        <w:t>;103:1</w:t>
      </w:r>
      <w:proofErr w:type="gramEnd"/>
      <w:r w:rsidRPr="00AE0B93">
        <w:rPr>
          <w:rFonts w:ascii="Arial" w:hAnsi="Arial" w:cs="Arial"/>
          <w:sz w:val="20"/>
          <w:szCs w:val="20"/>
        </w:rPr>
        <w:t>–16.</w:t>
      </w:r>
    </w:p>
    <w:p w14:paraId="2A0B43C1"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lastRenderedPageBreak/>
        <w:t xml:space="preserve">Cui X, Dean D, Ruggeri ZM, Boland T. Cell damage evaluation of thermal inkjet </w:t>
      </w:r>
      <w:proofErr w:type="spellStart"/>
      <w:r w:rsidRPr="00AE0B93">
        <w:rPr>
          <w:rFonts w:ascii="Arial" w:hAnsi="Arial" w:cs="Arial"/>
          <w:sz w:val="20"/>
          <w:szCs w:val="20"/>
        </w:rPr>
        <w:t>printed</w:t>
      </w:r>
      <w:proofErr w:type="spellEnd"/>
      <w:r w:rsidRPr="00AE0B93">
        <w:rPr>
          <w:rFonts w:ascii="Arial" w:hAnsi="Arial" w:cs="Arial"/>
          <w:sz w:val="20"/>
          <w:szCs w:val="20"/>
        </w:rPr>
        <w:t xml:space="preserve"> Chinese hamster ovary cells. </w:t>
      </w:r>
      <w:proofErr w:type="spellStart"/>
      <w:r w:rsidRPr="00AE0B93">
        <w:rPr>
          <w:rFonts w:ascii="Arial" w:hAnsi="Arial" w:cs="Arial"/>
          <w:sz w:val="20"/>
          <w:szCs w:val="20"/>
        </w:rPr>
        <w:t>Biotechnol</w:t>
      </w:r>
      <w:proofErr w:type="spellEnd"/>
      <w:r w:rsidRPr="00AE0B93">
        <w:rPr>
          <w:rFonts w:ascii="Arial" w:hAnsi="Arial" w:cs="Arial"/>
          <w:sz w:val="20"/>
          <w:szCs w:val="20"/>
        </w:rPr>
        <w:t xml:space="preserve"> </w:t>
      </w:r>
      <w:proofErr w:type="spellStart"/>
      <w:r w:rsidRPr="00AE0B93">
        <w:rPr>
          <w:rFonts w:ascii="Arial" w:hAnsi="Arial" w:cs="Arial"/>
          <w:sz w:val="20"/>
          <w:szCs w:val="20"/>
        </w:rPr>
        <w:t>Bioeng</w:t>
      </w:r>
      <w:proofErr w:type="spellEnd"/>
      <w:r w:rsidRPr="00AE0B93">
        <w:rPr>
          <w:rFonts w:ascii="Arial" w:hAnsi="Arial" w:cs="Arial"/>
          <w:sz w:val="20"/>
          <w:szCs w:val="20"/>
        </w:rPr>
        <w:t>. 2010;106(6):963-969.</w:t>
      </w:r>
    </w:p>
    <w:p w14:paraId="56BEBD66"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Gao G, Lee JH, Jang J, et al. Tissue engineered bio-blood-vessels constructed using a tissue-specific bioink and 3D coaxial cell printing technique. </w:t>
      </w:r>
      <w:proofErr w:type="spellStart"/>
      <w:r w:rsidRPr="00AE0B93">
        <w:rPr>
          <w:rFonts w:ascii="Arial" w:hAnsi="Arial" w:cs="Arial"/>
          <w:sz w:val="20"/>
          <w:szCs w:val="20"/>
        </w:rPr>
        <w:t>Adv</w:t>
      </w:r>
      <w:proofErr w:type="spellEnd"/>
      <w:r w:rsidRPr="00AE0B93">
        <w:rPr>
          <w:rFonts w:ascii="Arial" w:hAnsi="Arial" w:cs="Arial"/>
          <w:sz w:val="20"/>
          <w:szCs w:val="20"/>
        </w:rPr>
        <w:t xml:space="preserve"> </w:t>
      </w:r>
      <w:proofErr w:type="spellStart"/>
      <w:r w:rsidRPr="00AE0B93">
        <w:rPr>
          <w:rFonts w:ascii="Arial" w:hAnsi="Arial" w:cs="Arial"/>
          <w:sz w:val="20"/>
          <w:szCs w:val="20"/>
        </w:rPr>
        <w:t>Funct</w:t>
      </w:r>
      <w:proofErr w:type="spellEnd"/>
      <w:r w:rsidRPr="00AE0B93">
        <w:rPr>
          <w:rFonts w:ascii="Arial" w:hAnsi="Arial" w:cs="Arial"/>
          <w:sz w:val="20"/>
          <w:szCs w:val="20"/>
        </w:rPr>
        <w:t xml:space="preserve"> Mater. 2017;27(33):1700798.</w:t>
      </w:r>
    </w:p>
    <w:p w14:paraId="79119C6E" w14:textId="7DBF75F1" w:rsidR="000D0542" w:rsidRPr="00AE0B93" w:rsidRDefault="000D0542"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Gao X, He Y, Zhang L, et al. Advances in 3D bioprinting for regenerative medicine applications. Regenerative Biomaterials. 2024; doi:10.1093/</w:t>
      </w:r>
      <w:proofErr w:type="spellStart"/>
      <w:r w:rsidRPr="00AE0B93">
        <w:rPr>
          <w:rFonts w:ascii="Arial" w:hAnsi="Arial" w:cs="Arial"/>
          <w:sz w:val="20"/>
          <w:szCs w:val="20"/>
        </w:rPr>
        <w:t>rb</w:t>
      </w:r>
      <w:proofErr w:type="spellEnd"/>
      <w:r w:rsidRPr="00AE0B93">
        <w:rPr>
          <w:rFonts w:ascii="Arial" w:hAnsi="Arial" w:cs="Arial"/>
          <w:sz w:val="20"/>
          <w:szCs w:val="20"/>
        </w:rPr>
        <w:t>/rbae033.</w:t>
      </w:r>
    </w:p>
    <w:p w14:paraId="70994884" w14:textId="77777777" w:rsidR="00F349AA" w:rsidRPr="00AE0B93" w:rsidRDefault="00F349AA" w:rsidP="00FF52EE">
      <w:pPr>
        <w:numPr>
          <w:ilvl w:val="0"/>
          <w:numId w:val="1"/>
        </w:numPr>
        <w:spacing w:line="360" w:lineRule="auto"/>
        <w:jc w:val="both"/>
        <w:rPr>
          <w:rFonts w:ascii="Arial" w:hAnsi="Arial" w:cs="Arial"/>
          <w:sz w:val="20"/>
          <w:szCs w:val="20"/>
        </w:rPr>
      </w:pPr>
      <w:proofErr w:type="spellStart"/>
      <w:r w:rsidRPr="00AE0B93">
        <w:rPr>
          <w:rFonts w:ascii="Arial" w:hAnsi="Arial" w:cs="Arial"/>
          <w:sz w:val="20"/>
          <w:szCs w:val="20"/>
        </w:rPr>
        <w:t>Goronzy</w:t>
      </w:r>
      <w:proofErr w:type="spellEnd"/>
      <w:r w:rsidRPr="00AE0B93">
        <w:rPr>
          <w:rFonts w:ascii="Arial" w:hAnsi="Arial" w:cs="Arial"/>
          <w:sz w:val="20"/>
          <w:szCs w:val="20"/>
        </w:rPr>
        <w:t xml:space="preserve"> JJ, </w:t>
      </w:r>
      <w:proofErr w:type="spellStart"/>
      <w:r w:rsidRPr="00AE0B93">
        <w:rPr>
          <w:rFonts w:ascii="Arial" w:hAnsi="Arial" w:cs="Arial"/>
          <w:sz w:val="20"/>
          <w:szCs w:val="20"/>
        </w:rPr>
        <w:t>Weyand</w:t>
      </w:r>
      <w:proofErr w:type="spellEnd"/>
      <w:r w:rsidRPr="00AE0B93">
        <w:rPr>
          <w:rFonts w:ascii="Arial" w:hAnsi="Arial" w:cs="Arial"/>
          <w:sz w:val="20"/>
          <w:szCs w:val="20"/>
        </w:rPr>
        <w:t xml:space="preserve"> CM. Successful and maladaptive T cell aging. Immunity. 2017;46(3):364-378.</w:t>
      </w:r>
    </w:p>
    <w:p w14:paraId="1AEE45BB" w14:textId="719D81BF"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Grigoryan B, Paulsen SJ, Corbett DC, et al. Multi</w:t>
      </w:r>
      <w:r w:rsidR="0044686A" w:rsidRPr="00AE0B93">
        <w:rPr>
          <w:rFonts w:ascii="Arial" w:hAnsi="Arial" w:cs="Arial"/>
          <w:sz w:val="20"/>
          <w:szCs w:val="20"/>
        </w:rPr>
        <w:t>-</w:t>
      </w:r>
      <w:r w:rsidRPr="00AE0B93">
        <w:rPr>
          <w:rFonts w:ascii="Arial" w:hAnsi="Arial" w:cs="Arial"/>
          <w:sz w:val="20"/>
          <w:szCs w:val="20"/>
        </w:rPr>
        <w:t>vascular networks and functional intravascular topologies within biocompatible hydrogels. Science. 2019;364(6439):458-464.</w:t>
      </w:r>
    </w:p>
    <w:p w14:paraId="0FAA7591" w14:textId="77777777" w:rsidR="00F349AA"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Gudapati H, </w:t>
      </w:r>
      <w:proofErr w:type="spellStart"/>
      <w:r w:rsidRPr="00AE0B93">
        <w:rPr>
          <w:rFonts w:ascii="Arial" w:hAnsi="Arial" w:cs="Arial"/>
          <w:sz w:val="20"/>
          <w:szCs w:val="20"/>
        </w:rPr>
        <w:t>Dey</w:t>
      </w:r>
      <w:proofErr w:type="spellEnd"/>
      <w:r w:rsidRPr="00AE0B93">
        <w:rPr>
          <w:rFonts w:ascii="Arial" w:hAnsi="Arial" w:cs="Arial"/>
          <w:sz w:val="20"/>
          <w:szCs w:val="20"/>
        </w:rPr>
        <w:t xml:space="preserve"> M, </w:t>
      </w:r>
      <w:proofErr w:type="spellStart"/>
      <w:r w:rsidRPr="00AE0B93">
        <w:rPr>
          <w:rFonts w:ascii="Arial" w:hAnsi="Arial" w:cs="Arial"/>
          <w:sz w:val="20"/>
          <w:szCs w:val="20"/>
        </w:rPr>
        <w:t>Ozbolat</w:t>
      </w:r>
      <w:proofErr w:type="spellEnd"/>
      <w:r w:rsidRPr="00AE0B93">
        <w:rPr>
          <w:rFonts w:ascii="Arial" w:hAnsi="Arial" w:cs="Arial"/>
          <w:sz w:val="20"/>
          <w:szCs w:val="20"/>
        </w:rPr>
        <w:t xml:space="preserve"> I. A comprehensive review on droplet-based bioprinting: past, present and future. Biomaterials. 2016</w:t>
      </w:r>
      <w:proofErr w:type="gramStart"/>
      <w:r w:rsidRPr="00AE0B93">
        <w:rPr>
          <w:rFonts w:ascii="Arial" w:hAnsi="Arial" w:cs="Arial"/>
          <w:sz w:val="20"/>
          <w:szCs w:val="20"/>
        </w:rPr>
        <w:t>;102:20</w:t>
      </w:r>
      <w:proofErr w:type="gramEnd"/>
      <w:r w:rsidRPr="00AE0B93">
        <w:rPr>
          <w:rFonts w:ascii="Arial" w:hAnsi="Arial" w:cs="Arial"/>
          <w:sz w:val="20"/>
          <w:szCs w:val="20"/>
        </w:rPr>
        <w:t>-42.</w:t>
      </w:r>
    </w:p>
    <w:p w14:paraId="4467AFAA" w14:textId="08E6A437" w:rsidR="008B1BA4" w:rsidRPr="00AE0B93" w:rsidRDefault="008B1BA4" w:rsidP="00FF52EE">
      <w:pPr>
        <w:numPr>
          <w:ilvl w:val="0"/>
          <w:numId w:val="1"/>
        </w:numPr>
        <w:spacing w:line="360" w:lineRule="auto"/>
        <w:jc w:val="both"/>
        <w:rPr>
          <w:rFonts w:ascii="Arial" w:hAnsi="Arial" w:cs="Arial"/>
          <w:sz w:val="20"/>
          <w:szCs w:val="20"/>
        </w:rPr>
      </w:pPr>
      <w:r w:rsidRPr="008B1BA4">
        <w:rPr>
          <w:rFonts w:ascii="Arial" w:hAnsi="Arial" w:cs="Arial"/>
          <w:sz w:val="20"/>
          <w:szCs w:val="20"/>
        </w:rPr>
        <w:t xml:space="preserve">Gupta, D., Chichkov, B., Vereb, Z. J., &amp; </w:t>
      </w:r>
      <w:proofErr w:type="spellStart"/>
      <w:r w:rsidRPr="008B1BA4">
        <w:rPr>
          <w:rFonts w:ascii="Arial" w:hAnsi="Arial" w:cs="Arial"/>
          <w:sz w:val="20"/>
          <w:szCs w:val="20"/>
        </w:rPr>
        <w:t>Ozbolat</w:t>
      </w:r>
      <w:proofErr w:type="spellEnd"/>
      <w:r w:rsidRPr="008B1BA4">
        <w:rPr>
          <w:rFonts w:ascii="Arial" w:hAnsi="Arial" w:cs="Arial"/>
          <w:sz w:val="20"/>
          <w:szCs w:val="20"/>
        </w:rPr>
        <w:t xml:space="preserve">, I. T. (2023). Editorial: Innovative 3D technologies in cancer immunity research and therapy. </w:t>
      </w:r>
      <w:r w:rsidRPr="008B1BA4">
        <w:rPr>
          <w:rFonts w:ascii="Arial" w:hAnsi="Arial" w:cs="Arial"/>
          <w:i/>
          <w:iCs/>
          <w:sz w:val="20"/>
          <w:szCs w:val="20"/>
        </w:rPr>
        <w:t>Frontiers in Immunology, 14</w:t>
      </w:r>
      <w:r w:rsidRPr="008B1BA4">
        <w:rPr>
          <w:rFonts w:ascii="Arial" w:hAnsi="Arial" w:cs="Arial"/>
          <w:sz w:val="20"/>
          <w:szCs w:val="20"/>
        </w:rPr>
        <w:t>.</w:t>
      </w:r>
    </w:p>
    <w:p w14:paraId="04F53FC0" w14:textId="0F538090" w:rsidR="007B2F32" w:rsidRPr="00AE0B93" w:rsidRDefault="007B2F32" w:rsidP="007B2F32">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Guillotin B, Guillemot F. Cell patterning technologies for organotypic tissue fabrication. </w:t>
      </w:r>
      <w:r w:rsidRPr="00AE0B93">
        <w:rPr>
          <w:rFonts w:ascii="Arial" w:hAnsi="Arial" w:cs="Arial"/>
          <w:i/>
          <w:iCs/>
          <w:sz w:val="20"/>
          <w:szCs w:val="20"/>
        </w:rPr>
        <w:t xml:space="preserve">Trends </w:t>
      </w:r>
      <w:proofErr w:type="spellStart"/>
      <w:r w:rsidRPr="00AE0B93">
        <w:rPr>
          <w:rFonts w:ascii="Arial" w:hAnsi="Arial" w:cs="Arial"/>
          <w:i/>
          <w:iCs/>
          <w:sz w:val="20"/>
          <w:szCs w:val="20"/>
        </w:rPr>
        <w:t>Biotechnol</w:t>
      </w:r>
      <w:proofErr w:type="spellEnd"/>
      <w:r w:rsidRPr="00AE0B93">
        <w:rPr>
          <w:rFonts w:ascii="Arial" w:hAnsi="Arial" w:cs="Arial"/>
          <w:sz w:val="20"/>
          <w:szCs w:val="20"/>
        </w:rPr>
        <w:t>. 2011;29(4):183–190.</w:t>
      </w:r>
    </w:p>
    <w:p w14:paraId="1B397B52" w14:textId="1AF79742" w:rsidR="007B605C" w:rsidRPr="00AE0B93" w:rsidRDefault="007B605C"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Han J, Li M, Chen K, Liu Y, Zhang Z. Advanced hydrogels: enhancing tissue bioengineering with RGD peptides. </w:t>
      </w:r>
      <w:proofErr w:type="spellStart"/>
      <w:r w:rsidRPr="00AE0B93">
        <w:rPr>
          <w:rFonts w:ascii="Arial" w:hAnsi="Arial" w:cs="Arial"/>
          <w:i/>
          <w:iCs/>
          <w:sz w:val="20"/>
          <w:szCs w:val="20"/>
        </w:rPr>
        <w:t>Int</w:t>
      </w:r>
      <w:proofErr w:type="spellEnd"/>
      <w:r w:rsidRPr="00AE0B93">
        <w:rPr>
          <w:rFonts w:ascii="Arial" w:hAnsi="Arial" w:cs="Arial"/>
          <w:i/>
          <w:iCs/>
          <w:sz w:val="20"/>
          <w:szCs w:val="20"/>
        </w:rPr>
        <w:t xml:space="preserve"> J </w:t>
      </w:r>
      <w:proofErr w:type="spellStart"/>
      <w:r w:rsidRPr="00AE0B93">
        <w:rPr>
          <w:rFonts w:ascii="Arial" w:hAnsi="Arial" w:cs="Arial"/>
          <w:i/>
          <w:iCs/>
          <w:sz w:val="20"/>
          <w:szCs w:val="20"/>
        </w:rPr>
        <w:t>Biol</w:t>
      </w:r>
      <w:proofErr w:type="spellEnd"/>
      <w:r w:rsidRPr="00AE0B93">
        <w:rPr>
          <w:rFonts w:ascii="Arial" w:hAnsi="Arial" w:cs="Arial"/>
          <w:i/>
          <w:iCs/>
          <w:sz w:val="20"/>
          <w:szCs w:val="20"/>
        </w:rPr>
        <w:t xml:space="preserve"> </w:t>
      </w:r>
      <w:proofErr w:type="spellStart"/>
      <w:r w:rsidRPr="00AE0B93">
        <w:rPr>
          <w:rFonts w:ascii="Arial" w:hAnsi="Arial" w:cs="Arial"/>
          <w:i/>
          <w:iCs/>
          <w:sz w:val="20"/>
          <w:szCs w:val="20"/>
        </w:rPr>
        <w:t>Macromol</w:t>
      </w:r>
      <w:proofErr w:type="spellEnd"/>
      <w:r w:rsidRPr="00AE0B93">
        <w:rPr>
          <w:rFonts w:ascii="Arial" w:hAnsi="Arial" w:cs="Arial"/>
          <w:i/>
          <w:iCs/>
          <w:sz w:val="20"/>
          <w:szCs w:val="20"/>
        </w:rPr>
        <w:t>.</w:t>
      </w:r>
      <w:r w:rsidRPr="00AE0B93">
        <w:rPr>
          <w:rFonts w:ascii="Arial" w:hAnsi="Arial" w:cs="Arial"/>
          <w:sz w:val="20"/>
          <w:szCs w:val="20"/>
        </w:rPr>
        <w:t xml:space="preserve"> 2024</w:t>
      </w:r>
      <w:proofErr w:type="gramStart"/>
      <w:r w:rsidRPr="00AE0B93">
        <w:rPr>
          <w:rFonts w:ascii="Arial" w:hAnsi="Arial" w:cs="Arial"/>
          <w:sz w:val="20"/>
          <w:szCs w:val="20"/>
        </w:rPr>
        <w:t>;260:130350</w:t>
      </w:r>
      <w:proofErr w:type="gramEnd"/>
      <w:r w:rsidRPr="00AE0B93">
        <w:rPr>
          <w:rFonts w:ascii="Arial" w:hAnsi="Arial" w:cs="Arial"/>
          <w:sz w:val="20"/>
          <w:szCs w:val="20"/>
        </w:rPr>
        <w:t>.</w:t>
      </w:r>
    </w:p>
    <w:p w14:paraId="312CCE21" w14:textId="0774CB48" w:rsidR="00B42ED2" w:rsidRPr="00AE0B93" w:rsidRDefault="00B42ED2"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Highley CB, Prestwich GD, Burdick JA. Recent advances in hyaluronic acid hydrogels for biomedical applications. </w:t>
      </w:r>
      <w:proofErr w:type="spellStart"/>
      <w:r w:rsidRPr="00AE0B93">
        <w:rPr>
          <w:rFonts w:ascii="Arial" w:hAnsi="Arial" w:cs="Arial"/>
          <w:sz w:val="20"/>
          <w:szCs w:val="20"/>
        </w:rPr>
        <w:t>Curr</w:t>
      </w:r>
      <w:proofErr w:type="spellEnd"/>
      <w:r w:rsidRPr="00AE0B93">
        <w:rPr>
          <w:rFonts w:ascii="Arial" w:hAnsi="Arial" w:cs="Arial"/>
          <w:sz w:val="20"/>
          <w:szCs w:val="20"/>
        </w:rPr>
        <w:t xml:space="preserve"> </w:t>
      </w:r>
      <w:proofErr w:type="spellStart"/>
      <w:r w:rsidRPr="00AE0B93">
        <w:rPr>
          <w:rFonts w:ascii="Arial" w:hAnsi="Arial" w:cs="Arial"/>
          <w:sz w:val="20"/>
          <w:szCs w:val="20"/>
        </w:rPr>
        <w:t>Opin</w:t>
      </w:r>
      <w:proofErr w:type="spellEnd"/>
      <w:r w:rsidRPr="00AE0B93">
        <w:rPr>
          <w:rFonts w:ascii="Arial" w:hAnsi="Arial" w:cs="Arial"/>
          <w:sz w:val="20"/>
          <w:szCs w:val="20"/>
        </w:rPr>
        <w:t xml:space="preserve"> </w:t>
      </w:r>
      <w:proofErr w:type="spellStart"/>
      <w:r w:rsidRPr="00AE0B93">
        <w:rPr>
          <w:rFonts w:ascii="Arial" w:hAnsi="Arial" w:cs="Arial"/>
          <w:sz w:val="20"/>
          <w:szCs w:val="20"/>
        </w:rPr>
        <w:t>Biotechnol</w:t>
      </w:r>
      <w:proofErr w:type="spellEnd"/>
      <w:r w:rsidRPr="00AE0B93">
        <w:rPr>
          <w:rFonts w:ascii="Arial" w:hAnsi="Arial" w:cs="Arial"/>
          <w:sz w:val="20"/>
          <w:szCs w:val="20"/>
        </w:rPr>
        <w:t>. 2016</w:t>
      </w:r>
      <w:proofErr w:type="gramStart"/>
      <w:r w:rsidRPr="00AE0B93">
        <w:rPr>
          <w:rFonts w:ascii="Arial" w:hAnsi="Arial" w:cs="Arial"/>
          <w:sz w:val="20"/>
          <w:szCs w:val="20"/>
        </w:rPr>
        <w:t>;40:35</w:t>
      </w:r>
      <w:proofErr w:type="gramEnd"/>
      <w:r w:rsidRPr="00AE0B93">
        <w:rPr>
          <w:rFonts w:ascii="Arial" w:hAnsi="Arial" w:cs="Arial"/>
          <w:sz w:val="20"/>
          <w:szCs w:val="20"/>
        </w:rPr>
        <w:t>–40.</w:t>
      </w:r>
    </w:p>
    <w:p w14:paraId="76E1BE3B" w14:textId="513512F7" w:rsidR="00541E4E" w:rsidRDefault="00541E4E" w:rsidP="00541E4E">
      <w:pPr>
        <w:pStyle w:val="ListParagraph"/>
        <w:numPr>
          <w:ilvl w:val="0"/>
          <w:numId w:val="1"/>
        </w:numPr>
        <w:rPr>
          <w:rFonts w:ascii="Arial" w:hAnsi="Arial" w:cs="Arial"/>
          <w:sz w:val="20"/>
          <w:szCs w:val="20"/>
        </w:rPr>
      </w:pPr>
      <w:r w:rsidRPr="00AE0B93">
        <w:rPr>
          <w:rFonts w:ascii="Arial" w:hAnsi="Arial" w:cs="Arial"/>
          <w:sz w:val="20"/>
          <w:szCs w:val="20"/>
        </w:rPr>
        <w:t xml:space="preserve">Hinton TJ, </w:t>
      </w:r>
      <w:proofErr w:type="spellStart"/>
      <w:r w:rsidRPr="00AE0B93">
        <w:rPr>
          <w:rFonts w:ascii="Arial" w:hAnsi="Arial" w:cs="Arial"/>
          <w:sz w:val="20"/>
          <w:szCs w:val="20"/>
        </w:rPr>
        <w:t>Jallerat</w:t>
      </w:r>
      <w:proofErr w:type="spellEnd"/>
      <w:r w:rsidRPr="00AE0B93">
        <w:rPr>
          <w:rFonts w:ascii="Arial" w:hAnsi="Arial" w:cs="Arial"/>
          <w:sz w:val="20"/>
          <w:szCs w:val="20"/>
        </w:rPr>
        <w:t xml:space="preserve"> Q, </w:t>
      </w:r>
      <w:proofErr w:type="spellStart"/>
      <w:r w:rsidRPr="00AE0B93">
        <w:rPr>
          <w:rFonts w:ascii="Arial" w:hAnsi="Arial" w:cs="Arial"/>
          <w:sz w:val="20"/>
          <w:szCs w:val="20"/>
        </w:rPr>
        <w:t>Palchesko</w:t>
      </w:r>
      <w:proofErr w:type="spellEnd"/>
      <w:r w:rsidRPr="00AE0B93">
        <w:rPr>
          <w:rFonts w:ascii="Arial" w:hAnsi="Arial" w:cs="Arial"/>
          <w:sz w:val="20"/>
          <w:szCs w:val="20"/>
        </w:rPr>
        <w:t xml:space="preserve"> RN, et al. Three-dimensional printing of complex biological structures. Adv Mater. 2015;27(8):1241–1247</w:t>
      </w:r>
    </w:p>
    <w:p w14:paraId="117632E6" w14:textId="75F6CAFC" w:rsidR="00916FED" w:rsidRPr="00AE0B93" w:rsidRDefault="00916FED" w:rsidP="00541E4E">
      <w:pPr>
        <w:pStyle w:val="ListParagraph"/>
        <w:numPr>
          <w:ilvl w:val="0"/>
          <w:numId w:val="1"/>
        </w:numPr>
        <w:rPr>
          <w:rFonts w:ascii="Arial" w:hAnsi="Arial" w:cs="Arial"/>
          <w:sz w:val="20"/>
          <w:szCs w:val="20"/>
        </w:rPr>
      </w:pPr>
      <w:r w:rsidRPr="00916FED">
        <w:rPr>
          <w:rFonts w:ascii="Arial" w:hAnsi="Arial" w:cs="Arial"/>
          <w:sz w:val="20"/>
          <w:szCs w:val="20"/>
        </w:rPr>
        <w:t xml:space="preserve">Hudson, A. R., Shiwarski, D. J., Kramer, A. J., &amp; Feinberg, A. W. (2025). Enhancing viability in static and perfused 3D tissue constructs using sacrificial </w:t>
      </w:r>
      <w:proofErr w:type="spellStart"/>
      <w:r w:rsidRPr="00916FED">
        <w:rPr>
          <w:rFonts w:ascii="Arial" w:hAnsi="Arial" w:cs="Arial"/>
          <w:sz w:val="20"/>
          <w:szCs w:val="20"/>
        </w:rPr>
        <w:t>gelatin</w:t>
      </w:r>
      <w:proofErr w:type="spellEnd"/>
      <w:r w:rsidRPr="00916FED">
        <w:rPr>
          <w:rFonts w:ascii="Arial" w:hAnsi="Arial" w:cs="Arial"/>
          <w:sz w:val="20"/>
          <w:szCs w:val="20"/>
        </w:rPr>
        <w:t xml:space="preserve"> </w:t>
      </w:r>
      <w:proofErr w:type="spellStart"/>
      <w:r w:rsidRPr="00916FED">
        <w:rPr>
          <w:rFonts w:ascii="Arial" w:hAnsi="Arial" w:cs="Arial"/>
          <w:sz w:val="20"/>
          <w:szCs w:val="20"/>
        </w:rPr>
        <w:t>microparticles</w:t>
      </w:r>
      <w:proofErr w:type="spellEnd"/>
      <w:r w:rsidRPr="00916FED">
        <w:rPr>
          <w:rFonts w:ascii="Arial" w:hAnsi="Arial" w:cs="Arial"/>
          <w:sz w:val="20"/>
          <w:szCs w:val="20"/>
        </w:rPr>
        <w:t>. ACS Biomaterials Science &amp; Engineering, 11(5), 2888–2897.</w:t>
      </w:r>
    </w:p>
    <w:p w14:paraId="41148872" w14:textId="77777777" w:rsidR="00541E4E" w:rsidRPr="00AE0B93" w:rsidRDefault="00541E4E" w:rsidP="00541E4E">
      <w:pPr>
        <w:pStyle w:val="ListParagraph"/>
        <w:rPr>
          <w:rFonts w:ascii="Arial" w:hAnsi="Arial" w:cs="Arial"/>
          <w:sz w:val="20"/>
          <w:szCs w:val="20"/>
        </w:rPr>
      </w:pPr>
    </w:p>
    <w:p w14:paraId="5A043248" w14:textId="25C1A07C" w:rsidR="00B42ED2" w:rsidRPr="00AE0B93" w:rsidRDefault="00B42ED2" w:rsidP="00B42ED2">
      <w:pPr>
        <w:pStyle w:val="ListParagraph"/>
        <w:numPr>
          <w:ilvl w:val="0"/>
          <w:numId w:val="1"/>
        </w:numPr>
        <w:rPr>
          <w:rFonts w:ascii="Arial" w:hAnsi="Arial" w:cs="Arial"/>
          <w:sz w:val="20"/>
          <w:szCs w:val="20"/>
        </w:rPr>
      </w:pPr>
      <w:r w:rsidRPr="00AE0B93">
        <w:rPr>
          <w:rFonts w:ascii="Arial" w:hAnsi="Arial" w:cs="Arial"/>
          <w:sz w:val="20"/>
          <w:szCs w:val="20"/>
        </w:rPr>
        <w:t xml:space="preserve">Hou S, Lake F, Zhang W. Hyaluronic-acid-based hydrogels for tissue engineering: recent progress and future prospects. </w:t>
      </w:r>
      <w:proofErr w:type="spellStart"/>
      <w:r w:rsidRPr="00AE0B93">
        <w:rPr>
          <w:rFonts w:ascii="Arial" w:hAnsi="Arial" w:cs="Arial"/>
          <w:sz w:val="20"/>
          <w:szCs w:val="20"/>
        </w:rPr>
        <w:t>Adv</w:t>
      </w:r>
      <w:proofErr w:type="spellEnd"/>
      <w:r w:rsidRPr="00AE0B93">
        <w:rPr>
          <w:rFonts w:ascii="Arial" w:hAnsi="Arial" w:cs="Arial"/>
          <w:sz w:val="20"/>
          <w:szCs w:val="20"/>
        </w:rPr>
        <w:t xml:space="preserve"> </w:t>
      </w:r>
      <w:proofErr w:type="spellStart"/>
      <w:r w:rsidRPr="00AE0B93">
        <w:rPr>
          <w:rFonts w:ascii="Arial" w:hAnsi="Arial" w:cs="Arial"/>
          <w:sz w:val="20"/>
          <w:szCs w:val="20"/>
        </w:rPr>
        <w:t>Funct</w:t>
      </w:r>
      <w:proofErr w:type="spellEnd"/>
      <w:r w:rsidRPr="00AE0B93">
        <w:rPr>
          <w:rFonts w:ascii="Arial" w:hAnsi="Arial" w:cs="Arial"/>
          <w:sz w:val="20"/>
          <w:szCs w:val="20"/>
        </w:rPr>
        <w:t xml:space="preserve"> Mater. 2023</w:t>
      </w:r>
      <w:proofErr w:type="gramStart"/>
      <w:r w:rsidRPr="00AE0B93">
        <w:rPr>
          <w:rFonts w:ascii="Arial" w:hAnsi="Arial" w:cs="Arial"/>
          <w:sz w:val="20"/>
          <w:szCs w:val="20"/>
        </w:rPr>
        <w:t>;33:2300271</w:t>
      </w:r>
      <w:proofErr w:type="gramEnd"/>
      <w:r w:rsidRPr="00AE0B93">
        <w:rPr>
          <w:rFonts w:ascii="Arial" w:hAnsi="Arial" w:cs="Arial"/>
          <w:sz w:val="20"/>
          <w:szCs w:val="20"/>
        </w:rPr>
        <w:t>.</w:t>
      </w:r>
    </w:p>
    <w:p w14:paraId="042AD0D1"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Huang TQ, Qu X, Liu J, Chen S. 3D printing of biomimetic microstructures for cancer cell migration. Biomed Microdevices. 2024;26(1):9.</w:t>
      </w:r>
    </w:p>
    <w:p w14:paraId="14028239"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Jang J, Park HJ, Kim SW, et al. 3D printed complex tissue construct using stem cell-laden decellularized extracellular matrix bioinks for cardiac repair. Biomaterials. 2021</w:t>
      </w:r>
      <w:proofErr w:type="gramStart"/>
      <w:r w:rsidRPr="00AE0B93">
        <w:rPr>
          <w:rFonts w:ascii="Arial" w:hAnsi="Arial" w:cs="Arial"/>
          <w:sz w:val="20"/>
          <w:szCs w:val="20"/>
        </w:rPr>
        <w:t>;112:121</w:t>
      </w:r>
      <w:proofErr w:type="gramEnd"/>
      <w:r w:rsidRPr="00AE0B93">
        <w:rPr>
          <w:rFonts w:ascii="Arial" w:hAnsi="Arial" w:cs="Arial"/>
          <w:sz w:val="20"/>
          <w:szCs w:val="20"/>
        </w:rPr>
        <w:t>.</w:t>
      </w:r>
    </w:p>
    <w:p w14:paraId="6C90BCE3" w14:textId="59E5FCCC" w:rsidR="00512652" w:rsidRPr="00AE0B93" w:rsidRDefault="00512652"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Jenkins RW, Aref AR, Lizotte PH, et al</w:t>
      </w:r>
      <w:r w:rsidRPr="00AE0B93">
        <w:rPr>
          <w:rFonts w:ascii="Arial" w:hAnsi="Arial" w:cs="Arial"/>
          <w:b/>
          <w:bCs/>
          <w:sz w:val="20"/>
          <w:szCs w:val="20"/>
        </w:rPr>
        <w:t>.</w:t>
      </w:r>
      <w:r w:rsidRPr="00AE0B93">
        <w:rPr>
          <w:rFonts w:ascii="Arial" w:hAnsi="Arial" w:cs="Arial"/>
          <w:sz w:val="20"/>
          <w:szCs w:val="20"/>
        </w:rPr>
        <w:t xml:space="preserve"> Ex vivo profiling of PD-1 blockade using patient-derived organoids from melanoma lymph nodes. </w:t>
      </w:r>
      <w:r w:rsidRPr="00AE0B93">
        <w:rPr>
          <w:rFonts w:ascii="Arial" w:hAnsi="Arial" w:cs="Arial"/>
          <w:i/>
          <w:iCs/>
          <w:sz w:val="20"/>
          <w:szCs w:val="20"/>
        </w:rPr>
        <w:t>Cell</w:t>
      </w:r>
      <w:r w:rsidRPr="00AE0B93">
        <w:rPr>
          <w:rFonts w:ascii="Arial" w:hAnsi="Arial" w:cs="Arial"/>
          <w:sz w:val="20"/>
          <w:szCs w:val="20"/>
        </w:rPr>
        <w:t>. 2020;183(5):1427–1441</w:t>
      </w:r>
    </w:p>
    <w:p w14:paraId="1F6D307F" w14:textId="1053A45F" w:rsidR="00541E4E" w:rsidRPr="00AE0B93" w:rsidRDefault="00541E4E"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Jarjour M, Jorquera A, Mondor I, et al. Fate and plasticity of germinal </w:t>
      </w:r>
      <w:proofErr w:type="spellStart"/>
      <w:r w:rsidRPr="00AE0B93">
        <w:rPr>
          <w:rFonts w:ascii="Arial" w:hAnsi="Arial" w:cs="Arial"/>
          <w:sz w:val="20"/>
          <w:szCs w:val="20"/>
        </w:rPr>
        <w:t>center</w:t>
      </w:r>
      <w:proofErr w:type="spellEnd"/>
      <w:r w:rsidRPr="00AE0B93">
        <w:rPr>
          <w:rFonts w:ascii="Arial" w:hAnsi="Arial" w:cs="Arial"/>
          <w:sz w:val="20"/>
          <w:szCs w:val="20"/>
        </w:rPr>
        <w:t xml:space="preserve"> T follicular helper cells. </w:t>
      </w:r>
      <w:r w:rsidRPr="00AE0B93">
        <w:rPr>
          <w:rFonts w:ascii="Arial" w:hAnsi="Arial" w:cs="Arial"/>
          <w:i/>
          <w:iCs/>
          <w:sz w:val="20"/>
          <w:szCs w:val="20"/>
        </w:rPr>
        <w:t>Immunity</w:t>
      </w:r>
      <w:r w:rsidRPr="00AE0B93">
        <w:rPr>
          <w:rFonts w:ascii="Arial" w:hAnsi="Arial" w:cs="Arial"/>
          <w:sz w:val="20"/>
          <w:szCs w:val="20"/>
        </w:rPr>
        <w:t>. 2021;54(2):272–282.</w:t>
      </w:r>
    </w:p>
    <w:p w14:paraId="4BD78828" w14:textId="74A6DBB9" w:rsidR="00CD6CE6" w:rsidRPr="00AE0B93" w:rsidRDefault="00D5141D"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lastRenderedPageBreak/>
        <w:t xml:space="preserve">Kasravi M, </w:t>
      </w:r>
      <w:proofErr w:type="spellStart"/>
      <w:r w:rsidRPr="00AE0B93">
        <w:rPr>
          <w:rFonts w:ascii="Arial" w:hAnsi="Arial" w:cs="Arial"/>
          <w:sz w:val="20"/>
          <w:szCs w:val="20"/>
        </w:rPr>
        <w:t>Ahmadi</w:t>
      </w:r>
      <w:proofErr w:type="spellEnd"/>
      <w:r w:rsidRPr="00AE0B93">
        <w:rPr>
          <w:rFonts w:ascii="Arial" w:hAnsi="Arial" w:cs="Arial"/>
          <w:sz w:val="20"/>
          <w:szCs w:val="20"/>
        </w:rPr>
        <w:t xml:space="preserve"> A, </w:t>
      </w:r>
      <w:proofErr w:type="spellStart"/>
      <w:r w:rsidRPr="00AE0B93">
        <w:rPr>
          <w:rFonts w:ascii="Arial" w:hAnsi="Arial" w:cs="Arial"/>
          <w:sz w:val="20"/>
          <w:szCs w:val="20"/>
        </w:rPr>
        <w:t>Babajani</w:t>
      </w:r>
      <w:proofErr w:type="spellEnd"/>
      <w:r w:rsidRPr="00AE0B93">
        <w:rPr>
          <w:rFonts w:ascii="Arial" w:hAnsi="Arial" w:cs="Arial"/>
          <w:sz w:val="20"/>
          <w:szCs w:val="20"/>
        </w:rPr>
        <w:t xml:space="preserve"> A, </w:t>
      </w:r>
      <w:proofErr w:type="spellStart"/>
      <w:r w:rsidRPr="00AE0B93">
        <w:rPr>
          <w:rFonts w:ascii="Arial" w:hAnsi="Arial" w:cs="Arial"/>
          <w:sz w:val="20"/>
          <w:szCs w:val="20"/>
        </w:rPr>
        <w:t>Mazloomnejad</w:t>
      </w:r>
      <w:proofErr w:type="spellEnd"/>
      <w:r w:rsidRPr="00AE0B93">
        <w:rPr>
          <w:rFonts w:ascii="Arial" w:hAnsi="Arial" w:cs="Arial"/>
          <w:sz w:val="20"/>
          <w:szCs w:val="20"/>
        </w:rPr>
        <w:t xml:space="preserve"> R, </w:t>
      </w:r>
      <w:proofErr w:type="spellStart"/>
      <w:r w:rsidRPr="00AE0B93">
        <w:rPr>
          <w:rFonts w:ascii="Arial" w:hAnsi="Arial" w:cs="Arial"/>
          <w:sz w:val="20"/>
          <w:szCs w:val="20"/>
        </w:rPr>
        <w:t>Hatamnejad</w:t>
      </w:r>
      <w:proofErr w:type="spellEnd"/>
      <w:r w:rsidRPr="00AE0B93">
        <w:rPr>
          <w:rFonts w:ascii="Arial" w:hAnsi="Arial" w:cs="Arial"/>
          <w:sz w:val="20"/>
          <w:szCs w:val="20"/>
        </w:rPr>
        <w:t xml:space="preserve"> MR, </w:t>
      </w:r>
      <w:proofErr w:type="spellStart"/>
      <w:r w:rsidRPr="00AE0B93">
        <w:rPr>
          <w:rFonts w:ascii="Arial" w:hAnsi="Arial" w:cs="Arial"/>
          <w:sz w:val="20"/>
          <w:szCs w:val="20"/>
        </w:rPr>
        <w:t>Shariatzadeh</w:t>
      </w:r>
      <w:proofErr w:type="spellEnd"/>
      <w:r w:rsidRPr="00AE0B93">
        <w:rPr>
          <w:rFonts w:ascii="Arial" w:hAnsi="Arial" w:cs="Arial"/>
          <w:sz w:val="20"/>
          <w:szCs w:val="20"/>
        </w:rPr>
        <w:t xml:space="preserve"> S, </w:t>
      </w:r>
      <w:proofErr w:type="spellStart"/>
      <w:r w:rsidRPr="00AE0B93">
        <w:rPr>
          <w:rFonts w:ascii="Arial" w:hAnsi="Arial" w:cs="Arial"/>
          <w:sz w:val="20"/>
          <w:szCs w:val="20"/>
        </w:rPr>
        <w:t>Bahrami</w:t>
      </w:r>
      <w:proofErr w:type="spellEnd"/>
      <w:r w:rsidRPr="00AE0B93">
        <w:rPr>
          <w:rFonts w:ascii="Arial" w:hAnsi="Arial" w:cs="Arial"/>
          <w:sz w:val="20"/>
          <w:szCs w:val="20"/>
        </w:rPr>
        <w:t xml:space="preserve"> S, </w:t>
      </w:r>
      <w:proofErr w:type="spellStart"/>
      <w:r w:rsidRPr="00AE0B93">
        <w:rPr>
          <w:rFonts w:ascii="Arial" w:hAnsi="Arial" w:cs="Arial"/>
          <w:sz w:val="20"/>
          <w:szCs w:val="20"/>
        </w:rPr>
        <w:t>Niknejad</w:t>
      </w:r>
      <w:proofErr w:type="spellEnd"/>
      <w:r w:rsidRPr="00AE0B93">
        <w:rPr>
          <w:rFonts w:ascii="Arial" w:hAnsi="Arial" w:cs="Arial"/>
          <w:sz w:val="20"/>
          <w:szCs w:val="20"/>
        </w:rPr>
        <w:t xml:space="preserve"> H. Immunogenicity of decellularized extracellular matrix scaffolds: a bottleneck in tissue engineering and regenerative medicine. </w:t>
      </w:r>
      <w:r w:rsidRPr="00AE0B93">
        <w:rPr>
          <w:rFonts w:ascii="Arial" w:hAnsi="Arial" w:cs="Arial"/>
          <w:i/>
          <w:iCs/>
          <w:sz w:val="20"/>
          <w:szCs w:val="20"/>
        </w:rPr>
        <w:t>Biomaterials Research</w:t>
      </w:r>
      <w:r w:rsidRPr="00AE0B93">
        <w:rPr>
          <w:rFonts w:ascii="Arial" w:hAnsi="Arial" w:cs="Arial"/>
          <w:sz w:val="20"/>
          <w:szCs w:val="20"/>
        </w:rPr>
        <w:t>. 2023;27(1):10. doi:10.1186/s40824-023-00348-z.</w:t>
      </w:r>
    </w:p>
    <w:p w14:paraId="27812E48" w14:textId="19D2CE37" w:rsidR="00F349AA" w:rsidRPr="00AE0B93" w:rsidRDefault="00F349AA" w:rsidP="00FF52EE">
      <w:pPr>
        <w:numPr>
          <w:ilvl w:val="0"/>
          <w:numId w:val="1"/>
        </w:numPr>
        <w:spacing w:line="360" w:lineRule="auto"/>
        <w:jc w:val="both"/>
        <w:rPr>
          <w:rFonts w:ascii="Arial" w:hAnsi="Arial" w:cs="Arial"/>
          <w:sz w:val="20"/>
          <w:szCs w:val="20"/>
        </w:rPr>
      </w:pPr>
      <w:proofErr w:type="spellStart"/>
      <w:r w:rsidRPr="00AE0B93">
        <w:rPr>
          <w:rFonts w:ascii="Arial" w:hAnsi="Arial" w:cs="Arial"/>
          <w:sz w:val="20"/>
          <w:szCs w:val="20"/>
        </w:rPr>
        <w:t>Kérourédan</w:t>
      </w:r>
      <w:proofErr w:type="spellEnd"/>
      <w:r w:rsidRPr="00AE0B93">
        <w:rPr>
          <w:rFonts w:ascii="Arial" w:hAnsi="Arial" w:cs="Arial"/>
          <w:sz w:val="20"/>
          <w:szCs w:val="20"/>
        </w:rPr>
        <w:t xml:space="preserve"> O, </w:t>
      </w:r>
      <w:proofErr w:type="spellStart"/>
      <w:r w:rsidRPr="00AE0B93">
        <w:rPr>
          <w:rFonts w:ascii="Arial" w:hAnsi="Arial" w:cs="Arial"/>
          <w:sz w:val="20"/>
          <w:szCs w:val="20"/>
        </w:rPr>
        <w:t>Hakobyan</w:t>
      </w:r>
      <w:proofErr w:type="spellEnd"/>
      <w:r w:rsidRPr="00AE0B93">
        <w:rPr>
          <w:rFonts w:ascii="Arial" w:hAnsi="Arial" w:cs="Arial"/>
          <w:sz w:val="20"/>
          <w:szCs w:val="20"/>
        </w:rPr>
        <w:t xml:space="preserve"> D, Rémy M, et al. In situ pre</w:t>
      </w:r>
      <w:r w:rsidR="0044686A" w:rsidRPr="00AE0B93">
        <w:rPr>
          <w:rFonts w:ascii="Arial" w:hAnsi="Arial" w:cs="Arial"/>
          <w:sz w:val="20"/>
          <w:szCs w:val="20"/>
        </w:rPr>
        <w:t>-</w:t>
      </w:r>
      <w:r w:rsidRPr="00AE0B93">
        <w:rPr>
          <w:rFonts w:ascii="Arial" w:hAnsi="Arial" w:cs="Arial"/>
          <w:sz w:val="20"/>
          <w:szCs w:val="20"/>
        </w:rPr>
        <w:t>vascularization designed by laser-assisted bioprinting: effect on bone regeneration. Bio</w:t>
      </w:r>
      <w:r w:rsidR="0044686A" w:rsidRPr="00AE0B93">
        <w:rPr>
          <w:rFonts w:ascii="Arial" w:hAnsi="Arial" w:cs="Arial"/>
          <w:sz w:val="20"/>
          <w:szCs w:val="20"/>
        </w:rPr>
        <w:t>-</w:t>
      </w:r>
      <w:r w:rsidRPr="00AE0B93">
        <w:rPr>
          <w:rFonts w:ascii="Arial" w:hAnsi="Arial" w:cs="Arial"/>
          <w:sz w:val="20"/>
          <w:szCs w:val="20"/>
        </w:rPr>
        <w:t>fabrication. 2019;11(4):045002.</w:t>
      </w:r>
    </w:p>
    <w:p w14:paraId="6220140F" w14:textId="729F06F0" w:rsidR="00135085" w:rsidRPr="00AE0B93" w:rsidRDefault="00135085" w:rsidP="00FF52EE">
      <w:pPr>
        <w:numPr>
          <w:ilvl w:val="0"/>
          <w:numId w:val="1"/>
        </w:numPr>
        <w:spacing w:line="360" w:lineRule="auto"/>
        <w:jc w:val="both"/>
        <w:rPr>
          <w:rFonts w:ascii="Arial" w:hAnsi="Arial" w:cs="Arial"/>
          <w:sz w:val="20"/>
          <w:szCs w:val="20"/>
        </w:rPr>
      </w:pPr>
      <w:proofErr w:type="spellStart"/>
      <w:r w:rsidRPr="00AE0B93">
        <w:rPr>
          <w:rFonts w:ascii="Arial" w:hAnsi="Arial" w:cs="Arial"/>
          <w:sz w:val="20"/>
          <w:szCs w:val="20"/>
        </w:rPr>
        <w:t>Kharkar</w:t>
      </w:r>
      <w:proofErr w:type="spellEnd"/>
      <w:r w:rsidRPr="00AE0B93">
        <w:rPr>
          <w:rFonts w:ascii="Arial" w:hAnsi="Arial" w:cs="Arial"/>
          <w:sz w:val="20"/>
          <w:szCs w:val="20"/>
        </w:rPr>
        <w:t xml:space="preserve"> PM, </w:t>
      </w:r>
      <w:proofErr w:type="spellStart"/>
      <w:r w:rsidRPr="00AE0B93">
        <w:rPr>
          <w:rFonts w:ascii="Arial" w:hAnsi="Arial" w:cs="Arial"/>
          <w:sz w:val="20"/>
          <w:szCs w:val="20"/>
        </w:rPr>
        <w:t>Kiick</w:t>
      </w:r>
      <w:proofErr w:type="spellEnd"/>
      <w:r w:rsidRPr="00AE0B93">
        <w:rPr>
          <w:rFonts w:ascii="Arial" w:hAnsi="Arial" w:cs="Arial"/>
          <w:sz w:val="20"/>
          <w:szCs w:val="20"/>
        </w:rPr>
        <w:t xml:space="preserve"> KL, </w:t>
      </w:r>
      <w:proofErr w:type="spellStart"/>
      <w:r w:rsidRPr="00AE0B93">
        <w:rPr>
          <w:rFonts w:ascii="Arial" w:hAnsi="Arial" w:cs="Arial"/>
          <w:sz w:val="20"/>
          <w:szCs w:val="20"/>
        </w:rPr>
        <w:t>Kloxin</w:t>
      </w:r>
      <w:proofErr w:type="spellEnd"/>
      <w:r w:rsidRPr="00AE0B93">
        <w:rPr>
          <w:rFonts w:ascii="Arial" w:hAnsi="Arial" w:cs="Arial"/>
          <w:sz w:val="20"/>
          <w:szCs w:val="20"/>
        </w:rPr>
        <w:t xml:space="preserve"> AM. Designing degradable hydrogels for orthogonal control of cell microenvironments. </w:t>
      </w:r>
      <w:r w:rsidRPr="00AE0B93">
        <w:rPr>
          <w:rFonts w:ascii="Arial" w:hAnsi="Arial" w:cs="Arial"/>
          <w:i/>
          <w:iCs/>
          <w:sz w:val="20"/>
          <w:szCs w:val="20"/>
        </w:rPr>
        <w:t>Chem Soc Rev.</w:t>
      </w:r>
      <w:r w:rsidRPr="00AE0B93">
        <w:rPr>
          <w:rFonts w:ascii="Arial" w:hAnsi="Arial" w:cs="Arial"/>
          <w:sz w:val="20"/>
          <w:szCs w:val="20"/>
        </w:rPr>
        <w:t xml:space="preserve"> 2016;45(22):6256–6301.</w:t>
      </w:r>
    </w:p>
    <w:p w14:paraId="21D94B50"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Kim W, Kim G. 3D bioprinting of functional cell-laden bioinks and its application for cell-alignment and maturation. Appl Mater Today. 2020</w:t>
      </w:r>
      <w:proofErr w:type="gramStart"/>
      <w:r w:rsidRPr="00AE0B93">
        <w:rPr>
          <w:rFonts w:ascii="Arial" w:hAnsi="Arial" w:cs="Arial"/>
          <w:sz w:val="20"/>
          <w:szCs w:val="20"/>
        </w:rPr>
        <w:t>;19:100588</w:t>
      </w:r>
      <w:proofErr w:type="gramEnd"/>
      <w:r w:rsidRPr="00AE0B93">
        <w:rPr>
          <w:rFonts w:ascii="Arial" w:hAnsi="Arial" w:cs="Arial"/>
          <w:sz w:val="20"/>
          <w:szCs w:val="20"/>
        </w:rPr>
        <w:t>.</w:t>
      </w:r>
    </w:p>
    <w:p w14:paraId="687ACDD6"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Koch L, </w:t>
      </w:r>
      <w:proofErr w:type="spellStart"/>
      <w:r w:rsidRPr="00AE0B93">
        <w:rPr>
          <w:rFonts w:ascii="Arial" w:hAnsi="Arial" w:cs="Arial"/>
          <w:sz w:val="20"/>
          <w:szCs w:val="20"/>
        </w:rPr>
        <w:t>Deiwick</w:t>
      </w:r>
      <w:proofErr w:type="spellEnd"/>
      <w:r w:rsidRPr="00AE0B93">
        <w:rPr>
          <w:rFonts w:ascii="Arial" w:hAnsi="Arial" w:cs="Arial"/>
          <w:sz w:val="20"/>
          <w:szCs w:val="20"/>
        </w:rPr>
        <w:t xml:space="preserve"> A, </w:t>
      </w:r>
      <w:proofErr w:type="spellStart"/>
      <w:r w:rsidRPr="00AE0B93">
        <w:rPr>
          <w:rFonts w:ascii="Arial" w:hAnsi="Arial" w:cs="Arial"/>
          <w:sz w:val="20"/>
          <w:szCs w:val="20"/>
        </w:rPr>
        <w:t>Schlie</w:t>
      </w:r>
      <w:proofErr w:type="spellEnd"/>
      <w:r w:rsidRPr="00AE0B93">
        <w:rPr>
          <w:rFonts w:ascii="Arial" w:hAnsi="Arial" w:cs="Arial"/>
          <w:sz w:val="20"/>
          <w:szCs w:val="20"/>
        </w:rPr>
        <w:t xml:space="preserve"> S, et al. Skin tissue generation by laser cell printing. </w:t>
      </w:r>
      <w:proofErr w:type="spellStart"/>
      <w:r w:rsidRPr="00AE0B93">
        <w:rPr>
          <w:rFonts w:ascii="Arial" w:hAnsi="Arial" w:cs="Arial"/>
          <w:sz w:val="20"/>
          <w:szCs w:val="20"/>
        </w:rPr>
        <w:t>Biotechnol</w:t>
      </w:r>
      <w:proofErr w:type="spellEnd"/>
      <w:r w:rsidRPr="00AE0B93">
        <w:rPr>
          <w:rFonts w:ascii="Arial" w:hAnsi="Arial" w:cs="Arial"/>
          <w:sz w:val="20"/>
          <w:szCs w:val="20"/>
        </w:rPr>
        <w:t xml:space="preserve"> </w:t>
      </w:r>
      <w:proofErr w:type="spellStart"/>
      <w:r w:rsidRPr="00AE0B93">
        <w:rPr>
          <w:rFonts w:ascii="Arial" w:hAnsi="Arial" w:cs="Arial"/>
          <w:sz w:val="20"/>
          <w:szCs w:val="20"/>
        </w:rPr>
        <w:t>Bioeng</w:t>
      </w:r>
      <w:proofErr w:type="spellEnd"/>
      <w:r w:rsidRPr="00AE0B93">
        <w:rPr>
          <w:rFonts w:ascii="Arial" w:hAnsi="Arial" w:cs="Arial"/>
          <w:sz w:val="20"/>
          <w:szCs w:val="20"/>
        </w:rPr>
        <w:t>. 2012;109(7):1855-1863.</w:t>
      </w:r>
    </w:p>
    <w:p w14:paraId="1209DB66" w14:textId="05F6F44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Kumar V, Weaver AM. Mechanics, malignancy, and metastasis: the force journey of a </w:t>
      </w:r>
      <w:r w:rsidR="001C7F6A" w:rsidRPr="00AE0B93">
        <w:rPr>
          <w:rFonts w:ascii="Arial" w:hAnsi="Arial" w:cs="Arial"/>
          <w:sz w:val="20"/>
          <w:szCs w:val="20"/>
        </w:rPr>
        <w:t>tumour</w:t>
      </w:r>
      <w:r w:rsidRPr="00AE0B93">
        <w:rPr>
          <w:rFonts w:ascii="Arial" w:hAnsi="Arial" w:cs="Arial"/>
          <w:sz w:val="20"/>
          <w:szCs w:val="20"/>
        </w:rPr>
        <w:t xml:space="preserve"> cell. Cancer Metastasis Rev. 2009;28(1-2):113-127.</w:t>
      </w:r>
    </w:p>
    <w:p w14:paraId="08D8FC25" w14:textId="19071353" w:rsidR="004633B8" w:rsidRPr="00AE0B93" w:rsidRDefault="004633B8" w:rsidP="004633B8">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Loebel C, Mauck RL, Burdick JA. Local nascent protein deposition and remodelling guide </w:t>
      </w:r>
      <w:proofErr w:type="spellStart"/>
      <w:r w:rsidRPr="00AE0B93">
        <w:rPr>
          <w:rFonts w:ascii="Arial" w:hAnsi="Arial" w:cs="Arial"/>
          <w:sz w:val="20"/>
          <w:szCs w:val="20"/>
        </w:rPr>
        <w:t>mesenchymal</w:t>
      </w:r>
      <w:proofErr w:type="spellEnd"/>
      <w:r w:rsidRPr="00AE0B93">
        <w:rPr>
          <w:rFonts w:ascii="Arial" w:hAnsi="Arial" w:cs="Arial"/>
          <w:sz w:val="20"/>
          <w:szCs w:val="20"/>
        </w:rPr>
        <w:t xml:space="preserve"> stromal cell </w:t>
      </w:r>
      <w:proofErr w:type="spellStart"/>
      <w:r w:rsidRPr="00AE0B93">
        <w:rPr>
          <w:rFonts w:ascii="Arial" w:hAnsi="Arial" w:cs="Arial"/>
          <w:sz w:val="20"/>
          <w:szCs w:val="20"/>
        </w:rPr>
        <w:t>mechanosensing</w:t>
      </w:r>
      <w:proofErr w:type="spellEnd"/>
      <w:r w:rsidRPr="00AE0B93">
        <w:rPr>
          <w:rFonts w:ascii="Arial" w:hAnsi="Arial" w:cs="Arial"/>
          <w:sz w:val="20"/>
          <w:szCs w:val="20"/>
        </w:rPr>
        <w:t xml:space="preserve"> and fate in three-dimensional hydrogels. Nat Mater. 2019;18(8):883–891.</w:t>
      </w:r>
    </w:p>
    <w:p w14:paraId="7F276BB1" w14:textId="6DD384E3" w:rsidR="00C81419" w:rsidRPr="00AE0B93" w:rsidRDefault="00C81419" w:rsidP="004633B8">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Lovett, M., Lee, K., Edwards, A., &amp; Kaplan, D. L. (2009). Vascularization strategies for tissue engineering. </w:t>
      </w:r>
      <w:r w:rsidRPr="00AE0B93">
        <w:rPr>
          <w:rFonts w:ascii="Arial" w:hAnsi="Arial" w:cs="Arial"/>
          <w:i/>
          <w:iCs/>
          <w:sz w:val="20"/>
          <w:szCs w:val="20"/>
        </w:rPr>
        <w:t>Tissue Engineering Part B: Reviews</w:t>
      </w:r>
      <w:r w:rsidRPr="00AE0B93">
        <w:rPr>
          <w:rFonts w:ascii="Arial" w:hAnsi="Arial" w:cs="Arial"/>
          <w:sz w:val="20"/>
          <w:szCs w:val="20"/>
        </w:rPr>
        <w:t>, 15(3), 353–370.</w:t>
      </w:r>
    </w:p>
    <w:p w14:paraId="48BF3708" w14:textId="0E6A6C4B" w:rsidR="00B900C2" w:rsidRPr="00AE0B93" w:rsidRDefault="00B900C2" w:rsidP="004633B8">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Li X, Chen Y, Wang M, et al. Chemokine-functionalized hydrogels for spatial immune cell patterning and lymphoid tissue engineering. </w:t>
      </w:r>
      <w:proofErr w:type="spellStart"/>
      <w:r w:rsidRPr="00AE0B93">
        <w:rPr>
          <w:rFonts w:ascii="Arial" w:hAnsi="Arial" w:cs="Arial"/>
          <w:i/>
          <w:iCs/>
          <w:sz w:val="20"/>
          <w:szCs w:val="20"/>
        </w:rPr>
        <w:t>Adv</w:t>
      </w:r>
      <w:proofErr w:type="spellEnd"/>
      <w:r w:rsidRPr="00AE0B93">
        <w:rPr>
          <w:rFonts w:ascii="Arial" w:hAnsi="Arial" w:cs="Arial"/>
          <w:i/>
          <w:iCs/>
          <w:sz w:val="20"/>
          <w:szCs w:val="20"/>
        </w:rPr>
        <w:t xml:space="preserve"> </w:t>
      </w:r>
      <w:proofErr w:type="spellStart"/>
      <w:r w:rsidRPr="00AE0B93">
        <w:rPr>
          <w:rFonts w:ascii="Arial" w:hAnsi="Arial" w:cs="Arial"/>
          <w:i/>
          <w:iCs/>
          <w:sz w:val="20"/>
          <w:szCs w:val="20"/>
        </w:rPr>
        <w:t>Funct</w:t>
      </w:r>
      <w:proofErr w:type="spellEnd"/>
      <w:r w:rsidRPr="00AE0B93">
        <w:rPr>
          <w:rFonts w:ascii="Arial" w:hAnsi="Arial" w:cs="Arial"/>
          <w:i/>
          <w:iCs/>
          <w:sz w:val="20"/>
          <w:szCs w:val="20"/>
        </w:rPr>
        <w:t xml:space="preserve"> Mater.</w:t>
      </w:r>
      <w:r w:rsidRPr="00AE0B93">
        <w:rPr>
          <w:rFonts w:ascii="Arial" w:hAnsi="Arial" w:cs="Arial"/>
          <w:sz w:val="20"/>
          <w:szCs w:val="20"/>
        </w:rPr>
        <w:t xml:space="preserve"> 2020;30(48):2004735.</w:t>
      </w:r>
    </w:p>
    <w:p w14:paraId="6BF778CE" w14:textId="7DAE4D6D" w:rsidR="000D0542" w:rsidRPr="00AE0B93" w:rsidRDefault="000D0542" w:rsidP="004633B8">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Malekpour A, Chen X. Printability and cell viability in extrusion-based bioprinting from experimental, computational, and machine learning views. J </w:t>
      </w:r>
      <w:proofErr w:type="spellStart"/>
      <w:r w:rsidRPr="00AE0B93">
        <w:rPr>
          <w:rFonts w:ascii="Arial" w:hAnsi="Arial" w:cs="Arial"/>
          <w:sz w:val="20"/>
          <w:szCs w:val="20"/>
        </w:rPr>
        <w:t>Funct</w:t>
      </w:r>
      <w:proofErr w:type="spellEnd"/>
      <w:r w:rsidRPr="00AE0B93">
        <w:rPr>
          <w:rFonts w:ascii="Arial" w:hAnsi="Arial" w:cs="Arial"/>
          <w:sz w:val="20"/>
          <w:szCs w:val="20"/>
        </w:rPr>
        <w:t xml:space="preserve"> </w:t>
      </w:r>
      <w:proofErr w:type="spellStart"/>
      <w:r w:rsidRPr="00AE0B93">
        <w:rPr>
          <w:rFonts w:ascii="Arial" w:hAnsi="Arial" w:cs="Arial"/>
          <w:sz w:val="20"/>
          <w:szCs w:val="20"/>
        </w:rPr>
        <w:t>Biomater</w:t>
      </w:r>
      <w:proofErr w:type="spellEnd"/>
      <w:r w:rsidRPr="00AE0B93">
        <w:rPr>
          <w:rFonts w:ascii="Arial" w:hAnsi="Arial" w:cs="Arial"/>
          <w:sz w:val="20"/>
          <w:szCs w:val="20"/>
        </w:rPr>
        <w:t>. 2022;13(2):40. doi:10.3390/jfb13020040.</w:t>
      </w:r>
    </w:p>
    <w:p w14:paraId="5556E67F" w14:textId="3A7B7E9B" w:rsidR="007B605C" w:rsidRPr="00AE0B93" w:rsidRDefault="00455C0C" w:rsidP="00FF52EE">
      <w:pPr>
        <w:numPr>
          <w:ilvl w:val="0"/>
          <w:numId w:val="1"/>
        </w:numPr>
        <w:spacing w:line="360" w:lineRule="auto"/>
        <w:jc w:val="both"/>
        <w:rPr>
          <w:rFonts w:ascii="Arial" w:hAnsi="Arial" w:cs="Arial"/>
          <w:sz w:val="20"/>
          <w:szCs w:val="20"/>
        </w:rPr>
      </w:pPr>
      <w:proofErr w:type="spellStart"/>
      <w:r w:rsidRPr="00AE0B93">
        <w:rPr>
          <w:rFonts w:ascii="Arial" w:hAnsi="Arial" w:cs="Arial"/>
          <w:sz w:val="20"/>
          <w:szCs w:val="20"/>
        </w:rPr>
        <w:t>Manferdini</w:t>
      </w:r>
      <w:proofErr w:type="spellEnd"/>
      <w:r w:rsidRPr="00AE0B93">
        <w:rPr>
          <w:rFonts w:ascii="Arial" w:hAnsi="Arial" w:cs="Arial"/>
          <w:sz w:val="20"/>
          <w:szCs w:val="20"/>
        </w:rPr>
        <w:t xml:space="preserve"> C, </w:t>
      </w:r>
      <w:proofErr w:type="spellStart"/>
      <w:r w:rsidRPr="00AE0B93">
        <w:rPr>
          <w:rFonts w:ascii="Arial" w:hAnsi="Arial" w:cs="Arial"/>
          <w:sz w:val="20"/>
          <w:szCs w:val="20"/>
        </w:rPr>
        <w:t>Cavallo</w:t>
      </w:r>
      <w:proofErr w:type="spellEnd"/>
      <w:r w:rsidRPr="00AE0B93">
        <w:rPr>
          <w:rFonts w:ascii="Arial" w:hAnsi="Arial" w:cs="Arial"/>
          <w:sz w:val="20"/>
          <w:szCs w:val="20"/>
        </w:rPr>
        <w:t xml:space="preserve"> C, </w:t>
      </w:r>
      <w:proofErr w:type="spellStart"/>
      <w:r w:rsidRPr="00AE0B93">
        <w:rPr>
          <w:rFonts w:ascii="Arial" w:hAnsi="Arial" w:cs="Arial"/>
          <w:sz w:val="20"/>
          <w:szCs w:val="20"/>
        </w:rPr>
        <w:t>Grigolo</w:t>
      </w:r>
      <w:proofErr w:type="spellEnd"/>
      <w:r w:rsidRPr="00AE0B93">
        <w:rPr>
          <w:rFonts w:ascii="Arial" w:hAnsi="Arial" w:cs="Arial"/>
          <w:sz w:val="20"/>
          <w:szCs w:val="20"/>
        </w:rPr>
        <w:t xml:space="preserve"> B. RGD-functionalized hydrogel supports the chondrogenic commitment of human mesenchymal stromal cells. </w:t>
      </w:r>
      <w:r w:rsidRPr="00AE0B93">
        <w:rPr>
          <w:rFonts w:ascii="Arial" w:hAnsi="Arial" w:cs="Arial"/>
          <w:i/>
          <w:iCs/>
          <w:sz w:val="20"/>
          <w:szCs w:val="20"/>
        </w:rPr>
        <w:t>Gels.</w:t>
      </w:r>
      <w:r w:rsidRPr="00AE0B93">
        <w:rPr>
          <w:rFonts w:ascii="Arial" w:hAnsi="Arial" w:cs="Arial"/>
          <w:sz w:val="20"/>
          <w:szCs w:val="20"/>
        </w:rPr>
        <w:t xml:space="preserve"> 2022;8(6):382.</w:t>
      </w:r>
    </w:p>
    <w:p w14:paraId="5A521A61" w14:textId="62FF7120" w:rsidR="00AA6F49" w:rsidRPr="00AE0B93" w:rsidRDefault="00AA6F49"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Miller JS, Stevens KR, Yang MT, Baker BM, Nguyen DHT, Cohen DM, et al. Rapid casting of patterned vascular networks for </w:t>
      </w:r>
      <w:proofErr w:type="spellStart"/>
      <w:r w:rsidRPr="00AE0B93">
        <w:rPr>
          <w:rFonts w:ascii="Arial" w:hAnsi="Arial" w:cs="Arial"/>
          <w:sz w:val="20"/>
          <w:szCs w:val="20"/>
        </w:rPr>
        <w:t>perfusable</w:t>
      </w:r>
      <w:proofErr w:type="spellEnd"/>
      <w:r w:rsidRPr="00AE0B93">
        <w:rPr>
          <w:rFonts w:ascii="Arial" w:hAnsi="Arial" w:cs="Arial"/>
          <w:sz w:val="20"/>
          <w:szCs w:val="20"/>
        </w:rPr>
        <w:t xml:space="preserve"> engineered tissues. </w:t>
      </w:r>
      <w:r w:rsidRPr="00AE0B93">
        <w:rPr>
          <w:rFonts w:ascii="Arial" w:hAnsi="Arial" w:cs="Arial"/>
          <w:i/>
          <w:iCs/>
          <w:sz w:val="20"/>
          <w:szCs w:val="20"/>
        </w:rPr>
        <w:t>Nat Mater.</w:t>
      </w:r>
      <w:r w:rsidRPr="00AE0B93">
        <w:rPr>
          <w:rFonts w:ascii="Arial" w:hAnsi="Arial" w:cs="Arial"/>
          <w:sz w:val="20"/>
          <w:szCs w:val="20"/>
        </w:rPr>
        <w:t xml:space="preserve"> 2012;11(9):768–774.</w:t>
      </w:r>
    </w:p>
    <w:p w14:paraId="66120D05" w14:textId="33E460DB" w:rsidR="0079020D" w:rsidRPr="00AE0B93" w:rsidRDefault="0079020D"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Murphy SV, Atala A. 3D bioprinting of tissues and organs. </w:t>
      </w:r>
      <w:r w:rsidRPr="00AE0B93">
        <w:rPr>
          <w:rFonts w:ascii="Arial" w:hAnsi="Arial" w:cs="Arial"/>
          <w:i/>
          <w:iCs/>
          <w:sz w:val="20"/>
          <w:szCs w:val="20"/>
        </w:rPr>
        <w:t xml:space="preserve">Nat </w:t>
      </w:r>
      <w:proofErr w:type="spellStart"/>
      <w:r w:rsidRPr="00AE0B93">
        <w:rPr>
          <w:rFonts w:ascii="Arial" w:hAnsi="Arial" w:cs="Arial"/>
          <w:i/>
          <w:iCs/>
          <w:sz w:val="20"/>
          <w:szCs w:val="20"/>
        </w:rPr>
        <w:t>Biotechnol</w:t>
      </w:r>
      <w:proofErr w:type="spellEnd"/>
      <w:r w:rsidRPr="00AE0B93">
        <w:rPr>
          <w:rFonts w:ascii="Arial" w:hAnsi="Arial" w:cs="Arial"/>
          <w:sz w:val="20"/>
          <w:szCs w:val="20"/>
        </w:rPr>
        <w:t>. 2014;32(8):773-785.</w:t>
      </w:r>
    </w:p>
    <w:p w14:paraId="53A861A5" w14:textId="6E52F48D" w:rsidR="00135085" w:rsidRPr="00AE0B93" w:rsidRDefault="00135085"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Noh I, Kim N, Tran HN, Lee J. 3D printable </w:t>
      </w:r>
      <w:proofErr w:type="spellStart"/>
      <w:r w:rsidRPr="00AE0B93">
        <w:rPr>
          <w:rFonts w:ascii="Arial" w:hAnsi="Arial" w:cs="Arial"/>
          <w:sz w:val="20"/>
          <w:szCs w:val="20"/>
        </w:rPr>
        <w:t>thermoresponsive</w:t>
      </w:r>
      <w:proofErr w:type="spellEnd"/>
      <w:r w:rsidRPr="00AE0B93">
        <w:rPr>
          <w:rFonts w:ascii="Arial" w:hAnsi="Arial" w:cs="Arial"/>
          <w:sz w:val="20"/>
          <w:szCs w:val="20"/>
        </w:rPr>
        <w:t xml:space="preserve"> polymer blended with fibrinogen for tissue-engineered constructs. </w:t>
      </w:r>
      <w:proofErr w:type="spellStart"/>
      <w:r w:rsidRPr="00AE0B93">
        <w:rPr>
          <w:rFonts w:ascii="Arial" w:hAnsi="Arial" w:cs="Arial"/>
          <w:i/>
          <w:iCs/>
          <w:sz w:val="20"/>
          <w:szCs w:val="20"/>
        </w:rPr>
        <w:t>Int</w:t>
      </w:r>
      <w:proofErr w:type="spellEnd"/>
      <w:r w:rsidRPr="00AE0B93">
        <w:rPr>
          <w:rFonts w:ascii="Arial" w:hAnsi="Arial" w:cs="Arial"/>
          <w:i/>
          <w:iCs/>
          <w:sz w:val="20"/>
          <w:szCs w:val="20"/>
        </w:rPr>
        <w:t xml:space="preserve"> J </w:t>
      </w:r>
      <w:proofErr w:type="spellStart"/>
      <w:r w:rsidRPr="00AE0B93">
        <w:rPr>
          <w:rFonts w:ascii="Arial" w:hAnsi="Arial" w:cs="Arial"/>
          <w:i/>
          <w:iCs/>
          <w:sz w:val="20"/>
          <w:szCs w:val="20"/>
        </w:rPr>
        <w:t>Biol</w:t>
      </w:r>
      <w:proofErr w:type="spellEnd"/>
      <w:r w:rsidRPr="00AE0B93">
        <w:rPr>
          <w:rFonts w:ascii="Arial" w:hAnsi="Arial" w:cs="Arial"/>
          <w:i/>
          <w:iCs/>
          <w:sz w:val="20"/>
          <w:szCs w:val="20"/>
        </w:rPr>
        <w:t xml:space="preserve"> </w:t>
      </w:r>
      <w:proofErr w:type="spellStart"/>
      <w:r w:rsidRPr="00AE0B93">
        <w:rPr>
          <w:rFonts w:ascii="Arial" w:hAnsi="Arial" w:cs="Arial"/>
          <w:i/>
          <w:iCs/>
          <w:sz w:val="20"/>
          <w:szCs w:val="20"/>
        </w:rPr>
        <w:t>Macromol</w:t>
      </w:r>
      <w:proofErr w:type="spellEnd"/>
      <w:r w:rsidRPr="00AE0B93">
        <w:rPr>
          <w:rFonts w:ascii="Arial" w:hAnsi="Arial" w:cs="Arial"/>
          <w:i/>
          <w:iCs/>
          <w:sz w:val="20"/>
          <w:szCs w:val="20"/>
        </w:rPr>
        <w:t>.</w:t>
      </w:r>
      <w:r w:rsidRPr="00AE0B93">
        <w:rPr>
          <w:rFonts w:ascii="Arial" w:hAnsi="Arial" w:cs="Arial"/>
          <w:sz w:val="20"/>
          <w:szCs w:val="20"/>
        </w:rPr>
        <w:t xml:space="preserve"> 2019</w:t>
      </w:r>
      <w:proofErr w:type="gramStart"/>
      <w:r w:rsidRPr="00AE0B93">
        <w:rPr>
          <w:rFonts w:ascii="Arial" w:hAnsi="Arial" w:cs="Arial"/>
          <w:sz w:val="20"/>
          <w:szCs w:val="20"/>
        </w:rPr>
        <w:t>;130:272</w:t>
      </w:r>
      <w:proofErr w:type="gramEnd"/>
      <w:r w:rsidRPr="00AE0B93">
        <w:rPr>
          <w:rFonts w:ascii="Arial" w:hAnsi="Arial" w:cs="Arial"/>
          <w:sz w:val="20"/>
          <w:szCs w:val="20"/>
        </w:rPr>
        <w:t>–281.</w:t>
      </w:r>
    </w:p>
    <w:p w14:paraId="12480F79" w14:textId="553E0AF8" w:rsidR="003922E6" w:rsidRPr="00AE0B93" w:rsidRDefault="003922E6" w:rsidP="00FF52EE">
      <w:pPr>
        <w:numPr>
          <w:ilvl w:val="0"/>
          <w:numId w:val="1"/>
        </w:numPr>
        <w:spacing w:line="360" w:lineRule="auto"/>
        <w:jc w:val="both"/>
        <w:rPr>
          <w:rFonts w:ascii="Arial" w:hAnsi="Arial" w:cs="Arial"/>
          <w:sz w:val="20"/>
          <w:szCs w:val="20"/>
        </w:rPr>
      </w:pPr>
      <w:proofErr w:type="spellStart"/>
      <w:r w:rsidRPr="00AE0B93">
        <w:rPr>
          <w:rFonts w:ascii="Arial" w:hAnsi="Arial" w:cs="Arial"/>
          <w:sz w:val="20"/>
          <w:szCs w:val="20"/>
        </w:rPr>
        <w:lastRenderedPageBreak/>
        <w:t>Nomdedeu</w:t>
      </w:r>
      <w:proofErr w:type="spellEnd"/>
      <w:r w:rsidRPr="00AE0B93">
        <w:rPr>
          <w:rFonts w:ascii="Arial" w:hAnsi="Arial" w:cs="Arial"/>
          <w:sz w:val="20"/>
          <w:szCs w:val="20"/>
        </w:rPr>
        <w:t xml:space="preserve">-Sancho G, </w:t>
      </w:r>
      <w:proofErr w:type="spellStart"/>
      <w:r w:rsidRPr="00AE0B93">
        <w:rPr>
          <w:rFonts w:ascii="Arial" w:hAnsi="Arial" w:cs="Arial"/>
          <w:sz w:val="20"/>
          <w:szCs w:val="20"/>
        </w:rPr>
        <w:t>Gorkun</w:t>
      </w:r>
      <w:proofErr w:type="spellEnd"/>
      <w:r w:rsidRPr="00AE0B93">
        <w:rPr>
          <w:rFonts w:ascii="Arial" w:hAnsi="Arial" w:cs="Arial"/>
          <w:sz w:val="20"/>
          <w:szCs w:val="20"/>
        </w:rPr>
        <w:t xml:space="preserve"> A, Mahajan N, Willson K, </w:t>
      </w:r>
      <w:proofErr w:type="spellStart"/>
      <w:r w:rsidRPr="00AE0B93">
        <w:rPr>
          <w:rFonts w:ascii="Arial" w:hAnsi="Arial" w:cs="Arial"/>
          <w:sz w:val="20"/>
          <w:szCs w:val="20"/>
        </w:rPr>
        <w:t>Schaaf</w:t>
      </w:r>
      <w:proofErr w:type="spellEnd"/>
      <w:r w:rsidRPr="00AE0B93">
        <w:rPr>
          <w:rFonts w:ascii="Arial" w:hAnsi="Arial" w:cs="Arial"/>
          <w:sz w:val="20"/>
          <w:szCs w:val="20"/>
        </w:rPr>
        <w:t xml:space="preserve"> CR, </w:t>
      </w:r>
      <w:proofErr w:type="spellStart"/>
      <w:r w:rsidRPr="00AE0B93">
        <w:rPr>
          <w:rFonts w:ascii="Arial" w:hAnsi="Arial" w:cs="Arial"/>
          <w:sz w:val="20"/>
          <w:szCs w:val="20"/>
        </w:rPr>
        <w:t>Votanopoulos</w:t>
      </w:r>
      <w:proofErr w:type="spellEnd"/>
      <w:r w:rsidRPr="00AE0B93">
        <w:rPr>
          <w:rFonts w:ascii="Arial" w:hAnsi="Arial" w:cs="Arial"/>
          <w:sz w:val="20"/>
          <w:szCs w:val="20"/>
        </w:rPr>
        <w:t xml:space="preserve"> KI, </w:t>
      </w:r>
      <w:proofErr w:type="spellStart"/>
      <w:r w:rsidRPr="00AE0B93">
        <w:rPr>
          <w:rFonts w:ascii="Arial" w:hAnsi="Arial" w:cs="Arial"/>
          <w:sz w:val="20"/>
          <w:szCs w:val="20"/>
        </w:rPr>
        <w:t>Atala</w:t>
      </w:r>
      <w:proofErr w:type="spellEnd"/>
      <w:r w:rsidRPr="00AE0B93">
        <w:rPr>
          <w:rFonts w:ascii="Arial" w:hAnsi="Arial" w:cs="Arial"/>
          <w:sz w:val="20"/>
          <w:szCs w:val="20"/>
        </w:rPr>
        <w:t xml:space="preserve"> A, </w:t>
      </w:r>
      <w:proofErr w:type="spellStart"/>
      <w:r w:rsidRPr="00AE0B93">
        <w:rPr>
          <w:rFonts w:ascii="Arial" w:hAnsi="Arial" w:cs="Arial"/>
          <w:sz w:val="20"/>
          <w:szCs w:val="20"/>
        </w:rPr>
        <w:t>Soker</w:t>
      </w:r>
      <w:proofErr w:type="spellEnd"/>
      <w:r w:rsidRPr="00AE0B93">
        <w:rPr>
          <w:rFonts w:ascii="Arial" w:hAnsi="Arial" w:cs="Arial"/>
          <w:sz w:val="20"/>
          <w:szCs w:val="20"/>
        </w:rPr>
        <w:t xml:space="preserve"> S. In vitro three-dimensional (3D) models for melanoma immunotherapy. </w:t>
      </w:r>
      <w:r w:rsidRPr="00AE0B93">
        <w:rPr>
          <w:rFonts w:ascii="Arial" w:hAnsi="Arial" w:cs="Arial"/>
          <w:i/>
          <w:iCs/>
          <w:sz w:val="20"/>
          <w:szCs w:val="20"/>
        </w:rPr>
        <w:t>Cancers (Basel).</w:t>
      </w:r>
      <w:r w:rsidRPr="00AE0B93">
        <w:rPr>
          <w:rFonts w:ascii="Arial" w:hAnsi="Arial" w:cs="Arial"/>
          <w:sz w:val="20"/>
          <w:szCs w:val="20"/>
        </w:rPr>
        <w:t xml:space="preserve"> 2023;15(24):5779.</w:t>
      </w:r>
    </w:p>
    <w:p w14:paraId="5892F9EE" w14:textId="4A655C4B" w:rsidR="00E3012F" w:rsidRPr="00AE0B93" w:rsidRDefault="00E3012F"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Novosel EC, Kleinhans C, Kluger PJ. Vascularization is the key challenge in tissue engineering. </w:t>
      </w:r>
      <w:r w:rsidRPr="00AE0B93">
        <w:rPr>
          <w:rFonts w:ascii="Arial" w:hAnsi="Arial" w:cs="Arial"/>
          <w:i/>
          <w:iCs/>
          <w:sz w:val="20"/>
          <w:szCs w:val="20"/>
        </w:rPr>
        <w:t>Adv Drug Deliv Rev</w:t>
      </w:r>
      <w:r w:rsidRPr="00AE0B93">
        <w:rPr>
          <w:rFonts w:ascii="Arial" w:hAnsi="Arial" w:cs="Arial"/>
          <w:sz w:val="20"/>
          <w:szCs w:val="20"/>
        </w:rPr>
        <w:t>. 2011;63(4-5):300–311.</w:t>
      </w:r>
    </w:p>
    <w:p w14:paraId="339013A4" w14:textId="2FEE1892" w:rsidR="004633B8" w:rsidRPr="00AE0B93" w:rsidRDefault="004633B8"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Pati F, Jang J, Ha D, et al. Printing three-dimensional tissue analogues with decellularized extracellular matrix bioink. Nat Commun. 2014</w:t>
      </w:r>
      <w:proofErr w:type="gramStart"/>
      <w:r w:rsidRPr="00AE0B93">
        <w:rPr>
          <w:rFonts w:ascii="Arial" w:hAnsi="Arial" w:cs="Arial"/>
          <w:sz w:val="20"/>
          <w:szCs w:val="20"/>
        </w:rPr>
        <w:t>;5:3935</w:t>
      </w:r>
      <w:proofErr w:type="gramEnd"/>
      <w:r w:rsidRPr="00AE0B93">
        <w:rPr>
          <w:rFonts w:ascii="Arial" w:hAnsi="Arial" w:cs="Arial"/>
          <w:sz w:val="20"/>
          <w:szCs w:val="20"/>
        </w:rPr>
        <w:t>.</w:t>
      </w:r>
    </w:p>
    <w:p w14:paraId="3B8A096B" w14:textId="0035B875" w:rsidR="008F1E4F" w:rsidRPr="00AE0B93" w:rsidRDefault="008F1E4F"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Riggert M</w:t>
      </w:r>
      <w:r w:rsidRPr="00AE0B93">
        <w:rPr>
          <w:rFonts w:ascii="Arial" w:hAnsi="Arial" w:cs="Arial"/>
          <w:sz w:val="20"/>
          <w:szCs w:val="20"/>
        </w:rPr>
        <w:noBreakHyphen/>
        <w:t xml:space="preserve">L, et al. Ex vivo model of functioning human lymph node reveals role for innate lymphocytes and stroma in response to vaccine adjuvant. </w:t>
      </w:r>
      <w:r w:rsidRPr="00AE0B93">
        <w:rPr>
          <w:rFonts w:ascii="Arial" w:hAnsi="Arial" w:cs="Arial"/>
          <w:i/>
          <w:iCs/>
          <w:sz w:val="20"/>
          <w:szCs w:val="20"/>
        </w:rPr>
        <w:t>Journal of Immunology</w:t>
      </w:r>
      <w:r w:rsidRPr="00AE0B93">
        <w:rPr>
          <w:rFonts w:ascii="Arial" w:hAnsi="Arial" w:cs="Arial"/>
          <w:sz w:val="20"/>
          <w:szCs w:val="20"/>
        </w:rPr>
        <w:t xml:space="preserve">. 2023. </w:t>
      </w:r>
    </w:p>
    <w:p w14:paraId="24E51E2F" w14:textId="39005487" w:rsidR="000D6E48" w:rsidRPr="00AE0B93" w:rsidRDefault="000D6E48" w:rsidP="00FF52EE">
      <w:pPr>
        <w:numPr>
          <w:ilvl w:val="0"/>
          <w:numId w:val="1"/>
        </w:numPr>
        <w:spacing w:line="360" w:lineRule="auto"/>
        <w:jc w:val="both"/>
        <w:rPr>
          <w:rFonts w:ascii="Arial" w:hAnsi="Arial" w:cs="Arial"/>
          <w:sz w:val="20"/>
          <w:szCs w:val="20"/>
        </w:rPr>
      </w:pPr>
      <w:proofErr w:type="spellStart"/>
      <w:r w:rsidRPr="00AE0B93">
        <w:rPr>
          <w:rFonts w:ascii="Arial" w:hAnsi="Arial" w:cs="Arial"/>
          <w:sz w:val="20"/>
          <w:szCs w:val="20"/>
        </w:rPr>
        <w:t>Rouwkema</w:t>
      </w:r>
      <w:proofErr w:type="spellEnd"/>
      <w:r w:rsidRPr="00AE0B93">
        <w:rPr>
          <w:rFonts w:ascii="Arial" w:hAnsi="Arial" w:cs="Arial"/>
          <w:sz w:val="20"/>
          <w:szCs w:val="20"/>
        </w:rPr>
        <w:t xml:space="preserve"> J, </w:t>
      </w:r>
      <w:proofErr w:type="spellStart"/>
      <w:r w:rsidRPr="00AE0B93">
        <w:rPr>
          <w:rFonts w:ascii="Arial" w:hAnsi="Arial" w:cs="Arial"/>
          <w:sz w:val="20"/>
          <w:szCs w:val="20"/>
        </w:rPr>
        <w:t>Khademhosseini</w:t>
      </w:r>
      <w:proofErr w:type="spellEnd"/>
      <w:r w:rsidRPr="00AE0B93">
        <w:rPr>
          <w:rFonts w:ascii="Arial" w:hAnsi="Arial" w:cs="Arial"/>
          <w:sz w:val="20"/>
          <w:szCs w:val="20"/>
        </w:rPr>
        <w:t xml:space="preserve"> A. Vascularization and tissue engineering. </w:t>
      </w:r>
      <w:r w:rsidRPr="00AE0B93">
        <w:rPr>
          <w:rFonts w:ascii="Arial" w:hAnsi="Arial" w:cs="Arial"/>
          <w:i/>
          <w:iCs/>
          <w:sz w:val="20"/>
          <w:szCs w:val="20"/>
        </w:rPr>
        <w:t xml:space="preserve">Trends </w:t>
      </w:r>
      <w:proofErr w:type="spellStart"/>
      <w:r w:rsidRPr="00AE0B93">
        <w:rPr>
          <w:rFonts w:ascii="Arial" w:hAnsi="Arial" w:cs="Arial"/>
          <w:i/>
          <w:iCs/>
          <w:sz w:val="20"/>
          <w:szCs w:val="20"/>
        </w:rPr>
        <w:t>Biotechnol</w:t>
      </w:r>
      <w:proofErr w:type="spellEnd"/>
      <w:r w:rsidRPr="00AE0B93">
        <w:rPr>
          <w:rFonts w:ascii="Arial" w:hAnsi="Arial" w:cs="Arial"/>
          <w:sz w:val="20"/>
          <w:szCs w:val="20"/>
        </w:rPr>
        <w:t>. 2016;34(9):733–745.</w:t>
      </w:r>
    </w:p>
    <w:p w14:paraId="5195A526" w14:textId="10942926" w:rsidR="007B2F32" w:rsidRPr="00AE0B93" w:rsidRDefault="007B2F32"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Schiele NR, Corr DT, Huang Y, </w:t>
      </w:r>
      <w:proofErr w:type="spellStart"/>
      <w:r w:rsidRPr="00AE0B93">
        <w:rPr>
          <w:rFonts w:ascii="Arial" w:hAnsi="Arial" w:cs="Arial"/>
          <w:sz w:val="20"/>
          <w:szCs w:val="20"/>
        </w:rPr>
        <w:t>Raof</w:t>
      </w:r>
      <w:proofErr w:type="spellEnd"/>
      <w:r w:rsidRPr="00AE0B93">
        <w:rPr>
          <w:rFonts w:ascii="Arial" w:hAnsi="Arial" w:cs="Arial"/>
          <w:sz w:val="20"/>
          <w:szCs w:val="20"/>
        </w:rPr>
        <w:t xml:space="preserve"> NA, </w:t>
      </w:r>
      <w:proofErr w:type="spellStart"/>
      <w:r w:rsidRPr="00AE0B93">
        <w:rPr>
          <w:rFonts w:ascii="Arial" w:hAnsi="Arial" w:cs="Arial"/>
          <w:sz w:val="20"/>
          <w:szCs w:val="20"/>
        </w:rPr>
        <w:t>Xie</w:t>
      </w:r>
      <w:proofErr w:type="spellEnd"/>
      <w:r w:rsidRPr="00AE0B93">
        <w:rPr>
          <w:rFonts w:ascii="Arial" w:hAnsi="Arial" w:cs="Arial"/>
          <w:sz w:val="20"/>
          <w:szCs w:val="20"/>
        </w:rPr>
        <w:t xml:space="preserve"> Y, </w:t>
      </w:r>
      <w:proofErr w:type="spellStart"/>
      <w:r w:rsidRPr="00AE0B93">
        <w:rPr>
          <w:rFonts w:ascii="Arial" w:hAnsi="Arial" w:cs="Arial"/>
          <w:sz w:val="20"/>
          <w:szCs w:val="20"/>
        </w:rPr>
        <w:t>Chrisey</w:t>
      </w:r>
      <w:proofErr w:type="spellEnd"/>
      <w:r w:rsidRPr="00AE0B93">
        <w:rPr>
          <w:rFonts w:ascii="Arial" w:hAnsi="Arial" w:cs="Arial"/>
          <w:sz w:val="20"/>
          <w:szCs w:val="20"/>
        </w:rPr>
        <w:t xml:space="preserve"> DB.</w:t>
      </w:r>
      <w:r w:rsidRPr="00AE0B93">
        <w:rPr>
          <w:rFonts w:ascii="Arial" w:hAnsi="Arial" w:cs="Arial"/>
          <w:sz w:val="20"/>
          <w:szCs w:val="20"/>
        </w:rPr>
        <w:br/>
        <w:t>Laser-based direct-write techniques for cell printing.</w:t>
      </w:r>
      <w:r w:rsidRPr="00AE0B93">
        <w:rPr>
          <w:rFonts w:ascii="Arial" w:hAnsi="Arial" w:cs="Arial"/>
          <w:sz w:val="20"/>
          <w:szCs w:val="20"/>
        </w:rPr>
        <w:br/>
      </w:r>
      <w:proofErr w:type="spellStart"/>
      <w:r w:rsidRPr="00AE0B93">
        <w:rPr>
          <w:rFonts w:ascii="Arial" w:hAnsi="Arial" w:cs="Arial"/>
          <w:i/>
          <w:iCs/>
          <w:sz w:val="20"/>
          <w:szCs w:val="20"/>
        </w:rPr>
        <w:t>Biofabrication</w:t>
      </w:r>
      <w:proofErr w:type="spellEnd"/>
      <w:r w:rsidRPr="00AE0B93">
        <w:rPr>
          <w:rFonts w:ascii="Arial" w:hAnsi="Arial" w:cs="Arial"/>
          <w:sz w:val="20"/>
          <w:szCs w:val="20"/>
        </w:rPr>
        <w:t>. 2010;2(3):032001.</w:t>
      </w:r>
    </w:p>
    <w:p w14:paraId="4E72F607" w14:textId="545CCB01" w:rsidR="004633B8" w:rsidRPr="00AE0B93" w:rsidRDefault="004633B8" w:rsidP="00CD7944">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Serra T, </w:t>
      </w:r>
      <w:proofErr w:type="spellStart"/>
      <w:r w:rsidRPr="00AE0B93">
        <w:rPr>
          <w:rFonts w:ascii="Arial" w:hAnsi="Arial" w:cs="Arial"/>
          <w:sz w:val="20"/>
          <w:szCs w:val="20"/>
        </w:rPr>
        <w:t>Planell</w:t>
      </w:r>
      <w:proofErr w:type="spellEnd"/>
      <w:r w:rsidRPr="00AE0B93">
        <w:rPr>
          <w:rFonts w:ascii="Arial" w:hAnsi="Arial" w:cs="Arial"/>
          <w:sz w:val="20"/>
          <w:szCs w:val="20"/>
        </w:rPr>
        <w:t xml:space="preserve"> JA, Navarro M. High-resolution PLA-based composite bioinks for 3D bioprinting of tissue engineering scaffolds. Mater Sci Eng C. 2022</w:t>
      </w:r>
      <w:proofErr w:type="gramStart"/>
      <w:r w:rsidRPr="00AE0B93">
        <w:rPr>
          <w:rFonts w:ascii="Arial" w:hAnsi="Arial" w:cs="Arial"/>
          <w:sz w:val="20"/>
          <w:szCs w:val="20"/>
        </w:rPr>
        <w:t>;134:112663</w:t>
      </w:r>
      <w:proofErr w:type="gramEnd"/>
      <w:r w:rsidRPr="00AE0B93">
        <w:rPr>
          <w:rFonts w:ascii="Arial" w:hAnsi="Arial" w:cs="Arial"/>
          <w:sz w:val="20"/>
          <w:szCs w:val="20"/>
        </w:rPr>
        <w:t>.</w:t>
      </w:r>
    </w:p>
    <w:p w14:paraId="6643492E" w14:textId="4F57A67A" w:rsidR="0079020D" w:rsidRPr="00AE0B93" w:rsidRDefault="0079020D" w:rsidP="00CD7944">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Shakya A, et al. Engineering lymphoid tissues and immune niches. </w:t>
      </w:r>
      <w:r w:rsidRPr="00AE0B93">
        <w:rPr>
          <w:rFonts w:ascii="Arial" w:hAnsi="Arial" w:cs="Arial"/>
          <w:i/>
          <w:iCs/>
          <w:sz w:val="20"/>
          <w:szCs w:val="20"/>
        </w:rPr>
        <w:t>Nat Rev Immunol</w:t>
      </w:r>
      <w:r w:rsidRPr="00AE0B93">
        <w:rPr>
          <w:rFonts w:ascii="Arial" w:hAnsi="Arial" w:cs="Arial"/>
          <w:sz w:val="20"/>
          <w:szCs w:val="20"/>
        </w:rPr>
        <w:t>. 2020;20(12):725-740.</w:t>
      </w:r>
    </w:p>
    <w:p w14:paraId="74BA7E07" w14:textId="71871BA4" w:rsidR="0079020D" w:rsidRDefault="0079020D" w:rsidP="00CD7944">
      <w:pPr>
        <w:numPr>
          <w:ilvl w:val="0"/>
          <w:numId w:val="1"/>
        </w:numPr>
        <w:spacing w:line="360" w:lineRule="auto"/>
        <w:jc w:val="both"/>
        <w:rPr>
          <w:rFonts w:ascii="Arial" w:hAnsi="Arial" w:cs="Arial"/>
          <w:sz w:val="20"/>
          <w:szCs w:val="20"/>
        </w:rPr>
      </w:pPr>
      <w:r w:rsidRPr="00AE0B93">
        <w:rPr>
          <w:rFonts w:ascii="Arial" w:hAnsi="Arial" w:cs="Arial"/>
          <w:sz w:val="20"/>
          <w:szCs w:val="20"/>
        </w:rPr>
        <w:t>Shanti A, et al. Lymph Node</w:t>
      </w:r>
      <w:r w:rsidRPr="00AE0B93">
        <w:rPr>
          <w:rFonts w:ascii="Arial" w:hAnsi="Arial" w:cs="Arial"/>
          <w:sz w:val="20"/>
          <w:szCs w:val="20"/>
        </w:rPr>
        <w:noBreakHyphen/>
        <w:t>on</w:t>
      </w:r>
      <w:r w:rsidRPr="00AE0B93">
        <w:rPr>
          <w:rFonts w:ascii="Arial" w:hAnsi="Arial" w:cs="Arial"/>
          <w:sz w:val="20"/>
          <w:szCs w:val="20"/>
        </w:rPr>
        <w:noBreakHyphen/>
        <w:t>Chip Technology: Cutting</w:t>
      </w:r>
      <w:r w:rsidRPr="00AE0B93">
        <w:rPr>
          <w:rFonts w:ascii="Arial" w:hAnsi="Arial" w:cs="Arial"/>
          <w:sz w:val="20"/>
          <w:szCs w:val="20"/>
        </w:rPr>
        <w:noBreakHyphen/>
        <w:t xml:space="preserve">Edge Advances in Immune Microenvironment Simulation. </w:t>
      </w:r>
      <w:r w:rsidRPr="00AE0B93">
        <w:rPr>
          <w:rFonts w:ascii="Arial" w:hAnsi="Arial" w:cs="Arial"/>
          <w:i/>
          <w:iCs/>
          <w:sz w:val="20"/>
          <w:szCs w:val="20"/>
        </w:rPr>
        <w:t>Frontiers in Immunology</w:t>
      </w:r>
      <w:r w:rsidRPr="00AE0B93">
        <w:rPr>
          <w:rFonts w:ascii="Arial" w:hAnsi="Arial" w:cs="Arial"/>
          <w:sz w:val="20"/>
          <w:szCs w:val="20"/>
        </w:rPr>
        <w:t>. 2022</w:t>
      </w:r>
      <w:r w:rsidR="0062642B" w:rsidRPr="00AE0B93">
        <w:rPr>
          <w:rFonts w:ascii="Arial" w:hAnsi="Arial" w:cs="Arial"/>
          <w:sz w:val="20"/>
          <w:szCs w:val="20"/>
        </w:rPr>
        <w:t>.</w:t>
      </w:r>
    </w:p>
    <w:p w14:paraId="2C32477E" w14:textId="472C48DE" w:rsidR="00D93787" w:rsidRPr="00AE0B93" w:rsidRDefault="00D93787" w:rsidP="00CD7944">
      <w:pPr>
        <w:numPr>
          <w:ilvl w:val="0"/>
          <w:numId w:val="1"/>
        </w:numPr>
        <w:spacing w:line="360" w:lineRule="auto"/>
        <w:jc w:val="both"/>
        <w:rPr>
          <w:rFonts w:ascii="Arial" w:hAnsi="Arial" w:cs="Arial"/>
          <w:sz w:val="20"/>
          <w:szCs w:val="20"/>
        </w:rPr>
      </w:pPr>
      <w:r w:rsidRPr="00D93787">
        <w:rPr>
          <w:rFonts w:ascii="Arial" w:hAnsi="Arial" w:cs="Arial"/>
          <w:sz w:val="20"/>
          <w:szCs w:val="20"/>
        </w:rPr>
        <w:t xml:space="preserve">Sobrino, A., et al. (2016). 3D </w:t>
      </w:r>
      <w:proofErr w:type="spellStart"/>
      <w:r w:rsidRPr="00D93787">
        <w:rPr>
          <w:rFonts w:ascii="Arial" w:hAnsi="Arial" w:cs="Arial"/>
          <w:sz w:val="20"/>
          <w:szCs w:val="20"/>
        </w:rPr>
        <w:t>microtumors</w:t>
      </w:r>
      <w:proofErr w:type="spellEnd"/>
      <w:r w:rsidRPr="00D93787">
        <w:rPr>
          <w:rFonts w:ascii="Arial" w:hAnsi="Arial" w:cs="Arial"/>
          <w:sz w:val="20"/>
          <w:szCs w:val="20"/>
        </w:rPr>
        <w:t xml:space="preserve"> in vitro supported by perfused vascular networks. </w:t>
      </w:r>
      <w:r w:rsidRPr="00D93787">
        <w:rPr>
          <w:rFonts w:ascii="Arial" w:hAnsi="Arial" w:cs="Arial"/>
          <w:i/>
          <w:iCs/>
          <w:sz w:val="20"/>
          <w:szCs w:val="20"/>
        </w:rPr>
        <w:t>Scientific Reports, 6</w:t>
      </w:r>
      <w:r w:rsidRPr="00D93787">
        <w:rPr>
          <w:rFonts w:ascii="Arial" w:hAnsi="Arial" w:cs="Arial"/>
          <w:sz w:val="20"/>
          <w:szCs w:val="20"/>
        </w:rPr>
        <w:t>, 31589.</w:t>
      </w:r>
    </w:p>
    <w:p w14:paraId="10FFD758" w14:textId="520C8A89" w:rsidR="0062642B" w:rsidRDefault="0062642B" w:rsidP="00CD7944">
      <w:pPr>
        <w:numPr>
          <w:ilvl w:val="0"/>
          <w:numId w:val="1"/>
        </w:numPr>
        <w:spacing w:line="360" w:lineRule="auto"/>
        <w:jc w:val="both"/>
        <w:rPr>
          <w:rFonts w:ascii="Arial" w:hAnsi="Arial" w:cs="Arial"/>
          <w:sz w:val="20"/>
          <w:szCs w:val="20"/>
        </w:rPr>
      </w:pPr>
      <w:proofErr w:type="spellStart"/>
      <w:r w:rsidRPr="00AE0B93">
        <w:rPr>
          <w:rFonts w:ascii="Arial" w:hAnsi="Arial" w:cs="Arial"/>
          <w:sz w:val="20"/>
          <w:szCs w:val="20"/>
        </w:rPr>
        <w:t>Sprent</w:t>
      </w:r>
      <w:proofErr w:type="spellEnd"/>
      <w:r w:rsidRPr="00AE0B93">
        <w:rPr>
          <w:rFonts w:ascii="Arial" w:hAnsi="Arial" w:cs="Arial"/>
          <w:sz w:val="20"/>
          <w:szCs w:val="20"/>
        </w:rPr>
        <w:t xml:space="preserve"> J, </w:t>
      </w:r>
      <w:proofErr w:type="spellStart"/>
      <w:r w:rsidRPr="00AE0B93">
        <w:rPr>
          <w:rFonts w:ascii="Arial" w:hAnsi="Arial" w:cs="Arial"/>
          <w:sz w:val="20"/>
          <w:szCs w:val="20"/>
        </w:rPr>
        <w:t>Surh</w:t>
      </w:r>
      <w:proofErr w:type="spellEnd"/>
      <w:r w:rsidRPr="00AE0B93">
        <w:rPr>
          <w:rFonts w:ascii="Arial" w:hAnsi="Arial" w:cs="Arial"/>
          <w:sz w:val="20"/>
          <w:szCs w:val="20"/>
        </w:rPr>
        <w:t xml:space="preserve"> CD. T cell survival and homeostasis. </w:t>
      </w:r>
      <w:r w:rsidRPr="00AE0B93">
        <w:rPr>
          <w:rFonts w:ascii="Arial" w:hAnsi="Arial" w:cs="Arial"/>
          <w:i/>
          <w:iCs/>
          <w:sz w:val="20"/>
          <w:szCs w:val="20"/>
        </w:rPr>
        <w:t>Nat Rev Immunol</w:t>
      </w:r>
      <w:r w:rsidRPr="00AE0B93">
        <w:rPr>
          <w:rFonts w:ascii="Arial" w:hAnsi="Arial" w:cs="Arial"/>
          <w:sz w:val="20"/>
          <w:szCs w:val="20"/>
        </w:rPr>
        <w:t>. 2002;2(6):401–413.</w:t>
      </w:r>
    </w:p>
    <w:p w14:paraId="1896CF6D" w14:textId="1FA7520F" w:rsidR="00EA2B15" w:rsidRPr="00AE0B93" w:rsidRDefault="00EA2B15" w:rsidP="00CD7944">
      <w:pPr>
        <w:numPr>
          <w:ilvl w:val="0"/>
          <w:numId w:val="1"/>
        </w:numPr>
        <w:spacing w:line="360" w:lineRule="auto"/>
        <w:jc w:val="both"/>
        <w:rPr>
          <w:rFonts w:ascii="Arial" w:hAnsi="Arial" w:cs="Arial"/>
          <w:sz w:val="20"/>
          <w:szCs w:val="20"/>
        </w:rPr>
      </w:pPr>
      <w:commentRangeStart w:id="11"/>
      <w:r w:rsidRPr="00EA2B15">
        <w:rPr>
          <w:rFonts w:ascii="Arial" w:hAnsi="Arial" w:cs="Arial"/>
          <w:sz w:val="20"/>
          <w:szCs w:val="20"/>
        </w:rPr>
        <w:t>Gupta</w:t>
      </w:r>
      <w:commentRangeEnd w:id="11"/>
      <w:r w:rsidR="0089619A">
        <w:rPr>
          <w:rStyle w:val="CommentReference"/>
        </w:rPr>
        <w:commentReference w:id="11"/>
      </w:r>
      <w:r w:rsidRPr="00EA2B15">
        <w:rPr>
          <w:rFonts w:ascii="Arial" w:hAnsi="Arial" w:cs="Arial"/>
          <w:sz w:val="20"/>
          <w:szCs w:val="20"/>
        </w:rPr>
        <w:t xml:space="preserve">, D., Chichkov, B., Vereb, Z. J., &amp; </w:t>
      </w:r>
      <w:proofErr w:type="spellStart"/>
      <w:r w:rsidRPr="00EA2B15">
        <w:rPr>
          <w:rFonts w:ascii="Arial" w:hAnsi="Arial" w:cs="Arial"/>
          <w:sz w:val="20"/>
          <w:szCs w:val="20"/>
        </w:rPr>
        <w:t>Ozbolat</w:t>
      </w:r>
      <w:proofErr w:type="spellEnd"/>
      <w:r w:rsidRPr="00EA2B15">
        <w:rPr>
          <w:rFonts w:ascii="Arial" w:hAnsi="Arial" w:cs="Arial"/>
          <w:sz w:val="20"/>
          <w:szCs w:val="20"/>
        </w:rPr>
        <w:t xml:space="preserve">, I. T. (2023). Editorial: Innovative 3D technologies in cancer immunity research and therapy. </w:t>
      </w:r>
    </w:p>
    <w:p w14:paraId="626E87DA" w14:textId="6A89603A" w:rsidR="00D55A56" w:rsidRPr="00AE0B93" w:rsidRDefault="006A6C77" w:rsidP="00CD7944">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Willard-Mack CL. Normal structure, function, and histology of lymph nodes. </w:t>
      </w:r>
      <w:proofErr w:type="spellStart"/>
      <w:r w:rsidRPr="00AE0B93">
        <w:rPr>
          <w:rFonts w:ascii="Arial" w:hAnsi="Arial" w:cs="Arial"/>
          <w:i/>
          <w:iCs/>
          <w:sz w:val="20"/>
          <w:szCs w:val="20"/>
        </w:rPr>
        <w:t>Toxicol</w:t>
      </w:r>
      <w:proofErr w:type="spellEnd"/>
      <w:r w:rsidRPr="00AE0B93">
        <w:rPr>
          <w:rFonts w:ascii="Arial" w:hAnsi="Arial" w:cs="Arial"/>
          <w:i/>
          <w:iCs/>
          <w:sz w:val="20"/>
          <w:szCs w:val="20"/>
        </w:rPr>
        <w:t xml:space="preserve"> </w:t>
      </w:r>
      <w:proofErr w:type="spellStart"/>
      <w:r w:rsidRPr="00AE0B93">
        <w:rPr>
          <w:rFonts w:ascii="Arial" w:hAnsi="Arial" w:cs="Arial"/>
          <w:i/>
          <w:iCs/>
          <w:sz w:val="20"/>
          <w:szCs w:val="20"/>
        </w:rPr>
        <w:t>Pathol</w:t>
      </w:r>
      <w:proofErr w:type="spellEnd"/>
      <w:r w:rsidRPr="00AE0B93">
        <w:rPr>
          <w:rFonts w:ascii="Arial" w:hAnsi="Arial" w:cs="Arial"/>
          <w:sz w:val="20"/>
          <w:szCs w:val="20"/>
        </w:rPr>
        <w:t>. 2006;34(5):409-424.</w:t>
      </w:r>
    </w:p>
    <w:p w14:paraId="5DB19D77" w14:textId="55A14CC7" w:rsidR="00AA6F49" w:rsidRPr="00AE0B93" w:rsidRDefault="00AA6F49" w:rsidP="00CD7944">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Wu W, DeConinck A, Lewis JA. Omnidirectional printing of 3D microvascular networks. </w:t>
      </w:r>
      <w:r w:rsidRPr="00AE0B93">
        <w:rPr>
          <w:rFonts w:ascii="Arial" w:hAnsi="Arial" w:cs="Arial"/>
          <w:i/>
          <w:iCs/>
          <w:sz w:val="20"/>
          <w:szCs w:val="20"/>
        </w:rPr>
        <w:t>Adv Mater.</w:t>
      </w:r>
      <w:r w:rsidRPr="00AE0B93">
        <w:rPr>
          <w:rFonts w:ascii="Arial" w:hAnsi="Arial" w:cs="Arial"/>
          <w:sz w:val="20"/>
          <w:szCs w:val="20"/>
        </w:rPr>
        <w:t xml:space="preserve"> 2021;33(1):e2004310</w:t>
      </w:r>
    </w:p>
    <w:p w14:paraId="6C4761B3" w14:textId="1870492E" w:rsidR="008E58A3" w:rsidRPr="00AE0B93" w:rsidRDefault="008E58A3"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Yue K, Trujillo-de Santiago G, Alvarez MM, </w:t>
      </w:r>
      <w:proofErr w:type="spellStart"/>
      <w:r w:rsidRPr="00AE0B93">
        <w:rPr>
          <w:rFonts w:ascii="Arial" w:hAnsi="Arial" w:cs="Arial"/>
          <w:sz w:val="20"/>
          <w:szCs w:val="20"/>
        </w:rPr>
        <w:t>Tamayol</w:t>
      </w:r>
      <w:proofErr w:type="spellEnd"/>
      <w:r w:rsidRPr="00AE0B93">
        <w:rPr>
          <w:rFonts w:ascii="Arial" w:hAnsi="Arial" w:cs="Arial"/>
          <w:sz w:val="20"/>
          <w:szCs w:val="20"/>
        </w:rPr>
        <w:t xml:space="preserve"> A, </w:t>
      </w:r>
      <w:proofErr w:type="spellStart"/>
      <w:r w:rsidRPr="00AE0B93">
        <w:rPr>
          <w:rFonts w:ascii="Arial" w:hAnsi="Arial" w:cs="Arial"/>
          <w:sz w:val="20"/>
          <w:szCs w:val="20"/>
        </w:rPr>
        <w:t>Annabi</w:t>
      </w:r>
      <w:proofErr w:type="spellEnd"/>
      <w:r w:rsidRPr="00AE0B93">
        <w:rPr>
          <w:rFonts w:ascii="Arial" w:hAnsi="Arial" w:cs="Arial"/>
          <w:sz w:val="20"/>
          <w:szCs w:val="20"/>
        </w:rPr>
        <w:t xml:space="preserve"> N, </w:t>
      </w:r>
      <w:proofErr w:type="spellStart"/>
      <w:r w:rsidRPr="00AE0B93">
        <w:rPr>
          <w:rFonts w:ascii="Arial" w:hAnsi="Arial" w:cs="Arial"/>
          <w:sz w:val="20"/>
          <w:szCs w:val="20"/>
        </w:rPr>
        <w:t>Khademhosseini</w:t>
      </w:r>
      <w:proofErr w:type="spellEnd"/>
      <w:r w:rsidRPr="00AE0B93">
        <w:rPr>
          <w:rFonts w:ascii="Arial" w:hAnsi="Arial" w:cs="Arial"/>
          <w:sz w:val="20"/>
          <w:szCs w:val="20"/>
        </w:rPr>
        <w:t xml:space="preserve"> A. Synthesis, properties, and biomedical applications of </w:t>
      </w:r>
      <w:proofErr w:type="spellStart"/>
      <w:r w:rsidRPr="00AE0B93">
        <w:rPr>
          <w:rFonts w:ascii="Arial" w:hAnsi="Arial" w:cs="Arial"/>
          <w:sz w:val="20"/>
          <w:szCs w:val="20"/>
        </w:rPr>
        <w:t>gelatin</w:t>
      </w:r>
      <w:proofErr w:type="spellEnd"/>
      <w:r w:rsidRPr="00AE0B93">
        <w:rPr>
          <w:rFonts w:ascii="Arial" w:hAnsi="Arial" w:cs="Arial"/>
          <w:sz w:val="20"/>
          <w:szCs w:val="20"/>
        </w:rPr>
        <w:t xml:space="preserve"> </w:t>
      </w:r>
      <w:proofErr w:type="spellStart"/>
      <w:r w:rsidRPr="00AE0B93">
        <w:rPr>
          <w:rFonts w:ascii="Arial" w:hAnsi="Arial" w:cs="Arial"/>
          <w:sz w:val="20"/>
          <w:szCs w:val="20"/>
        </w:rPr>
        <w:t>methacryloyl</w:t>
      </w:r>
      <w:proofErr w:type="spellEnd"/>
      <w:r w:rsidRPr="00AE0B93">
        <w:rPr>
          <w:rFonts w:ascii="Arial" w:hAnsi="Arial" w:cs="Arial"/>
          <w:sz w:val="20"/>
          <w:szCs w:val="20"/>
        </w:rPr>
        <w:t xml:space="preserve"> (</w:t>
      </w:r>
      <w:proofErr w:type="spellStart"/>
      <w:r w:rsidRPr="00AE0B93">
        <w:rPr>
          <w:rFonts w:ascii="Arial" w:hAnsi="Arial" w:cs="Arial"/>
          <w:sz w:val="20"/>
          <w:szCs w:val="20"/>
        </w:rPr>
        <w:t>GelMA</w:t>
      </w:r>
      <w:proofErr w:type="spellEnd"/>
      <w:r w:rsidRPr="00AE0B93">
        <w:rPr>
          <w:rFonts w:ascii="Arial" w:hAnsi="Arial" w:cs="Arial"/>
          <w:sz w:val="20"/>
          <w:szCs w:val="20"/>
        </w:rPr>
        <w:t>) hydrogels. Biomaterials. 2015</w:t>
      </w:r>
      <w:proofErr w:type="gramStart"/>
      <w:r w:rsidRPr="00AE0B93">
        <w:rPr>
          <w:rFonts w:ascii="Arial" w:hAnsi="Arial" w:cs="Arial"/>
          <w:sz w:val="20"/>
          <w:szCs w:val="20"/>
        </w:rPr>
        <w:t>;73:254</w:t>
      </w:r>
      <w:proofErr w:type="gramEnd"/>
      <w:r w:rsidRPr="00AE0B93">
        <w:rPr>
          <w:rFonts w:ascii="Arial" w:hAnsi="Arial" w:cs="Arial"/>
          <w:sz w:val="20"/>
          <w:szCs w:val="20"/>
        </w:rPr>
        <w:t>–271.</w:t>
      </w:r>
    </w:p>
    <w:p w14:paraId="68408423" w14:textId="4B87C74F" w:rsidR="00F1039D" w:rsidRPr="00AE0B93" w:rsidRDefault="00F1039D"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lastRenderedPageBreak/>
        <w:t xml:space="preserve">Zhang YS, </w:t>
      </w:r>
      <w:proofErr w:type="spellStart"/>
      <w:r w:rsidRPr="00AE0B93">
        <w:rPr>
          <w:rFonts w:ascii="Arial" w:hAnsi="Arial" w:cs="Arial"/>
          <w:sz w:val="20"/>
          <w:szCs w:val="20"/>
        </w:rPr>
        <w:t>Arneri</w:t>
      </w:r>
      <w:proofErr w:type="spellEnd"/>
      <w:r w:rsidRPr="00AE0B93">
        <w:rPr>
          <w:rFonts w:ascii="Arial" w:hAnsi="Arial" w:cs="Arial"/>
          <w:sz w:val="20"/>
          <w:szCs w:val="20"/>
        </w:rPr>
        <w:t xml:space="preserve"> A, </w:t>
      </w:r>
      <w:proofErr w:type="spellStart"/>
      <w:r w:rsidRPr="00AE0B93">
        <w:rPr>
          <w:rFonts w:ascii="Arial" w:hAnsi="Arial" w:cs="Arial"/>
          <w:sz w:val="20"/>
          <w:szCs w:val="20"/>
        </w:rPr>
        <w:t>Bersini</w:t>
      </w:r>
      <w:proofErr w:type="spellEnd"/>
      <w:r w:rsidRPr="00AE0B93">
        <w:rPr>
          <w:rFonts w:ascii="Arial" w:hAnsi="Arial" w:cs="Arial"/>
          <w:sz w:val="20"/>
          <w:szCs w:val="20"/>
        </w:rPr>
        <w:t xml:space="preserve"> S, Shin SR, Zhu K, </w:t>
      </w:r>
      <w:proofErr w:type="spellStart"/>
      <w:r w:rsidRPr="00AE0B93">
        <w:rPr>
          <w:rFonts w:ascii="Arial" w:hAnsi="Arial" w:cs="Arial"/>
          <w:sz w:val="20"/>
          <w:szCs w:val="20"/>
        </w:rPr>
        <w:t>Goli-Malekabadi</w:t>
      </w:r>
      <w:proofErr w:type="spellEnd"/>
      <w:r w:rsidRPr="00AE0B93">
        <w:rPr>
          <w:rFonts w:ascii="Arial" w:hAnsi="Arial" w:cs="Arial"/>
          <w:sz w:val="20"/>
          <w:szCs w:val="20"/>
        </w:rPr>
        <w:t xml:space="preserve"> Z, et al. </w:t>
      </w:r>
      <w:proofErr w:type="spellStart"/>
      <w:r w:rsidRPr="00AE0B93">
        <w:rPr>
          <w:rFonts w:ascii="Arial" w:hAnsi="Arial" w:cs="Arial"/>
          <w:sz w:val="20"/>
          <w:szCs w:val="20"/>
        </w:rPr>
        <w:t>Bioprinting</w:t>
      </w:r>
      <w:proofErr w:type="spellEnd"/>
      <w:r w:rsidRPr="00AE0B93">
        <w:rPr>
          <w:rFonts w:ascii="Arial" w:hAnsi="Arial" w:cs="Arial"/>
          <w:sz w:val="20"/>
          <w:szCs w:val="20"/>
        </w:rPr>
        <w:t xml:space="preserve"> 3D </w:t>
      </w:r>
      <w:proofErr w:type="spellStart"/>
      <w:r w:rsidRPr="00AE0B93">
        <w:rPr>
          <w:rFonts w:ascii="Arial" w:hAnsi="Arial" w:cs="Arial"/>
          <w:sz w:val="20"/>
          <w:szCs w:val="20"/>
        </w:rPr>
        <w:t>microfibrous</w:t>
      </w:r>
      <w:proofErr w:type="spellEnd"/>
      <w:r w:rsidRPr="00AE0B93">
        <w:rPr>
          <w:rFonts w:ascii="Arial" w:hAnsi="Arial" w:cs="Arial"/>
          <w:sz w:val="20"/>
          <w:szCs w:val="20"/>
        </w:rPr>
        <w:t xml:space="preserve"> scaffolds for engineering </w:t>
      </w:r>
      <w:proofErr w:type="spellStart"/>
      <w:r w:rsidRPr="00AE0B93">
        <w:rPr>
          <w:rFonts w:ascii="Arial" w:hAnsi="Arial" w:cs="Arial"/>
          <w:sz w:val="20"/>
          <w:szCs w:val="20"/>
        </w:rPr>
        <w:t>endothelialized</w:t>
      </w:r>
      <w:proofErr w:type="spellEnd"/>
      <w:r w:rsidRPr="00AE0B93">
        <w:rPr>
          <w:rFonts w:ascii="Arial" w:hAnsi="Arial" w:cs="Arial"/>
          <w:sz w:val="20"/>
          <w:szCs w:val="20"/>
        </w:rPr>
        <w:t xml:space="preserve"> myocardium and heart-on-a-chip. </w:t>
      </w:r>
      <w:r w:rsidRPr="00AE0B93">
        <w:rPr>
          <w:rFonts w:ascii="Arial" w:hAnsi="Arial" w:cs="Arial"/>
          <w:i/>
          <w:iCs/>
          <w:sz w:val="20"/>
          <w:szCs w:val="20"/>
        </w:rPr>
        <w:t>Biomaterials</w:t>
      </w:r>
      <w:r w:rsidRPr="00AE0B93">
        <w:rPr>
          <w:rFonts w:ascii="Arial" w:hAnsi="Arial" w:cs="Arial"/>
          <w:sz w:val="20"/>
          <w:szCs w:val="20"/>
        </w:rPr>
        <w:t>. 2016</w:t>
      </w:r>
      <w:proofErr w:type="gramStart"/>
      <w:r w:rsidRPr="00AE0B93">
        <w:rPr>
          <w:rFonts w:ascii="Arial" w:hAnsi="Arial" w:cs="Arial"/>
          <w:sz w:val="20"/>
          <w:szCs w:val="20"/>
        </w:rPr>
        <w:t>;110:45</w:t>
      </w:r>
      <w:proofErr w:type="gramEnd"/>
      <w:r w:rsidRPr="00AE0B93">
        <w:rPr>
          <w:rFonts w:ascii="Arial" w:hAnsi="Arial" w:cs="Arial"/>
          <w:sz w:val="20"/>
          <w:szCs w:val="20"/>
        </w:rPr>
        <w:t>–59.</w:t>
      </w:r>
    </w:p>
    <w:p w14:paraId="7D9E9BE2" w14:textId="44DDEA52" w:rsidR="008F1E4F" w:rsidRPr="00AE0B93" w:rsidRDefault="008F1E4F"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Zhang W, et al. Spatial delivery of immune cues to lymph nodes to define therapeutic outcomes in cancer vaccination. </w:t>
      </w:r>
      <w:r w:rsidRPr="00AE0B93">
        <w:rPr>
          <w:rFonts w:ascii="Arial" w:hAnsi="Arial" w:cs="Arial"/>
          <w:i/>
          <w:iCs/>
          <w:sz w:val="20"/>
          <w:szCs w:val="20"/>
        </w:rPr>
        <w:t>Biomaterials Science</w:t>
      </w:r>
      <w:r w:rsidRPr="00AE0B93">
        <w:rPr>
          <w:rFonts w:ascii="Arial" w:hAnsi="Arial" w:cs="Arial"/>
          <w:sz w:val="20"/>
          <w:szCs w:val="20"/>
        </w:rPr>
        <w:t>. 2022</w:t>
      </w:r>
    </w:p>
    <w:p w14:paraId="145BB090" w14:textId="51F9503A" w:rsidR="00A13719" w:rsidRPr="00AE0B93" w:rsidRDefault="00A13719"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Zhang Z, Chen X, Gao S, Fang X, Ren S</w:t>
      </w:r>
      <w:r w:rsidRPr="00AE0B93">
        <w:rPr>
          <w:rFonts w:ascii="Arial" w:hAnsi="Arial" w:cs="Arial"/>
          <w:b/>
          <w:bCs/>
          <w:sz w:val="20"/>
          <w:szCs w:val="20"/>
        </w:rPr>
        <w:t>.</w:t>
      </w:r>
      <w:r w:rsidRPr="00AE0B93">
        <w:rPr>
          <w:rFonts w:ascii="Arial" w:hAnsi="Arial" w:cs="Arial"/>
          <w:sz w:val="20"/>
          <w:szCs w:val="20"/>
        </w:rPr>
        <w:t xml:space="preserve"> 3D </w:t>
      </w:r>
      <w:proofErr w:type="spellStart"/>
      <w:r w:rsidRPr="00AE0B93">
        <w:rPr>
          <w:rFonts w:ascii="Arial" w:hAnsi="Arial" w:cs="Arial"/>
          <w:sz w:val="20"/>
          <w:szCs w:val="20"/>
        </w:rPr>
        <w:t>bioprinted</w:t>
      </w:r>
      <w:proofErr w:type="spellEnd"/>
      <w:r w:rsidRPr="00AE0B93">
        <w:rPr>
          <w:rFonts w:ascii="Arial" w:hAnsi="Arial" w:cs="Arial"/>
          <w:sz w:val="20"/>
          <w:szCs w:val="20"/>
        </w:rPr>
        <w:t xml:space="preserve"> </w:t>
      </w:r>
      <w:proofErr w:type="spellStart"/>
      <w:r w:rsidRPr="00AE0B93">
        <w:rPr>
          <w:rFonts w:ascii="Arial" w:hAnsi="Arial" w:cs="Arial"/>
          <w:sz w:val="20"/>
          <w:szCs w:val="20"/>
        </w:rPr>
        <w:t>tumor</w:t>
      </w:r>
      <w:proofErr w:type="spellEnd"/>
      <w:r w:rsidRPr="00AE0B93">
        <w:rPr>
          <w:rFonts w:ascii="Arial" w:hAnsi="Arial" w:cs="Arial"/>
          <w:sz w:val="20"/>
          <w:szCs w:val="20"/>
        </w:rPr>
        <w:t xml:space="preserve"> model: a prompt and convenient platform for overcoming immunotherapy resistance by recapitulating the </w:t>
      </w:r>
      <w:proofErr w:type="spellStart"/>
      <w:r w:rsidRPr="00AE0B93">
        <w:rPr>
          <w:rFonts w:ascii="Arial" w:hAnsi="Arial" w:cs="Arial"/>
          <w:sz w:val="20"/>
          <w:szCs w:val="20"/>
        </w:rPr>
        <w:t>tumor</w:t>
      </w:r>
      <w:proofErr w:type="spellEnd"/>
      <w:r w:rsidRPr="00AE0B93">
        <w:rPr>
          <w:rFonts w:ascii="Arial" w:hAnsi="Arial" w:cs="Arial"/>
          <w:sz w:val="20"/>
          <w:szCs w:val="20"/>
        </w:rPr>
        <w:t xml:space="preserve"> microenvironment. </w:t>
      </w:r>
      <w:r w:rsidRPr="00AE0B93">
        <w:rPr>
          <w:rFonts w:ascii="Arial" w:hAnsi="Arial" w:cs="Arial"/>
          <w:i/>
          <w:iCs/>
          <w:sz w:val="20"/>
          <w:szCs w:val="20"/>
        </w:rPr>
        <w:t>Cellular Oncology (Dordrecht).</w:t>
      </w:r>
      <w:r w:rsidRPr="00AE0B93">
        <w:rPr>
          <w:rFonts w:ascii="Arial" w:hAnsi="Arial" w:cs="Arial"/>
          <w:sz w:val="20"/>
          <w:szCs w:val="20"/>
        </w:rPr>
        <w:t xml:space="preserve"> 2024;47(4):1113</w:t>
      </w:r>
      <w:r w:rsidRPr="00AE0B93">
        <w:rPr>
          <w:rFonts w:ascii="Arial" w:hAnsi="Arial" w:cs="Arial"/>
          <w:sz w:val="20"/>
          <w:szCs w:val="20"/>
        </w:rPr>
        <w:noBreakHyphen/>
        <w:t xml:space="preserve">1126. </w:t>
      </w:r>
    </w:p>
    <w:p w14:paraId="1B6E1E17" w14:textId="60611342" w:rsidR="008E58A3" w:rsidRPr="00AE0B93" w:rsidRDefault="008E58A3"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Zhang YS, et al. Advances in natural polymer-based bioinks for 3D bioprinting. </w:t>
      </w:r>
      <w:proofErr w:type="spellStart"/>
      <w:r w:rsidRPr="00AE0B93">
        <w:rPr>
          <w:rFonts w:ascii="Arial" w:hAnsi="Arial" w:cs="Arial"/>
          <w:sz w:val="20"/>
          <w:szCs w:val="20"/>
        </w:rPr>
        <w:t>Biotechnol</w:t>
      </w:r>
      <w:proofErr w:type="spellEnd"/>
      <w:r w:rsidRPr="00AE0B93">
        <w:rPr>
          <w:rFonts w:ascii="Arial" w:hAnsi="Arial" w:cs="Arial"/>
          <w:sz w:val="20"/>
          <w:szCs w:val="20"/>
        </w:rPr>
        <w:t xml:space="preserve"> J. 2021</w:t>
      </w:r>
      <w:proofErr w:type="gramStart"/>
      <w:r w:rsidRPr="00AE0B93">
        <w:rPr>
          <w:rFonts w:ascii="Arial" w:hAnsi="Arial" w:cs="Arial"/>
          <w:sz w:val="20"/>
          <w:szCs w:val="20"/>
        </w:rPr>
        <w:t>;16</w:t>
      </w:r>
      <w:proofErr w:type="gramEnd"/>
      <w:r w:rsidRPr="00AE0B93">
        <w:rPr>
          <w:rFonts w:ascii="Arial" w:hAnsi="Arial" w:cs="Arial"/>
          <w:sz w:val="20"/>
          <w:szCs w:val="20"/>
        </w:rPr>
        <w:t>(1):e2000024.</w:t>
      </w:r>
    </w:p>
    <w:p w14:paraId="071F54F8" w14:textId="51A7C97B" w:rsidR="0043504B" w:rsidRPr="00AE0B93" w:rsidRDefault="0043504B" w:rsidP="0043504B">
      <w:pPr>
        <w:pStyle w:val="NormalWeb"/>
        <w:numPr>
          <w:ilvl w:val="0"/>
          <w:numId w:val="1"/>
        </w:numPr>
        <w:spacing w:line="360" w:lineRule="auto"/>
        <w:rPr>
          <w:rFonts w:ascii="Arial" w:eastAsiaTheme="minorHAnsi" w:hAnsi="Arial" w:cs="Arial"/>
          <w:kern w:val="2"/>
          <w:sz w:val="20"/>
          <w:szCs w:val="20"/>
          <w:lang w:eastAsia="en-US" w:bidi="ar-SA"/>
          <w14:ligatures w14:val="standardContextual"/>
        </w:rPr>
      </w:pPr>
      <w:r w:rsidRPr="00AE0B93">
        <w:rPr>
          <w:rFonts w:ascii="Arial" w:eastAsiaTheme="minorHAnsi" w:hAnsi="Arial" w:cs="Arial"/>
          <w:kern w:val="2"/>
          <w:sz w:val="20"/>
          <w:szCs w:val="20"/>
          <w:lang w:eastAsia="en-US" w:bidi="ar-SA"/>
          <w14:ligatures w14:val="standardContextual"/>
        </w:rPr>
        <w:t xml:space="preserve">Zhang YS, </w:t>
      </w:r>
      <w:proofErr w:type="spellStart"/>
      <w:r w:rsidRPr="00AE0B93">
        <w:rPr>
          <w:rFonts w:ascii="Arial" w:eastAsiaTheme="minorHAnsi" w:hAnsi="Arial" w:cs="Arial"/>
          <w:kern w:val="2"/>
          <w:sz w:val="20"/>
          <w:szCs w:val="20"/>
          <w:lang w:eastAsia="en-US" w:bidi="ar-SA"/>
          <w14:ligatures w14:val="standardContextual"/>
        </w:rPr>
        <w:t>Arneri</w:t>
      </w:r>
      <w:proofErr w:type="spellEnd"/>
      <w:r w:rsidRPr="00AE0B93">
        <w:rPr>
          <w:rFonts w:ascii="Arial" w:eastAsiaTheme="minorHAnsi" w:hAnsi="Arial" w:cs="Arial"/>
          <w:kern w:val="2"/>
          <w:sz w:val="20"/>
          <w:szCs w:val="20"/>
          <w:lang w:eastAsia="en-US" w:bidi="ar-SA"/>
          <w14:ligatures w14:val="standardContextual"/>
        </w:rPr>
        <w:t xml:space="preserve"> A, </w:t>
      </w:r>
      <w:proofErr w:type="spellStart"/>
      <w:r w:rsidRPr="00AE0B93">
        <w:rPr>
          <w:rFonts w:ascii="Arial" w:eastAsiaTheme="minorHAnsi" w:hAnsi="Arial" w:cs="Arial"/>
          <w:kern w:val="2"/>
          <w:sz w:val="20"/>
          <w:szCs w:val="20"/>
          <w:lang w:eastAsia="en-US" w:bidi="ar-SA"/>
          <w14:ligatures w14:val="standardContextual"/>
        </w:rPr>
        <w:t>Bersini</w:t>
      </w:r>
      <w:proofErr w:type="spellEnd"/>
      <w:r w:rsidRPr="00AE0B93">
        <w:rPr>
          <w:rFonts w:ascii="Arial" w:eastAsiaTheme="minorHAnsi" w:hAnsi="Arial" w:cs="Arial"/>
          <w:kern w:val="2"/>
          <w:sz w:val="20"/>
          <w:szCs w:val="20"/>
          <w:lang w:eastAsia="en-US" w:bidi="ar-SA"/>
          <w14:ligatures w14:val="standardContextual"/>
        </w:rPr>
        <w:t xml:space="preserve"> S, et al. </w:t>
      </w:r>
      <w:proofErr w:type="spellStart"/>
      <w:r w:rsidRPr="00AE0B93">
        <w:rPr>
          <w:rFonts w:ascii="Arial" w:eastAsiaTheme="minorHAnsi" w:hAnsi="Arial" w:cs="Arial"/>
          <w:kern w:val="2"/>
          <w:sz w:val="20"/>
          <w:szCs w:val="20"/>
          <w:lang w:eastAsia="en-US" w:bidi="ar-SA"/>
          <w14:ligatures w14:val="standardContextual"/>
        </w:rPr>
        <w:t>Bioprinting</w:t>
      </w:r>
      <w:proofErr w:type="spellEnd"/>
      <w:r w:rsidRPr="00AE0B93">
        <w:rPr>
          <w:rFonts w:ascii="Arial" w:eastAsiaTheme="minorHAnsi" w:hAnsi="Arial" w:cs="Arial"/>
          <w:kern w:val="2"/>
          <w:sz w:val="20"/>
          <w:szCs w:val="20"/>
          <w:lang w:eastAsia="en-US" w:bidi="ar-SA"/>
          <w14:ligatures w14:val="standardContextual"/>
        </w:rPr>
        <w:t xml:space="preserve"> 3D </w:t>
      </w:r>
      <w:proofErr w:type="spellStart"/>
      <w:r w:rsidRPr="00AE0B93">
        <w:rPr>
          <w:rFonts w:ascii="Arial" w:eastAsiaTheme="minorHAnsi" w:hAnsi="Arial" w:cs="Arial"/>
          <w:kern w:val="2"/>
          <w:sz w:val="20"/>
          <w:szCs w:val="20"/>
          <w:lang w:eastAsia="en-US" w:bidi="ar-SA"/>
          <w14:ligatures w14:val="standardContextual"/>
        </w:rPr>
        <w:t>microfibrous</w:t>
      </w:r>
      <w:proofErr w:type="spellEnd"/>
      <w:r w:rsidRPr="00AE0B93">
        <w:rPr>
          <w:rFonts w:ascii="Arial" w:eastAsiaTheme="minorHAnsi" w:hAnsi="Arial" w:cs="Arial"/>
          <w:kern w:val="2"/>
          <w:sz w:val="20"/>
          <w:szCs w:val="20"/>
          <w:lang w:eastAsia="en-US" w:bidi="ar-SA"/>
          <w14:ligatures w14:val="standardContextual"/>
        </w:rPr>
        <w:t xml:space="preserve"> scaffolds for engineering </w:t>
      </w:r>
      <w:proofErr w:type="spellStart"/>
      <w:r w:rsidRPr="00AE0B93">
        <w:rPr>
          <w:rFonts w:ascii="Arial" w:eastAsiaTheme="minorHAnsi" w:hAnsi="Arial" w:cs="Arial"/>
          <w:kern w:val="2"/>
          <w:sz w:val="20"/>
          <w:szCs w:val="20"/>
          <w:lang w:eastAsia="en-US" w:bidi="ar-SA"/>
          <w14:ligatures w14:val="standardContextual"/>
        </w:rPr>
        <w:t>endothelialized</w:t>
      </w:r>
      <w:proofErr w:type="spellEnd"/>
      <w:r w:rsidRPr="00AE0B93">
        <w:rPr>
          <w:rFonts w:ascii="Arial" w:eastAsiaTheme="minorHAnsi" w:hAnsi="Arial" w:cs="Arial"/>
          <w:kern w:val="2"/>
          <w:sz w:val="20"/>
          <w:szCs w:val="20"/>
          <w:lang w:eastAsia="en-US" w:bidi="ar-SA"/>
          <w14:ligatures w14:val="standardContextual"/>
        </w:rPr>
        <w:t xml:space="preserve"> myocardium and other tissue types. </w:t>
      </w:r>
      <w:r w:rsidRPr="00AE0B93">
        <w:rPr>
          <w:rFonts w:ascii="Arial" w:eastAsiaTheme="minorHAnsi" w:hAnsi="Arial" w:cs="Arial"/>
          <w:i/>
          <w:iCs/>
          <w:kern w:val="2"/>
          <w:sz w:val="20"/>
          <w:szCs w:val="20"/>
          <w:lang w:eastAsia="en-US" w:bidi="ar-SA"/>
          <w14:ligatures w14:val="standardContextual"/>
        </w:rPr>
        <w:t>Nat Biomed Eng</w:t>
      </w:r>
      <w:r w:rsidRPr="00AE0B93">
        <w:rPr>
          <w:rFonts w:ascii="Arial" w:eastAsiaTheme="minorHAnsi" w:hAnsi="Arial" w:cs="Arial"/>
          <w:kern w:val="2"/>
          <w:sz w:val="20"/>
          <w:szCs w:val="20"/>
          <w:lang w:eastAsia="en-US" w:bidi="ar-SA"/>
          <w14:ligatures w14:val="standardContextual"/>
        </w:rPr>
        <w:t>. 2019;3(7):671–683.</w:t>
      </w:r>
    </w:p>
    <w:p w14:paraId="1E694990" w14:textId="77777777" w:rsidR="0043504B" w:rsidRPr="00AE0B93" w:rsidRDefault="0043504B" w:rsidP="0043504B">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Zhu W, Qu X, Zhu J, et al. A biomaterial-enabled 3D </w:t>
      </w:r>
      <w:proofErr w:type="spellStart"/>
      <w:r w:rsidRPr="00AE0B93">
        <w:rPr>
          <w:rFonts w:ascii="Arial" w:hAnsi="Arial" w:cs="Arial"/>
          <w:sz w:val="20"/>
          <w:szCs w:val="20"/>
        </w:rPr>
        <w:t>bioprinted</w:t>
      </w:r>
      <w:proofErr w:type="spellEnd"/>
      <w:r w:rsidRPr="00AE0B93">
        <w:rPr>
          <w:rFonts w:ascii="Arial" w:hAnsi="Arial" w:cs="Arial"/>
          <w:sz w:val="20"/>
          <w:szCs w:val="20"/>
        </w:rPr>
        <w:t xml:space="preserve"> hybrid structure for immune-responsive tissue engineering. </w:t>
      </w:r>
      <w:proofErr w:type="spellStart"/>
      <w:r w:rsidRPr="00AE0B93">
        <w:rPr>
          <w:rFonts w:ascii="Arial" w:hAnsi="Arial" w:cs="Arial"/>
          <w:i/>
          <w:iCs/>
          <w:sz w:val="20"/>
          <w:szCs w:val="20"/>
        </w:rPr>
        <w:t>Biofabrication</w:t>
      </w:r>
      <w:proofErr w:type="spellEnd"/>
      <w:r w:rsidRPr="00AE0B93">
        <w:rPr>
          <w:rFonts w:ascii="Arial" w:hAnsi="Arial" w:cs="Arial"/>
          <w:i/>
          <w:iCs/>
          <w:sz w:val="20"/>
          <w:szCs w:val="20"/>
        </w:rPr>
        <w:t>.</w:t>
      </w:r>
      <w:r w:rsidRPr="00AE0B93">
        <w:rPr>
          <w:rFonts w:ascii="Arial" w:hAnsi="Arial" w:cs="Arial"/>
          <w:sz w:val="20"/>
          <w:szCs w:val="20"/>
        </w:rPr>
        <w:t xml:space="preserve"> 2021;13(4):045016.</w:t>
      </w:r>
    </w:p>
    <w:bookmarkEnd w:id="10"/>
    <w:p w14:paraId="2831ED4C" w14:textId="77777777" w:rsidR="0043504B" w:rsidRPr="0043504B" w:rsidRDefault="0043504B" w:rsidP="0043504B">
      <w:pPr>
        <w:pStyle w:val="NormalWeb"/>
      </w:pPr>
    </w:p>
    <w:p w14:paraId="29262934" w14:textId="77777777" w:rsidR="00F349AA" w:rsidRPr="00FF52EE" w:rsidRDefault="00F349AA" w:rsidP="00FF52EE">
      <w:pPr>
        <w:spacing w:line="360" w:lineRule="auto"/>
        <w:jc w:val="both"/>
        <w:rPr>
          <w:rFonts w:ascii="Times New Roman" w:hAnsi="Times New Roman" w:cs="Times New Roman"/>
          <w:sz w:val="24"/>
          <w:szCs w:val="24"/>
        </w:rPr>
      </w:pPr>
    </w:p>
    <w:sectPr w:rsidR="00F349AA" w:rsidRPr="00FF52E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SB" w:date="2025-11-22T23:32:00Z" w:initials="N">
    <w:p w14:paraId="325269EF" w14:textId="77777777" w:rsidR="009B07A0" w:rsidRPr="009B07A0" w:rsidRDefault="009B07A0" w:rsidP="009B07A0">
      <w:pPr>
        <w:pStyle w:val="NormalWeb"/>
        <w:rPr>
          <w:lang w:val="en-US" w:eastAsia="en-US" w:bidi="ar-SA"/>
        </w:rPr>
      </w:pPr>
      <w:r>
        <w:rPr>
          <w:rStyle w:val="CommentReference"/>
        </w:rPr>
        <w:annotationRef/>
      </w:r>
      <w:r w:rsidRPr="009B07A0">
        <w:t>The current title is somewhat broad and may not fully reflect the specific focus areas of the manuscript. To improve precision and avoid generality, I recommend adopting</w:t>
      </w:r>
      <w:r>
        <w:t xml:space="preserve"> a more targeted title, such as: </w:t>
      </w:r>
      <w:r w:rsidRPr="009B07A0">
        <w:rPr>
          <w:b/>
          <w:bCs/>
          <w:lang w:val="en-US" w:eastAsia="en-US" w:bidi="ar-SA"/>
        </w:rPr>
        <w:t xml:space="preserve">“Three-Dimensional </w:t>
      </w:r>
      <w:proofErr w:type="spellStart"/>
      <w:r w:rsidRPr="009B07A0">
        <w:rPr>
          <w:b/>
          <w:bCs/>
          <w:lang w:val="en-US" w:eastAsia="en-US" w:bidi="ar-SA"/>
        </w:rPr>
        <w:t>Bioprinting</w:t>
      </w:r>
      <w:proofErr w:type="spellEnd"/>
      <w:r w:rsidRPr="009B07A0">
        <w:rPr>
          <w:b/>
          <w:bCs/>
          <w:lang w:val="en-US" w:eastAsia="en-US" w:bidi="ar-SA"/>
        </w:rPr>
        <w:t xml:space="preserve"> of Lymphoid Organs: </w:t>
      </w:r>
      <w:proofErr w:type="spellStart"/>
      <w:r w:rsidRPr="009B07A0">
        <w:rPr>
          <w:b/>
          <w:bCs/>
          <w:lang w:val="en-US" w:eastAsia="en-US" w:bidi="ar-SA"/>
        </w:rPr>
        <w:t>Bioinks</w:t>
      </w:r>
      <w:proofErr w:type="spellEnd"/>
      <w:r w:rsidRPr="009B07A0">
        <w:rPr>
          <w:b/>
          <w:bCs/>
          <w:lang w:val="en-US" w:eastAsia="en-US" w:bidi="ar-SA"/>
        </w:rPr>
        <w:t>, Vascularization Strategies, and Immunological Applications”</w:t>
      </w:r>
    </w:p>
    <w:p w14:paraId="3F6E3A52" w14:textId="137E98E5" w:rsidR="009B07A0" w:rsidRPr="009B07A0" w:rsidRDefault="009B07A0">
      <w:pPr>
        <w:pStyle w:val="CommentText"/>
        <w:rPr>
          <w:lang w:val="en-US"/>
        </w:rPr>
      </w:pPr>
    </w:p>
  </w:comment>
  <w:comment w:id="1" w:author="NSB" w:date="2025-11-22T21:36:00Z" w:initials="N">
    <w:p w14:paraId="43BBEA3E" w14:textId="7E4E9630" w:rsidR="0093791A" w:rsidRPr="0093791A" w:rsidRDefault="0093791A" w:rsidP="0093791A">
      <w:pPr>
        <w:pStyle w:val="CommentText"/>
        <w:rPr>
          <w:rFonts w:hint="cs"/>
          <w:rtl/>
          <w:lang w:val="en-US" w:bidi="fa-IR"/>
        </w:rPr>
      </w:pPr>
      <w:r>
        <w:rPr>
          <w:rStyle w:val="CommentReference"/>
        </w:rPr>
        <w:annotationRef/>
      </w:r>
      <w:r>
        <w:t xml:space="preserve">Please provide the keywords after the </w:t>
      </w:r>
      <w:r w:rsidRPr="0093791A">
        <w:rPr>
          <w:rFonts w:ascii="Arial" w:hAnsi="Arial" w:cs="Arial"/>
          <w:kern w:val="0"/>
          <w14:ligatures w14:val="none"/>
        </w:rPr>
        <w:t>abstract</w:t>
      </w:r>
      <w:r>
        <w:rPr>
          <w:rFonts w:ascii="Arial" w:hAnsi="Arial" w:cs="Arial"/>
          <w:kern w:val="0"/>
          <w:lang w:val="en-US"/>
          <w14:ligatures w14:val="none"/>
        </w:rPr>
        <w:t>.</w:t>
      </w:r>
    </w:p>
  </w:comment>
  <w:comment w:id="2" w:author="NSB" w:date="2025-11-22T21:49:00Z" w:initials="N">
    <w:p w14:paraId="4BD67118" w14:textId="13AB69C2" w:rsidR="00BE3E86" w:rsidRPr="00241CB0" w:rsidRDefault="00BE3E86" w:rsidP="00241CB0">
      <w:pPr>
        <w:pStyle w:val="NormalWeb"/>
        <w:rPr>
          <w:lang w:val="en-US" w:eastAsia="en-US" w:bidi="ar-SA"/>
        </w:rPr>
      </w:pPr>
      <w:r>
        <w:rPr>
          <w:rStyle w:val="CommentReference"/>
        </w:rPr>
        <w:annotationRef/>
      </w:r>
      <w:r w:rsidRPr="00BE3E86">
        <w:rPr>
          <w:lang w:val="en-US" w:eastAsia="en-US" w:bidi="ar-SA"/>
        </w:rPr>
        <w:t xml:space="preserve">The manuscript appropriately follows the standards of a review article in terms of source selection and synthesis; however, it lacks a dedicated Methodology of Literature Search section. The topic is only briefly mentioned in the abstract, which is insufficient for transparency and reproducibility. I recommend adding a separate section immediately after the Introduction that clearly outlines the years covered, inclusion and exclusion criteria, and the types of studies considered (e.g., </w:t>
      </w:r>
      <w:r w:rsidRPr="00BE3E86">
        <w:rPr>
          <w:i/>
          <w:iCs/>
          <w:lang w:val="en-US" w:eastAsia="en-US" w:bidi="ar-SA"/>
        </w:rPr>
        <w:t>in vivo</w:t>
      </w:r>
      <w:r w:rsidRPr="00BE3E86">
        <w:rPr>
          <w:lang w:val="en-US" w:eastAsia="en-US" w:bidi="ar-SA"/>
        </w:rPr>
        <w:t xml:space="preserve">, </w:t>
      </w:r>
      <w:r w:rsidRPr="00BE3E86">
        <w:rPr>
          <w:i/>
          <w:iCs/>
          <w:lang w:val="en-US" w:eastAsia="en-US" w:bidi="ar-SA"/>
        </w:rPr>
        <w:t>in vitro</w:t>
      </w:r>
      <w:r w:rsidRPr="00BE3E86">
        <w:rPr>
          <w:lang w:val="en-US" w:eastAsia="en-US" w:bidi="ar-SA"/>
        </w:rPr>
        <w:t xml:space="preserve">, </w:t>
      </w:r>
      <w:r w:rsidRPr="00BE3E86">
        <w:rPr>
          <w:i/>
          <w:iCs/>
          <w:lang w:val="en-US" w:eastAsia="en-US" w:bidi="ar-SA"/>
        </w:rPr>
        <w:t>preclinical</w:t>
      </w:r>
      <w:r w:rsidRPr="00BE3E86">
        <w:rPr>
          <w:lang w:val="en-US" w:eastAsia="en-US" w:bidi="ar-SA"/>
        </w:rPr>
        <w:t>). This addition will strengthen the methodological rigor of the review.</w:t>
      </w:r>
    </w:p>
  </w:comment>
  <w:comment w:id="3" w:author="NSB" w:date="2025-11-22T21:53:00Z" w:initials="N">
    <w:p w14:paraId="5104115A" w14:textId="1FE79E2A" w:rsidR="00241CB0" w:rsidRPr="00241CB0" w:rsidRDefault="00241CB0" w:rsidP="00241CB0">
      <w:pPr>
        <w:pStyle w:val="NormalWeb"/>
        <w:rPr>
          <w:lang w:val="en-US" w:eastAsia="en-US" w:bidi="ar-SA"/>
        </w:rPr>
      </w:pPr>
      <w:r>
        <w:rPr>
          <w:rStyle w:val="CommentReference"/>
        </w:rPr>
        <w:annotationRef/>
      </w:r>
      <w:r w:rsidRPr="00241CB0">
        <w:rPr>
          <w:lang w:val="en-US" w:eastAsia="en-US" w:bidi="ar-SA"/>
        </w:rPr>
        <w:t>The manuscript presents only a limited set of bio-inks. I recommend expanding this section to include a broader range of bio-inks to provide a more comprehensive and informative overview for readers.</w:t>
      </w:r>
    </w:p>
  </w:comment>
  <w:comment w:id="4" w:author="NSB" w:date="2025-11-22T23:22:00Z" w:initials="N">
    <w:p w14:paraId="29D225BA" w14:textId="1A5D5371" w:rsidR="001E3AD1" w:rsidRPr="001E3AD1" w:rsidRDefault="001E3AD1" w:rsidP="001E3AD1">
      <w:pPr>
        <w:pStyle w:val="NormalWeb"/>
        <w:rPr>
          <w:lang w:val="en-US" w:eastAsia="en-US" w:bidi="ar-SA"/>
        </w:rPr>
      </w:pPr>
      <w:r>
        <w:rPr>
          <w:rStyle w:val="CommentReference"/>
        </w:rPr>
        <w:annotationRef/>
      </w:r>
      <w:r w:rsidRPr="001E3AD1">
        <w:rPr>
          <w:lang w:val="en-US" w:eastAsia="en-US" w:bidi="ar-SA"/>
        </w:rPr>
        <w:t>The section on Vascularization is well written; however, it lacks an analytical synthesis. While the content is informative, the manuscript does not provide a comparative evaluation of the existing approaches.</w:t>
      </w:r>
    </w:p>
    <w:p w14:paraId="30A98E78" w14:textId="3C7A72DF" w:rsidR="001E3AD1" w:rsidRPr="001E3AD1" w:rsidRDefault="001E3AD1" w:rsidP="001E3AD1">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1E3AD1">
        <w:rPr>
          <w:rFonts w:ascii="Times New Roman" w:eastAsia="Times New Roman" w:hAnsi="Times New Roman" w:cs="Times New Roman"/>
          <w:kern w:val="0"/>
          <w:sz w:val="24"/>
          <w:szCs w:val="24"/>
          <w:lang w:val="en-US"/>
          <w14:ligatures w14:val="none"/>
        </w:rPr>
        <w:t>Recommendation</w:t>
      </w:r>
      <w:proofErr w:type="gramStart"/>
      <w:r w:rsidRPr="001E3AD1">
        <w:rPr>
          <w:rFonts w:ascii="Times New Roman" w:eastAsia="Times New Roman" w:hAnsi="Times New Roman" w:cs="Times New Roman"/>
          <w:kern w:val="0"/>
          <w:sz w:val="24"/>
          <w:szCs w:val="24"/>
          <w:lang w:val="en-US"/>
          <w14:ligatures w14:val="none"/>
        </w:rPr>
        <w:t>:</w:t>
      </w:r>
      <w:proofErr w:type="gramEnd"/>
      <w:r w:rsidRPr="001E3AD1">
        <w:rPr>
          <w:rFonts w:ascii="Times New Roman" w:eastAsia="Times New Roman" w:hAnsi="Times New Roman" w:cs="Times New Roman"/>
          <w:kern w:val="0"/>
          <w:sz w:val="24"/>
          <w:szCs w:val="24"/>
          <w:lang w:val="en-US"/>
          <w14:ligatures w14:val="none"/>
        </w:rPr>
        <w:br/>
        <w:t>I suggest adding a comparative table summarizing the key characteristics of the main strategies—sacrificial, coaxial, endothelial sprouting, and computational approaches—with respect to cost, complexity, resolution, and cell viability. This addition would significantly enhance clarity and help readers better understand the relative advantages and limitations of each method.</w:t>
      </w:r>
    </w:p>
  </w:comment>
  <w:comment w:id="9" w:author="NSB" w:date="2025-11-22T23:36:00Z" w:initials="N">
    <w:p w14:paraId="48331004" w14:textId="4305B9F1" w:rsidR="0089619A" w:rsidRDefault="0089619A">
      <w:pPr>
        <w:pStyle w:val="CommentText"/>
      </w:pPr>
      <w:r>
        <w:rPr>
          <w:rStyle w:val="CommentReference"/>
        </w:rPr>
        <w:annotationRef/>
      </w:r>
      <w:proofErr w:type="gramStart"/>
      <w:r w:rsidRPr="00F52E48">
        <w:rPr>
          <w:rFonts w:ascii="Arial" w:hAnsi="Arial" w:cs="Arial"/>
        </w:rPr>
        <w:t>et</w:t>
      </w:r>
      <w:proofErr w:type="gramEnd"/>
      <w:r w:rsidRPr="00F52E48">
        <w:rPr>
          <w:rFonts w:ascii="Arial" w:hAnsi="Arial" w:cs="Arial"/>
        </w:rPr>
        <w:t xml:space="preserve"> al</w:t>
      </w:r>
      <w:r>
        <w:rPr>
          <w:rFonts w:ascii="Arial" w:hAnsi="Arial" w:cs="Arial"/>
        </w:rPr>
        <w:t>?</w:t>
      </w:r>
    </w:p>
  </w:comment>
  <w:comment w:id="11" w:author="NSB" w:date="2025-11-22T23:38:00Z" w:initials="N">
    <w:p w14:paraId="01CA1116" w14:textId="77777777" w:rsidR="0089619A" w:rsidRPr="0089619A" w:rsidRDefault="0089619A" w:rsidP="0089619A">
      <w:pPr>
        <w:pStyle w:val="NormalWeb"/>
      </w:pPr>
      <w:r w:rsidRPr="0089619A">
        <w:rPr>
          <w:rStyle w:val="CommentReference"/>
        </w:rPr>
        <w:annotationRef/>
      </w:r>
      <w:r w:rsidRPr="0089619A">
        <w:t xml:space="preserve">This reference appears to be duplicated, as it has already been cited as reference </w:t>
      </w:r>
      <w:r w:rsidRPr="0089619A">
        <w:rPr>
          <w:rStyle w:val="Strong"/>
          <w:rFonts w:eastAsiaTheme="majorEastAsia"/>
          <w:b w:val="0"/>
          <w:bCs w:val="0"/>
        </w:rPr>
        <w:t>16</w:t>
      </w:r>
      <w:r w:rsidRPr="0089619A">
        <w:t>. Please remove the duplicate and ensure all references are unique.</w:t>
      </w:r>
    </w:p>
    <w:p w14:paraId="51D186C9" w14:textId="6E2CA7AE" w:rsidR="0089619A" w:rsidRPr="0089619A" w:rsidRDefault="0089619A">
      <w:pPr>
        <w:pStyle w:val="CommentText"/>
        <w:rPr>
          <w:rFonts w:cs="Arial" w:hint="cs"/>
          <w:rtl/>
          <w:lang w:bidi="fa-IR"/>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6E3A52" w15:done="0"/>
  <w15:commentEx w15:paraId="43BBEA3E" w15:done="0"/>
  <w15:commentEx w15:paraId="4BD67118" w15:done="0"/>
  <w15:commentEx w15:paraId="5104115A" w15:done="0"/>
  <w15:commentEx w15:paraId="30A98E78" w15:done="0"/>
  <w15:commentEx w15:paraId="48331004" w15:done="0"/>
  <w15:commentEx w15:paraId="51D186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D67C3" w14:textId="77777777" w:rsidR="0091470E" w:rsidRDefault="0091470E" w:rsidP="00F50099">
      <w:pPr>
        <w:spacing w:after="0" w:line="240" w:lineRule="auto"/>
      </w:pPr>
      <w:r>
        <w:separator/>
      </w:r>
    </w:p>
  </w:endnote>
  <w:endnote w:type="continuationSeparator" w:id="0">
    <w:p w14:paraId="7CAB0EA8" w14:textId="77777777" w:rsidR="0091470E" w:rsidRDefault="0091470E" w:rsidP="00F5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02ADF" w14:textId="77777777" w:rsidR="00F50099" w:rsidRDefault="00F500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D66FE" w14:textId="77777777" w:rsidR="00F50099" w:rsidRDefault="00F500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DBC04" w14:textId="77777777" w:rsidR="00F50099" w:rsidRDefault="00F50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2F77D" w14:textId="77777777" w:rsidR="0091470E" w:rsidRDefault="0091470E" w:rsidP="00F50099">
      <w:pPr>
        <w:spacing w:after="0" w:line="240" w:lineRule="auto"/>
      </w:pPr>
      <w:r>
        <w:separator/>
      </w:r>
    </w:p>
  </w:footnote>
  <w:footnote w:type="continuationSeparator" w:id="0">
    <w:p w14:paraId="0FB80F1D" w14:textId="77777777" w:rsidR="0091470E" w:rsidRDefault="0091470E" w:rsidP="00F50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FF504" w14:textId="4944C40E" w:rsidR="00F50099" w:rsidRDefault="0091470E">
    <w:pPr>
      <w:pStyle w:val="Header"/>
    </w:pPr>
    <w:r>
      <w:rPr>
        <w:noProof/>
      </w:rPr>
      <w:pict w14:anchorId="49151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45850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BFBF8" w14:textId="5795366F" w:rsidR="00F50099" w:rsidRDefault="0091470E">
    <w:pPr>
      <w:pStyle w:val="Header"/>
    </w:pPr>
    <w:r>
      <w:rPr>
        <w:noProof/>
      </w:rPr>
      <w:pict w14:anchorId="011D2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45850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693F1" w14:textId="18A2CBD8" w:rsidR="00F50099" w:rsidRDefault="0091470E">
    <w:pPr>
      <w:pStyle w:val="Header"/>
    </w:pPr>
    <w:r>
      <w:rPr>
        <w:noProof/>
      </w:rPr>
      <w:pict w14:anchorId="7FB68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45850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2613D"/>
    <w:multiLevelType w:val="hybridMultilevel"/>
    <w:tmpl w:val="8D4AF6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9CB2F31"/>
    <w:multiLevelType w:val="hybridMultilevel"/>
    <w:tmpl w:val="8266FA98"/>
    <w:lvl w:ilvl="0" w:tplc="73F2AC24">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6644999"/>
    <w:multiLevelType w:val="multilevel"/>
    <w:tmpl w:val="53DA2AD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221534"/>
    <w:multiLevelType w:val="multilevel"/>
    <w:tmpl w:val="53DA2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SB">
    <w15:presenceInfo w15:providerId="None" w15:userId="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9AA"/>
    <w:rsid w:val="00006A61"/>
    <w:rsid w:val="00026FBF"/>
    <w:rsid w:val="00036465"/>
    <w:rsid w:val="0004329C"/>
    <w:rsid w:val="0005384A"/>
    <w:rsid w:val="000623A1"/>
    <w:rsid w:val="00063E25"/>
    <w:rsid w:val="0006782B"/>
    <w:rsid w:val="00067E02"/>
    <w:rsid w:val="00073F4D"/>
    <w:rsid w:val="000870EC"/>
    <w:rsid w:val="000B1DF0"/>
    <w:rsid w:val="000B2BB0"/>
    <w:rsid w:val="000C0853"/>
    <w:rsid w:val="000C30DB"/>
    <w:rsid w:val="000D0542"/>
    <w:rsid w:val="000D6E48"/>
    <w:rsid w:val="000F1B1B"/>
    <w:rsid w:val="001140BF"/>
    <w:rsid w:val="00135085"/>
    <w:rsid w:val="00142080"/>
    <w:rsid w:val="00142F61"/>
    <w:rsid w:val="00156256"/>
    <w:rsid w:val="00162FFC"/>
    <w:rsid w:val="00173C34"/>
    <w:rsid w:val="0018079D"/>
    <w:rsid w:val="00194A17"/>
    <w:rsid w:val="0019647C"/>
    <w:rsid w:val="001A0323"/>
    <w:rsid w:val="001C2BD3"/>
    <w:rsid w:val="001C7F6A"/>
    <w:rsid w:val="001E3AD1"/>
    <w:rsid w:val="0020129C"/>
    <w:rsid w:val="002305D6"/>
    <w:rsid w:val="00241CB0"/>
    <w:rsid w:val="00246120"/>
    <w:rsid w:val="00247479"/>
    <w:rsid w:val="00247A9B"/>
    <w:rsid w:val="00251C8B"/>
    <w:rsid w:val="00257A5A"/>
    <w:rsid w:val="0026704B"/>
    <w:rsid w:val="0026789F"/>
    <w:rsid w:val="002732A0"/>
    <w:rsid w:val="00277D60"/>
    <w:rsid w:val="00280406"/>
    <w:rsid w:val="00280D81"/>
    <w:rsid w:val="002823D5"/>
    <w:rsid w:val="00291C00"/>
    <w:rsid w:val="00293C13"/>
    <w:rsid w:val="002B401A"/>
    <w:rsid w:val="002B7FDF"/>
    <w:rsid w:val="002E0DF4"/>
    <w:rsid w:val="002E2DD9"/>
    <w:rsid w:val="002F4676"/>
    <w:rsid w:val="00347009"/>
    <w:rsid w:val="00385D49"/>
    <w:rsid w:val="003922E6"/>
    <w:rsid w:val="003D5099"/>
    <w:rsid w:val="0040038C"/>
    <w:rsid w:val="00403140"/>
    <w:rsid w:val="004303CF"/>
    <w:rsid w:val="00434C14"/>
    <w:rsid w:val="0043504B"/>
    <w:rsid w:val="004354D5"/>
    <w:rsid w:val="00441482"/>
    <w:rsid w:val="0044686A"/>
    <w:rsid w:val="00455C0C"/>
    <w:rsid w:val="0045787B"/>
    <w:rsid w:val="004616E1"/>
    <w:rsid w:val="004633B8"/>
    <w:rsid w:val="0047353C"/>
    <w:rsid w:val="00475A8D"/>
    <w:rsid w:val="00485B84"/>
    <w:rsid w:val="004965A2"/>
    <w:rsid w:val="00496912"/>
    <w:rsid w:val="004A78AC"/>
    <w:rsid w:val="00512652"/>
    <w:rsid w:val="00515859"/>
    <w:rsid w:val="00517195"/>
    <w:rsid w:val="00541E4E"/>
    <w:rsid w:val="005609C8"/>
    <w:rsid w:val="0056597A"/>
    <w:rsid w:val="00583290"/>
    <w:rsid w:val="00583818"/>
    <w:rsid w:val="00587B31"/>
    <w:rsid w:val="00596380"/>
    <w:rsid w:val="005B10E4"/>
    <w:rsid w:val="005C3903"/>
    <w:rsid w:val="005D05EA"/>
    <w:rsid w:val="005D159C"/>
    <w:rsid w:val="005E171F"/>
    <w:rsid w:val="00620627"/>
    <w:rsid w:val="0062642B"/>
    <w:rsid w:val="00633281"/>
    <w:rsid w:val="0064235F"/>
    <w:rsid w:val="0064664B"/>
    <w:rsid w:val="00667602"/>
    <w:rsid w:val="006A25CD"/>
    <w:rsid w:val="006A6C77"/>
    <w:rsid w:val="006C40A2"/>
    <w:rsid w:val="006C7372"/>
    <w:rsid w:val="006E1B38"/>
    <w:rsid w:val="006E5A7E"/>
    <w:rsid w:val="007049BB"/>
    <w:rsid w:val="007144ED"/>
    <w:rsid w:val="00715B6B"/>
    <w:rsid w:val="00716F2F"/>
    <w:rsid w:val="007324F0"/>
    <w:rsid w:val="00776998"/>
    <w:rsid w:val="00782E80"/>
    <w:rsid w:val="0079020D"/>
    <w:rsid w:val="007B2F32"/>
    <w:rsid w:val="007B41EB"/>
    <w:rsid w:val="007B605C"/>
    <w:rsid w:val="007C6D34"/>
    <w:rsid w:val="007D46BF"/>
    <w:rsid w:val="007D6163"/>
    <w:rsid w:val="007E04A6"/>
    <w:rsid w:val="008058DC"/>
    <w:rsid w:val="008307F2"/>
    <w:rsid w:val="008339EA"/>
    <w:rsid w:val="00840E5F"/>
    <w:rsid w:val="00845105"/>
    <w:rsid w:val="00853E71"/>
    <w:rsid w:val="00856739"/>
    <w:rsid w:val="00856E54"/>
    <w:rsid w:val="00866CD3"/>
    <w:rsid w:val="0087793A"/>
    <w:rsid w:val="0089619A"/>
    <w:rsid w:val="008A70AC"/>
    <w:rsid w:val="008B1BA4"/>
    <w:rsid w:val="008C5882"/>
    <w:rsid w:val="008E58A3"/>
    <w:rsid w:val="008E7490"/>
    <w:rsid w:val="008F1E4F"/>
    <w:rsid w:val="0091470E"/>
    <w:rsid w:val="00916FED"/>
    <w:rsid w:val="00920C72"/>
    <w:rsid w:val="0093758E"/>
    <w:rsid w:val="0093791A"/>
    <w:rsid w:val="00943C67"/>
    <w:rsid w:val="00955773"/>
    <w:rsid w:val="009624C1"/>
    <w:rsid w:val="00967FE9"/>
    <w:rsid w:val="009B07A0"/>
    <w:rsid w:val="009B2C50"/>
    <w:rsid w:val="009B3CDC"/>
    <w:rsid w:val="00A00519"/>
    <w:rsid w:val="00A071F8"/>
    <w:rsid w:val="00A12C46"/>
    <w:rsid w:val="00A13719"/>
    <w:rsid w:val="00A21F5C"/>
    <w:rsid w:val="00A30824"/>
    <w:rsid w:val="00A562E8"/>
    <w:rsid w:val="00A647C5"/>
    <w:rsid w:val="00A734FB"/>
    <w:rsid w:val="00A80A39"/>
    <w:rsid w:val="00A85A50"/>
    <w:rsid w:val="00AA4F64"/>
    <w:rsid w:val="00AA6F49"/>
    <w:rsid w:val="00AC4B1E"/>
    <w:rsid w:val="00AD5E60"/>
    <w:rsid w:val="00AD6C66"/>
    <w:rsid w:val="00AE0B93"/>
    <w:rsid w:val="00AE0E7E"/>
    <w:rsid w:val="00AF403F"/>
    <w:rsid w:val="00B04F4D"/>
    <w:rsid w:val="00B316D6"/>
    <w:rsid w:val="00B3666B"/>
    <w:rsid w:val="00B42ED2"/>
    <w:rsid w:val="00B84C38"/>
    <w:rsid w:val="00B900C2"/>
    <w:rsid w:val="00BB2911"/>
    <w:rsid w:val="00BB665B"/>
    <w:rsid w:val="00BC67E9"/>
    <w:rsid w:val="00BE3E86"/>
    <w:rsid w:val="00C058A1"/>
    <w:rsid w:val="00C63704"/>
    <w:rsid w:val="00C81419"/>
    <w:rsid w:val="00C82C5F"/>
    <w:rsid w:val="00CD56FE"/>
    <w:rsid w:val="00CD6CE6"/>
    <w:rsid w:val="00CD7944"/>
    <w:rsid w:val="00CF0230"/>
    <w:rsid w:val="00D26C01"/>
    <w:rsid w:val="00D50285"/>
    <w:rsid w:val="00D5141D"/>
    <w:rsid w:val="00D55A56"/>
    <w:rsid w:val="00D61CCF"/>
    <w:rsid w:val="00D72937"/>
    <w:rsid w:val="00D9291B"/>
    <w:rsid w:val="00D93787"/>
    <w:rsid w:val="00DB40F3"/>
    <w:rsid w:val="00DD3BA7"/>
    <w:rsid w:val="00DD5839"/>
    <w:rsid w:val="00DD6159"/>
    <w:rsid w:val="00DE566D"/>
    <w:rsid w:val="00DE5D46"/>
    <w:rsid w:val="00E13A23"/>
    <w:rsid w:val="00E3012F"/>
    <w:rsid w:val="00E40858"/>
    <w:rsid w:val="00E62959"/>
    <w:rsid w:val="00E8382D"/>
    <w:rsid w:val="00E97072"/>
    <w:rsid w:val="00EA2B15"/>
    <w:rsid w:val="00EE272A"/>
    <w:rsid w:val="00EE2B32"/>
    <w:rsid w:val="00F023A6"/>
    <w:rsid w:val="00F1039D"/>
    <w:rsid w:val="00F2305F"/>
    <w:rsid w:val="00F349AA"/>
    <w:rsid w:val="00F40545"/>
    <w:rsid w:val="00F41443"/>
    <w:rsid w:val="00F42C76"/>
    <w:rsid w:val="00F50099"/>
    <w:rsid w:val="00F52E48"/>
    <w:rsid w:val="00F67D93"/>
    <w:rsid w:val="00F73A3A"/>
    <w:rsid w:val="00F73E67"/>
    <w:rsid w:val="00F8038F"/>
    <w:rsid w:val="00F93E9F"/>
    <w:rsid w:val="00FE67A0"/>
    <w:rsid w:val="00FF52E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FE8365"/>
  <w15:chartTrackingRefBased/>
  <w15:docId w15:val="{FAD2C79E-DD39-4324-9BAA-DC078577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F32"/>
  </w:style>
  <w:style w:type="paragraph" w:styleId="Heading1">
    <w:name w:val="heading 1"/>
    <w:basedOn w:val="Normal"/>
    <w:next w:val="Normal"/>
    <w:link w:val="Heading1Char"/>
    <w:uiPriority w:val="9"/>
    <w:qFormat/>
    <w:rsid w:val="00F34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4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4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9AA"/>
    <w:rPr>
      <w:rFonts w:eastAsiaTheme="majorEastAsia" w:cstheme="majorBidi"/>
      <w:color w:val="272727" w:themeColor="text1" w:themeTint="D8"/>
    </w:rPr>
  </w:style>
  <w:style w:type="paragraph" w:styleId="Title">
    <w:name w:val="Title"/>
    <w:basedOn w:val="Normal"/>
    <w:next w:val="Normal"/>
    <w:link w:val="TitleChar"/>
    <w:uiPriority w:val="10"/>
    <w:qFormat/>
    <w:rsid w:val="00F34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9AA"/>
    <w:pPr>
      <w:spacing w:before="160"/>
      <w:jc w:val="center"/>
    </w:pPr>
    <w:rPr>
      <w:i/>
      <w:iCs/>
      <w:color w:val="404040" w:themeColor="text1" w:themeTint="BF"/>
    </w:rPr>
  </w:style>
  <w:style w:type="character" w:customStyle="1" w:styleId="QuoteChar">
    <w:name w:val="Quote Char"/>
    <w:basedOn w:val="DefaultParagraphFont"/>
    <w:link w:val="Quote"/>
    <w:uiPriority w:val="29"/>
    <w:rsid w:val="00F349AA"/>
    <w:rPr>
      <w:i/>
      <w:iCs/>
      <w:color w:val="404040" w:themeColor="text1" w:themeTint="BF"/>
    </w:rPr>
  </w:style>
  <w:style w:type="paragraph" w:styleId="ListParagraph">
    <w:name w:val="List Paragraph"/>
    <w:basedOn w:val="Normal"/>
    <w:uiPriority w:val="34"/>
    <w:qFormat/>
    <w:rsid w:val="00F349AA"/>
    <w:pPr>
      <w:ind w:left="720"/>
      <w:contextualSpacing/>
    </w:pPr>
  </w:style>
  <w:style w:type="character" w:styleId="IntenseEmphasis">
    <w:name w:val="Intense Emphasis"/>
    <w:basedOn w:val="DefaultParagraphFont"/>
    <w:uiPriority w:val="21"/>
    <w:qFormat/>
    <w:rsid w:val="00F349AA"/>
    <w:rPr>
      <w:i/>
      <w:iCs/>
      <w:color w:val="0F4761" w:themeColor="accent1" w:themeShade="BF"/>
    </w:rPr>
  </w:style>
  <w:style w:type="paragraph" w:styleId="IntenseQuote">
    <w:name w:val="Intense Quote"/>
    <w:basedOn w:val="Normal"/>
    <w:next w:val="Normal"/>
    <w:link w:val="IntenseQuoteChar"/>
    <w:uiPriority w:val="30"/>
    <w:qFormat/>
    <w:rsid w:val="00F34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9AA"/>
    <w:rPr>
      <w:i/>
      <w:iCs/>
      <w:color w:val="0F4761" w:themeColor="accent1" w:themeShade="BF"/>
    </w:rPr>
  </w:style>
  <w:style w:type="character" w:styleId="IntenseReference">
    <w:name w:val="Intense Reference"/>
    <w:basedOn w:val="DefaultParagraphFont"/>
    <w:uiPriority w:val="32"/>
    <w:qFormat/>
    <w:rsid w:val="00F349AA"/>
    <w:rPr>
      <w:b/>
      <w:bCs/>
      <w:smallCaps/>
      <w:color w:val="0F4761" w:themeColor="accent1" w:themeShade="BF"/>
      <w:spacing w:val="5"/>
    </w:rPr>
  </w:style>
  <w:style w:type="character" w:styleId="Hyperlink">
    <w:name w:val="Hyperlink"/>
    <w:basedOn w:val="DefaultParagraphFont"/>
    <w:uiPriority w:val="99"/>
    <w:unhideWhenUsed/>
    <w:rsid w:val="003922E6"/>
    <w:rPr>
      <w:color w:val="467886" w:themeColor="hyperlink"/>
      <w:u w:val="single"/>
    </w:rPr>
  </w:style>
  <w:style w:type="character" w:customStyle="1" w:styleId="UnresolvedMention">
    <w:name w:val="Unresolved Mention"/>
    <w:basedOn w:val="DefaultParagraphFont"/>
    <w:uiPriority w:val="99"/>
    <w:semiHidden/>
    <w:unhideWhenUsed/>
    <w:rsid w:val="003922E6"/>
    <w:rPr>
      <w:color w:val="605E5C"/>
      <w:shd w:val="clear" w:color="auto" w:fill="E1DFDD"/>
    </w:rPr>
  </w:style>
  <w:style w:type="paragraph" w:styleId="NormalWeb">
    <w:name w:val="Normal (Web)"/>
    <w:basedOn w:val="Normal"/>
    <w:uiPriority w:val="99"/>
    <w:unhideWhenUsed/>
    <w:rsid w:val="0043504B"/>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Emphasis">
    <w:name w:val="Emphasis"/>
    <w:basedOn w:val="DefaultParagraphFont"/>
    <w:uiPriority w:val="20"/>
    <w:qFormat/>
    <w:rsid w:val="0043504B"/>
    <w:rPr>
      <w:i/>
      <w:iCs/>
    </w:rPr>
  </w:style>
  <w:style w:type="paragraph" w:styleId="Header">
    <w:name w:val="header"/>
    <w:basedOn w:val="Normal"/>
    <w:link w:val="HeaderChar"/>
    <w:uiPriority w:val="99"/>
    <w:unhideWhenUsed/>
    <w:rsid w:val="00F50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099"/>
  </w:style>
  <w:style w:type="paragraph" w:styleId="Footer">
    <w:name w:val="footer"/>
    <w:basedOn w:val="Normal"/>
    <w:link w:val="FooterChar"/>
    <w:uiPriority w:val="99"/>
    <w:unhideWhenUsed/>
    <w:rsid w:val="00F50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099"/>
  </w:style>
  <w:style w:type="character" w:styleId="CommentReference">
    <w:name w:val="annotation reference"/>
    <w:basedOn w:val="DefaultParagraphFont"/>
    <w:uiPriority w:val="99"/>
    <w:semiHidden/>
    <w:unhideWhenUsed/>
    <w:rsid w:val="0093791A"/>
    <w:rPr>
      <w:sz w:val="16"/>
      <w:szCs w:val="16"/>
    </w:rPr>
  </w:style>
  <w:style w:type="paragraph" w:styleId="CommentText">
    <w:name w:val="annotation text"/>
    <w:basedOn w:val="Normal"/>
    <w:link w:val="CommentTextChar"/>
    <w:uiPriority w:val="99"/>
    <w:semiHidden/>
    <w:unhideWhenUsed/>
    <w:rsid w:val="0093791A"/>
    <w:pPr>
      <w:spacing w:line="240" w:lineRule="auto"/>
    </w:pPr>
    <w:rPr>
      <w:sz w:val="20"/>
      <w:szCs w:val="20"/>
    </w:rPr>
  </w:style>
  <w:style w:type="character" w:customStyle="1" w:styleId="CommentTextChar">
    <w:name w:val="Comment Text Char"/>
    <w:basedOn w:val="DefaultParagraphFont"/>
    <w:link w:val="CommentText"/>
    <w:uiPriority w:val="99"/>
    <w:semiHidden/>
    <w:rsid w:val="0093791A"/>
    <w:rPr>
      <w:sz w:val="20"/>
      <w:szCs w:val="20"/>
    </w:rPr>
  </w:style>
  <w:style w:type="paragraph" w:styleId="CommentSubject">
    <w:name w:val="annotation subject"/>
    <w:basedOn w:val="CommentText"/>
    <w:next w:val="CommentText"/>
    <w:link w:val="CommentSubjectChar"/>
    <w:uiPriority w:val="99"/>
    <w:semiHidden/>
    <w:unhideWhenUsed/>
    <w:rsid w:val="0093791A"/>
    <w:rPr>
      <w:b/>
      <w:bCs/>
    </w:rPr>
  </w:style>
  <w:style w:type="character" w:customStyle="1" w:styleId="CommentSubjectChar">
    <w:name w:val="Comment Subject Char"/>
    <w:basedOn w:val="CommentTextChar"/>
    <w:link w:val="CommentSubject"/>
    <w:uiPriority w:val="99"/>
    <w:semiHidden/>
    <w:rsid w:val="0093791A"/>
    <w:rPr>
      <w:b/>
      <w:bCs/>
      <w:sz w:val="20"/>
      <w:szCs w:val="20"/>
    </w:rPr>
  </w:style>
  <w:style w:type="paragraph" w:styleId="BalloonText">
    <w:name w:val="Balloon Text"/>
    <w:basedOn w:val="Normal"/>
    <w:link w:val="BalloonTextChar"/>
    <w:uiPriority w:val="99"/>
    <w:semiHidden/>
    <w:unhideWhenUsed/>
    <w:rsid w:val="00937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91A"/>
    <w:rPr>
      <w:rFonts w:ascii="Segoe UI" w:hAnsi="Segoe UI" w:cs="Segoe UI"/>
      <w:sz w:val="18"/>
      <w:szCs w:val="18"/>
    </w:rPr>
  </w:style>
  <w:style w:type="character" w:styleId="Strong">
    <w:name w:val="Strong"/>
    <w:basedOn w:val="DefaultParagraphFont"/>
    <w:uiPriority w:val="22"/>
    <w:qFormat/>
    <w:rsid w:val="00BE3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3675">
      <w:bodyDiv w:val="1"/>
      <w:marLeft w:val="0"/>
      <w:marRight w:val="0"/>
      <w:marTop w:val="0"/>
      <w:marBottom w:val="0"/>
      <w:divBdr>
        <w:top w:val="none" w:sz="0" w:space="0" w:color="auto"/>
        <w:left w:val="none" w:sz="0" w:space="0" w:color="auto"/>
        <w:bottom w:val="none" w:sz="0" w:space="0" w:color="auto"/>
        <w:right w:val="none" w:sz="0" w:space="0" w:color="auto"/>
      </w:divBdr>
    </w:div>
    <w:div w:id="282618076">
      <w:bodyDiv w:val="1"/>
      <w:marLeft w:val="0"/>
      <w:marRight w:val="0"/>
      <w:marTop w:val="0"/>
      <w:marBottom w:val="0"/>
      <w:divBdr>
        <w:top w:val="none" w:sz="0" w:space="0" w:color="auto"/>
        <w:left w:val="none" w:sz="0" w:space="0" w:color="auto"/>
        <w:bottom w:val="none" w:sz="0" w:space="0" w:color="auto"/>
        <w:right w:val="none" w:sz="0" w:space="0" w:color="auto"/>
      </w:divBdr>
      <w:divsChild>
        <w:div w:id="1386218263">
          <w:marLeft w:val="0"/>
          <w:marRight w:val="0"/>
          <w:marTop w:val="0"/>
          <w:marBottom w:val="0"/>
          <w:divBdr>
            <w:top w:val="none" w:sz="0" w:space="0" w:color="auto"/>
            <w:left w:val="none" w:sz="0" w:space="0" w:color="auto"/>
            <w:bottom w:val="none" w:sz="0" w:space="0" w:color="auto"/>
            <w:right w:val="none" w:sz="0" w:space="0" w:color="auto"/>
          </w:divBdr>
          <w:divsChild>
            <w:div w:id="1852838682">
              <w:marLeft w:val="0"/>
              <w:marRight w:val="0"/>
              <w:marTop w:val="0"/>
              <w:marBottom w:val="0"/>
              <w:divBdr>
                <w:top w:val="none" w:sz="0" w:space="0" w:color="auto"/>
                <w:left w:val="none" w:sz="0" w:space="0" w:color="auto"/>
                <w:bottom w:val="none" w:sz="0" w:space="0" w:color="auto"/>
                <w:right w:val="none" w:sz="0" w:space="0" w:color="auto"/>
              </w:divBdr>
              <w:divsChild>
                <w:div w:id="227033149">
                  <w:marLeft w:val="0"/>
                  <w:marRight w:val="0"/>
                  <w:marTop w:val="0"/>
                  <w:marBottom w:val="0"/>
                  <w:divBdr>
                    <w:top w:val="none" w:sz="0" w:space="0" w:color="auto"/>
                    <w:left w:val="none" w:sz="0" w:space="0" w:color="auto"/>
                    <w:bottom w:val="none" w:sz="0" w:space="0" w:color="auto"/>
                    <w:right w:val="none" w:sz="0" w:space="0" w:color="auto"/>
                  </w:divBdr>
                  <w:divsChild>
                    <w:div w:id="309796596">
                      <w:marLeft w:val="0"/>
                      <w:marRight w:val="0"/>
                      <w:marTop w:val="0"/>
                      <w:marBottom w:val="0"/>
                      <w:divBdr>
                        <w:top w:val="none" w:sz="0" w:space="0" w:color="auto"/>
                        <w:left w:val="none" w:sz="0" w:space="0" w:color="auto"/>
                        <w:bottom w:val="none" w:sz="0" w:space="0" w:color="auto"/>
                        <w:right w:val="none" w:sz="0" w:space="0" w:color="auto"/>
                      </w:divBdr>
                      <w:divsChild>
                        <w:div w:id="110319402">
                          <w:marLeft w:val="0"/>
                          <w:marRight w:val="0"/>
                          <w:marTop w:val="0"/>
                          <w:marBottom w:val="0"/>
                          <w:divBdr>
                            <w:top w:val="none" w:sz="0" w:space="0" w:color="auto"/>
                            <w:left w:val="none" w:sz="0" w:space="0" w:color="auto"/>
                            <w:bottom w:val="none" w:sz="0" w:space="0" w:color="auto"/>
                            <w:right w:val="none" w:sz="0" w:space="0" w:color="auto"/>
                          </w:divBdr>
                          <w:divsChild>
                            <w:div w:id="7147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434053">
      <w:bodyDiv w:val="1"/>
      <w:marLeft w:val="0"/>
      <w:marRight w:val="0"/>
      <w:marTop w:val="0"/>
      <w:marBottom w:val="0"/>
      <w:divBdr>
        <w:top w:val="none" w:sz="0" w:space="0" w:color="auto"/>
        <w:left w:val="none" w:sz="0" w:space="0" w:color="auto"/>
        <w:bottom w:val="none" w:sz="0" w:space="0" w:color="auto"/>
        <w:right w:val="none" w:sz="0" w:space="0" w:color="auto"/>
      </w:divBdr>
      <w:divsChild>
        <w:div w:id="462234914">
          <w:marLeft w:val="0"/>
          <w:marRight w:val="0"/>
          <w:marTop w:val="0"/>
          <w:marBottom w:val="0"/>
          <w:divBdr>
            <w:top w:val="none" w:sz="0" w:space="0" w:color="auto"/>
            <w:left w:val="none" w:sz="0" w:space="0" w:color="auto"/>
            <w:bottom w:val="none" w:sz="0" w:space="0" w:color="auto"/>
            <w:right w:val="none" w:sz="0" w:space="0" w:color="auto"/>
          </w:divBdr>
          <w:divsChild>
            <w:div w:id="2132237940">
              <w:marLeft w:val="0"/>
              <w:marRight w:val="0"/>
              <w:marTop w:val="0"/>
              <w:marBottom w:val="0"/>
              <w:divBdr>
                <w:top w:val="none" w:sz="0" w:space="0" w:color="auto"/>
                <w:left w:val="none" w:sz="0" w:space="0" w:color="auto"/>
                <w:bottom w:val="none" w:sz="0" w:space="0" w:color="auto"/>
                <w:right w:val="none" w:sz="0" w:space="0" w:color="auto"/>
              </w:divBdr>
              <w:divsChild>
                <w:div w:id="1771045838">
                  <w:marLeft w:val="0"/>
                  <w:marRight w:val="0"/>
                  <w:marTop w:val="0"/>
                  <w:marBottom w:val="0"/>
                  <w:divBdr>
                    <w:top w:val="none" w:sz="0" w:space="0" w:color="auto"/>
                    <w:left w:val="none" w:sz="0" w:space="0" w:color="auto"/>
                    <w:bottom w:val="none" w:sz="0" w:space="0" w:color="auto"/>
                    <w:right w:val="none" w:sz="0" w:space="0" w:color="auto"/>
                  </w:divBdr>
                  <w:divsChild>
                    <w:div w:id="472673550">
                      <w:marLeft w:val="0"/>
                      <w:marRight w:val="0"/>
                      <w:marTop w:val="0"/>
                      <w:marBottom w:val="0"/>
                      <w:divBdr>
                        <w:top w:val="none" w:sz="0" w:space="0" w:color="auto"/>
                        <w:left w:val="none" w:sz="0" w:space="0" w:color="auto"/>
                        <w:bottom w:val="none" w:sz="0" w:space="0" w:color="auto"/>
                        <w:right w:val="none" w:sz="0" w:space="0" w:color="auto"/>
                      </w:divBdr>
                      <w:divsChild>
                        <w:div w:id="343290771">
                          <w:marLeft w:val="0"/>
                          <w:marRight w:val="0"/>
                          <w:marTop w:val="0"/>
                          <w:marBottom w:val="0"/>
                          <w:divBdr>
                            <w:top w:val="none" w:sz="0" w:space="0" w:color="auto"/>
                            <w:left w:val="none" w:sz="0" w:space="0" w:color="auto"/>
                            <w:bottom w:val="none" w:sz="0" w:space="0" w:color="auto"/>
                            <w:right w:val="none" w:sz="0" w:space="0" w:color="auto"/>
                          </w:divBdr>
                          <w:divsChild>
                            <w:div w:id="9573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23844">
      <w:bodyDiv w:val="1"/>
      <w:marLeft w:val="0"/>
      <w:marRight w:val="0"/>
      <w:marTop w:val="0"/>
      <w:marBottom w:val="0"/>
      <w:divBdr>
        <w:top w:val="none" w:sz="0" w:space="0" w:color="auto"/>
        <w:left w:val="none" w:sz="0" w:space="0" w:color="auto"/>
        <w:bottom w:val="none" w:sz="0" w:space="0" w:color="auto"/>
        <w:right w:val="none" w:sz="0" w:space="0" w:color="auto"/>
      </w:divBdr>
    </w:div>
    <w:div w:id="2013751153">
      <w:bodyDiv w:val="1"/>
      <w:marLeft w:val="0"/>
      <w:marRight w:val="0"/>
      <w:marTop w:val="0"/>
      <w:marBottom w:val="0"/>
      <w:divBdr>
        <w:top w:val="none" w:sz="0" w:space="0" w:color="auto"/>
        <w:left w:val="none" w:sz="0" w:space="0" w:color="auto"/>
        <w:bottom w:val="none" w:sz="0" w:space="0" w:color="auto"/>
        <w:right w:val="none" w:sz="0" w:space="0" w:color="auto"/>
      </w:divBdr>
      <w:divsChild>
        <w:div w:id="1022701788">
          <w:marLeft w:val="0"/>
          <w:marRight w:val="0"/>
          <w:marTop w:val="0"/>
          <w:marBottom w:val="0"/>
          <w:divBdr>
            <w:top w:val="none" w:sz="0" w:space="0" w:color="auto"/>
            <w:left w:val="none" w:sz="0" w:space="0" w:color="auto"/>
            <w:bottom w:val="none" w:sz="0" w:space="0" w:color="auto"/>
            <w:right w:val="none" w:sz="0" w:space="0" w:color="auto"/>
          </w:divBdr>
          <w:divsChild>
            <w:div w:id="1103644638">
              <w:marLeft w:val="0"/>
              <w:marRight w:val="0"/>
              <w:marTop w:val="0"/>
              <w:marBottom w:val="0"/>
              <w:divBdr>
                <w:top w:val="none" w:sz="0" w:space="0" w:color="auto"/>
                <w:left w:val="none" w:sz="0" w:space="0" w:color="auto"/>
                <w:bottom w:val="none" w:sz="0" w:space="0" w:color="auto"/>
                <w:right w:val="none" w:sz="0" w:space="0" w:color="auto"/>
              </w:divBdr>
              <w:divsChild>
                <w:div w:id="679549622">
                  <w:marLeft w:val="0"/>
                  <w:marRight w:val="0"/>
                  <w:marTop w:val="0"/>
                  <w:marBottom w:val="0"/>
                  <w:divBdr>
                    <w:top w:val="none" w:sz="0" w:space="0" w:color="auto"/>
                    <w:left w:val="none" w:sz="0" w:space="0" w:color="auto"/>
                    <w:bottom w:val="none" w:sz="0" w:space="0" w:color="auto"/>
                    <w:right w:val="none" w:sz="0" w:space="0" w:color="auto"/>
                  </w:divBdr>
                  <w:divsChild>
                    <w:div w:id="1021663619">
                      <w:marLeft w:val="0"/>
                      <w:marRight w:val="0"/>
                      <w:marTop w:val="0"/>
                      <w:marBottom w:val="0"/>
                      <w:divBdr>
                        <w:top w:val="none" w:sz="0" w:space="0" w:color="auto"/>
                        <w:left w:val="none" w:sz="0" w:space="0" w:color="auto"/>
                        <w:bottom w:val="none" w:sz="0" w:space="0" w:color="auto"/>
                        <w:right w:val="none" w:sz="0" w:space="0" w:color="auto"/>
                      </w:divBdr>
                      <w:divsChild>
                        <w:div w:id="144594958">
                          <w:marLeft w:val="0"/>
                          <w:marRight w:val="0"/>
                          <w:marTop w:val="0"/>
                          <w:marBottom w:val="0"/>
                          <w:divBdr>
                            <w:top w:val="none" w:sz="0" w:space="0" w:color="auto"/>
                            <w:left w:val="none" w:sz="0" w:space="0" w:color="auto"/>
                            <w:bottom w:val="none" w:sz="0" w:space="0" w:color="auto"/>
                            <w:right w:val="none" w:sz="0" w:space="0" w:color="auto"/>
                          </w:divBdr>
                          <w:divsChild>
                            <w:div w:id="11548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6950</Words>
  <Characters>39619</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kartik joshi</dc:creator>
  <cp:keywords/>
  <dc:description/>
  <cp:lastModifiedBy>NSB</cp:lastModifiedBy>
  <cp:revision>2</cp:revision>
  <dcterms:created xsi:type="dcterms:W3CDTF">2025-11-22T20:15:00Z</dcterms:created>
  <dcterms:modified xsi:type="dcterms:W3CDTF">2025-11-22T20:15:00Z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089406a5-2702-419d-a9aa-1d582ae1f498</vt:lpwstr>
  </property>
</Properties>
</file>