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11A" w:rsidRPr="00031BEA" w:rsidRDefault="00D1011A">
      <w:pPr>
        <w:spacing w:before="10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15773"/>
      </w:tblGrid>
      <w:tr w:rsidR="00D1011A" w:rsidRPr="00031BEA">
        <w:trPr>
          <w:trHeight w:val="292"/>
        </w:trPr>
        <w:tc>
          <w:tcPr>
            <w:tcW w:w="5171" w:type="dxa"/>
          </w:tcPr>
          <w:p w:rsidR="00D1011A" w:rsidRPr="00031BEA" w:rsidRDefault="00A15715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031BEA">
              <w:rPr>
                <w:rFonts w:ascii="Arial" w:hAnsi="Arial" w:cs="Arial"/>
                <w:sz w:val="20"/>
                <w:szCs w:val="20"/>
              </w:rPr>
              <w:t>Journal</w:t>
            </w:r>
            <w:r w:rsidRPr="00031B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D1011A" w:rsidRPr="00031BEA" w:rsidRDefault="00B52B7B">
            <w:pPr>
              <w:pStyle w:val="TableParagraph"/>
              <w:spacing w:before="34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A15715" w:rsidRPr="00031BE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A15715" w:rsidRPr="00031BEA">
                <w:rPr>
                  <w:rFonts w:ascii="Arial" w:hAnsi="Arial" w:cs="Arial"/>
                  <w:b/>
                  <w:color w:val="0000FF"/>
                  <w:spacing w:val="-13"/>
                  <w:sz w:val="20"/>
                  <w:szCs w:val="20"/>
                  <w:u w:val="single" w:color="0000FF"/>
                </w:rPr>
                <w:t xml:space="preserve"> </w:t>
              </w:r>
              <w:r w:rsidR="00A15715" w:rsidRPr="00031BE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A15715" w:rsidRPr="00031BE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A15715" w:rsidRPr="00031BE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A15715" w:rsidRPr="00031BEA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A15715" w:rsidRPr="00031BE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A15715" w:rsidRPr="00031BE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15715" w:rsidRPr="00031BE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D1011A" w:rsidRPr="00031BEA">
        <w:trPr>
          <w:trHeight w:val="285"/>
        </w:trPr>
        <w:tc>
          <w:tcPr>
            <w:tcW w:w="5171" w:type="dxa"/>
          </w:tcPr>
          <w:p w:rsidR="00D1011A" w:rsidRPr="00031BEA" w:rsidRDefault="00A15715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031BEA">
              <w:rPr>
                <w:rFonts w:ascii="Arial" w:hAnsi="Arial" w:cs="Arial"/>
                <w:sz w:val="20"/>
                <w:szCs w:val="20"/>
              </w:rPr>
              <w:t>Manuscript</w:t>
            </w:r>
            <w:r w:rsidRPr="00031B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D1011A" w:rsidRPr="00031BEA" w:rsidRDefault="00A15715">
            <w:pPr>
              <w:pStyle w:val="TableParagraph"/>
              <w:spacing w:before="27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Ms_ARJOM_151433</w:t>
            </w:r>
          </w:p>
        </w:tc>
      </w:tr>
      <w:tr w:rsidR="00D1011A" w:rsidRPr="00031BEA">
        <w:trPr>
          <w:trHeight w:val="652"/>
        </w:trPr>
        <w:tc>
          <w:tcPr>
            <w:tcW w:w="5171" w:type="dxa"/>
          </w:tcPr>
          <w:p w:rsidR="00D1011A" w:rsidRPr="00031BEA" w:rsidRDefault="00A15715">
            <w:pPr>
              <w:pStyle w:val="TableParagraph"/>
              <w:spacing w:before="5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031BEA">
              <w:rPr>
                <w:rFonts w:ascii="Arial" w:hAnsi="Arial" w:cs="Arial"/>
                <w:sz w:val="20"/>
                <w:szCs w:val="20"/>
              </w:rPr>
              <w:t>Title</w:t>
            </w:r>
            <w:r w:rsidRPr="00031BE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z w:val="20"/>
                <w:szCs w:val="20"/>
              </w:rPr>
              <w:t>of</w:t>
            </w:r>
            <w:r w:rsidRPr="00031BE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z w:val="20"/>
                <w:szCs w:val="20"/>
              </w:rPr>
              <w:t>the</w:t>
            </w:r>
            <w:r w:rsidRPr="00031B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D1011A" w:rsidRPr="00031BEA" w:rsidRDefault="00A15715">
            <w:pPr>
              <w:pStyle w:val="TableParagraph"/>
              <w:spacing w:before="214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z w:val="20"/>
                <w:szCs w:val="20"/>
              </w:rPr>
              <w:t>Bias-Corrected</w:t>
            </w:r>
            <w:r w:rsidRPr="00031BEA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1BEA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Variance-Corrected</w:t>
            </w:r>
            <w:r w:rsidRPr="00031BE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MLE</w:t>
            </w:r>
            <w:r w:rsidRPr="00031B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31B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BE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031B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Median</w:t>
            </w:r>
            <w:r w:rsidRPr="00031B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031B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Unit</w:t>
            </w:r>
            <w:r w:rsidRPr="00031BEA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Weibull</w:t>
            </w:r>
            <w:r w:rsidRPr="00031BE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Distribution</w:t>
            </w:r>
            <w:r w:rsidRPr="00031B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pacing w:val="-2"/>
                <w:sz w:val="20"/>
                <w:szCs w:val="20"/>
              </w:rPr>
              <w:t>(MBUW)</w:t>
            </w:r>
          </w:p>
        </w:tc>
      </w:tr>
      <w:tr w:rsidR="00D1011A" w:rsidRPr="00031BEA">
        <w:trPr>
          <w:trHeight w:val="335"/>
        </w:trPr>
        <w:tc>
          <w:tcPr>
            <w:tcW w:w="5171" w:type="dxa"/>
          </w:tcPr>
          <w:p w:rsidR="00D1011A" w:rsidRPr="00031BEA" w:rsidRDefault="00A15715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031BEA">
              <w:rPr>
                <w:rFonts w:ascii="Arial" w:hAnsi="Arial" w:cs="Arial"/>
                <w:sz w:val="20"/>
                <w:szCs w:val="20"/>
              </w:rPr>
              <w:t>Type</w:t>
            </w:r>
            <w:r w:rsidRPr="00031B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z w:val="20"/>
                <w:szCs w:val="20"/>
              </w:rPr>
              <w:t>of</w:t>
            </w:r>
            <w:r w:rsidRPr="00031B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z w:val="20"/>
                <w:szCs w:val="20"/>
              </w:rPr>
              <w:t>the</w:t>
            </w:r>
            <w:r w:rsidRPr="00031B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D1011A" w:rsidRPr="00031BEA" w:rsidRDefault="00D101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011A" w:rsidRPr="00031BEA" w:rsidRDefault="00D1011A">
      <w:pPr>
        <w:spacing w:before="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3"/>
        <w:gridCol w:w="6446"/>
      </w:tblGrid>
      <w:tr w:rsidR="00D1011A" w:rsidRPr="00031BEA">
        <w:trPr>
          <w:trHeight w:val="451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D1011A" w:rsidRPr="00031BEA" w:rsidRDefault="00A15715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31BEA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031BE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31BE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1011A" w:rsidRPr="00031BEA">
        <w:trPr>
          <w:trHeight w:val="969"/>
        </w:trPr>
        <w:tc>
          <w:tcPr>
            <w:tcW w:w="5351" w:type="dxa"/>
          </w:tcPr>
          <w:p w:rsidR="00D1011A" w:rsidRPr="00031BEA" w:rsidRDefault="00D101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3" w:type="dxa"/>
          </w:tcPr>
          <w:p w:rsidR="00D1011A" w:rsidRPr="00031BEA" w:rsidRDefault="00A15715">
            <w:pPr>
              <w:pStyle w:val="TableParagraph"/>
              <w:spacing w:before="6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031BE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1011A" w:rsidRPr="00031BEA" w:rsidRDefault="00A15715">
            <w:pPr>
              <w:pStyle w:val="TableParagraph"/>
              <w:spacing w:before="6" w:line="232" w:lineRule="auto"/>
              <w:ind w:left="110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31BE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31BE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031BE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31BE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031BE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31BE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031BE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31BE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 review</w:t>
            </w:r>
            <w:r w:rsidRPr="00031BE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031BE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31BEA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031BE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031BE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31BE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031BE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31BE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 during</w:t>
            </w:r>
            <w:r w:rsidRPr="00031BEA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031BE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31B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6" w:type="dxa"/>
          </w:tcPr>
          <w:p w:rsidR="00D1011A" w:rsidRPr="00031BEA" w:rsidRDefault="00A15715">
            <w:pPr>
              <w:pStyle w:val="TableParagraph"/>
              <w:spacing w:before="6" w:line="247" w:lineRule="auto"/>
              <w:ind w:left="110" w:right="728"/>
              <w:rPr>
                <w:rFonts w:ascii="Arial" w:hAnsi="Arial" w:cs="Arial"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31B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031BEA">
              <w:rPr>
                <w:rFonts w:ascii="Arial" w:hAnsi="Arial" w:cs="Arial"/>
                <w:sz w:val="20"/>
                <w:szCs w:val="20"/>
              </w:rPr>
              <w:t>(It</w:t>
            </w:r>
            <w:r w:rsidRPr="00031B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z w:val="20"/>
                <w:szCs w:val="20"/>
              </w:rPr>
              <w:t>is</w:t>
            </w:r>
            <w:r w:rsidRPr="00031BE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z w:val="20"/>
                <w:szCs w:val="20"/>
              </w:rPr>
              <w:t>mandatory</w:t>
            </w:r>
            <w:r w:rsidRPr="00031B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z w:val="20"/>
                <w:szCs w:val="20"/>
              </w:rPr>
              <w:t>that</w:t>
            </w:r>
            <w:r w:rsidRPr="00031B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z w:val="20"/>
                <w:szCs w:val="20"/>
              </w:rPr>
              <w:t>authors</w:t>
            </w:r>
            <w:r w:rsidRPr="00031BE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z w:val="20"/>
                <w:szCs w:val="20"/>
              </w:rPr>
              <w:t>should</w:t>
            </w:r>
            <w:r w:rsidRPr="00031B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z w:val="20"/>
                <w:szCs w:val="20"/>
              </w:rPr>
              <w:t>write</w:t>
            </w:r>
            <w:r w:rsidRPr="00031B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1011A" w:rsidRPr="00031BEA">
        <w:trPr>
          <w:trHeight w:val="1265"/>
        </w:trPr>
        <w:tc>
          <w:tcPr>
            <w:tcW w:w="5351" w:type="dxa"/>
          </w:tcPr>
          <w:p w:rsidR="00D1011A" w:rsidRPr="00031BEA" w:rsidRDefault="00A15715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31B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31B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31B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B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31BE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3" w:type="dxa"/>
          </w:tcPr>
          <w:p w:rsidR="00D1011A" w:rsidRPr="00031BEA" w:rsidRDefault="00A15715">
            <w:pPr>
              <w:pStyle w:val="TableParagraph"/>
              <w:ind w:left="470" w:firstLine="50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improves</w:t>
            </w:r>
            <w:r w:rsidRPr="00031B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MLE performance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MBUW</w:t>
            </w:r>
            <w:r w:rsidRPr="00031B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distribution by</w:t>
            </w:r>
            <w:r w:rsidRPr="00031B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addressing</w:t>
            </w:r>
            <w:r w:rsidRPr="00031B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bias</w:t>
            </w:r>
            <w:r w:rsidRPr="00031B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and variance instability in small samples. This re-parameterization-based variance correction ensures reliable estimation and confidence intervals.</w:t>
            </w:r>
          </w:p>
        </w:tc>
        <w:tc>
          <w:tcPr>
            <w:tcW w:w="6446" w:type="dxa"/>
          </w:tcPr>
          <w:p w:rsidR="00D1011A" w:rsidRPr="00031BEA" w:rsidRDefault="00D101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11A" w:rsidRPr="00031BEA">
        <w:trPr>
          <w:trHeight w:val="1257"/>
        </w:trPr>
        <w:tc>
          <w:tcPr>
            <w:tcW w:w="5351" w:type="dxa"/>
          </w:tcPr>
          <w:p w:rsidR="00D1011A" w:rsidRPr="00031BEA" w:rsidRDefault="00A15715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1B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B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31B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1BEA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B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31B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1011A" w:rsidRPr="00031BEA" w:rsidRDefault="00A15715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31B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31BE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31B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31B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31B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31B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3" w:type="dxa"/>
          </w:tcPr>
          <w:p w:rsidR="00D1011A" w:rsidRPr="00031BEA" w:rsidRDefault="00A15715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pacing w:val="-5"/>
                <w:sz w:val="20"/>
                <w:szCs w:val="20"/>
              </w:rPr>
              <w:t>ok</w:t>
            </w:r>
          </w:p>
        </w:tc>
        <w:tc>
          <w:tcPr>
            <w:tcW w:w="6446" w:type="dxa"/>
          </w:tcPr>
          <w:p w:rsidR="00D1011A" w:rsidRPr="00031BEA" w:rsidRDefault="00D101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11A" w:rsidRPr="00031BEA">
        <w:trPr>
          <w:trHeight w:val="1265"/>
        </w:trPr>
        <w:tc>
          <w:tcPr>
            <w:tcW w:w="5351" w:type="dxa"/>
          </w:tcPr>
          <w:p w:rsidR="00D1011A" w:rsidRPr="00031BEA" w:rsidRDefault="00A15715">
            <w:pPr>
              <w:pStyle w:val="TableParagraph"/>
              <w:spacing w:before="6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B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addition (or</w:t>
            </w:r>
            <w:r w:rsidRPr="00031B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31B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of some</w:t>
            </w:r>
            <w:r w:rsidRPr="00031BE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31B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in this section? Please write your suggestions here.</w:t>
            </w:r>
          </w:p>
        </w:tc>
        <w:tc>
          <w:tcPr>
            <w:tcW w:w="9363" w:type="dxa"/>
          </w:tcPr>
          <w:p w:rsidR="00D1011A" w:rsidRPr="00031BEA" w:rsidRDefault="00A15715">
            <w:pPr>
              <w:pStyle w:val="TableParagraph"/>
              <w:spacing w:before="6"/>
              <w:ind w:left="470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1B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ok</w:t>
            </w:r>
            <w:r w:rsidRPr="00031B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can be</w:t>
            </w:r>
            <w:r w:rsidRPr="00031BE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made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superior. Reduce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repetition about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MLE</w:t>
            </w:r>
            <w:r w:rsidRPr="00031B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properties Simplify</w:t>
            </w:r>
            <w:r w:rsidRPr="00031B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technical language in a few places. Make the main contribution stand out earlier</w:t>
            </w:r>
          </w:p>
        </w:tc>
        <w:tc>
          <w:tcPr>
            <w:tcW w:w="6446" w:type="dxa"/>
          </w:tcPr>
          <w:p w:rsidR="00D1011A" w:rsidRPr="00031BEA" w:rsidRDefault="00D101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11A" w:rsidRPr="00031BEA">
        <w:trPr>
          <w:trHeight w:val="702"/>
        </w:trPr>
        <w:tc>
          <w:tcPr>
            <w:tcW w:w="5351" w:type="dxa"/>
          </w:tcPr>
          <w:p w:rsidR="00D1011A" w:rsidRPr="00031BEA" w:rsidRDefault="00A15715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1B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BE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31BE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31B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31B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31BE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31BE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3" w:type="dxa"/>
          </w:tcPr>
          <w:p w:rsidR="00D1011A" w:rsidRPr="00031BEA" w:rsidRDefault="00A15715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pacing w:val="-5"/>
                <w:sz w:val="20"/>
                <w:szCs w:val="20"/>
              </w:rPr>
              <w:t>ok</w:t>
            </w:r>
          </w:p>
        </w:tc>
        <w:tc>
          <w:tcPr>
            <w:tcW w:w="6446" w:type="dxa"/>
          </w:tcPr>
          <w:p w:rsidR="00D1011A" w:rsidRPr="00031BEA" w:rsidRDefault="00D101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11A" w:rsidRPr="00031BEA">
        <w:trPr>
          <w:trHeight w:val="703"/>
        </w:trPr>
        <w:tc>
          <w:tcPr>
            <w:tcW w:w="5351" w:type="dxa"/>
          </w:tcPr>
          <w:p w:rsidR="00D1011A" w:rsidRPr="00031BEA" w:rsidRDefault="00A15715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31BE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B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31B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31B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31B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31B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31B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31BE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D1011A" w:rsidRPr="00031BEA" w:rsidRDefault="00A15715">
            <w:pPr>
              <w:pStyle w:val="TableParagraph"/>
              <w:spacing w:line="224" w:lineRule="exact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031B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1B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031B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31BE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31BE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63" w:type="dxa"/>
          </w:tcPr>
          <w:p w:rsidR="00D1011A" w:rsidRPr="00031BEA" w:rsidRDefault="00A15715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031B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031B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31B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latest</w:t>
            </w:r>
            <w:r w:rsidRPr="00031B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</w:t>
            </w:r>
          </w:p>
        </w:tc>
        <w:tc>
          <w:tcPr>
            <w:tcW w:w="6446" w:type="dxa"/>
          </w:tcPr>
          <w:p w:rsidR="00D1011A" w:rsidRPr="00031BEA" w:rsidRDefault="00D101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11A" w:rsidRPr="00031BEA">
        <w:trPr>
          <w:trHeight w:val="688"/>
        </w:trPr>
        <w:tc>
          <w:tcPr>
            <w:tcW w:w="5351" w:type="dxa"/>
          </w:tcPr>
          <w:p w:rsidR="00D1011A" w:rsidRPr="00031BEA" w:rsidRDefault="00A15715">
            <w:pPr>
              <w:pStyle w:val="TableParagraph"/>
              <w:spacing w:before="6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31B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B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31B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31B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31B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31B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31B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3" w:type="dxa"/>
          </w:tcPr>
          <w:p w:rsidR="00D1011A" w:rsidRPr="00031BEA" w:rsidRDefault="00A15715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pacing w:val="-5"/>
                <w:sz w:val="20"/>
                <w:szCs w:val="20"/>
              </w:rPr>
              <w:t>ok</w:t>
            </w:r>
          </w:p>
        </w:tc>
        <w:tc>
          <w:tcPr>
            <w:tcW w:w="6446" w:type="dxa"/>
          </w:tcPr>
          <w:p w:rsidR="00D1011A" w:rsidRPr="00031BEA" w:rsidRDefault="00D101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11A" w:rsidRPr="00031BEA">
        <w:trPr>
          <w:trHeight w:val="1185"/>
        </w:trPr>
        <w:tc>
          <w:tcPr>
            <w:tcW w:w="5351" w:type="dxa"/>
          </w:tcPr>
          <w:p w:rsidR="00D1011A" w:rsidRPr="00031BEA" w:rsidRDefault="00A15715">
            <w:pPr>
              <w:pStyle w:val="TableParagraph"/>
              <w:spacing w:before="6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031BE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31BEA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031BE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3" w:type="dxa"/>
          </w:tcPr>
          <w:p w:rsidR="00D1011A" w:rsidRPr="00031BEA" w:rsidRDefault="00D101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6" w:type="dxa"/>
          </w:tcPr>
          <w:p w:rsidR="00D1011A" w:rsidRPr="00031BEA" w:rsidRDefault="00D101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011A" w:rsidRDefault="00D1011A">
      <w:pPr>
        <w:rPr>
          <w:rFonts w:ascii="Arial" w:hAnsi="Arial" w:cs="Arial"/>
          <w:sz w:val="20"/>
          <w:szCs w:val="20"/>
        </w:rPr>
      </w:pPr>
    </w:p>
    <w:p w:rsidR="00031BEA" w:rsidRDefault="00031BEA">
      <w:pPr>
        <w:rPr>
          <w:rFonts w:ascii="Arial" w:hAnsi="Arial" w:cs="Arial"/>
          <w:sz w:val="20"/>
          <w:szCs w:val="20"/>
        </w:rPr>
      </w:pPr>
    </w:p>
    <w:p w:rsidR="00031BEA" w:rsidRDefault="00031BEA">
      <w:pPr>
        <w:rPr>
          <w:rFonts w:ascii="Arial" w:hAnsi="Arial" w:cs="Arial"/>
          <w:sz w:val="20"/>
          <w:szCs w:val="20"/>
        </w:rPr>
      </w:pPr>
    </w:p>
    <w:p w:rsidR="00031BEA" w:rsidRDefault="00031BEA">
      <w:pPr>
        <w:rPr>
          <w:rFonts w:ascii="Arial" w:hAnsi="Arial" w:cs="Arial"/>
          <w:sz w:val="20"/>
          <w:szCs w:val="20"/>
        </w:rPr>
      </w:pPr>
    </w:p>
    <w:p w:rsidR="00031BEA" w:rsidRDefault="00031BEA">
      <w:pPr>
        <w:rPr>
          <w:rFonts w:ascii="Arial" w:hAnsi="Arial" w:cs="Arial"/>
          <w:sz w:val="20"/>
          <w:szCs w:val="20"/>
        </w:rPr>
      </w:pPr>
    </w:p>
    <w:p w:rsidR="00031BEA" w:rsidRDefault="00031BEA">
      <w:pPr>
        <w:rPr>
          <w:rFonts w:ascii="Arial" w:hAnsi="Arial" w:cs="Arial"/>
          <w:sz w:val="20"/>
          <w:szCs w:val="20"/>
        </w:rPr>
      </w:pPr>
    </w:p>
    <w:p w:rsidR="00031BEA" w:rsidRDefault="00031BEA">
      <w:pPr>
        <w:rPr>
          <w:rFonts w:ascii="Arial" w:hAnsi="Arial" w:cs="Arial"/>
          <w:sz w:val="20"/>
          <w:szCs w:val="20"/>
        </w:rPr>
      </w:pPr>
    </w:p>
    <w:p w:rsidR="00031BEA" w:rsidRDefault="00031BEA">
      <w:pPr>
        <w:rPr>
          <w:rFonts w:ascii="Arial" w:hAnsi="Arial" w:cs="Arial"/>
          <w:sz w:val="20"/>
          <w:szCs w:val="20"/>
        </w:rPr>
      </w:pPr>
    </w:p>
    <w:p w:rsidR="00031BEA" w:rsidRDefault="00031BEA">
      <w:pPr>
        <w:rPr>
          <w:rFonts w:ascii="Arial" w:hAnsi="Arial" w:cs="Arial"/>
          <w:sz w:val="20"/>
          <w:szCs w:val="20"/>
        </w:rPr>
      </w:pPr>
    </w:p>
    <w:p w:rsidR="00031BEA" w:rsidRDefault="00031BEA">
      <w:pPr>
        <w:rPr>
          <w:rFonts w:ascii="Arial" w:hAnsi="Arial" w:cs="Arial"/>
          <w:sz w:val="20"/>
          <w:szCs w:val="20"/>
        </w:rPr>
      </w:pPr>
    </w:p>
    <w:p w:rsidR="00031BEA" w:rsidRPr="00031BEA" w:rsidRDefault="00031BE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C74297" w:rsidRPr="00031BEA" w:rsidTr="00C7429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297" w:rsidRPr="00031BEA" w:rsidRDefault="00C74297" w:rsidP="00C7429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031BE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31BE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74297" w:rsidRPr="00031BEA" w:rsidRDefault="00C74297" w:rsidP="00C7429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4297" w:rsidRPr="00031BEA" w:rsidTr="00C7429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297" w:rsidRPr="00031BEA" w:rsidRDefault="00C74297" w:rsidP="00C7429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297" w:rsidRPr="00031BEA" w:rsidRDefault="00C74297" w:rsidP="00C7429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1B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97" w:rsidRPr="00031BEA" w:rsidRDefault="00C74297" w:rsidP="00C7429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1B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1B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74297" w:rsidRPr="00031BEA" w:rsidRDefault="00C74297" w:rsidP="00C7429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4297" w:rsidRPr="00031BEA" w:rsidTr="00C7429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297" w:rsidRPr="00031BEA" w:rsidRDefault="00C74297" w:rsidP="00C7429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31BE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74297" w:rsidRPr="00031BEA" w:rsidRDefault="00C74297" w:rsidP="00C7429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297" w:rsidRPr="00031BEA" w:rsidRDefault="00C74297" w:rsidP="00C7429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1B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31B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31B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74297" w:rsidRPr="00031BEA" w:rsidRDefault="00C74297" w:rsidP="00C7429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297" w:rsidRPr="00031BEA" w:rsidRDefault="00C74297" w:rsidP="00C7429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4297" w:rsidRPr="00031BEA" w:rsidRDefault="00C74297" w:rsidP="00C7429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4297" w:rsidRPr="00031BEA" w:rsidRDefault="00C74297" w:rsidP="00C7429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31BEA" w:rsidRPr="00031BEA" w:rsidRDefault="00031BEA" w:rsidP="00031B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031BEA" w:rsidRPr="00031BEA" w:rsidRDefault="00031BEA" w:rsidP="00031B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1BEA">
        <w:rPr>
          <w:rFonts w:ascii="Arial" w:hAnsi="Arial" w:cs="Arial"/>
          <w:b/>
          <w:u w:val="single"/>
        </w:rPr>
        <w:t>Reviewer details:</w:t>
      </w:r>
    </w:p>
    <w:p w:rsidR="00031BEA" w:rsidRPr="00031BEA" w:rsidRDefault="00031BEA" w:rsidP="00031BEA">
      <w:pPr>
        <w:rPr>
          <w:rFonts w:ascii="Arial" w:hAnsi="Arial" w:cs="Arial"/>
          <w:sz w:val="20"/>
          <w:szCs w:val="20"/>
        </w:rPr>
      </w:pPr>
      <w:r w:rsidRPr="00031BEA">
        <w:rPr>
          <w:rFonts w:ascii="Arial" w:hAnsi="Arial" w:cs="Arial"/>
          <w:sz w:val="20"/>
          <w:szCs w:val="20"/>
        </w:rPr>
        <w:t>.</w:t>
      </w:r>
      <w:r w:rsidRPr="00031BE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31BEA">
        <w:rPr>
          <w:rFonts w:ascii="Arial" w:hAnsi="Arial" w:cs="Arial"/>
          <w:color w:val="000000"/>
          <w:sz w:val="20"/>
          <w:szCs w:val="20"/>
        </w:rPr>
        <w:t>Megha</w:t>
      </w:r>
      <w:proofErr w:type="spellEnd"/>
      <w:r w:rsidRPr="00031BEA">
        <w:rPr>
          <w:rFonts w:ascii="Arial" w:hAnsi="Arial" w:cs="Arial"/>
          <w:color w:val="000000"/>
          <w:sz w:val="20"/>
          <w:szCs w:val="20"/>
        </w:rPr>
        <w:t xml:space="preserve"> Subhash Pingale</w:t>
      </w:r>
      <w:r w:rsidRPr="00031BEA">
        <w:rPr>
          <w:rFonts w:ascii="Arial" w:hAnsi="Arial" w:cs="Arial"/>
          <w:sz w:val="20"/>
          <w:szCs w:val="20"/>
        </w:rPr>
        <w:t xml:space="preserve">, </w:t>
      </w:r>
      <w:r w:rsidRPr="00031BEA">
        <w:rPr>
          <w:rFonts w:ascii="Arial" w:hAnsi="Arial" w:cs="Arial"/>
          <w:color w:val="000000"/>
          <w:sz w:val="20"/>
          <w:szCs w:val="20"/>
        </w:rPr>
        <w:t>Guru Gobind Singh College of Engineering &amp; Research Centre</w:t>
      </w:r>
      <w:r w:rsidRPr="00031BEA">
        <w:rPr>
          <w:rFonts w:ascii="Arial" w:hAnsi="Arial" w:cs="Arial"/>
          <w:sz w:val="20"/>
          <w:szCs w:val="20"/>
        </w:rPr>
        <w:t xml:space="preserve">, </w:t>
      </w:r>
      <w:r w:rsidRPr="00031BEA">
        <w:rPr>
          <w:rFonts w:ascii="Arial" w:hAnsi="Arial" w:cs="Arial"/>
          <w:color w:val="000000"/>
          <w:sz w:val="20"/>
          <w:szCs w:val="20"/>
        </w:rPr>
        <w:t>India</w:t>
      </w:r>
    </w:p>
    <w:p w:rsidR="00C74297" w:rsidRPr="00031BEA" w:rsidRDefault="00C74297" w:rsidP="00C7429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74297" w:rsidRPr="00031BEA" w:rsidRDefault="00C74297" w:rsidP="00C7429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74297" w:rsidRPr="00031BEA" w:rsidRDefault="00C74297" w:rsidP="00C74297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C74297" w:rsidRPr="00031BEA" w:rsidRDefault="00C74297" w:rsidP="00C7429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1011A" w:rsidRPr="00031BEA" w:rsidRDefault="00D1011A">
      <w:pPr>
        <w:rPr>
          <w:rFonts w:ascii="Arial" w:hAnsi="Arial" w:cs="Arial"/>
          <w:sz w:val="20"/>
          <w:szCs w:val="20"/>
        </w:rPr>
      </w:pPr>
    </w:p>
    <w:sectPr w:rsidR="00D1011A" w:rsidRPr="00031BEA" w:rsidSect="00C74297">
      <w:pgSz w:w="23820" w:h="16850" w:orient="landscape"/>
      <w:pgMar w:top="1800" w:right="1275" w:bottom="1356" w:left="1275" w:header="128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B7B" w:rsidRDefault="00B52B7B">
      <w:r>
        <w:separator/>
      </w:r>
    </w:p>
  </w:endnote>
  <w:endnote w:type="continuationSeparator" w:id="0">
    <w:p w:rsidR="00B52B7B" w:rsidRDefault="00B5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B7B" w:rsidRDefault="00B52B7B">
      <w:r>
        <w:separator/>
      </w:r>
    </w:p>
  </w:footnote>
  <w:footnote w:type="continuationSeparator" w:id="0">
    <w:p w:rsidR="00B52B7B" w:rsidRDefault="00B52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11A"/>
    <w:rsid w:val="00031BEA"/>
    <w:rsid w:val="006B4396"/>
    <w:rsid w:val="00A15715"/>
    <w:rsid w:val="00B52B7B"/>
    <w:rsid w:val="00C74297"/>
    <w:rsid w:val="00D1011A"/>
    <w:rsid w:val="00F9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18F5"/>
  <w15:docId w15:val="{BB792B50-382D-4616-9276-EC2DB43B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B4396"/>
    <w:rPr>
      <w:color w:val="0000FF"/>
      <w:u w:val="single"/>
    </w:rPr>
  </w:style>
  <w:style w:type="paragraph" w:customStyle="1" w:styleId="Affiliation">
    <w:name w:val="Affiliation"/>
    <w:basedOn w:val="Normal"/>
    <w:rsid w:val="00031BE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om.com/index.php/ARJ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4</cp:revision>
  <dcterms:created xsi:type="dcterms:W3CDTF">2026-01-15T04:44:00Z</dcterms:created>
  <dcterms:modified xsi:type="dcterms:W3CDTF">2026-01-17T10:11:00Z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2026-01-15T00:00:00Z</vt:filetime>
  </property>
  <property fmtid="{D5CDD505-2E9C-101B-9397-08002B2CF9AE}" pid="5" name="Producer">
    <vt:lpwstr>3-Heights(TM) PDF Security Shell 4.8.25.2 (http://www.pdf-tools.com)</vt:lpwstr>
  </property>
</Properties>
</file>