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FE943">
      <w:pPr>
        <w:jc w:val="center"/>
        <w:rPr>
          <w:rFonts w:ascii="Times New Roman" w:hAnsi="Times New Roman" w:cs="Times New Roman"/>
          <w:b/>
          <w:bCs/>
          <w:sz w:val="24"/>
          <w:szCs w:val="24"/>
        </w:rPr>
      </w:pPr>
      <w:r>
        <w:rPr>
          <w:rFonts w:ascii="Times New Roman" w:hAnsi="Times New Roman" w:cs="Times New Roman"/>
          <w:b/>
          <w:bCs/>
          <w:sz w:val="24"/>
          <w:szCs w:val="24"/>
        </w:rPr>
        <w:t xml:space="preserve"> Chemotaxonomic insights and bioactive potential of Five </w:t>
      </w:r>
      <w:r>
        <w:rPr>
          <w:rFonts w:ascii="Times New Roman" w:hAnsi="Times New Roman" w:cs="Times New Roman"/>
          <w:b/>
          <w:bCs/>
          <w:i/>
          <w:iCs/>
          <w:sz w:val="24"/>
          <w:szCs w:val="24"/>
        </w:rPr>
        <w:t>Euphorbia species</w:t>
      </w:r>
      <w:r>
        <w:rPr>
          <w:rFonts w:ascii="Times New Roman" w:hAnsi="Times New Roman" w:cs="Times New Roman"/>
          <w:b/>
          <w:bCs/>
          <w:sz w:val="24"/>
          <w:szCs w:val="24"/>
        </w:rPr>
        <w:t xml:space="preserve"> revealed by GC–MS and Qualitative Phytochemical Markers</w:t>
      </w:r>
    </w:p>
    <w:p w14:paraId="01C61555">
      <w:pPr>
        <w:jc w:val="center"/>
        <w:rPr>
          <w:rFonts w:ascii="Times New Roman" w:hAnsi="Times New Roman" w:cs="Times New Roman"/>
          <w:b/>
          <w:bCs/>
          <w:sz w:val="24"/>
          <w:szCs w:val="24"/>
        </w:rPr>
      </w:pPr>
    </w:p>
    <w:p w14:paraId="4625C09A">
      <w:pPr>
        <w:jc w:val="center"/>
        <w:rPr>
          <w:rFonts w:ascii="Times New Roman" w:hAnsi="Times New Roman" w:cs="Times New Roman"/>
          <w:b/>
          <w:bCs/>
          <w:sz w:val="24"/>
          <w:szCs w:val="24"/>
        </w:rPr>
      </w:pPr>
    </w:p>
    <w:p w14:paraId="2DEEDA9C">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C2A46FA">
      <w:pPr>
        <w:jc w:val="both"/>
        <w:rPr>
          <w:rFonts w:ascii="Times New Roman" w:hAnsi="Times New Roman" w:cs="Times New Roman"/>
          <w:bCs/>
          <w:sz w:val="24"/>
          <w:szCs w:val="24"/>
        </w:rPr>
      </w:pPr>
    </w:p>
    <w:p w14:paraId="0FF77CDA">
      <w:pPr>
        <w:jc w:val="both"/>
        <w:rPr>
          <w:rFonts w:ascii="Times New Roman" w:hAnsi="Times New Roman" w:cs="Times New Roman"/>
          <w:sz w:val="24"/>
          <w:szCs w:val="24"/>
        </w:rPr>
      </w:pPr>
      <w:r>
        <w:rPr>
          <w:rFonts w:ascii="Times New Roman" w:hAnsi="Times New Roman" w:cs="Times New Roman"/>
          <w:b/>
          <w:bCs/>
          <w:sz w:val="24"/>
          <w:szCs w:val="24"/>
        </w:rPr>
        <w:t xml:space="preserve">Background: </w:t>
      </w:r>
      <w:r>
        <w:rPr>
          <w:rFonts w:ascii="Times New Roman" w:hAnsi="Times New Roman" w:cs="Times New Roman"/>
          <w:sz w:val="24"/>
          <w:szCs w:val="24"/>
        </w:rPr>
        <w:t xml:space="preserve">Chemotaxonomy employs metabolite profiles to clarify relationships among plant taxa. The genus </w:t>
      </w:r>
      <w:r>
        <w:rPr>
          <w:rFonts w:ascii="Times New Roman" w:hAnsi="Times New Roman" w:cs="Times New Roman"/>
          <w:i/>
          <w:iCs/>
          <w:sz w:val="24"/>
          <w:szCs w:val="24"/>
        </w:rPr>
        <w:t>Euphorbia</w:t>
      </w:r>
      <w:r>
        <w:rPr>
          <w:rFonts w:ascii="Times New Roman" w:hAnsi="Times New Roman" w:cs="Times New Roman"/>
          <w:sz w:val="24"/>
          <w:szCs w:val="24"/>
        </w:rPr>
        <w:t>, one of the most diverse in the family Euphorbiaceae, is widely used in traditional medicine, yet comparative chemical evidence for species delimitation remains scarce.</w:t>
      </w:r>
      <w:r>
        <w:rPr>
          <w:rFonts w:ascii="Times New Roman" w:hAnsi="Times New Roman" w:cs="Times New Roman"/>
          <w:b/>
          <w:bCs/>
          <w:sz w:val="24"/>
          <w:szCs w:val="24"/>
        </w:rPr>
        <w:t xml:space="preserve"> Methods: </w:t>
      </w:r>
      <w:commentRangeStart w:id="0"/>
      <w:r>
        <w:rPr>
          <w:rFonts w:ascii="Times New Roman" w:hAnsi="Times New Roman" w:cs="Times New Roman"/>
          <w:sz w:val="24"/>
          <w:szCs w:val="24"/>
        </w:rPr>
        <w:t>Five species (</w:t>
      </w:r>
      <w:r>
        <w:rPr>
          <w:rFonts w:ascii="Times New Roman" w:hAnsi="Times New Roman" w:cs="Times New Roman"/>
          <w:i/>
          <w:iCs/>
          <w:sz w:val="24"/>
          <w:szCs w:val="24"/>
        </w:rPr>
        <w:t xml:space="preserve">E.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t>
      </w:r>
      <w:commentRangeEnd w:id="0"/>
      <w:r>
        <w:commentReference w:id="0"/>
      </w:r>
      <w:r>
        <w:rPr>
          <w:rFonts w:ascii="Times New Roman" w:hAnsi="Times New Roman" w:cs="Times New Roman"/>
          <w:sz w:val="24"/>
          <w:szCs w:val="24"/>
        </w:rPr>
        <w:t xml:space="preserve">were analyzed using gas chromatography–mass spectrometry (GC–MS) to characterize volatile and semi-volatile constituents, complemented by qualitative phytochemical screening for major secondary metabolite classes. </w:t>
      </w:r>
      <w:r>
        <w:rPr>
          <w:rFonts w:ascii="Times New Roman" w:hAnsi="Times New Roman" w:cs="Times New Roman"/>
          <w:b/>
          <w:bCs/>
          <w:sz w:val="24"/>
          <w:szCs w:val="24"/>
        </w:rPr>
        <w:t xml:space="preserve">Results: </w:t>
      </w:r>
      <w:r>
        <w:rPr>
          <w:rFonts w:ascii="Times New Roman" w:hAnsi="Times New Roman" w:cs="Times New Roman"/>
          <w:sz w:val="24"/>
          <w:szCs w:val="24"/>
        </w:rPr>
        <w:t>Across the taxa, ten compounds were consistently detected, with dodecanoic acid and tetradecane occurring ubiquitously. The chemical spectra were dominated by fatty acids, fatty acid methyl esters, hydrocarbons, and phenolic derivatives. Distinct species-specific signatures emerged:</w:t>
      </w:r>
      <w:r>
        <w:rPr>
          <w:rFonts w:ascii="Times New Roman" w:hAnsi="Times New Roman" w:cs="Times New Roman"/>
          <w:i/>
          <w:iCs/>
          <w:sz w:val="24"/>
          <w:szCs w:val="24"/>
        </w:rPr>
        <w:t xml:space="preserve"> E.</w:t>
      </w:r>
      <w:r>
        <w:rPr>
          <w:rFonts w:ascii="Times New Roman" w:hAnsi="Times New Roman" w:cs="Times New Roman"/>
          <w:sz w:val="24"/>
          <w:szCs w:val="24"/>
        </w:rPr>
        <w:t xml:space="preserve"> </w:t>
      </w:r>
      <w:r>
        <w:rPr>
          <w:rFonts w:ascii="Times New Roman" w:hAnsi="Times New Roman" w:cs="Times New Roman"/>
          <w:i/>
          <w:iCs/>
          <w:sz w:val="24"/>
          <w:szCs w:val="24"/>
        </w:rPr>
        <w:t>heterophylla</w:t>
      </w:r>
      <w:r>
        <w:rPr>
          <w:rFonts w:ascii="Times New Roman" w:hAnsi="Times New Roman" w:cs="Times New Roman"/>
          <w:sz w:val="24"/>
          <w:szCs w:val="24"/>
        </w:rPr>
        <w:t xml:space="preserve"> exhibited the highest content of dodecanoic acid (16.24%); </w:t>
      </w:r>
      <w:r>
        <w:rPr>
          <w:rFonts w:ascii="Times New Roman" w:hAnsi="Times New Roman" w:cs="Times New Roman"/>
          <w:i/>
          <w:iCs/>
          <w:sz w:val="24"/>
          <w:szCs w:val="24"/>
        </w:rPr>
        <w:t>E. milli</w:t>
      </w:r>
      <w:r>
        <w:rPr>
          <w:rFonts w:ascii="Times New Roman" w:hAnsi="Times New Roman" w:cs="Times New Roman"/>
          <w:sz w:val="24"/>
          <w:szCs w:val="24"/>
        </w:rPr>
        <w:t xml:space="preserve"> was distinguished by cis-vaccenic acid and long-chain alkenes; </w:t>
      </w:r>
      <w:r>
        <w:rPr>
          <w:rFonts w:ascii="Times New Roman" w:hAnsi="Times New Roman" w:cs="Times New Roman"/>
          <w:i/>
          <w:iCs/>
          <w:sz w:val="24"/>
          <w:szCs w:val="24"/>
        </w:rPr>
        <w:t>E. caranensis</w:t>
      </w:r>
      <w:r>
        <w:rPr>
          <w:rFonts w:ascii="Times New Roman" w:hAnsi="Times New Roman" w:cs="Times New Roman"/>
          <w:sz w:val="24"/>
          <w:szCs w:val="24"/>
        </w:rPr>
        <w:t xml:space="preserve"> was marked by high levels of dodecanoic acid and 2,4-di-tert-butylphenol; whereas </w:t>
      </w:r>
      <w:r>
        <w:rPr>
          <w:rFonts w:ascii="Times New Roman" w:hAnsi="Times New Roman" w:cs="Times New Roman"/>
          <w:i/>
          <w:iCs/>
          <w:sz w:val="24"/>
          <w:szCs w:val="24"/>
        </w:rPr>
        <w:t>E. maculata</w:t>
      </w:r>
      <w:r>
        <w:rPr>
          <w:rFonts w:ascii="Times New Roman" w:hAnsi="Times New Roman" w:cs="Times New Roman"/>
          <w:sz w:val="24"/>
          <w:szCs w:val="24"/>
        </w:rPr>
        <w:t xml:space="preserve"> and </w:t>
      </w:r>
      <w:r>
        <w:rPr>
          <w:rFonts w:ascii="Times New Roman" w:hAnsi="Times New Roman" w:cs="Times New Roman"/>
          <w:i/>
          <w:iCs/>
          <w:sz w:val="24"/>
          <w:szCs w:val="24"/>
        </w:rPr>
        <w:t xml:space="preserve">E. hirta </w:t>
      </w:r>
      <w:r>
        <w:rPr>
          <w:rFonts w:ascii="Times New Roman" w:hAnsi="Times New Roman" w:cs="Times New Roman"/>
          <w:sz w:val="24"/>
          <w:szCs w:val="24"/>
        </w:rPr>
        <w:t xml:space="preserve">displayed moderate but consistent amounts of dodecanoic and tetradecanoic acids. Phytochemical assays further revealed variation in tannins, flavonoids, alkaloids, and saponins, reinforcing metabolic divergence among species. </w:t>
      </w:r>
      <w:r>
        <w:rPr>
          <w:rFonts w:ascii="Times New Roman" w:hAnsi="Times New Roman" w:cs="Times New Roman"/>
          <w:b/>
          <w:bCs/>
          <w:sz w:val="24"/>
          <w:szCs w:val="24"/>
        </w:rPr>
        <w:t xml:space="preserve">Conclusion: </w:t>
      </w:r>
      <w:r>
        <w:rPr>
          <w:rFonts w:ascii="Times New Roman" w:hAnsi="Times New Roman" w:cs="Times New Roman"/>
          <w:sz w:val="24"/>
          <w:szCs w:val="24"/>
        </w:rPr>
        <w:t xml:space="preserve">The shared presence of dodecanoic acid and tetradecane underscores conserved chemotaxonomic traits within </w:t>
      </w:r>
      <w:r>
        <w:rPr>
          <w:rFonts w:ascii="Times New Roman" w:hAnsi="Times New Roman" w:cs="Times New Roman"/>
          <w:i/>
          <w:iCs/>
          <w:sz w:val="24"/>
          <w:szCs w:val="24"/>
        </w:rPr>
        <w:t>Euphorbia</w:t>
      </w:r>
      <w:r>
        <w:rPr>
          <w:rFonts w:ascii="Times New Roman" w:hAnsi="Times New Roman" w:cs="Times New Roman"/>
          <w:sz w:val="24"/>
          <w:szCs w:val="24"/>
        </w:rPr>
        <w:t>, while interspecific variations in fatty acids, hydrocarbons, and phenolics highlight diagnostic markers valuable for species delimitation. These chemical fingerprints strengthen taxonomic resolution within the genus and establish a biochemical framework for linking evolutionary relationships with ethnomedicinal applications.</w:t>
      </w:r>
    </w:p>
    <w:p w14:paraId="06384A3E">
      <w:pPr>
        <w:jc w:val="both"/>
        <w:rPr>
          <w:rFonts w:ascii="Times New Roman" w:hAnsi="Times New Roman" w:cs="Times New Roman"/>
          <w:sz w:val="24"/>
          <w:szCs w:val="24"/>
        </w:rPr>
      </w:pPr>
      <w:r>
        <w:rPr>
          <w:rFonts w:ascii="Times New Roman" w:hAnsi="Times New Roman" w:cs="Times New Roman"/>
          <w:sz w:val="24"/>
          <w:szCs w:val="24"/>
        </w:rPr>
        <w:t>Keywords:</w:t>
      </w:r>
      <w:r>
        <w:rPr>
          <w:rFonts w:ascii="Times New Roman" w:hAnsi="Times New Roman" w:cs="Times New Roman"/>
          <w:i/>
          <w:iCs/>
          <w:sz w:val="24"/>
          <w:szCs w:val="24"/>
        </w:rPr>
        <w:t xml:space="preserve"> Euphorbia species</w:t>
      </w:r>
      <w:r>
        <w:rPr>
          <w:rFonts w:ascii="Times New Roman" w:hAnsi="Times New Roman" w:cs="Times New Roman"/>
          <w:sz w:val="24"/>
          <w:szCs w:val="24"/>
        </w:rPr>
        <w:t>, Chemotaxonomy, GC-MS Phytochemical, Tetradecane, Vaccenic acids.</w:t>
      </w:r>
    </w:p>
    <w:p w14:paraId="79B5CCF5">
      <w:pPr>
        <w:jc w:val="both"/>
        <w:rPr>
          <w:rFonts w:ascii="Times New Roman" w:hAnsi="Times New Roman" w:cs="Times New Roman"/>
          <w:b/>
          <w:bCs/>
          <w:sz w:val="24"/>
          <w:szCs w:val="24"/>
        </w:rPr>
      </w:pPr>
    </w:p>
    <w:p w14:paraId="78B8AD17">
      <w:pPr>
        <w:jc w:val="both"/>
        <w:rPr>
          <w:rFonts w:ascii="Times New Roman" w:hAnsi="Times New Roman" w:cs="Times New Roman"/>
          <w:b/>
          <w:bCs/>
          <w:sz w:val="24"/>
          <w:szCs w:val="24"/>
        </w:rPr>
      </w:pPr>
    </w:p>
    <w:p w14:paraId="6EC2267B">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FEA1C26">
      <w:pPr>
        <w:jc w:val="both"/>
        <w:rPr>
          <w:rFonts w:ascii="Times New Roman" w:hAnsi="Times New Roman" w:cs="Times New Roman"/>
          <w:bCs/>
          <w:sz w:val="24"/>
          <w:szCs w:val="24"/>
        </w:rPr>
      </w:pPr>
    </w:p>
    <w:p w14:paraId="1A13D53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genus </w:t>
      </w:r>
      <w:r>
        <w:rPr>
          <w:rFonts w:ascii="Times New Roman" w:hAnsi="Times New Roman" w:cs="Times New Roman"/>
          <w:bCs/>
          <w:i/>
          <w:iCs/>
          <w:sz w:val="24"/>
          <w:szCs w:val="24"/>
        </w:rPr>
        <w:t>Euphorbia</w:t>
      </w:r>
      <w:r>
        <w:rPr>
          <w:rFonts w:ascii="Times New Roman" w:hAnsi="Times New Roman" w:cs="Times New Roman"/>
          <w:bCs/>
          <w:sz w:val="24"/>
          <w:szCs w:val="24"/>
        </w:rPr>
        <w:t xml:space="preserve"> (family Euphorbiaceae) represents one of the most morphologically and chemically diverse lineages of flowering plants. With over 2,000 recognized species, it is the third largest genus of angiosperms, surpassed only by </w:t>
      </w:r>
      <w:r>
        <w:rPr>
          <w:rFonts w:ascii="Times New Roman" w:hAnsi="Times New Roman" w:cs="Times New Roman"/>
          <w:bCs/>
          <w:i/>
          <w:iCs/>
          <w:sz w:val="24"/>
          <w:szCs w:val="24"/>
        </w:rPr>
        <w:t>Astragalus</w:t>
      </w:r>
      <w:r>
        <w:rPr>
          <w:rFonts w:ascii="Times New Roman" w:hAnsi="Times New Roman" w:cs="Times New Roman"/>
          <w:bCs/>
          <w:sz w:val="24"/>
          <w:szCs w:val="24"/>
        </w:rPr>
        <w:t xml:space="preserve"> and </w:t>
      </w:r>
      <w:r>
        <w:rPr>
          <w:rFonts w:ascii="Times New Roman" w:hAnsi="Times New Roman" w:cs="Times New Roman"/>
          <w:bCs/>
          <w:i/>
          <w:iCs/>
          <w:sz w:val="24"/>
          <w:szCs w:val="24"/>
        </w:rPr>
        <w:t>Psychotria</w:t>
      </w:r>
      <w:r>
        <w:rPr>
          <w:rFonts w:ascii="Times New Roman" w:hAnsi="Times New Roman" w:cs="Times New Roman"/>
          <w:bCs/>
          <w:sz w:val="24"/>
          <w:szCs w:val="24"/>
        </w:rPr>
        <w:t xml:space="preserve"> (Ernst </w:t>
      </w:r>
      <w:r>
        <w:rPr>
          <w:rFonts w:ascii="Times New Roman" w:hAnsi="Times New Roman" w:cs="Times New Roman"/>
          <w:bCs/>
          <w:i/>
          <w:iCs/>
          <w:sz w:val="24"/>
          <w:szCs w:val="24"/>
        </w:rPr>
        <w:t>et al</w:t>
      </w:r>
      <w:r>
        <w:rPr>
          <w:rFonts w:ascii="Times New Roman" w:hAnsi="Times New Roman" w:cs="Times New Roman"/>
          <w:bCs/>
          <w:sz w:val="24"/>
          <w:szCs w:val="24"/>
        </w:rPr>
        <w:t xml:space="preserve">., 2015). Members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are globally distributed and encompass a wide range of growth forms, from herbaceous annuals and perennials to woody shrubs, trees, and drought-adapted succulents, with particular abundance in arid and semi-arid regions. A distinctive feature of the genus is the cyathium inflorescence and the characteristic milky latex exudate released upon injury. This latex contains diverse secondary metabolites which serve as chemotaxonomic markers and are associated with anticancer, anti-inflammatory, antiviral, and multidrug resistance–modifying properties (Vasas &amp; Hohmann, 2014; Wu </w:t>
      </w:r>
      <w:r>
        <w:rPr>
          <w:rFonts w:ascii="Times New Roman" w:hAnsi="Times New Roman" w:cs="Times New Roman"/>
          <w:bCs/>
          <w:i/>
          <w:iCs/>
          <w:sz w:val="24"/>
          <w:szCs w:val="24"/>
        </w:rPr>
        <w:t>et al.</w:t>
      </w:r>
      <w:r>
        <w:rPr>
          <w:rFonts w:ascii="Times New Roman" w:hAnsi="Times New Roman" w:cs="Times New Roman"/>
          <w:bCs/>
          <w:sz w:val="24"/>
          <w:szCs w:val="24"/>
        </w:rPr>
        <w:t xml:space="preserve">, 2009; Govaerts </w:t>
      </w:r>
      <w:r>
        <w:rPr>
          <w:rFonts w:ascii="Times New Roman" w:hAnsi="Times New Roman" w:cs="Times New Roman"/>
          <w:bCs/>
          <w:i/>
          <w:iCs/>
          <w:sz w:val="24"/>
          <w:szCs w:val="24"/>
        </w:rPr>
        <w:t>et al.</w:t>
      </w:r>
      <w:r>
        <w:rPr>
          <w:rFonts w:ascii="Times New Roman" w:hAnsi="Times New Roman" w:cs="Times New Roman"/>
          <w:bCs/>
          <w:sz w:val="24"/>
          <w:szCs w:val="24"/>
        </w:rPr>
        <w:t xml:space="preserve">, 2000; Horn </w:t>
      </w:r>
      <w:r>
        <w:rPr>
          <w:rFonts w:ascii="Times New Roman" w:hAnsi="Times New Roman" w:cs="Times New Roman"/>
          <w:bCs/>
          <w:i/>
          <w:iCs/>
          <w:sz w:val="24"/>
          <w:szCs w:val="24"/>
        </w:rPr>
        <w:t>et al.</w:t>
      </w:r>
      <w:r>
        <w:rPr>
          <w:rFonts w:ascii="Times New Roman" w:hAnsi="Times New Roman" w:cs="Times New Roman"/>
          <w:bCs/>
          <w:sz w:val="24"/>
          <w:szCs w:val="24"/>
        </w:rPr>
        <w:t xml:space="preserve">, 2012). Some species have also shown activity against HIV-1, alongside traditional use as analgesics and antipyretics (Vasas &amp; Hohmann, 2014; Ernst </w:t>
      </w:r>
      <w:r>
        <w:rPr>
          <w:rFonts w:ascii="Times New Roman" w:hAnsi="Times New Roman" w:cs="Times New Roman"/>
          <w:bCs/>
          <w:i/>
          <w:iCs/>
          <w:sz w:val="24"/>
          <w:szCs w:val="24"/>
        </w:rPr>
        <w:t>et al.</w:t>
      </w:r>
      <w:r>
        <w:rPr>
          <w:rFonts w:ascii="Times New Roman" w:hAnsi="Times New Roman" w:cs="Times New Roman"/>
          <w:bCs/>
          <w:sz w:val="24"/>
          <w:szCs w:val="24"/>
        </w:rPr>
        <w:t>, 2015).</w:t>
      </w:r>
    </w:p>
    <w:p w14:paraId="34C6F86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common name “spurge” is derived from the Old French espurge (“to purge”), reflecting the historical use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latex as a purgative. The botanical name itself honors the Greek physician Euphorbos, whose writings described the medicinal properties of these plants, later formalized in Linnaean taxonomy. Across cultures,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have been integral to traditional medicine for the treatment of gastrointestinal disorders (such as diarrhea and indigestion), skin ailments, warts, migraines, helminthic infections, and sexually transmitted diseases (Ernst </w:t>
      </w:r>
      <w:r>
        <w:rPr>
          <w:rFonts w:ascii="Times New Roman" w:hAnsi="Times New Roman" w:cs="Times New Roman"/>
          <w:bCs/>
          <w:i/>
          <w:iCs/>
          <w:sz w:val="24"/>
          <w:szCs w:val="24"/>
        </w:rPr>
        <w:t>et al</w:t>
      </w:r>
      <w:r>
        <w:rPr>
          <w:rFonts w:ascii="Times New Roman" w:hAnsi="Times New Roman" w:cs="Times New Roman"/>
          <w:bCs/>
          <w:sz w:val="24"/>
          <w:szCs w:val="24"/>
        </w:rPr>
        <w:t>., 2015). Decoctions of</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for example, are widely used as anti-diarrheal remedies in Africa and Asia, while </w:t>
      </w:r>
      <w:r>
        <w:rPr>
          <w:rFonts w:ascii="Times New Roman" w:hAnsi="Times New Roman" w:cs="Times New Roman"/>
          <w:bCs/>
          <w:i/>
          <w:iCs/>
          <w:sz w:val="24"/>
          <w:szCs w:val="24"/>
        </w:rPr>
        <w:t>E. peplus</w:t>
      </w:r>
      <w:r>
        <w:rPr>
          <w:rFonts w:ascii="Times New Roman" w:hAnsi="Times New Roman" w:cs="Times New Roman"/>
          <w:bCs/>
          <w:sz w:val="24"/>
          <w:szCs w:val="24"/>
        </w:rPr>
        <w:t xml:space="preserve"> latex has been developed into the modern topical agent ingenol mebutate for actinic keratosis and superficial skin cancers. </w:t>
      </w:r>
    </w:p>
    <w:p w14:paraId="4FEDCCA9">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Chemotaxonomy is the classification of plants based on the distribution and types of chemical constituents (primary and secondary metabolites) present in them, which serve as reliable taxonomic markers for identifying relationships among taxa (Singh, 2016).</w:t>
      </w:r>
    </w:p>
    <w:p w14:paraId="52B2E86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Despite extensive traditional use and reports of pharmacological potential, comparative phytochemical studies across multiple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remain limited. This research was therefore designed to (i) profile and compare the volatile and semi-volatile metabolites of five selected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E. milli, E. caranensis, E. maculata, E. heterophylla, </w:t>
      </w:r>
      <w:r>
        <w:rPr>
          <w:rFonts w:ascii="Times New Roman" w:hAnsi="Times New Roman" w:cs="Times New Roman"/>
          <w:bCs/>
          <w:sz w:val="24"/>
          <w:szCs w:val="24"/>
        </w:rPr>
        <w:t>and</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using gas chromatography–mass spectrometry (GC–MS); (ii) conduct qualitative phytochemical screening to assess the distribution of major secondary metabolite classes such as alkaloids, flavonoids, tannins, and saponins; (iii) identify compounds conserved across species that may serve as chemotaxonomic markers; and (iv) highlight bioactive constituents that could underpin the traditional medicinal applications of these plants. The integration of GC–MS profiling with classical phytochemical assays provides both taxonomic insight and a biochemical basis for further pharmacological evaluation of these </w:t>
      </w:r>
      <w:r>
        <w:rPr>
          <w:rFonts w:ascii="Times New Roman" w:hAnsi="Times New Roman" w:cs="Times New Roman"/>
          <w:bCs/>
          <w:i/>
          <w:iCs/>
          <w:sz w:val="24"/>
          <w:szCs w:val="24"/>
        </w:rPr>
        <w:t>Euphorbia species</w:t>
      </w:r>
    </w:p>
    <w:p w14:paraId="4DE86C2B">
      <w:pPr>
        <w:spacing w:line="480" w:lineRule="auto"/>
        <w:jc w:val="both"/>
        <w:rPr>
          <w:rFonts w:ascii="Times New Roman" w:hAnsi="Times New Roman" w:cs="Times New Roman"/>
          <w:bCs/>
          <w:sz w:val="24"/>
          <w:szCs w:val="24"/>
        </w:rPr>
      </w:pPr>
    </w:p>
    <w:p w14:paraId="529BD3E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Methods </w:t>
      </w:r>
    </w:p>
    <w:p w14:paraId="39DEA63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Plant Material</w:t>
      </w:r>
    </w:p>
    <w:p w14:paraId="4BC95F2A">
      <w:pPr>
        <w:spacing w:line="480" w:lineRule="auto"/>
        <w:jc w:val="both"/>
        <w:rPr>
          <w:rFonts w:ascii="Times New Roman" w:hAnsi="Times New Roman" w:cs="Times New Roman"/>
          <w:sz w:val="24"/>
          <w:szCs w:val="24"/>
        </w:rPr>
      </w:pPr>
      <w:r>
        <w:rPr>
          <w:rFonts w:ascii="Times New Roman" w:hAnsi="Times New Roman" w:cs="Times New Roman"/>
          <w:sz w:val="24"/>
          <w:szCs w:val="24"/>
        </w:rPr>
        <w:t>Five species of</w:t>
      </w:r>
      <w:r>
        <w:rPr>
          <w:rFonts w:ascii="Times New Roman" w:hAnsi="Times New Roman" w:cs="Times New Roman"/>
          <w:i/>
          <w:iCs/>
          <w:sz w:val="24"/>
          <w:szCs w:val="24"/>
        </w:rPr>
        <w:t xml:space="preserve"> Euphorbia </w:t>
      </w:r>
      <w:r>
        <w:rPr>
          <w:rFonts w:ascii="Times New Roman" w:hAnsi="Times New Roman" w:cs="Times New Roman"/>
          <w:sz w:val="24"/>
          <w:szCs w:val="24"/>
        </w:rPr>
        <w:t>(</w:t>
      </w:r>
      <w:r>
        <w:rPr>
          <w:rFonts w:ascii="Times New Roman" w:hAnsi="Times New Roman" w:cs="Times New Roman"/>
          <w:i/>
          <w:iCs/>
          <w:sz w:val="24"/>
          <w:szCs w:val="24"/>
        </w:rPr>
        <w:t xml:space="preserve">E. milli, E. caranensis, E. maculata, E. heterophylla, </w:t>
      </w:r>
      <w:r>
        <w:rPr>
          <w:rFonts w:ascii="Times New Roman" w:hAnsi="Times New Roman" w:cs="Times New Roman"/>
          <w:sz w:val="24"/>
          <w:szCs w:val="24"/>
        </w:rPr>
        <w:t>and</w:t>
      </w:r>
      <w:r>
        <w:rPr>
          <w:rFonts w:ascii="Times New Roman" w:hAnsi="Times New Roman" w:cs="Times New Roman"/>
          <w:i/>
          <w:iCs/>
          <w:sz w:val="24"/>
          <w:szCs w:val="24"/>
        </w:rPr>
        <w:t xml:space="preserve"> E. hirta</w:t>
      </w:r>
      <w:r>
        <w:rPr>
          <w:rFonts w:ascii="Times New Roman" w:hAnsi="Times New Roman" w:cs="Times New Roman"/>
          <w:sz w:val="24"/>
          <w:szCs w:val="24"/>
        </w:rPr>
        <w:t>) were collected from Umuahia, Abia State Nigeria. Voucher specimens were authenticated and deposited at the Herbarium, Department of Plant Science and Biotechnology, Abia State University.</w:t>
      </w:r>
    </w:p>
    <w:p w14:paraId="36517FE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Extraction of Plant Materials</w:t>
      </w:r>
    </w:p>
    <w:p w14:paraId="49F05EB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leaf samples of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were air-dried at room temperature for two weeks (14 days) to preserve phytochemical integrity. The dried leaves were then ground into a fine powder using an electric blender and stored in airtight containers until needed for extraction.</w:t>
      </w:r>
    </w:p>
    <w:p w14:paraId="055FED4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Methanol Extraction</w:t>
      </w:r>
    </w:p>
    <w:p w14:paraId="1FFD751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Five grams (5 g) of the powdered leaf sample was placed in a 250 ml conical flask and extracted with 100 ml of methanol. The flask was tightly sealed and allowed to stand at room temperature for 24 hours with occasional shaking to enhance extraction. The mixture was filtered using Whatman No. 1 filter paper, and the filtrate was collected. A portion (2 ml) of the methanolic extract was used for phytochemical screening.</w:t>
      </w:r>
    </w:p>
    <w:p w14:paraId="0C7983C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Phytochemical screening (Qualitative analysis of plant extract)</w:t>
      </w:r>
    </w:p>
    <w:p w14:paraId="5FCC934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Alkaloids</w:t>
      </w:r>
    </w:p>
    <w:p w14:paraId="50197E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Mayer’s Test:</w:t>
      </w:r>
    </w:p>
    <w:p w14:paraId="0C40F049">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One milliliter (1 mL) of the extract was treated with 1 mL of Mayer’s reagent (potassium mercuric iodide solution). A white or cream-colored precipitate confirms the presence of alkaloids (Trease &amp; Evans, 1989; Wallis, 1989; Pandey &amp; Tripathi, 2014; Beena et al., 2016).</w:t>
      </w:r>
    </w:p>
    <w:p w14:paraId="48522D6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Hager’s Test:</w:t>
      </w:r>
    </w:p>
    <w:p w14:paraId="6B5EDFA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extract was mixed with 1 mL of Hager’s reagent (saturated picric acid solution) and shaken. The formation of a yellow precipitate indicates the presence of alkaloids (Trease &amp; Evans, 1989; Wallis, 1989; Pandey &amp; Tripathi, 2014; Beena et al., 2016)</w:t>
      </w:r>
    </w:p>
    <w:p w14:paraId="3BF3BAC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Glycosides</w:t>
      </w:r>
    </w:p>
    <w:p w14:paraId="046165B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Legal’s Test (for Cardiac Glycosides):</w:t>
      </w:r>
    </w:p>
    <w:p w14:paraId="0DBAC3E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extract was mixed with an equal volume of sodium nitroprusside solution, followed by a few drops of sodium hydroxide. The formation of a pink to blood-red precipitate indicates the presence of cardiac glycosides (Trease &amp; Evans, 1989; Wallis, 1989; Pandey &amp; Tripathi, 2014; Beena et al., 2016)</w:t>
      </w:r>
    </w:p>
    <w:p w14:paraId="0F6605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Keller–Killiani Test (for Digitoxose in Cardiac Glycosides):</w:t>
      </w:r>
    </w:p>
    <w:p w14:paraId="5F6B506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Two milliliters (2 mL) of extract were diluted with an equal volume of water. Then, 0.5 mL of lead acetate was added, mixed, and filtered. The filtrate was extracted with an equal volume of chloroform, which was then evaporated. The residue was dissolved in glacial acetic acid, followed by the addition of a few drops of ferric chloride. This solution was then carefully layered over 2 mL of concentrated sulfuric acid. The appearance of a reddish-brown layer turning bluish-green confirms the presence of digitoxose. (Trease &amp; Evans, 1989; Wallis, 1989; Pandey &amp; Tripathi, 2014; Beena et al., 2016)</w:t>
      </w:r>
    </w:p>
    <w:p w14:paraId="0EEF65A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 and Triterpenoids</w:t>
      </w:r>
    </w:p>
    <w:p w14:paraId="3FFE706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 Liebermann-Burchard’s Test (for Steroids):</w:t>
      </w:r>
    </w:p>
    <w:p w14:paraId="2346F5F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An alcoholic extract of the sample was first evaporated to dryness and then re-extracted using chloroform. A few drops of acetic anhydride were added to the chloroform solution, followed by concentrated sulfuric acid, added carefully along the side of the test tube. The formation of a violet to blue-colored ring at the interface indicates the presence of steroids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14:paraId="63D478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b. Salkowski’s Test (for Triterpenoids):</w:t>
      </w:r>
    </w:p>
    <w:p w14:paraId="0204633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the extract was mixed with 2 mL of chloroform, shaken, and filtered. A few drops of concentrated sulfuric acid were then added to the filtrate, shaken, and left to stand. The appearance of a golden-yellow precipitate indicates the presence of triterpenes (Trease &amp; Evans, 1989; Wallis, 1989; Pandey &amp; Tripathi, 2014; Beena et al., 2016; Dhawan &amp; Gupta, 2017)</w:t>
      </w:r>
    </w:p>
    <w:p w14:paraId="27CA370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tannins</w:t>
      </w:r>
    </w:p>
    <w:p w14:paraId="5FA771B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Gold Beater’s Skin Test: Gold Beater’s Skin, derived from </w:t>
      </w:r>
      <w:r>
        <w:rPr>
          <w:rFonts w:ascii="Times New Roman" w:hAnsi="Times New Roman" w:cs="Times New Roman"/>
          <w:bCs/>
          <w:color w:val="0000FF"/>
          <w:sz w:val="24"/>
          <w:szCs w:val="24"/>
        </w:rPr>
        <w:t>ox skin</w:t>
      </w:r>
      <w:r>
        <w:rPr>
          <w:rFonts w:ascii="Times New Roman" w:hAnsi="Times New Roman" w:cs="Times New Roman"/>
          <w:bCs/>
          <w:sz w:val="24"/>
          <w:szCs w:val="24"/>
        </w:rPr>
        <w:t>, was first soaked in 2% hydrochloric acid and rinsed thoroughly with distilled water. It was then immersed in the extract solution for 5 minutes, followed by another wash with distilled water. Finally, the skin was placed in a 1% ferrous sulfate solution. A color change to brown or black indicates the presence of tannins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w:t>
      </w:r>
    </w:p>
    <w:p w14:paraId="2E85F15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(b) Gelatin Test: One milliliter of the extract was mixed with 1% gelatin solution containing sodium chloride in a test tube and shaken gently. The formation of a white precipitate confirms the presence of tannins (Trease &amp; Evans, 1989; Wallis, 1989; Pandey &amp; Tripathi, 2014; Beena</w:t>
      </w:r>
      <w:r>
        <w:rPr>
          <w:rFonts w:ascii="Times New Roman" w:hAnsi="Times New Roman" w:cs="Times New Roman"/>
          <w:bCs/>
          <w:i/>
          <w:iCs/>
          <w:sz w:val="24"/>
          <w:szCs w:val="24"/>
        </w:rPr>
        <w:t xml:space="preserve"> et al.</w:t>
      </w:r>
      <w:r>
        <w:rPr>
          <w:rFonts w:ascii="Times New Roman" w:hAnsi="Times New Roman" w:cs="Times New Roman"/>
          <w:bCs/>
          <w:sz w:val="24"/>
          <w:szCs w:val="24"/>
        </w:rPr>
        <w:t>, 2016; Dhawan &amp; Gupta, 2017).</w:t>
      </w:r>
    </w:p>
    <w:p w14:paraId="17F6169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flavonoids</w:t>
      </w:r>
    </w:p>
    <w:p w14:paraId="405789A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Shinoda’s test. 1 mL of extract was taken and placed into a test tube. Then, few drops of concentrated hydrochloric acid was added followed by 0.5 mg of mRimandoium turnings and shaken. Emergence of pink coloration indicates the presence of flavonoids (Trease and Evans, 1989; Wallis, 1989; Pandey and Tripathi, 2014; Beena et al., 2016). (b) Lead acetate test. To detect the presence of flavonoids, 1mL of extract was taken and placed into a test tube. Then few drops of lead acetate added and shaken. Formation of yellow precipitate signifies the presence of flavonoids (Trease and Evans, 1989; Wallis, 1989; Pandey and Tripathi, 2014; Beena et al., 2016). (c) Alkaline reagent test. 1 mL of extract was taken and placed into a test tube. Then few drops of sodium hydroxide solution were added and shaken. Emergence of intense yellow color that turns to colorless after adding dilute acid implies the existence of flavonoids (Trease and Evans, 1989; Wallis, 1989; Pandey and Tripathi, 2014; Beena </w:t>
      </w:r>
      <w:r>
        <w:rPr>
          <w:rFonts w:ascii="Times New Roman" w:hAnsi="Times New Roman" w:cs="Times New Roman"/>
          <w:bCs/>
          <w:i/>
          <w:iCs/>
          <w:sz w:val="24"/>
          <w:szCs w:val="24"/>
        </w:rPr>
        <w:t xml:space="preserve">et al., </w:t>
      </w:r>
      <w:r>
        <w:rPr>
          <w:rFonts w:ascii="Times New Roman" w:hAnsi="Times New Roman" w:cs="Times New Roman"/>
          <w:bCs/>
          <w:sz w:val="24"/>
          <w:szCs w:val="24"/>
        </w:rPr>
        <w:t>2016; Dhawan and Gupta, 2017 ).</w:t>
      </w:r>
    </w:p>
    <w:p w14:paraId="460CDBB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 Ferric chloride test. 1 mL solution of an extract was taken and placed into a test tube. Then 1% gelatin solution containing sodium chloride was added and shaken. Formation of bluish-black color indicates the presence of phenols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xml:space="preserve">., 2016). (b) Lead acetate test. 1 mL solution of an extract was taken and placed into a test tube. Then 1mL of alcoholic solution was added, followed by dilution with 20 % sulfuric acid. Finally, solution of sodium hydroxide was added. Formation of red-to-blue color signifies the occurrence of phenols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xml:space="preserve">., 2016). (c) Gelatin test. A solution of plant extract was placed into test tube followed by 2mL of 1% gelatin solution and shaken. Appearance of white precipitate indicates the presence of phenols (Trease and Evans, 1989; Wallis, 1989; Pandey and Tripathi, 2014; Beena et al., 2016). (d) Mayer’s reagent test (potassium mercuric iodide test). To a solution of plant extract, 1 mL of Mayer’s reagent was added in an acidic solution. Manifestation of white precipitate shows the existence of phenolic compounds (Trease and Evans, 1989; Wallis, 1989; Pandey and Tripathi, 2014; Beena </w:t>
      </w:r>
      <w:r>
        <w:rPr>
          <w:rFonts w:ascii="Times New Roman" w:hAnsi="Times New Roman" w:cs="Times New Roman"/>
          <w:bCs/>
          <w:i/>
          <w:iCs/>
          <w:sz w:val="24"/>
          <w:szCs w:val="24"/>
        </w:rPr>
        <w:t>et al.</w:t>
      </w:r>
      <w:r>
        <w:rPr>
          <w:rFonts w:ascii="Times New Roman" w:hAnsi="Times New Roman" w:cs="Times New Roman"/>
          <w:bCs/>
          <w:sz w:val="24"/>
          <w:szCs w:val="24"/>
        </w:rPr>
        <w:t>, 2016).</w:t>
      </w:r>
    </w:p>
    <w:p w14:paraId="2CB6674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 for Saponins (FROTHING TEST)</w:t>
      </w:r>
    </w:p>
    <w:p w14:paraId="65EE6CD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presence of saponin were determine using the methods stated below.</w:t>
      </w:r>
    </w:p>
    <w:p w14:paraId="4EF07F8B">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Libermann Test (Foam Test)</w:t>
      </w:r>
      <w:r>
        <w:rPr>
          <w:rFonts w:ascii="Times New Roman" w:hAnsi="Times New Roman" w:cs="Times New Roman"/>
          <w:bCs/>
          <w:sz w:val="24"/>
          <w:szCs w:val="24"/>
        </w:rPr>
        <w:t xml:space="preserve"> - If stable, characteristic honeycomb like froth is obtained, saponins are present.</w:t>
      </w:r>
    </w:p>
    <w:p w14:paraId="2B67F957">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Burchard test</w:t>
      </w:r>
      <w:r>
        <w:rPr>
          <w:rFonts w:ascii="Times New Roman" w:hAnsi="Times New Roman" w:cs="Times New Roman"/>
          <w:bCs/>
          <w:sz w:val="24"/>
          <w:szCs w:val="24"/>
        </w:rPr>
        <w:t>- A white precipitate indicates the presence of saponin.</w:t>
      </w:r>
    </w:p>
    <w:p w14:paraId="1844E8F0">
      <w:pPr>
        <w:spacing w:line="480" w:lineRule="auto"/>
        <w:jc w:val="both"/>
        <w:rPr>
          <w:rFonts w:ascii="Times New Roman" w:hAnsi="Times New Roman" w:cs="Times New Roman"/>
          <w:b/>
          <w:bCs/>
          <w:sz w:val="24"/>
          <w:szCs w:val="24"/>
        </w:rPr>
      </w:pPr>
    </w:p>
    <w:p w14:paraId="3DEEC5B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Gas Chromatography-Mass Spectrometry (GC-MS) Analysis</w:t>
      </w:r>
    </w:p>
    <w:p w14:paraId="71C9703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Soxhlet Extraction: Ten grams (10 g) of homogenized plant sample were mixed with 60 g of anhydrous sodium sulfate in an agate mortar to remove moisture. The mixture was placed in a 500 mL beaker and extracted with 300 mL of n-hexane using the Soxhlet extraction method for 24 hours. The resulting crude extract was concentrated to dryness using a rotary vacuum evaporator at 40 °C (Harborne, 1998; Doughari, 2012; Hossain et al., 2014; Pandey &amp; Tripathi, 2014; Azwanida, 2015; Majekodunmi, 2015; Ingle, 2017).</w:t>
      </w:r>
    </w:p>
    <w:p w14:paraId="3935CB4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Sample Processing for GC Injection</w:t>
      </w:r>
    </w:p>
    <w:p w14:paraId="4C0C90C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milliliter (1 mL) of the filtered residue was dissolved in 50 mL of chloroform, transferred into a 100 mL volumetric flask, and diluted to volume. Most of the chloroform was evaporated at room temperature. Then, 1 mL of a reagent mixture (20% benzene, 55% methanol) was added, sealed, and heated in a water bath at 40 °C for 10 minutes. To this, 1 mL each of hexane and water was added to form a 1:1:1 ratio with the reagent. The mixture was shaken vigorously for 2 minutes to form an emulsion and centrifuged for phase separation. The top hexane layer was carefully removed and transferred to a test tube for GC-MS injection to avoid water contamination of the column.</w:t>
      </w:r>
    </w:p>
    <w:p w14:paraId="706B35C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GC-MS Analytical Conditions</w:t>
      </w:r>
    </w:p>
    <w:p w14:paraId="0FB5A77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analysis was performed using an Agilent GC-MS system (Model GC-7890A/MS-5975C) equipped with an HP-5MS capillary column (30 m × 250 μm × 0.25 μm film thickness). The electron ionization source operated at 70 eV. Helium (99.995%) served as the carrier gas at a flow rate of 1 mL/min.</w:t>
      </w:r>
    </w:p>
    <w:p w14:paraId="5DDD5BA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oven temperature was programmed as follows:</w:t>
      </w:r>
    </w:p>
    <w:p w14:paraId="72008A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Initial temperature at 50 °C</w:t>
      </w:r>
    </w:p>
    <w:p w14:paraId="1E5BA4D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Increased to 150 °C at a rate of 3 °C/min with a 10-minute hold</w:t>
      </w:r>
    </w:p>
    <w:p w14:paraId="2E5DFCA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Further ramped to 300 °C at 10 °C/min</w:t>
      </w:r>
    </w:p>
    <w:p w14:paraId="4CB66FAE">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One microliter (1 μL) of a 1% diluted extract was injected in splitless mode. The relative abundance of compounds was calculated based on peak areas from the chromatogram.</w:t>
      </w:r>
    </w:p>
    <w:p w14:paraId="1A8AFC7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Phytochemicals</w:t>
      </w:r>
    </w:p>
    <w:p w14:paraId="73A7ECE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identification of bioactive constituents was achieved by comparing their retention times and mass spectra with standard libraries (Replib and Mainlib) embedded in the GC-MS software, following the method of Buss and Butler (2010).</w:t>
      </w:r>
    </w:p>
    <w:p w14:paraId="2E4DF78B">
      <w:p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3282184D">
      <w:pPr>
        <w:spacing w:line="480" w:lineRule="auto"/>
        <w:jc w:val="both"/>
        <w:rPr>
          <w:rFonts w:ascii="Times New Roman" w:hAnsi="Times New Roman" w:cs="Times New Roman"/>
          <w:sz w:val="24"/>
          <w:szCs w:val="24"/>
        </w:rPr>
      </w:pPr>
      <w:r>
        <w:rPr>
          <w:rFonts w:ascii="Times New Roman" w:hAnsi="Times New Roman" w:cs="Times New Roman"/>
          <w:sz w:val="24"/>
          <w:szCs w:val="24"/>
        </w:rPr>
        <w:t>The GC–MS profiles of the five</w:t>
      </w:r>
      <w:r>
        <w:rPr>
          <w:rFonts w:ascii="Times New Roman" w:hAnsi="Times New Roman" w:cs="Times New Roman"/>
          <w:i/>
          <w:iCs/>
          <w:sz w:val="24"/>
          <w:szCs w:val="24"/>
        </w:rPr>
        <w:t xml:space="preserve"> Euphorbia species</w:t>
      </w:r>
      <w:r>
        <w:rPr>
          <w:rFonts w:ascii="Times New Roman" w:hAnsi="Times New Roman" w:cs="Times New Roman"/>
          <w:sz w:val="24"/>
          <w:szCs w:val="24"/>
        </w:rPr>
        <w:t xml:space="preserve"> revealed a diverse range of metabolites, with alkanes, alkenes, fatty acids, fatty acid methyl esters, and phenolic derivatives predominating. Ten compounds were identified in each species, with variation in retention times and relative abundance. Despite these differences, dodecanoic acid and tetradecane were consistently detected across all species, serving as potential chemotaxonomic markers at the genus level.</w:t>
      </w:r>
    </w:p>
    <w:p w14:paraId="5B53B17C">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Euphorbia milli </w:t>
      </w:r>
      <w:r>
        <w:rPr>
          <w:rFonts w:ascii="Times New Roman" w:hAnsi="Times New Roman" w:cs="Times New Roman"/>
          <w:sz w:val="24"/>
          <w:szCs w:val="24"/>
        </w:rPr>
        <w:t>(Table 1) was characterized by cis-vaccenic acid (3.34%) and long-chain alkenes such as 1-docosene, 1-eicosene, and 17-pentatriacontene (4.68%), alongside smaller amounts of dodecanoic acid (2.60%) and tetradecane. In</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(Table 2), dodecanoic acid (6.89%) dominated, supplemented by 2,4-di-tert-butylphenol (1.86%) and a mixture of aliphatic hydrocarbons and fatty acid methyl esters.</w:t>
      </w:r>
      <w:r>
        <w:rPr>
          <w:rFonts w:ascii="Times New Roman" w:hAnsi="Times New Roman" w:cs="Times New Roman"/>
          <w:i/>
          <w:iCs/>
          <w:sz w:val="24"/>
          <w:szCs w:val="24"/>
        </w:rPr>
        <w:t xml:space="preserve"> E. maculata</w:t>
      </w:r>
      <w:r>
        <w:rPr>
          <w:rFonts w:ascii="Times New Roman" w:hAnsi="Times New Roman" w:cs="Times New Roman"/>
          <w:sz w:val="24"/>
          <w:szCs w:val="24"/>
        </w:rPr>
        <w:t xml:space="preserve"> (Table 3) displayed moderate concentrations of dodecanoic acid (4.11%) and tetradecanoic acid (2.47%), combined with long-chain alkenes and fatty acids.</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(Table 4) stood out for its exceptionally high content of dodecanoic acid (16.24%), accompanied by n-hexadecanoic acid (4.72%) and tetradecanoic acid (2.47%). In contrast, </w:t>
      </w:r>
      <w:r>
        <w:rPr>
          <w:rFonts w:ascii="Times New Roman" w:hAnsi="Times New Roman" w:cs="Times New Roman"/>
          <w:i/>
          <w:iCs/>
          <w:sz w:val="24"/>
          <w:szCs w:val="24"/>
        </w:rPr>
        <w:t xml:space="preserve">E. hirta </w:t>
      </w:r>
      <w:r>
        <w:rPr>
          <w:rFonts w:ascii="Times New Roman" w:hAnsi="Times New Roman" w:cs="Times New Roman"/>
          <w:sz w:val="24"/>
          <w:szCs w:val="24"/>
        </w:rPr>
        <w:t>(Table 5) was distinguished by balanced amounts of tetradecanoic acid (2.90%) and dodecanoic acid (2.83%), with additional contributions from hexadecanoic acid methyl ester (1.63%).</w:t>
      </w:r>
    </w:p>
    <w:p w14:paraId="5C275BFC">
      <w:pPr>
        <w:spacing w:line="480" w:lineRule="auto"/>
        <w:jc w:val="both"/>
        <w:rPr>
          <w:rFonts w:ascii="Times New Roman" w:hAnsi="Times New Roman" w:cs="Times New Roman"/>
          <w:sz w:val="24"/>
          <w:szCs w:val="24"/>
        </w:rPr>
      </w:pPr>
      <w:r>
        <w:rPr>
          <w:rFonts w:ascii="Times New Roman" w:hAnsi="Times New Roman" w:cs="Times New Roman"/>
          <w:sz w:val="24"/>
          <w:szCs w:val="24"/>
        </w:rPr>
        <w:t>Phytochemical assays (Table 6) revealed further taxonomic patterns. Alkaloids were restricted to</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hirta,</w:t>
      </w:r>
      <w:r>
        <w:rPr>
          <w:rFonts w:ascii="Times New Roman" w:hAnsi="Times New Roman" w:cs="Times New Roman"/>
          <w:sz w:val="24"/>
          <w:szCs w:val="24"/>
        </w:rPr>
        <w:t xml:space="preserve"> while flavonoids were absent in </w:t>
      </w:r>
      <w:r>
        <w:rPr>
          <w:rFonts w:ascii="Times New Roman" w:hAnsi="Times New Roman" w:cs="Times New Roman"/>
          <w:i/>
          <w:iCs/>
          <w:sz w:val="24"/>
          <w:szCs w:val="24"/>
        </w:rPr>
        <w:t>E. milli</w:t>
      </w:r>
      <w:r>
        <w:rPr>
          <w:rFonts w:ascii="Times New Roman" w:hAnsi="Times New Roman" w:cs="Times New Roman"/>
          <w:sz w:val="24"/>
          <w:szCs w:val="24"/>
        </w:rPr>
        <w:t xml:space="preserve"> and </w:t>
      </w:r>
      <w:r>
        <w:rPr>
          <w:rFonts w:ascii="Times New Roman" w:hAnsi="Times New Roman" w:cs="Times New Roman"/>
          <w:i/>
          <w:iCs/>
          <w:sz w:val="24"/>
          <w:szCs w:val="24"/>
        </w:rPr>
        <w:t>E. heterophylla</w:t>
      </w:r>
      <w:r>
        <w:rPr>
          <w:rFonts w:ascii="Times New Roman" w:hAnsi="Times New Roman" w:cs="Times New Roman"/>
          <w:sz w:val="24"/>
          <w:szCs w:val="24"/>
        </w:rPr>
        <w:t xml:space="preserve"> but present in other species. Tannins were uniformly abundant across all species, reflecting a stable metabolic trait within the genus. Saponins, however, showed striking variation: abundant (+++) in </w:t>
      </w:r>
      <w:r>
        <w:rPr>
          <w:rFonts w:ascii="Times New Roman" w:hAnsi="Times New Roman" w:cs="Times New Roman"/>
          <w:i/>
          <w:iCs/>
          <w:sz w:val="24"/>
          <w:szCs w:val="24"/>
        </w:rPr>
        <w:t>E. heterophylla</w:t>
      </w:r>
      <w:r>
        <w:rPr>
          <w:rFonts w:ascii="Times New Roman" w:hAnsi="Times New Roman" w:cs="Times New Roman"/>
          <w:sz w:val="24"/>
          <w:szCs w:val="24"/>
        </w:rPr>
        <w:t xml:space="preserve"> but absent in</w:t>
      </w:r>
      <w:r>
        <w:rPr>
          <w:rFonts w:ascii="Times New Roman" w:hAnsi="Times New Roman" w:cs="Times New Roman"/>
          <w:i/>
          <w:iCs/>
          <w:sz w:val="24"/>
          <w:szCs w:val="24"/>
        </w:rPr>
        <w:t xml:space="preserve"> E. hirta</w:t>
      </w:r>
      <w:r>
        <w:rPr>
          <w:rFonts w:ascii="Times New Roman" w:hAnsi="Times New Roman" w:cs="Times New Roman"/>
          <w:sz w:val="24"/>
          <w:szCs w:val="24"/>
        </w:rPr>
        <w:t>.</w:t>
      </w:r>
    </w:p>
    <w:p w14:paraId="11CC7E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Hierarchical clustering of the binary data revealed two major clades (Figure 6). The first grouped </w:t>
      </w:r>
      <w:r>
        <w:rPr>
          <w:rFonts w:ascii="Times New Roman" w:hAnsi="Times New Roman" w:cs="Times New Roman"/>
          <w:i/>
          <w:iCs/>
          <w:sz w:val="24"/>
          <w:szCs w:val="24"/>
        </w:rPr>
        <w:t>E. hirta</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heterophylla</w:t>
      </w:r>
      <w:r>
        <w:rPr>
          <w:rFonts w:ascii="Times New Roman" w:hAnsi="Times New Roman" w:cs="Times New Roman"/>
          <w:sz w:val="24"/>
          <w:szCs w:val="24"/>
        </w:rPr>
        <w:t>, both characterized by high levels of dodecanoic and tetradecanoic acids, and the presence of 2,4-di-tert-butylphenol. These species also shared similar tannin and fatty acid profiles, suggesting a conserved lineage possibly adapted for antimicrobial and anti-inflammatory defense</w:t>
      </w:r>
      <w:r>
        <w:rPr>
          <w:rFonts w:ascii="Times New Roman" w:hAnsi="Times New Roman" w:cs="Times New Roman"/>
          <w:i/>
          <w:iCs/>
          <w:sz w:val="24"/>
          <w:szCs w:val="24"/>
        </w:rPr>
        <w:t>. E. maculata</w:t>
      </w:r>
      <w:r>
        <w:rPr>
          <w:rFonts w:ascii="Times New Roman" w:hAnsi="Times New Roman" w:cs="Times New Roman"/>
          <w:sz w:val="24"/>
          <w:szCs w:val="24"/>
        </w:rPr>
        <w:t xml:space="preserve"> emerged as an intermediate taxon, sharing phenolic content with</w:t>
      </w:r>
      <w:r>
        <w:rPr>
          <w:rFonts w:ascii="Times New Roman" w:hAnsi="Times New Roman" w:cs="Times New Roman"/>
          <w:i/>
          <w:iCs/>
          <w:sz w:val="24"/>
          <w:szCs w:val="24"/>
        </w:rPr>
        <w:t xml:space="preserve"> E. heterophylla</w:t>
      </w:r>
      <w:r>
        <w:rPr>
          <w:rFonts w:ascii="Times New Roman" w:hAnsi="Times New Roman" w:cs="Times New Roman"/>
          <w:sz w:val="24"/>
          <w:szCs w:val="24"/>
        </w:rPr>
        <w:t xml:space="preserve"> but lacking alkaloids and showing moderate saponin accumulation.</w:t>
      </w:r>
    </w:p>
    <w:p w14:paraId="1CAF3093">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clade comprised</w:t>
      </w:r>
      <w:r>
        <w:rPr>
          <w:rFonts w:ascii="Times New Roman" w:hAnsi="Times New Roman" w:cs="Times New Roman"/>
          <w:i/>
          <w:iCs/>
          <w:sz w:val="24"/>
          <w:szCs w:val="24"/>
        </w:rPr>
        <w:t xml:space="preserve"> E. caranensis</w:t>
      </w:r>
      <w:r>
        <w:rPr>
          <w:rFonts w:ascii="Times New Roman" w:hAnsi="Times New Roman" w:cs="Times New Roman"/>
          <w:sz w:val="24"/>
          <w:szCs w:val="24"/>
        </w:rPr>
        <w:t xml:space="preserve"> and</w:t>
      </w:r>
      <w:r>
        <w:rPr>
          <w:rFonts w:ascii="Times New Roman" w:hAnsi="Times New Roman" w:cs="Times New Roman"/>
          <w:i/>
          <w:iCs/>
          <w:sz w:val="24"/>
          <w:szCs w:val="24"/>
        </w:rPr>
        <w:t xml:space="preserve"> E. milli</w:t>
      </w:r>
      <w:r>
        <w:rPr>
          <w:rFonts w:ascii="Times New Roman" w:hAnsi="Times New Roman" w:cs="Times New Roman"/>
          <w:sz w:val="24"/>
          <w:szCs w:val="24"/>
        </w:rPr>
        <w:t xml:space="preserve">. These two species showed distinctive profiles with long-chain hydrocarbons and methylated fatty acids, and they also clustered due to the presence of saponins and the absence or low abundance of phenolics. Notably, </w:t>
      </w:r>
      <w:r>
        <w:rPr>
          <w:rFonts w:ascii="Times New Roman" w:hAnsi="Times New Roman" w:cs="Times New Roman"/>
          <w:i/>
          <w:iCs/>
          <w:sz w:val="24"/>
          <w:szCs w:val="24"/>
        </w:rPr>
        <w:t xml:space="preserve">E. milli </w:t>
      </w:r>
      <w:r>
        <w:rPr>
          <w:rFonts w:ascii="Times New Roman" w:hAnsi="Times New Roman" w:cs="Times New Roman"/>
          <w:sz w:val="24"/>
          <w:szCs w:val="24"/>
        </w:rPr>
        <w:t xml:space="preserve">displayed a unique enrichment of cis-vaccenic acid and long-chain alkenes, aligning with previous reports of hydrocarbon-dominant </w:t>
      </w:r>
      <w:r>
        <w:rPr>
          <w:rFonts w:ascii="Times New Roman" w:hAnsi="Times New Roman" w:cs="Times New Roman"/>
          <w:i/>
          <w:iCs/>
          <w:sz w:val="24"/>
          <w:szCs w:val="24"/>
        </w:rPr>
        <w:t>Euphorbia</w:t>
      </w:r>
      <w:r>
        <w:rPr>
          <w:rFonts w:ascii="Times New Roman" w:hAnsi="Times New Roman" w:cs="Times New Roman"/>
          <w:sz w:val="24"/>
          <w:szCs w:val="24"/>
        </w:rPr>
        <w:t xml:space="preserve"> extracts.</w:t>
      </w:r>
    </w:p>
    <w:p w14:paraId="24DCBD33">
      <w:pPr>
        <w:jc w:val="both"/>
        <w:rPr>
          <w:rFonts w:ascii="Times New Roman" w:hAnsi="Times New Roman" w:cs="Times New Roman"/>
          <w:sz w:val="24"/>
          <w:szCs w:val="24"/>
        </w:rPr>
      </w:pPr>
    </w:p>
    <w:p w14:paraId="7CF45E82">
      <w:pPr>
        <w:jc w:val="both"/>
        <w:rPr>
          <w:rFonts w:ascii="Times New Roman" w:hAnsi="Times New Roman" w:cs="Times New Roman"/>
          <w:b/>
          <w:bCs/>
          <w:sz w:val="24"/>
          <w:szCs w:val="24"/>
        </w:rPr>
      </w:pPr>
      <w:r>
        <w:rPr>
          <w:rFonts w:ascii="Times New Roman" w:hAnsi="Times New Roman" w:cs="Times New Roman"/>
          <w:b/>
          <w:bCs/>
          <w:sz w:val="24"/>
          <w:szCs w:val="24"/>
        </w:rPr>
        <w:t>Chemotaxonomic Key (Based on Major Chemical Markers)</w:t>
      </w:r>
    </w:p>
    <w:p w14:paraId="3784C172">
      <w:pPr>
        <w:jc w:val="both"/>
        <w:rPr>
          <w:rFonts w:ascii="Times New Roman" w:hAnsi="Times New Roman" w:cs="Times New Roman"/>
          <w:bCs/>
          <w:sz w:val="24"/>
          <w:szCs w:val="24"/>
        </w:rPr>
      </w:pPr>
      <w:r>
        <w:rPr>
          <w:rFonts w:ascii="Times New Roman" w:hAnsi="Times New Roman" w:cs="Times New Roman"/>
          <w:bCs/>
          <w:sz w:val="24"/>
          <w:szCs w:val="24"/>
        </w:rPr>
        <w:t>1. Species rich in cis-vaccenic acid and long-chain alkenes →</w:t>
      </w:r>
      <w:r>
        <w:rPr>
          <w:rFonts w:ascii="Times New Roman" w:hAnsi="Times New Roman" w:cs="Times New Roman"/>
          <w:bCs/>
          <w:i/>
          <w:iCs/>
          <w:sz w:val="24"/>
          <w:szCs w:val="24"/>
        </w:rPr>
        <w:t xml:space="preserve"> E. milli</w:t>
      </w:r>
    </w:p>
    <w:p w14:paraId="45FAFC0D">
      <w:pPr>
        <w:jc w:val="both"/>
        <w:rPr>
          <w:rFonts w:ascii="Times New Roman" w:hAnsi="Times New Roman" w:cs="Times New Roman"/>
          <w:bCs/>
          <w:sz w:val="24"/>
          <w:szCs w:val="24"/>
        </w:rPr>
      </w:pPr>
      <w:r>
        <w:rPr>
          <w:rFonts w:ascii="Times New Roman" w:hAnsi="Times New Roman" w:cs="Times New Roman"/>
          <w:bCs/>
          <w:sz w:val="24"/>
          <w:szCs w:val="24"/>
        </w:rPr>
        <w:t>1’. Species without cis-vaccenic acid → 2</w:t>
      </w:r>
    </w:p>
    <w:p w14:paraId="66423A62">
      <w:pPr>
        <w:jc w:val="both"/>
        <w:rPr>
          <w:rFonts w:ascii="Times New Roman" w:hAnsi="Times New Roman" w:cs="Times New Roman"/>
          <w:bCs/>
          <w:sz w:val="24"/>
          <w:szCs w:val="24"/>
        </w:rPr>
      </w:pPr>
    </w:p>
    <w:p w14:paraId="219A4742">
      <w:pPr>
        <w:jc w:val="both"/>
        <w:rPr>
          <w:rFonts w:ascii="Times New Roman" w:hAnsi="Times New Roman" w:cs="Times New Roman"/>
          <w:bCs/>
          <w:sz w:val="24"/>
          <w:szCs w:val="24"/>
        </w:rPr>
      </w:pPr>
      <w:r>
        <w:rPr>
          <w:rFonts w:ascii="Times New Roman" w:hAnsi="Times New Roman" w:cs="Times New Roman"/>
          <w:bCs/>
          <w:sz w:val="24"/>
          <w:szCs w:val="24"/>
        </w:rPr>
        <w:t>2. Species with high dodecanoic acid (&gt;10%) and abundant saponins →</w:t>
      </w:r>
      <w:r>
        <w:rPr>
          <w:rFonts w:ascii="Times New Roman" w:hAnsi="Times New Roman" w:cs="Times New Roman"/>
          <w:bCs/>
          <w:i/>
          <w:iCs/>
          <w:sz w:val="24"/>
          <w:szCs w:val="24"/>
        </w:rPr>
        <w:t xml:space="preserve"> E. heterophylla</w:t>
      </w:r>
    </w:p>
    <w:p w14:paraId="30F63F29">
      <w:pPr>
        <w:jc w:val="both"/>
        <w:rPr>
          <w:rFonts w:ascii="Times New Roman" w:hAnsi="Times New Roman" w:cs="Times New Roman"/>
          <w:bCs/>
          <w:sz w:val="24"/>
          <w:szCs w:val="24"/>
        </w:rPr>
      </w:pPr>
      <w:r>
        <w:rPr>
          <w:rFonts w:ascii="Times New Roman" w:hAnsi="Times New Roman" w:cs="Times New Roman"/>
          <w:bCs/>
          <w:sz w:val="24"/>
          <w:szCs w:val="24"/>
        </w:rPr>
        <w:t>2’. Species with moderate dodecanoic acid (&lt;10%) → 3</w:t>
      </w:r>
    </w:p>
    <w:p w14:paraId="3CF129EA">
      <w:pPr>
        <w:jc w:val="both"/>
        <w:rPr>
          <w:rFonts w:ascii="Times New Roman" w:hAnsi="Times New Roman" w:cs="Times New Roman"/>
          <w:bCs/>
          <w:sz w:val="24"/>
          <w:szCs w:val="24"/>
        </w:rPr>
      </w:pPr>
    </w:p>
    <w:p w14:paraId="26F2618C">
      <w:pPr>
        <w:jc w:val="both"/>
        <w:rPr>
          <w:rFonts w:ascii="Times New Roman" w:hAnsi="Times New Roman" w:cs="Times New Roman"/>
          <w:bCs/>
          <w:sz w:val="24"/>
          <w:szCs w:val="24"/>
        </w:rPr>
      </w:pPr>
      <w:r>
        <w:rPr>
          <w:rFonts w:ascii="Times New Roman" w:hAnsi="Times New Roman" w:cs="Times New Roman"/>
          <w:bCs/>
          <w:sz w:val="24"/>
          <w:szCs w:val="24"/>
        </w:rPr>
        <w:t xml:space="preserve">3. Species containing 2,4-di-tert-butylphenol and alkaloids → </w:t>
      </w:r>
      <w:r>
        <w:rPr>
          <w:rFonts w:ascii="Times New Roman" w:hAnsi="Times New Roman" w:cs="Times New Roman"/>
          <w:bCs/>
          <w:i/>
          <w:iCs/>
          <w:sz w:val="24"/>
          <w:szCs w:val="24"/>
        </w:rPr>
        <w:t>E. caranensis</w:t>
      </w:r>
    </w:p>
    <w:p w14:paraId="42037545">
      <w:pPr>
        <w:jc w:val="both"/>
        <w:rPr>
          <w:rFonts w:ascii="Times New Roman" w:hAnsi="Times New Roman" w:cs="Times New Roman"/>
          <w:bCs/>
          <w:sz w:val="24"/>
          <w:szCs w:val="24"/>
        </w:rPr>
      </w:pPr>
      <w:r>
        <w:rPr>
          <w:rFonts w:ascii="Times New Roman" w:hAnsi="Times New Roman" w:cs="Times New Roman"/>
          <w:bCs/>
          <w:sz w:val="24"/>
          <w:szCs w:val="24"/>
        </w:rPr>
        <w:t>3’. Species without 2,4-di-tert-butylphenol → 4</w:t>
      </w:r>
    </w:p>
    <w:p w14:paraId="46165CCB">
      <w:pPr>
        <w:jc w:val="both"/>
        <w:rPr>
          <w:rFonts w:ascii="Times New Roman" w:hAnsi="Times New Roman" w:cs="Times New Roman"/>
          <w:bCs/>
          <w:sz w:val="24"/>
          <w:szCs w:val="24"/>
        </w:rPr>
      </w:pPr>
    </w:p>
    <w:p w14:paraId="429EFDE1">
      <w:pPr>
        <w:jc w:val="both"/>
        <w:rPr>
          <w:rFonts w:ascii="Times New Roman" w:hAnsi="Times New Roman" w:cs="Times New Roman"/>
          <w:bCs/>
          <w:sz w:val="24"/>
          <w:szCs w:val="24"/>
        </w:rPr>
      </w:pPr>
      <w:r>
        <w:rPr>
          <w:rFonts w:ascii="Times New Roman" w:hAnsi="Times New Roman" w:cs="Times New Roman"/>
          <w:bCs/>
          <w:sz w:val="24"/>
          <w:szCs w:val="24"/>
        </w:rPr>
        <w:t xml:space="preserve">4. Species with moderate dodecanoic and tetradecanoic acids, no alkaloids → </w:t>
      </w:r>
      <w:r>
        <w:rPr>
          <w:rFonts w:ascii="Times New Roman" w:hAnsi="Times New Roman" w:cs="Times New Roman"/>
          <w:bCs/>
          <w:i/>
          <w:iCs/>
          <w:sz w:val="24"/>
          <w:szCs w:val="24"/>
        </w:rPr>
        <w:t>E. maculata</w:t>
      </w:r>
    </w:p>
    <w:p w14:paraId="79877D60">
      <w:pPr>
        <w:jc w:val="both"/>
        <w:rPr>
          <w:rFonts w:ascii="Times New Roman" w:hAnsi="Times New Roman" w:cs="Times New Roman"/>
          <w:bCs/>
          <w:sz w:val="24"/>
          <w:szCs w:val="24"/>
        </w:rPr>
      </w:pPr>
      <w:r>
        <w:rPr>
          <w:rFonts w:ascii="Times New Roman" w:hAnsi="Times New Roman" w:cs="Times New Roman"/>
          <w:bCs/>
          <w:sz w:val="24"/>
          <w:szCs w:val="24"/>
        </w:rPr>
        <w:t xml:space="preserve">4’. Species with dodecanoic + tetradecanoic acids plus alkaloids → </w:t>
      </w:r>
      <w:r>
        <w:rPr>
          <w:rFonts w:ascii="Times New Roman" w:hAnsi="Times New Roman" w:cs="Times New Roman"/>
          <w:bCs/>
          <w:i/>
          <w:iCs/>
          <w:sz w:val="24"/>
          <w:szCs w:val="24"/>
        </w:rPr>
        <w:t>E. hirta</w:t>
      </w:r>
    </w:p>
    <w:p w14:paraId="3C56B879">
      <w:pPr>
        <w:jc w:val="both"/>
        <w:rPr>
          <w:rFonts w:ascii="Times New Roman" w:hAnsi="Times New Roman" w:cs="Times New Roman"/>
          <w:bCs/>
          <w:sz w:val="24"/>
          <w:szCs w:val="24"/>
        </w:rPr>
      </w:pPr>
    </w:p>
    <w:p w14:paraId="1024F855">
      <w:pPr>
        <w:jc w:val="both"/>
        <w:rPr>
          <w:rFonts w:ascii="Times New Roman" w:hAnsi="Times New Roman" w:cs="Times New Roman"/>
          <w:bCs/>
          <w:sz w:val="24"/>
          <w:szCs w:val="24"/>
        </w:rPr>
      </w:pPr>
      <w:r>
        <w:drawing>
          <wp:anchor distT="0" distB="0" distL="0" distR="0" simplePos="0" relativeHeight="251659264" behindDoc="0" locked="0" layoutInCell="1" allowOverlap="1">
            <wp:simplePos x="0" y="0"/>
            <wp:positionH relativeFrom="page">
              <wp:posOffset>897255</wp:posOffset>
            </wp:positionH>
            <wp:positionV relativeFrom="page">
              <wp:posOffset>4298950</wp:posOffset>
            </wp:positionV>
            <wp:extent cx="4257040" cy="3438525"/>
            <wp:effectExtent l="0" t="0" r="0" b="0"/>
            <wp:wrapNone/>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14" cstate="print"/>
                    <a:srcRect l="4487" r="2630"/>
                    <a:stretch>
                      <a:fillRect/>
                    </a:stretch>
                  </pic:blipFill>
                  <pic:spPr>
                    <a:xfrm>
                      <a:off x="0" y="0"/>
                      <a:ext cx="4257306" cy="3438677"/>
                    </a:xfrm>
                    <a:prstGeom prst="rect">
                      <a:avLst/>
                    </a:prstGeom>
                    <a:ln>
                      <a:noFill/>
                    </a:ln>
                  </pic:spPr>
                </pic:pic>
              </a:graphicData>
            </a:graphic>
          </wp:anchor>
        </w:drawing>
      </w:r>
    </w:p>
    <w:p w14:paraId="2BEBDD50">
      <w:pPr>
        <w:jc w:val="both"/>
        <w:rPr>
          <w:rFonts w:ascii="Times New Roman" w:hAnsi="Times New Roman" w:cs="Times New Roman"/>
          <w:bCs/>
          <w:sz w:val="24"/>
          <w:szCs w:val="24"/>
        </w:rPr>
      </w:pPr>
    </w:p>
    <w:p w14:paraId="7440BD80">
      <w:pPr>
        <w:jc w:val="both"/>
        <w:rPr>
          <w:rFonts w:ascii="Times New Roman" w:hAnsi="Times New Roman" w:cs="Times New Roman"/>
          <w:bCs/>
          <w:sz w:val="24"/>
          <w:szCs w:val="24"/>
        </w:rPr>
      </w:pPr>
    </w:p>
    <w:p w14:paraId="4C20D6CA">
      <w:pPr>
        <w:jc w:val="both"/>
        <w:rPr>
          <w:rFonts w:ascii="Times New Roman" w:hAnsi="Times New Roman" w:cs="Times New Roman"/>
          <w:bCs/>
          <w:sz w:val="24"/>
          <w:szCs w:val="24"/>
        </w:rPr>
      </w:pPr>
    </w:p>
    <w:p w14:paraId="2DD3DA86">
      <w:pPr>
        <w:jc w:val="both"/>
        <w:rPr>
          <w:rFonts w:ascii="Times New Roman" w:hAnsi="Times New Roman" w:cs="Times New Roman"/>
          <w:bCs/>
          <w:sz w:val="24"/>
          <w:szCs w:val="24"/>
        </w:rPr>
      </w:pPr>
    </w:p>
    <w:p w14:paraId="17498ED2">
      <w:pPr>
        <w:jc w:val="both"/>
        <w:rPr>
          <w:rFonts w:ascii="Times New Roman" w:hAnsi="Times New Roman" w:cs="Times New Roman"/>
          <w:bCs/>
          <w:sz w:val="24"/>
          <w:szCs w:val="24"/>
        </w:rPr>
      </w:pPr>
    </w:p>
    <w:p w14:paraId="606F3BB2">
      <w:pPr>
        <w:jc w:val="both"/>
        <w:rPr>
          <w:rFonts w:ascii="Times New Roman" w:hAnsi="Times New Roman" w:cs="Times New Roman"/>
          <w:bCs/>
          <w:sz w:val="24"/>
          <w:szCs w:val="24"/>
        </w:rPr>
      </w:pPr>
    </w:p>
    <w:p w14:paraId="511FD874">
      <w:pPr>
        <w:jc w:val="both"/>
        <w:rPr>
          <w:rFonts w:ascii="Times New Roman" w:hAnsi="Times New Roman" w:cs="Times New Roman"/>
          <w:bCs/>
          <w:sz w:val="24"/>
          <w:szCs w:val="24"/>
        </w:rPr>
      </w:pPr>
    </w:p>
    <w:p w14:paraId="5011DEA5">
      <w:pPr>
        <w:jc w:val="both"/>
        <w:rPr>
          <w:rFonts w:ascii="Times New Roman" w:hAnsi="Times New Roman" w:cs="Times New Roman"/>
          <w:bCs/>
          <w:sz w:val="24"/>
          <w:szCs w:val="24"/>
        </w:rPr>
      </w:pPr>
    </w:p>
    <w:p w14:paraId="70AB7228">
      <w:pPr>
        <w:jc w:val="center"/>
        <w:rPr>
          <w:rFonts w:ascii="Times New Roman" w:hAnsi="Times New Roman" w:cs="Times New Roman"/>
          <w:bCs/>
          <w:sz w:val="24"/>
          <w:szCs w:val="24"/>
        </w:rPr>
      </w:pPr>
    </w:p>
    <w:p w14:paraId="481C0D87">
      <w:pPr>
        <w:jc w:val="both"/>
        <w:rPr>
          <w:rFonts w:ascii="Times New Roman" w:hAnsi="Times New Roman" w:cs="Times New Roman"/>
          <w:b/>
          <w:bCs/>
          <w:sz w:val="24"/>
          <w:szCs w:val="24"/>
        </w:rPr>
      </w:pPr>
    </w:p>
    <w:p w14:paraId="53BBADA7">
      <w:pPr>
        <w:jc w:val="both"/>
        <w:rPr>
          <w:rFonts w:ascii="Times New Roman" w:hAnsi="Times New Roman" w:cs="Times New Roman"/>
          <w:b/>
          <w:bCs/>
          <w:sz w:val="24"/>
          <w:szCs w:val="24"/>
        </w:rPr>
      </w:pPr>
    </w:p>
    <w:p w14:paraId="0A650F3C">
      <w:pPr>
        <w:jc w:val="both"/>
        <w:rPr>
          <w:rFonts w:ascii="Times New Roman" w:hAnsi="Times New Roman" w:cs="Times New Roman"/>
          <w:b/>
          <w:bCs/>
          <w:sz w:val="24"/>
          <w:szCs w:val="24"/>
        </w:rPr>
      </w:pPr>
    </w:p>
    <w:p w14:paraId="7C17BB42">
      <w:pPr>
        <w:jc w:val="both"/>
        <w:rPr>
          <w:rFonts w:ascii="Times New Roman" w:hAnsi="Times New Roman" w:cs="Times New Roman"/>
          <w:b/>
          <w:bCs/>
          <w:sz w:val="24"/>
          <w:szCs w:val="24"/>
        </w:rPr>
      </w:pPr>
      <w:r>
        <w:rPr>
          <w:rFonts w:ascii="Times New Roman" w:hAnsi="Times New Roman" w:cs="Times New Roman"/>
          <w:b/>
          <w:bCs/>
          <w:sz w:val="24"/>
          <w:szCs w:val="24"/>
        </w:rPr>
        <w:t xml:space="preserve">Figure 1: GC-MS Chromatogram of </w:t>
      </w:r>
      <w:r>
        <w:rPr>
          <w:rFonts w:ascii="Times New Roman" w:hAnsi="Times New Roman" w:cs="Times New Roman"/>
          <w:b/>
          <w:bCs/>
          <w:i/>
          <w:iCs/>
          <w:sz w:val="24"/>
          <w:szCs w:val="24"/>
        </w:rPr>
        <w:t xml:space="preserve">Euphorbia milii </w:t>
      </w:r>
    </w:p>
    <w:p w14:paraId="35E8E444">
      <w:pPr>
        <w:jc w:val="both"/>
        <w:rPr>
          <w:rFonts w:ascii="Times New Roman" w:hAnsi="Times New Roman" w:cs="Times New Roman"/>
          <w:b/>
          <w:bCs/>
          <w:sz w:val="24"/>
          <w:szCs w:val="24"/>
        </w:rPr>
      </w:pPr>
    </w:p>
    <w:p w14:paraId="488A0758">
      <w:pPr>
        <w:jc w:val="both"/>
        <w:rPr>
          <w:rFonts w:ascii="Times New Roman" w:hAnsi="Times New Roman" w:cs="Times New Roman"/>
          <w:b/>
          <w:bCs/>
          <w:sz w:val="24"/>
          <w:szCs w:val="24"/>
        </w:rPr>
      </w:pPr>
    </w:p>
    <w:p w14:paraId="67242B81">
      <w:pPr>
        <w:jc w:val="both"/>
        <w:rPr>
          <w:rFonts w:ascii="Times New Roman" w:hAnsi="Times New Roman" w:cs="Times New Roman"/>
          <w:b/>
          <w:bCs/>
          <w:sz w:val="24"/>
          <w:szCs w:val="24"/>
        </w:rPr>
      </w:pPr>
    </w:p>
    <w:p w14:paraId="5BEC75A3">
      <w:pPr>
        <w:jc w:val="both"/>
        <w:rPr>
          <w:rFonts w:ascii="Times New Roman" w:hAnsi="Times New Roman" w:cs="Times New Roman"/>
          <w:b/>
          <w:bCs/>
          <w:sz w:val="24"/>
          <w:szCs w:val="24"/>
        </w:rPr>
      </w:pPr>
    </w:p>
    <w:p w14:paraId="37FC6757">
      <w:pPr>
        <w:jc w:val="both"/>
        <w:rPr>
          <w:rFonts w:ascii="Times New Roman" w:hAnsi="Times New Roman" w:cs="Times New Roman"/>
          <w:b/>
          <w:bCs/>
          <w:i/>
          <w:iCs/>
          <w:sz w:val="24"/>
          <w:szCs w:val="24"/>
        </w:rPr>
      </w:pPr>
      <w:r>
        <w:rPr>
          <w:rFonts w:ascii="Times New Roman" w:hAnsi="Times New Roman" w:cs="Times New Roman"/>
          <w:b/>
          <w:bCs/>
          <w:sz w:val="24"/>
          <w:szCs w:val="24"/>
        </w:rPr>
        <w:t>Table 1: GC-MS Phytochemical profile of</w:t>
      </w:r>
      <w:r>
        <w:rPr>
          <w:rFonts w:ascii="Times New Roman" w:hAnsi="Times New Roman" w:cs="Times New Roman"/>
          <w:b/>
          <w:bCs/>
          <w:i/>
          <w:iCs/>
          <w:sz w:val="24"/>
          <w:szCs w:val="24"/>
        </w:rPr>
        <w:t xml:space="preserve"> Euphorbia milli</w:t>
      </w:r>
    </w:p>
    <w:tbl>
      <w:tblPr>
        <w:tblStyle w:val="9"/>
        <w:tblpPr w:vertAnchor="text" w:horzAnchor="margin" w:tblpY="178"/>
        <w:tblW w:w="9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83"/>
        <w:gridCol w:w="1298"/>
        <w:gridCol w:w="1095"/>
        <w:gridCol w:w="1188"/>
        <w:gridCol w:w="2159"/>
        <w:gridCol w:w="1300"/>
      </w:tblGrid>
      <w:tr w14:paraId="1585F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2819" w:type="dxa"/>
            <w:tcBorders>
              <w:top w:val="single" w:color="auto" w:sz="4" w:space="0"/>
              <w:left w:val="single" w:color="auto" w:sz="4" w:space="0"/>
              <w:bottom w:val="single" w:color="auto" w:sz="4" w:space="0"/>
              <w:right w:val="single" w:color="auto" w:sz="4" w:space="0"/>
            </w:tcBorders>
          </w:tcPr>
          <w:p w14:paraId="6B0BA30F">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352" w:type="dxa"/>
            <w:tcBorders>
              <w:top w:val="single" w:color="auto" w:sz="4" w:space="0"/>
              <w:left w:val="single" w:color="auto" w:sz="4" w:space="0"/>
              <w:bottom w:val="single" w:color="auto" w:sz="4" w:space="0"/>
              <w:right w:val="single" w:color="auto" w:sz="4" w:space="0"/>
            </w:tcBorders>
          </w:tcPr>
          <w:p w14:paraId="399128E5">
            <w:pPr>
              <w:jc w:val="both"/>
              <w:rPr>
                <w:rFonts w:ascii="Times New Roman" w:hAnsi="Times New Roman" w:cs="Times New Roman"/>
                <w:bCs/>
                <w:sz w:val="24"/>
                <w:szCs w:val="24"/>
              </w:rPr>
            </w:pPr>
            <w:r>
              <w:rPr>
                <w:rFonts w:ascii="Times New Roman" w:hAnsi="Times New Roman" w:cs="Times New Roman"/>
                <w:bCs/>
                <w:sz w:val="24"/>
                <w:szCs w:val="24"/>
              </w:rPr>
              <w:t>Retention time</w:t>
            </w:r>
          </w:p>
        </w:tc>
        <w:tc>
          <w:tcPr>
            <w:tcW w:w="1247" w:type="dxa"/>
            <w:tcBorders>
              <w:top w:val="single" w:color="auto" w:sz="4" w:space="0"/>
              <w:left w:val="single" w:color="auto" w:sz="4" w:space="0"/>
              <w:bottom w:val="single" w:color="auto" w:sz="4" w:space="0"/>
              <w:right w:val="single" w:color="auto" w:sz="4" w:space="0"/>
            </w:tcBorders>
          </w:tcPr>
          <w:p w14:paraId="50B0E013">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290" w:type="dxa"/>
            <w:tcBorders>
              <w:top w:val="single" w:color="auto" w:sz="4" w:space="0"/>
              <w:left w:val="single" w:color="auto" w:sz="4" w:space="0"/>
              <w:bottom w:val="single" w:color="auto" w:sz="4" w:space="0"/>
              <w:right w:val="single" w:color="auto" w:sz="4" w:space="0"/>
            </w:tcBorders>
          </w:tcPr>
          <w:p w14:paraId="75D06720">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483" w:type="dxa"/>
            <w:tcBorders>
              <w:top w:val="single" w:color="auto" w:sz="4" w:space="0"/>
              <w:left w:val="single" w:color="auto" w:sz="4" w:space="0"/>
              <w:bottom w:val="single" w:color="auto" w:sz="4" w:space="0"/>
              <w:right w:val="single" w:color="auto" w:sz="4" w:space="0"/>
            </w:tcBorders>
          </w:tcPr>
          <w:p w14:paraId="1D527782">
            <w:pPr>
              <w:jc w:val="both"/>
            </w:pPr>
            <w:r>
              <w:t xml:space="preserve">Biological activities </w:t>
            </w:r>
          </w:p>
        </w:tc>
        <w:tc>
          <w:tcPr>
            <w:tcW w:w="1332" w:type="dxa"/>
            <w:tcBorders>
              <w:top w:val="single" w:color="auto" w:sz="4" w:space="0"/>
              <w:left w:val="single" w:color="auto" w:sz="4" w:space="0"/>
              <w:bottom w:val="single" w:color="auto" w:sz="4" w:space="0"/>
              <w:right w:val="single" w:color="auto" w:sz="4" w:space="0"/>
            </w:tcBorders>
          </w:tcPr>
          <w:p w14:paraId="75E093C2">
            <w:pPr>
              <w:jc w:val="both"/>
            </w:pPr>
            <w:r>
              <w:t xml:space="preserve">References </w:t>
            </w:r>
          </w:p>
        </w:tc>
      </w:tr>
      <w:tr w14:paraId="534D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2819" w:type="dxa"/>
            <w:tcBorders>
              <w:top w:val="single" w:color="auto" w:sz="4" w:space="0"/>
              <w:left w:val="single" w:color="auto" w:sz="4" w:space="0"/>
              <w:bottom w:val="single" w:color="auto" w:sz="4" w:space="0"/>
              <w:right w:val="single" w:color="auto" w:sz="4" w:space="0"/>
            </w:tcBorders>
          </w:tcPr>
          <w:p w14:paraId="201B051A">
            <w:pPr>
              <w:jc w:val="both"/>
              <w:rPr>
                <w:rFonts w:ascii="Times New Roman" w:hAnsi="Times New Roman" w:cs="Times New Roman"/>
                <w:bCs/>
                <w:sz w:val="24"/>
                <w:szCs w:val="24"/>
              </w:rPr>
            </w:pPr>
            <w:r>
              <w:rPr>
                <w:rFonts w:ascii="Times New Roman" w:hAnsi="Times New Roman" w:cs="Times New Roman"/>
                <w:bCs/>
                <w:sz w:val="24"/>
                <w:szCs w:val="24"/>
              </w:rPr>
              <w:t>Cyclodecene</w:t>
            </w:r>
          </w:p>
        </w:tc>
        <w:tc>
          <w:tcPr>
            <w:tcW w:w="1352" w:type="dxa"/>
            <w:tcBorders>
              <w:top w:val="single" w:color="auto" w:sz="4" w:space="0"/>
              <w:left w:val="single" w:color="auto" w:sz="4" w:space="0"/>
              <w:bottom w:val="single" w:color="auto" w:sz="4" w:space="0"/>
              <w:right w:val="single" w:color="auto" w:sz="4" w:space="0"/>
            </w:tcBorders>
          </w:tcPr>
          <w:p w14:paraId="17D0AA37">
            <w:pPr>
              <w:jc w:val="both"/>
              <w:rPr>
                <w:rFonts w:ascii="Times New Roman" w:hAnsi="Times New Roman" w:cs="Times New Roman"/>
                <w:bCs/>
                <w:sz w:val="24"/>
                <w:szCs w:val="24"/>
              </w:rPr>
            </w:pPr>
            <w:r>
              <w:rPr>
                <w:rFonts w:ascii="Times New Roman" w:hAnsi="Times New Roman" w:cs="Times New Roman"/>
                <w:bCs/>
                <w:sz w:val="24"/>
                <w:szCs w:val="24"/>
              </w:rPr>
              <w:t>5.427</w:t>
            </w:r>
          </w:p>
        </w:tc>
        <w:tc>
          <w:tcPr>
            <w:tcW w:w="1247" w:type="dxa"/>
            <w:tcBorders>
              <w:top w:val="single" w:color="auto" w:sz="4" w:space="0"/>
              <w:left w:val="single" w:color="auto" w:sz="4" w:space="0"/>
              <w:bottom w:val="single" w:color="auto" w:sz="4" w:space="0"/>
              <w:right w:val="single" w:color="auto" w:sz="4" w:space="0"/>
            </w:tcBorders>
          </w:tcPr>
          <w:p w14:paraId="7E3B73F9">
            <w:pPr>
              <w:jc w:val="both"/>
              <w:rPr>
                <w:rFonts w:ascii="Times New Roman" w:hAnsi="Times New Roman" w:cs="Times New Roman"/>
                <w:bCs/>
                <w:sz w:val="24"/>
                <w:szCs w:val="24"/>
              </w:rPr>
            </w:pPr>
            <w:r>
              <w:rPr>
                <w:rFonts w:ascii="Times New Roman" w:hAnsi="Times New Roman" w:cs="Times New Roman"/>
                <w:bCs/>
                <w:sz w:val="24"/>
                <w:szCs w:val="24"/>
              </w:rPr>
              <w:t>0.12</w:t>
            </w:r>
          </w:p>
        </w:tc>
        <w:tc>
          <w:tcPr>
            <w:tcW w:w="1290" w:type="dxa"/>
            <w:tcBorders>
              <w:top w:val="single" w:color="auto" w:sz="4" w:space="0"/>
              <w:left w:val="single" w:color="auto" w:sz="4" w:space="0"/>
              <w:bottom w:val="single" w:color="auto" w:sz="4" w:space="0"/>
              <w:right w:val="single" w:color="auto" w:sz="4" w:space="0"/>
            </w:tcBorders>
          </w:tcPr>
          <w:p w14:paraId="2E7073DB">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color="auto" w:sz="4" w:space="0"/>
              <w:left w:val="single" w:color="auto" w:sz="4" w:space="0"/>
              <w:bottom w:val="single" w:color="auto" w:sz="4" w:space="0"/>
              <w:right w:val="single" w:color="auto" w:sz="4" w:space="0"/>
            </w:tcBorders>
          </w:tcPr>
          <w:p w14:paraId="7AFC4EF9">
            <w:pPr>
              <w:jc w:val="both"/>
            </w:pPr>
            <w:r>
              <w:t>_</w:t>
            </w:r>
          </w:p>
        </w:tc>
        <w:tc>
          <w:tcPr>
            <w:tcW w:w="1332" w:type="dxa"/>
            <w:tcBorders>
              <w:top w:val="single" w:color="auto" w:sz="4" w:space="0"/>
              <w:left w:val="single" w:color="auto" w:sz="4" w:space="0"/>
              <w:bottom w:val="single" w:color="auto" w:sz="4" w:space="0"/>
              <w:right w:val="single" w:color="auto" w:sz="4" w:space="0"/>
            </w:tcBorders>
          </w:tcPr>
          <w:p w14:paraId="5247E4CF">
            <w:pPr>
              <w:jc w:val="both"/>
            </w:pPr>
            <w:r>
              <w:t>_</w:t>
            </w:r>
          </w:p>
        </w:tc>
      </w:tr>
      <w:tr w14:paraId="25C76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2819" w:type="dxa"/>
            <w:tcBorders>
              <w:top w:val="single" w:color="auto" w:sz="4" w:space="0"/>
              <w:left w:val="single" w:color="auto" w:sz="4" w:space="0"/>
              <w:bottom w:val="single" w:color="auto" w:sz="4" w:space="0"/>
              <w:right w:val="single" w:color="auto" w:sz="4" w:space="0"/>
            </w:tcBorders>
          </w:tcPr>
          <w:p w14:paraId="3C778F8F">
            <w:pPr>
              <w:jc w:val="both"/>
              <w:rPr>
                <w:rFonts w:ascii="Times New Roman" w:hAnsi="Times New Roman" w:cs="Times New Roman"/>
                <w:bCs/>
                <w:sz w:val="24"/>
                <w:szCs w:val="24"/>
              </w:rPr>
            </w:pPr>
            <w:r>
              <w:rPr>
                <w:rFonts w:ascii="Times New Roman" w:hAnsi="Times New Roman" w:cs="Times New Roman"/>
                <w:bCs/>
                <w:sz w:val="24"/>
                <w:szCs w:val="24"/>
              </w:rPr>
              <w:t xml:space="preserve">Undecane </w:t>
            </w:r>
          </w:p>
        </w:tc>
        <w:tc>
          <w:tcPr>
            <w:tcW w:w="1352" w:type="dxa"/>
            <w:tcBorders>
              <w:top w:val="single" w:color="auto" w:sz="4" w:space="0"/>
              <w:left w:val="single" w:color="auto" w:sz="4" w:space="0"/>
              <w:bottom w:val="single" w:color="auto" w:sz="4" w:space="0"/>
              <w:right w:val="single" w:color="auto" w:sz="4" w:space="0"/>
            </w:tcBorders>
          </w:tcPr>
          <w:p w14:paraId="1A133513">
            <w:pPr>
              <w:jc w:val="both"/>
              <w:rPr>
                <w:rFonts w:ascii="Times New Roman" w:hAnsi="Times New Roman" w:cs="Times New Roman"/>
                <w:bCs/>
                <w:sz w:val="24"/>
                <w:szCs w:val="24"/>
              </w:rPr>
            </w:pPr>
            <w:r>
              <w:rPr>
                <w:rFonts w:ascii="Times New Roman" w:hAnsi="Times New Roman" w:cs="Times New Roman"/>
                <w:bCs/>
                <w:sz w:val="24"/>
                <w:szCs w:val="24"/>
              </w:rPr>
              <w:t>6.965</w:t>
            </w:r>
          </w:p>
        </w:tc>
        <w:tc>
          <w:tcPr>
            <w:tcW w:w="1247" w:type="dxa"/>
            <w:tcBorders>
              <w:top w:val="single" w:color="auto" w:sz="4" w:space="0"/>
              <w:left w:val="single" w:color="auto" w:sz="4" w:space="0"/>
              <w:bottom w:val="single" w:color="auto" w:sz="4" w:space="0"/>
              <w:right w:val="single" w:color="auto" w:sz="4" w:space="0"/>
            </w:tcBorders>
          </w:tcPr>
          <w:p w14:paraId="586F2B09">
            <w:pPr>
              <w:jc w:val="both"/>
              <w:rPr>
                <w:rFonts w:ascii="Times New Roman" w:hAnsi="Times New Roman" w:cs="Times New Roman"/>
                <w:bCs/>
                <w:sz w:val="24"/>
                <w:szCs w:val="24"/>
              </w:rPr>
            </w:pPr>
            <w:r>
              <w:rPr>
                <w:rFonts w:ascii="Times New Roman" w:hAnsi="Times New Roman" w:cs="Times New Roman"/>
                <w:bCs/>
                <w:sz w:val="24"/>
                <w:szCs w:val="24"/>
              </w:rPr>
              <w:t>0.18</w:t>
            </w:r>
          </w:p>
        </w:tc>
        <w:tc>
          <w:tcPr>
            <w:tcW w:w="1290" w:type="dxa"/>
            <w:tcBorders>
              <w:top w:val="single" w:color="auto" w:sz="4" w:space="0"/>
              <w:left w:val="single" w:color="auto" w:sz="4" w:space="0"/>
              <w:bottom w:val="single" w:color="auto" w:sz="4" w:space="0"/>
              <w:right w:val="single" w:color="auto" w:sz="4" w:space="0"/>
            </w:tcBorders>
          </w:tcPr>
          <w:p w14:paraId="7B84D5C4">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color="auto" w:sz="4" w:space="0"/>
              <w:left w:val="single" w:color="auto" w:sz="4" w:space="0"/>
              <w:bottom w:val="single" w:color="auto" w:sz="4" w:space="0"/>
              <w:right w:val="single" w:color="auto" w:sz="4" w:space="0"/>
            </w:tcBorders>
          </w:tcPr>
          <w:p w14:paraId="28A64FEA">
            <w:pPr>
              <w:jc w:val="both"/>
            </w:pPr>
            <w:r>
              <w:t xml:space="preserve">Mild sex attractant </w:t>
            </w:r>
          </w:p>
        </w:tc>
        <w:tc>
          <w:tcPr>
            <w:tcW w:w="1332" w:type="dxa"/>
            <w:tcBorders>
              <w:top w:val="single" w:color="auto" w:sz="4" w:space="0"/>
              <w:left w:val="single" w:color="auto" w:sz="4" w:space="0"/>
              <w:bottom w:val="single" w:color="auto" w:sz="4" w:space="0"/>
              <w:right w:val="single" w:color="auto" w:sz="4" w:space="0"/>
            </w:tcBorders>
          </w:tcPr>
          <w:p w14:paraId="48F45798">
            <w:pPr>
              <w:jc w:val="both"/>
            </w:pPr>
            <w:r>
              <w:t xml:space="preserve">Duke, 1992; Meher </w:t>
            </w:r>
            <w:r>
              <w:rPr>
                <w:i/>
                <w:iCs/>
              </w:rPr>
              <w:t>et</w:t>
            </w:r>
            <w:r>
              <w:t xml:space="preserve"> </w:t>
            </w:r>
            <w:r>
              <w:rPr>
                <w:i/>
                <w:iCs/>
              </w:rPr>
              <w:t>al</w:t>
            </w:r>
            <w:r>
              <w:t>., 2019</w:t>
            </w:r>
          </w:p>
        </w:tc>
      </w:tr>
      <w:tr w14:paraId="3D90F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819" w:type="dxa"/>
            <w:tcBorders>
              <w:top w:val="single" w:color="auto" w:sz="4" w:space="0"/>
              <w:left w:val="single" w:color="auto" w:sz="4" w:space="0"/>
              <w:bottom w:val="single" w:color="auto" w:sz="4" w:space="0"/>
              <w:right w:val="single" w:color="auto" w:sz="4" w:space="0"/>
            </w:tcBorders>
          </w:tcPr>
          <w:p w14:paraId="6182DD2F">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tc>
        <w:tc>
          <w:tcPr>
            <w:tcW w:w="1352" w:type="dxa"/>
            <w:tcBorders>
              <w:top w:val="single" w:color="auto" w:sz="4" w:space="0"/>
              <w:left w:val="single" w:color="auto" w:sz="4" w:space="0"/>
              <w:bottom w:val="single" w:color="auto" w:sz="4" w:space="0"/>
              <w:right w:val="single" w:color="auto" w:sz="4" w:space="0"/>
            </w:tcBorders>
          </w:tcPr>
          <w:p w14:paraId="177E7AB6">
            <w:pPr>
              <w:jc w:val="both"/>
              <w:rPr>
                <w:rFonts w:ascii="Times New Roman" w:hAnsi="Times New Roman" w:cs="Times New Roman"/>
                <w:bCs/>
                <w:sz w:val="24"/>
                <w:szCs w:val="24"/>
              </w:rPr>
            </w:pPr>
            <w:r>
              <w:rPr>
                <w:rFonts w:ascii="Times New Roman" w:hAnsi="Times New Roman" w:cs="Times New Roman"/>
                <w:bCs/>
                <w:sz w:val="24"/>
                <w:szCs w:val="24"/>
              </w:rPr>
              <w:t>9.633</w:t>
            </w:r>
          </w:p>
        </w:tc>
        <w:tc>
          <w:tcPr>
            <w:tcW w:w="1247" w:type="dxa"/>
            <w:tcBorders>
              <w:top w:val="single" w:color="auto" w:sz="4" w:space="0"/>
              <w:left w:val="single" w:color="auto" w:sz="4" w:space="0"/>
              <w:bottom w:val="single" w:color="auto" w:sz="4" w:space="0"/>
              <w:right w:val="single" w:color="auto" w:sz="4" w:space="0"/>
            </w:tcBorders>
          </w:tcPr>
          <w:p w14:paraId="55751E5C">
            <w:pPr>
              <w:jc w:val="both"/>
              <w:rPr>
                <w:rFonts w:ascii="Times New Roman" w:hAnsi="Times New Roman" w:cs="Times New Roman"/>
                <w:bCs/>
                <w:sz w:val="24"/>
                <w:szCs w:val="24"/>
              </w:rPr>
            </w:pPr>
            <w:r>
              <w:rPr>
                <w:rFonts w:ascii="Times New Roman" w:hAnsi="Times New Roman" w:cs="Times New Roman"/>
                <w:bCs/>
                <w:sz w:val="24"/>
                <w:szCs w:val="24"/>
              </w:rPr>
              <w:t>0.51</w:t>
            </w:r>
          </w:p>
        </w:tc>
        <w:tc>
          <w:tcPr>
            <w:tcW w:w="1290" w:type="dxa"/>
            <w:tcBorders>
              <w:top w:val="single" w:color="auto" w:sz="4" w:space="0"/>
              <w:left w:val="single" w:color="auto" w:sz="4" w:space="0"/>
              <w:bottom w:val="single" w:color="auto" w:sz="4" w:space="0"/>
              <w:right w:val="single" w:color="auto" w:sz="4" w:space="0"/>
            </w:tcBorders>
          </w:tcPr>
          <w:p w14:paraId="4D05ACD0">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color="auto" w:sz="4" w:space="0"/>
              <w:left w:val="single" w:color="auto" w:sz="4" w:space="0"/>
              <w:bottom w:val="single" w:color="auto" w:sz="4" w:space="0"/>
              <w:right w:val="single" w:color="auto" w:sz="4" w:space="0"/>
            </w:tcBorders>
          </w:tcPr>
          <w:p w14:paraId="6DFAE8F4">
            <w:pPr>
              <w:jc w:val="both"/>
            </w:pPr>
            <w:r>
              <w:t xml:space="preserve">Antibacterial, antifungal </w:t>
            </w:r>
          </w:p>
        </w:tc>
        <w:tc>
          <w:tcPr>
            <w:tcW w:w="1332" w:type="dxa"/>
            <w:tcBorders>
              <w:top w:val="single" w:color="auto" w:sz="4" w:space="0"/>
              <w:left w:val="single" w:color="auto" w:sz="4" w:space="0"/>
              <w:bottom w:val="single" w:color="auto" w:sz="4" w:space="0"/>
              <w:right w:val="single" w:color="auto" w:sz="4" w:space="0"/>
            </w:tcBorders>
          </w:tcPr>
          <w:p w14:paraId="7EA0A895">
            <w:pPr>
              <w:jc w:val="both"/>
            </w:pPr>
            <w:r>
              <w:t xml:space="preserve">Duke, 1992; Meher,  </w:t>
            </w:r>
            <w:r>
              <w:rPr>
                <w:i/>
                <w:iCs/>
              </w:rPr>
              <w:t>et</w:t>
            </w:r>
            <w:r>
              <w:t xml:space="preserve"> </w:t>
            </w:r>
            <w:r>
              <w:rPr>
                <w:i/>
                <w:iCs/>
              </w:rPr>
              <w:t>al</w:t>
            </w:r>
            <w:r>
              <w:t>., 2019</w:t>
            </w:r>
          </w:p>
        </w:tc>
      </w:tr>
      <w:tr w14:paraId="70E4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819" w:type="dxa"/>
            <w:tcBorders>
              <w:top w:val="single" w:color="auto" w:sz="4" w:space="0"/>
              <w:left w:val="single" w:color="auto" w:sz="4" w:space="0"/>
              <w:bottom w:val="single" w:color="auto" w:sz="4" w:space="0"/>
              <w:right w:val="single" w:color="auto" w:sz="4" w:space="0"/>
            </w:tcBorders>
          </w:tcPr>
          <w:p w14:paraId="17B00690">
            <w:pPr>
              <w:jc w:val="both"/>
              <w:rPr>
                <w:rFonts w:ascii="Times New Roman" w:hAnsi="Times New Roman" w:cs="Times New Roman"/>
                <w:bCs/>
                <w:sz w:val="24"/>
                <w:szCs w:val="24"/>
              </w:rPr>
            </w:pPr>
            <w:r>
              <w:rPr>
                <w:rFonts w:ascii="Times New Roman" w:hAnsi="Times New Roman" w:cs="Times New Roman"/>
                <w:bCs/>
                <w:sz w:val="24"/>
                <w:szCs w:val="24"/>
              </w:rPr>
              <w:t>Tridecane</w:t>
            </w:r>
          </w:p>
        </w:tc>
        <w:tc>
          <w:tcPr>
            <w:tcW w:w="1352" w:type="dxa"/>
            <w:tcBorders>
              <w:top w:val="single" w:color="auto" w:sz="4" w:space="0"/>
              <w:left w:val="single" w:color="auto" w:sz="4" w:space="0"/>
              <w:bottom w:val="single" w:color="auto" w:sz="4" w:space="0"/>
              <w:right w:val="single" w:color="auto" w:sz="4" w:space="0"/>
            </w:tcBorders>
          </w:tcPr>
          <w:p w14:paraId="3ED78F27">
            <w:pPr>
              <w:jc w:val="both"/>
              <w:rPr>
                <w:rFonts w:ascii="Times New Roman" w:hAnsi="Times New Roman" w:cs="Times New Roman"/>
                <w:bCs/>
                <w:sz w:val="24"/>
                <w:szCs w:val="24"/>
              </w:rPr>
            </w:pPr>
            <w:r>
              <w:rPr>
                <w:rFonts w:ascii="Times New Roman" w:hAnsi="Times New Roman" w:cs="Times New Roman"/>
                <w:bCs/>
                <w:sz w:val="24"/>
                <w:szCs w:val="24"/>
              </w:rPr>
              <w:t>12.326</w:t>
            </w:r>
          </w:p>
        </w:tc>
        <w:tc>
          <w:tcPr>
            <w:tcW w:w="1247" w:type="dxa"/>
            <w:tcBorders>
              <w:top w:val="single" w:color="auto" w:sz="4" w:space="0"/>
              <w:left w:val="single" w:color="auto" w:sz="4" w:space="0"/>
              <w:bottom w:val="single" w:color="auto" w:sz="4" w:space="0"/>
              <w:right w:val="single" w:color="auto" w:sz="4" w:space="0"/>
            </w:tcBorders>
          </w:tcPr>
          <w:p w14:paraId="76ED5FFC">
            <w:pPr>
              <w:jc w:val="both"/>
              <w:rPr>
                <w:rFonts w:ascii="Times New Roman" w:hAnsi="Times New Roman" w:cs="Times New Roman"/>
                <w:bCs/>
                <w:sz w:val="24"/>
                <w:szCs w:val="24"/>
              </w:rPr>
            </w:pPr>
            <w:r>
              <w:rPr>
                <w:rFonts w:ascii="Times New Roman" w:hAnsi="Times New Roman" w:cs="Times New Roman"/>
                <w:bCs/>
                <w:sz w:val="24"/>
                <w:szCs w:val="24"/>
              </w:rPr>
              <w:t>0.13</w:t>
            </w:r>
          </w:p>
        </w:tc>
        <w:tc>
          <w:tcPr>
            <w:tcW w:w="1290" w:type="dxa"/>
            <w:tcBorders>
              <w:top w:val="single" w:color="auto" w:sz="4" w:space="0"/>
              <w:left w:val="single" w:color="auto" w:sz="4" w:space="0"/>
              <w:bottom w:val="single" w:color="auto" w:sz="4" w:space="0"/>
              <w:right w:val="single" w:color="auto" w:sz="4" w:space="0"/>
            </w:tcBorders>
          </w:tcPr>
          <w:p w14:paraId="3DA54F6D">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483" w:type="dxa"/>
            <w:tcBorders>
              <w:top w:val="single" w:color="auto" w:sz="4" w:space="0"/>
              <w:left w:val="single" w:color="auto" w:sz="4" w:space="0"/>
              <w:bottom w:val="single" w:color="auto" w:sz="4" w:space="0"/>
              <w:right w:val="single" w:color="auto" w:sz="4" w:space="0"/>
            </w:tcBorders>
          </w:tcPr>
          <w:p w14:paraId="1114E4ED">
            <w:pPr>
              <w:jc w:val="both"/>
            </w:pPr>
            <w:r>
              <w:t xml:space="preserve">Antimicrobial </w:t>
            </w:r>
          </w:p>
        </w:tc>
        <w:tc>
          <w:tcPr>
            <w:tcW w:w="1332" w:type="dxa"/>
            <w:tcBorders>
              <w:top w:val="single" w:color="auto" w:sz="4" w:space="0"/>
              <w:left w:val="single" w:color="auto" w:sz="4" w:space="0"/>
              <w:bottom w:val="single" w:color="auto" w:sz="4" w:space="0"/>
              <w:right w:val="single" w:color="auto" w:sz="4" w:space="0"/>
            </w:tcBorders>
          </w:tcPr>
          <w:p w14:paraId="3722B68D">
            <w:pPr>
              <w:jc w:val="both"/>
            </w:pPr>
            <w:r>
              <w:t>Duke, 1992</w:t>
            </w:r>
          </w:p>
        </w:tc>
      </w:tr>
      <w:tr w14:paraId="1046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5" w:hRule="atLeast"/>
        </w:trPr>
        <w:tc>
          <w:tcPr>
            <w:tcW w:w="2819" w:type="dxa"/>
            <w:tcBorders>
              <w:top w:val="single" w:color="auto" w:sz="4" w:space="0"/>
              <w:left w:val="single" w:color="auto" w:sz="4" w:space="0"/>
              <w:bottom w:val="single" w:color="auto" w:sz="4" w:space="0"/>
              <w:right w:val="single" w:color="auto" w:sz="4" w:space="0"/>
            </w:tcBorders>
          </w:tcPr>
          <w:p w14:paraId="767DAE34">
            <w:pPr>
              <w:jc w:val="both"/>
              <w:rPr>
                <w:rFonts w:ascii="Times New Roman" w:hAnsi="Times New Roman" w:cs="Times New Roman"/>
                <w:bCs/>
                <w:sz w:val="24"/>
                <w:szCs w:val="24"/>
              </w:rPr>
            </w:pPr>
            <w:r>
              <w:rPr>
                <w:rFonts w:ascii="Times New Roman" w:hAnsi="Times New Roman" w:cs="Times New Roman"/>
                <w:bCs/>
                <w:sz w:val="24"/>
                <w:szCs w:val="24"/>
              </w:rPr>
              <w:t>9-Eicosene (E)-</w:t>
            </w:r>
          </w:p>
        </w:tc>
        <w:tc>
          <w:tcPr>
            <w:tcW w:w="1352" w:type="dxa"/>
            <w:tcBorders>
              <w:top w:val="single" w:color="auto" w:sz="4" w:space="0"/>
              <w:left w:val="single" w:color="auto" w:sz="4" w:space="0"/>
              <w:bottom w:val="single" w:color="auto" w:sz="4" w:space="0"/>
              <w:right w:val="single" w:color="auto" w:sz="4" w:space="0"/>
            </w:tcBorders>
          </w:tcPr>
          <w:p w14:paraId="1670123C">
            <w:pPr>
              <w:jc w:val="both"/>
              <w:rPr>
                <w:rFonts w:ascii="Times New Roman" w:hAnsi="Times New Roman" w:cs="Times New Roman"/>
                <w:bCs/>
                <w:sz w:val="24"/>
                <w:szCs w:val="24"/>
              </w:rPr>
            </w:pPr>
            <w:r>
              <w:rPr>
                <w:rFonts w:ascii="Times New Roman" w:hAnsi="Times New Roman" w:cs="Times New Roman"/>
                <w:bCs/>
                <w:sz w:val="24"/>
                <w:szCs w:val="24"/>
              </w:rPr>
              <w:t>13.376</w:t>
            </w:r>
          </w:p>
        </w:tc>
        <w:tc>
          <w:tcPr>
            <w:tcW w:w="1247" w:type="dxa"/>
            <w:tcBorders>
              <w:top w:val="single" w:color="auto" w:sz="4" w:space="0"/>
              <w:left w:val="single" w:color="auto" w:sz="4" w:space="0"/>
              <w:bottom w:val="single" w:color="auto" w:sz="4" w:space="0"/>
              <w:right w:val="single" w:color="auto" w:sz="4" w:space="0"/>
            </w:tcBorders>
          </w:tcPr>
          <w:p w14:paraId="1BDEB631">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290" w:type="dxa"/>
            <w:tcBorders>
              <w:top w:val="single" w:color="auto" w:sz="4" w:space="0"/>
              <w:left w:val="single" w:color="auto" w:sz="4" w:space="0"/>
              <w:bottom w:val="single" w:color="auto" w:sz="4" w:space="0"/>
              <w:right w:val="single" w:color="auto" w:sz="4" w:space="0"/>
            </w:tcBorders>
          </w:tcPr>
          <w:p w14:paraId="611218E8">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color="auto" w:sz="4" w:space="0"/>
              <w:left w:val="single" w:color="auto" w:sz="4" w:space="0"/>
              <w:bottom w:val="single" w:color="auto" w:sz="4" w:space="0"/>
              <w:right w:val="single" w:color="auto" w:sz="4" w:space="0"/>
            </w:tcBorders>
          </w:tcPr>
          <w:p w14:paraId="66C908DC">
            <w:pPr>
              <w:jc w:val="both"/>
            </w:pPr>
            <w:r>
              <w:t xml:space="preserve">Antimicrobial </w:t>
            </w:r>
          </w:p>
        </w:tc>
        <w:tc>
          <w:tcPr>
            <w:tcW w:w="1332" w:type="dxa"/>
            <w:tcBorders>
              <w:top w:val="single" w:color="auto" w:sz="4" w:space="0"/>
              <w:left w:val="single" w:color="auto" w:sz="4" w:space="0"/>
              <w:bottom w:val="single" w:color="auto" w:sz="4" w:space="0"/>
              <w:right w:val="single" w:color="auto" w:sz="4" w:space="0"/>
            </w:tcBorders>
          </w:tcPr>
          <w:p w14:paraId="1FCC3AF0">
            <w:pPr>
              <w:jc w:val="both"/>
            </w:pPr>
            <w:r>
              <w:t xml:space="preserve">Ugbogu </w:t>
            </w:r>
            <w:r>
              <w:rPr>
                <w:i/>
                <w:iCs/>
              </w:rPr>
              <w:t>et</w:t>
            </w:r>
            <w:r>
              <w:t xml:space="preserve"> </w:t>
            </w:r>
            <w:r>
              <w:rPr>
                <w:i/>
                <w:iCs/>
              </w:rPr>
              <w:t>al</w:t>
            </w:r>
            <w:r>
              <w:t>., 2019</w:t>
            </w:r>
          </w:p>
        </w:tc>
      </w:tr>
      <w:tr w14:paraId="0E9EF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819" w:type="dxa"/>
            <w:tcBorders>
              <w:top w:val="single" w:color="auto" w:sz="4" w:space="0"/>
              <w:left w:val="single" w:color="auto" w:sz="4" w:space="0"/>
              <w:bottom w:val="single" w:color="auto" w:sz="4" w:space="0"/>
              <w:right w:val="single" w:color="auto" w:sz="4" w:space="0"/>
            </w:tcBorders>
          </w:tcPr>
          <w:p w14:paraId="2C6FB69A">
            <w:pPr>
              <w:jc w:val="both"/>
              <w:rPr>
                <w:rFonts w:ascii="Times New Roman" w:hAnsi="Times New Roman" w:cs="Times New Roman"/>
                <w:bCs/>
                <w:sz w:val="24"/>
                <w:szCs w:val="24"/>
              </w:rPr>
            </w:pPr>
            <w:r>
              <w:rPr>
                <w:rFonts w:ascii="Times New Roman" w:hAnsi="Times New Roman" w:cs="Times New Roman"/>
                <w:bCs/>
                <w:sz w:val="24"/>
                <w:szCs w:val="24"/>
              </w:rPr>
              <w:t>Tetradecane</w:t>
            </w:r>
          </w:p>
        </w:tc>
        <w:tc>
          <w:tcPr>
            <w:tcW w:w="1352" w:type="dxa"/>
            <w:tcBorders>
              <w:top w:val="single" w:color="auto" w:sz="4" w:space="0"/>
              <w:left w:val="single" w:color="auto" w:sz="4" w:space="0"/>
              <w:bottom w:val="single" w:color="auto" w:sz="4" w:space="0"/>
              <w:right w:val="single" w:color="auto" w:sz="4" w:space="0"/>
            </w:tcBorders>
          </w:tcPr>
          <w:p w14:paraId="3AB07CA5">
            <w:pPr>
              <w:jc w:val="both"/>
              <w:rPr>
                <w:rFonts w:ascii="Times New Roman" w:hAnsi="Times New Roman" w:cs="Times New Roman"/>
                <w:bCs/>
                <w:sz w:val="24"/>
                <w:szCs w:val="24"/>
              </w:rPr>
            </w:pPr>
            <w:r>
              <w:rPr>
                <w:rFonts w:ascii="Times New Roman" w:hAnsi="Times New Roman" w:cs="Times New Roman"/>
                <w:bCs/>
                <w:sz w:val="24"/>
                <w:szCs w:val="24"/>
              </w:rPr>
              <w:t>14.944</w:t>
            </w:r>
          </w:p>
        </w:tc>
        <w:tc>
          <w:tcPr>
            <w:tcW w:w="1247" w:type="dxa"/>
            <w:tcBorders>
              <w:top w:val="single" w:color="auto" w:sz="4" w:space="0"/>
              <w:left w:val="single" w:color="auto" w:sz="4" w:space="0"/>
              <w:bottom w:val="single" w:color="auto" w:sz="4" w:space="0"/>
              <w:right w:val="single" w:color="auto" w:sz="4" w:space="0"/>
            </w:tcBorders>
          </w:tcPr>
          <w:p w14:paraId="6B2998A9">
            <w:pPr>
              <w:jc w:val="both"/>
              <w:rPr>
                <w:rFonts w:ascii="Times New Roman" w:hAnsi="Times New Roman" w:cs="Times New Roman"/>
                <w:bCs/>
                <w:sz w:val="24"/>
                <w:szCs w:val="24"/>
              </w:rPr>
            </w:pPr>
            <w:r>
              <w:rPr>
                <w:rFonts w:ascii="Times New Roman" w:hAnsi="Times New Roman" w:cs="Times New Roman"/>
                <w:bCs/>
                <w:sz w:val="24"/>
                <w:szCs w:val="24"/>
              </w:rPr>
              <w:t>1.40</w:t>
            </w:r>
          </w:p>
        </w:tc>
        <w:tc>
          <w:tcPr>
            <w:tcW w:w="1290" w:type="dxa"/>
            <w:tcBorders>
              <w:top w:val="single" w:color="auto" w:sz="4" w:space="0"/>
              <w:left w:val="single" w:color="auto" w:sz="4" w:space="0"/>
              <w:bottom w:val="single" w:color="auto" w:sz="4" w:space="0"/>
              <w:right w:val="single" w:color="auto" w:sz="4" w:space="0"/>
            </w:tcBorders>
          </w:tcPr>
          <w:p w14:paraId="3A38F55C">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color="auto" w:sz="4" w:space="0"/>
              <w:left w:val="single" w:color="auto" w:sz="4" w:space="0"/>
              <w:bottom w:val="single" w:color="auto" w:sz="4" w:space="0"/>
              <w:right w:val="single" w:color="auto" w:sz="4" w:space="0"/>
            </w:tcBorders>
          </w:tcPr>
          <w:p w14:paraId="2934EC42">
            <w:pPr>
              <w:jc w:val="both"/>
            </w:pPr>
            <w:r>
              <w:t>Antimicrobial, cytotoxicity, antipyretic, anthelmintic, tumor, tuberculosis, dyspepsia, anemia, elephantiasis, anti-diabetic, antiinflammatory, anti-diarrhoeal</w:t>
            </w:r>
          </w:p>
        </w:tc>
        <w:tc>
          <w:tcPr>
            <w:tcW w:w="1332" w:type="dxa"/>
            <w:tcBorders>
              <w:top w:val="single" w:color="auto" w:sz="4" w:space="0"/>
              <w:left w:val="single" w:color="auto" w:sz="4" w:space="0"/>
              <w:bottom w:val="single" w:color="auto" w:sz="4" w:space="0"/>
              <w:right w:val="single" w:color="auto" w:sz="4" w:space="0"/>
            </w:tcBorders>
          </w:tcPr>
          <w:p w14:paraId="66CDCA28">
            <w:pPr>
              <w:jc w:val="both"/>
            </w:pPr>
            <w:r>
              <w:t xml:space="preserve">Duke, 1992; Meher </w:t>
            </w:r>
            <w:r>
              <w:rPr>
                <w:i/>
                <w:iCs/>
              </w:rPr>
              <w:t>et</w:t>
            </w:r>
            <w:r>
              <w:t xml:space="preserve"> </w:t>
            </w:r>
            <w:r>
              <w:rPr>
                <w:i/>
                <w:iCs/>
              </w:rPr>
              <w:t>al</w:t>
            </w:r>
            <w:r>
              <w:t>., 2019</w:t>
            </w:r>
          </w:p>
        </w:tc>
      </w:tr>
      <w:tr w14:paraId="394C6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trPr>
        <w:tc>
          <w:tcPr>
            <w:tcW w:w="2819" w:type="dxa"/>
            <w:tcBorders>
              <w:top w:val="single" w:color="auto" w:sz="4" w:space="0"/>
              <w:left w:val="single" w:color="auto" w:sz="4" w:space="0"/>
              <w:bottom w:val="single" w:color="auto" w:sz="4" w:space="0"/>
              <w:right w:val="single" w:color="auto" w:sz="4" w:space="0"/>
            </w:tcBorders>
          </w:tcPr>
          <w:p w14:paraId="263ECF9A">
            <w:pPr>
              <w:jc w:val="both"/>
              <w:rPr>
                <w:rFonts w:ascii="Times New Roman" w:hAnsi="Times New Roman" w:cs="Times New Roman"/>
                <w:bCs/>
                <w:sz w:val="24"/>
                <w:szCs w:val="24"/>
              </w:rPr>
            </w:pPr>
            <w:r>
              <w:rPr>
                <w:rFonts w:ascii="Times New Roman" w:hAnsi="Times New Roman" w:cs="Times New Roman"/>
                <w:bCs/>
                <w:sz w:val="24"/>
                <w:szCs w:val="24"/>
              </w:rPr>
              <w:t>Dodecanoic acid (Lauric acid)</w:t>
            </w:r>
          </w:p>
        </w:tc>
        <w:tc>
          <w:tcPr>
            <w:tcW w:w="1352" w:type="dxa"/>
            <w:tcBorders>
              <w:top w:val="single" w:color="auto" w:sz="4" w:space="0"/>
              <w:left w:val="single" w:color="auto" w:sz="4" w:space="0"/>
              <w:bottom w:val="single" w:color="auto" w:sz="4" w:space="0"/>
              <w:right w:val="single" w:color="auto" w:sz="4" w:space="0"/>
            </w:tcBorders>
          </w:tcPr>
          <w:p w14:paraId="2D2B9BA6">
            <w:pPr>
              <w:jc w:val="both"/>
              <w:rPr>
                <w:rFonts w:ascii="Times New Roman" w:hAnsi="Times New Roman" w:cs="Times New Roman"/>
                <w:bCs/>
                <w:sz w:val="24"/>
                <w:szCs w:val="24"/>
              </w:rPr>
            </w:pPr>
            <w:r>
              <w:rPr>
                <w:rFonts w:ascii="Times New Roman" w:hAnsi="Times New Roman" w:cs="Times New Roman"/>
                <w:bCs/>
                <w:sz w:val="24"/>
                <w:szCs w:val="24"/>
              </w:rPr>
              <w:t>19. 144</w:t>
            </w:r>
          </w:p>
        </w:tc>
        <w:tc>
          <w:tcPr>
            <w:tcW w:w="1247" w:type="dxa"/>
            <w:tcBorders>
              <w:top w:val="single" w:color="auto" w:sz="4" w:space="0"/>
              <w:left w:val="single" w:color="auto" w:sz="4" w:space="0"/>
              <w:bottom w:val="single" w:color="auto" w:sz="4" w:space="0"/>
              <w:right w:val="single" w:color="auto" w:sz="4" w:space="0"/>
            </w:tcBorders>
          </w:tcPr>
          <w:p w14:paraId="7AF71BB7">
            <w:pPr>
              <w:jc w:val="both"/>
              <w:rPr>
                <w:rFonts w:ascii="Times New Roman" w:hAnsi="Times New Roman" w:cs="Times New Roman"/>
                <w:bCs/>
                <w:sz w:val="24"/>
                <w:szCs w:val="24"/>
              </w:rPr>
            </w:pPr>
            <w:r>
              <w:rPr>
                <w:rFonts w:ascii="Times New Roman" w:hAnsi="Times New Roman" w:cs="Times New Roman"/>
                <w:bCs/>
                <w:sz w:val="24"/>
                <w:szCs w:val="24"/>
              </w:rPr>
              <w:t>2.60</w:t>
            </w:r>
          </w:p>
        </w:tc>
        <w:tc>
          <w:tcPr>
            <w:tcW w:w="1290" w:type="dxa"/>
            <w:tcBorders>
              <w:top w:val="single" w:color="auto" w:sz="4" w:space="0"/>
              <w:left w:val="single" w:color="auto" w:sz="4" w:space="0"/>
              <w:bottom w:val="single" w:color="auto" w:sz="4" w:space="0"/>
              <w:right w:val="single" w:color="auto" w:sz="4" w:space="0"/>
            </w:tcBorders>
          </w:tcPr>
          <w:p w14:paraId="1CF6588D">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color="auto" w:sz="4" w:space="0"/>
              <w:left w:val="single" w:color="auto" w:sz="4" w:space="0"/>
              <w:bottom w:val="single" w:color="auto" w:sz="4" w:space="0"/>
              <w:right w:val="single" w:color="auto" w:sz="4" w:space="0"/>
            </w:tcBorders>
          </w:tcPr>
          <w:p w14:paraId="717E8062">
            <w:pPr>
              <w:jc w:val="both"/>
            </w:pPr>
            <w:r>
              <w:t>Antibacterial, antibiofilm, antiviral, food preservation</w:t>
            </w:r>
          </w:p>
        </w:tc>
        <w:tc>
          <w:tcPr>
            <w:tcW w:w="1332" w:type="dxa"/>
            <w:tcBorders>
              <w:top w:val="single" w:color="auto" w:sz="4" w:space="0"/>
              <w:left w:val="single" w:color="auto" w:sz="4" w:space="0"/>
              <w:bottom w:val="single" w:color="auto" w:sz="4" w:space="0"/>
              <w:right w:val="single" w:color="auto" w:sz="4" w:space="0"/>
            </w:tcBorders>
          </w:tcPr>
          <w:p w14:paraId="7883A4E1">
            <w:pPr>
              <w:jc w:val="both"/>
            </w:pPr>
            <w:r>
              <w:t>Yang (2009); Huang (2014); Qingyan (2024)</w:t>
            </w:r>
          </w:p>
        </w:tc>
      </w:tr>
      <w:tr w14:paraId="3079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2819" w:type="dxa"/>
            <w:tcBorders>
              <w:top w:val="single" w:color="auto" w:sz="4" w:space="0"/>
              <w:left w:val="single" w:color="auto" w:sz="4" w:space="0"/>
              <w:bottom w:val="single" w:color="auto" w:sz="4" w:space="0"/>
              <w:right w:val="single" w:color="auto" w:sz="4" w:space="0"/>
            </w:tcBorders>
          </w:tcPr>
          <w:p w14:paraId="298BA2C2">
            <w:pPr>
              <w:jc w:val="both"/>
              <w:rPr>
                <w:rFonts w:ascii="Times New Roman" w:hAnsi="Times New Roman" w:cs="Times New Roman"/>
                <w:bCs/>
                <w:sz w:val="24"/>
                <w:szCs w:val="24"/>
              </w:rPr>
            </w:pPr>
            <w:r>
              <w:rPr>
                <w:rFonts w:ascii="Times New Roman" w:hAnsi="Times New Roman" w:cs="Times New Roman"/>
                <w:bCs/>
                <w:sz w:val="24"/>
                <w:szCs w:val="24"/>
              </w:rPr>
              <w:t>Tetradecanoic acid (Myristic acid)</w:t>
            </w:r>
          </w:p>
        </w:tc>
        <w:tc>
          <w:tcPr>
            <w:tcW w:w="1352" w:type="dxa"/>
            <w:tcBorders>
              <w:top w:val="single" w:color="auto" w:sz="4" w:space="0"/>
              <w:left w:val="single" w:color="auto" w:sz="4" w:space="0"/>
              <w:bottom w:val="single" w:color="auto" w:sz="4" w:space="0"/>
              <w:right w:val="single" w:color="auto" w:sz="4" w:space="0"/>
            </w:tcBorders>
          </w:tcPr>
          <w:p w14:paraId="5E03A287">
            <w:pPr>
              <w:jc w:val="both"/>
              <w:rPr>
                <w:rFonts w:ascii="Times New Roman" w:hAnsi="Times New Roman" w:cs="Times New Roman"/>
                <w:bCs/>
                <w:sz w:val="24"/>
                <w:szCs w:val="24"/>
              </w:rPr>
            </w:pPr>
            <w:r>
              <w:rPr>
                <w:rFonts w:ascii="Times New Roman" w:hAnsi="Times New Roman" w:cs="Times New Roman"/>
                <w:bCs/>
                <w:sz w:val="24"/>
                <w:szCs w:val="24"/>
              </w:rPr>
              <w:t>23.421</w:t>
            </w:r>
          </w:p>
        </w:tc>
        <w:tc>
          <w:tcPr>
            <w:tcW w:w="1247" w:type="dxa"/>
            <w:tcBorders>
              <w:top w:val="single" w:color="auto" w:sz="4" w:space="0"/>
              <w:left w:val="single" w:color="auto" w:sz="4" w:space="0"/>
              <w:bottom w:val="single" w:color="auto" w:sz="4" w:space="0"/>
              <w:right w:val="single" w:color="auto" w:sz="4" w:space="0"/>
            </w:tcBorders>
          </w:tcPr>
          <w:p w14:paraId="3784CA6C">
            <w:pPr>
              <w:jc w:val="both"/>
              <w:rPr>
                <w:rFonts w:ascii="Times New Roman" w:hAnsi="Times New Roman" w:cs="Times New Roman"/>
                <w:bCs/>
                <w:sz w:val="24"/>
                <w:szCs w:val="24"/>
              </w:rPr>
            </w:pPr>
            <w:r>
              <w:rPr>
                <w:rFonts w:ascii="Times New Roman" w:hAnsi="Times New Roman" w:cs="Times New Roman"/>
                <w:bCs/>
                <w:sz w:val="24"/>
                <w:szCs w:val="24"/>
              </w:rPr>
              <w:t>0.67</w:t>
            </w:r>
          </w:p>
        </w:tc>
        <w:tc>
          <w:tcPr>
            <w:tcW w:w="1290" w:type="dxa"/>
            <w:tcBorders>
              <w:top w:val="single" w:color="auto" w:sz="4" w:space="0"/>
              <w:left w:val="single" w:color="auto" w:sz="4" w:space="0"/>
              <w:bottom w:val="single" w:color="auto" w:sz="4" w:space="0"/>
              <w:right w:val="single" w:color="auto" w:sz="4" w:space="0"/>
            </w:tcBorders>
          </w:tcPr>
          <w:p w14:paraId="147489BD">
            <w:pPr>
              <w:jc w:val="both"/>
              <w:rPr>
                <w:rFonts w:ascii="Times New Roman" w:hAnsi="Times New Roman" w:cs="Times New Roman"/>
                <w:bCs/>
                <w:sz w:val="24"/>
                <w:szCs w:val="24"/>
              </w:rPr>
            </w:pPr>
            <w:r>
              <w:rPr>
                <w:rFonts w:ascii="Times New Roman" w:hAnsi="Times New Roman" w:cs="Times New Roman"/>
                <w:bCs/>
                <w:sz w:val="24"/>
                <w:szCs w:val="24"/>
              </w:rPr>
              <w:t xml:space="preserve">Fatty </w:t>
            </w:r>
          </w:p>
        </w:tc>
        <w:tc>
          <w:tcPr>
            <w:tcW w:w="1483" w:type="dxa"/>
            <w:tcBorders>
              <w:top w:val="single" w:color="auto" w:sz="4" w:space="0"/>
              <w:left w:val="single" w:color="auto" w:sz="4" w:space="0"/>
              <w:bottom w:val="single" w:color="auto" w:sz="4" w:space="0"/>
              <w:right w:val="single" w:color="auto" w:sz="4" w:space="0"/>
            </w:tcBorders>
          </w:tcPr>
          <w:p w14:paraId="2BE7100D">
            <w:pPr>
              <w:jc w:val="both"/>
            </w:pPr>
            <w:r>
              <w:t xml:space="preserve">antibacterial,  anti‑virulence in derivatives </w:t>
            </w:r>
          </w:p>
        </w:tc>
        <w:tc>
          <w:tcPr>
            <w:tcW w:w="1332" w:type="dxa"/>
            <w:tcBorders>
              <w:top w:val="single" w:color="auto" w:sz="4" w:space="0"/>
              <w:left w:val="single" w:color="auto" w:sz="4" w:space="0"/>
              <w:bottom w:val="single" w:color="auto" w:sz="4" w:space="0"/>
              <w:right w:val="single" w:color="auto" w:sz="4" w:space="0"/>
            </w:tcBorders>
          </w:tcPr>
          <w:p w14:paraId="3AEE5004">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14:paraId="69E7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6" w:hRule="atLeast"/>
        </w:trPr>
        <w:tc>
          <w:tcPr>
            <w:tcW w:w="2819" w:type="dxa"/>
            <w:tcBorders>
              <w:top w:val="single" w:color="auto" w:sz="4" w:space="0"/>
              <w:left w:val="single" w:color="auto" w:sz="4" w:space="0"/>
              <w:bottom w:val="single" w:color="auto" w:sz="4" w:space="0"/>
              <w:right w:val="single" w:color="auto" w:sz="4" w:space="0"/>
            </w:tcBorders>
          </w:tcPr>
          <w:p w14:paraId="29AC92A7">
            <w:pPr>
              <w:jc w:val="both"/>
              <w:rPr>
                <w:rFonts w:ascii="Times New Roman" w:hAnsi="Times New Roman" w:cs="Times New Roman"/>
                <w:bCs/>
                <w:sz w:val="24"/>
                <w:szCs w:val="24"/>
              </w:rPr>
            </w:pPr>
            <w:r>
              <w:rPr>
                <w:rFonts w:ascii="Times New Roman" w:hAnsi="Times New Roman" w:cs="Times New Roman"/>
                <w:bCs/>
                <w:sz w:val="24"/>
                <w:szCs w:val="24"/>
              </w:rPr>
              <w:t>cis-Vaccenic acid</w:t>
            </w:r>
          </w:p>
        </w:tc>
        <w:tc>
          <w:tcPr>
            <w:tcW w:w="1352" w:type="dxa"/>
            <w:tcBorders>
              <w:top w:val="single" w:color="auto" w:sz="4" w:space="0"/>
              <w:left w:val="single" w:color="auto" w:sz="4" w:space="0"/>
              <w:bottom w:val="single" w:color="auto" w:sz="4" w:space="0"/>
              <w:right w:val="single" w:color="auto" w:sz="4" w:space="0"/>
            </w:tcBorders>
          </w:tcPr>
          <w:p w14:paraId="6BF2F9D8">
            <w:pPr>
              <w:jc w:val="both"/>
              <w:rPr>
                <w:rFonts w:ascii="Times New Roman" w:hAnsi="Times New Roman" w:cs="Times New Roman"/>
                <w:bCs/>
                <w:sz w:val="24"/>
                <w:szCs w:val="24"/>
              </w:rPr>
            </w:pPr>
            <w:r>
              <w:rPr>
                <w:rFonts w:ascii="Times New Roman" w:hAnsi="Times New Roman" w:cs="Times New Roman"/>
                <w:bCs/>
                <w:sz w:val="24"/>
                <w:szCs w:val="24"/>
              </w:rPr>
              <w:t>31.038</w:t>
            </w:r>
          </w:p>
        </w:tc>
        <w:tc>
          <w:tcPr>
            <w:tcW w:w="1247" w:type="dxa"/>
            <w:tcBorders>
              <w:top w:val="single" w:color="auto" w:sz="4" w:space="0"/>
              <w:left w:val="single" w:color="auto" w:sz="4" w:space="0"/>
              <w:bottom w:val="single" w:color="auto" w:sz="4" w:space="0"/>
              <w:right w:val="single" w:color="auto" w:sz="4" w:space="0"/>
            </w:tcBorders>
          </w:tcPr>
          <w:p w14:paraId="69EC303A">
            <w:pPr>
              <w:jc w:val="both"/>
              <w:rPr>
                <w:rFonts w:ascii="Times New Roman" w:hAnsi="Times New Roman" w:cs="Times New Roman"/>
                <w:bCs/>
                <w:sz w:val="24"/>
                <w:szCs w:val="24"/>
              </w:rPr>
            </w:pPr>
            <w:r>
              <w:rPr>
                <w:rFonts w:ascii="Times New Roman" w:hAnsi="Times New Roman" w:cs="Times New Roman"/>
                <w:bCs/>
                <w:sz w:val="24"/>
                <w:szCs w:val="24"/>
              </w:rPr>
              <w:t>3.34</w:t>
            </w:r>
          </w:p>
        </w:tc>
        <w:tc>
          <w:tcPr>
            <w:tcW w:w="1290" w:type="dxa"/>
            <w:tcBorders>
              <w:top w:val="single" w:color="auto" w:sz="4" w:space="0"/>
              <w:left w:val="single" w:color="auto" w:sz="4" w:space="0"/>
              <w:bottom w:val="single" w:color="auto" w:sz="4" w:space="0"/>
              <w:right w:val="single" w:color="auto" w:sz="4" w:space="0"/>
            </w:tcBorders>
          </w:tcPr>
          <w:p w14:paraId="58AAB413">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483" w:type="dxa"/>
            <w:tcBorders>
              <w:top w:val="single" w:color="auto" w:sz="4" w:space="0"/>
              <w:left w:val="single" w:color="auto" w:sz="4" w:space="0"/>
              <w:bottom w:val="single" w:color="auto" w:sz="4" w:space="0"/>
              <w:right w:val="single" w:color="auto" w:sz="4" w:space="0"/>
            </w:tcBorders>
          </w:tcPr>
          <w:p w14:paraId="0BFFF91C">
            <w:pPr>
              <w:jc w:val="both"/>
            </w:pPr>
            <w:r>
              <w:t>Anti-inflammatory, metabolic regulation, Anti-hypercholesterolemic</w:t>
            </w:r>
          </w:p>
        </w:tc>
        <w:tc>
          <w:tcPr>
            <w:tcW w:w="1332" w:type="dxa"/>
            <w:tcBorders>
              <w:top w:val="single" w:color="auto" w:sz="4" w:space="0"/>
              <w:left w:val="single" w:color="auto" w:sz="4" w:space="0"/>
              <w:bottom w:val="single" w:color="auto" w:sz="4" w:space="0"/>
              <w:right w:val="single" w:color="auto" w:sz="4" w:space="0"/>
            </w:tcBorders>
          </w:tcPr>
          <w:p w14:paraId="1AF62C08">
            <w:pPr>
              <w:jc w:val="both"/>
            </w:pPr>
            <w:r>
              <w:t xml:space="preserve">Jacome-Sosa 2016; Pintus </w:t>
            </w:r>
            <w:r>
              <w:rPr>
                <w:i/>
                <w:iCs/>
              </w:rPr>
              <w:t>et al</w:t>
            </w:r>
            <w:r>
              <w:t>., 2012</w:t>
            </w:r>
          </w:p>
        </w:tc>
      </w:tr>
      <w:tr w14:paraId="23745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1" w:hRule="atLeast"/>
        </w:trPr>
        <w:tc>
          <w:tcPr>
            <w:tcW w:w="2819" w:type="dxa"/>
            <w:tcBorders>
              <w:top w:val="single" w:color="auto" w:sz="4" w:space="0"/>
              <w:left w:val="single" w:color="auto" w:sz="4" w:space="0"/>
              <w:bottom w:val="single" w:color="auto" w:sz="4" w:space="0"/>
              <w:right w:val="single" w:color="auto" w:sz="4" w:space="0"/>
            </w:tcBorders>
          </w:tcPr>
          <w:p w14:paraId="37EA29C8">
            <w:pPr>
              <w:jc w:val="both"/>
              <w:rPr>
                <w:rFonts w:ascii="Times New Roman" w:hAnsi="Times New Roman" w:cs="Times New Roman"/>
                <w:bCs/>
                <w:sz w:val="24"/>
                <w:szCs w:val="24"/>
              </w:rPr>
            </w:pPr>
            <w:r>
              <w:rPr>
                <w:rFonts w:ascii="Times New Roman" w:hAnsi="Times New Roman" w:cs="Times New Roman"/>
                <w:bCs/>
                <w:sz w:val="24"/>
                <w:szCs w:val="24"/>
              </w:rPr>
              <w:t xml:space="preserve">1-Docosene </w:t>
            </w:r>
          </w:p>
        </w:tc>
        <w:tc>
          <w:tcPr>
            <w:tcW w:w="1352" w:type="dxa"/>
            <w:tcBorders>
              <w:top w:val="single" w:color="auto" w:sz="4" w:space="0"/>
              <w:left w:val="single" w:color="auto" w:sz="4" w:space="0"/>
              <w:bottom w:val="single" w:color="auto" w:sz="4" w:space="0"/>
              <w:right w:val="single" w:color="auto" w:sz="4" w:space="0"/>
            </w:tcBorders>
          </w:tcPr>
          <w:p w14:paraId="4F96BE70">
            <w:pPr>
              <w:jc w:val="both"/>
              <w:rPr>
                <w:rFonts w:ascii="Times New Roman" w:hAnsi="Times New Roman" w:cs="Times New Roman"/>
                <w:bCs/>
                <w:sz w:val="24"/>
                <w:szCs w:val="24"/>
              </w:rPr>
            </w:pPr>
            <w:r>
              <w:rPr>
                <w:rFonts w:ascii="Times New Roman" w:hAnsi="Times New Roman" w:cs="Times New Roman"/>
                <w:bCs/>
                <w:sz w:val="24"/>
                <w:szCs w:val="24"/>
              </w:rPr>
              <w:t>31.482</w:t>
            </w:r>
          </w:p>
        </w:tc>
        <w:tc>
          <w:tcPr>
            <w:tcW w:w="1247" w:type="dxa"/>
            <w:tcBorders>
              <w:top w:val="single" w:color="auto" w:sz="4" w:space="0"/>
              <w:left w:val="single" w:color="auto" w:sz="4" w:space="0"/>
              <w:bottom w:val="single" w:color="auto" w:sz="4" w:space="0"/>
              <w:right w:val="single" w:color="auto" w:sz="4" w:space="0"/>
            </w:tcBorders>
          </w:tcPr>
          <w:p w14:paraId="3D8C0A18">
            <w:pPr>
              <w:jc w:val="both"/>
              <w:rPr>
                <w:rFonts w:ascii="Times New Roman" w:hAnsi="Times New Roman" w:cs="Times New Roman"/>
                <w:bCs/>
                <w:sz w:val="24"/>
                <w:szCs w:val="24"/>
              </w:rPr>
            </w:pPr>
            <w:r>
              <w:rPr>
                <w:rFonts w:ascii="Times New Roman" w:hAnsi="Times New Roman" w:cs="Times New Roman"/>
                <w:bCs/>
                <w:sz w:val="24"/>
                <w:szCs w:val="24"/>
              </w:rPr>
              <w:t>4.68</w:t>
            </w:r>
          </w:p>
        </w:tc>
        <w:tc>
          <w:tcPr>
            <w:tcW w:w="1290" w:type="dxa"/>
            <w:tcBorders>
              <w:top w:val="single" w:color="auto" w:sz="4" w:space="0"/>
              <w:left w:val="single" w:color="auto" w:sz="4" w:space="0"/>
              <w:bottom w:val="single" w:color="auto" w:sz="4" w:space="0"/>
              <w:right w:val="single" w:color="auto" w:sz="4" w:space="0"/>
            </w:tcBorders>
          </w:tcPr>
          <w:p w14:paraId="6A469C52">
            <w:pPr>
              <w:jc w:val="both"/>
              <w:rPr>
                <w:rFonts w:ascii="Times New Roman" w:hAnsi="Times New Roman" w:cs="Times New Roman"/>
                <w:bCs/>
                <w:sz w:val="24"/>
                <w:szCs w:val="24"/>
              </w:rPr>
            </w:pPr>
          </w:p>
        </w:tc>
        <w:tc>
          <w:tcPr>
            <w:tcW w:w="1483" w:type="dxa"/>
            <w:tcBorders>
              <w:top w:val="single" w:color="auto" w:sz="4" w:space="0"/>
              <w:left w:val="single" w:color="auto" w:sz="4" w:space="0"/>
              <w:bottom w:val="single" w:color="auto" w:sz="4" w:space="0"/>
              <w:right w:val="single" w:color="auto" w:sz="4" w:space="0"/>
            </w:tcBorders>
          </w:tcPr>
          <w:p w14:paraId="0A15CE73">
            <w:pPr>
              <w:jc w:val="both"/>
            </w:pPr>
            <w:r>
              <w:t>antimicrobial</w:t>
            </w:r>
          </w:p>
        </w:tc>
        <w:tc>
          <w:tcPr>
            <w:tcW w:w="1332" w:type="dxa"/>
            <w:tcBorders>
              <w:top w:val="single" w:color="auto" w:sz="4" w:space="0"/>
              <w:left w:val="single" w:color="auto" w:sz="4" w:space="0"/>
              <w:bottom w:val="single" w:color="auto" w:sz="4" w:space="0"/>
              <w:right w:val="single" w:color="auto" w:sz="4" w:space="0"/>
            </w:tcBorders>
          </w:tcPr>
          <w:p w14:paraId="65ED3F71">
            <w:pPr>
              <w:jc w:val="both"/>
            </w:pPr>
            <w:r>
              <w:t xml:space="preserve">de Oliveira </w:t>
            </w:r>
            <w:r>
              <w:rPr>
                <w:i/>
                <w:iCs/>
              </w:rPr>
              <w:t>et al</w:t>
            </w:r>
            <w:r>
              <w:t xml:space="preserve">., 2015; Fleischer &amp; Krieger, 2018;  Keke </w:t>
            </w:r>
            <w:r>
              <w:rPr>
                <w:i/>
                <w:iCs/>
              </w:rPr>
              <w:t>et al.</w:t>
            </w:r>
            <w:r>
              <w:t xml:space="preserve">, 2023; Mujeeb &amp; Pathak, 2014, </w:t>
            </w:r>
          </w:p>
        </w:tc>
      </w:tr>
    </w:tbl>
    <w:p w14:paraId="7C65191B">
      <w:pPr>
        <w:rPr>
          <w:rFonts w:ascii="Times New Roman" w:hAnsi="Times New Roman" w:cs="Times New Roman"/>
          <w:bCs/>
          <w:sz w:val="24"/>
          <w:szCs w:val="24"/>
        </w:rPr>
      </w:pPr>
    </w:p>
    <w:p w14:paraId="2EDAAD6D">
      <w:pPr>
        <w:jc w:val="both"/>
        <w:rPr>
          <w:rFonts w:ascii="Times New Roman" w:hAnsi="Times New Roman" w:cs="Times New Roman"/>
          <w:bCs/>
          <w:sz w:val="24"/>
          <w:szCs w:val="24"/>
        </w:rPr>
      </w:pPr>
      <w:r>
        <w:drawing>
          <wp:anchor distT="0" distB="0" distL="0" distR="0" simplePos="0" relativeHeight="251659264" behindDoc="0" locked="0" layoutInCell="1" allowOverlap="1">
            <wp:simplePos x="0" y="0"/>
            <wp:positionH relativeFrom="page">
              <wp:posOffset>-4030980</wp:posOffset>
            </wp:positionH>
            <wp:positionV relativeFrom="page">
              <wp:posOffset>601345</wp:posOffset>
            </wp:positionV>
            <wp:extent cx="4782185" cy="2032635"/>
            <wp:effectExtent l="0" t="0" r="18415" b="5715"/>
            <wp:wrapNone/>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15" cstate="print"/>
                    <a:srcRect/>
                    <a:stretch>
                      <a:fillRect/>
                    </a:stretch>
                  </pic:blipFill>
                  <pic:spPr>
                    <a:xfrm>
                      <a:off x="0" y="0"/>
                      <a:ext cx="4782185" cy="2032635"/>
                    </a:xfrm>
                    <a:prstGeom prst="rect">
                      <a:avLst/>
                    </a:prstGeom>
                  </pic:spPr>
                </pic:pic>
              </a:graphicData>
            </a:graphic>
          </wp:anchor>
        </w:drawing>
      </w:r>
    </w:p>
    <w:p w14:paraId="41705C3C">
      <w:pPr>
        <w:jc w:val="both"/>
        <w:rPr>
          <w:rFonts w:ascii="Times New Roman" w:hAnsi="Times New Roman" w:cs="Times New Roman"/>
          <w:bCs/>
          <w:sz w:val="24"/>
          <w:szCs w:val="24"/>
        </w:rPr>
      </w:pPr>
    </w:p>
    <w:p w14:paraId="0B3182F0">
      <w:pPr>
        <w:jc w:val="both"/>
        <w:rPr>
          <w:rFonts w:ascii="Times New Roman" w:hAnsi="Times New Roman" w:cs="Times New Roman"/>
          <w:bCs/>
          <w:sz w:val="24"/>
          <w:szCs w:val="24"/>
        </w:rPr>
      </w:pPr>
    </w:p>
    <w:p w14:paraId="55E3A494">
      <w:pPr>
        <w:jc w:val="both"/>
        <w:rPr>
          <w:rFonts w:ascii="Times New Roman" w:hAnsi="Times New Roman" w:cs="Times New Roman"/>
          <w:bCs/>
          <w:sz w:val="24"/>
          <w:szCs w:val="24"/>
        </w:rPr>
      </w:pPr>
    </w:p>
    <w:p w14:paraId="7F364E42">
      <w:pPr>
        <w:jc w:val="both"/>
        <w:rPr>
          <w:rFonts w:ascii="Times New Roman" w:hAnsi="Times New Roman" w:cs="Times New Roman"/>
          <w:bCs/>
          <w:sz w:val="24"/>
          <w:szCs w:val="24"/>
        </w:rPr>
      </w:pPr>
    </w:p>
    <w:p w14:paraId="4D0CF111">
      <w:pPr>
        <w:jc w:val="both"/>
        <w:rPr>
          <w:rFonts w:ascii="Times New Roman" w:hAnsi="Times New Roman" w:cs="Times New Roman"/>
          <w:bCs/>
          <w:sz w:val="24"/>
          <w:szCs w:val="24"/>
        </w:rPr>
      </w:pPr>
    </w:p>
    <w:p w14:paraId="404448D8">
      <w:pPr>
        <w:jc w:val="both"/>
        <w:rPr>
          <w:rFonts w:ascii="Times New Roman" w:hAnsi="Times New Roman" w:cs="Times New Roman"/>
          <w:bCs/>
          <w:sz w:val="24"/>
          <w:szCs w:val="24"/>
        </w:rPr>
      </w:pPr>
    </w:p>
    <w:p w14:paraId="6C891045">
      <w:pPr>
        <w:jc w:val="both"/>
        <w:rPr>
          <w:rFonts w:ascii="Times New Roman" w:hAnsi="Times New Roman" w:cs="Times New Roman"/>
          <w:bCs/>
          <w:sz w:val="24"/>
          <w:szCs w:val="24"/>
        </w:rPr>
      </w:pPr>
    </w:p>
    <w:p w14:paraId="64A41FAF">
      <w:pPr>
        <w:jc w:val="both"/>
        <w:rPr>
          <w:rFonts w:ascii="Times New Roman" w:hAnsi="Times New Roman" w:cs="Times New Roman"/>
          <w:bCs/>
          <w:sz w:val="24"/>
          <w:szCs w:val="24"/>
        </w:rPr>
      </w:pPr>
    </w:p>
    <w:p w14:paraId="412D6AF5">
      <w:pPr>
        <w:jc w:val="both"/>
        <w:rPr>
          <w:rFonts w:ascii="Times New Roman" w:hAnsi="Times New Roman" w:cs="Times New Roman"/>
          <w:bCs/>
          <w:sz w:val="24"/>
          <w:szCs w:val="24"/>
        </w:rPr>
      </w:pPr>
    </w:p>
    <w:p w14:paraId="5AF40121">
      <w:pPr>
        <w:jc w:val="both"/>
        <w:rPr>
          <w:rFonts w:ascii="Times New Roman" w:hAnsi="Times New Roman" w:cs="Times New Roman"/>
          <w:b/>
          <w:bCs/>
          <w:sz w:val="24"/>
          <w:szCs w:val="24"/>
        </w:rPr>
      </w:pPr>
    </w:p>
    <w:p w14:paraId="5179E4BE">
      <w:pPr>
        <w:jc w:val="both"/>
        <w:rPr>
          <w:rFonts w:ascii="Times New Roman" w:hAnsi="Times New Roman" w:cs="Times New Roman"/>
          <w:b/>
          <w:bCs/>
          <w:sz w:val="24"/>
          <w:szCs w:val="24"/>
        </w:rPr>
      </w:pPr>
    </w:p>
    <w:p w14:paraId="3284A43C">
      <w:pPr>
        <w:jc w:val="both"/>
        <w:rPr>
          <w:rFonts w:ascii="Times New Roman" w:hAnsi="Times New Roman" w:cs="Times New Roman"/>
          <w:b/>
          <w:bCs/>
          <w:sz w:val="24"/>
          <w:szCs w:val="24"/>
        </w:rPr>
      </w:pPr>
    </w:p>
    <w:p w14:paraId="40A4FCEA">
      <w:pPr>
        <w:jc w:val="both"/>
        <w:rPr>
          <w:rFonts w:ascii="Times New Roman" w:hAnsi="Times New Roman" w:cs="Times New Roman"/>
          <w:b/>
          <w:bCs/>
          <w:sz w:val="24"/>
          <w:szCs w:val="24"/>
        </w:rPr>
      </w:pPr>
    </w:p>
    <w:p w14:paraId="1C467BC1">
      <w:pPr>
        <w:jc w:val="both"/>
        <w:rPr>
          <w:rFonts w:ascii="Times New Roman" w:hAnsi="Times New Roman" w:cs="Times New Roman"/>
          <w:b/>
          <w:bCs/>
          <w:sz w:val="24"/>
          <w:szCs w:val="24"/>
        </w:rPr>
      </w:pPr>
    </w:p>
    <w:p w14:paraId="2CC81697">
      <w:pPr>
        <w:jc w:val="both"/>
        <w:rPr>
          <w:rFonts w:ascii="Times New Roman" w:hAnsi="Times New Roman" w:cs="Times New Roman"/>
          <w:b/>
          <w:bCs/>
          <w:sz w:val="24"/>
          <w:szCs w:val="24"/>
        </w:rPr>
      </w:pPr>
    </w:p>
    <w:p w14:paraId="72287918">
      <w:pPr>
        <w:jc w:val="both"/>
        <w:rPr>
          <w:rFonts w:ascii="Times New Roman" w:hAnsi="Times New Roman" w:cs="Times New Roman"/>
          <w:b/>
          <w:bCs/>
          <w:sz w:val="24"/>
          <w:szCs w:val="24"/>
        </w:rPr>
      </w:pPr>
    </w:p>
    <w:p w14:paraId="677D2F8A">
      <w:pPr>
        <w:jc w:val="both"/>
        <w:rPr>
          <w:rFonts w:ascii="Times New Roman" w:hAnsi="Times New Roman" w:cs="Times New Roman"/>
          <w:b/>
          <w:bCs/>
          <w:sz w:val="24"/>
          <w:szCs w:val="24"/>
        </w:rPr>
      </w:pPr>
    </w:p>
    <w:p w14:paraId="0B171EBE">
      <w:pPr>
        <w:jc w:val="both"/>
        <w:rPr>
          <w:rFonts w:ascii="Times New Roman" w:hAnsi="Times New Roman" w:cs="Times New Roman"/>
          <w:b/>
          <w:bCs/>
          <w:sz w:val="24"/>
          <w:szCs w:val="24"/>
        </w:rPr>
      </w:pPr>
    </w:p>
    <w:p w14:paraId="78A784FF">
      <w:pPr>
        <w:jc w:val="both"/>
        <w:rPr>
          <w:rFonts w:ascii="Times New Roman" w:hAnsi="Times New Roman" w:cs="Times New Roman"/>
          <w:b/>
          <w:bCs/>
          <w:sz w:val="24"/>
          <w:szCs w:val="24"/>
        </w:rPr>
      </w:pPr>
    </w:p>
    <w:p w14:paraId="2495E20C">
      <w:pPr>
        <w:jc w:val="both"/>
        <w:rPr>
          <w:rFonts w:ascii="Times New Roman" w:hAnsi="Times New Roman" w:cs="Times New Roman"/>
          <w:b/>
          <w:bCs/>
          <w:sz w:val="24"/>
          <w:szCs w:val="24"/>
        </w:rPr>
      </w:pPr>
    </w:p>
    <w:p w14:paraId="7FE5CF3B">
      <w:pPr>
        <w:jc w:val="both"/>
        <w:rPr>
          <w:rFonts w:ascii="Times New Roman" w:hAnsi="Times New Roman" w:cs="Times New Roman"/>
          <w:b/>
          <w:bCs/>
          <w:sz w:val="24"/>
          <w:szCs w:val="24"/>
        </w:rPr>
      </w:pPr>
    </w:p>
    <w:p w14:paraId="56DE3895">
      <w:pPr>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2: GC-MS Chromatogram of </w:t>
      </w:r>
      <w:r>
        <w:rPr>
          <w:rFonts w:ascii="Times New Roman" w:hAnsi="Times New Roman" w:cs="Times New Roman"/>
          <w:b/>
          <w:bCs/>
          <w:i/>
          <w:iCs/>
          <w:sz w:val="24"/>
          <w:szCs w:val="24"/>
        </w:rPr>
        <w:t xml:space="preserve">Euphorbia caranensis </w:t>
      </w:r>
    </w:p>
    <w:p w14:paraId="3E6BCC9C">
      <w:pPr>
        <w:jc w:val="both"/>
        <w:rPr>
          <w:rFonts w:ascii="Times New Roman" w:hAnsi="Times New Roman" w:cs="Times New Roman"/>
          <w:b/>
          <w:bCs/>
          <w:sz w:val="24"/>
          <w:szCs w:val="24"/>
        </w:rPr>
      </w:pPr>
    </w:p>
    <w:p w14:paraId="571B6AE5">
      <w:pPr>
        <w:jc w:val="both"/>
        <w:rPr>
          <w:rFonts w:ascii="Times New Roman" w:hAnsi="Times New Roman" w:cs="Times New Roman"/>
          <w:b/>
          <w:bCs/>
          <w:sz w:val="24"/>
          <w:szCs w:val="24"/>
        </w:rPr>
      </w:pPr>
    </w:p>
    <w:p w14:paraId="4D8E8806">
      <w:pPr>
        <w:jc w:val="both"/>
        <w:rPr>
          <w:rFonts w:ascii="Times New Roman" w:hAnsi="Times New Roman" w:cs="Times New Roman"/>
          <w:b/>
          <w:bCs/>
          <w:sz w:val="24"/>
          <w:szCs w:val="24"/>
        </w:rPr>
      </w:pPr>
      <w:r>
        <w:rPr>
          <w:rFonts w:ascii="Times New Roman" w:hAnsi="Times New Roman" w:cs="Times New Roman"/>
          <w:b/>
          <w:bCs/>
          <w:sz w:val="24"/>
          <w:szCs w:val="24"/>
        </w:rPr>
        <w:t>Table 2: GC-MS profile of phytochemical constituents of</w:t>
      </w:r>
      <w:r>
        <w:rPr>
          <w:rFonts w:ascii="Times New Roman" w:hAnsi="Times New Roman" w:cs="Times New Roman"/>
          <w:b/>
          <w:bCs/>
          <w:i/>
          <w:iCs/>
          <w:sz w:val="24"/>
          <w:szCs w:val="24"/>
        </w:rPr>
        <w:t xml:space="preserve"> Euphorbia canariensis </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1"/>
        <w:gridCol w:w="2288"/>
        <w:gridCol w:w="1150"/>
        <w:gridCol w:w="787"/>
        <w:gridCol w:w="1416"/>
        <w:gridCol w:w="1828"/>
        <w:gridCol w:w="1286"/>
      </w:tblGrid>
      <w:tr w14:paraId="314F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5B4571D8">
            <w:pPr>
              <w:jc w:val="both"/>
              <w:rPr>
                <w:rFonts w:ascii="Times New Roman" w:hAnsi="Times New Roman" w:cs="Times New Roman"/>
                <w:bCs/>
                <w:sz w:val="24"/>
                <w:szCs w:val="24"/>
              </w:rPr>
            </w:pPr>
            <w:r>
              <w:rPr>
                <w:rFonts w:ascii="Times New Roman" w:hAnsi="Times New Roman" w:cs="Times New Roman"/>
                <w:bCs/>
                <w:sz w:val="24"/>
                <w:szCs w:val="24"/>
              </w:rPr>
              <w:t xml:space="preserve">Peak </w:t>
            </w:r>
          </w:p>
        </w:tc>
        <w:tc>
          <w:tcPr>
            <w:tcW w:w="2723" w:type="dxa"/>
            <w:tcBorders>
              <w:top w:val="single" w:color="auto" w:sz="4" w:space="0"/>
              <w:left w:val="single" w:color="auto" w:sz="4" w:space="0"/>
              <w:bottom w:val="single" w:color="auto" w:sz="4" w:space="0"/>
              <w:right w:val="single" w:color="auto" w:sz="4" w:space="0"/>
            </w:tcBorders>
          </w:tcPr>
          <w:p w14:paraId="21FD9E09">
            <w:pPr>
              <w:jc w:val="both"/>
              <w:rPr>
                <w:rFonts w:ascii="Times New Roman" w:hAnsi="Times New Roman" w:cs="Times New Roman"/>
                <w:bCs/>
                <w:sz w:val="24"/>
                <w:szCs w:val="24"/>
              </w:rPr>
            </w:pPr>
            <w:r>
              <w:rPr>
                <w:rFonts w:ascii="Times New Roman" w:hAnsi="Times New Roman" w:cs="Times New Roman"/>
                <w:bCs/>
                <w:sz w:val="24"/>
                <w:szCs w:val="24"/>
              </w:rPr>
              <w:t xml:space="preserve">Name of compound </w:t>
            </w:r>
          </w:p>
        </w:tc>
        <w:tc>
          <w:tcPr>
            <w:tcW w:w="1063" w:type="dxa"/>
            <w:tcBorders>
              <w:top w:val="single" w:color="auto" w:sz="4" w:space="0"/>
              <w:left w:val="single" w:color="auto" w:sz="4" w:space="0"/>
              <w:bottom w:val="single" w:color="auto" w:sz="4" w:space="0"/>
              <w:right w:val="single" w:color="auto" w:sz="4" w:space="0"/>
            </w:tcBorders>
          </w:tcPr>
          <w:p w14:paraId="46E84D3D">
            <w:pPr>
              <w:jc w:val="both"/>
              <w:rPr>
                <w:rFonts w:ascii="Times New Roman" w:hAnsi="Times New Roman" w:cs="Times New Roman"/>
                <w:bCs/>
                <w:sz w:val="24"/>
                <w:szCs w:val="24"/>
              </w:rPr>
            </w:pPr>
            <w:r>
              <w:rPr>
                <w:rFonts w:ascii="Times New Roman" w:hAnsi="Times New Roman" w:cs="Times New Roman"/>
                <w:bCs/>
                <w:sz w:val="24"/>
                <w:szCs w:val="24"/>
              </w:rPr>
              <w:t xml:space="preserve">Retention time </w:t>
            </w:r>
          </w:p>
        </w:tc>
        <w:tc>
          <w:tcPr>
            <w:tcW w:w="863" w:type="dxa"/>
            <w:tcBorders>
              <w:top w:val="single" w:color="auto" w:sz="4" w:space="0"/>
              <w:left w:val="single" w:color="auto" w:sz="4" w:space="0"/>
              <w:bottom w:val="single" w:color="auto" w:sz="4" w:space="0"/>
              <w:right w:val="single" w:color="auto" w:sz="4" w:space="0"/>
            </w:tcBorders>
          </w:tcPr>
          <w:p w14:paraId="1BAA1A71">
            <w:pPr>
              <w:jc w:val="both"/>
              <w:rPr>
                <w:rFonts w:ascii="Times New Roman" w:hAnsi="Times New Roman" w:cs="Times New Roman"/>
                <w:bCs/>
                <w:sz w:val="24"/>
                <w:szCs w:val="24"/>
              </w:rPr>
            </w:pPr>
            <w:r>
              <w:rPr>
                <w:rFonts w:ascii="Times New Roman" w:hAnsi="Times New Roman" w:cs="Times New Roman"/>
                <w:bCs/>
                <w:sz w:val="24"/>
                <w:szCs w:val="24"/>
              </w:rPr>
              <w:t>Peak area (%)</w:t>
            </w:r>
          </w:p>
        </w:tc>
        <w:tc>
          <w:tcPr>
            <w:tcW w:w="1326" w:type="dxa"/>
            <w:tcBorders>
              <w:top w:val="single" w:color="auto" w:sz="4" w:space="0"/>
              <w:left w:val="single" w:color="auto" w:sz="4" w:space="0"/>
              <w:bottom w:val="single" w:color="auto" w:sz="4" w:space="0"/>
              <w:right w:val="single" w:color="auto" w:sz="4" w:space="0"/>
            </w:tcBorders>
          </w:tcPr>
          <w:p w14:paraId="5FFADF46">
            <w:pPr>
              <w:jc w:val="both"/>
              <w:rPr>
                <w:rFonts w:ascii="Times New Roman" w:hAnsi="Times New Roman" w:cs="Times New Roman"/>
                <w:bCs/>
                <w:sz w:val="24"/>
                <w:szCs w:val="24"/>
              </w:rPr>
            </w:pPr>
            <w:r>
              <w:rPr>
                <w:rFonts w:ascii="Times New Roman" w:hAnsi="Times New Roman" w:cs="Times New Roman"/>
                <w:bCs/>
                <w:sz w:val="24"/>
                <w:szCs w:val="24"/>
              </w:rPr>
              <w:t xml:space="preserve">Nature </w:t>
            </w:r>
          </w:p>
        </w:tc>
        <w:tc>
          <w:tcPr>
            <w:tcW w:w="1339" w:type="dxa"/>
            <w:tcBorders>
              <w:top w:val="single" w:color="auto" w:sz="4" w:space="0"/>
              <w:left w:val="single" w:color="auto" w:sz="4" w:space="0"/>
              <w:bottom w:val="single" w:color="auto" w:sz="4" w:space="0"/>
              <w:right w:val="single" w:color="auto" w:sz="4" w:space="0"/>
            </w:tcBorders>
          </w:tcPr>
          <w:p w14:paraId="0F22D164">
            <w:pPr>
              <w:jc w:val="both"/>
            </w:pPr>
            <w:r>
              <w:t xml:space="preserve">Biological activities </w:t>
            </w:r>
          </w:p>
        </w:tc>
        <w:tc>
          <w:tcPr>
            <w:tcW w:w="1339" w:type="dxa"/>
            <w:tcBorders>
              <w:top w:val="single" w:color="auto" w:sz="4" w:space="0"/>
              <w:left w:val="single" w:color="auto" w:sz="4" w:space="0"/>
              <w:bottom w:val="single" w:color="auto" w:sz="4" w:space="0"/>
              <w:right w:val="single" w:color="auto" w:sz="4" w:space="0"/>
            </w:tcBorders>
          </w:tcPr>
          <w:p w14:paraId="656F9E56">
            <w:pPr>
              <w:jc w:val="both"/>
            </w:pPr>
            <w:r>
              <w:t xml:space="preserve">References </w:t>
            </w:r>
          </w:p>
        </w:tc>
      </w:tr>
      <w:tr w14:paraId="45A2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554A8483">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723" w:type="dxa"/>
            <w:tcBorders>
              <w:top w:val="single" w:color="auto" w:sz="4" w:space="0"/>
              <w:left w:val="single" w:color="auto" w:sz="4" w:space="0"/>
              <w:bottom w:val="single" w:color="auto" w:sz="4" w:space="0"/>
              <w:right w:val="single" w:color="auto" w:sz="4" w:space="0"/>
            </w:tcBorders>
          </w:tcPr>
          <w:p w14:paraId="0B2E0814">
            <w:pPr>
              <w:jc w:val="both"/>
              <w:rPr>
                <w:rFonts w:ascii="Times New Roman" w:hAnsi="Times New Roman" w:cs="Times New Roman"/>
                <w:bCs/>
                <w:sz w:val="24"/>
                <w:szCs w:val="24"/>
              </w:rPr>
            </w:pPr>
            <w:r>
              <w:rPr>
                <w:rFonts w:ascii="Times New Roman" w:hAnsi="Times New Roman" w:cs="Times New Roman"/>
                <w:bCs/>
                <w:sz w:val="24"/>
                <w:szCs w:val="24"/>
              </w:rPr>
              <w:t xml:space="preserve">Dodecane </w:t>
            </w:r>
          </w:p>
          <w:p w14:paraId="6AAA7736">
            <w:pPr>
              <w:jc w:val="both"/>
              <w:rPr>
                <w:rFonts w:ascii="Times New Roman" w:hAnsi="Times New Roman" w:cs="Times New Roman"/>
                <w:bCs/>
                <w:sz w:val="24"/>
                <w:szCs w:val="24"/>
              </w:rPr>
            </w:pPr>
          </w:p>
        </w:tc>
        <w:tc>
          <w:tcPr>
            <w:tcW w:w="1063" w:type="dxa"/>
            <w:tcBorders>
              <w:top w:val="single" w:color="auto" w:sz="4" w:space="0"/>
              <w:left w:val="single" w:color="auto" w:sz="4" w:space="0"/>
              <w:bottom w:val="single" w:color="auto" w:sz="4" w:space="0"/>
              <w:right w:val="single" w:color="auto" w:sz="4" w:space="0"/>
            </w:tcBorders>
          </w:tcPr>
          <w:p w14:paraId="68766AC3">
            <w:pPr>
              <w:jc w:val="both"/>
              <w:rPr>
                <w:rFonts w:ascii="Times New Roman" w:hAnsi="Times New Roman" w:cs="Times New Roman"/>
                <w:bCs/>
                <w:sz w:val="24"/>
                <w:szCs w:val="24"/>
              </w:rPr>
            </w:pPr>
            <w:r>
              <w:rPr>
                <w:rFonts w:ascii="Times New Roman" w:hAnsi="Times New Roman" w:cs="Times New Roman"/>
                <w:bCs/>
                <w:sz w:val="24"/>
                <w:szCs w:val="24"/>
              </w:rPr>
              <w:t>9.634</w:t>
            </w:r>
          </w:p>
        </w:tc>
        <w:tc>
          <w:tcPr>
            <w:tcW w:w="863" w:type="dxa"/>
            <w:tcBorders>
              <w:top w:val="single" w:color="auto" w:sz="4" w:space="0"/>
              <w:left w:val="single" w:color="auto" w:sz="4" w:space="0"/>
              <w:bottom w:val="single" w:color="auto" w:sz="4" w:space="0"/>
              <w:right w:val="single" w:color="auto" w:sz="4" w:space="0"/>
            </w:tcBorders>
          </w:tcPr>
          <w:p w14:paraId="6780E6B7">
            <w:pPr>
              <w:jc w:val="both"/>
              <w:rPr>
                <w:rFonts w:ascii="Times New Roman" w:hAnsi="Times New Roman" w:cs="Times New Roman"/>
                <w:bCs/>
                <w:sz w:val="24"/>
                <w:szCs w:val="24"/>
              </w:rPr>
            </w:pPr>
            <w:r>
              <w:rPr>
                <w:rFonts w:ascii="Times New Roman" w:hAnsi="Times New Roman" w:cs="Times New Roman"/>
                <w:bCs/>
                <w:sz w:val="24"/>
                <w:szCs w:val="24"/>
              </w:rPr>
              <w:t>0.15</w:t>
            </w:r>
          </w:p>
        </w:tc>
        <w:tc>
          <w:tcPr>
            <w:tcW w:w="1326" w:type="dxa"/>
            <w:tcBorders>
              <w:top w:val="single" w:color="auto" w:sz="4" w:space="0"/>
              <w:left w:val="single" w:color="auto" w:sz="4" w:space="0"/>
              <w:bottom w:val="single" w:color="auto" w:sz="4" w:space="0"/>
              <w:right w:val="single" w:color="auto" w:sz="4" w:space="0"/>
            </w:tcBorders>
          </w:tcPr>
          <w:p w14:paraId="4B095536">
            <w:pPr>
              <w:jc w:val="both"/>
              <w:rPr>
                <w:rFonts w:ascii="Times New Roman" w:hAnsi="Times New Roman" w:cs="Times New Roman"/>
                <w:bCs/>
                <w:sz w:val="24"/>
                <w:szCs w:val="24"/>
              </w:rPr>
            </w:pPr>
            <w:r>
              <w:rPr>
                <w:rFonts w:ascii="Times New Roman" w:hAnsi="Times New Roman" w:cs="Times New Roman"/>
                <w:bCs/>
                <w:sz w:val="24"/>
                <w:szCs w:val="24"/>
              </w:rPr>
              <w:t xml:space="preserve">Alkane </w:t>
            </w:r>
          </w:p>
        </w:tc>
        <w:tc>
          <w:tcPr>
            <w:tcW w:w="1339" w:type="dxa"/>
            <w:tcBorders>
              <w:top w:val="single" w:color="auto" w:sz="4" w:space="0"/>
              <w:left w:val="single" w:color="auto" w:sz="4" w:space="0"/>
              <w:bottom w:val="single" w:color="auto" w:sz="4" w:space="0"/>
              <w:right w:val="single" w:color="auto" w:sz="4" w:space="0"/>
            </w:tcBorders>
          </w:tcPr>
          <w:p w14:paraId="645253E1">
            <w:pPr>
              <w:jc w:val="both"/>
            </w:pPr>
            <w:r>
              <w:t xml:space="preserve">Antibacterial, antifungal </w:t>
            </w:r>
          </w:p>
        </w:tc>
        <w:tc>
          <w:tcPr>
            <w:tcW w:w="1339" w:type="dxa"/>
            <w:tcBorders>
              <w:top w:val="single" w:color="auto" w:sz="4" w:space="0"/>
              <w:left w:val="single" w:color="auto" w:sz="4" w:space="0"/>
              <w:bottom w:val="single" w:color="auto" w:sz="4" w:space="0"/>
              <w:right w:val="single" w:color="auto" w:sz="4" w:space="0"/>
            </w:tcBorders>
          </w:tcPr>
          <w:p w14:paraId="2E5C6E29">
            <w:pPr>
              <w:jc w:val="both"/>
            </w:pPr>
            <w:r>
              <w:t xml:space="preserve">Duke, 1992; Meher,  </w:t>
            </w:r>
            <w:r>
              <w:rPr>
                <w:i/>
                <w:iCs/>
              </w:rPr>
              <w:t>et</w:t>
            </w:r>
            <w:r>
              <w:t xml:space="preserve"> </w:t>
            </w:r>
            <w:r>
              <w:rPr>
                <w:i/>
                <w:iCs/>
              </w:rPr>
              <w:t>al</w:t>
            </w:r>
            <w:r>
              <w:t>., 2019</w:t>
            </w:r>
          </w:p>
        </w:tc>
      </w:tr>
      <w:tr w14:paraId="369C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6F15C9AD">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2723" w:type="dxa"/>
            <w:tcBorders>
              <w:top w:val="single" w:color="auto" w:sz="4" w:space="0"/>
              <w:left w:val="single" w:color="auto" w:sz="4" w:space="0"/>
              <w:bottom w:val="single" w:color="auto" w:sz="4" w:space="0"/>
              <w:right w:val="single" w:color="auto" w:sz="4" w:space="0"/>
            </w:tcBorders>
          </w:tcPr>
          <w:p w14:paraId="38366881">
            <w:pPr>
              <w:jc w:val="both"/>
              <w:rPr>
                <w:rFonts w:ascii="Times New Roman" w:hAnsi="Times New Roman" w:cs="Times New Roman"/>
                <w:bCs/>
                <w:sz w:val="24"/>
                <w:szCs w:val="24"/>
              </w:rPr>
            </w:pPr>
            <w:r>
              <w:rPr>
                <w:rFonts w:ascii="Times New Roman" w:hAnsi="Times New Roman" w:cs="Times New Roman"/>
                <w:bCs/>
                <w:sz w:val="24"/>
                <w:szCs w:val="24"/>
              </w:rPr>
              <w:t>5 -Tetradecene</w:t>
            </w:r>
          </w:p>
        </w:tc>
        <w:tc>
          <w:tcPr>
            <w:tcW w:w="1063" w:type="dxa"/>
            <w:tcBorders>
              <w:top w:val="single" w:color="auto" w:sz="4" w:space="0"/>
              <w:left w:val="single" w:color="auto" w:sz="4" w:space="0"/>
              <w:bottom w:val="single" w:color="auto" w:sz="4" w:space="0"/>
              <w:right w:val="single" w:color="auto" w:sz="4" w:space="0"/>
            </w:tcBorders>
          </w:tcPr>
          <w:p w14:paraId="618E4A1C">
            <w:pPr>
              <w:jc w:val="both"/>
              <w:rPr>
                <w:rFonts w:ascii="Times New Roman" w:hAnsi="Times New Roman" w:cs="Times New Roman"/>
                <w:bCs/>
                <w:sz w:val="24"/>
                <w:szCs w:val="24"/>
              </w:rPr>
            </w:pPr>
            <w:r>
              <w:rPr>
                <w:rFonts w:ascii="Times New Roman" w:hAnsi="Times New Roman" w:cs="Times New Roman"/>
                <w:bCs/>
                <w:sz w:val="24"/>
                <w:szCs w:val="24"/>
              </w:rPr>
              <w:t>14.662</w:t>
            </w:r>
          </w:p>
        </w:tc>
        <w:tc>
          <w:tcPr>
            <w:tcW w:w="863" w:type="dxa"/>
            <w:tcBorders>
              <w:top w:val="single" w:color="auto" w:sz="4" w:space="0"/>
              <w:left w:val="single" w:color="auto" w:sz="4" w:space="0"/>
              <w:bottom w:val="single" w:color="auto" w:sz="4" w:space="0"/>
              <w:right w:val="single" w:color="auto" w:sz="4" w:space="0"/>
            </w:tcBorders>
          </w:tcPr>
          <w:p w14:paraId="66B71540">
            <w:pPr>
              <w:jc w:val="both"/>
              <w:rPr>
                <w:rFonts w:ascii="Times New Roman" w:hAnsi="Times New Roman" w:cs="Times New Roman"/>
                <w:bCs/>
                <w:sz w:val="24"/>
                <w:szCs w:val="24"/>
              </w:rPr>
            </w:pPr>
            <w:r>
              <w:rPr>
                <w:rFonts w:ascii="Times New Roman" w:hAnsi="Times New Roman" w:cs="Times New Roman"/>
                <w:bCs/>
                <w:sz w:val="24"/>
                <w:szCs w:val="24"/>
              </w:rPr>
              <w:t>0.43</w:t>
            </w:r>
          </w:p>
        </w:tc>
        <w:tc>
          <w:tcPr>
            <w:tcW w:w="1326" w:type="dxa"/>
            <w:tcBorders>
              <w:top w:val="single" w:color="auto" w:sz="4" w:space="0"/>
              <w:left w:val="single" w:color="auto" w:sz="4" w:space="0"/>
              <w:bottom w:val="single" w:color="auto" w:sz="4" w:space="0"/>
              <w:right w:val="single" w:color="auto" w:sz="4" w:space="0"/>
            </w:tcBorders>
          </w:tcPr>
          <w:p w14:paraId="6D83241B">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color="auto" w:sz="4" w:space="0"/>
              <w:left w:val="single" w:color="auto" w:sz="4" w:space="0"/>
              <w:bottom w:val="single" w:color="auto" w:sz="4" w:space="0"/>
              <w:right w:val="single" w:color="auto" w:sz="4" w:space="0"/>
            </w:tcBorders>
          </w:tcPr>
          <w:p w14:paraId="3936719D">
            <w:pPr>
              <w:jc w:val="both"/>
            </w:pPr>
            <w:r>
              <w:t>_</w:t>
            </w:r>
          </w:p>
        </w:tc>
        <w:tc>
          <w:tcPr>
            <w:tcW w:w="1339" w:type="dxa"/>
            <w:tcBorders>
              <w:top w:val="single" w:color="auto" w:sz="4" w:space="0"/>
              <w:left w:val="single" w:color="auto" w:sz="4" w:space="0"/>
              <w:bottom w:val="single" w:color="auto" w:sz="4" w:space="0"/>
              <w:right w:val="single" w:color="auto" w:sz="4" w:space="0"/>
            </w:tcBorders>
          </w:tcPr>
          <w:p w14:paraId="5DD699D7">
            <w:pPr>
              <w:jc w:val="both"/>
            </w:pPr>
            <w:r>
              <w:t>_</w:t>
            </w:r>
          </w:p>
        </w:tc>
      </w:tr>
      <w:tr w14:paraId="254F4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5A92FBC1">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2723" w:type="dxa"/>
            <w:tcBorders>
              <w:top w:val="single" w:color="auto" w:sz="4" w:space="0"/>
              <w:left w:val="single" w:color="auto" w:sz="4" w:space="0"/>
              <w:bottom w:val="single" w:color="auto" w:sz="4" w:space="0"/>
              <w:right w:val="single" w:color="auto" w:sz="4" w:space="0"/>
            </w:tcBorders>
          </w:tcPr>
          <w:p w14:paraId="3028A989">
            <w:pPr>
              <w:jc w:val="both"/>
              <w:rPr>
                <w:rFonts w:ascii="Times New Roman" w:hAnsi="Times New Roman" w:cs="Times New Roman"/>
                <w:bCs/>
                <w:sz w:val="24"/>
                <w:szCs w:val="24"/>
              </w:rPr>
            </w:pPr>
            <w:r>
              <w:rPr>
                <w:rFonts w:ascii="Times New Roman" w:hAnsi="Times New Roman" w:cs="Times New Roman"/>
                <w:bCs/>
                <w:sz w:val="24"/>
                <w:szCs w:val="24"/>
              </w:rPr>
              <w:t xml:space="preserve">Tetradecane </w:t>
            </w:r>
          </w:p>
          <w:p w14:paraId="6D1C9360">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color="auto" w:sz="4" w:space="0"/>
              <w:left w:val="single" w:color="auto" w:sz="4" w:space="0"/>
              <w:bottom w:val="single" w:color="auto" w:sz="4" w:space="0"/>
              <w:right w:val="single" w:color="auto" w:sz="4" w:space="0"/>
            </w:tcBorders>
          </w:tcPr>
          <w:p w14:paraId="06C3DFCD">
            <w:pPr>
              <w:jc w:val="both"/>
              <w:rPr>
                <w:rFonts w:ascii="Times New Roman" w:hAnsi="Times New Roman" w:cs="Times New Roman"/>
                <w:bCs/>
                <w:sz w:val="24"/>
                <w:szCs w:val="24"/>
              </w:rPr>
            </w:pPr>
            <w:r>
              <w:rPr>
                <w:rFonts w:ascii="Times New Roman" w:hAnsi="Times New Roman" w:cs="Times New Roman"/>
                <w:bCs/>
                <w:sz w:val="24"/>
                <w:szCs w:val="24"/>
              </w:rPr>
              <w:t>14. 945</w:t>
            </w:r>
          </w:p>
        </w:tc>
        <w:tc>
          <w:tcPr>
            <w:tcW w:w="863" w:type="dxa"/>
            <w:tcBorders>
              <w:top w:val="single" w:color="auto" w:sz="4" w:space="0"/>
              <w:left w:val="single" w:color="auto" w:sz="4" w:space="0"/>
              <w:bottom w:val="single" w:color="auto" w:sz="4" w:space="0"/>
              <w:right w:val="single" w:color="auto" w:sz="4" w:space="0"/>
            </w:tcBorders>
          </w:tcPr>
          <w:p w14:paraId="45A55AD8">
            <w:pPr>
              <w:jc w:val="both"/>
              <w:rPr>
                <w:rFonts w:ascii="Times New Roman" w:hAnsi="Times New Roman" w:cs="Times New Roman"/>
                <w:bCs/>
                <w:sz w:val="24"/>
                <w:szCs w:val="24"/>
              </w:rPr>
            </w:pPr>
            <w:r>
              <w:rPr>
                <w:rFonts w:ascii="Times New Roman" w:hAnsi="Times New Roman" w:cs="Times New Roman"/>
                <w:bCs/>
                <w:sz w:val="24"/>
                <w:szCs w:val="24"/>
              </w:rPr>
              <w:t>0.61</w:t>
            </w:r>
          </w:p>
        </w:tc>
        <w:tc>
          <w:tcPr>
            <w:tcW w:w="1326" w:type="dxa"/>
            <w:tcBorders>
              <w:top w:val="single" w:color="auto" w:sz="4" w:space="0"/>
              <w:left w:val="single" w:color="auto" w:sz="4" w:space="0"/>
              <w:bottom w:val="single" w:color="auto" w:sz="4" w:space="0"/>
              <w:right w:val="single" w:color="auto" w:sz="4" w:space="0"/>
            </w:tcBorders>
          </w:tcPr>
          <w:p w14:paraId="0FC046AA">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color="auto" w:sz="4" w:space="0"/>
              <w:left w:val="single" w:color="auto" w:sz="4" w:space="0"/>
              <w:bottom w:val="single" w:color="auto" w:sz="4" w:space="0"/>
              <w:right w:val="single" w:color="auto" w:sz="4" w:space="0"/>
            </w:tcBorders>
          </w:tcPr>
          <w:p w14:paraId="68B2B4E9">
            <w:pPr>
              <w:jc w:val="both"/>
            </w:pPr>
            <w:r>
              <w:t>Antimicrobial, cytotoxicity, antipyretic, anthelmintic, tumor, tuberculosis, dyspepsia, anemia, elephantiasis, anti-diabetic, antiinflammatory, anti-diarrhoeal</w:t>
            </w:r>
          </w:p>
        </w:tc>
        <w:tc>
          <w:tcPr>
            <w:tcW w:w="1339" w:type="dxa"/>
            <w:tcBorders>
              <w:top w:val="single" w:color="auto" w:sz="4" w:space="0"/>
              <w:left w:val="single" w:color="auto" w:sz="4" w:space="0"/>
              <w:bottom w:val="single" w:color="auto" w:sz="4" w:space="0"/>
              <w:right w:val="single" w:color="auto" w:sz="4" w:space="0"/>
            </w:tcBorders>
          </w:tcPr>
          <w:p w14:paraId="6D584DD5">
            <w:pPr>
              <w:jc w:val="both"/>
            </w:pPr>
            <w:r>
              <w:t xml:space="preserve">Duke, 1992; Meher </w:t>
            </w:r>
            <w:r>
              <w:rPr>
                <w:i/>
                <w:iCs/>
              </w:rPr>
              <w:t>et</w:t>
            </w:r>
            <w:r>
              <w:t xml:space="preserve"> </w:t>
            </w:r>
            <w:r>
              <w:rPr>
                <w:i/>
                <w:iCs/>
              </w:rPr>
              <w:t>al</w:t>
            </w:r>
            <w:r>
              <w:t>., 2019</w:t>
            </w:r>
          </w:p>
        </w:tc>
      </w:tr>
      <w:tr w14:paraId="3B0C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5B1EBAEE">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2723" w:type="dxa"/>
            <w:tcBorders>
              <w:top w:val="single" w:color="auto" w:sz="4" w:space="0"/>
              <w:left w:val="single" w:color="auto" w:sz="4" w:space="0"/>
              <w:bottom w:val="single" w:color="auto" w:sz="4" w:space="0"/>
              <w:right w:val="single" w:color="auto" w:sz="4" w:space="0"/>
            </w:tcBorders>
          </w:tcPr>
          <w:p w14:paraId="0AD57032">
            <w:pPr>
              <w:jc w:val="both"/>
              <w:rPr>
                <w:rFonts w:ascii="Times New Roman" w:hAnsi="Times New Roman" w:cs="Times New Roman"/>
                <w:bCs/>
                <w:sz w:val="24"/>
                <w:szCs w:val="24"/>
              </w:rPr>
            </w:pPr>
            <w:r>
              <w:rPr>
                <w:rFonts w:ascii="Times New Roman" w:hAnsi="Times New Roman" w:cs="Times New Roman"/>
                <w:bCs/>
                <w:sz w:val="24"/>
                <w:szCs w:val="24"/>
              </w:rPr>
              <w:t xml:space="preserve">Cyclododecane </w:t>
            </w:r>
          </w:p>
        </w:tc>
        <w:tc>
          <w:tcPr>
            <w:tcW w:w="1063" w:type="dxa"/>
            <w:tcBorders>
              <w:top w:val="single" w:color="auto" w:sz="4" w:space="0"/>
              <w:left w:val="single" w:color="auto" w:sz="4" w:space="0"/>
              <w:bottom w:val="single" w:color="auto" w:sz="4" w:space="0"/>
              <w:right w:val="single" w:color="auto" w:sz="4" w:space="0"/>
            </w:tcBorders>
          </w:tcPr>
          <w:p w14:paraId="6ECB72CB">
            <w:pPr>
              <w:jc w:val="both"/>
              <w:rPr>
                <w:rFonts w:ascii="Times New Roman" w:hAnsi="Times New Roman" w:cs="Times New Roman"/>
                <w:bCs/>
                <w:sz w:val="24"/>
                <w:szCs w:val="24"/>
              </w:rPr>
            </w:pPr>
            <w:r>
              <w:rPr>
                <w:rFonts w:ascii="Times New Roman" w:hAnsi="Times New Roman" w:cs="Times New Roman"/>
                <w:bCs/>
                <w:sz w:val="24"/>
                <w:szCs w:val="24"/>
              </w:rPr>
              <w:t>16.492</w:t>
            </w:r>
          </w:p>
        </w:tc>
        <w:tc>
          <w:tcPr>
            <w:tcW w:w="863" w:type="dxa"/>
            <w:tcBorders>
              <w:top w:val="single" w:color="auto" w:sz="4" w:space="0"/>
              <w:left w:val="single" w:color="auto" w:sz="4" w:space="0"/>
              <w:bottom w:val="single" w:color="auto" w:sz="4" w:space="0"/>
              <w:right w:val="single" w:color="auto" w:sz="4" w:space="0"/>
            </w:tcBorders>
          </w:tcPr>
          <w:p w14:paraId="6FA1F986">
            <w:pPr>
              <w:jc w:val="both"/>
              <w:rPr>
                <w:rFonts w:ascii="Times New Roman" w:hAnsi="Times New Roman" w:cs="Times New Roman"/>
                <w:bCs/>
                <w:sz w:val="24"/>
                <w:szCs w:val="24"/>
              </w:rPr>
            </w:pPr>
            <w:r>
              <w:rPr>
                <w:rFonts w:ascii="Times New Roman" w:hAnsi="Times New Roman" w:cs="Times New Roman"/>
                <w:bCs/>
                <w:sz w:val="24"/>
                <w:szCs w:val="24"/>
              </w:rPr>
              <w:t>0.35</w:t>
            </w:r>
          </w:p>
        </w:tc>
        <w:tc>
          <w:tcPr>
            <w:tcW w:w="1326" w:type="dxa"/>
            <w:tcBorders>
              <w:top w:val="single" w:color="auto" w:sz="4" w:space="0"/>
              <w:left w:val="single" w:color="auto" w:sz="4" w:space="0"/>
              <w:bottom w:val="single" w:color="auto" w:sz="4" w:space="0"/>
              <w:right w:val="single" w:color="auto" w:sz="4" w:space="0"/>
            </w:tcBorders>
          </w:tcPr>
          <w:p w14:paraId="0A48F867">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color="auto" w:sz="4" w:space="0"/>
              <w:left w:val="single" w:color="auto" w:sz="4" w:space="0"/>
              <w:bottom w:val="single" w:color="auto" w:sz="4" w:space="0"/>
              <w:right w:val="single" w:color="auto" w:sz="4" w:space="0"/>
            </w:tcBorders>
          </w:tcPr>
          <w:p w14:paraId="0003591B">
            <w:pPr>
              <w:jc w:val="both"/>
            </w:pPr>
            <w:r>
              <w:t>hydrophobic mask, as a temporary consolidant agent</w:t>
            </w:r>
          </w:p>
        </w:tc>
        <w:tc>
          <w:tcPr>
            <w:tcW w:w="1339" w:type="dxa"/>
            <w:tcBorders>
              <w:top w:val="single" w:color="auto" w:sz="4" w:space="0"/>
              <w:left w:val="single" w:color="auto" w:sz="4" w:space="0"/>
              <w:bottom w:val="single" w:color="auto" w:sz="4" w:space="0"/>
              <w:right w:val="single" w:color="auto" w:sz="4" w:space="0"/>
            </w:tcBorders>
          </w:tcPr>
          <w:p w14:paraId="41EE752B">
            <w:pPr>
              <w:jc w:val="both"/>
            </w:pPr>
            <w:r>
              <w:t>Rowe &amp; Rozeik, 2008</w:t>
            </w:r>
          </w:p>
        </w:tc>
      </w:tr>
      <w:tr w14:paraId="22364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74034A9D">
            <w:pPr>
              <w:jc w:val="both"/>
              <w:rPr>
                <w:rFonts w:ascii="Times New Roman" w:hAnsi="Times New Roman" w:cs="Times New Roman"/>
                <w:bCs/>
                <w:sz w:val="24"/>
                <w:szCs w:val="24"/>
              </w:rPr>
            </w:pPr>
            <w:r>
              <w:rPr>
                <w:rFonts w:ascii="Times New Roman" w:hAnsi="Times New Roman" w:cs="Times New Roman"/>
                <w:bCs/>
                <w:sz w:val="24"/>
                <w:szCs w:val="24"/>
              </w:rPr>
              <w:t>5</w:t>
            </w:r>
          </w:p>
        </w:tc>
        <w:tc>
          <w:tcPr>
            <w:tcW w:w="2723" w:type="dxa"/>
            <w:tcBorders>
              <w:top w:val="single" w:color="auto" w:sz="4" w:space="0"/>
              <w:left w:val="single" w:color="auto" w:sz="4" w:space="0"/>
              <w:bottom w:val="single" w:color="auto" w:sz="4" w:space="0"/>
              <w:right w:val="single" w:color="auto" w:sz="4" w:space="0"/>
            </w:tcBorders>
          </w:tcPr>
          <w:p w14:paraId="64F3E0EA">
            <w:pPr>
              <w:jc w:val="both"/>
              <w:rPr>
                <w:rFonts w:ascii="Times New Roman" w:hAnsi="Times New Roman" w:cs="Times New Roman"/>
                <w:bCs/>
                <w:sz w:val="24"/>
                <w:szCs w:val="24"/>
              </w:rPr>
            </w:pPr>
            <w:r>
              <w:rPr>
                <w:rFonts w:ascii="Times New Roman" w:hAnsi="Times New Roman" w:cs="Times New Roman"/>
                <w:bCs/>
                <w:sz w:val="24"/>
                <w:szCs w:val="24"/>
              </w:rPr>
              <w:t>2,4-Di-tert-butylphenol</w:t>
            </w:r>
          </w:p>
        </w:tc>
        <w:tc>
          <w:tcPr>
            <w:tcW w:w="1063" w:type="dxa"/>
            <w:tcBorders>
              <w:top w:val="single" w:color="auto" w:sz="4" w:space="0"/>
              <w:left w:val="single" w:color="auto" w:sz="4" w:space="0"/>
              <w:bottom w:val="single" w:color="auto" w:sz="4" w:space="0"/>
              <w:right w:val="single" w:color="auto" w:sz="4" w:space="0"/>
            </w:tcBorders>
          </w:tcPr>
          <w:p w14:paraId="350B71B4">
            <w:pPr>
              <w:jc w:val="both"/>
              <w:rPr>
                <w:rFonts w:ascii="Times New Roman" w:hAnsi="Times New Roman" w:cs="Times New Roman"/>
                <w:bCs/>
                <w:sz w:val="24"/>
                <w:szCs w:val="24"/>
              </w:rPr>
            </w:pPr>
            <w:r>
              <w:rPr>
                <w:rFonts w:ascii="Times New Roman" w:hAnsi="Times New Roman" w:cs="Times New Roman"/>
                <w:bCs/>
                <w:sz w:val="24"/>
                <w:szCs w:val="24"/>
              </w:rPr>
              <w:t>17.404</w:t>
            </w:r>
          </w:p>
        </w:tc>
        <w:tc>
          <w:tcPr>
            <w:tcW w:w="863" w:type="dxa"/>
            <w:tcBorders>
              <w:top w:val="single" w:color="auto" w:sz="4" w:space="0"/>
              <w:left w:val="single" w:color="auto" w:sz="4" w:space="0"/>
              <w:bottom w:val="single" w:color="auto" w:sz="4" w:space="0"/>
              <w:right w:val="single" w:color="auto" w:sz="4" w:space="0"/>
            </w:tcBorders>
          </w:tcPr>
          <w:p w14:paraId="535C0ECB">
            <w:pPr>
              <w:jc w:val="both"/>
              <w:rPr>
                <w:rFonts w:ascii="Times New Roman" w:hAnsi="Times New Roman" w:cs="Times New Roman"/>
                <w:bCs/>
                <w:sz w:val="24"/>
                <w:szCs w:val="24"/>
              </w:rPr>
            </w:pPr>
            <w:r>
              <w:rPr>
                <w:rFonts w:ascii="Times New Roman" w:hAnsi="Times New Roman" w:cs="Times New Roman"/>
                <w:bCs/>
                <w:sz w:val="24"/>
                <w:szCs w:val="24"/>
              </w:rPr>
              <w:t>1.86</w:t>
            </w:r>
          </w:p>
        </w:tc>
        <w:tc>
          <w:tcPr>
            <w:tcW w:w="1326" w:type="dxa"/>
            <w:tcBorders>
              <w:top w:val="single" w:color="auto" w:sz="4" w:space="0"/>
              <w:left w:val="single" w:color="auto" w:sz="4" w:space="0"/>
              <w:bottom w:val="single" w:color="auto" w:sz="4" w:space="0"/>
              <w:right w:val="single" w:color="auto" w:sz="4" w:space="0"/>
            </w:tcBorders>
          </w:tcPr>
          <w:p w14:paraId="5BC5C4C8">
            <w:pPr>
              <w:jc w:val="both"/>
              <w:rPr>
                <w:rFonts w:ascii="Times New Roman" w:hAnsi="Times New Roman" w:cs="Times New Roman"/>
                <w:bCs/>
                <w:sz w:val="24"/>
                <w:szCs w:val="24"/>
              </w:rPr>
            </w:pPr>
            <w:r>
              <w:rPr>
                <w:rFonts w:ascii="Times New Roman" w:hAnsi="Times New Roman" w:cs="Times New Roman"/>
                <w:bCs/>
                <w:sz w:val="24"/>
                <w:szCs w:val="24"/>
              </w:rPr>
              <w:t xml:space="preserve">Alkanol group </w:t>
            </w:r>
          </w:p>
        </w:tc>
        <w:tc>
          <w:tcPr>
            <w:tcW w:w="1339" w:type="dxa"/>
            <w:tcBorders>
              <w:top w:val="single" w:color="auto" w:sz="4" w:space="0"/>
              <w:left w:val="single" w:color="auto" w:sz="4" w:space="0"/>
              <w:bottom w:val="single" w:color="auto" w:sz="4" w:space="0"/>
              <w:right w:val="single" w:color="auto" w:sz="4" w:space="0"/>
            </w:tcBorders>
          </w:tcPr>
          <w:p w14:paraId="65D994B5">
            <w:pPr>
              <w:jc w:val="both"/>
            </w:pPr>
            <w:r>
              <w:t>Antimicrobial, antioxidant, antibiofilm, anti-inflammatory</w:t>
            </w:r>
          </w:p>
        </w:tc>
        <w:tc>
          <w:tcPr>
            <w:tcW w:w="1339" w:type="dxa"/>
            <w:tcBorders>
              <w:top w:val="single" w:color="auto" w:sz="4" w:space="0"/>
              <w:left w:val="single" w:color="auto" w:sz="4" w:space="0"/>
              <w:bottom w:val="single" w:color="auto" w:sz="4" w:space="0"/>
              <w:right w:val="single" w:color="auto" w:sz="4" w:space="0"/>
            </w:tcBorders>
          </w:tcPr>
          <w:p w14:paraId="4B706C2D">
            <w:pPr>
              <w:jc w:val="both"/>
            </w:pPr>
            <w:r>
              <w:t>Zhao (2020); Seenivasan (2022); Rouvier (2024)</w:t>
            </w:r>
          </w:p>
        </w:tc>
      </w:tr>
      <w:tr w14:paraId="7DC8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1E743298">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2723" w:type="dxa"/>
            <w:tcBorders>
              <w:top w:val="single" w:color="auto" w:sz="4" w:space="0"/>
              <w:left w:val="single" w:color="auto" w:sz="4" w:space="0"/>
              <w:bottom w:val="single" w:color="auto" w:sz="4" w:space="0"/>
              <w:right w:val="single" w:color="auto" w:sz="4" w:space="0"/>
            </w:tcBorders>
          </w:tcPr>
          <w:p w14:paraId="572AE108">
            <w:pPr>
              <w:jc w:val="both"/>
              <w:rPr>
                <w:rFonts w:ascii="Times New Roman" w:hAnsi="Times New Roman" w:cs="Times New Roman"/>
                <w:bCs/>
                <w:sz w:val="24"/>
                <w:szCs w:val="24"/>
              </w:rPr>
            </w:pPr>
            <w:r>
              <w:rPr>
                <w:rFonts w:ascii="Times New Roman" w:hAnsi="Times New Roman" w:cs="Times New Roman"/>
                <w:bCs/>
                <w:sz w:val="24"/>
                <w:szCs w:val="24"/>
              </w:rPr>
              <w:t>Undecanoic acid,</w:t>
            </w:r>
          </w:p>
          <w:p w14:paraId="13D911E4">
            <w:pPr>
              <w:jc w:val="both"/>
              <w:rPr>
                <w:rFonts w:ascii="Times New Roman" w:hAnsi="Times New Roman" w:cs="Times New Roman"/>
                <w:bCs/>
                <w:sz w:val="24"/>
                <w:szCs w:val="24"/>
              </w:rPr>
            </w:pPr>
            <w:r>
              <w:rPr>
                <w:rFonts w:ascii="Times New Roman" w:hAnsi="Times New Roman" w:cs="Times New Roman"/>
                <w:bCs/>
                <w:sz w:val="24"/>
                <w:szCs w:val="24"/>
              </w:rPr>
              <w:t xml:space="preserve"> </w:t>
            </w:r>
          </w:p>
        </w:tc>
        <w:tc>
          <w:tcPr>
            <w:tcW w:w="1063" w:type="dxa"/>
            <w:tcBorders>
              <w:top w:val="single" w:color="auto" w:sz="4" w:space="0"/>
              <w:left w:val="single" w:color="auto" w:sz="4" w:space="0"/>
              <w:bottom w:val="single" w:color="auto" w:sz="4" w:space="0"/>
              <w:right w:val="single" w:color="auto" w:sz="4" w:space="0"/>
            </w:tcBorders>
          </w:tcPr>
          <w:p w14:paraId="0DEE05C8">
            <w:pPr>
              <w:jc w:val="both"/>
              <w:rPr>
                <w:rFonts w:ascii="Times New Roman" w:hAnsi="Times New Roman" w:cs="Times New Roman"/>
                <w:bCs/>
                <w:sz w:val="24"/>
                <w:szCs w:val="24"/>
              </w:rPr>
            </w:pPr>
            <w:r>
              <w:rPr>
                <w:rFonts w:ascii="Times New Roman" w:hAnsi="Times New Roman" w:cs="Times New Roman"/>
                <w:bCs/>
                <w:sz w:val="24"/>
                <w:szCs w:val="24"/>
              </w:rPr>
              <w:t>17.663</w:t>
            </w:r>
          </w:p>
        </w:tc>
        <w:tc>
          <w:tcPr>
            <w:tcW w:w="863" w:type="dxa"/>
            <w:tcBorders>
              <w:top w:val="single" w:color="auto" w:sz="4" w:space="0"/>
              <w:left w:val="single" w:color="auto" w:sz="4" w:space="0"/>
              <w:bottom w:val="single" w:color="auto" w:sz="4" w:space="0"/>
              <w:right w:val="single" w:color="auto" w:sz="4" w:space="0"/>
            </w:tcBorders>
          </w:tcPr>
          <w:p w14:paraId="0410F1C4">
            <w:pPr>
              <w:jc w:val="both"/>
              <w:rPr>
                <w:rFonts w:ascii="Times New Roman" w:hAnsi="Times New Roman" w:cs="Times New Roman"/>
                <w:bCs/>
                <w:sz w:val="24"/>
                <w:szCs w:val="24"/>
              </w:rPr>
            </w:pPr>
            <w:r>
              <w:rPr>
                <w:rFonts w:ascii="Times New Roman" w:hAnsi="Times New Roman" w:cs="Times New Roman"/>
                <w:bCs/>
                <w:sz w:val="24"/>
                <w:szCs w:val="24"/>
              </w:rPr>
              <w:t>0.42</w:t>
            </w:r>
          </w:p>
        </w:tc>
        <w:tc>
          <w:tcPr>
            <w:tcW w:w="1326" w:type="dxa"/>
            <w:tcBorders>
              <w:top w:val="single" w:color="auto" w:sz="4" w:space="0"/>
              <w:left w:val="single" w:color="auto" w:sz="4" w:space="0"/>
              <w:bottom w:val="single" w:color="auto" w:sz="4" w:space="0"/>
              <w:right w:val="single" w:color="auto" w:sz="4" w:space="0"/>
            </w:tcBorders>
          </w:tcPr>
          <w:p w14:paraId="2FAE1B1F">
            <w:pPr>
              <w:jc w:val="both"/>
              <w:rPr>
                <w:rFonts w:ascii="Times New Roman" w:hAnsi="Times New Roman" w:cs="Times New Roman"/>
                <w:bCs/>
                <w:sz w:val="24"/>
                <w:szCs w:val="24"/>
              </w:rPr>
            </w:pPr>
            <w:r>
              <w:rPr>
                <w:rFonts w:ascii="Times New Roman" w:hAnsi="Times New Roman" w:cs="Times New Roman"/>
                <w:bCs/>
                <w:sz w:val="24"/>
                <w:szCs w:val="24"/>
              </w:rPr>
              <w:t xml:space="preserve">Fatty acid methyl ester </w:t>
            </w:r>
          </w:p>
        </w:tc>
        <w:tc>
          <w:tcPr>
            <w:tcW w:w="1339" w:type="dxa"/>
            <w:tcBorders>
              <w:top w:val="single" w:color="auto" w:sz="4" w:space="0"/>
              <w:left w:val="single" w:color="auto" w:sz="4" w:space="0"/>
              <w:bottom w:val="single" w:color="auto" w:sz="4" w:space="0"/>
              <w:right w:val="single" w:color="auto" w:sz="4" w:space="0"/>
            </w:tcBorders>
          </w:tcPr>
          <w:p w14:paraId="5A2EE758">
            <w:pPr>
              <w:jc w:val="both"/>
            </w:pPr>
            <w:r>
              <w:t xml:space="preserve">Antifungal </w:t>
            </w:r>
          </w:p>
        </w:tc>
        <w:tc>
          <w:tcPr>
            <w:tcW w:w="1339" w:type="dxa"/>
            <w:tcBorders>
              <w:top w:val="single" w:color="auto" w:sz="4" w:space="0"/>
              <w:left w:val="single" w:color="auto" w:sz="4" w:space="0"/>
              <w:bottom w:val="single" w:color="auto" w:sz="4" w:space="0"/>
              <w:right w:val="single" w:color="auto" w:sz="4" w:space="0"/>
            </w:tcBorders>
          </w:tcPr>
          <w:p w14:paraId="33AD4B5A">
            <w:pPr>
              <w:jc w:val="both"/>
            </w:pPr>
            <w:r>
              <w:t xml:space="preserve">Rossi </w:t>
            </w:r>
            <w:r>
              <w:rPr>
                <w:i/>
                <w:iCs/>
              </w:rPr>
              <w:t>et al</w:t>
            </w:r>
            <w:r>
              <w:t>., 2021</w:t>
            </w:r>
          </w:p>
        </w:tc>
      </w:tr>
      <w:tr w14:paraId="41364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58B5CAC9">
            <w:pPr>
              <w:jc w:val="both"/>
              <w:rPr>
                <w:rFonts w:ascii="Times New Roman" w:hAnsi="Times New Roman" w:cs="Times New Roman"/>
                <w:bCs/>
                <w:sz w:val="24"/>
                <w:szCs w:val="24"/>
              </w:rPr>
            </w:pPr>
            <w:r>
              <w:rPr>
                <w:rFonts w:ascii="Times New Roman" w:hAnsi="Times New Roman" w:cs="Times New Roman"/>
                <w:bCs/>
                <w:sz w:val="24"/>
                <w:szCs w:val="24"/>
              </w:rPr>
              <w:t>7</w:t>
            </w:r>
          </w:p>
        </w:tc>
        <w:tc>
          <w:tcPr>
            <w:tcW w:w="2723" w:type="dxa"/>
            <w:tcBorders>
              <w:top w:val="single" w:color="auto" w:sz="4" w:space="0"/>
              <w:left w:val="single" w:color="auto" w:sz="4" w:space="0"/>
              <w:bottom w:val="single" w:color="auto" w:sz="4" w:space="0"/>
              <w:right w:val="single" w:color="auto" w:sz="4" w:space="0"/>
            </w:tcBorders>
          </w:tcPr>
          <w:p w14:paraId="785EA7C6">
            <w:pPr>
              <w:jc w:val="both"/>
              <w:rPr>
                <w:rFonts w:ascii="Times New Roman" w:hAnsi="Times New Roman" w:cs="Times New Roman"/>
                <w:bCs/>
                <w:sz w:val="24"/>
                <w:szCs w:val="24"/>
              </w:rPr>
            </w:pPr>
            <w:r>
              <w:rPr>
                <w:rFonts w:ascii="Times New Roman" w:hAnsi="Times New Roman" w:cs="Times New Roman"/>
                <w:bCs/>
                <w:sz w:val="24"/>
                <w:szCs w:val="24"/>
              </w:rPr>
              <w:t xml:space="preserve">Dodecanoic acid </w:t>
            </w:r>
          </w:p>
        </w:tc>
        <w:tc>
          <w:tcPr>
            <w:tcW w:w="1063" w:type="dxa"/>
            <w:tcBorders>
              <w:top w:val="single" w:color="auto" w:sz="4" w:space="0"/>
              <w:left w:val="single" w:color="auto" w:sz="4" w:space="0"/>
              <w:bottom w:val="single" w:color="auto" w:sz="4" w:space="0"/>
              <w:right w:val="single" w:color="auto" w:sz="4" w:space="0"/>
            </w:tcBorders>
          </w:tcPr>
          <w:p w14:paraId="5BC0CDF3">
            <w:pPr>
              <w:jc w:val="both"/>
              <w:rPr>
                <w:rFonts w:ascii="Times New Roman" w:hAnsi="Times New Roman" w:cs="Times New Roman"/>
                <w:bCs/>
                <w:sz w:val="24"/>
                <w:szCs w:val="24"/>
              </w:rPr>
            </w:pPr>
            <w:r>
              <w:rPr>
                <w:rFonts w:ascii="Times New Roman" w:hAnsi="Times New Roman" w:cs="Times New Roman"/>
                <w:bCs/>
                <w:sz w:val="24"/>
                <w:szCs w:val="24"/>
              </w:rPr>
              <w:t>19.221</w:t>
            </w:r>
          </w:p>
        </w:tc>
        <w:tc>
          <w:tcPr>
            <w:tcW w:w="863" w:type="dxa"/>
            <w:tcBorders>
              <w:top w:val="single" w:color="auto" w:sz="4" w:space="0"/>
              <w:left w:val="single" w:color="auto" w:sz="4" w:space="0"/>
              <w:bottom w:val="single" w:color="auto" w:sz="4" w:space="0"/>
              <w:right w:val="single" w:color="auto" w:sz="4" w:space="0"/>
            </w:tcBorders>
          </w:tcPr>
          <w:p w14:paraId="2ACC7763">
            <w:pPr>
              <w:jc w:val="both"/>
              <w:rPr>
                <w:rFonts w:ascii="Times New Roman" w:hAnsi="Times New Roman" w:cs="Times New Roman"/>
                <w:bCs/>
                <w:sz w:val="24"/>
                <w:szCs w:val="24"/>
              </w:rPr>
            </w:pPr>
            <w:r>
              <w:rPr>
                <w:rFonts w:ascii="Times New Roman" w:hAnsi="Times New Roman" w:cs="Times New Roman"/>
                <w:bCs/>
                <w:sz w:val="24"/>
                <w:szCs w:val="24"/>
              </w:rPr>
              <w:t>6.89</w:t>
            </w:r>
          </w:p>
        </w:tc>
        <w:tc>
          <w:tcPr>
            <w:tcW w:w="1326" w:type="dxa"/>
            <w:tcBorders>
              <w:top w:val="single" w:color="auto" w:sz="4" w:space="0"/>
              <w:left w:val="single" w:color="auto" w:sz="4" w:space="0"/>
              <w:bottom w:val="single" w:color="auto" w:sz="4" w:space="0"/>
              <w:right w:val="single" w:color="auto" w:sz="4" w:space="0"/>
            </w:tcBorders>
          </w:tcPr>
          <w:p w14:paraId="5E632E2F">
            <w:pPr>
              <w:jc w:val="both"/>
              <w:rPr>
                <w:rFonts w:ascii="Times New Roman" w:hAnsi="Times New Roman" w:cs="Times New Roman"/>
                <w:bCs/>
                <w:sz w:val="24"/>
                <w:szCs w:val="24"/>
              </w:rPr>
            </w:pPr>
            <w:r>
              <w:rPr>
                <w:rFonts w:ascii="Times New Roman" w:hAnsi="Times New Roman" w:cs="Times New Roman"/>
                <w:bCs/>
                <w:sz w:val="24"/>
                <w:szCs w:val="24"/>
              </w:rPr>
              <w:t xml:space="preserve">Fatty acid </w:t>
            </w:r>
          </w:p>
        </w:tc>
        <w:tc>
          <w:tcPr>
            <w:tcW w:w="1339" w:type="dxa"/>
            <w:tcBorders>
              <w:top w:val="single" w:color="auto" w:sz="4" w:space="0"/>
              <w:left w:val="single" w:color="auto" w:sz="4" w:space="0"/>
              <w:bottom w:val="single" w:color="auto" w:sz="4" w:space="0"/>
              <w:right w:val="single" w:color="auto" w:sz="4" w:space="0"/>
            </w:tcBorders>
          </w:tcPr>
          <w:p w14:paraId="6A2D60F3">
            <w:pPr>
              <w:jc w:val="both"/>
            </w:pPr>
            <w:r>
              <w:t>Antibacterial, antibiofilm, antiviral, food preservation</w:t>
            </w:r>
          </w:p>
        </w:tc>
        <w:tc>
          <w:tcPr>
            <w:tcW w:w="1339" w:type="dxa"/>
            <w:tcBorders>
              <w:top w:val="single" w:color="auto" w:sz="4" w:space="0"/>
              <w:left w:val="single" w:color="auto" w:sz="4" w:space="0"/>
              <w:bottom w:val="single" w:color="auto" w:sz="4" w:space="0"/>
              <w:right w:val="single" w:color="auto" w:sz="4" w:space="0"/>
            </w:tcBorders>
          </w:tcPr>
          <w:p w14:paraId="4036F6FE">
            <w:pPr>
              <w:jc w:val="both"/>
            </w:pPr>
            <w:r>
              <w:t>Yang (2009); Huang (2014); Qingyan (2024)</w:t>
            </w:r>
          </w:p>
        </w:tc>
      </w:tr>
      <w:tr w14:paraId="54912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3C1053F1">
            <w:pPr>
              <w:jc w:val="both"/>
              <w:rPr>
                <w:rFonts w:ascii="Times New Roman" w:hAnsi="Times New Roman" w:cs="Times New Roman"/>
                <w:bCs/>
                <w:sz w:val="24"/>
                <w:szCs w:val="24"/>
              </w:rPr>
            </w:pPr>
            <w:r>
              <w:rPr>
                <w:rFonts w:ascii="Times New Roman" w:hAnsi="Times New Roman" w:cs="Times New Roman"/>
                <w:bCs/>
                <w:sz w:val="24"/>
                <w:szCs w:val="24"/>
              </w:rPr>
              <w:t>8</w:t>
            </w:r>
          </w:p>
        </w:tc>
        <w:tc>
          <w:tcPr>
            <w:tcW w:w="2723" w:type="dxa"/>
            <w:tcBorders>
              <w:top w:val="single" w:color="auto" w:sz="4" w:space="0"/>
              <w:left w:val="single" w:color="auto" w:sz="4" w:space="0"/>
              <w:bottom w:val="single" w:color="auto" w:sz="4" w:space="0"/>
              <w:right w:val="single" w:color="auto" w:sz="4" w:space="0"/>
            </w:tcBorders>
          </w:tcPr>
          <w:p w14:paraId="66755ED8">
            <w:pPr>
              <w:jc w:val="both"/>
              <w:rPr>
                <w:rFonts w:ascii="Times New Roman" w:hAnsi="Times New Roman" w:cs="Times New Roman"/>
                <w:bCs/>
                <w:sz w:val="24"/>
                <w:szCs w:val="24"/>
              </w:rPr>
            </w:pPr>
            <w:r>
              <w:rPr>
                <w:rFonts w:ascii="Times New Roman" w:hAnsi="Times New Roman" w:cs="Times New Roman"/>
                <w:bCs/>
                <w:sz w:val="24"/>
                <w:szCs w:val="24"/>
              </w:rPr>
              <w:t xml:space="preserve">Hexadecane </w:t>
            </w:r>
          </w:p>
        </w:tc>
        <w:tc>
          <w:tcPr>
            <w:tcW w:w="1063" w:type="dxa"/>
            <w:tcBorders>
              <w:top w:val="single" w:color="auto" w:sz="4" w:space="0"/>
              <w:left w:val="single" w:color="auto" w:sz="4" w:space="0"/>
              <w:bottom w:val="single" w:color="auto" w:sz="4" w:space="0"/>
              <w:right w:val="single" w:color="auto" w:sz="4" w:space="0"/>
            </w:tcBorders>
          </w:tcPr>
          <w:p w14:paraId="3B789F4F">
            <w:pPr>
              <w:jc w:val="both"/>
              <w:rPr>
                <w:rFonts w:ascii="Times New Roman" w:hAnsi="Times New Roman" w:cs="Times New Roman"/>
                <w:bCs/>
                <w:sz w:val="24"/>
                <w:szCs w:val="24"/>
              </w:rPr>
            </w:pPr>
            <w:r>
              <w:rPr>
                <w:rFonts w:ascii="Times New Roman" w:hAnsi="Times New Roman" w:cs="Times New Roman"/>
                <w:bCs/>
                <w:sz w:val="24"/>
                <w:szCs w:val="24"/>
              </w:rPr>
              <w:t>19.812</w:t>
            </w:r>
          </w:p>
        </w:tc>
        <w:tc>
          <w:tcPr>
            <w:tcW w:w="863" w:type="dxa"/>
            <w:tcBorders>
              <w:top w:val="single" w:color="auto" w:sz="4" w:space="0"/>
              <w:left w:val="single" w:color="auto" w:sz="4" w:space="0"/>
              <w:bottom w:val="single" w:color="auto" w:sz="4" w:space="0"/>
              <w:right w:val="single" w:color="auto" w:sz="4" w:space="0"/>
            </w:tcBorders>
          </w:tcPr>
          <w:p w14:paraId="73C94B51">
            <w:pPr>
              <w:jc w:val="both"/>
              <w:rPr>
                <w:rFonts w:ascii="Times New Roman" w:hAnsi="Times New Roman" w:cs="Times New Roman"/>
                <w:bCs/>
                <w:sz w:val="24"/>
                <w:szCs w:val="24"/>
              </w:rPr>
            </w:pPr>
            <w:r>
              <w:rPr>
                <w:rFonts w:ascii="Times New Roman" w:hAnsi="Times New Roman" w:cs="Times New Roman"/>
                <w:bCs/>
                <w:sz w:val="24"/>
                <w:szCs w:val="24"/>
              </w:rPr>
              <w:t>0.96</w:t>
            </w:r>
          </w:p>
        </w:tc>
        <w:tc>
          <w:tcPr>
            <w:tcW w:w="1326" w:type="dxa"/>
            <w:tcBorders>
              <w:top w:val="single" w:color="auto" w:sz="4" w:space="0"/>
              <w:left w:val="single" w:color="auto" w:sz="4" w:space="0"/>
              <w:bottom w:val="single" w:color="auto" w:sz="4" w:space="0"/>
              <w:right w:val="single" w:color="auto" w:sz="4" w:space="0"/>
            </w:tcBorders>
          </w:tcPr>
          <w:p w14:paraId="46FC734C">
            <w:pPr>
              <w:jc w:val="both"/>
              <w:rPr>
                <w:rFonts w:ascii="Times New Roman" w:hAnsi="Times New Roman" w:cs="Times New Roman"/>
                <w:bCs/>
                <w:sz w:val="24"/>
                <w:szCs w:val="24"/>
              </w:rPr>
            </w:pPr>
            <w:r>
              <w:rPr>
                <w:rFonts w:ascii="Times New Roman" w:hAnsi="Times New Roman" w:cs="Times New Roman"/>
                <w:bCs/>
                <w:sz w:val="24"/>
                <w:szCs w:val="24"/>
              </w:rPr>
              <w:t xml:space="preserve">Alkene </w:t>
            </w:r>
          </w:p>
        </w:tc>
        <w:tc>
          <w:tcPr>
            <w:tcW w:w="1339" w:type="dxa"/>
            <w:tcBorders>
              <w:top w:val="single" w:color="auto" w:sz="4" w:space="0"/>
              <w:left w:val="single" w:color="auto" w:sz="4" w:space="0"/>
              <w:bottom w:val="single" w:color="auto" w:sz="4" w:space="0"/>
              <w:right w:val="single" w:color="auto" w:sz="4" w:space="0"/>
            </w:tcBorders>
          </w:tcPr>
          <w:p w14:paraId="0A3FFBF4">
            <w:pPr>
              <w:jc w:val="both"/>
            </w:pPr>
            <w:r>
              <w:t>Antifungal, antibacterial, antioxidant, cytotoxicity, antipyretic, anthelmintic, anti-inflammatory, antidiarrheal, antidiabetic</w:t>
            </w:r>
          </w:p>
        </w:tc>
        <w:tc>
          <w:tcPr>
            <w:tcW w:w="1339" w:type="dxa"/>
            <w:tcBorders>
              <w:top w:val="single" w:color="auto" w:sz="4" w:space="0"/>
              <w:left w:val="single" w:color="auto" w:sz="4" w:space="0"/>
              <w:bottom w:val="single" w:color="auto" w:sz="4" w:space="0"/>
              <w:right w:val="single" w:color="auto" w:sz="4" w:space="0"/>
            </w:tcBorders>
          </w:tcPr>
          <w:p w14:paraId="61FBE76F">
            <w:pPr>
              <w:jc w:val="both"/>
            </w:pPr>
            <w:r>
              <w:t xml:space="preserve">Faridha </w:t>
            </w:r>
            <w:r>
              <w:rPr>
                <w:i/>
                <w:iCs/>
              </w:rPr>
              <w:t>et</w:t>
            </w:r>
            <w:r>
              <w:t xml:space="preserve"> </w:t>
            </w:r>
            <w:r>
              <w:rPr>
                <w:i/>
                <w:iCs/>
              </w:rPr>
              <w:t>al</w:t>
            </w:r>
            <w:r>
              <w:t>., 2016; Banakar &amp; Jayaraj, 2018</w:t>
            </w:r>
          </w:p>
        </w:tc>
      </w:tr>
      <w:tr w14:paraId="18407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32D503ED">
            <w:pPr>
              <w:jc w:val="both"/>
              <w:rPr>
                <w:rFonts w:ascii="Times New Roman" w:hAnsi="Times New Roman" w:cs="Times New Roman"/>
                <w:bCs/>
                <w:sz w:val="24"/>
                <w:szCs w:val="24"/>
              </w:rPr>
            </w:pPr>
            <w:r>
              <w:rPr>
                <w:rFonts w:ascii="Times New Roman" w:hAnsi="Times New Roman" w:cs="Times New Roman"/>
                <w:bCs/>
                <w:sz w:val="24"/>
                <w:szCs w:val="24"/>
              </w:rPr>
              <w:t xml:space="preserve">9 </w:t>
            </w:r>
          </w:p>
        </w:tc>
        <w:tc>
          <w:tcPr>
            <w:tcW w:w="2723" w:type="dxa"/>
            <w:tcBorders>
              <w:top w:val="single" w:color="auto" w:sz="4" w:space="0"/>
              <w:left w:val="single" w:color="auto" w:sz="4" w:space="0"/>
              <w:bottom w:val="single" w:color="auto" w:sz="4" w:space="0"/>
              <w:right w:val="single" w:color="auto" w:sz="4" w:space="0"/>
            </w:tcBorders>
          </w:tcPr>
          <w:p w14:paraId="08191BC0">
            <w:pPr>
              <w:jc w:val="both"/>
              <w:rPr>
                <w:rFonts w:ascii="Times New Roman" w:hAnsi="Times New Roman" w:cs="Times New Roman"/>
                <w:bCs/>
                <w:sz w:val="24"/>
                <w:szCs w:val="24"/>
              </w:rPr>
            </w:pPr>
            <w:r>
              <w:rPr>
                <w:rFonts w:ascii="Times New Roman" w:hAnsi="Times New Roman" w:cs="Times New Roman"/>
                <w:bCs/>
                <w:sz w:val="24"/>
                <w:szCs w:val="24"/>
              </w:rPr>
              <w:t xml:space="preserve">Cyclohexane, 1,1'-(1,4-butanediyl) bis- </w:t>
            </w:r>
          </w:p>
        </w:tc>
        <w:tc>
          <w:tcPr>
            <w:tcW w:w="1063" w:type="dxa"/>
            <w:tcBorders>
              <w:top w:val="single" w:color="auto" w:sz="4" w:space="0"/>
              <w:left w:val="single" w:color="auto" w:sz="4" w:space="0"/>
              <w:bottom w:val="single" w:color="auto" w:sz="4" w:space="0"/>
              <w:right w:val="single" w:color="auto" w:sz="4" w:space="0"/>
            </w:tcBorders>
          </w:tcPr>
          <w:p w14:paraId="6DDC2736">
            <w:pPr>
              <w:jc w:val="both"/>
              <w:rPr>
                <w:rFonts w:ascii="Times New Roman" w:hAnsi="Times New Roman" w:cs="Times New Roman"/>
                <w:bCs/>
                <w:sz w:val="24"/>
                <w:szCs w:val="24"/>
              </w:rPr>
            </w:pPr>
            <w:r>
              <w:rPr>
                <w:rFonts w:ascii="Times New Roman" w:hAnsi="Times New Roman" w:cs="Times New Roman"/>
                <w:bCs/>
                <w:sz w:val="24"/>
                <w:szCs w:val="24"/>
              </w:rPr>
              <w:t>20.815</w:t>
            </w:r>
          </w:p>
        </w:tc>
        <w:tc>
          <w:tcPr>
            <w:tcW w:w="863" w:type="dxa"/>
            <w:tcBorders>
              <w:top w:val="single" w:color="auto" w:sz="4" w:space="0"/>
              <w:left w:val="single" w:color="auto" w:sz="4" w:space="0"/>
              <w:bottom w:val="single" w:color="auto" w:sz="4" w:space="0"/>
              <w:right w:val="single" w:color="auto" w:sz="4" w:space="0"/>
            </w:tcBorders>
          </w:tcPr>
          <w:p w14:paraId="37560F0D">
            <w:pPr>
              <w:jc w:val="both"/>
              <w:rPr>
                <w:rFonts w:ascii="Times New Roman" w:hAnsi="Times New Roman" w:cs="Times New Roman"/>
                <w:bCs/>
                <w:sz w:val="24"/>
                <w:szCs w:val="24"/>
              </w:rPr>
            </w:pPr>
            <w:r>
              <w:rPr>
                <w:rFonts w:ascii="Times New Roman" w:hAnsi="Times New Roman" w:cs="Times New Roman"/>
                <w:bCs/>
                <w:sz w:val="24"/>
                <w:szCs w:val="24"/>
              </w:rPr>
              <w:t>0.22</w:t>
            </w:r>
          </w:p>
        </w:tc>
        <w:tc>
          <w:tcPr>
            <w:tcW w:w="1326" w:type="dxa"/>
            <w:tcBorders>
              <w:top w:val="single" w:color="auto" w:sz="4" w:space="0"/>
              <w:left w:val="single" w:color="auto" w:sz="4" w:space="0"/>
              <w:bottom w:val="single" w:color="auto" w:sz="4" w:space="0"/>
              <w:right w:val="single" w:color="auto" w:sz="4" w:space="0"/>
            </w:tcBorders>
          </w:tcPr>
          <w:p w14:paraId="0084AE41">
            <w:pPr>
              <w:jc w:val="both"/>
              <w:rPr>
                <w:rFonts w:ascii="Times New Roman" w:hAnsi="Times New Roman" w:cs="Times New Roman"/>
                <w:bCs/>
                <w:sz w:val="24"/>
                <w:szCs w:val="24"/>
              </w:rPr>
            </w:pPr>
            <w:r>
              <w:rPr>
                <w:rFonts w:ascii="Times New Roman" w:hAnsi="Times New Roman" w:cs="Times New Roman"/>
                <w:bCs/>
                <w:sz w:val="24"/>
                <w:szCs w:val="24"/>
              </w:rPr>
              <w:t xml:space="preserve">Cycloalkane </w:t>
            </w:r>
          </w:p>
        </w:tc>
        <w:tc>
          <w:tcPr>
            <w:tcW w:w="1339" w:type="dxa"/>
            <w:tcBorders>
              <w:top w:val="single" w:color="auto" w:sz="4" w:space="0"/>
              <w:left w:val="single" w:color="auto" w:sz="4" w:space="0"/>
              <w:bottom w:val="single" w:color="auto" w:sz="4" w:space="0"/>
              <w:right w:val="single" w:color="auto" w:sz="4" w:space="0"/>
            </w:tcBorders>
          </w:tcPr>
          <w:p w14:paraId="42448574">
            <w:pPr>
              <w:jc w:val="both"/>
            </w:pPr>
            <w:r>
              <w:t>_</w:t>
            </w:r>
          </w:p>
        </w:tc>
        <w:tc>
          <w:tcPr>
            <w:tcW w:w="1339" w:type="dxa"/>
            <w:tcBorders>
              <w:top w:val="single" w:color="auto" w:sz="4" w:space="0"/>
              <w:left w:val="single" w:color="auto" w:sz="4" w:space="0"/>
              <w:bottom w:val="single" w:color="auto" w:sz="4" w:space="0"/>
              <w:right w:val="single" w:color="auto" w:sz="4" w:space="0"/>
            </w:tcBorders>
          </w:tcPr>
          <w:p w14:paraId="66D9F480">
            <w:pPr>
              <w:jc w:val="both"/>
            </w:pPr>
            <w:r>
              <w:t>_</w:t>
            </w:r>
          </w:p>
        </w:tc>
      </w:tr>
      <w:tr w14:paraId="5327B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tcPr>
          <w:p w14:paraId="34EEA568">
            <w:pPr>
              <w:jc w:val="both"/>
              <w:rPr>
                <w:rFonts w:ascii="Times New Roman" w:hAnsi="Times New Roman" w:cs="Times New Roman"/>
                <w:bCs/>
                <w:sz w:val="24"/>
                <w:szCs w:val="24"/>
              </w:rPr>
            </w:pPr>
            <w:r>
              <w:rPr>
                <w:rFonts w:ascii="Times New Roman" w:hAnsi="Times New Roman" w:cs="Times New Roman"/>
                <w:bCs/>
                <w:sz w:val="24"/>
                <w:szCs w:val="24"/>
              </w:rPr>
              <w:t>10</w:t>
            </w:r>
          </w:p>
        </w:tc>
        <w:tc>
          <w:tcPr>
            <w:tcW w:w="2723" w:type="dxa"/>
            <w:tcBorders>
              <w:top w:val="single" w:color="auto" w:sz="4" w:space="0"/>
              <w:left w:val="single" w:color="auto" w:sz="4" w:space="0"/>
              <w:bottom w:val="single" w:color="auto" w:sz="4" w:space="0"/>
              <w:right w:val="single" w:color="auto" w:sz="4" w:space="0"/>
            </w:tcBorders>
          </w:tcPr>
          <w:p w14:paraId="5AB43192">
            <w:pPr>
              <w:jc w:val="both"/>
              <w:rPr>
                <w:rFonts w:ascii="Times New Roman" w:hAnsi="Times New Roman" w:cs="Times New Roman"/>
                <w:bCs/>
                <w:sz w:val="24"/>
                <w:szCs w:val="24"/>
              </w:rPr>
            </w:pPr>
            <w:r>
              <w:rPr>
                <w:rFonts w:ascii="Times New Roman" w:hAnsi="Times New Roman" w:cs="Times New Roman"/>
                <w:bCs/>
                <w:sz w:val="24"/>
                <w:szCs w:val="24"/>
              </w:rPr>
              <w:t>1,2,4-Butanetriol, trinitarian</w:t>
            </w:r>
          </w:p>
        </w:tc>
        <w:tc>
          <w:tcPr>
            <w:tcW w:w="1063" w:type="dxa"/>
            <w:tcBorders>
              <w:top w:val="single" w:color="auto" w:sz="4" w:space="0"/>
              <w:left w:val="single" w:color="auto" w:sz="4" w:space="0"/>
              <w:bottom w:val="single" w:color="auto" w:sz="4" w:space="0"/>
              <w:right w:val="single" w:color="auto" w:sz="4" w:space="0"/>
            </w:tcBorders>
          </w:tcPr>
          <w:p w14:paraId="7D3F082F">
            <w:pPr>
              <w:jc w:val="both"/>
              <w:rPr>
                <w:rFonts w:ascii="Times New Roman" w:hAnsi="Times New Roman" w:cs="Times New Roman"/>
                <w:bCs/>
                <w:sz w:val="24"/>
                <w:szCs w:val="24"/>
              </w:rPr>
            </w:pPr>
            <w:r>
              <w:rPr>
                <w:rFonts w:ascii="Times New Roman" w:hAnsi="Times New Roman" w:cs="Times New Roman"/>
                <w:bCs/>
                <w:sz w:val="24"/>
                <w:szCs w:val="24"/>
              </w:rPr>
              <w:t>22.904</w:t>
            </w:r>
          </w:p>
        </w:tc>
        <w:tc>
          <w:tcPr>
            <w:tcW w:w="863" w:type="dxa"/>
            <w:tcBorders>
              <w:top w:val="single" w:color="auto" w:sz="4" w:space="0"/>
              <w:left w:val="single" w:color="auto" w:sz="4" w:space="0"/>
              <w:bottom w:val="single" w:color="auto" w:sz="4" w:space="0"/>
              <w:right w:val="single" w:color="auto" w:sz="4" w:space="0"/>
            </w:tcBorders>
          </w:tcPr>
          <w:p w14:paraId="1D70B456">
            <w:pPr>
              <w:jc w:val="both"/>
              <w:rPr>
                <w:rFonts w:ascii="Times New Roman" w:hAnsi="Times New Roman" w:cs="Times New Roman"/>
                <w:bCs/>
                <w:sz w:val="24"/>
                <w:szCs w:val="24"/>
              </w:rPr>
            </w:pPr>
            <w:r>
              <w:rPr>
                <w:rFonts w:ascii="Times New Roman" w:hAnsi="Times New Roman" w:cs="Times New Roman"/>
                <w:bCs/>
                <w:sz w:val="24"/>
                <w:szCs w:val="24"/>
              </w:rPr>
              <w:t>0.26</w:t>
            </w:r>
          </w:p>
        </w:tc>
        <w:tc>
          <w:tcPr>
            <w:tcW w:w="1326" w:type="dxa"/>
            <w:tcBorders>
              <w:top w:val="single" w:color="auto" w:sz="4" w:space="0"/>
              <w:left w:val="single" w:color="auto" w:sz="4" w:space="0"/>
              <w:bottom w:val="single" w:color="auto" w:sz="4" w:space="0"/>
              <w:right w:val="single" w:color="auto" w:sz="4" w:space="0"/>
            </w:tcBorders>
          </w:tcPr>
          <w:p w14:paraId="17CD2082">
            <w:pPr>
              <w:jc w:val="both"/>
              <w:rPr>
                <w:rFonts w:ascii="Times New Roman" w:hAnsi="Times New Roman" w:cs="Times New Roman"/>
                <w:bCs/>
                <w:sz w:val="24"/>
                <w:szCs w:val="24"/>
              </w:rPr>
            </w:pPr>
            <w:r>
              <w:rPr>
                <w:rFonts w:ascii="Times New Roman" w:hAnsi="Times New Roman" w:cs="Times New Roman"/>
                <w:bCs/>
                <w:sz w:val="24"/>
                <w:szCs w:val="24"/>
              </w:rPr>
              <w:t xml:space="preserve">Methyl ester group </w:t>
            </w:r>
          </w:p>
        </w:tc>
        <w:tc>
          <w:tcPr>
            <w:tcW w:w="1339" w:type="dxa"/>
            <w:tcBorders>
              <w:top w:val="single" w:color="auto" w:sz="4" w:space="0"/>
              <w:left w:val="single" w:color="auto" w:sz="4" w:space="0"/>
              <w:bottom w:val="single" w:color="auto" w:sz="4" w:space="0"/>
              <w:right w:val="single" w:color="auto" w:sz="4" w:space="0"/>
            </w:tcBorders>
          </w:tcPr>
          <w:p w14:paraId="1F1F4190">
            <w:pPr>
              <w:jc w:val="both"/>
            </w:pPr>
            <w:r>
              <w:t xml:space="preserve">_ </w:t>
            </w:r>
          </w:p>
        </w:tc>
        <w:tc>
          <w:tcPr>
            <w:tcW w:w="1339" w:type="dxa"/>
            <w:tcBorders>
              <w:top w:val="single" w:color="auto" w:sz="4" w:space="0"/>
              <w:left w:val="single" w:color="auto" w:sz="4" w:space="0"/>
              <w:bottom w:val="single" w:color="auto" w:sz="4" w:space="0"/>
              <w:right w:val="single" w:color="auto" w:sz="4" w:space="0"/>
            </w:tcBorders>
          </w:tcPr>
          <w:p w14:paraId="068AD548">
            <w:pPr>
              <w:jc w:val="both"/>
            </w:pPr>
            <w:r>
              <w:t>_</w:t>
            </w:r>
          </w:p>
        </w:tc>
      </w:tr>
    </w:tbl>
    <w:p w14:paraId="0E271C51">
      <w:pPr>
        <w:jc w:val="both"/>
        <w:rPr>
          <w:rFonts w:ascii="Times New Roman" w:hAnsi="Times New Roman" w:cs="Times New Roman"/>
          <w:bCs/>
          <w:sz w:val="24"/>
          <w:szCs w:val="24"/>
        </w:rPr>
      </w:pPr>
    </w:p>
    <w:p w14:paraId="7315FF9D">
      <w:pPr>
        <w:jc w:val="both"/>
        <w:rPr>
          <w:rFonts w:ascii="Times New Roman" w:hAnsi="Times New Roman" w:cs="Times New Roman"/>
          <w:bCs/>
          <w:sz w:val="24"/>
          <w:szCs w:val="24"/>
        </w:rPr>
      </w:pPr>
    </w:p>
    <w:p w14:paraId="2FD5467F">
      <w:pPr>
        <w:jc w:val="both"/>
        <w:rPr>
          <w:rFonts w:ascii="Times New Roman" w:hAnsi="Times New Roman" w:cs="Times New Roman"/>
          <w:bCs/>
          <w:sz w:val="24"/>
          <w:szCs w:val="24"/>
        </w:rPr>
      </w:pPr>
    </w:p>
    <w:p w14:paraId="73CAC139">
      <w:pPr>
        <w:jc w:val="both"/>
        <w:rPr>
          <w:rFonts w:ascii="Times New Roman" w:hAnsi="Times New Roman" w:cs="Times New Roman"/>
          <w:bCs/>
          <w:sz w:val="24"/>
          <w:szCs w:val="24"/>
        </w:rPr>
      </w:pPr>
    </w:p>
    <w:p w14:paraId="73E8B54B">
      <w:pPr>
        <w:jc w:val="both"/>
        <w:rPr>
          <w:rFonts w:ascii="Times New Roman" w:hAnsi="Times New Roman" w:cs="Times New Roman"/>
          <w:bCs/>
          <w:sz w:val="24"/>
          <w:szCs w:val="24"/>
        </w:rPr>
      </w:pPr>
    </w:p>
    <w:p w14:paraId="5C215B82">
      <w:pPr>
        <w:jc w:val="both"/>
        <w:rPr>
          <w:rFonts w:ascii="Times New Roman" w:hAnsi="Times New Roman" w:cs="Times New Roman"/>
          <w:bCs/>
          <w:sz w:val="24"/>
          <w:szCs w:val="24"/>
        </w:rPr>
      </w:pPr>
      <w:r>
        <w:drawing>
          <wp:anchor distT="0" distB="0" distL="0" distR="0" simplePos="0" relativeHeight="251659264" behindDoc="0" locked="0" layoutInCell="1" allowOverlap="1">
            <wp:simplePos x="0" y="0"/>
            <wp:positionH relativeFrom="page">
              <wp:posOffset>848995</wp:posOffset>
            </wp:positionH>
            <wp:positionV relativeFrom="page">
              <wp:posOffset>1034415</wp:posOffset>
            </wp:positionV>
            <wp:extent cx="4798695" cy="2917190"/>
            <wp:effectExtent l="0" t="0" r="0" b="0"/>
            <wp:wrapNone/>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16" cstate="print"/>
                    <a:srcRect/>
                    <a:stretch>
                      <a:fillRect/>
                    </a:stretch>
                  </pic:blipFill>
                  <pic:spPr>
                    <a:xfrm>
                      <a:off x="0" y="0"/>
                      <a:ext cx="4798400" cy="2916987"/>
                    </a:xfrm>
                    <a:prstGeom prst="rect">
                      <a:avLst/>
                    </a:prstGeom>
                  </pic:spPr>
                </pic:pic>
              </a:graphicData>
            </a:graphic>
          </wp:anchor>
        </w:drawing>
      </w:r>
    </w:p>
    <w:p w14:paraId="3891ADB4">
      <w:pPr>
        <w:jc w:val="both"/>
        <w:rPr>
          <w:rFonts w:ascii="Times New Roman" w:hAnsi="Times New Roman" w:cs="Times New Roman"/>
          <w:bCs/>
          <w:sz w:val="24"/>
          <w:szCs w:val="24"/>
        </w:rPr>
      </w:pPr>
    </w:p>
    <w:p w14:paraId="0275F7F1">
      <w:pPr>
        <w:jc w:val="both"/>
        <w:rPr>
          <w:rFonts w:ascii="Times New Roman" w:hAnsi="Times New Roman" w:cs="Times New Roman"/>
          <w:bCs/>
          <w:sz w:val="24"/>
          <w:szCs w:val="24"/>
        </w:rPr>
      </w:pPr>
    </w:p>
    <w:p w14:paraId="0A145574">
      <w:pPr>
        <w:jc w:val="center"/>
        <w:rPr>
          <w:rFonts w:ascii="Times New Roman" w:hAnsi="Times New Roman" w:cs="Times New Roman"/>
          <w:bCs/>
          <w:sz w:val="24"/>
          <w:szCs w:val="24"/>
        </w:rPr>
      </w:pPr>
    </w:p>
    <w:p w14:paraId="21C4DC05">
      <w:pPr>
        <w:jc w:val="both"/>
        <w:rPr>
          <w:rFonts w:hAnsi="Times New Roman" w:cs="Times New Roman"/>
          <w:b/>
          <w:bCs/>
          <w:sz w:val="24"/>
          <w:szCs w:val="24"/>
        </w:rPr>
      </w:pPr>
    </w:p>
    <w:p w14:paraId="4B684839">
      <w:pPr>
        <w:jc w:val="both"/>
        <w:rPr>
          <w:rFonts w:hAnsi="Times New Roman" w:cs="Times New Roman"/>
          <w:b/>
          <w:bCs/>
          <w:sz w:val="24"/>
          <w:szCs w:val="24"/>
        </w:rPr>
      </w:pPr>
    </w:p>
    <w:p w14:paraId="2B468603">
      <w:pPr>
        <w:jc w:val="both"/>
        <w:rPr>
          <w:rFonts w:hAnsi="Times New Roman" w:cs="Times New Roman"/>
          <w:b/>
          <w:bCs/>
          <w:sz w:val="24"/>
          <w:szCs w:val="24"/>
        </w:rPr>
      </w:pPr>
    </w:p>
    <w:p w14:paraId="44CB069A">
      <w:pPr>
        <w:jc w:val="both"/>
        <w:rPr>
          <w:rFonts w:hAnsi="Times New Roman" w:cs="Times New Roman"/>
          <w:b/>
          <w:bCs/>
          <w:sz w:val="24"/>
          <w:szCs w:val="24"/>
        </w:rPr>
      </w:pPr>
    </w:p>
    <w:p w14:paraId="6C44DE36">
      <w:pPr>
        <w:jc w:val="both"/>
        <w:rPr>
          <w:rFonts w:hAnsi="Times New Roman" w:cs="Times New Roman"/>
          <w:b/>
          <w:bCs/>
          <w:sz w:val="24"/>
          <w:szCs w:val="24"/>
        </w:rPr>
      </w:pPr>
    </w:p>
    <w:p w14:paraId="471B74A6">
      <w:pPr>
        <w:jc w:val="both"/>
        <w:rPr>
          <w:rFonts w:hAnsi="Times New Roman" w:cs="Times New Roman"/>
          <w:b/>
          <w:bCs/>
          <w:sz w:val="24"/>
          <w:szCs w:val="24"/>
        </w:rPr>
      </w:pPr>
    </w:p>
    <w:p w14:paraId="3D4668D7">
      <w:pPr>
        <w:jc w:val="both"/>
        <w:rPr>
          <w:rFonts w:hAnsi="Times New Roman" w:cs="Times New Roman"/>
          <w:b/>
          <w:bCs/>
          <w:sz w:val="24"/>
          <w:szCs w:val="24"/>
        </w:rPr>
      </w:pPr>
    </w:p>
    <w:p w14:paraId="5687812E">
      <w:pPr>
        <w:jc w:val="both"/>
        <w:rPr>
          <w:rFonts w:hAnsi="Times New Roman" w:cs="Times New Roman"/>
          <w:b/>
          <w:bCs/>
          <w:sz w:val="24"/>
          <w:szCs w:val="24"/>
        </w:rPr>
      </w:pPr>
      <w:r>
        <w:rPr>
          <w:rFonts w:hAnsi="Times New Roman" w:cs="Times New Roman"/>
          <w:b/>
          <w:bCs/>
          <w:sz w:val="24"/>
          <w:szCs w:val="24"/>
        </w:rPr>
        <w:t>Figure 3: GC-MS Chromatogram of</w:t>
      </w:r>
      <w:r>
        <w:rPr>
          <w:rFonts w:hAnsi="Times New Roman" w:cs="Times New Roman"/>
          <w:b/>
          <w:bCs/>
          <w:i/>
          <w:iCs/>
          <w:sz w:val="24"/>
          <w:szCs w:val="24"/>
        </w:rPr>
        <w:t xml:space="preserve"> Euphorbia maculata</w:t>
      </w:r>
      <w:r>
        <w:rPr>
          <w:rFonts w:hAnsi="Times New Roman" w:cs="Times New Roman"/>
          <w:b/>
          <w:bCs/>
          <w:sz w:val="24"/>
          <w:szCs w:val="24"/>
        </w:rPr>
        <w:t xml:space="preserve"> </w:t>
      </w:r>
    </w:p>
    <w:p w14:paraId="23BFAF3E">
      <w:pPr>
        <w:jc w:val="both"/>
        <w:rPr>
          <w:rFonts w:hAnsi="Times New Roman" w:cs="Times New Roman"/>
          <w:b/>
          <w:bCs/>
          <w:sz w:val="24"/>
          <w:szCs w:val="24"/>
        </w:rPr>
      </w:pPr>
    </w:p>
    <w:p w14:paraId="7F04ED77">
      <w:pPr>
        <w:jc w:val="both"/>
        <w:rPr>
          <w:rFonts w:hAnsi="Times New Roman" w:cs="Times New Roman"/>
          <w:b/>
          <w:bCs/>
          <w:sz w:val="24"/>
          <w:szCs w:val="24"/>
        </w:rPr>
      </w:pPr>
    </w:p>
    <w:p w14:paraId="79094318">
      <w:pPr>
        <w:jc w:val="both"/>
        <w:rPr>
          <w:rFonts w:hAnsi="Times New Roman" w:cs="Times New Roman"/>
          <w:b/>
          <w:bCs/>
          <w:sz w:val="24"/>
          <w:szCs w:val="24"/>
        </w:rPr>
      </w:pPr>
    </w:p>
    <w:p w14:paraId="560B38ED">
      <w:pPr>
        <w:jc w:val="both"/>
        <w:rPr>
          <w:rFonts w:ascii="Times New Roman" w:hAnsi="Times New Roman" w:cs="Times New Roman"/>
          <w:b/>
          <w:bCs/>
          <w:sz w:val="24"/>
          <w:szCs w:val="24"/>
        </w:rPr>
      </w:pPr>
      <w:r>
        <w:rPr>
          <w:rFonts w:hAnsi="Times New Roman" w:cs="Times New Roman"/>
          <w:b/>
          <w:bCs/>
          <w:sz w:val="24"/>
          <w:szCs w:val="24"/>
        </w:rPr>
        <w:t xml:space="preserve">Table 3: GC-MS Phytochemical profile of </w:t>
      </w:r>
      <w:r>
        <w:rPr>
          <w:rFonts w:hAnsi="Times New Roman" w:cs="Times New Roman"/>
          <w:b/>
          <w:bCs/>
          <w:i/>
          <w:iCs/>
          <w:sz w:val="24"/>
          <w:szCs w:val="24"/>
        </w:rPr>
        <w:t>Euphorbia maculata</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4"/>
        <w:gridCol w:w="2082"/>
        <w:gridCol w:w="1234"/>
        <w:gridCol w:w="904"/>
        <w:gridCol w:w="1112"/>
        <w:gridCol w:w="2090"/>
        <w:gridCol w:w="1250"/>
      </w:tblGrid>
      <w:tr w14:paraId="0D47C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5FFA9A2E">
            <w:pPr>
              <w:jc w:val="both"/>
              <w:rPr>
                <w:rFonts w:ascii="Times New Roman" w:hAnsi="Times New Roman" w:cs="Times New Roman"/>
                <w:b/>
                <w:bCs/>
                <w:sz w:val="24"/>
                <w:szCs w:val="24"/>
              </w:rPr>
            </w:pPr>
            <w:r>
              <w:rPr>
                <w:rFonts w:ascii="Times New Roman" w:hAnsi="Times New Roman" w:cs="Times New Roman"/>
                <w:b/>
                <w:bCs/>
                <w:sz w:val="24"/>
                <w:szCs w:val="24"/>
              </w:rPr>
              <w:t xml:space="preserve">Peak </w:t>
            </w:r>
          </w:p>
          <w:p w14:paraId="18E5E473">
            <w:pPr>
              <w:jc w:val="both"/>
              <w:rPr>
                <w:rFonts w:ascii="Times New Roman" w:hAnsi="Times New Roman" w:cs="Times New Roman"/>
                <w:b/>
                <w:bCs/>
                <w:sz w:val="24"/>
                <w:szCs w:val="24"/>
              </w:rPr>
            </w:pPr>
          </w:p>
        </w:tc>
        <w:tc>
          <w:tcPr>
            <w:tcW w:w="1574" w:type="dxa"/>
            <w:tcBorders>
              <w:top w:val="single" w:color="auto" w:sz="4" w:space="0"/>
              <w:left w:val="single" w:color="auto" w:sz="4" w:space="0"/>
              <w:bottom w:val="single" w:color="auto" w:sz="4" w:space="0"/>
              <w:right w:val="single" w:color="auto" w:sz="4" w:space="0"/>
            </w:tcBorders>
          </w:tcPr>
          <w:p w14:paraId="37BE8298">
            <w:pPr>
              <w:jc w:val="both"/>
              <w:rPr>
                <w:rFonts w:ascii="Times New Roman" w:hAnsi="Times New Roman" w:cs="Times New Roman"/>
                <w:b/>
                <w:bCs/>
                <w:sz w:val="24"/>
                <w:szCs w:val="24"/>
              </w:rPr>
            </w:pPr>
            <w:r>
              <w:rPr>
                <w:rFonts w:ascii="Times New Roman" w:hAnsi="Times New Roman" w:cs="Times New Roman"/>
                <w:b/>
                <w:bCs/>
                <w:sz w:val="24"/>
                <w:szCs w:val="24"/>
              </w:rPr>
              <w:t>Name of compound</w:t>
            </w:r>
          </w:p>
        </w:tc>
        <w:tc>
          <w:tcPr>
            <w:tcW w:w="1276" w:type="dxa"/>
            <w:tcBorders>
              <w:top w:val="single" w:color="auto" w:sz="4" w:space="0"/>
              <w:left w:val="single" w:color="auto" w:sz="4" w:space="0"/>
              <w:bottom w:val="single" w:color="auto" w:sz="4" w:space="0"/>
              <w:right w:val="single" w:color="auto" w:sz="4" w:space="0"/>
            </w:tcBorders>
          </w:tcPr>
          <w:p w14:paraId="69F3A9EB">
            <w:pPr>
              <w:jc w:val="both"/>
              <w:rPr>
                <w:rFonts w:ascii="Times New Roman" w:hAnsi="Times New Roman" w:cs="Times New Roman"/>
                <w:b/>
                <w:bCs/>
                <w:sz w:val="24"/>
                <w:szCs w:val="24"/>
              </w:rPr>
            </w:pPr>
            <w:r>
              <w:rPr>
                <w:rFonts w:ascii="Times New Roman" w:hAnsi="Times New Roman" w:cs="Times New Roman"/>
                <w:b/>
                <w:bCs/>
                <w:sz w:val="24"/>
                <w:szCs w:val="24"/>
              </w:rPr>
              <w:t xml:space="preserve">Retention time </w:t>
            </w:r>
          </w:p>
        </w:tc>
        <w:tc>
          <w:tcPr>
            <w:tcW w:w="1324" w:type="dxa"/>
            <w:tcBorders>
              <w:top w:val="single" w:color="auto" w:sz="4" w:space="0"/>
              <w:left w:val="single" w:color="auto" w:sz="4" w:space="0"/>
              <w:bottom w:val="single" w:color="auto" w:sz="4" w:space="0"/>
              <w:right w:val="single" w:color="auto" w:sz="4" w:space="0"/>
            </w:tcBorders>
          </w:tcPr>
          <w:p w14:paraId="1F0B71D7">
            <w:pPr>
              <w:jc w:val="both"/>
              <w:rPr>
                <w:rFonts w:ascii="Times New Roman" w:hAnsi="Times New Roman" w:cs="Times New Roman"/>
                <w:b/>
                <w:bCs/>
                <w:sz w:val="24"/>
                <w:szCs w:val="24"/>
              </w:rPr>
            </w:pPr>
            <w:r>
              <w:rPr>
                <w:rFonts w:ascii="Times New Roman" w:hAnsi="Times New Roman" w:cs="Times New Roman"/>
                <w:b/>
                <w:bCs/>
                <w:sz w:val="24"/>
                <w:szCs w:val="24"/>
              </w:rPr>
              <w:t>Peak area (%)</w:t>
            </w:r>
          </w:p>
          <w:p w14:paraId="548840B5">
            <w:pPr>
              <w:jc w:val="both"/>
              <w:rPr>
                <w:rFonts w:ascii="Times New Roman" w:hAnsi="Times New Roman" w:cs="Times New Roman"/>
                <w:b/>
                <w:bCs/>
                <w:sz w:val="24"/>
                <w:szCs w:val="24"/>
              </w:rPr>
            </w:pPr>
          </w:p>
        </w:tc>
        <w:tc>
          <w:tcPr>
            <w:tcW w:w="1333" w:type="dxa"/>
            <w:tcBorders>
              <w:top w:val="single" w:color="auto" w:sz="4" w:space="0"/>
              <w:left w:val="single" w:color="auto" w:sz="4" w:space="0"/>
              <w:bottom w:val="single" w:color="auto" w:sz="4" w:space="0"/>
              <w:right w:val="single" w:color="auto" w:sz="4" w:space="0"/>
            </w:tcBorders>
          </w:tcPr>
          <w:p w14:paraId="1A44F399">
            <w:pPr>
              <w:jc w:val="both"/>
              <w:rPr>
                <w:rFonts w:ascii="Times New Roman" w:hAnsi="Times New Roman" w:cs="Times New Roman"/>
                <w:b/>
                <w:bCs/>
                <w:sz w:val="24"/>
                <w:szCs w:val="24"/>
              </w:rPr>
            </w:pPr>
            <w:r>
              <w:rPr>
                <w:rFonts w:ascii="Times New Roman" w:hAnsi="Times New Roman" w:cs="Times New Roman"/>
                <w:b/>
                <w:bCs/>
                <w:sz w:val="24"/>
                <w:szCs w:val="24"/>
              </w:rPr>
              <w:t>Nature</w:t>
            </w:r>
          </w:p>
        </w:tc>
        <w:tc>
          <w:tcPr>
            <w:tcW w:w="1333" w:type="dxa"/>
            <w:tcBorders>
              <w:top w:val="single" w:color="auto" w:sz="4" w:space="0"/>
              <w:left w:val="single" w:color="auto" w:sz="4" w:space="0"/>
              <w:bottom w:val="single" w:color="auto" w:sz="4" w:space="0"/>
              <w:right w:val="single" w:color="auto" w:sz="4" w:space="0"/>
            </w:tcBorders>
          </w:tcPr>
          <w:p w14:paraId="34663D8A">
            <w:pPr>
              <w:jc w:val="both"/>
              <w:rPr>
                <w:rFonts w:ascii="Times New Roman" w:hAnsi="Times New Roman" w:cs="Times New Roman"/>
                <w:b/>
                <w:bCs/>
                <w:sz w:val="24"/>
                <w:szCs w:val="24"/>
              </w:rPr>
            </w:pPr>
            <w:r>
              <w:rPr>
                <w:rFonts w:ascii="Times New Roman" w:hAnsi="Times New Roman" w:cs="Times New Roman"/>
                <w:b/>
                <w:bCs/>
                <w:sz w:val="24"/>
                <w:szCs w:val="24"/>
              </w:rPr>
              <w:t xml:space="preserve">Biological activities </w:t>
            </w:r>
          </w:p>
        </w:tc>
        <w:tc>
          <w:tcPr>
            <w:tcW w:w="1333" w:type="dxa"/>
            <w:tcBorders>
              <w:top w:val="single" w:color="auto" w:sz="4" w:space="0"/>
              <w:left w:val="single" w:color="auto" w:sz="4" w:space="0"/>
              <w:bottom w:val="single" w:color="auto" w:sz="4" w:space="0"/>
              <w:right w:val="single" w:color="auto" w:sz="4" w:space="0"/>
            </w:tcBorders>
          </w:tcPr>
          <w:p w14:paraId="2F41B71A">
            <w:pPr>
              <w:jc w:val="both"/>
            </w:pPr>
            <w:r>
              <w:t xml:space="preserve">References </w:t>
            </w:r>
          </w:p>
        </w:tc>
      </w:tr>
      <w:tr w14:paraId="3148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4C9FB069">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1574" w:type="dxa"/>
            <w:tcBorders>
              <w:top w:val="single" w:color="auto" w:sz="4" w:space="0"/>
              <w:left w:val="single" w:color="auto" w:sz="4" w:space="0"/>
              <w:bottom w:val="single" w:color="auto" w:sz="4" w:space="0"/>
              <w:right w:val="single" w:color="auto" w:sz="4" w:space="0"/>
            </w:tcBorders>
          </w:tcPr>
          <w:p w14:paraId="244340C1">
            <w:pPr>
              <w:jc w:val="both"/>
              <w:rPr>
                <w:rFonts w:ascii="Times New Roman" w:hAnsi="Times New Roman" w:cs="Times New Roman"/>
                <w:b/>
                <w:bCs/>
                <w:sz w:val="24"/>
                <w:szCs w:val="24"/>
              </w:rPr>
            </w:pPr>
            <w:r>
              <w:rPr>
                <w:rFonts w:ascii="Times New Roman" w:hAnsi="Times New Roman" w:cs="Times New Roman"/>
                <w:b/>
                <w:bCs/>
                <w:sz w:val="24"/>
                <w:szCs w:val="24"/>
              </w:rPr>
              <w:t xml:space="preserve">Dodecane </w:t>
            </w:r>
          </w:p>
          <w:p w14:paraId="74A86B51">
            <w:pPr>
              <w:jc w:val="both"/>
              <w:rPr>
                <w:rFonts w:ascii="Times New Roman" w:hAnsi="Times New Roman"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2D612">
            <w:pPr>
              <w:jc w:val="both"/>
              <w:rPr>
                <w:rFonts w:ascii="Times New Roman" w:hAnsi="Times New Roman" w:cs="Times New Roman"/>
                <w:b/>
                <w:bCs/>
                <w:sz w:val="24"/>
                <w:szCs w:val="24"/>
              </w:rPr>
            </w:pPr>
            <w:r>
              <w:rPr>
                <w:rFonts w:ascii="Times New Roman" w:hAnsi="Times New Roman" w:cs="Times New Roman"/>
                <w:b/>
                <w:bCs/>
                <w:sz w:val="24"/>
                <w:szCs w:val="24"/>
              </w:rPr>
              <w:t>9.630</w:t>
            </w:r>
          </w:p>
        </w:tc>
        <w:tc>
          <w:tcPr>
            <w:tcW w:w="1324" w:type="dxa"/>
            <w:tcBorders>
              <w:top w:val="single" w:color="auto" w:sz="4" w:space="0"/>
              <w:left w:val="single" w:color="auto" w:sz="4" w:space="0"/>
              <w:bottom w:val="single" w:color="auto" w:sz="4" w:space="0"/>
              <w:right w:val="single" w:color="auto" w:sz="4" w:space="0"/>
            </w:tcBorders>
          </w:tcPr>
          <w:p w14:paraId="3C9EE77A">
            <w:pPr>
              <w:jc w:val="both"/>
              <w:rPr>
                <w:rFonts w:ascii="Times New Roman" w:hAnsi="Times New Roman" w:cs="Times New Roman"/>
                <w:b/>
                <w:bCs/>
                <w:sz w:val="24"/>
                <w:szCs w:val="24"/>
              </w:rPr>
            </w:pPr>
            <w:r>
              <w:rPr>
                <w:rFonts w:ascii="Times New Roman" w:hAnsi="Times New Roman" w:cs="Times New Roman"/>
                <w:b/>
                <w:bCs/>
                <w:sz w:val="24"/>
                <w:szCs w:val="24"/>
              </w:rPr>
              <w:t>0.28</w:t>
            </w:r>
          </w:p>
        </w:tc>
        <w:tc>
          <w:tcPr>
            <w:tcW w:w="1333" w:type="dxa"/>
            <w:tcBorders>
              <w:top w:val="single" w:color="auto" w:sz="4" w:space="0"/>
              <w:left w:val="single" w:color="auto" w:sz="4" w:space="0"/>
              <w:bottom w:val="single" w:color="auto" w:sz="4" w:space="0"/>
              <w:right w:val="single" w:color="auto" w:sz="4" w:space="0"/>
            </w:tcBorders>
          </w:tcPr>
          <w:p w14:paraId="733DD925">
            <w:pPr>
              <w:jc w:val="both"/>
              <w:rPr>
                <w:rFonts w:ascii="Times New Roman" w:hAnsi="Times New Roman" w:cs="Times New Roman"/>
                <w:b/>
                <w:bCs/>
                <w:sz w:val="24"/>
                <w:szCs w:val="24"/>
              </w:rPr>
            </w:pPr>
            <w:r>
              <w:rPr>
                <w:rFonts w:ascii="Times New Roman" w:hAnsi="Times New Roman" w:cs="Times New Roman"/>
                <w:b/>
                <w:bCs/>
                <w:sz w:val="24"/>
                <w:szCs w:val="24"/>
              </w:rPr>
              <w:t xml:space="preserve">Alkene </w:t>
            </w:r>
          </w:p>
        </w:tc>
        <w:tc>
          <w:tcPr>
            <w:tcW w:w="1333" w:type="dxa"/>
            <w:tcBorders>
              <w:top w:val="single" w:color="auto" w:sz="4" w:space="0"/>
              <w:left w:val="single" w:color="auto" w:sz="4" w:space="0"/>
              <w:bottom w:val="single" w:color="auto" w:sz="4" w:space="0"/>
              <w:right w:val="single" w:color="auto" w:sz="4" w:space="0"/>
            </w:tcBorders>
          </w:tcPr>
          <w:p w14:paraId="02BCE96F">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antifungal </w:t>
            </w:r>
          </w:p>
        </w:tc>
        <w:tc>
          <w:tcPr>
            <w:tcW w:w="1333" w:type="dxa"/>
            <w:tcBorders>
              <w:top w:val="single" w:color="auto" w:sz="4" w:space="0"/>
              <w:left w:val="single" w:color="auto" w:sz="4" w:space="0"/>
              <w:bottom w:val="single" w:color="auto" w:sz="4" w:space="0"/>
              <w:right w:val="single" w:color="auto" w:sz="4" w:space="0"/>
            </w:tcBorders>
          </w:tcPr>
          <w:p w14:paraId="7C43200C">
            <w:pPr>
              <w:jc w:val="both"/>
            </w:pPr>
            <w:r>
              <w:t xml:space="preserve">Duke, 1992; Meher, </w:t>
            </w:r>
            <w:r>
              <w:rPr>
                <w:i/>
                <w:iCs/>
              </w:rPr>
              <w:t>et</w:t>
            </w:r>
            <w:r>
              <w:t xml:space="preserve"> </w:t>
            </w:r>
            <w:r>
              <w:rPr>
                <w:i/>
                <w:iCs/>
              </w:rPr>
              <w:t>al</w:t>
            </w:r>
            <w:r>
              <w:t>., 2019</w:t>
            </w:r>
          </w:p>
        </w:tc>
      </w:tr>
      <w:tr w14:paraId="66984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019D650D">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1574" w:type="dxa"/>
            <w:tcBorders>
              <w:top w:val="single" w:color="auto" w:sz="4" w:space="0"/>
              <w:left w:val="single" w:color="auto" w:sz="4" w:space="0"/>
              <w:bottom w:val="single" w:color="auto" w:sz="4" w:space="0"/>
              <w:right w:val="single" w:color="auto" w:sz="4" w:space="0"/>
            </w:tcBorders>
          </w:tcPr>
          <w:p w14:paraId="2441DF12">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Tetradecane </w:t>
            </w:r>
          </w:p>
        </w:tc>
        <w:tc>
          <w:tcPr>
            <w:tcW w:w="1276" w:type="dxa"/>
            <w:tcBorders>
              <w:top w:val="single" w:color="auto" w:sz="4" w:space="0"/>
              <w:left w:val="single" w:color="auto" w:sz="4" w:space="0"/>
              <w:bottom w:val="single" w:color="auto" w:sz="4" w:space="0"/>
              <w:right w:val="single" w:color="auto" w:sz="4" w:space="0"/>
            </w:tcBorders>
          </w:tcPr>
          <w:p w14:paraId="330CBE89">
            <w:pPr>
              <w:jc w:val="both"/>
              <w:rPr>
                <w:rFonts w:ascii="Times New Roman" w:hAnsi="Times New Roman" w:cs="Times New Roman"/>
                <w:b/>
                <w:bCs/>
                <w:sz w:val="24"/>
                <w:szCs w:val="24"/>
              </w:rPr>
            </w:pPr>
            <w:r>
              <w:rPr>
                <w:rFonts w:ascii="Times New Roman" w:hAnsi="Times New Roman" w:cs="Times New Roman"/>
                <w:b/>
                <w:bCs/>
                <w:sz w:val="24"/>
                <w:szCs w:val="24"/>
              </w:rPr>
              <w:t>14.943</w:t>
            </w:r>
          </w:p>
        </w:tc>
        <w:tc>
          <w:tcPr>
            <w:tcW w:w="1324" w:type="dxa"/>
            <w:tcBorders>
              <w:top w:val="single" w:color="auto" w:sz="4" w:space="0"/>
              <w:left w:val="single" w:color="auto" w:sz="4" w:space="0"/>
              <w:bottom w:val="single" w:color="auto" w:sz="4" w:space="0"/>
              <w:right w:val="single" w:color="auto" w:sz="4" w:space="0"/>
            </w:tcBorders>
          </w:tcPr>
          <w:p w14:paraId="74673590">
            <w:pPr>
              <w:jc w:val="both"/>
              <w:rPr>
                <w:rFonts w:ascii="Times New Roman" w:hAnsi="Times New Roman" w:cs="Times New Roman"/>
                <w:b/>
                <w:bCs/>
                <w:sz w:val="24"/>
                <w:szCs w:val="24"/>
              </w:rPr>
            </w:pPr>
            <w:r>
              <w:rPr>
                <w:rFonts w:ascii="Times New Roman" w:hAnsi="Times New Roman" w:cs="Times New Roman"/>
                <w:b/>
                <w:bCs/>
                <w:sz w:val="24"/>
                <w:szCs w:val="24"/>
              </w:rPr>
              <w:t>0.35</w:t>
            </w:r>
          </w:p>
        </w:tc>
        <w:tc>
          <w:tcPr>
            <w:tcW w:w="1333" w:type="dxa"/>
            <w:tcBorders>
              <w:top w:val="single" w:color="auto" w:sz="4" w:space="0"/>
              <w:left w:val="single" w:color="auto" w:sz="4" w:space="0"/>
              <w:bottom w:val="single" w:color="auto" w:sz="4" w:space="0"/>
              <w:right w:val="single" w:color="auto" w:sz="4" w:space="0"/>
            </w:tcBorders>
          </w:tcPr>
          <w:p w14:paraId="2AA854E1">
            <w:pPr>
              <w:jc w:val="both"/>
              <w:rPr>
                <w:rFonts w:ascii="Times New Roman" w:hAnsi="Times New Roman" w:cs="Times New Roman"/>
                <w:b/>
                <w:bCs/>
                <w:sz w:val="24"/>
                <w:szCs w:val="24"/>
              </w:rPr>
            </w:pPr>
            <w:r>
              <w:rPr>
                <w:rFonts w:ascii="Times New Roman" w:hAnsi="Times New Roman" w:cs="Times New Roman"/>
                <w:b/>
                <w:bCs/>
                <w:sz w:val="24"/>
                <w:szCs w:val="24"/>
              </w:rPr>
              <w:t xml:space="preserve">Alkene </w:t>
            </w:r>
          </w:p>
        </w:tc>
        <w:tc>
          <w:tcPr>
            <w:tcW w:w="1333" w:type="dxa"/>
            <w:tcBorders>
              <w:top w:val="single" w:color="auto" w:sz="4" w:space="0"/>
              <w:left w:val="single" w:color="auto" w:sz="4" w:space="0"/>
              <w:bottom w:val="single" w:color="auto" w:sz="4" w:space="0"/>
              <w:right w:val="single" w:color="auto" w:sz="4" w:space="0"/>
            </w:tcBorders>
          </w:tcPr>
          <w:p w14:paraId="399CDECE">
            <w:pPr>
              <w:jc w:val="both"/>
              <w:rPr>
                <w:rFonts w:ascii="Times New Roman" w:hAnsi="Times New Roman" w:cs="Times New Roman"/>
                <w:b/>
                <w:bCs/>
                <w:sz w:val="24"/>
                <w:szCs w:val="24"/>
              </w:rPr>
            </w:pPr>
            <w:r>
              <w:rPr>
                <w:rFonts w:ascii="Times New Roman" w:hAnsi="Times New Roman" w:cs="Times New Roman"/>
                <w:b/>
                <w:bCs/>
                <w:sz w:val="24"/>
                <w:szCs w:val="24"/>
              </w:rPr>
              <w:t>Antimicrobial, cytotoxicity, antipyretic, anthelmintic, tumor, tuberculosis, dyspepsia, anemia, elephantiasis, anti-diabetic, antiinflammatory, anti-diarrhoeal</w:t>
            </w:r>
          </w:p>
        </w:tc>
        <w:tc>
          <w:tcPr>
            <w:tcW w:w="1333" w:type="dxa"/>
            <w:tcBorders>
              <w:top w:val="single" w:color="auto" w:sz="4" w:space="0"/>
              <w:left w:val="single" w:color="auto" w:sz="4" w:space="0"/>
              <w:bottom w:val="single" w:color="auto" w:sz="4" w:space="0"/>
              <w:right w:val="single" w:color="auto" w:sz="4" w:space="0"/>
            </w:tcBorders>
          </w:tcPr>
          <w:p w14:paraId="6321F891">
            <w:pPr>
              <w:jc w:val="both"/>
            </w:pPr>
            <w:r>
              <w:t xml:space="preserve">Duke, 1992; Meher </w:t>
            </w:r>
            <w:r>
              <w:rPr>
                <w:i/>
                <w:iCs/>
              </w:rPr>
              <w:t>et</w:t>
            </w:r>
            <w:r>
              <w:t xml:space="preserve"> </w:t>
            </w:r>
            <w:r>
              <w:rPr>
                <w:i/>
                <w:iCs/>
              </w:rPr>
              <w:t>al</w:t>
            </w:r>
            <w:r>
              <w:t>., 2019</w:t>
            </w:r>
          </w:p>
        </w:tc>
      </w:tr>
      <w:tr w14:paraId="2F464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050ADA8C">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574" w:type="dxa"/>
            <w:tcBorders>
              <w:top w:val="single" w:color="auto" w:sz="4" w:space="0"/>
              <w:left w:val="single" w:color="auto" w:sz="4" w:space="0"/>
              <w:bottom w:val="single" w:color="auto" w:sz="4" w:space="0"/>
              <w:right w:val="single" w:color="auto" w:sz="4" w:space="0"/>
            </w:tcBorders>
          </w:tcPr>
          <w:p w14:paraId="0F26E217">
            <w:pPr>
              <w:jc w:val="both"/>
              <w:rPr>
                <w:rFonts w:ascii="Times New Roman" w:hAnsi="Times New Roman" w:cs="Times New Roman"/>
                <w:b/>
                <w:bCs/>
                <w:sz w:val="24"/>
                <w:szCs w:val="24"/>
              </w:rPr>
            </w:pPr>
            <w:r>
              <w:rPr>
                <w:rFonts w:ascii="Times New Roman" w:hAnsi="Times New Roman" w:cs="Times New Roman"/>
                <w:b/>
                <w:bCs/>
                <w:sz w:val="24"/>
                <w:szCs w:val="24"/>
              </w:rPr>
              <w:t>2,4-Di-tert-butylphenol</w:t>
            </w:r>
          </w:p>
        </w:tc>
        <w:tc>
          <w:tcPr>
            <w:tcW w:w="1276" w:type="dxa"/>
            <w:tcBorders>
              <w:top w:val="single" w:color="auto" w:sz="4" w:space="0"/>
              <w:left w:val="single" w:color="auto" w:sz="4" w:space="0"/>
              <w:bottom w:val="single" w:color="auto" w:sz="4" w:space="0"/>
              <w:right w:val="single" w:color="auto" w:sz="4" w:space="0"/>
            </w:tcBorders>
          </w:tcPr>
          <w:p w14:paraId="7BC1EF07">
            <w:pPr>
              <w:jc w:val="both"/>
              <w:rPr>
                <w:rFonts w:ascii="Times New Roman" w:hAnsi="Times New Roman" w:cs="Times New Roman"/>
                <w:b/>
                <w:bCs/>
                <w:sz w:val="24"/>
                <w:szCs w:val="24"/>
              </w:rPr>
            </w:pPr>
            <w:r>
              <w:rPr>
                <w:rFonts w:ascii="Times New Roman" w:hAnsi="Times New Roman" w:cs="Times New Roman"/>
                <w:b/>
                <w:bCs/>
                <w:sz w:val="24"/>
                <w:szCs w:val="24"/>
              </w:rPr>
              <w:t>17.410</w:t>
            </w:r>
          </w:p>
        </w:tc>
        <w:tc>
          <w:tcPr>
            <w:tcW w:w="1324" w:type="dxa"/>
            <w:tcBorders>
              <w:top w:val="single" w:color="auto" w:sz="4" w:space="0"/>
              <w:left w:val="single" w:color="auto" w:sz="4" w:space="0"/>
              <w:bottom w:val="single" w:color="auto" w:sz="4" w:space="0"/>
              <w:right w:val="single" w:color="auto" w:sz="4" w:space="0"/>
            </w:tcBorders>
          </w:tcPr>
          <w:p w14:paraId="7FE41452">
            <w:pPr>
              <w:jc w:val="both"/>
              <w:rPr>
                <w:rFonts w:ascii="Times New Roman" w:hAnsi="Times New Roman" w:cs="Times New Roman"/>
                <w:b/>
                <w:bCs/>
                <w:sz w:val="24"/>
                <w:szCs w:val="24"/>
              </w:rPr>
            </w:pPr>
            <w:r>
              <w:rPr>
                <w:rFonts w:ascii="Times New Roman" w:hAnsi="Times New Roman" w:cs="Times New Roman"/>
                <w:b/>
                <w:bCs/>
                <w:sz w:val="24"/>
                <w:szCs w:val="24"/>
              </w:rPr>
              <w:t>0.23</w:t>
            </w:r>
          </w:p>
        </w:tc>
        <w:tc>
          <w:tcPr>
            <w:tcW w:w="1333" w:type="dxa"/>
            <w:tcBorders>
              <w:top w:val="single" w:color="auto" w:sz="4" w:space="0"/>
              <w:left w:val="single" w:color="auto" w:sz="4" w:space="0"/>
              <w:bottom w:val="single" w:color="auto" w:sz="4" w:space="0"/>
              <w:right w:val="single" w:color="auto" w:sz="4" w:space="0"/>
            </w:tcBorders>
          </w:tcPr>
          <w:p w14:paraId="0E5D2DF0">
            <w:pPr>
              <w:jc w:val="both"/>
              <w:rPr>
                <w:rFonts w:ascii="Times New Roman" w:hAnsi="Times New Roman" w:cs="Times New Roman"/>
                <w:b/>
                <w:bCs/>
                <w:sz w:val="24"/>
                <w:szCs w:val="24"/>
              </w:rPr>
            </w:pPr>
            <w:r>
              <w:rPr>
                <w:rFonts w:ascii="Times New Roman" w:hAnsi="Times New Roman" w:cs="Times New Roman"/>
                <w:b/>
                <w:bCs/>
                <w:sz w:val="24"/>
                <w:szCs w:val="24"/>
              </w:rPr>
              <w:t>Alkenol</w:t>
            </w:r>
          </w:p>
        </w:tc>
        <w:tc>
          <w:tcPr>
            <w:tcW w:w="1333" w:type="dxa"/>
            <w:tcBorders>
              <w:top w:val="single" w:color="auto" w:sz="4" w:space="0"/>
              <w:left w:val="single" w:color="auto" w:sz="4" w:space="0"/>
              <w:bottom w:val="single" w:color="auto" w:sz="4" w:space="0"/>
              <w:right w:val="single" w:color="auto" w:sz="4" w:space="0"/>
            </w:tcBorders>
          </w:tcPr>
          <w:p w14:paraId="73A19185">
            <w:pPr>
              <w:jc w:val="both"/>
              <w:rPr>
                <w:rFonts w:ascii="Times New Roman" w:hAnsi="Times New Roman" w:cs="Times New Roman"/>
                <w:b/>
                <w:bCs/>
                <w:sz w:val="24"/>
                <w:szCs w:val="24"/>
              </w:rPr>
            </w:pPr>
            <w:r>
              <w:rPr>
                <w:rFonts w:ascii="Times New Roman" w:hAnsi="Times New Roman" w:cs="Times New Roman"/>
                <w:b/>
                <w:bCs/>
                <w:sz w:val="24"/>
                <w:szCs w:val="24"/>
              </w:rPr>
              <w:t>Antimicrobial, antioxidant, antibiofilm, anti-inflammatory</w:t>
            </w:r>
          </w:p>
        </w:tc>
        <w:tc>
          <w:tcPr>
            <w:tcW w:w="1333" w:type="dxa"/>
            <w:tcBorders>
              <w:top w:val="single" w:color="auto" w:sz="4" w:space="0"/>
              <w:left w:val="single" w:color="auto" w:sz="4" w:space="0"/>
              <w:bottom w:val="single" w:color="auto" w:sz="4" w:space="0"/>
              <w:right w:val="single" w:color="auto" w:sz="4" w:space="0"/>
            </w:tcBorders>
          </w:tcPr>
          <w:p w14:paraId="2D1C727D">
            <w:pPr>
              <w:jc w:val="both"/>
            </w:pPr>
            <w:r>
              <w:t>Zhao (2020); Seenivasan (2022); Rouvier (2024)</w:t>
            </w:r>
          </w:p>
        </w:tc>
      </w:tr>
      <w:tr w14:paraId="5789E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10A559F2">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1574" w:type="dxa"/>
            <w:tcBorders>
              <w:top w:val="single" w:color="auto" w:sz="4" w:space="0"/>
              <w:left w:val="single" w:color="auto" w:sz="4" w:space="0"/>
              <w:bottom w:val="single" w:color="auto" w:sz="4" w:space="0"/>
              <w:right w:val="single" w:color="auto" w:sz="4" w:space="0"/>
            </w:tcBorders>
          </w:tcPr>
          <w:p w14:paraId="1129A3B8">
            <w:pPr>
              <w:jc w:val="both"/>
              <w:rPr>
                <w:rFonts w:ascii="Times New Roman" w:hAnsi="Times New Roman" w:cs="Times New Roman"/>
                <w:b/>
                <w:bCs/>
                <w:sz w:val="24"/>
                <w:szCs w:val="24"/>
              </w:rPr>
            </w:pPr>
            <w:r>
              <w:rPr>
                <w:rFonts w:ascii="Times New Roman" w:hAnsi="Times New Roman" w:cs="Times New Roman"/>
                <w:b/>
                <w:bCs/>
                <w:sz w:val="24"/>
                <w:szCs w:val="24"/>
              </w:rPr>
              <w:t xml:space="preserve">Dodecanoic acid </w:t>
            </w:r>
          </w:p>
        </w:tc>
        <w:tc>
          <w:tcPr>
            <w:tcW w:w="1276" w:type="dxa"/>
            <w:tcBorders>
              <w:top w:val="single" w:color="auto" w:sz="4" w:space="0"/>
              <w:left w:val="single" w:color="auto" w:sz="4" w:space="0"/>
              <w:bottom w:val="single" w:color="auto" w:sz="4" w:space="0"/>
              <w:right w:val="single" w:color="auto" w:sz="4" w:space="0"/>
            </w:tcBorders>
          </w:tcPr>
          <w:p w14:paraId="76F1B790">
            <w:pPr>
              <w:jc w:val="both"/>
              <w:rPr>
                <w:rFonts w:ascii="Times New Roman" w:hAnsi="Times New Roman" w:cs="Times New Roman"/>
                <w:b/>
                <w:bCs/>
                <w:sz w:val="24"/>
                <w:szCs w:val="24"/>
              </w:rPr>
            </w:pPr>
            <w:r>
              <w:rPr>
                <w:rFonts w:ascii="Times New Roman" w:hAnsi="Times New Roman" w:cs="Times New Roman"/>
                <w:b/>
                <w:bCs/>
                <w:sz w:val="24"/>
                <w:szCs w:val="24"/>
              </w:rPr>
              <w:t>19.257</w:t>
            </w:r>
          </w:p>
        </w:tc>
        <w:tc>
          <w:tcPr>
            <w:tcW w:w="1324" w:type="dxa"/>
            <w:tcBorders>
              <w:top w:val="single" w:color="auto" w:sz="4" w:space="0"/>
              <w:left w:val="single" w:color="auto" w:sz="4" w:space="0"/>
              <w:bottom w:val="single" w:color="auto" w:sz="4" w:space="0"/>
              <w:right w:val="single" w:color="auto" w:sz="4" w:space="0"/>
            </w:tcBorders>
          </w:tcPr>
          <w:p w14:paraId="198406F3">
            <w:pPr>
              <w:jc w:val="both"/>
              <w:rPr>
                <w:rFonts w:ascii="Times New Roman" w:hAnsi="Times New Roman" w:cs="Times New Roman"/>
                <w:b/>
                <w:bCs/>
                <w:sz w:val="24"/>
                <w:szCs w:val="24"/>
              </w:rPr>
            </w:pPr>
            <w:r>
              <w:rPr>
                <w:rFonts w:ascii="Times New Roman" w:hAnsi="Times New Roman" w:cs="Times New Roman"/>
                <w:b/>
                <w:bCs/>
                <w:sz w:val="24"/>
                <w:szCs w:val="24"/>
              </w:rPr>
              <w:t>4.11</w:t>
            </w:r>
          </w:p>
        </w:tc>
        <w:tc>
          <w:tcPr>
            <w:tcW w:w="1333" w:type="dxa"/>
            <w:tcBorders>
              <w:top w:val="single" w:color="auto" w:sz="4" w:space="0"/>
              <w:left w:val="single" w:color="auto" w:sz="4" w:space="0"/>
              <w:bottom w:val="single" w:color="auto" w:sz="4" w:space="0"/>
              <w:right w:val="single" w:color="auto" w:sz="4" w:space="0"/>
            </w:tcBorders>
          </w:tcPr>
          <w:p w14:paraId="305507B1">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color="auto" w:sz="4" w:space="0"/>
              <w:left w:val="single" w:color="auto" w:sz="4" w:space="0"/>
              <w:bottom w:val="single" w:color="auto" w:sz="4" w:space="0"/>
              <w:right w:val="single" w:color="auto" w:sz="4" w:space="0"/>
            </w:tcBorders>
          </w:tcPr>
          <w:p w14:paraId="58914D35">
            <w:pPr>
              <w:jc w:val="both"/>
              <w:rPr>
                <w:rFonts w:ascii="Times New Roman" w:hAnsi="Times New Roman" w:cs="Times New Roman"/>
                <w:b/>
                <w:bCs/>
                <w:sz w:val="24"/>
                <w:szCs w:val="24"/>
              </w:rPr>
            </w:pPr>
            <w:r>
              <w:rPr>
                <w:rFonts w:ascii="Times New Roman" w:hAnsi="Times New Roman" w:cs="Times New Roman"/>
                <w:b/>
                <w:bCs/>
                <w:sz w:val="24"/>
                <w:szCs w:val="24"/>
              </w:rPr>
              <w:t>Antibacterial, antibiofilm, antiviral, food preservation</w:t>
            </w:r>
          </w:p>
        </w:tc>
        <w:tc>
          <w:tcPr>
            <w:tcW w:w="1333" w:type="dxa"/>
            <w:tcBorders>
              <w:top w:val="single" w:color="auto" w:sz="4" w:space="0"/>
              <w:left w:val="single" w:color="auto" w:sz="4" w:space="0"/>
              <w:bottom w:val="single" w:color="auto" w:sz="4" w:space="0"/>
              <w:right w:val="single" w:color="auto" w:sz="4" w:space="0"/>
            </w:tcBorders>
          </w:tcPr>
          <w:p w14:paraId="046659BA">
            <w:pPr>
              <w:jc w:val="both"/>
            </w:pPr>
            <w:r>
              <w:t>Yang (2009); Huang (2014); Qingyan (2024)</w:t>
            </w:r>
          </w:p>
        </w:tc>
      </w:tr>
      <w:tr w14:paraId="2F89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3D1C1325">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574" w:type="dxa"/>
            <w:tcBorders>
              <w:top w:val="single" w:color="auto" w:sz="4" w:space="0"/>
              <w:left w:val="single" w:color="auto" w:sz="4" w:space="0"/>
              <w:bottom w:val="single" w:color="auto" w:sz="4" w:space="0"/>
              <w:right w:val="single" w:color="auto" w:sz="4" w:space="0"/>
            </w:tcBorders>
          </w:tcPr>
          <w:p w14:paraId="3645BB9A">
            <w:pPr>
              <w:jc w:val="both"/>
              <w:rPr>
                <w:rFonts w:ascii="Times New Roman" w:hAnsi="Times New Roman" w:cs="Times New Roman"/>
                <w:b/>
                <w:bCs/>
                <w:sz w:val="24"/>
                <w:szCs w:val="24"/>
              </w:rPr>
            </w:pPr>
            <w:r>
              <w:rPr>
                <w:rFonts w:ascii="Times New Roman" w:hAnsi="Times New Roman" w:cs="Times New Roman"/>
                <w:b/>
                <w:bCs/>
                <w:sz w:val="24"/>
                <w:szCs w:val="24"/>
              </w:rPr>
              <w:t>9-Octadecene</w:t>
            </w:r>
          </w:p>
        </w:tc>
        <w:tc>
          <w:tcPr>
            <w:tcW w:w="1276" w:type="dxa"/>
            <w:tcBorders>
              <w:top w:val="single" w:color="auto" w:sz="4" w:space="0"/>
              <w:left w:val="single" w:color="auto" w:sz="4" w:space="0"/>
              <w:bottom w:val="single" w:color="auto" w:sz="4" w:space="0"/>
              <w:right w:val="single" w:color="auto" w:sz="4" w:space="0"/>
            </w:tcBorders>
          </w:tcPr>
          <w:p w14:paraId="07152F7A">
            <w:pPr>
              <w:jc w:val="both"/>
              <w:rPr>
                <w:rFonts w:ascii="Times New Roman" w:hAnsi="Times New Roman" w:cs="Times New Roman"/>
                <w:b/>
                <w:bCs/>
                <w:sz w:val="24"/>
                <w:szCs w:val="24"/>
              </w:rPr>
            </w:pPr>
            <w:r>
              <w:rPr>
                <w:rFonts w:ascii="Times New Roman" w:hAnsi="Times New Roman" w:cs="Times New Roman"/>
                <w:b/>
                <w:bCs/>
                <w:sz w:val="24"/>
                <w:szCs w:val="24"/>
              </w:rPr>
              <w:t>19.566</w:t>
            </w:r>
          </w:p>
        </w:tc>
        <w:tc>
          <w:tcPr>
            <w:tcW w:w="1324" w:type="dxa"/>
            <w:tcBorders>
              <w:top w:val="single" w:color="auto" w:sz="4" w:space="0"/>
              <w:left w:val="single" w:color="auto" w:sz="4" w:space="0"/>
              <w:bottom w:val="single" w:color="auto" w:sz="4" w:space="0"/>
              <w:right w:val="single" w:color="auto" w:sz="4" w:space="0"/>
            </w:tcBorders>
          </w:tcPr>
          <w:p w14:paraId="00CE1F2C">
            <w:pPr>
              <w:jc w:val="both"/>
              <w:rPr>
                <w:rFonts w:ascii="Times New Roman" w:hAnsi="Times New Roman" w:cs="Times New Roman"/>
                <w:b/>
                <w:bCs/>
                <w:sz w:val="24"/>
                <w:szCs w:val="24"/>
              </w:rPr>
            </w:pPr>
            <w:r>
              <w:rPr>
                <w:rFonts w:ascii="Times New Roman" w:hAnsi="Times New Roman" w:cs="Times New Roman"/>
                <w:b/>
                <w:bCs/>
                <w:sz w:val="24"/>
                <w:szCs w:val="24"/>
              </w:rPr>
              <w:t>0.33</w:t>
            </w:r>
          </w:p>
        </w:tc>
        <w:tc>
          <w:tcPr>
            <w:tcW w:w="1333" w:type="dxa"/>
            <w:tcBorders>
              <w:top w:val="single" w:color="auto" w:sz="4" w:space="0"/>
              <w:left w:val="single" w:color="auto" w:sz="4" w:space="0"/>
              <w:bottom w:val="single" w:color="auto" w:sz="4" w:space="0"/>
              <w:right w:val="single" w:color="auto" w:sz="4" w:space="0"/>
            </w:tcBorders>
          </w:tcPr>
          <w:p w14:paraId="10C00979">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color="auto" w:sz="4" w:space="0"/>
              <w:left w:val="single" w:color="auto" w:sz="4" w:space="0"/>
              <w:bottom w:val="single" w:color="auto" w:sz="4" w:space="0"/>
              <w:right w:val="single" w:color="auto" w:sz="4" w:space="0"/>
            </w:tcBorders>
          </w:tcPr>
          <w:p w14:paraId="0D21EA1D">
            <w:pPr>
              <w:jc w:val="both"/>
              <w:rPr>
                <w:rFonts w:ascii="Times New Roman" w:hAnsi="Times New Roman" w:cs="Times New Roman"/>
                <w:b/>
                <w:bCs/>
                <w:sz w:val="24"/>
                <w:szCs w:val="24"/>
              </w:rPr>
            </w:pPr>
            <w:r>
              <w:rPr>
                <w:rFonts w:ascii="Times New Roman" w:hAnsi="Times New Roman" w:cs="Times New Roman"/>
                <w:b/>
                <w:bCs/>
                <w:sz w:val="24"/>
                <w:szCs w:val="24"/>
              </w:rPr>
              <w:t xml:space="preserve">Antifungal, antioxidant, anticancinogenic and antimicrobial </w:t>
            </w:r>
          </w:p>
        </w:tc>
        <w:tc>
          <w:tcPr>
            <w:tcW w:w="1333" w:type="dxa"/>
            <w:tcBorders>
              <w:top w:val="single" w:color="auto" w:sz="4" w:space="0"/>
              <w:left w:val="single" w:color="auto" w:sz="4" w:space="0"/>
              <w:bottom w:val="single" w:color="auto" w:sz="4" w:space="0"/>
              <w:right w:val="single" w:color="auto" w:sz="4" w:space="0"/>
            </w:tcBorders>
          </w:tcPr>
          <w:p w14:paraId="45AB977E">
            <w:pPr>
              <w:jc w:val="both"/>
            </w:pPr>
            <w:r>
              <w:t xml:space="preserve">Akpuaka </w:t>
            </w:r>
            <w:r>
              <w:rPr>
                <w:i/>
                <w:iCs/>
              </w:rPr>
              <w:t>et</w:t>
            </w:r>
            <w:r>
              <w:t xml:space="preserve"> </w:t>
            </w:r>
            <w:r>
              <w:rPr>
                <w:i/>
                <w:iCs/>
              </w:rPr>
              <w:t>al</w:t>
            </w:r>
            <w:r>
              <w:t xml:space="preserve">., 2013; Godwin </w:t>
            </w:r>
            <w:r>
              <w:rPr>
                <w:i/>
                <w:iCs/>
              </w:rPr>
              <w:t>et</w:t>
            </w:r>
            <w:r>
              <w:t xml:space="preserve"> </w:t>
            </w:r>
            <w:r>
              <w:rPr>
                <w:i/>
                <w:iCs/>
              </w:rPr>
              <w:t>al</w:t>
            </w:r>
            <w:r>
              <w:t>., 2015</w:t>
            </w:r>
          </w:p>
        </w:tc>
      </w:tr>
      <w:tr w14:paraId="36796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4617D969">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1574" w:type="dxa"/>
            <w:tcBorders>
              <w:top w:val="single" w:color="auto" w:sz="4" w:space="0"/>
              <w:left w:val="single" w:color="auto" w:sz="4" w:space="0"/>
              <w:bottom w:val="single" w:color="auto" w:sz="4" w:space="0"/>
              <w:right w:val="single" w:color="auto" w:sz="4" w:space="0"/>
            </w:tcBorders>
          </w:tcPr>
          <w:p w14:paraId="6A62DAC7">
            <w:pPr>
              <w:jc w:val="both"/>
              <w:rPr>
                <w:rFonts w:ascii="Times New Roman" w:hAnsi="Times New Roman" w:cs="Times New Roman"/>
                <w:b/>
                <w:bCs/>
                <w:sz w:val="24"/>
                <w:szCs w:val="24"/>
              </w:rPr>
            </w:pPr>
            <w:r>
              <w:rPr>
                <w:rFonts w:ascii="Times New Roman" w:hAnsi="Times New Roman" w:cs="Times New Roman"/>
                <w:b/>
                <w:bCs/>
                <w:sz w:val="24"/>
                <w:szCs w:val="24"/>
              </w:rPr>
              <w:t xml:space="preserve">Hexadecane </w:t>
            </w:r>
          </w:p>
        </w:tc>
        <w:tc>
          <w:tcPr>
            <w:tcW w:w="1276" w:type="dxa"/>
            <w:tcBorders>
              <w:top w:val="single" w:color="auto" w:sz="4" w:space="0"/>
              <w:left w:val="single" w:color="auto" w:sz="4" w:space="0"/>
              <w:bottom w:val="single" w:color="auto" w:sz="4" w:space="0"/>
              <w:right w:val="single" w:color="auto" w:sz="4" w:space="0"/>
            </w:tcBorders>
          </w:tcPr>
          <w:p w14:paraId="17677AE2">
            <w:pPr>
              <w:jc w:val="both"/>
              <w:rPr>
                <w:rFonts w:ascii="Times New Roman" w:hAnsi="Times New Roman" w:cs="Times New Roman"/>
                <w:b/>
                <w:bCs/>
                <w:sz w:val="24"/>
                <w:szCs w:val="24"/>
              </w:rPr>
            </w:pPr>
            <w:r>
              <w:rPr>
                <w:rFonts w:ascii="Times New Roman" w:hAnsi="Times New Roman" w:cs="Times New Roman"/>
                <w:b/>
                <w:bCs/>
                <w:sz w:val="24"/>
                <w:szCs w:val="24"/>
              </w:rPr>
              <w:t>19.812</w:t>
            </w:r>
          </w:p>
        </w:tc>
        <w:tc>
          <w:tcPr>
            <w:tcW w:w="1324" w:type="dxa"/>
            <w:tcBorders>
              <w:top w:val="single" w:color="auto" w:sz="4" w:space="0"/>
              <w:left w:val="single" w:color="auto" w:sz="4" w:space="0"/>
              <w:bottom w:val="single" w:color="auto" w:sz="4" w:space="0"/>
              <w:right w:val="single" w:color="auto" w:sz="4" w:space="0"/>
            </w:tcBorders>
          </w:tcPr>
          <w:p w14:paraId="2968DD0E">
            <w:pPr>
              <w:jc w:val="both"/>
              <w:rPr>
                <w:rFonts w:ascii="Times New Roman" w:hAnsi="Times New Roman" w:cs="Times New Roman"/>
                <w:b/>
                <w:bCs/>
                <w:sz w:val="24"/>
                <w:szCs w:val="24"/>
              </w:rPr>
            </w:pPr>
            <w:r>
              <w:rPr>
                <w:rFonts w:ascii="Times New Roman" w:hAnsi="Times New Roman" w:cs="Times New Roman"/>
                <w:b/>
                <w:bCs/>
                <w:sz w:val="24"/>
                <w:szCs w:val="24"/>
              </w:rPr>
              <w:t>0.46</w:t>
            </w:r>
          </w:p>
        </w:tc>
        <w:tc>
          <w:tcPr>
            <w:tcW w:w="1333" w:type="dxa"/>
            <w:tcBorders>
              <w:top w:val="single" w:color="auto" w:sz="4" w:space="0"/>
              <w:left w:val="single" w:color="auto" w:sz="4" w:space="0"/>
              <w:bottom w:val="single" w:color="auto" w:sz="4" w:space="0"/>
              <w:right w:val="single" w:color="auto" w:sz="4" w:space="0"/>
            </w:tcBorders>
          </w:tcPr>
          <w:p w14:paraId="35FCB789">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color="auto" w:sz="4" w:space="0"/>
              <w:left w:val="single" w:color="auto" w:sz="4" w:space="0"/>
              <w:bottom w:val="single" w:color="auto" w:sz="4" w:space="0"/>
              <w:right w:val="single" w:color="auto" w:sz="4" w:space="0"/>
            </w:tcBorders>
          </w:tcPr>
          <w:p w14:paraId="7F84A700">
            <w:pPr>
              <w:jc w:val="both"/>
              <w:rPr>
                <w:rFonts w:ascii="Times New Roman" w:hAnsi="Times New Roman" w:cs="Times New Roman"/>
                <w:b/>
                <w:bCs/>
                <w:sz w:val="24"/>
                <w:szCs w:val="24"/>
              </w:rPr>
            </w:pPr>
            <w:r>
              <w:rPr>
                <w:rFonts w:ascii="Times New Roman" w:hAnsi="Times New Roman" w:cs="Times New Roman"/>
                <w:b/>
                <w:bCs/>
                <w:sz w:val="24"/>
                <w:szCs w:val="24"/>
              </w:rPr>
              <w:t>Antifungal, antibacterial, antioxidant, cytotoxicity, antipyretic, anthelmintic, anti-inflammatory, antidiarrheal, antidiabetic</w:t>
            </w:r>
          </w:p>
        </w:tc>
        <w:tc>
          <w:tcPr>
            <w:tcW w:w="1333" w:type="dxa"/>
            <w:tcBorders>
              <w:top w:val="single" w:color="auto" w:sz="4" w:space="0"/>
              <w:left w:val="single" w:color="auto" w:sz="4" w:space="0"/>
              <w:bottom w:val="single" w:color="auto" w:sz="4" w:space="0"/>
              <w:right w:val="single" w:color="auto" w:sz="4" w:space="0"/>
            </w:tcBorders>
          </w:tcPr>
          <w:p w14:paraId="4F03FEEB">
            <w:pPr>
              <w:jc w:val="both"/>
            </w:pPr>
            <w:r>
              <w:t>Faridha et al., 2016; Banakar &amp; Jayaraj, 2018</w:t>
            </w:r>
          </w:p>
        </w:tc>
      </w:tr>
      <w:tr w14:paraId="62C6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123BD869">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1574" w:type="dxa"/>
            <w:tcBorders>
              <w:top w:val="single" w:color="auto" w:sz="4" w:space="0"/>
              <w:left w:val="single" w:color="auto" w:sz="4" w:space="0"/>
              <w:bottom w:val="single" w:color="auto" w:sz="4" w:space="0"/>
              <w:right w:val="single" w:color="auto" w:sz="4" w:space="0"/>
            </w:tcBorders>
          </w:tcPr>
          <w:p w14:paraId="009EDCBF">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Tetradecanoic acid </w:t>
            </w:r>
          </w:p>
        </w:tc>
        <w:tc>
          <w:tcPr>
            <w:tcW w:w="1276" w:type="dxa"/>
            <w:tcBorders>
              <w:top w:val="single" w:color="auto" w:sz="4" w:space="0"/>
              <w:left w:val="single" w:color="auto" w:sz="4" w:space="0"/>
              <w:bottom w:val="single" w:color="auto" w:sz="4" w:space="0"/>
              <w:right w:val="single" w:color="auto" w:sz="4" w:space="0"/>
            </w:tcBorders>
          </w:tcPr>
          <w:p w14:paraId="7413018D">
            <w:pPr>
              <w:jc w:val="both"/>
              <w:rPr>
                <w:rFonts w:ascii="Times New Roman" w:hAnsi="Times New Roman" w:cs="Times New Roman"/>
                <w:b/>
                <w:bCs/>
                <w:sz w:val="24"/>
                <w:szCs w:val="24"/>
              </w:rPr>
            </w:pPr>
            <w:r>
              <w:rPr>
                <w:rFonts w:ascii="Times New Roman" w:hAnsi="Times New Roman" w:cs="Times New Roman"/>
                <w:b/>
                <w:bCs/>
                <w:sz w:val="24"/>
                <w:szCs w:val="24"/>
              </w:rPr>
              <w:t>23.480</w:t>
            </w:r>
          </w:p>
        </w:tc>
        <w:tc>
          <w:tcPr>
            <w:tcW w:w="1324" w:type="dxa"/>
            <w:tcBorders>
              <w:top w:val="single" w:color="auto" w:sz="4" w:space="0"/>
              <w:left w:val="single" w:color="auto" w:sz="4" w:space="0"/>
              <w:bottom w:val="single" w:color="auto" w:sz="4" w:space="0"/>
              <w:right w:val="single" w:color="auto" w:sz="4" w:space="0"/>
            </w:tcBorders>
          </w:tcPr>
          <w:p w14:paraId="62C044AF">
            <w:pPr>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1333" w:type="dxa"/>
            <w:tcBorders>
              <w:top w:val="single" w:color="auto" w:sz="4" w:space="0"/>
              <w:left w:val="single" w:color="auto" w:sz="4" w:space="0"/>
              <w:bottom w:val="single" w:color="auto" w:sz="4" w:space="0"/>
              <w:right w:val="single" w:color="auto" w:sz="4" w:space="0"/>
            </w:tcBorders>
          </w:tcPr>
          <w:p w14:paraId="20B86250">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color="auto" w:sz="4" w:space="0"/>
              <w:left w:val="single" w:color="auto" w:sz="4" w:space="0"/>
              <w:bottom w:val="single" w:color="auto" w:sz="4" w:space="0"/>
              <w:right w:val="single" w:color="auto" w:sz="4" w:space="0"/>
            </w:tcBorders>
          </w:tcPr>
          <w:p w14:paraId="1E0596E8">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anti‑virulence in derivatives </w:t>
            </w:r>
          </w:p>
        </w:tc>
        <w:tc>
          <w:tcPr>
            <w:tcW w:w="1333" w:type="dxa"/>
            <w:tcBorders>
              <w:top w:val="single" w:color="auto" w:sz="4" w:space="0"/>
              <w:left w:val="single" w:color="auto" w:sz="4" w:space="0"/>
              <w:bottom w:val="single" w:color="auto" w:sz="4" w:space="0"/>
              <w:right w:val="single" w:color="auto" w:sz="4" w:space="0"/>
            </w:tcBorders>
          </w:tcPr>
          <w:p w14:paraId="19C5E480">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14:paraId="391CE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6EB7A98E">
            <w:pPr>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1574" w:type="dxa"/>
            <w:tcBorders>
              <w:top w:val="single" w:color="auto" w:sz="4" w:space="0"/>
              <w:left w:val="single" w:color="auto" w:sz="4" w:space="0"/>
              <w:bottom w:val="single" w:color="auto" w:sz="4" w:space="0"/>
              <w:right w:val="single" w:color="auto" w:sz="4" w:space="0"/>
            </w:tcBorders>
          </w:tcPr>
          <w:p w14:paraId="48E811DB">
            <w:pPr>
              <w:jc w:val="both"/>
              <w:rPr>
                <w:rFonts w:ascii="Times New Roman" w:hAnsi="Times New Roman" w:cs="Times New Roman"/>
                <w:b/>
                <w:bCs/>
                <w:sz w:val="24"/>
                <w:szCs w:val="24"/>
              </w:rPr>
            </w:pPr>
            <w:r>
              <w:rPr>
                <w:rFonts w:ascii="Times New Roman" w:hAnsi="Times New Roman" w:cs="Times New Roman"/>
                <w:b/>
                <w:bCs/>
                <w:sz w:val="24"/>
                <w:szCs w:val="24"/>
              </w:rPr>
              <w:t>9-Eicosene, (E)-</w:t>
            </w:r>
          </w:p>
          <w:p w14:paraId="69D77CC9">
            <w:pPr>
              <w:jc w:val="both"/>
              <w:rPr>
                <w:rFonts w:ascii="Times New Roman" w:hAnsi="Times New Roman" w:cs="Times New Roman"/>
                <w:b/>
                <w:bCs/>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0F0B367">
            <w:pPr>
              <w:jc w:val="both"/>
              <w:rPr>
                <w:rFonts w:ascii="Times New Roman" w:hAnsi="Times New Roman" w:cs="Times New Roman"/>
                <w:b/>
                <w:bCs/>
                <w:sz w:val="24"/>
                <w:szCs w:val="24"/>
              </w:rPr>
            </w:pPr>
            <w:r>
              <w:rPr>
                <w:rFonts w:ascii="Times New Roman" w:hAnsi="Times New Roman" w:cs="Times New Roman"/>
                <w:b/>
                <w:bCs/>
                <w:sz w:val="24"/>
                <w:szCs w:val="24"/>
              </w:rPr>
              <w:t>24.002</w:t>
            </w:r>
          </w:p>
        </w:tc>
        <w:tc>
          <w:tcPr>
            <w:tcW w:w="1324" w:type="dxa"/>
            <w:tcBorders>
              <w:top w:val="single" w:color="auto" w:sz="4" w:space="0"/>
              <w:left w:val="single" w:color="auto" w:sz="4" w:space="0"/>
              <w:bottom w:val="single" w:color="auto" w:sz="4" w:space="0"/>
              <w:right w:val="single" w:color="auto" w:sz="4" w:space="0"/>
            </w:tcBorders>
          </w:tcPr>
          <w:p w14:paraId="34F0CECC">
            <w:pPr>
              <w:jc w:val="both"/>
              <w:rPr>
                <w:rFonts w:ascii="Times New Roman" w:hAnsi="Times New Roman" w:cs="Times New Roman"/>
                <w:b/>
                <w:bCs/>
                <w:sz w:val="24"/>
                <w:szCs w:val="24"/>
              </w:rPr>
            </w:pPr>
            <w:r>
              <w:rPr>
                <w:rFonts w:ascii="Times New Roman" w:hAnsi="Times New Roman" w:cs="Times New Roman"/>
                <w:b/>
                <w:bCs/>
                <w:sz w:val="24"/>
                <w:szCs w:val="24"/>
              </w:rPr>
              <w:t>0.43</w:t>
            </w:r>
          </w:p>
        </w:tc>
        <w:tc>
          <w:tcPr>
            <w:tcW w:w="1333" w:type="dxa"/>
            <w:tcBorders>
              <w:top w:val="single" w:color="auto" w:sz="4" w:space="0"/>
              <w:left w:val="single" w:color="auto" w:sz="4" w:space="0"/>
              <w:bottom w:val="single" w:color="auto" w:sz="4" w:space="0"/>
              <w:right w:val="single" w:color="auto" w:sz="4" w:space="0"/>
            </w:tcBorders>
          </w:tcPr>
          <w:p w14:paraId="11C35629">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333" w:type="dxa"/>
            <w:tcBorders>
              <w:top w:val="single" w:color="auto" w:sz="4" w:space="0"/>
              <w:left w:val="single" w:color="auto" w:sz="4" w:space="0"/>
              <w:bottom w:val="single" w:color="auto" w:sz="4" w:space="0"/>
              <w:right w:val="single" w:color="auto" w:sz="4" w:space="0"/>
            </w:tcBorders>
          </w:tcPr>
          <w:p w14:paraId="587A6650">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p>
        </w:tc>
        <w:tc>
          <w:tcPr>
            <w:tcW w:w="1333" w:type="dxa"/>
            <w:tcBorders>
              <w:top w:val="single" w:color="auto" w:sz="4" w:space="0"/>
              <w:left w:val="single" w:color="auto" w:sz="4" w:space="0"/>
              <w:bottom w:val="single" w:color="auto" w:sz="4" w:space="0"/>
              <w:right w:val="single" w:color="auto" w:sz="4" w:space="0"/>
            </w:tcBorders>
          </w:tcPr>
          <w:p w14:paraId="3BD624E1">
            <w:pPr>
              <w:jc w:val="both"/>
            </w:pPr>
            <w:r>
              <w:t xml:space="preserve">Ugbogu </w:t>
            </w:r>
            <w:r>
              <w:rPr>
                <w:i/>
                <w:iCs/>
              </w:rPr>
              <w:t>et</w:t>
            </w:r>
            <w:r>
              <w:t xml:space="preserve"> </w:t>
            </w:r>
            <w:r>
              <w:rPr>
                <w:i/>
                <w:iCs/>
              </w:rPr>
              <w:t>al</w:t>
            </w:r>
            <w:r>
              <w:t>., 2019</w:t>
            </w:r>
          </w:p>
        </w:tc>
      </w:tr>
      <w:tr w14:paraId="27BEB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7A914F46">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1574" w:type="dxa"/>
            <w:tcBorders>
              <w:top w:val="single" w:color="auto" w:sz="4" w:space="0"/>
              <w:left w:val="single" w:color="auto" w:sz="4" w:space="0"/>
              <w:bottom w:val="single" w:color="auto" w:sz="4" w:space="0"/>
              <w:right w:val="single" w:color="auto" w:sz="4" w:space="0"/>
            </w:tcBorders>
          </w:tcPr>
          <w:p w14:paraId="6F37061C">
            <w:pPr>
              <w:jc w:val="both"/>
              <w:rPr>
                <w:rFonts w:ascii="Times New Roman" w:hAnsi="Times New Roman" w:cs="Times New Roman"/>
                <w:b/>
                <w:bCs/>
                <w:sz w:val="24"/>
                <w:szCs w:val="24"/>
              </w:rPr>
            </w:pPr>
            <w:r>
              <w:rPr>
                <w:rFonts w:ascii="Times New Roman" w:hAnsi="Times New Roman" w:cs="Times New Roman"/>
                <w:b/>
                <w:bCs/>
                <w:sz w:val="24"/>
                <w:szCs w:val="24"/>
              </w:rPr>
              <w:t xml:space="preserve">Tetratetracontane </w:t>
            </w:r>
          </w:p>
          <w:p w14:paraId="122830FF">
            <w:pPr>
              <w:jc w:val="both"/>
              <w:rPr>
                <w:rFonts w:ascii="Times New Roman" w:hAnsi="Times New Roman" w:cs="Times New Roman"/>
                <w:b/>
                <w:bCs/>
                <w:sz w:val="24"/>
                <w:szCs w:val="24"/>
              </w:rPr>
            </w:pPr>
            <w:r>
              <w:rPr>
                <w:rFonts w:ascii="Times New Roman" w:hAnsi="Times New Roman" w:cs="Times New Roman"/>
                <w:b/>
                <w:bCs/>
                <w:sz w:val="24"/>
                <w:szCs w:val="24"/>
              </w:rPr>
              <w:t>Tetratetracontane</w:t>
            </w:r>
          </w:p>
        </w:tc>
        <w:tc>
          <w:tcPr>
            <w:tcW w:w="1276" w:type="dxa"/>
            <w:tcBorders>
              <w:top w:val="single" w:color="auto" w:sz="4" w:space="0"/>
              <w:left w:val="single" w:color="auto" w:sz="4" w:space="0"/>
              <w:bottom w:val="single" w:color="auto" w:sz="4" w:space="0"/>
              <w:right w:val="single" w:color="auto" w:sz="4" w:space="0"/>
            </w:tcBorders>
          </w:tcPr>
          <w:p w14:paraId="52EF54EE">
            <w:pPr>
              <w:jc w:val="both"/>
              <w:rPr>
                <w:rFonts w:ascii="Times New Roman" w:hAnsi="Times New Roman" w:cs="Times New Roman"/>
                <w:b/>
                <w:bCs/>
                <w:sz w:val="24"/>
                <w:szCs w:val="24"/>
              </w:rPr>
            </w:pPr>
            <w:r>
              <w:rPr>
                <w:rFonts w:ascii="Times New Roman" w:hAnsi="Times New Roman" w:cs="Times New Roman"/>
                <w:b/>
                <w:bCs/>
                <w:sz w:val="24"/>
                <w:szCs w:val="24"/>
              </w:rPr>
              <w:t>24.213</w:t>
            </w:r>
          </w:p>
        </w:tc>
        <w:tc>
          <w:tcPr>
            <w:tcW w:w="1324" w:type="dxa"/>
            <w:tcBorders>
              <w:top w:val="single" w:color="auto" w:sz="4" w:space="0"/>
              <w:left w:val="single" w:color="auto" w:sz="4" w:space="0"/>
              <w:bottom w:val="single" w:color="auto" w:sz="4" w:space="0"/>
              <w:right w:val="single" w:color="auto" w:sz="4" w:space="0"/>
            </w:tcBorders>
          </w:tcPr>
          <w:p w14:paraId="61F3BB43">
            <w:pPr>
              <w:jc w:val="both"/>
              <w:rPr>
                <w:rFonts w:ascii="Times New Roman" w:hAnsi="Times New Roman" w:cs="Times New Roman"/>
                <w:b/>
                <w:bCs/>
                <w:sz w:val="24"/>
                <w:szCs w:val="24"/>
              </w:rPr>
            </w:pPr>
            <w:r>
              <w:rPr>
                <w:rFonts w:ascii="Times New Roman" w:hAnsi="Times New Roman" w:cs="Times New Roman"/>
                <w:b/>
                <w:bCs/>
                <w:sz w:val="24"/>
                <w:szCs w:val="24"/>
              </w:rPr>
              <w:t>0.47</w:t>
            </w:r>
          </w:p>
        </w:tc>
        <w:tc>
          <w:tcPr>
            <w:tcW w:w="1333" w:type="dxa"/>
            <w:tcBorders>
              <w:top w:val="single" w:color="auto" w:sz="4" w:space="0"/>
              <w:left w:val="single" w:color="auto" w:sz="4" w:space="0"/>
              <w:bottom w:val="single" w:color="auto" w:sz="4" w:space="0"/>
              <w:right w:val="single" w:color="auto" w:sz="4" w:space="0"/>
            </w:tcBorders>
          </w:tcPr>
          <w:p w14:paraId="0A3E178F">
            <w:pPr>
              <w:jc w:val="both"/>
              <w:rPr>
                <w:rFonts w:ascii="Times New Roman" w:hAnsi="Times New Roman" w:cs="Times New Roman"/>
                <w:b/>
                <w:bCs/>
                <w:sz w:val="24"/>
                <w:szCs w:val="24"/>
              </w:rPr>
            </w:pPr>
            <w:r>
              <w:rPr>
                <w:rFonts w:ascii="Times New Roman" w:hAnsi="Times New Roman" w:cs="Times New Roman"/>
                <w:b/>
                <w:bCs/>
                <w:sz w:val="24"/>
                <w:szCs w:val="24"/>
              </w:rPr>
              <w:t xml:space="preserve">Alkane </w:t>
            </w:r>
          </w:p>
        </w:tc>
        <w:tc>
          <w:tcPr>
            <w:tcW w:w="1333" w:type="dxa"/>
            <w:tcBorders>
              <w:top w:val="single" w:color="auto" w:sz="4" w:space="0"/>
              <w:left w:val="single" w:color="auto" w:sz="4" w:space="0"/>
              <w:bottom w:val="single" w:color="auto" w:sz="4" w:space="0"/>
              <w:right w:val="single" w:color="auto" w:sz="4" w:space="0"/>
            </w:tcBorders>
          </w:tcPr>
          <w:p w14:paraId="68DA69DE">
            <w:pPr>
              <w:jc w:val="both"/>
              <w:rPr>
                <w:rFonts w:ascii="Times New Roman" w:hAnsi="Times New Roman" w:cs="Times New Roman"/>
                <w:b/>
                <w:bCs/>
                <w:sz w:val="24"/>
                <w:szCs w:val="24"/>
              </w:rPr>
            </w:pPr>
            <w:r>
              <w:rPr>
                <w:rFonts w:ascii="Times New Roman" w:hAnsi="Times New Roman" w:cs="Times New Roman"/>
                <w:b/>
                <w:bCs/>
                <w:sz w:val="24"/>
                <w:szCs w:val="24"/>
              </w:rPr>
              <w:t xml:space="preserve">Antioxidant, </w:t>
            </w:r>
          </w:p>
        </w:tc>
        <w:tc>
          <w:tcPr>
            <w:tcW w:w="1333" w:type="dxa"/>
            <w:tcBorders>
              <w:top w:val="single" w:color="auto" w:sz="4" w:space="0"/>
              <w:left w:val="single" w:color="auto" w:sz="4" w:space="0"/>
              <w:bottom w:val="single" w:color="auto" w:sz="4" w:space="0"/>
              <w:right w:val="single" w:color="auto" w:sz="4" w:space="0"/>
            </w:tcBorders>
          </w:tcPr>
          <w:p w14:paraId="7B5A802E">
            <w:pPr>
              <w:jc w:val="both"/>
            </w:pPr>
            <w:r>
              <w:t xml:space="preserve">Mallick &amp; Dighe, (2014); Midhun </w:t>
            </w:r>
            <w:r>
              <w:rPr>
                <w:i/>
                <w:iCs/>
              </w:rPr>
              <w:t>et</w:t>
            </w:r>
            <w:r>
              <w:t xml:space="preserve"> </w:t>
            </w:r>
            <w:r>
              <w:rPr>
                <w:i/>
                <w:iCs/>
              </w:rPr>
              <w:t>al</w:t>
            </w:r>
            <w:r>
              <w:t>., 2025</w:t>
            </w:r>
          </w:p>
        </w:tc>
      </w:tr>
      <w:tr w14:paraId="19303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4" w:type="dxa"/>
            <w:tcBorders>
              <w:top w:val="single" w:color="auto" w:sz="4" w:space="0"/>
              <w:left w:val="single" w:color="auto" w:sz="4" w:space="0"/>
              <w:bottom w:val="single" w:color="auto" w:sz="4" w:space="0"/>
              <w:right w:val="single" w:color="auto" w:sz="4" w:space="0"/>
            </w:tcBorders>
          </w:tcPr>
          <w:p w14:paraId="21A6CE92">
            <w:pPr>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1574" w:type="dxa"/>
            <w:tcBorders>
              <w:top w:val="single" w:color="auto" w:sz="4" w:space="0"/>
              <w:left w:val="single" w:color="auto" w:sz="4" w:space="0"/>
              <w:bottom w:val="single" w:color="auto" w:sz="4" w:space="0"/>
              <w:right w:val="single" w:color="auto" w:sz="4" w:space="0"/>
            </w:tcBorders>
          </w:tcPr>
          <w:p w14:paraId="293F4288">
            <w:pPr>
              <w:jc w:val="both"/>
              <w:rPr>
                <w:rFonts w:ascii="Times New Roman" w:hAnsi="Times New Roman" w:cs="Times New Roman"/>
                <w:b/>
                <w:bCs/>
                <w:sz w:val="24"/>
                <w:szCs w:val="24"/>
              </w:rPr>
            </w:pPr>
            <w:r>
              <w:rPr>
                <w:rFonts w:ascii="Times New Roman" w:hAnsi="Times New Roman" w:cs="Times New Roman"/>
                <w:b/>
                <w:bCs/>
                <w:sz w:val="24"/>
                <w:szCs w:val="24"/>
              </w:rPr>
              <w:t>Cyclohexane, (1-methylethyl)-</w:t>
            </w:r>
          </w:p>
          <w:p w14:paraId="50599C66">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1276" w:type="dxa"/>
            <w:tcBorders>
              <w:top w:val="single" w:color="auto" w:sz="4" w:space="0"/>
              <w:left w:val="single" w:color="auto" w:sz="4" w:space="0"/>
              <w:bottom w:val="single" w:color="auto" w:sz="4" w:space="0"/>
              <w:right w:val="single" w:color="auto" w:sz="4" w:space="0"/>
            </w:tcBorders>
          </w:tcPr>
          <w:p w14:paraId="5CC81534">
            <w:pPr>
              <w:jc w:val="both"/>
              <w:rPr>
                <w:rFonts w:ascii="Times New Roman" w:hAnsi="Times New Roman" w:cs="Times New Roman"/>
                <w:b/>
                <w:bCs/>
                <w:sz w:val="24"/>
                <w:szCs w:val="24"/>
              </w:rPr>
            </w:pPr>
            <w:r>
              <w:rPr>
                <w:rFonts w:ascii="Times New Roman" w:hAnsi="Times New Roman" w:cs="Times New Roman"/>
                <w:b/>
                <w:bCs/>
                <w:sz w:val="24"/>
                <w:szCs w:val="24"/>
              </w:rPr>
              <w:t>25.286</w:t>
            </w:r>
          </w:p>
        </w:tc>
        <w:tc>
          <w:tcPr>
            <w:tcW w:w="1324" w:type="dxa"/>
            <w:tcBorders>
              <w:top w:val="single" w:color="auto" w:sz="4" w:space="0"/>
              <w:left w:val="single" w:color="auto" w:sz="4" w:space="0"/>
              <w:bottom w:val="single" w:color="auto" w:sz="4" w:space="0"/>
              <w:right w:val="single" w:color="auto" w:sz="4" w:space="0"/>
            </w:tcBorders>
          </w:tcPr>
          <w:p w14:paraId="4BE6BDC6">
            <w:pPr>
              <w:jc w:val="both"/>
              <w:rPr>
                <w:rFonts w:ascii="Times New Roman" w:hAnsi="Times New Roman" w:cs="Times New Roman"/>
                <w:b/>
                <w:bCs/>
                <w:sz w:val="24"/>
                <w:szCs w:val="24"/>
              </w:rPr>
            </w:pPr>
            <w:r>
              <w:rPr>
                <w:rFonts w:ascii="Times New Roman" w:hAnsi="Times New Roman" w:cs="Times New Roman"/>
                <w:b/>
                <w:bCs/>
                <w:sz w:val="24"/>
                <w:szCs w:val="24"/>
              </w:rPr>
              <w:t xml:space="preserve">0.03 </w:t>
            </w:r>
          </w:p>
        </w:tc>
        <w:tc>
          <w:tcPr>
            <w:tcW w:w="1333" w:type="dxa"/>
            <w:tcBorders>
              <w:top w:val="single" w:color="auto" w:sz="4" w:space="0"/>
              <w:left w:val="single" w:color="auto" w:sz="4" w:space="0"/>
              <w:bottom w:val="single" w:color="auto" w:sz="4" w:space="0"/>
              <w:right w:val="single" w:color="auto" w:sz="4" w:space="0"/>
            </w:tcBorders>
          </w:tcPr>
          <w:p w14:paraId="2BB393B8">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methyl </w:t>
            </w:r>
          </w:p>
        </w:tc>
        <w:tc>
          <w:tcPr>
            <w:tcW w:w="1333" w:type="dxa"/>
            <w:tcBorders>
              <w:top w:val="single" w:color="auto" w:sz="4" w:space="0"/>
              <w:left w:val="single" w:color="auto" w:sz="4" w:space="0"/>
              <w:bottom w:val="single" w:color="auto" w:sz="4" w:space="0"/>
              <w:right w:val="single" w:color="auto" w:sz="4" w:space="0"/>
            </w:tcBorders>
          </w:tcPr>
          <w:p w14:paraId="5895B716">
            <w:pPr>
              <w:jc w:val="both"/>
              <w:rPr>
                <w:rFonts w:ascii="Times New Roman" w:hAnsi="Times New Roman" w:cs="Times New Roman"/>
                <w:b/>
                <w:bCs/>
                <w:sz w:val="24"/>
                <w:szCs w:val="24"/>
              </w:rPr>
            </w:pPr>
            <w:r>
              <w:rPr>
                <w:rFonts w:ascii="Times New Roman" w:hAnsi="Times New Roman" w:cs="Times New Roman"/>
                <w:b/>
                <w:bCs/>
                <w:sz w:val="24"/>
                <w:szCs w:val="24"/>
              </w:rPr>
              <w:t>_</w:t>
            </w:r>
          </w:p>
        </w:tc>
        <w:tc>
          <w:tcPr>
            <w:tcW w:w="1333" w:type="dxa"/>
            <w:tcBorders>
              <w:top w:val="single" w:color="auto" w:sz="4" w:space="0"/>
              <w:left w:val="single" w:color="auto" w:sz="4" w:space="0"/>
              <w:bottom w:val="single" w:color="auto" w:sz="4" w:space="0"/>
              <w:right w:val="single" w:color="auto" w:sz="4" w:space="0"/>
            </w:tcBorders>
          </w:tcPr>
          <w:p w14:paraId="24B3E7E2">
            <w:pPr>
              <w:jc w:val="both"/>
            </w:pPr>
            <w:r>
              <w:t>_</w:t>
            </w:r>
          </w:p>
        </w:tc>
      </w:tr>
    </w:tbl>
    <w:p w14:paraId="1F839631">
      <w:pPr>
        <w:jc w:val="both"/>
        <w:rPr>
          <w:rFonts w:ascii="Times New Roman" w:hAnsi="Times New Roman" w:cs="Times New Roman"/>
          <w:bCs/>
          <w:sz w:val="24"/>
          <w:szCs w:val="24"/>
        </w:rPr>
      </w:pPr>
    </w:p>
    <w:p w14:paraId="67B5ED29">
      <w:pPr>
        <w:jc w:val="both"/>
        <w:rPr>
          <w:rFonts w:ascii="Times New Roman" w:hAnsi="Times New Roman" w:cs="Times New Roman"/>
          <w:bCs/>
          <w:sz w:val="24"/>
          <w:szCs w:val="24"/>
        </w:rPr>
      </w:pPr>
    </w:p>
    <w:p w14:paraId="31FD02FF">
      <w:pPr>
        <w:jc w:val="both"/>
        <w:rPr>
          <w:rFonts w:ascii="Times New Roman" w:hAnsi="Times New Roman" w:cs="Times New Roman"/>
          <w:bCs/>
          <w:sz w:val="24"/>
          <w:szCs w:val="24"/>
        </w:rPr>
      </w:pPr>
    </w:p>
    <w:p w14:paraId="1ECEC9C4">
      <w:pPr>
        <w:jc w:val="both"/>
        <w:rPr>
          <w:rFonts w:ascii="Times New Roman" w:hAnsi="Times New Roman" w:cs="Times New Roman"/>
          <w:bCs/>
          <w:sz w:val="24"/>
          <w:szCs w:val="24"/>
        </w:rPr>
      </w:pPr>
    </w:p>
    <w:p w14:paraId="7F0BC05A">
      <w:pPr>
        <w:jc w:val="both"/>
        <w:rPr>
          <w:rFonts w:ascii="Times New Roman" w:hAnsi="Times New Roman" w:cs="Times New Roman"/>
          <w:bCs/>
          <w:sz w:val="24"/>
          <w:szCs w:val="24"/>
        </w:rPr>
      </w:pPr>
    </w:p>
    <w:p w14:paraId="4877CBD1">
      <w:pPr>
        <w:jc w:val="both"/>
        <w:rPr>
          <w:rFonts w:ascii="Times New Roman" w:hAnsi="Times New Roman" w:cs="Times New Roman"/>
          <w:bCs/>
          <w:sz w:val="24"/>
          <w:szCs w:val="24"/>
        </w:rPr>
      </w:pPr>
    </w:p>
    <w:p w14:paraId="4153E2E2">
      <w:pPr>
        <w:jc w:val="both"/>
        <w:rPr>
          <w:rFonts w:ascii="Times New Roman" w:hAnsi="Times New Roman" w:cs="Times New Roman"/>
          <w:bCs/>
          <w:sz w:val="24"/>
          <w:szCs w:val="24"/>
        </w:rPr>
      </w:pPr>
    </w:p>
    <w:p w14:paraId="00566D4B">
      <w:pPr>
        <w:jc w:val="both"/>
        <w:rPr>
          <w:rFonts w:ascii="Times New Roman" w:hAnsi="Times New Roman" w:cs="Times New Roman"/>
          <w:bCs/>
          <w:sz w:val="24"/>
          <w:szCs w:val="24"/>
        </w:rPr>
      </w:pPr>
    </w:p>
    <w:p w14:paraId="527527C9">
      <w:pPr>
        <w:jc w:val="center"/>
        <w:rPr>
          <w:rFonts w:ascii="Times New Roman" w:hAnsi="Times New Roman" w:cs="Times New Roman"/>
          <w:bCs/>
          <w:sz w:val="24"/>
          <w:szCs w:val="24"/>
        </w:rPr>
      </w:pPr>
    </w:p>
    <w:p w14:paraId="24FA88A3">
      <w:pPr>
        <w:jc w:val="both"/>
        <w:rPr>
          <w:rFonts w:ascii="Times New Roman" w:hAnsi="Times New Roman" w:cs="Times New Roman"/>
          <w:bCs/>
          <w:sz w:val="24"/>
          <w:szCs w:val="24"/>
        </w:rPr>
      </w:pPr>
    </w:p>
    <w:p w14:paraId="237C45AC">
      <w:pPr>
        <w:jc w:val="both"/>
        <w:rPr>
          <w:rFonts w:ascii="Times New Roman" w:hAnsi="Times New Roman" w:cs="Times New Roman"/>
          <w:bCs/>
          <w:sz w:val="24"/>
          <w:szCs w:val="24"/>
        </w:rPr>
      </w:pPr>
    </w:p>
    <w:p w14:paraId="73F16F50">
      <w:pPr>
        <w:jc w:val="both"/>
        <w:rPr>
          <w:rFonts w:ascii="Times New Roman" w:hAnsi="Times New Roman" w:cs="Times New Roman"/>
          <w:bCs/>
          <w:sz w:val="24"/>
          <w:szCs w:val="24"/>
        </w:rPr>
      </w:pPr>
    </w:p>
    <w:p w14:paraId="7D247350">
      <w:pPr>
        <w:jc w:val="both"/>
        <w:rPr>
          <w:rFonts w:ascii="Times New Roman" w:hAnsi="Times New Roman" w:cs="Times New Roman"/>
          <w:bCs/>
          <w:sz w:val="24"/>
          <w:szCs w:val="24"/>
        </w:rPr>
      </w:pPr>
      <w:r>
        <w:drawing>
          <wp:anchor distT="0" distB="0" distL="0" distR="0" simplePos="0" relativeHeight="251659264" behindDoc="0" locked="0" layoutInCell="1" allowOverlap="1">
            <wp:simplePos x="0" y="0"/>
            <wp:positionH relativeFrom="page">
              <wp:posOffset>1377950</wp:posOffset>
            </wp:positionH>
            <wp:positionV relativeFrom="page">
              <wp:posOffset>3444875</wp:posOffset>
            </wp:positionV>
            <wp:extent cx="4713605" cy="2799715"/>
            <wp:effectExtent l="0" t="0" r="0" b="0"/>
            <wp:wrapNone/>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17" cstate="print"/>
                    <a:srcRect r="6331"/>
                    <a:stretch>
                      <a:fillRect/>
                    </a:stretch>
                  </pic:blipFill>
                  <pic:spPr>
                    <a:xfrm>
                      <a:off x="0" y="0"/>
                      <a:ext cx="4713730" cy="2799522"/>
                    </a:xfrm>
                    <a:prstGeom prst="rect">
                      <a:avLst/>
                    </a:prstGeom>
                    <a:ln>
                      <a:noFill/>
                    </a:ln>
                  </pic:spPr>
                </pic:pic>
              </a:graphicData>
            </a:graphic>
          </wp:anchor>
        </w:drawing>
      </w:r>
    </w:p>
    <w:p w14:paraId="2AED3E82">
      <w:pPr>
        <w:jc w:val="both"/>
        <w:rPr>
          <w:rFonts w:ascii="Times New Roman" w:hAnsi="Times New Roman" w:cs="Times New Roman"/>
          <w:bCs/>
          <w:sz w:val="24"/>
          <w:szCs w:val="24"/>
        </w:rPr>
      </w:pPr>
    </w:p>
    <w:p w14:paraId="06290FCD">
      <w:pPr>
        <w:jc w:val="both"/>
        <w:rPr>
          <w:rFonts w:ascii="Times New Roman" w:hAnsi="Times New Roman" w:cs="Times New Roman"/>
          <w:bCs/>
          <w:sz w:val="24"/>
          <w:szCs w:val="24"/>
        </w:rPr>
      </w:pPr>
    </w:p>
    <w:p w14:paraId="55256FAE">
      <w:pPr>
        <w:jc w:val="both"/>
        <w:rPr>
          <w:rFonts w:ascii="Times New Roman" w:hAnsi="Times New Roman" w:cs="Times New Roman"/>
          <w:b/>
          <w:bCs/>
          <w:sz w:val="24"/>
          <w:szCs w:val="24"/>
        </w:rPr>
      </w:pPr>
      <w:r>
        <w:rPr>
          <w:rFonts w:ascii="Times New Roman" w:hAnsi="Times New Roman" w:cs="Times New Roman"/>
          <w:b/>
          <w:bCs/>
          <w:sz w:val="24"/>
          <w:szCs w:val="24"/>
        </w:rPr>
        <w:t xml:space="preserve">Figure 4: GC-MS Chromatogram of </w:t>
      </w:r>
      <w:r>
        <w:rPr>
          <w:rFonts w:ascii="Times New Roman" w:hAnsi="Times New Roman" w:cs="Times New Roman"/>
          <w:b/>
          <w:bCs/>
          <w:i/>
          <w:iCs/>
          <w:sz w:val="24"/>
          <w:szCs w:val="24"/>
        </w:rPr>
        <w:t xml:space="preserve">Euphorbia heterophylla </w:t>
      </w:r>
    </w:p>
    <w:p w14:paraId="59EF8B50">
      <w:pPr>
        <w:jc w:val="both"/>
        <w:rPr>
          <w:rFonts w:ascii="Times New Roman" w:hAnsi="Times New Roman" w:cs="Times New Roman"/>
          <w:b/>
          <w:bCs/>
          <w:sz w:val="24"/>
          <w:szCs w:val="24"/>
        </w:rPr>
      </w:pPr>
    </w:p>
    <w:p w14:paraId="339B0EED">
      <w:pPr>
        <w:jc w:val="both"/>
        <w:rPr>
          <w:rFonts w:ascii="Times New Roman" w:hAnsi="Times New Roman" w:cs="Times New Roman"/>
          <w:b/>
          <w:bCs/>
          <w:sz w:val="24"/>
          <w:szCs w:val="24"/>
        </w:rPr>
      </w:pPr>
    </w:p>
    <w:p w14:paraId="3A8D7D13">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GC-MS Phytochemical profile of </w:t>
      </w:r>
      <w:r>
        <w:rPr>
          <w:rFonts w:ascii="Times New Roman" w:hAnsi="Times New Roman" w:cs="Times New Roman"/>
          <w:b/>
          <w:bCs/>
          <w:i/>
          <w:iCs/>
          <w:sz w:val="24"/>
          <w:szCs w:val="24"/>
        </w:rPr>
        <w:t>Euphorbia heterophylla</w:t>
      </w:r>
      <w:r>
        <w:rPr>
          <w:rFonts w:ascii="Times New Roman" w:hAnsi="Times New Roman" w:cs="Times New Roman"/>
          <w:b/>
          <w:bCs/>
          <w:sz w:val="24"/>
          <w:szCs w:val="24"/>
        </w:rPr>
        <w:t xml:space="preserve"> </w:t>
      </w:r>
    </w:p>
    <w:tbl>
      <w:tblPr>
        <w:tblStyle w:val="9"/>
        <w:tblW w:w="101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3623"/>
        <w:gridCol w:w="1326"/>
        <w:gridCol w:w="762"/>
        <w:gridCol w:w="1117"/>
        <w:gridCol w:w="1670"/>
        <w:gridCol w:w="1155"/>
      </w:tblGrid>
      <w:tr w14:paraId="7B463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4180C9EE">
            <w:pPr>
              <w:jc w:val="both"/>
              <w:rPr>
                <w:rFonts w:ascii="Times New Roman" w:hAnsi="Times New Roman" w:cs="Times New Roman"/>
                <w:b/>
                <w:bCs/>
                <w:sz w:val="24"/>
                <w:szCs w:val="24"/>
              </w:rPr>
            </w:pPr>
            <w:r>
              <w:rPr>
                <w:rFonts w:ascii="Times New Roman" w:hAnsi="Times New Roman" w:cs="Times New Roman"/>
                <w:b/>
                <w:bCs/>
                <w:sz w:val="24"/>
                <w:szCs w:val="24"/>
              </w:rPr>
              <w:t xml:space="preserve">Peak </w:t>
            </w:r>
          </w:p>
        </w:tc>
        <w:tc>
          <w:tcPr>
            <w:tcW w:w="3623" w:type="dxa"/>
            <w:tcBorders>
              <w:top w:val="single" w:color="auto" w:sz="4" w:space="0"/>
              <w:left w:val="single" w:color="auto" w:sz="4" w:space="0"/>
              <w:bottom w:val="single" w:color="auto" w:sz="4" w:space="0"/>
              <w:right w:val="single" w:color="auto" w:sz="4" w:space="0"/>
            </w:tcBorders>
          </w:tcPr>
          <w:p w14:paraId="2B371E6E">
            <w:pPr>
              <w:jc w:val="both"/>
              <w:rPr>
                <w:rFonts w:ascii="Times New Roman" w:hAnsi="Times New Roman" w:cs="Times New Roman"/>
                <w:b/>
                <w:bCs/>
                <w:sz w:val="24"/>
                <w:szCs w:val="24"/>
              </w:rPr>
            </w:pPr>
            <w:r>
              <w:rPr>
                <w:rFonts w:ascii="Times New Roman" w:hAnsi="Times New Roman" w:cs="Times New Roman"/>
                <w:b/>
                <w:bCs/>
                <w:sz w:val="24"/>
                <w:szCs w:val="24"/>
              </w:rPr>
              <w:t xml:space="preserve">Name of compound </w:t>
            </w:r>
          </w:p>
        </w:tc>
        <w:tc>
          <w:tcPr>
            <w:tcW w:w="1326" w:type="dxa"/>
            <w:tcBorders>
              <w:top w:val="single" w:color="auto" w:sz="4" w:space="0"/>
              <w:left w:val="single" w:color="auto" w:sz="4" w:space="0"/>
              <w:bottom w:val="single" w:color="auto" w:sz="4" w:space="0"/>
              <w:right w:val="single" w:color="auto" w:sz="4" w:space="0"/>
            </w:tcBorders>
          </w:tcPr>
          <w:p w14:paraId="4D59C9ED">
            <w:pPr>
              <w:jc w:val="both"/>
              <w:rPr>
                <w:rFonts w:ascii="Times New Roman" w:hAnsi="Times New Roman" w:cs="Times New Roman"/>
                <w:b/>
                <w:bCs/>
                <w:sz w:val="24"/>
                <w:szCs w:val="24"/>
              </w:rPr>
            </w:pPr>
            <w:r>
              <w:rPr>
                <w:rFonts w:ascii="Times New Roman" w:hAnsi="Times New Roman" w:cs="Times New Roman"/>
                <w:b/>
                <w:bCs/>
                <w:sz w:val="24"/>
                <w:szCs w:val="24"/>
              </w:rPr>
              <w:t xml:space="preserve">Retention time </w:t>
            </w:r>
          </w:p>
        </w:tc>
        <w:tc>
          <w:tcPr>
            <w:tcW w:w="762" w:type="dxa"/>
            <w:tcBorders>
              <w:top w:val="single" w:color="auto" w:sz="4" w:space="0"/>
              <w:left w:val="single" w:color="auto" w:sz="4" w:space="0"/>
              <w:bottom w:val="single" w:color="auto" w:sz="4" w:space="0"/>
              <w:right w:val="single" w:color="auto" w:sz="4" w:space="0"/>
            </w:tcBorders>
          </w:tcPr>
          <w:p w14:paraId="38F2B266">
            <w:pPr>
              <w:jc w:val="both"/>
              <w:rPr>
                <w:rFonts w:ascii="Times New Roman" w:hAnsi="Times New Roman" w:cs="Times New Roman"/>
                <w:b/>
                <w:bCs/>
                <w:sz w:val="24"/>
                <w:szCs w:val="24"/>
              </w:rPr>
            </w:pPr>
            <w:r>
              <w:rPr>
                <w:rFonts w:ascii="Times New Roman" w:hAnsi="Times New Roman" w:cs="Times New Roman"/>
                <w:b/>
                <w:bCs/>
                <w:sz w:val="24"/>
                <w:szCs w:val="24"/>
              </w:rPr>
              <w:t>Peak area (%)</w:t>
            </w:r>
          </w:p>
        </w:tc>
        <w:tc>
          <w:tcPr>
            <w:tcW w:w="1117" w:type="dxa"/>
            <w:tcBorders>
              <w:top w:val="single" w:color="auto" w:sz="4" w:space="0"/>
              <w:left w:val="single" w:color="auto" w:sz="4" w:space="0"/>
              <w:bottom w:val="single" w:color="auto" w:sz="4" w:space="0"/>
              <w:right w:val="single" w:color="auto" w:sz="4" w:space="0"/>
            </w:tcBorders>
          </w:tcPr>
          <w:p w14:paraId="12599822">
            <w:pPr>
              <w:jc w:val="both"/>
              <w:rPr>
                <w:rFonts w:ascii="Times New Roman" w:hAnsi="Times New Roman" w:cs="Times New Roman"/>
                <w:b/>
                <w:bCs/>
                <w:sz w:val="24"/>
                <w:szCs w:val="24"/>
              </w:rPr>
            </w:pPr>
            <w:r>
              <w:rPr>
                <w:rFonts w:ascii="Times New Roman" w:hAnsi="Times New Roman" w:cs="Times New Roman"/>
                <w:b/>
                <w:bCs/>
                <w:sz w:val="24"/>
                <w:szCs w:val="24"/>
              </w:rPr>
              <w:t xml:space="preserve">Nature </w:t>
            </w:r>
          </w:p>
        </w:tc>
        <w:tc>
          <w:tcPr>
            <w:tcW w:w="1670" w:type="dxa"/>
            <w:tcBorders>
              <w:top w:val="single" w:color="auto" w:sz="4" w:space="0"/>
              <w:left w:val="single" w:color="auto" w:sz="4" w:space="0"/>
              <w:bottom w:val="single" w:color="auto" w:sz="4" w:space="0"/>
              <w:right w:val="single" w:color="auto" w:sz="4" w:space="0"/>
            </w:tcBorders>
          </w:tcPr>
          <w:p w14:paraId="155E26B0">
            <w:pPr>
              <w:jc w:val="both"/>
              <w:rPr>
                <w:rFonts w:ascii="Times New Roman" w:hAnsi="Times New Roman" w:cs="Times New Roman"/>
                <w:b/>
                <w:bCs/>
                <w:sz w:val="24"/>
                <w:szCs w:val="24"/>
              </w:rPr>
            </w:pPr>
            <w:r>
              <w:rPr>
                <w:rFonts w:ascii="Times New Roman" w:hAnsi="Times New Roman" w:cs="Times New Roman"/>
                <w:b/>
                <w:bCs/>
                <w:sz w:val="24"/>
                <w:szCs w:val="24"/>
              </w:rPr>
              <w:t xml:space="preserve">Biological activities </w:t>
            </w:r>
          </w:p>
        </w:tc>
        <w:tc>
          <w:tcPr>
            <w:tcW w:w="1155" w:type="dxa"/>
            <w:tcBorders>
              <w:top w:val="single" w:color="auto" w:sz="4" w:space="0"/>
              <w:left w:val="single" w:color="auto" w:sz="4" w:space="0"/>
              <w:bottom w:val="single" w:color="auto" w:sz="4" w:space="0"/>
              <w:right w:val="single" w:color="auto" w:sz="4" w:space="0"/>
            </w:tcBorders>
          </w:tcPr>
          <w:p w14:paraId="0D9FDAA6">
            <w:pPr>
              <w:jc w:val="both"/>
            </w:pPr>
            <w:r>
              <w:rPr>
                <w:b/>
                <w:bCs/>
              </w:rPr>
              <w:t>References</w:t>
            </w:r>
            <w:r>
              <w:t xml:space="preserve"> </w:t>
            </w:r>
          </w:p>
        </w:tc>
      </w:tr>
      <w:tr w14:paraId="3E00F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575FA8AA">
            <w:pPr>
              <w:jc w:val="both"/>
              <w:rPr>
                <w:rFonts w:ascii="Times New Roman" w:hAnsi="Times New Roman" w:cs="Times New Roman"/>
                <w:b/>
                <w:bCs/>
                <w:sz w:val="24"/>
                <w:szCs w:val="24"/>
              </w:rPr>
            </w:pPr>
            <w:r>
              <w:rPr>
                <w:rFonts w:ascii="Times New Roman" w:hAnsi="Times New Roman" w:cs="Times New Roman"/>
                <w:b/>
                <w:bCs/>
                <w:sz w:val="24"/>
                <w:szCs w:val="24"/>
              </w:rPr>
              <w:t xml:space="preserve"> 1</w:t>
            </w:r>
          </w:p>
        </w:tc>
        <w:tc>
          <w:tcPr>
            <w:tcW w:w="3623" w:type="dxa"/>
            <w:tcBorders>
              <w:top w:val="single" w:color="auto" w:sz="4" w:space="0"/>
              <w:left w:val="single" w:color="auto" w:sz="4" w:space="0"/>
              <w:bottom w:val="single" w:color="auto" w:sz="4" w:space="0"/>
              <w:right w:val="single" w:color="auto" w:sz="4" w:space="0"/>
            </w:tcBorders>
          </w:tcPr>
          <w:p w14:paraId="20C69EA2">
            <w:pPr>
              <w:jc w:val="both"/>
              <w:rPr>
                <w:rFonts w:ascii="Times New Roman" w:hAnsi="Times New Roman" w:cs="Times New Roman"/>
                <w:b/>
                <w:bCs/>
                <w:sz w:val="24"/>
                <w:szCs w:val="24"/>
              </w:rPr>
            </w:pPr>
            <w:r>
              <w:rPr>
                <w:rFonts w:ascii="Times New Roman" w:hAnsi="Times New Roman" w:cs="Times New Roman"/>
                <w:b/>
                <w:bCs/>
                <w:sz w:val="24"/>
                <w:szCs w:val="24"/>
              </w:rPr>
              <w:t>Tetradecane</w:t>
            </w:r>
          </w:p>
        </w:tc>
        <w:tc>
          <w:tcPr>
            <w:tcW w:w="1326" w:type="dxa"/>
            <w:tcBorders>
              <w:top w:val="single" w:color="auto" w:sz="4" w:space="0"/>
              <w:left w:val="single" w:color="auto" w:sz="4" w:space="0"/>
              <w:bottom w:val="single" w:color="auto" w:sz="4" w:space="0"/>
              <w:right w:val="single" w:color="auto" w:sz="4" w:space="0"/>
            </w:tcBorders>
          </w:tcPr>
          <w:p w14:paraId="3EB7977C">
            <w:pPr>
              <w:jc w:val="both"/>
              <w:rPr>
                <w:rFonts w:ascii="Times New Roman" w:hAnsi="Times New Roman" w:cs="Times New Roman"/>
                <w:b/>
                <w:bCs/>
                <w:sz w:val="24"/>
                <w:szCs w:val="24"/>
              </w:rPr>
            </w:pPr>
            <w:r>
              <w:rPr>
                <w:rFonts w:ascii="Times New Roman" w:hAnsi="Times New Roman" w:cs="Times New Roman"/>
                <w:b/>
                <w:bCs/>
                <w:sz w:val="24"/>
                <w:szCs w:val="24"/>
              </w:rPr>
              <w:t>14.943</w:t>
            </w:r>
          </w:p>
        </w:tc>
        <w:tc>
          <w:tcPr>
            <w:tcW w:w="762" w:type="dxa"/>
            <w:tcBorders>
              <w:top w:val="single" w:color="auto" w:sz="4" w:space="0"/>
              <w:left w:val="single" w:color="auto" w:sz="4" w:space="0"/>
              <w:bottom w:val="single" w:color="auto" w:sz="4" w:space="0"/>
              <w:right w:val="single" w:color="auto" w:sz="4" w:space="0"/>
            </w:tcBorders>
          </w:tcPr>
          <w:p w14:paraId="4DE089C4">
            <w:pPr>
              <w:jc w:val="both"/>
              <w:rPr>
                <w:rFonts w:ascii="Times New Roman" w:hAnsi="Times New Roman" w:cs="Times New Roman"/>
                <w:b/>
                <w:bCs/>
                <w:sz w:val="24"/>
                <w:szCs w:val="24"/>
              </w:rPr>
            </w:pPr>
            <w:r>
              <w:rPr>
                <w:rFonts w:ascii="Times New Roman" w:hAnsi="Times New Roman" w:cs="Times New Roman"/>
                <w:b/>
                <w:bCs/>
                <w:sz w:val="24"/>
                <w:szCs w:val="24"/>
              </w:rPr>
              <w:t>0.53</w:t>
            </w:r>
          </w:p>
        </w:tc>
        <w:tc>
          <w:tcPr>
            <w:tcW w:w="1117" w:type="dxa"/>
            <w:tcBorders>
              <w:top w:val="single" w:color="auto" w:sz="4" w:space="0"/>
              <w:left w:val="single" w:color="auto" w:sz="4" w:space="0"/>
              <w:bottom w:val="single" w:color="auto" w:sz="4" w:space="0"/>
              <w:right w:val="single" w:color="auto" w:sz="4" w:space="0"/>
            </w:tcBorders>
          </w:tcPr>
          <w:p w14:paraId="604FA56D">
            <w:pPr>
              <w:jc w:val="both"/>
              <w:rPr>
                <w:rFonts w:ascii="Times New Roman" w:hAnsi="Times New Roman" w:cs="Times New Roman"/>
                <w:b/>
                <w:bCs/>
                <w:sz w:val="24"/>
                <w:szCs w:val="24"/>
              </w:rPr>
            </w:pPr>
            <w:r>
              <w:rPr>
                <w:rFonts w:ascii="Times New Roman" w:hAnsi="Times New Roman" w:cs="Times New Roman"/>
                <w:b/>
                <w:bCs/>
                <w:sz w:val="24"/>
                <w:szCs w:val="24"/>
              </w:rPr>
              <w:t xml:space="preserve">Alkane </w:t>
            </w:r>
          </w:p>
        </w:tc>
        <w:tc>
          <w:tcPr>
            <w:tcW w:w="1670" w:type="dxa"/>
            <w:tcBorders>
              <w:top w:val="single" w:color="auto" w:sz="4" w:space="0"/>
              <w:left w:val="single" w:color="auto" w:sz="4" w:space="0"/>
              <w:bottom w:val="single" w:color="auto" w:sz="4" w:space="0"/>
              <w:right w:val="single" w:color="auto" w:sz="4" w:space="0"/>
            </w:tcBorders>
          </w:tcPr>
          <w:p w14:paraId="4AAA3C21">
            <w:pPr>
              <w:jc w:val="both"/>
              <w:rPr>
                <w:rFonts w:ascii="Times New Roman" w:hAnsi="Times New Roman" w:cs="Times New Roman"/>
                <w:b/>
                <w:bCs/>
                <w:sz w:val="24"/>
                <w:szCs w:val="24"/>
              </w:rPr>
            </w:pPr>
            <w:r>
              <w:rPr>
                <w:rFonts w:ascii="Times New Roman" w:hAnsi="Times New Roman" w:cs="Times New Roman"/>
                <w:b/>
                <w:bCs/>
                <w:sz w:val="24"/>
                <w:szCs w:val="24"/>
              </w:rPr>
              <w:t>Antimicrobial, cytotoxicity, antipyretic, anthelmintic, tumor, tuberculosis, dyspepsia, anemia, elephantiasis, anti-diabetic, antiinflammatory, anti-diarrhoeal</w:t>
            </w:r>
          </w:p>
        </w:tc>
        <w:tc>
          <w:tcPr>
            <w:tcW w:w="1155" w:type="dxa"/>
            <w:tcBorders>
              <w:top w:val="single" w:color="auto" w:sz="4" w:space="0"/>
              <w:left w:val="single" w:color="auto" w:sz="4" w:space="0"/>
              <w:bottom w:val="single" w:color="auto" w:sz="4" w:space="0"/>
              <w:right w:val="single" w:color="auto" w:sz="4" w:space="0"/>
            </w:tcBorders>
          </w:tcPr>
          <w:p w14:paraId="675D80CE">
            <w:pPr>
              <w:jc w:val="both"/>
            </w:pPr>
            <w:r>
              <w:t xml:space="preserve">Duke, 1992; Meher </w:t>
            </w:r>
            <w:r>
              <w:rPr>
                <w:i/>
                <w:iCs/>
              </w:rPr>
              <w:t>et</w:t>
            </w:r>
            <w:r>
              <w:t xml:space="preserve"> </w:t>
            </w:r>
            <w:r>
              <w:rPr>
                <w:i/>
                <w:iCs/>
              </w:rPr>
              <w:t>al</w:t>
            </w:r>
            <w:r>
              <w:t>., 2019</w:t>
            </w:r>
          </w:p>
        </w:tc>
      </w:tr>
      <w:tr w14:paraId="0F5C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 w:hRule="atLeast"/>
        </w:trPr>
        <w:tc>
          <w:tcPr>
            <w:tcW w:w="493" w:type="dxa"/>
            <w:tcBorders>
              <w:top w:val="single" w:color="auto" w:sz="4" w:space="0"/>
              <w:left w:val="single" w:color="auto" w:sz="4" w:space="0"/>
              <w:bottom w:val="single" w:color="auto" w:sz="4" w:space="0"/>
              <w:right w:val="single" w:color="auto" w:sz="4" w:space="0"/>
            </w:tcBorders>
          </w:tcPr>
          <w:p w14:paraId="041127BD">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623" w:type="dxa"/>
            <w:tcBorders>
              <w:top w:val="single" w:color="auto" w:sz="4" w:space="0"/>
              <w:left w:val="single" w:color="auto" w:sz="4" w:space="0"/>
              <w:bottom w:val="single" w:color="auto" w:sz="4" w:space="0"/>
              <w:right w:val="single" w:color="auto" w:sz="4" w:space="0"/>
            </w:tcBorders>
          </w:tcPr>
          <w:p w14:paraId="60D173D1">
            <w:pPr>
              <w:jc w:val="both"/>
              <w:rPr>
                <w:rFonts w:ascii="Times New Roman" w:hAnsi="Times New Roman" w:cs="Times New Roman"/>
                <w:b/>
                <w:bCs/>
                <w:sz w:val="24"/>
                <w:szCs w:val="24"/>
              </w:rPr>
            </w:pPr>
            <w:r>
              <w:rPr>
                <w:rFonts w:ascii="Times New Roman" w:hAnsi="Times New Roman" w:cs="Times New Roman"/>
                <w:b/>
                <w:bCs/>
                <w:sz w:val="24"/>
                <w:szCs w:val="24"/>
              </w:rPr>
              <w:t>2,4-Di-tert-butylphenol</w:t>
            </w:r>
          </w:p>
          <w:p w14:paraId="622411FD">
            <w:pPr>
              <w:jc w:val="both"/>
              <w:rPr>
                <w:rFonts w:ascii="Times New Roman" w:hAnsi="Times New Roman" w:cs="Times New Roman"/>
                <w:b/>
                <w:bCs/>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823197D">
            <w:pPr>
              <w:jc w:val="both"/>
              <w:rPr>
                <w:rFonts w:ascii="Times New Roman" w:hAnsi="Times New Roman" w:cs="Times New Roman"/>
                <w:b/>
                <w:bCs/>
                <w:sz w:val="24"/>
                <w:szCs w:val="24"/>
              </w:rPr>
            </w:pPr>
            <w:r>
              <w:rPr>
                <w:rFonts w:ascii="Times New Roman" w:hAnsi="Times New Roman" w:cs="Times New Roman"/>
                <w:b/>
                <w:bCs/>
                <w:sz w:val="24"/>
                <w:szCs w:val="24"/>
              </w:rPr>
              <w:t>17.410</w:t>
            </w:r>
          </w:p>
        </w:tc>
        <w:tc>
          <w:tcPr>
            <w:tcW w:w="762" w:type="dxa"/>
            <w:tcBorders>
              <w:top w:val="single" w:color="auto" w:sz="4" w:space="0"/>
              <w:left w:val="single" w:color="auto" w:sz="4" w:space="0"/>
              <w:bottom w:val="single" w:color="auto" w:sz="4" w:space="0"/>
              <w:right w:val="single" w:color="auto" w:sz="4" w:space="0"/>
            </w:tcBorders>
          </w:tcPr>
          <w:p w14:paraId="4B6F7179">
            <w:pPr>
              <w:jc w:val="both"/>
              <w:rPr>
                <w:rFonts w:ascii="Times New Roman" w:hAnsi="Times New Roman" w:cs="Times New Roman"/>
                <w:b/>
                <w:bCs/>
                <w:sz w:val="24"/>
                <w:szCs w:val="24"/>
              </w:rPr>
            </w:pPr>
            <w:r>
              <w:rPr>
                <w:rFonts w:ascii="Times New Roman" w:hAnsi="Times New Roman" w:cs="Times New Roman"/>
                <w:b/>
                <w:bCs/>
                <w:sz w:val="24"/>
                <w:szCs w:val="24"/>
              </w:rPr>
              <w:t>0.64</w:t>
            </w:r>
          </w:p>
        </w:tc>
        <w:tc>
          <w:tcPr>
            <w:tcW w:w="1117" w:type="dxa"/>
            <w:tcBorders>
              <w:top w:val="single" w:color="auto" w:sz="4" w:space="0"/>
              <w:left w:val="single" w:color="auto" w:sz="4" w:space="0"/>
              <w:bottom w:val="single" w:color="auto" w:sz="4" w:space="0"/>
              <w:right w:val="single" w:color="auto" w:sz="4" w:space="0"/>
            </w:tcBorders>
          </w:tcPr>
          <w:p w14:paraId="55A97045">
            <w:pPr>
              <w:jc w:val="both"/>
              <w:rPr>
                <w:rFonts w:ascii="Times New Roman" w:hAnsi="Times New Roman" w:cs="Times New Roman"/>
                <w:b/>
                <w:bCs/>
                <w:sz w:val="24"/>
                <w:szCs w:val="24"/>
              </w:rPr>
            </w:pPr>
            <w:r>
              <w:rPr>
                <w:rFonts w:ascii="Times New Roman" w:hAnsi="Times New Roman" w:cs="Times New Roman"/>
                <w:b/>
                <w:bCs/>
                <w:sz w:val="24"/>
                <w:szCs w:val="24"/>
              </w:rPr>
              <w:t xml:space="preserve">Alkanol </w:t>
            </w:r>
          </w:p>
        </w:tc>
        <w:tc>
          <w:tcPr>
            <w:tcW w:w="1670" w:type="dxa"/>
            <w:tcBorders>
              <w:top w:val="single" w:color="auto" w:sz="4" w:space="0"/>
              <w:left w:val="single" w:color="auto" w:sz="4" w:space="0"/>
              <w:bottom w:val="single" w:color="auto" w:sz="4" w:space="0"/>
              <w:right w:val="single" w:color="auto" w:sz="4" w:space="0"/>
            </w:tcBorders>
          </w:tcPr>
          <w:p w14:paraId="3AC58704">
            <w:pPr>
              <w:jc w:val="both"/>
              <w:rPr>
                <w:rFonts w:ascii="Times New Roman" w:hAnsi="Times New Roman" w:cs="Times New Roman"/>
                <w:b/>
                <w:bCs/>
                <w:sz w:val="24"/>
                <w:szCs w:val="24"/>
              </w:rPr>
            </w:pPr>
            <w:r>
              <w:rPr>
                <w:rFonts w:ascii="Times New Roman" w:hAnsi="Times New Roman" w:cs="Times New Roman"/>
                <w:b/>
                <w:bCs/>
                <w:sz w:val="24"/>
                <w:szCs w:val="24"/>
              </w:rPr>
              <w:t>Antimicrobial, antioxidant, antibiofilm, anti-inflammatory</w:t>
            </w:r>
          </w:p>
        </w:tc>
        <w:tc>
          <w:tcPr>
            <w:tcW w:w="1155" w:type="dxa"/>
            <w:tcBorders>
              <w:top w:val="single" w:color="auto" w:sz="4" w:space="0"/>
              <w:left w:val="single" w:color="auto" w:sz="4" w:space="0"/>
              <w:bottom w:val="single" w:color="auto" w:sz="4" w:space="0"/>
              <w:right w:val="single" w:color="auto" w:sz="4" w:space="0"/>
            </w:tcBorders>
          </w:tcPr>
          <w:p w14:paraId="2884B57C">
            <w:pPr>
              <w:jc w:val="both"/>
            </w:pPr>
            <w:r>
              <w:t>Zhao (2020); Seenivasan (2022); Rouvier (2024)</w:t>
            </w:r>
          </w:p>
        </w:tc>
      </w:tr>
      <w:tr w14:paraId="2E1C7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5B1F84F2">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623" w:type="dxa"/>
            <w:tcBorders>
              <w:top w:val="single" w:color="auto" w:sz="4" w:space="0"/>
              <w:left w:val="single" w:color="auto" w:sz="4" w:space="0"/>
              <w:bottom w:val="single" w:color="auto" w:sz="4" w:space="0"/>
              <w:right w:val="single" w:color="auto" w:sz="4" w:space="0"/>
            </w:tcBorders>
          </w:tcPr>
          <w:p w14:paraId="278B12D0">
            <w:pPr>
              <w:jc w:val="both"/>
              <w:rPr>
                <w:rFonts w:ascii="Times New Roman" w:hAnsi="Times New Roman" w:cs="Times New Roman"/>
                <w:b/>
                <w:bCs/>
                <w:sz w:val="24"/>
                <w:szCs w:val="24"/>
              </w:rPr>
            </w:pPr>
            <w:r>
              <w:rPr>
                <w:rFonts w:ascii="Times New Roman" w:hAnsi="Times New Roman" w:cs="Times New Roman"/>
                <w:b/>
                <w:bCs/>
                <w:sz w:val="24"/>
                <w:szCs w:val="24"/>
              </w:rPr>
              <w:t xml:space="preserve">Dodecanoic acid </w:t>
            </w:r>
          </w:p>
        </w:tc>
        <w:tc>
          <w:tcPr>
            <w:tcW w:w="1326" w:type="dxa"/>
            <w:tcBorders>
              <w:top w:val="single" w:color="auto" w:sz="4" w:space="0"/>
              <w:left w:val="single" w:color="auto" w:sz="4" w:space="0"/>
              <w:bottom w:val="single" w:color="auto" w:sz="4" w:space="0"/>
              <w:right w:val="single" w:color="auto" w:sz="4" w:space="0"/>
            </w:tcBorders>
          </w:tcPr>
          <w:p w14:paraId="77F0E4C2">
            <w:pPr>
              <w:jc w:val="both"/>
              <w:rPr>
                <w:rFonts w:ascii="Times New Roman" w:hAnsi="Times New Roman" w:cs="Times New Roman"/>
                <w:b/>
                <w:bCs/>
                <w:sz w:val="24"/>
                <w:szCs w:val="24"/>
              </w:rPr>
            </w:pPr>
            <w:r>
              <w:rPr>
                <w:rFonts w:ascii="Times New Roman" w:hAnsi="Times New Roman" w:cs="Times New Roman"/>
                <w:b/>
                <w:bCs/>
                <w:sz w:val="24"/>
                <w:szCs w:val="24"/>
              </w:rPr>
              <w:t>19.249</w:t>
            </w:r>
          </w:p>
        </w:tc>
        <w:tc>
          <w:tcPr>
            <w:tcW w:w="762" w:type="dxa"/>
            <w:tcBorders>
              <w:top w:val="single" w:color="auto" w:sz="4" w:space="0"/>
              <w:left w:val="single" w:color="auto" w:sz="4" w:space="0"/>
              <w:bottom w:val="single" w:color="auto" w:sz="4" w:space="0"/>
              <w:right w:val="single" w:color="auto" w:sz="4" w:space="0"/>
            </w:tcBorders>
          </w:tcPr>
          <w:p w14:paraId="343C28FF">
            <w:pPr>
              <w:jc w:val="both"/>
              <w:rPr>
                <w:rFonts w:ascii="Times New Roman" w:hAnsi="Times New Roman" w:cs="Times New Roman"/>
                <w:b/>
                <w:bCs/>
                <w:sz w:val="24"/>
                <w:szCs w:val="24"/>
              </w:rPr>
            </w:pPr>
            <w:r>
              <w:rPr>
                <w:rFonts w:ascii="Times New Roman" w:hAnsi="Times New Roman" w:cs="Times New Roman"/>
                <w:b/>
                <w:bCs/>
                <w:sz w:val="24"/>
                <w:szCs w:val="24"/>
              </w:rPr>
              <w:t>16.24</w:t>
            </w:r>
          </w:p>
        </w:tc>
        <w:tc>
          <w:tcPr>
            <w:tcW w:w="1117" w:type="dxa"/>
            <w:tcBorders>
              <w:top w:val="single" w:color="auto" w:sz="4" w:space="0"/>
              <w:left w:val="single" w:color="auto" w:sz="4" w:space="0"/>
              <w:bottom w:val="single" w:color="auto" w:sz="4" w:space="0"/>
              <w:right w:val="single" w:color="auto" w:sz="4" w:space="0"/>
            </w:tcBorders>
          </w:tcPr>
          <w:p w14:paraId="1E51E01A">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color="auto" w:sz="4" w:space="0"/>
              <w:left w:val="single" w:color="auto" w:sz="4" w:space="0"/>
              <w:bottom w:val="single" w:color="auto" w:sz="4" w:space="0"/>
              <w:right w:val="single" w:color="auto" w:sz="4" w:space="0"/>
            </w:tcBorders>
          </w:tcPr>
          <w:p w14:paraId="5400E31F">
            <w:pPr>
              <w:jc w:val="both"/>
              <w:rPr>
                <w:rFonts w:ascii="Times New Roman" w:hAnsi="Times New Roman" w:cs="Times New Roman"/>
                <w:b/>
                <w:bCs/>
                <w:sz w:val="24"/>
                <w:szCs w:val="24"/>
              </w:rPr>
            </w:pPr>
            <w:r>
              <w:rPr>
                <w:rFonts w:ascii="Times New Roman" w:hAnsi="Times New Roman" w:cs="Times New Roman"/>
                <w:b/>
                <w:bCs/>
                <w:sz w:val="24"/>
                <w:szCs w:val="24"/>
              </w:rPr>
              <w:t>Antibacterial, antibiofilm, antiviral, food preservation</w:t>
            </w:r>
          </w:p>
        </w:tc>
        <w:tc>
          <w:tcPr>
            <w:tcW w:w="1155" w:type="dxa"/>
            <w:tcBorders>
              <w:top w:val="single" w:color="auto" w:sz="4" w:space="0"/>
              <w:left w:val="single" w:color="auto" w:sz="4" w:space="0"/>
              <w:bottom w:val="single" w:color="auto" w:sz="4" w:space="0"/>
              <w:right w:val="single" w:color="auto" w:sz="4" w:space="0"/>
            </w:tcBorders>
          </w:tcPr>
          <w:p w14:paraId="73367FEF">
            <w:pPr>
              <w:jc w:val="both"/>
              <w:rPr>
                <w:b/>
                <w:bCs/>
              </w:rPr>
            </w:pPr>
            <w:r>
              <w:rPr>
                <w:b/>
                <w:bCs/>
              </w:rPr>
              <w:t xml:space="preserve">Yang (2009); Huang </w:t>
            </w:r>
            <w:r>
              <w:rPr>
                <w:rFonts w:ascii="Times New Roman" w:hAnsi="Times New Roman" w:cs="Times New Roman"/>
                <w:b/>
                <w:bCs/>
                <w:sz w:val="24"/>
                <w:szCs w:val="24"/>
              </w:rPr>
              <w:t>4</w:t>
            </w:r>
            <w:r>
              <w:rPr>
                <w:b/>
                <w:bCs/>
              </w:rPr>
              <w:t>(2014); Qingyan (2024)</w:t>
            </w:r>
          </w:p>
        </w:tc>
      </w:tr>
      <w:tr w14:paraId="32F7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00593C6F">
            <w:pPr>
              <w:jc w:val="both"/>
              <w:rPr>
                <w:rFonts w:ascii="Times New Roman" w:hAnsi="Times New Roman" w:cs="Times New Roman"/>
                <w:b/>
                <w:bCs/>
                <w:sz w:val="24"/>
                <w:szCs w:val="24"/>
              </w:rPr>
            </w:pPr>
          </w:p>
        </w:tc>
        <w:tc>
          <w:tcPr>
            <w:tcW w:w="3623" w:type="dxa"/>
            <w:tcBorders>
              <w:top w:val="single" w:color="auto" w:sz="4" w:space="0"/>
              <w:left w:val="single" w:color="auto" w:sz="4" w:space="0"/>
              <w:bottom w:val="single" w:color="auto" w:sz="4" w:space="0"/>
              <w:right w:val="single" w:color="auto" w:sz="4" w:space="0"/>
            </w:tcBorders>
          </w:tcPr>
          <w:p w14:paraId="675EA684">
            <w:pPr>
              <w:jc w:val="both"/>
              <w:rPr>
                <w:rFonts w:ascii="Times New Roman" w:hAnsi="Times New Roman" w:cs="Times New Roman"/>
                <w:b/>
                <w:bCs/>
                <w:sz w:val="24"/>
                <w:szCs w:val="24"/>
              </w:rPr>
            </w:pPr>
            <w:r>
              <w:rPr>
                <w:rFonts w:ascii="Times New Roman" w:hAnsi="Times New Roman" w:cs="Times New Roman"/>
                <w:b/>
                <w:bCs/>
                <w:sz w:val="24"/>
                <w:szCs w:val="24"/>
              </w:rPr>
              <w:t>Z-8-Hexadecene 4-Heptafluorobutyryloxyhexadecane</w:t>
            </w:r>
          </w:p>
          <w:p w14:paraId="45F30712">
            <w:pPr>
              <w:jc w:val="both"/>
              <w:rPr>
                <w:rFonts w:ascii="Times New Roman" w:hAnsi="Times New Roman" w:cs="Times New Roman"/>
                <w:b/>
                <w:bCs/>
                <w:sz w:val="24"/>
                <w:szCs w:val="24"/>
              </w:rPr>
            </w:pPr>
            <w:r>
              <w:rPr>
                <w:rFonts w:ascii="Times New Roman" w:hAnsi="Times New Roman" w:cs="Times New Roman"/>
                <w:b/>
                <w:bCs/>
                <w:sz w:val="24"/>
                <w:szCs w:val="24"/>
              </w:rPr>
              <w:t xml:space="preserve">Cetene </w:t>
            </w:r>
          </w:p>
        </w:tc>
        <w:tc>
          <w:tcPr>
            <w:tcW w:w="1326" w:type="dxa"/>
            <w:tcBorders>
              <w:top w:val="single" w:color="auto" w:sz="4" w:space="0"/>
              <w:left w:val="single" w:color="auto" w:sz="4" w:space="0"/>
              <w:bottom w:val="single" w:color="auto" w:sz="4" w:space="0"/>
              <w:right w:val="single" w:color="auto" w:sz="4" w:space="0"/>
            </w:tcBorders>
          </w:tcPr>
          <w:p w14:paraId="008CA33B">
            <w:pPr>
              <w:jc w:val="both"/>
              <w:rPr>
                <w:rFonts w:ascii="Times New Roman" w:hAnsi="Times New Roman" w:cs="Times New Roman"/>
                <w:b/>
                <w:bCs/>
                <w:sz w:val="24"/>
                <w:szCs w:val="24"/>
              </w:rPr>
            </w:pPr>
            <w:r>
              <w:rPr>
                <w:rFonts w:ascii="Times New Roman" w:hAnsi="Times New Roman" w:cs="Times New Roman"/>
                <w:b/>
                <w:bCs/>
                <w:sz w:val="24"/>
                <w:szCs w:val="24"/>
              </w:rPr>
              <w:t>19.565</w:t>
            </w:r>
          </w:p>
        </w:tc>
        <w:tc>
          <w:tcPr>
            <w:tcW w:w="762" w:type="dxa"/>
            <w:tcBorders>
              <w:top w:val="single" w:color="auto" w:sz="4" w:space="0"/>
              <w:left w:val="single" w:color="auto" w:sz="4" w:space="0"/>
              <w:bottom w:val="single" w:color="auto" w:sz="4" w:space="0"/>
              <w:right w:val="single" w:color="auto" w:sz="4" w:space="0"/>
            </w:tcBorders>
          </w:tcPr>
          <w:p w14:paraId="0A4EF077">
            <w:pPr>
              <w:jc w:val="both"/>
              <w:rPr>
                <w:rFonts w:ascii="Times New Roman" w:hAnsi="Times New Roman" w:cs="Times New Roman"/>
                <w:b/>
                <w:bCs/>
                <w:sz w:val="24"/>
                <w:szCs w:val="24"/>
              </w:rPr>
            </w:pPr>
            <w:r>
              <w:rPr>
                <w:rFonts w:ascii="Times New Roman" w:hAnsi="Times New Roman" w:cs="Times New Roman"/>
                <w:b/>
                <w:bCs/>
                <w:sz w:val="24"/>
                <w:szCs w:val="24"/>
              </w:rPr>
              <w:t>2.13</w:t>
            </w:r>
          </w:p>
        </w:tc>
        <w:tc>
          <w:tcPr>
            <w:tcW w:w="1117" w:type="dxa"/>
            <w:tcBorders>
              <w:top w:val="single" w:color="auto" w:sz="4" w:space="0"/>
              <w:left w:val="single" w:color="auto" w:sz="4" w:space="0"/>
              <w:bottom w:val="single" w:color="auto" w:sz="4" w:space="0"/>
              <w:right w:val="single" w:color="auto" w:sz="4" w:space="0"/>
            </w:tcBorders>
          </w:tcPr>
          <w:p w14:paraId="6EC26A8F">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color="auto" w:sz="4" w:space="0"/>
              <w:left w:val="single" w:color="auto" w:sz="4" w:space="0"/>
              <w:bottom w:val="single" w:color="auto" w:sz="4" w:space="0"/>
              <w:right w:val="single" w:color="auto" w:sz="4" w:space="0"/>
            </w:tcBorders>
          </w:tcPr>
          <w:p w14:paraId="506EADC8">
            <w:pPr>
              <w:jc w:val="both"/>
              <w:rPr>
                <w:rFonts w:ascii="Times New Roman" w:hAnsi="Times New Roman" w:cs="Times New Roman"/>
                <w:b/>
                <w:bCs/>
                <w:sz w:val="24"/>
                <w:szCs w:val="24"/>
              </w:rPr>
            </w:pPr>
            <w:r>
              <w:rPr>
                <w:rFonts w:ascii="Times New Roman" w:hAnsi="Times New Roman" w:cs="Times New Roman"/>
                <w:b/>
                <w:bCs/>
                <w:sz w:val="24"/>
                <w:szCs w:val="24"/>
              </w:rPr>
              <w:t xml:space="preserve">Antimicrobial </w:t>
            </w:r>
          </w:p>
        </w:tc>
        <w:tc>
          <w:tcPr>
            <w:tcW w:w="1155" w:type="dxa"/>
            <w:tcBorders>
              <w:top w:val="single" w:color="auto" w:sz="4" w:space="0"/>
              <w:left w:val="single" w:color="auto" w:sz="4" w:space="0"/>
              <w:bottom w:val="single" w:color="auto" w:sz="4" w:space="0"/>
              <w:right w:val="single" w:color="auto" w:sz="4" w:space="0"/>
            </w:tcBorders>
          </w:tcPr>
          <w:p w14:paraId="532CD31D">
            <w:pPr>
              <w:jc w:val="both"/>
            </w:pPr>
            <w:r>
              <w:t xml:space="preserve">Strobel </w:t>
            </w:r>
            <w:r>
              <w:rPr>
                <w:i/>
                <w:iCs/>
              </w:rPr>
              <w:t>et</w:t>
            </w:r>
            <w:r>
              <w:t xml:space="preserve"> </w:t>
            </w:r>
            <w:r>
              <w:rPr>
                <w:i/>
                <w:iCs/>
              </w:rPr>
              <w:t>al</w:t>
            </w:r>
            <w:r>
              <w:t>., 2010</w:t>
            </w:r>
          </w:p>
        </w:tc>
      </w:tr>
      <w:tr w14:paraId="5BE3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61DA33B0">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623" w:type="dxa"/>
            <w:tcBorders>
              <w:top w:val="single" w:color="auto" w:sz="4" w:space="0"/>
              <w:left w:val="single" w:color="auto" w:sz="4" w:space="0"/>
              <w:bottom w:val="single" w:color="auto" w:sz="4" w:space="0"/>
              <w:right w:val="single" w:color="auto" w:sz="4" w:space="0"/>
            </w:tcBorders>
          </w:tcPr>
          <w:p w14:paraId="31CBAFA0">
            <w:pPr>
              <w:jc w:val="both"/>
              <w:rPr>
                <w:rFonts w:ascii="Times New Roman" w:hAnsi="Times New Roman" w:cs="Times New Roman"/>
                <w:b/>
                <w:bCs/>
                <w:sz w:val="24"/>
                <w:szCs w:val="24"/>
              </w:rPr>
            </w:pPr>
            <w:r>
              <w:rPr>
                <w:rFonts w:ascii="Times New Roman" w:hAnsi="Times New Roman" w:cs="Times New Roman"/>
                <w:b/>
                <w:bCs/>
                <w:sz w:val="24"/>
                <w:szCs w:val="24"/>
              </w:rPr>
              <w:t>2-Tetradecene, (E)-4-</w:t>
            </w:r>
          </w:p>
          <w:p w14:paraId="40F191A9">
            <w:pPr>
              <w:jc w:val="both"/>
              <w:rPr>
                <w:rFonts w:ascii="Times New Roman" w:hAnsi="Times New Roman" w:cs="Times New Roman"/>
                <w:b/>
                <w:bCs/>
                <w:sz w:val="24"/>
                <w:szCs w:val="24"/>
              </w:rPr>
            </w:pPr>
            <w:r>
              <w:rPr>
                <w:rFonts w:ascii="Times New Roman" w:hAnsi="Times New Roman" w:cs="Times New Roman"/>
                <w:b/>
                <w:bCs/>
                <w:sz w:val="24"/>
                <w:szCs w:val="24"/>
              </w:rPr>
              <w:t>Tetradecene, (Z)-</w:t>
            </w:r>
          </w:p>
          <w:p w14:paraId="3C1148E7">
            <w:pPr>
              <w:jc w:val="both"/>
              <w:rPr>
                <w:rFonts w:ascii="Times New Roman" w:hAnsi="Times New Roman" w:cs="Times New Roman"/>
                <w:b/>
                <w:bCs/>
                <w:sz w:val="24"/>
                <w:szCs w:val="24"/>
              </w:rPr>
            </w:pPr>
            <w:r>
              <w:rPr>
                <w:rFonts w:ascii="Times New Roman" w:hAnsi="Times New Roman" w:cs="Times New Roman"/>
                <w:b/>
                <w:bCs/>
                <w:sz w:val="24"/>
                <w:szCs w:val="24"/>
              </w:rPr>
              <w:t xml:space="preserve">Cyclohexadecane </w:t>
            </w:r>
          </w:p>
        </w:tc>
        <w:tc>
          <w:tcPr>
            <w:tcW w:w="1326" w:type="dxa"/>
            <w:tcBorders>
              <w:top w:val="single" w:color="auto" w:sz="4" w:space="0"/>
              <w:left w:val="single" w:color="auto" w:sz="4" w:space="0"/>
              <w:bottom w:val="single" w:color="auto" w:sz="4" w:space="0"/>
              <w:right w:val="single" w:color="auto" w:sz="4" w:space="0"/>
            </w:tcBorders>
          </w:tcPr>
          <w:p w14:paraId="69C9087A">
            <w:pPr>
              <w:jc w:val="both"/>
              <w:rPr>
                <w:rFonts w:ascii="Times New Roman" w:hAnsi="Times New Roman" w:cs="Times New Roman"/>
                <w:b/>
                <w:bCs/>
                <w:sz w:val="24"/>
                <w:szCs w:val="24"/>
              </w:rPr>
            </w:pPr>
            <w:r>
              <w:rPr>
                <w:rFonts w:ascii="Times New Roman" w:hAnsi="Times New Roman" w:cs="Times New Roman"/>
                <w:b/>
                <w:bCs/>
                <w:sz w:val="24"/>
                <w:szCs w:val="24"/>
              </w:rPr>
              <w:t>19.692</w:t>
            </w:r>
          </w:p>
        </w:tc>
        <w:tc>
          <w:tcPr>
            <w:tcW w:w="762" w:type="dxa"/>
            <w:tcBorders>
              <w:top w:val="single" w:color="auto" w:sz="4" w:space="0"/>
              <w:left w:val="single" w:color="auto" w:sz="4" w:space="0"/>
              <w:bottom w:val="single" w:color="auto" w:sz="4" w:space="0"/>
              <w:right w:val="single" w:color="auto" w:sz="4" w:space="0"/>
            </w:tcBorders>
          </w:tcPr>
          <w:p w14:paraId="66416D0E">
            <w:pPr>
              <w:jc w:val="both"/>
              <w:rPr>
                <w:rFonts w:ascii="Times New Roman" w:hAnsi="Times New Roman" w:cs="Times New Roman"/>
                <w:b/>
                <w:bCs/>
                <w:sz w:val="24"/>
                <w:szCs w:val="24"/>
              </w:rPr>
            </w:pPr>
            <w:r>
              <w:rPr>
                <w:rFonts w:ascii="Times New Roman" w:hAnsi="Times New Roman" w:cs="Times New Roman"/>
                <w:b/>
                <w:bCs/>
                <w:sz w:val="24"/>
                <w:szCs w:val="24"/>
              </w:rPr>
              <w:t>0.67</w:t>
            </w:r>
          </w:p>
        </w:tc>
        <w:tc>
          <w:tcPr>
            <w:tcW w:w="1117" w:type="dxa"/>
            <w:tcBorders>
              <w:top w:val="single" w:color="auto" w:sz="4" w:space="0"/>
              <w:left w:val="single" w:color="auto" w:sz="4" w:space="0"/>
              <w:bottom w:val="single" w:color="auto" w:sz="4" w:space="0"/>
              <w:right w:val="single" w:color="auto" w:sz="4" w:space="0"/>
            </w:tcBorders>
          </w:tcPr>
          <w:p w14:paraId="714E5DAE">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color="auto" w:sz="4" w:space="0"/>
              <w:left w:val="single" w:color="auto" w:sz="4" w:space="0"/>
              <w:bottom w:val="single" w:color="auto" w:sz="4" w:space="0"/>
              <w:right w:val="single" w:color="auto" w:sz="4" w:space="0"/>
            </w:tcBorders>
          </w:tcPr>
          <w:p w14:paraId="0EAB9116">
            <w:pPr>
              <w:jc w:val="both"/>
              <w:rPr>
                <w:rFonts w:ascii="Times New Roman" w:hAnsi="Times New Roman" w:cs="Times New Roman"/>
                <w:b/>
                <w:bCs/>
                <w:sz w:val="24"/>
                <w:szCs w:val="24"/>
              </w:rPr>
            </w:pPr>
            <w:r>
              <w:rPr>
                <w:rFonts w:ascii="Times New Roman" w:hAnsi="Times New Roman" w:cs="Times New Roman"/>
                <w:b/>
                <w:bCs/>
                <w:sz w:val="24"/>
                <w:szCs w:val="24"/>
              </w:rPr>
              <w:t>_</w:t>
            </w:r>
          </w:p>
        </w:tc>
        <w:tc>
          <w:tcPr>
            <w:tcW w:w="1155" w:type="dxa"/>
            <w:tcBorders>
              <w:top w:val="single" w:color="auto" w:sz="4" w:space="0"/>
              <w:left w:val="single" w:color="auto" w:sz="4" w:space="0"/>
              <w:bottom w:val="single" w:color="auto" w:sz="4" w:space="0"/>
              <w:right w:val="single" w:color="auto" w:sz="4" w:space="0"/>
            </w:tcBorders>
          </w:tcPr>
          <w:p w14:paraId="51710F61">
            <w:pPr>
              <w:jc w:val="both"/>
            </w:pPr>
            <w:r>
              <w:t>_</w:t>
            </w:r>
          </w:p>
        </w:tc>
      </w:tr>
      <w:tr w14:paraId="0C1C2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449CF5E9">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623" w:type="dxa"/>
            <w:tcBorders>
              <w:top w:val="single" w:color="auto" w:sz="4" w:space="0"/>
              <w:left w:val="single" w:color="auto" w:sz="4" w:space="0"/>
              <w:bottom w:val="single" w:color="auto" w:sz="4" w:space="0"/>
              <w:right w:val="single" w:color="auto" w:sz="4" w:space="0"/>
            </w:tcBorders>
          </w:tcPr>
          <w:p w14:paraId="20100B11">
            <w:pPr>
              <w:jc w:val="both"/>
              <w:rPr>
                <w:rFonts w:ascii="Times New Roman" w:hAnsi="Times New Roman" w:cs="Times New Roman"/>
                <w:b/>
                <w:bCs/>
                <w:sz w:val="24"/>
                <w:szCs w:val="24"/>
              </w:rPr>
            </w:pPr>
            <w:r>
              <w:rPr>
                <w:rFonts w:ascii="Times New Roman" w:hAnsi="Times New Roman" w:cs="Times New Roman"/>
                <w:b/>
                <w:bCs/>
                <w:sz w:val="24"/>
                <w:szCs w:val="24"/>
              </w:rPr>
              <w:t>Hexadecane</w:t>
            </w:r>
          </w:p>
        </w:tc>
        <w:tc>
          <w:tcPr>
            <w:tcW w:w="1326" w:type="dxa"/>
            <w:tcBorders>
              <w:top w:val="single" w:color="auto" w:sz="4" w:space="0"/>
              <w:left w:val="single" w:color="auto" w:sz="4" w:space="0"/>
              <w:bottom w:val="single" w:color="auto" w:sz="4" w:space="0"/>
              <w:right w:val="single" w:color="auto" w:sz="4" w:space="0"/>
            </w:tcBorders>
          </w:tcPr>
          <w:p w14:paraId="4A4011AE">
            <w:pPr>
              <w:jc w:val="both"/>
              <w:rPr>
                <w:rFonts w:ascii="Times New Roman" w:hAnsi="Times New Roman" w:cs="Times New Roman"/>
                <w:b/>
                <w:bCs/>
                <w:sz w:val="24"/>
                <w:szCs w:val="24"/>
              </w:rPr>
            </w:pPr>
            <w:r>
              <w:rPr>
                <w:rFonts w:ascii="Times New Roman" w:hAnsi="Times New Roman" w:cs="Times New Roman"/>
                <w:b/>
                <w:bCs/>
                <w:sz w:val="24"/>
                <w:szCs w:val="24"/>
              </w:rPr>
              <w:t>19.809</w:t>
            </w:r>
          </w:p>
        </w:tc>
        <w:tc>
          <w:tcPr>
            <w:tcW w:w="762" w:type="dxa"/>
            <w:tcBorders>
              <w:top w:val="single" w:color="auto" w:sz="4" w:space="0"/>
              <w:left w:val="single" w:color="auto" w:sz="4" w:space="0"/>
              <w:bottom w:val="single" w:color="auto" w:sz="4" w:space="0"/>
              <w:right w:val="single" w:color="auto" w:sz="4" w:space="0"/>
            </w:tcBorders>
          </w:tcPr>
          <w:p w14:paraId="67715914">
            <w:pPr>
              <w:jc w:val="both"/>
              <w:rPr>
                <w:rFonts w:ascii="Times New Roman" w:hAnsi="Times New Roman" w:cs="Times New Roman"/>
                <w:b/>
                <w:bCs/>
                <w:sz w:val="24"/>
                <w:szCs w:val="24"/>
              </w:rPr>
            </w:pPr>
            <w:r>
              <w:rPr>
                <w:rFonts w:ascii="Times New Roman" w:hAnsi="Times New Roman" w:cs="Times New Roman"/>
                <w:b/>
                <w:bCs/>
                <w:sz w:val="24"/>
                <w:szCs w:val="24"/>
              </w:rPr>
              <w:t>2.29</w:t>
            </w:r>
          </w:p>
        </w:tc>
        <w:tc>
          <w:tcPr>
            <w:tcW w:w="1117" w:type="dxa"/>
            <w:tcBorders>
              <w:top w:val="single" w:color="auto" w:sz="4" w:space="0"/>
              <w:left w:val="single" w:color="auto" w:sz="4" w:space="0"/>
              <w:bottom w:val="single" w:color="auto" w:sz="4" w:space="0"/>
              <w:right w:val="single" w:color="auto" w:sz="4" w:space="0"/>
            </w:tcBorders>
          </w:tcPr>
          <w:p w14:paraId="226AEBCD">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color="auto" w:sz="4" w:space="0"/>
              <w:left w:val="single" w:color="auto" w:sz="4" w:space="0"/>
              <w:bottom w:val="single" w:color="auto" w:sz="4" w:space="0"/>
              <w:right w:val="single" w:color="auto" w:sz="4" w:space="0"/>
            </w:tcBorders>
          </w:tcPr>
          <w:p w14:paraId="54FA0BF9">
            <w:pPr>
              <w:jc w:val="both"/>
              <w:rPr>
                <w:rFonts w:ascii="Times New Roman" w:hAnsi="Times New Roman" w:cs="Times New Roman"/>
                <w:b/>
                <w:bCs/>
                <w:sz w:val="24"/>
                <w:szCs w:val="24"/>
              </w:rPr>
            </w:pPr>
            <w:r>
              <w:rPr>
                <w:rFonts w:ascii="Times New Roman" w:hAnsi="Times New Roman" w:cs="Times New Roman"/>
                <w:b/>
                <w:bCs/>
                <w:sz w:val="24"/>
                <w:szCs w:val="24"/>
              </w:rPr>
              <w:t>Antifungal, antibacterial, antioxidant, Cytotoxicity, antipyretic, anthelmintic, anti-inflammatory, antidiarrheal, antidiabetic</w:t>
            </w:r>
          </w:p>
        </w:tc>
        <w:tc>
          <w:tcPr>
            <w:tcW w:w="1155" w:type="dxa"/>
            <w:tcBorders>
              <w:top w:val="single" w:color="auto" w:sz="4" w:space="0"/>
              <w:left w:val="single" w:color="auto" w:sz="4" w:space="0"/>
              <w:bottom w:val="single" w:color="auto" w:sz="4" w:space="0"/>
              <w:right w:val="single" w:color="auto" w:sz="4" w:space="0"/>
            </w:tcBorders>
          </w:tcPr>
          <w:p w14:paraId="733B2B5E">
            <w:pPr>
              <w:jc w:val="both"/>
            </w:pPr>
            <w:r>
              <w:t>Faridha et al., 2016; Banakar &amp; Jayaraj, 2018</w:t>
            </w:r>
          </w:p>
        </w:tc>
      </w:tr>
      <w:tr w14:paraId="1063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7C199C7D">
            <w:pPr>
              <w:jc w:val="both"/>
              <w:rPr>
                <w:rFonts w:ascii="Times New Roman" w:hAnsi="Times New Roman" w:cs="Times New Roman"/>
                <w:b/>
                <w:bCs/>
                <w:sz w:val="24"/>
                <w:szCs w:val="24"/>
              </w:rPr>
            </w:pPr>
            <w:r>
              <w:rPr>
                <w:rFonts w:ascii="Times New Roman" w:hAnsi="Times New Roman" w:cs="Times New Roman"/>
                <w:b/>
                <w:bCs/>
                <w:sz w:val="24"/>
                <w:szCs w:val="24"/>
              </w:rPr>
              <w:t>7</w:t>
            </w:r>
          </w:p>
        </w:tc>
        <w:tc>
          <w:tcPr>
            <w:tcW w:w="3623" w:type="dxa"/>
            <w:tcBorders>
              <w:top w:val="single" w:color="auto" w:sz="4" w:space="0"/>
              <w:left w:val="single" w:color="auto" w:sz="4" w:space="0"/>
              <w:bottom w:val="single" w:color="auto" w:sz="4" w:space="0"/>
              <w:right w:val="single" w:color="auto" w:sz="4" w:space="0"/>
            </w:tcBorders>
          </w:tcPr>
          <w:p w14:paraId="08434150">
            <w:pPr>
              <w:jc w:val="both"/>
              <w:rPr>
                <w:rFonts w:ascii="Times New Roman" w:hAnsi="Times New Roman" w:cs="Times New Roman"/>
                <w:b/>
                <w:bCs/>
                <w:sz w:val="24"/>
                <w:szCs w:val="24"/>
              </w:rPr>
            </w:pPr>
            <w:r>
              <w:rPr>
                <w:rFonts w:ascii="Times New Roman" w:hAnsi="Times New Roman" w:cs="Times New Roman"/>
                <w:b/>
                <w:bCs/>
                <w:sz w:val="24"/>
                <w:szCs w:val="24"/>
              </w:rPr>
              <w:t xml:space="preserve">Dodecyl acrylate </w:t>
            </w:r>
          </w:p>
          <w:p w14:paraId="18438E51">
            <w:pPr>
              <w:jc w:val="both"/>
              <w:rPr>
                <w:rFonts w:ascii="Times New Roman" w:hAnsi="Times New Roman" w:cs="Times New Roman"/>
                <w:b/>
                <w:bCs/>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A68F511">
            <w:pPr>
              <w:jc w:val="both"/>
              <w:rPr>
                <w:rFonts w:ascii="Times New Roman" w:hAnsi="Times New Roman" w:cs="Times New Roman"/>
                <w:b/>
                <w:bCs/>
                <w:sz w:val="24"/>
                <w:szCs w:val="24"/>
              </w:rPr>
            </w:pPr>
            <w:r>
              <w:rPr>
                <w:rFonts w:ascii="Times New Roman" w:hAnsi="Times New Roman" w:cs="Times New Roman"/>
                <w:b/>
                <w:bCs/>
                <w:sz w:val="24"/>
                <w:szCs w:val="24"/>
              </w:rPr>
              <w:t>21.542</w:t>
            </w:r>
          </w:p>
        </w:tc>
        <w:tc>
          <w:tcPr>
            <w:tcW w:w="762" w:type="dxa"/>
            <w:tcBorders>
              <w:top w:val="single" w:color="auto" w:sz="4" w:space="0"/>
              <w:left w:val="single" w:color="auto" w:sz="4" w:space="0"/>
              <w:bottom w:val="single" w:color="auto" w:sz="4" w:space="0"/>
              <w:right w:val="single" w:color="auto" w:sz="4" w:space="0"/>
            </w:tcBorders>
          </w:tcPr>
          <w:p w14:paraId="7B7CE4D4">
            <w:pPr>
              <w:jc w:val="both"/>
              <w:rPr>
                <w:rFonts w:ascii="Times New Roman" w:hAnsi="Times New Roman" w:cs="Times New Roman"/>
                <w:b/>
                <w:bCs/>
                <w:sz w:val="24"/>
                <w:szCs w:val="24"/>
              </w:rPr>
            </w:pPr>
            <w:r>
              <w:rPr>
                <w:rFonts w:ascii="Times New Roman" w:hAnsi="Times New Roman" w:cs="Times New Roman"/>
                <w:b/>
                <w:bCs/>
                <w:sz w:val="24"/>
                <w:szCs w:val="24"/>
              </w:rPr>
              <w:t>0.43</w:t>
            </w:r>
          </w:p>
        </w:tc>
        <w:tc>
          <w:tcPr>
            <w:tcW w:w="1117" w:type="dxa"/>
            <w:tcBorders>
              <w:top w:val="single" w:color="auto" w:sz="4" w:space="0"/>
              <w:left w:val="single" w:color="auto" w:sz="4" w:space="0"/>
              <w:bottom w:val="single" w:color="auto" w:sz="4" w:space="0"/>
              <w:right w:val="single" w:color="auto" w:sz="4" w:space="0"/>
            </w:tcBorders>
          </w:tcPr>
          <w:p w14:paraId="62F749DD">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color="auto" w:sz="4" w:space="0"/>
              <w:left w:val="single" w:color="auto" w:sz="4" w:space="0"/>
              <w:bottom w:val="single" w:color="auto" w:sz="4" w:space="0"/>
              <w:right w:val="single" w:color="auto" w:sz="4" w:space="0"/>
            </w:tcBorders>
          </w:tcPr>
          <w:p w14:paraId="3E2F8DF1">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antifungal </w:t>
            </w:r>
          </w:p>
        </w:tc>
        <w:tc>
          <w:tcPr>
            <w:tcW w:w="1155" w:type="dxa"/>
            <w:tcBorders>
              <w:top w:val="single" w:color="auto" w:sz="4" w:space="0"/>
              <w:left w:val="single" w:color="auto" w:sz="4" w:space="0"/>
              <w:bottom w:val="single" w:color="auto" w:sz="4" w:space="0"/>
              <w:right w:val="single" w:color="auto" w:sz="4" w:space="0"/>
            </w:tcBorders>
          </w:tcPr>
          <w:p w14:paraId="60268B5B">
            <w:pPr>
              <w:jc w:val="both"/>
            </w:pPr>
            <w:r>
              <w:t xml:space="preserve">Awan </w:t>
            </w:r>
            <w:r>
              <w:rPr>
                <w:i/>
                <w:iCs/>
              </w:rPr>
              <w:t>et</w:t>
            </w:r>
            <w:r>
              <w:t xml:space="preserve"> </w:t>
            </w:r>
            <w:r>
              <w:rPr>
                <w:i/>
                <w:iCs/>
              </w:rPr>
              <w:t>al</w:t>
            </w:r>
            <w:r>
              <w:t xml:space="preserve">., 2023; Fahem </w:t>
            </w:r>
            <w:r>
              <w:rPr>
                <w:i/>
                <w:iCs/>
              </w:rPr>
              <w:t>et</w:t>
            </w:r>
            <w:r>
              <w:t xml:space="preserve"> </w:t>
            </w:r>
            <w:r>
              <w:rPr>
                <w:i/>
                <w:iCs/>
              </w:rPr>
              <w:t>al</w:t>
            </w:r>
            <w:r>
              <w:t>., 2020</w:t>
            </w:r>
          </w:p>
        </w:tc>
      </w:tr>
      <w:tr w14:paraId="2E6AD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4E4B1AC0">
            <w:pPr>
              <w:jc w:val="both"/>
              <w:rPr>
                <w:rFonts w:ascii="Times New Roman" w:hAnsi="Times New Roman" w:cs="Times New Roman"/>
                <w:b/>
                <w:bCs/>
                <w:sz w:val="24"/>
                <w:szCs w:val="24"/>
              </w:rPr>
            </w:pPr>
            <w:r>
              <w:rPr>
                <w:rFonts w:ascii="Times New Roman" w:hAnsi="Times New Roman" w:cs="Times New Roman"/>
                <w:b/>
                <w:bCs/>
                <w:sz w:val="24"/>
                <w:szCs w:val="24"/>
              </w:rPr>
              <w:t>8</w:t>
            </w:r>
          </w:p>
        </w:tc>
        <w:tc>
          <w:tcPr>
            <w:tcW w:w="3623" w:type="dxa"/>
            <w:tcBorders>
              <w:top w:val="single" w:color="auto" w:sz="4" w:space="0"/>
              <w:left w:val="single" w:color="auto" w:sz="4" w:space="0"/>
              <w:bottom w:val="single" w:color="auto" w:sz="4" w:space="0"/>
              <w:right w:val="single" w:color="auto" w:sz="4" w:space="0"/>
            </w:tcBorders>
          </w:tcPr>
          <w:p w14:paraId="0165807F">
            <w:pPr>
              <w:jc w:val="both"/>
              <w:rPr>
                <w:rFonts w:ascii="Times New Roman" w:hAnsi="Times New Roman" w:cs="Times New Roman"/>
                <w:b/>
                <w:bCs/>
                <w:sz w:val="24"/>
                <w:szCs w:val="24"/>
              </w:rPr>
            </w:pPr>
            <w:r>
              <w:rPr>
                <w:rFonts w:ascii="Times New Roman" w:hAnsi="Times New Roman" w:cs="Times New Roman"/>
                <w:b/>
                <w:bCs/>
                <w:sz w:val="24"/>
                <w:szCs w:val="24"/>
              </w:rPr>
              <w:t xml:space="preserve">Tetradecanoic acid </w:t>
            </w:r>
          </w:p>
        </w:tc>
        <w:tc>
          <w:tcPr>
            <w:tcW w:w="1326" w:type="dxa"/>
            <w:tcBorders>
              <w:top w:val="single" w:color="auto" w:sz="4" w:space="0"/>
              <w:left w:val="single" w:color="auto" w:sz="4" w:space="0"/>
              <w:bottom w:val="single" w:color="auto" w:sz="4" w:space="0"/>
              <w:right w:val="single" w:color="auto" w:sz="4" w:space="0"/>
            </w:tcBorders>
          </w:tcPr>
          <w:p w14:paraId="69F55FBA">
            <w:pPr>
              <w:jc w:val="both"/>
              <w:rPr>
                <w:rFonts w:ascii="Times New Roman" w:hAnsi="Times New Roman" w:cs="Times New Roman"/>
                <w:b/>
                <w:bCs/>
                <w:sz w:val="24"/>
                <w:szCs w:val="24"/>
              </w:rPr>
            </w:pPr>
            <w:r>
              <w:rPr>
                <w:rFonts w:ascii="Times New Roman" w:hAnsi="Times New Roman" w:cs="Times New Roman"/>
                <w:b/>
                <w:bCs/>
                <w:sz w:val="24"/>
                <w:szCs w:val="24"/>
              </w:rPr>
              <w:t>23.490</w:t>
            </w:r>
          </w:p>
        </w:tc>
        <w:tc>
          <w:tcPr>
            <w:tcW w:w="762" w:type="dxa"/>
            <w:tcBorders>
              <w:top w:val="single" w:color="auto" w:sz="4" w:space="0"/>
              <w:left w:val="single" w:color="auto" w:sz="4" w:space="0"/>
              <w:bottom w:val="single" w:color="auto" w:sz="4" w:space="0"/>
              <w:right w:val="single" w:color="auto" w:sz="4" w:space="0"/>
            </w:tcBorders>
          </w:tcPr>
          <w:p w14:paraId="10C2B923">
            <w:pPr>
              <w:jc w:val="both"/>
              <w:rPr>
                <w:rFonts w:ascii="Times New Roman" w:hAnsi="Times New Roman" w:cs="Times New Roman"/>
                <w:b/>
                <w:bCs/>
                <w:sz w:val="24"/>
                <w:szCs w:val="24"/>
              </w:rPr>
            </w:pPr>
            <w:r>
              <w:rPr>
                <w:rFonts w:ascii="Times New Roman" w:hAnsi="Times New Roman" w:cs="Times New Roman"/>
                <w:b/>
                <w:bCs/>
                <w:sz w:val="24"/>
                <w:szCs w:val="24"/>
              </w:rPr>
              <w:t>2.47</w:t>
            </w:r>
          </w:p>
        </w:tc>
        <w:tc>
          <w:tcPr>
            <w:tcW w:w="1117" w:type="dxa"/>
            <w:tcBorders>
              <w:top w:val="single" w:color="auto" w:sz="4" w:space="0"/>
              <w:left w:val="single" w:color="auto" w:sz="4" w:space="0"/>
              <w:bottom w:val="single" w:color="auto" w:sz="4" w:space="0"/>
              <w:right w:val="single" w:color="auto" w:sz="4" w:space="0"/>
            </w:tcBorders>
          </w:tcPr>
          <w:p w14:paraId="2BD4E625">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color="auto" w:sz="4" w:space="0"/>
              <w:left w:val="single" w:color="auto" w:sz="4" w:space="0"/>
              <w:bottom w:val="single" w:color="auto" w:sz="4" w:space="0"/>
              <w:right w:val="single" w:color="auto" w:sz="4" w:space="0"/>
            </w:tcBorders>
          </w:tcPr>
          <w:p w14:paraId="374F6685">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  anti‑virulenece in derivatives </w:t>
            </w:r>
          </w:p>
        </w:tc>
        <w:tc>
          <w:tcPr>
            <w:tcW w:w="1155" w:type="dxa"/>
            <w:tcBorders>
              <w:top w:val="single" w:color="auto" w:sz="4" w:space="0"/>
              <w:left w:val="single" w:color="auto" w:sz="4" w:space="0"/>
              <w:bottom w:val="single" w:color="auto" w:sz="4" w:space="0"/>
              <w:right w:val="single" w:color="auto" w:sz="4" w:space="0"/>
            </w:tcBorders>
          </w:tcPr>
          <w:p w14:paraId="62854E87">
            <w:pPr>
              <w:jc w:val="both"/>
            </w:pPr>
            <w:r>
              <w:t xml:space="preserve">Casillas-Vargas 2021; Jumina </w:t>
            </w:r>
            <w:r>
              <w:rPr>
                <w:i/>
                <w:iCs/>
              </w:rPr>
              <w:t>et</w:t>
            </w:r>
            <w:r>
              <w:t xml:space="preserve"> </w:t>
            </w:r>
            <w:r>
              <w:rPr>
                <w:i/>
                <w:iCs/>
              </w:rPr>
              <w:t>al</w:t>
            </w:r>
            <w:r>
              <w:t xml:space="preserve">., 2019; Juárez-Rodríguez </w:t>
            </w:r>
            <w:r>
              <w:rPr>
                <w:i/>
                <w:iCs/>
              </w:rPr>
              <w:t>et al</w:t>
            </w:r>
            <w:r>
              <w:t>., 2021</w:t>
            </w:r>
          </w:p>
        </w:tc>
      </w:tr>
      <w:tr w14:paraId="72084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402EC0E6">
            <w:pPr>
              <w:jc w:val="both"/>
              <w:rPr>
                <w:rFonts w:ascii="Times New Roman" w:hAnsi="Times New Roman" w:cs="Times New Roman"/>
                <w:b/>
                <w:bCs/>
                <w:sz w:val="24"/>
                <w:szCs w:val="24"/>
              </w:rPr>
            </w:pPr>
            <w:r>
              <w:rPr>
                <w:rFonts w:ascii="Times New Roman" w:hAnsi="Times New Roman" w:cs="Times New Roman"/>
                <w:b/>
                <w:bCs/>
                <w:sz w:val="24"/>
                <w:szCs w:val="24"/>
              </w:rPr>
              <w:t>9</w:t>
            </w:r>
          </w:p>
        </w:tc>
        <w:tc>
          <w:tcPr>
            <w:tcW w:w="3623" w:type="dxa"/>
            <w:tcBorders>
              <w:top w:val="single" w:color="auto" w:sz="4" w:space="0"/>
              <w:left w:val="single" w:color="auto" w:sz="4" w:space="0"/>
              <w:bottom w:val="single" w:color="auto" w:sz="4" w:space="0"/>
              <w:right w:val="single" w:color="auto" w:sz="4" w:space="0"/>
            </w:tcBorders>
          </w:tcPr>
          <w:p w14:paraId="3D9DA9E5">
            <w:pPr>
              <w:jc w:val="both"/>
              <w:rPr>
                <w:rFonts w:ascii="Times New Roman" w:hAnsi="Times New Roman" w:cs="Times New Roman"/>
                <w:b/>
                <w:bCs/>
                <w:sz w:val="24"/>
                <w:szCs w:val="24"/>
              </w:rPr>
            </w:pPr>
            <w:r>
              <w:rPr>
                <w:rFonts w:ascii="Times New Roman" w:hAnsi="Times New Roman" w:cs="Times New Roman"/>
                <w:b/>
                <w:bCs/>
                <w:sz w:val="24"/>
                <w:szCs w:val="24"/>
              </w:rPr>
              <w:t xml:space="preserve">E-15-Heptadecenal </w:t>
            </w:r>
          </w:p>
          <w:p w14:paraId="4D3B5297">
            <w:pPr>
              <w:jc w:val="both"/>
              <w:rPr>
                <w:rFonts w:ascii="Times New Roman" w:hAnsi="Times New Roman" w:cs="Times New Roman"/>
                <w:b/>
                <w:bCs/>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2D40325">
            <w:pPr>
              <w:jc w:val="both"/>
              <w:rPr>
                <w:rFonts w:ascii="Times New Roman" w:hAnsi="Times New Roman" w:cs="Times New Roman"/>
                <w:b/>
                <w:bCs/>
                <w:sz w:val="24"/>
                <w:szCs w:val="24"/>
              </w:rPr>
            </w:pPr>
            <w:r>
              <w:rPr>
                <w:rFonts w:ascii="Times New Roman" w:hAnsi="Times New Roman" w:cs="Times New Roman"/>
                <w:b/>
                <w:bCs/>
                <w:sz w:val="24"/>
                <w:szCs w:val="24"/>
              </w:rPr>
              <w:t>24.002</w:t>
            </w:r>
          </w:p>
        </w:tc>
        <w:tc>
          <w:tcPr>
            <w:tcW w:w="762" w:type="dxa"/>
            <w:tcBorders>
              <w:top w:val="single" w:color="auto" w:sz="4" w:space="0"/>
              <w:left w:val="single" w:color="auto" w:sz="4" w:space="0"/>
              <w:bottom w:val="single" w:color="auto" w:sz="4" w:space="0"/>
              <w:right w:val="single" w:color="auto" w:sz="4" w:space="0"/>
            </w:tcBorders>
          </w:tcPr>
          <w:p w14:paraId="5F0D1A26">
            <w:pPr>
              <w:jc w:val="both"/>
              <w:rPr>
                <w:rFonts w:ascii="Times New Roman" w:hAnsi="Times New Roman" w:cs="Times New Roman"/>
                <w:b/>
                <w:bCs/>
                <w:sz w:val="24"/>
                <w:szCs w:val="24"/>
              </w:rPr>
            </w:pPr>
            <w:r>
              <w:rPr>
                <w:rFonts w:ascii="Times New Roman" w:hAnsi="Times New Roman" w:cs="Times New Roman"/>
                <w:b/>
                <w:bCs/>
                <w:sz w:val="24"/>
                <w:szCs w:val="24"/>
              </w:rPr>
              <w:t>0.36</w:t>
            </w:r>
          </w:p>
        </w:tc>
        <w:tc>
          <w:tcPr>
            <w:tcW w:w="1117" w:type="dxa"/>
            <w:tcBorders>
              <w:top w:val="single" w:color="auto" w:sz="4" w:space="0"/>
              <w:left w:val="single" w:color="auto" w:sz="4" w:space="0"/>
              <w:bottom w:val="single" w:color="auto" w:sz="4" w:space="0"/>
              <w:right w:val="single" w:color="auto" w:sz="4" w:space="0"/>
            </w:tcBorders>
          </w:tcPr>
          <w:p w14:paraId="32F3C022">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w:t>
            </w:r>
          </w:p>
        </w:tc>
        <w:tc>
          <w:tcPr>
            <w:tcW w:w="1670" w:type="dxa"/>
            <w:tcBorders>
              <w:top w:val="single" w:color="auto" w:sz="4" w:space="0"/>
              <w:left w:val="single" w:color="auto" w:sz="4" w:space="0"/>
              <w:bottom w:val="single" w:color="auto" w:sz="4" w:space="0"/>
              <w:right w:val="single" w:color="auto" w:sz="4" w:space="0"/>
            </w:tcBorders>
          </w:tcPr>
          <w:p w14:paraId="3B3B7233">
            <w:pPr>
              <w:jc w:val="both"/>
              <w:rPr>
                <w:rFonts w:ascii="Times New Roman" w:hAnsi="Times New Roman" w:cs="Times New Roman"/>
                <w:b/>
                <w:bCs/>
                <w:sz w:val="24"/>
                <w:szCs w:val="24"/>
              </w:rPr>
            </w:pPr>
            <w:r>
              <w:rPr>
                <w:rFonts w:ascii="Times New Roman" w:hAnsi="Times New Roman" w:cs="Times New Roman"/>
                <w:b/>
                <w:bCs/>
                <w:sz w:val="24"/>
                <w:szCs w:val="24"/>
              </w:rPr>
              <w:t xml:space="preserve">Antibacterial, antioxidant </w:t>
            </w:r>
          </w:p>
        </w:tc>
        <w:tc>
          <w:tcPr>
            <w:tcW w:w="1155" w:type="dxa"/>
            <w:tcBorders>
              <w:top w:val="single" w:color="auto" w:sz="4" w:space="0"/>
              <w:left w:val="single" w:color="auto" w:sz="4" w:space="0"/>
              <w:bottom w:val="single" w:color="auto" w:sz="4" w:space="0"/>
              <w:right w:val="single" w:color="auto" w:sz="4" w:space="0"/>
            </w:tcBorders>
          </w:tcPr>
          <w:p w14:paraId="72E0FE57">
            <w:pPr>
              <w:jc w:val="both"/>
            </w:pPr>
            <w:r>
              <w:t xml:space="preserve">Karanja </w:t>
            </w:r>
            <w:r>
              <w:rPr>
                <w:i/>
                <w:iCs/>
              </w:rPr>
              <w:t xml:space="preserve">et al. </w:t>
            </w:r>
            <w:r>
              <w:t xml:space="preserve">(2021); Faridha Begum </w:t>
            </w:r>
            <w:r>
              <w:rPr>
                <w:i/>
                <w:iCs/>
              </w:rPr>
              <w:t xml:space="preserve">et al. </w:t>
            </w:r>
            <w:r>
              <w:t xml:space="preserve">(2016); Supardy </w:t>
            </w:r>
            <w:r>
              <w:rPr>
                <w:i/>
                <w:iCs/>
              </w:rPr>
              <w:t xml:space="preserve">et al., </w:t>
            </w:r>
            <w:r>
              <w:t>(2012); Si (2024)</w:t>
            </w:r>
          </w:p>
          <w:p w14:paraId="77040564">
            <w:pPr>
              <w:jc w:val="both"/>
            </w:pPr>
          </w:p>
          <w:p w14:paraId="0002907F">
            <w:pPr>
              <w:jc w:val="both"/>
            </w:pPr>
          </w:p>
        </w:tc>
      </w:tr>
      <w:tr w14:paraId="48DFE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3" w:type="dxa"/>
            <w:tcBorders>
              <w:top w:val="single" w:color="auto" w:sz="4" w:space="0"/>
              <w:left w:val="single" w:color="auto" w:sz="4" w:space="0"/>
              <w:bottom w:val="single" w:color="auto" w:sz="4" w:space="0"/>
              <w:right w:val="single" w:color="auto" w:sz="4" w:space="0"/>
            </w:tcBorders>
          </w:tcPr>
          <w:p w14:paraId="22D0DB83">
            <w:pPr>
              <w:jc w:val="both"/>
              <w:rPr>
                <w:rFonts w:ascii="Times New Roman" w:hAnsi="Times New Roman" w:cs="Times New Roman"/>
                <w:b/>
                <w:bCs/>
                <w:sz w:val="24"/>
                <w:szCs w:val="24"/>
              </w:rPr>
            </w:pPr>
            <w:r>
              <w:rPr>
                <w:rFonts w:ascii="Times New Roman" w:hAnsi="Times New Roman" w:cs="Times New Roman"/>
                <w:b/>
                <w:bCs/>
                <w:sz w:val="24"/>
                <w:szCs w:val="24"/>
              </w:rPr>
              <w:t>10</w:t>
            </w:r>
          </w:p>
        </w:tc>
        <w:tc>
          <w:tcPr>
            <w:tcW w:w="3623" w:type="dxa"/>
            <w:tcBorders>
              <w:top w:val="single" w:color="auto" w:sz="4" w:space="0"/>
              <w:left w:val="single" w:color="auto" w:sz="4" w:space="0"/>
              <w:bottom w:val="single" w:color="auto" w:sz="4" w:space="0"/>
              <w:right w:val="single" w:color="auto" w:sz="4" w:space="0"/>
            </w:tcBorders>
          </w:tcPr>
          <w:p w14:paraId="7D94F463">
            <w:pPr>
              <w:jc w:val="both"/>
              <w:rPr>
                <w:rFonts w:ascii="Times New Roman" w:hAnsi="Times New Roman" w:cs="Times New Roman"/>
                <w:b/>
                <w:bCs/>
                <w:sz w:val="24"/>
                <w:szCs w:val="24"/>
              </w:rPr>
            </w:pPr>
            <w:r>
              <w:rPr>
                <w:rFonts w:ascii="Times New Roman" w:hAnsi="Times New Roman" w:cs="Times New Roman"/>
                <w:b/>
                <w:bCs/>
                <w:sz w:val="24"/>
                <w:szCs w:val="24"/>
              </w:rPr>
              <w:t xml:space="preserve">n-Hexadecanoic acid </w:t>
            </w:r>
          </w:p>
        </w:tc>
        <w:tc>
          <w:tcPr>
            <w:tcW w:w="1326" w:type="dxa"/>
            <w:tcBorders>
              <w:top w:val="single" w:color="auto" w:sz="4" w:space="0"/>
              <w:left w:val="single" w:color="auto" w:sz="4" w:space="0"/>
              <w:bottom w:val="single" w:color="auto" w:sz="4" w:space="0"/>
              <w:right w:val="single" w:color="auto" w:sz="4" w:space="0"/>
            </w:tcBorders>
          </w:tcPr>
          <w:p w14:paraId="7A77BEC3">
            <w:pPr>
              <w:jc w:val="both"/>
              <w:rPr>
                <w:rFonts w:ascii="Times New Roman" w:hAnsi="Times New Roman" w:cs="Times New Roman"/>
                <w:b/>
                <w:bCs/>
                <w:sz w:val="24"/>
                <w:szCs w:val="24"/>
              </w:rPr>
            </w:pPr>
            <w:r>
              <w:rPr>
                <w:rFonts w:ascii="Times New Roman" w:hAnsi="Times New Roman" w:cs="Times New Roman"/>
                <w:b/>
                <w:bCs/>
                <w:sz w:val="24"/>
                <w:szCs w:val="24"/>
              </w:rPr>
              <w:t>27.576</w:t>
            </w:r>
          </w:p>
        </w:tc>
        <w:tc>
          <w:tcPr>
            <w:tcW w:w="762" w:type="dxa"/>
            <w:tcBorders>
              <w:top w:val="single" w:color="auto" w:sz="4" w:space="0"/>
              <w:left w:val="single" w:color="auto" w:sz="4" w:space="0"/>
              <w:bottom w:val="single" w:color="auto" w:sz="4" w:space="0"/>
              <w:right w:val="single" w:color="auto" w:sz="4" w:space="0"/>
            </w:tcBorders>
          </w:tcPr>
          <w:p w14:paraId="405C5213">
            <w:pPr>
              <w:jc w:val="both"/>
              <w:rPr>
                <w:rFonts w:ascii="Times New Roman" w:hAnsi="Times New Roman" w:cs="Times New Roman"/>
                <w:b/>
                <w:bCs/>
                <w:sz w:val="24"/>
                <w:szCs w:val="24"/>
              </w:rPr>
            </w:pPr>
            <w:r>
              <w:rPr>
                <w:rFonts w:ascii="Times New Roman" w:hAnsi="Times New Roman" w:cs="Times New Roman"/>
                <w:b/>
                <w:bCs/>
                <w:sz w:val="24"/>
                <w:szCs w:val="24"/>
              </w:rPr>
              <w:t>4.72</w:t>
            </w:r>
          </w:p>
        </w:tc>
        <w:tc>
          <w:tcPr>
            <w:tcW w:w="1117" w:type="dxa"/>
            <w:tcBorders>
              <w:top w:val="single" w:color="auto" w:sz="4" w:space="0"/>
              <w:left w:val="single" w:color="auto" w:sz="4" w:space="0"/>
              <w:bottom w:val="single" w:color="auto" w:sz="4" w:space="0"/>
              <w:right w:val="single" w:color="auto" w:sz="4" w:space="0"/>
            </w:tcBorders>
          </w:tcPr>
          <w:p w14:paraId="204CAF56">
            <w:pPr>
              <w:jc w:val="both"/>
              <w:rPr>
                <w:rFonts w:ascii="Times New Roman" w:hAnsi="Times New Roman" w:cs="Times New Roman"/>
                <w:b/>
                <w:bCs/>
                <w:sz w:val="24"/>
                <w:szCs w:val="24"/>
              </w:rPr>
            </w:pPr>
            <w:r>
              <w:rPr>
                <w:rFonts w:ascii="Times New Roman" w:hAnsi="Times New Roman" w:cs="Times New Roman"/>
                <w:b/>
                <w:bCs/>
                <w:sz w:val="24"/>
                <w:szCs w:val="24"/>
              </w:rPr>
              <w:t xml:space="preserve">Fatty acid methyl </w:t>
            </w:r>
          </w:p>
        </w:tc>
        <w:tc>
          <w:tcPr>
            <w:tcW w:w="1670" w:type="dxa"/>
            <w:tcBorders>
              <w:top w:val="single" w:color="auto" w:sz="4" w:space="0"/>
              <w:left w:val="single" w:color="auto" w:sz="4" w:space="0"/>
              <w:bottom w:val="single" w:color="auto" w:sz="4" w:space="0"/>
              <w:right w:val="single" w:color="auto" w:sz="4" w:space="0"/>
            </w:tcBorders>
          </w:tcPr>
          <w:p w14:paraId="1BB582A5">
            <w:pPr>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 xml:space="preserve">Antibacterial, immunomodulatory (context-dependent);Hypocholesterolemic, Nematicide, Antiandrogenic, pesticides, Hemolytic </w:t>
            </w:r>
          </w:p>
        </w:tc>
        <w:tc>
          <w:tcPr>
            <w:tcW w:w="1155" w:type="dxa"/>
            <w:tcBorders>
              <w:top w:val="single" w:color="auto" w:sz="4" w:space="0"/>
              <w:left w:val="single" w:color="auto" w:sz="4" w:space="0"/>
              <w:bottom w:val="single" w:color="auto" w:sz="4" w:space="0"/>
              <w:right w:val="single" w:color="auto" w:sz="4" w:space="0"/>
            </w:tcBorders>
          </w:tcPr>
          <w:p w14:paraId="0EF1622D">
            <w:pPr>
              <w:jc w:val="both"/>
            </w:pPr>
            <w:r>
              <w:t xml:space="preserve">Casillas-Vargas 2021;  Duke, 2013; Aparna </w:t>
            </w:r>
            <w:r>
              <w:rPr>
                <w:i/>
                <w:iCs/>
              </w:rPr>
              <w:t>et al</w:t>
            </w:r>
            <w:r>
              <w:t>., 2012</w:t>
            </w:r>
          </w:p>
        </w:tc>
      </w:tr>
    </w:tbl>
    <w:p w14:paraId="5A945489">
      <w:pPr>
        <w:jc w:val="both"/>
        <w:rPr>
          <w:rFonts w:ascii="Times New Roman" w:hAnsi="Times New Roman" w:cs="Times New Roman"/>
          <w:bCs/>
          <w:sz w:val="24"/>
          <w:szCs w:val="24"/>
        </w:rPr>
      </w:pPr>
    </w:p>
    <w:p w14:paraId="6C6B72D9">
      <w:pPr>
        <w:jc w:val="both"/>
        <w:rPr>
          <w:rFonts w:ascii="Times New Roman" w:hAnsi="Times New Roman" w:cs="Times New Roman"/>
          <w:bCs/>
          <w:sz w:val="24"/>
          <w:szCs w:val="24"/>
        </w:rPr>
      </w:pPr>
    </w:p>
    <w:p w14:paraId="3EFD4C04">
      <w:pPr>
        <w:jc w:val="both"/>
        <w:rPr>
          <w:rFonts w:ascii="Times New Roman" w:hAnsi="Times New Roman" w:cs="Times New Roman"/>
          <w:bCs/>
          <w:sz w:val="24"/>
          <w:szCs w:val="24"/>
        </w:rPr>
      </w:pPr>
    </w:p>
    <w:p w14:paraId="5778189E">
      <w:pPr>
        <w:jc w:val="center"/>
        <w:rPr>
          <w:rFonts w:ascii="Times New Roman" w:hAnsi="Times New Roman" w:cs="Times New Roman"/>
          <w:bCs/>
          <w:sz w:val="24"/>
          <w:szCs w:val="24"/>
        </w:rPr>
      </w:pPr>
    </w:p>
    <w:p w14:paraId="1EF80463">
      <w:pPr>
        <w:jc w:val="center"/>
        <w:rPr>
          <w:rFonts w:ascii="Times New Roman" w:hAnsi="Times New Roman" w:cs="Times New Roman"/>
          <w:bCs/>
          <w:sz w:val="24"/>
          <w:szCs w:val="24"/>
        </w:rPr>
      </w:pPr>
    </w:p>
    <w:p w14:paraId="132C0315">
      <w:pPr>
        <w:jc w:val="center"/>
        <w:rPr>
          <w:rFonts w:ascii="Times New Roman" w:hAnsi="Times New Roman" w:cs="Times New Roman"/>
          <w:bCs/>
          <w:sz w:val="24"/>
          <w:szCs w:val="24"/>
        </w:rPr>
      </w:pPr>
    </w:p>
    <w:p w14:paraId="1EDD02D1">
      <w:pPr>
        <w:jc w:val="center"/>
        <w:rPr>
          <w:rFonts w:ascii="Times New Roman" w:hAnsi="Times New Roman" w:cs="Times New Roman"/>
          <w:bCs/>
          <w:sz w:val="24"/>
          <w:szCs w:val="24"/>
        </w:rPr>
      </w:pPr>
    </w:p>
    <w:p w14:paraId="24E0F020">
      <w:pPr>
        <w:jc w:val="center"/>
        <w:rPr>
          <w:rFonts w:ascii="Times New Roman" w:hAnsi="Times New Roman" w:cs="Times New Roman"/>
          <w:bCs/>
          <w:sz w:val="24"/>
          <w:szCs w:val="24"/>
        </w:rPr>
      </w:pPr>
    </w:p>
    <w:p w14:paraId="501F0DB1">
      <w:pPr>
        <w:jc w:val="center"/>
        <w:rPr>
          <w:rFonts w:ascii="Times New Roman" w:hAnsi="Times New Roman" w:cs="Times New Roman"/>
          <w:bCs/>
          <w:sz w:val="24"/>
          <w:szCs w:val="24"/>
        </w:rPr>
      </w:pPr>
    </w:p>
    <w:p w14:paraId="406BF42E">
      <w:pPr>
        <w:jc w:val="both"/>
        <w:rPr>
          <w:rFonts w:ascii="Times New Roman" w:hAnsi="Times New Roman" w:cs="Times New Roman"/>
          <w:b/>
          <w:bCs/>
          <w:sz w:val="24"/>
          <w:szCs w:val="24"/>
        </w:rPr>
      </w:pPr>
    </w:p>
    <w:p w14:paraId="4E71E30D">
      <w:pPr>
        <w:jc w:val="both"/>
        <w:rPr>
          <w:rFonts w:ascii="Times New Roman" w:hAnsi="Times New Roman" w:cs="Times New Roman"/>
          <w:b/>
          <w:bCs/>
          <w:sz w:val="24"/>
          <w:szCs w:val="24"/>
        </w:rPr>
      </w:pPr>
    </w:p>
    <w:p w14:paraId="436CF867">
      <w:pPr>
        <w:jc w:val="both"/>
        <w:rPr>
          <w:rFonts w:ascii="Times New Roman" w:hAnsi="Times New Roman" w:cs="Times New Roman"/>
          <w:b/>
          <w:bCs/>
          <w:sz w:val="24"/>
          <w:szCs w:val="24"/>
        </w:rPr>
      </w:pPr>
    </w:p>
    <w:p w14:paraId="541B3622">
      <w:pPr>
        <w:jc w:val="both"/>
        <w:rPr>
          <w:rFonts w:ascii="Times New Roman" w:hAnsi="Times New Roman" w:cs="Times New Roman"/>
          <w:b/>
          <w:bCs/>
          <w:sz w:val="24"/>
          <w:szCs w:val="24"/>
        </w:rPr>
      </w:pPr>
    </w:p>
    <w:p w14:paraId="1FEF2BD0">
      <w:pPr>
        <w:jc w:val="both"/>
        <w:rPr>
          <w:rFonts w:ascii="Times New Roman" w:hAnsi="Times New Roman" w:cs="Times New Roman"/>
          <w:b/>
          <w:bCs/>
          <w:sz w:val="24"/>
          <w:szCs w:val="24"/>
        </w:rPr>
      </w:pPr>
    </w:p>
    <w:p w14:paraId="437933A0">
      <w:pPr>
        <w:jc w:val="both"/>
        <w:rPr>
          <w:rFonts w:ascii="Times New Roman" w:hAnsi="Times New Roman" w:cs="Times New Roman"/>
          <w:b/>
          <w:bCs/>
          <w:sz w:val="24"/>
          <w:szCs w:val="24"/>
        </w:rPr>
      </w:pPr>
    </w:p>
    <w:p w14:paraId="38FAC627">
      <w:pPr>
        <w:jc w:val="both"/>
        <w:rPr>
          <w:rFonts w:ascii="Times New Roman" w:hAnsi="Times New Roman" w:cs="Times New Roman"/>
          <w:b/>
          <w:bCs/>
          <w:sz w:val="24"/>
          <w:szCs w:val="24"/>
        </w:rPr>
      </w:pPr>
    </w:p>
    <w:p w14:paraId="5C3652DF">
      <w:pPr>
        <w:jc w:val="both"/>
        <w:rPr>
          <w:rFonts w:ascii="Times New Roman" w:hAnsi="Times New Roman" w:cs="Times New Roman"/>
          <w:b/>
          <w:bCs/>
          <w:sz w:val="24"/>
          <w:szCs w:val="24"/>
        </w:rPr>
      </w:pPr>
    </w:p>
    <w:p w14:paraId="60D2B297">
      <w:pPr>
        <w:jc w:val="both"/>
        <w:rPr>
          <w:rFonts w:ascii="Times New Roman" w:hAnsi="Times New Roman" w:cs="Times New Roman"/>
          <w:b/>
          <w:bCs/>
          <w:sz w:val="24"/>
          <w:szCs w:val="24"/>
        </w:rPr>
      </w:pPr>
    </w:p>
    <w:p w14:paraId="4B8D2988">
      <w:pPr>
        <w:jc w:val="both"/>
        <w:rPr>
          <w:rFonts w:ascii="Times New Roman" w:hAnsi="Times New Roman" w:cs="Times New Roman"/>
          <w:b/>
          <w:bCs/>
          <w:sz w:val="24"/>
          <w:szCs w:val="24"/>
        </w:rPr>
      </w:pPr>
    </w:p>
    <w:p w14:paraId="273DA18D">
      <w:pPr>
        <w:jc w:val="both"/>
        <w:rPr>
          <w:rFonts w:ascii="Times New Roman" w:hAnsi="Times New Roman" w:cs="Times New Roman"/>
          <w:b/>
          <w:bCs/>
          <w:sz w:val="24"/>
          <w:szCs w:val="24"/>
        </w:rPr>
      </w:pPr>
      <w:r>
        <w:rPr>
          <w:rFonts w:ascii="Times New Roman" w:hAnsi="Times New Roman" w:cs="Times New Roman"/>
          <w:b/>
          <w:bCs/>
          <w:sz w:val="24"/>
          <w:szCs w:val="24"/>
        </w:rPr>
        <w:t>Figure 5 : GC-MS Chromatogram of</w:t>
      </w:r>
      <w:r>
        <w:rPr>
          <w:rFonts w:ascii="Times New Roman" w:hAnsi="Times New Roman" w:cs="Times New Roman"/>
          <w:b/>
          <w:bCs/>
          <w:i/>
          <w:iCs/>
          <w:sz w:val="24"/>
          <w:szCs w:val="24"/>
        </w:rPr>
        <w:t xml:space="preserve"> Euphorbia</w:t>
      </w:r>
      <w:r>
        <w:rPr>
          <w:b/>
          <w:bCs/>
          <w:i/>
          <w:iCs/>
          <w:sz w:val="24"/>
          <w:szCs w:val="24"/>
        </w:rPr>
        <w:drawing>
          <wp:anchor distT="0" distB="0" distL="0" distR="0" simplePos="0" relativeHeight="251659264" behindDoc="0" locked="0" layoutInCell="1" allowOverlap="1">
            <wp:simplePos x="0" y="0"/>
            <wp:positionH relativeFrom="page">
              <wp:posOffset>1562100</wp:posOffset>
            </wp:positionH>
            <wp:positionV relativeFrom="page">
              <wp:posOffset>1562100</wp:posOffset>
            </wp:positionV>
            <wp:extent cx="5413375" cy="4691380"/>
            <wp:effectExtent l="0" t="0" r="0" b="0"/>
            <wp:wrapNone/>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18" cstate="print"/>
                    <a:srcRect t="7524"/>
                    <a:stretch>
                      <a:fillRect/>
                    </a:stretch>
                  </pic:blipFill>
                  <pic:spPr>
                    <a:xfrm>
                      <a:off x="0" y="0"/>
                      <a:ext cx="5413601" cy="4691270"/>
                    </a:xfrm>
                    <a:prstGeom prst="rect">
                      <a:avLst/>
                    </a:prstGeom>
                    <a:ln>
                      <a:noFill/>
                    </a:ln>
                  </pic:spPr>
                </pic:pic>
              </a:graphicData>
            </a:graphic>
          </wp:anchor>
        </w:drawing>
      </w:r>
      <w:r>
        <w:rPr>
          <w:b/>
          <w:bCs/>
          <w:i/>
          <w:iCs/>
          <w:sz w:val="24"/>
          <w:szCs w:val="24"/>
        </w:rPr>
        <w:t xml:space="preserve"> hirta </w:t>
      </w:r>
    </w:p>
    <w:p w14:paraId="1571FC93">
      <w:pPr>
        <w:jc w:val="both"/>
        <w:rPr>
          <w:rFonts w:ascii="Times New Roman" w:hAnsi="Times New Roman" w:cs="Times New Roman"/>
          <w:b/>
          <w:bCs/>
          <w:sz w:val="24"/>
          <w:szCs w:val="24"/>
        </w:rPr>
      </w:pPr>
    </w:p>
    <w:p w14:paraId="76D6C00B">
      <w:pPr>
        <w:jc w:val="both"/>
        <w:rPr>
          <w:rFonts w:ascii="Times New Roman" w:hAnsi="Times New Roman" w:cs="Times New Roman"/>
          <w:b/>
          <w:bCs/>
          <w:sz w:val="24"/>
          <w:szCs w:val="24"/>
        </w:rPr>
      </w:pPr>
    </w:p>
    <w:p w14:paraId="4EA466E5">
      <w:pPr>
        <w:jc w:val="both"/>
        <w:rPr>
          <w:rFonts w:ascii="Times New Roman" w:hAnsi="Times New Roman" w:cs="Times New Roman"/>
          <w:b/>
          <w:bCs/>
          <w:sz w:val="24"/>
          <w:szCs w:val="24"/>
        </w:rPr>
      </w:pPr>
    </w:p>
    <w:p w14:paraId="3092061E">
      <w:pPr>
        <w:jc w:val="both"/>
        <w:rPr>
          <w:rFonts w:ascii="Times New Roman" w:hAnsi="Times New Roman" w:cs="Times New Roman"/>
          <w:b/>
          <w:bCs/>
          <w:sz w:val="24"/>
          <w:szCs w:val="24"/>
        </w:rPr>
      </w:pPr>
      <w:r>
        <w:rPr>
          <w:rFonts w:ascii="Times New Roman" w:hAnsi="Times New Roman" w:cs="Times New Roman"/>
          <w:b/>
          <w:bCs/>
          <w:sz w:val="24"/>
          <w:szCs w:val="24"/>
        </w:rPr>
        <w:t xml:space="preserve">Table 5: GC-MS Phytochemical profile of </w:t>
      </w:r>
      <w:r>
        <w:rPr>
          <w:rFonts w:ascii="Times New Roman" w:hAnsi="Times New Roman" w:cs="Times New Roman"/>
          <w:b/>
          <w:bCs/>
          <w:i/>
          <w:iCs/>
          <w:sz w:val="24"/>
          <w:szCs w:val="24"/>
        </w:rPr>
        <w:t xml:space="preserve">Euphorbia hirta </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838"/>
        <w:gridCol w:w="1232"/>
        <w:gridCol w:w="701"/>
        <w:gridCol w:w="1048"/>
        <w:gridCol w:w="2479"/>
        <w:gridCol w:w="1573"/>
      </w:tblGrid>
      <w:tr w14:paraId="78E4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032A39EE">
            <w:pPr>
              <w:jc w:val="both"/>
              <w:rPr>
                <w:rFonts w:ascii="Times New Roman" w:hAnsi="Times New Roman" w:cs="Times New Roman"/>
                <w:sz w:val="24"/>
                <w:szCs w:val="24"/>
              </w:rPr>
            </w:pPr>
            <w:r>
              <w:rPr>
                <w:rFonts w:ascii="Times New Roman" w:hAnsi="Times New Roman" w:cs="Times New Roman"/>
                <w:sz w:val="24"/>
                <w:szCs w:val="24"/>
              </w:rPr>
              <w:t>Peak</w:t>
            </w:r>
          </w:p>
        </w:tc>
        <w:tc>
          <w:tcPr>
            <w:tcW w:w="1838" w:type="dxa"/>
            <w:tcBorders>
              <w:top w:val="single" w:color="auto" w:sz="4" w:space="0"/>
              <w:left w:val="single" w:color="auto" w:sz="4" w:space="0"/>
              <w:bottom w:val="single" w:color="auto" w:sz="4" w:space="0"/>
              <w:right w:val="single" w:color="auto" w:sz="4" w:space="0"/>
            </w:tcBorders>
          </w:tcPr>
          <w:p w14:paraId="660E0A9A">
            <w:pPr>
              <w:jc w:val="both"/>
              <w:rPr>
                <w:rFonts w:ascii="Times New Roman" w:hAnsi="Times New Roman" w:cs="Times New Roman"/>
                <w:sz w:val="24"/>
                <w:szCs w:val="24"/>
              </w:rPr>
            </w:pPr>
            <w:r>
              <w:rPr>
                <w:rFonts w:ascii="Times New Roman" w:hAnsi="Times New Roman" w:cs="Times New Roman"/>
                <w:sz w:val="24"/>
                <w:szCs w:val="24"/>
              </w:rPr>
              <w:t xml:space="preserve">Name of compound </w:t>
            </w:r>
          </w:p>
        </w:tc>
        <w:tc>
          <w:tcPr>
            <w:tcW w:w="1232" w:type="dxa"/>
            <w:tcBorders>
              <w:top w:val="single" w:color="auto" w:sz="4" w:space="0"/>
              <w:left w:val="single" w:color="auto" w:sz="4" w:space="0"/>
              <w:bottom w:val="single" w:color="auto" w:sz="4" w:space="0"/>
              <w:right w:val="single" w:color="auto" w:sz="4" w:space="0"/>
            </w:tcBorders>
          </w:tcPr>
          <w:p w14:paraId="502F0F5A">
            <w:pPr>
              <w:jc w:val="both"/>
              <w:rPr>
                <w:rFonts w:ascii="Times New Roman" w:hAnsi="Times New Roman" w:cs="Times New Roman"/>
                <w:sz w:val="24"/>
                <w:szCs w:val="24"/>
              </w:rPr>
            </w:pPr>
            <w:r>
              <w:rPr>
                <w:rFonts w:ascii="Times New Roman" w:hAnsi="Times New Roman" w:cs="Times New Roman"/>
                <w:sz w:val="24"/>
                <w:szCs w:val="24"/>
              </w:rPr>
              <w:t xml:space="preserve">Retention time </w:t>
            </w:r>
          </w:p>
        </w:tc>
        <w:tc>
          <w:tcPr>
            <w:tcW w:w="701" w:type="dxa"/>
            <w:tcBorders>
              <w:top w:val="single" w:color="auto" w:sz="4" w:space="0"/>
              <w:left w:val="single" w:color="auto" w:sz="4" w:space="0"/>
              <w:bottom w:val="single" w:color="auto" w:sz="4" w:space="0"/>
              <w:right w:val="single" w:color="auto" w:sz="4" w:space="0"/>
            </w:tcBorders>
          </w:tcPr>
          <w:p w14:paraId="09DA4C51">
            <w:pPr>
              <w:jc w:val="both"/>
              <w:rPr>
                <w:rFonts w:ascii="Times New Roman" w:hAnsi="Times New Roman" w:cs="Times New Roman"/>
                <w:sz w:val="24"/>
                <w:szCs w:val="24"/>
              </w:rPr>
            </w:pPr>
            <w:r>
              <w:rPr>
                <w:rFonts w:ascii="Times New Roman" w:hAnsi="Times New Roman" w:cs="Times New Roman"/>
                <w:sz w:val="24"/>
                <w:szCs w:val="24"/>
              </w:rPr>
              <w:t>Peak area (%)</w:t>
            </w:r>
          </w:p>
        </w:tc>
        <w:tc>
          <w:tcPr>
            <w:tcW w:w="1048" w:type="dxa"/>
            <w:tcBorders>
              <w:top w:val="single" w:color="auto" w:sz="4" w:space="0"/>
              <w:left w:val="single" w:color="auto" w:sz="4" w:space="0"/>
              <w:bottom w:val="single" w:color="auto" w:sz="4" w:space="0"/>
              <w:right w:val="single" w:color="auto" w:sz="4" w:space="0"/>
            </w:tcBorders>
          </w:tcPr>
          <w:p w14:paraId="2ED3C25B">
            <w:pPr>
              <w:jc w:val="both"/>
              <w:rPr>
                <w:rFonts w:ascii="Times New Roman" w:hAnsi="Times New Roman" w:cs="Times New Roman"/>
                <w:sz w:val="24"/>
                <w:szCs w:val="24"/>
              </w:rPr>
            </w:pPr>
            <w:r>
              <w:rPr>
                <w:rFonts w:ascii="Times New Roman" w:hAnsi="Times New Roman" w:cs="Times New Roman"/>
                <w:sz w:val="24"/>
                <w:szCs w:val="24"/>
              </w:rPr>
              <w:t xml:space="preserve">Nature </w:t>
            </w:r>
          </w:p>
        </w:tc>
        <w:tc>
          <w:tcPr>
            <w:tcW w:w="2479" w:type="dxa"/>
            <w:tcBorders>
              <w:top w:val="single" w:color="auto" w:sz="4" w:space="0"/>
              <w:left w:val="single" w:color="auto" w:sz="4" w:space="0"/>
              <w:bottom w:val="single" w:color="auto" w:sz="4" w:space="0"/>
              <w:right w:val="single" w:color="auto" w:sz="4" w:space="0"/>
            </w:tcBorders>
          </w:tcPr>
          <w:p w14:paraId="468204C7">
            <w:pPr>
              <w:jc w:val="both"/>
              <w:rPr>
                <w:rFonts w:ascii="Times New Roman" w:hAnsi="Times New Roman" w:cs="Times New Roman"/>
                <w:sz w:val="24"/>
                <w:szCs w:val="24"/>
              </w:rPr>
            </w:pPr>
            <w:r>
              <w:rPr>
                <w:rFonts w:ascii="Times New Roman" w:hAnsi="Times New Roman" w:cs="Times New Roman"/>
                <w:sz w:val="24"/>
                <w:szCs w:val="24"/>
              </w:rPr>
              <w:t xml:space="preserve">Biological activities </w:t>
            </w:r>
          </w:p>
        </w:tc>
        <w:tc>
          <w:tcPr>
            <w:tcW w:w="1573" w:type="dxa"/>
            <w:tcBorders>
              <w:top w:val="single" w:color="auto" w:sz="4" w:space="0"/>
              <w:left w:val="single" w:color="auto" w:sz="4" w:space="0"/>
              <w:bottom w:val="single" w:color="auto" w:sz="4" w:space="0"/>
              <w:right w:val="single" w:color="auto" w:sz="4" w:space="0"/>
            </w:tcBorders>
          </w:tcPr>
          <w:p w14:paraId="2CF1543C">
            <w:pPr>
              <w:jc w:val="both"/>
            </w:pPr>
            <w:r>
              <w:t xml:space="preserve">References </w:t>
            </w:r>
          </w:p>
        </w:tc>
      </w:tr>
      <w:tr w14:paraId="408B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70139796">
            <w:pPr>
              <w:jc w:val="both"/>
              <w:rPr>
                <w:rFonts w:ascii="Times New Roman" w:hAnsi="Times New Roman" w:cs="Times New Roman"/>
                <w:sz w:val="24"/>
                <w:szCs w:val="24"/>
              </w:rPr>
            </w:pPr>
          </w:p>
        </w:tc>
        <w:tc>
          <w:tcPr>
            <w:tcW w:w="1838" w:type="dxa"/>
            <w:tcBorders>
              <w:top w:val="single" w:color="auto" w:sz="4" w:space="0"/>
              <w:left w:val="single" w:color="auto" w:sz="4" w:space="0"/>
              <w:bottom w:val="single" w:color="auto" w:sz="4" w:space="0"/>
              <w:right w:val="single" w:color="auto" w:sz="4" w:space="0"/>
            </w:tcBorders>
          </w:tcPr>
          <w:p w14:paraId="6B5E3D94">
            <w:pPr>
              <w:jc w:val="both"/>
              <w:rPr>
                <w:rFonts w:ascii="Times New Roman" w:hAnsi="Times New Roman" w:cs="Times New Roman"/>
                <w:sz w:val="24"/>
                <w:szCs w:val="24"/>
              </w:rPr>
            </w:pPr>
            <w:r>
              <w:rPr>
                <w:rFonts w:ascii="Times New Roman" w:hAnsi="Times New Roman" w:cs="Times New Roman"/>
                <w:sz w:val="24"/>
                <w:szCs w:val="24"/>
              </w:rPr>
              <w:t xml:space="preserve">Tetradecane </w:t>
            </w:r>
          </w:p>
        </w:tc>
        <w:tc>
          <w:tcPr>
            <w:tcW w:w="1232" w:type="dxa"/>
            <w:tcBorders>
              <w:top w:val="single" w:color="auto" w:sz="4" w:space="0"/>
              <w:left w:val="single" w:color="auto" w:sz="4" w:space="0"/>
              <w:bottom w:val="single" w:color="auto" w:sz="4" w:space="0"/>
              <w:right w:val="single" w:color="auto" w:sz="4" w:space="0"/>
            </w:tcBorders>
          </w:tcPr>
          <w:p w14:paraId="33F31FFA">
            <w:pPr>
              <w:jc w:val="both"/>
              <w:rPr>
                <w:rFonts w:ascii="Times New Roman" w:hAnsi="Times New Roman" w:cs="Times New Roman"/>
                <w:sz w:val="24"/>
                <w:szCs w:val="24"/>
              </w:rPr>
            </w:pPr>
            <w:r>
              <w:rPr>
                <w:rFonts w:ascii="Times New Roman" w:hAnsi="Times New Roman" w:cs="Times New Roman"/>
                <w:sz w:val="24"/>
                <w:szCs w:val="24"/>
              </w:rPr>
              <w:t>14.945</w:t>
            </w:r>
          </w:p>
        </w:tc>
        <w:tc>
          <w:tcPr>
            <w:tcW w:w="701" w:type="dxa"/>
            <w:tcBorders>
              <w:top w:val="single" w:color="auto" w:sz="4" w:space="0"/>
              <w:left w:val="single" w:color="auto" w:sz="4" w:space="0"/>
              <w:bottom w:val="single" w:color="auto" w:sz="4" w:space="0"/>
              <w:right w:val="single" w:color="auto" w:sz="4" w:space="0"/>
            </w:tcBorders>
          </w:tcPr>
          <w:p w14:paraId="6F482C3A">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color="auto" w:sz="4" w:space="0"/>
              <w:left w:val="single" w:color="auto" w:sz="4" w:space="0"/>
              <w:bottom w:val="single" w:color="auto" w:sz="4" w:space="0"/>
              <w:right w:val="single" w:color="auto" w:sz="4" w:space="0"/>
            </w:tcBorders>
          </w:tcPr>
          <w:p w14:paraId="5D43CF99">
            <w:pPr>
              <w:jc w:val="both"/>
              <w:rPr>
                <w:rFonts w:ascii="Times New Roman" w:hAnsi="Times New Roman" w:cs="Times New Roman"/>
                <w:sz w:val="24"/>
                <w:szCs w:val="24"/>
              </w:rPr>
            </w:pPr>
            <w:r>
              <w:rPr>
                <w:rFonts w:ascii="Times New Roman" w:hAnsi="Times New Roman" w:cs="Times New Roman"/>
                <w:sz w:val="24"/>
                <w:szCs w:val="24"/>
              </w:rPr>
              <w:t xml:space="preserve">Alkene </w:t>
            </w:r>
          </w:p>
        </w:tc>
        <w:tc>
          <w:tcPr>
            <w:tcW w:w="2479" w:type="dxa"/>
            <w:tcBorders>
              <w:top w:val="single" w:color="auto" w:sz="4" w:space="0"/>
              <w:left w:val="single" w:color="auto" w:sz="4" w:space="0"/>
              <w:bottom w:val="single" w:color="auto" w:sz="4" w:space="0"/>
              <w:right w:val="single" w:color="auto" w:sz="4" w:space="0"/>
            </w:tcBorders>
          </w:tcPr>
          <w:p w14:paraId="112364C2">
            <w:pPr>
              <w:jc w:val="both"/>
              <w:rPr>
                <w:rFonts w:ascii="Times New Roman" w:hAnsi="Times New Roman" w:cs="Times New Roman"/>
                <w:sz w:val="24"/>
                <w:szCs w:val="24"/>
              </w:rPr>
            </w:pPr>
            <w:r>
              <w:rPr>
                <w:rFonts w:ascii="Times New Roman" w:hAnsi="Times New Roman" w:cs="Times New Roman"/>
                <w:sz w:val="24"/>
                <w:szCs w:val="24"/>
              </w:rPr>
              <w:t>Antimicrobial, cytotoxicity, antipyretic, anthelmintic, tumor, tuberculosis, dyspepsia, anemia, elephantiasis, anti-diabetic, antiinflammatory, anti-diarrhoeal</w:t>
            </w:r>
          </w:p>
        </w:tc>
        <w:tc>
          <w:tcPr>
            <w:tcW w:w="1573" w:type="dxa"/>
            <w:tcBorders>
              <w:top w:val="single" w:color="auto" w:sz="4" w:space="0"/>
              <w:left w:val="single" w:color="auto" w:sz="4" w:space="0"/>
              <w:bottom w:val="single" w:color="auto" w:sz="4" w:space="0"/>
              <w:right w:val="single" w:color="auto" w:sz="4" w:space="0"/>
            </w:tcBorders>
          </w:tcPr>
          <w:p w14:paraId="1CB16E39">
            <w:pPr>
              <w:jc w:val="both"/>
            </w:pPr>
            <w:r>
              <w:t xml:space="preserve">Duke, 1992; Meher </w:t>
            </w:r>
            <w:r>
              <w:rPr>
                <w:i/>
                <w:iCs/>
              </w:rPr>
              <w:t>et</w:t>
            </w:r>
            <w:r>
              <w:t xml:space="preserve"> </w:t>
            </w:r>
            <w:r>
              <w:rPr>
                <w:i/>
                <w:iCs/>
              </w:rPr>
              <w:t>al</w:t>
            </w:r>
            <w:r>
              <w:t>., 2019</w:t>
            </w:r>
          </w:p>
        </w:tc>
      </w:tr>
      <w:tr w14:paraId="2BE8B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0EDFDDC0">
            <w:pPr>
              <w:jc w:val="both"/>
              <w:rPr>
                <w:rFonts w:ascii="Times New Roman" w:hAnsi="Times New Roman" w:cs="Times New Roman"/>
                <w:sz w:val="24"/>
                <w:szCs w:val="24"/>
              </w:rPr>
            </w:pPr>
            <w:r>
              <w:rPr>
                <w:rFonts w:ascii="Times New Roman" w:hAnsi="Times New Roman" w:cs="Times New Roman"/>
                <w:sz w:val="24"/>
                <w:szCs w:val="24"/>
              </w:rPr>
              <w:t>2</w:t>
            </w:r>
          </w:p>
        </w:tc>
        <w:tc>
          <w:tcPr>
            <w:tcW w:w="1838" w:type="dxa"/>
            <w:tcBorders>
              <w:top w:val="single" w:color="auto" w:sz="4" w:space="0"/>
              <w:left w:val="single" w:color="auto" w:sz="4" w:space="0"/>
              <w:bottom w:val="single" w:color="auto" w:sz="4" w:space="0"/>
              <w:right w:val="single" w:color="auto" w:sz="4" w:space="0"/>
            </w:tcBorders>
          </w:tcPr>
          <w:p w14:paraId="3993A04F">
            <w:pPr>
              <w:jc w:val="both"/>
              <w:rPr>
                <w:rFonts w:ascii="Times New Roman" w:hAnsi="Times New Roman" w:cs="Times New Roman"/>
                <w:sz w:val="24"/>
                <w:szCs w:val="24"/>
              </w:rPr>
            </w:pPr>
            <w:r>
              <w:rPr>
                <w:rFonts w:ascii="Times New Roman" w:hAnsi="Times New Roman" w:cs="Times New Roman"/>
                <w:sz w:val="24"/>
                <w:szCs w:val="24"/>
              </w:rPr>
              <w:t>2,4-Di-tert-butylphenol</w:t>
            </w:r>
          </w:p>
          <w:p w14:paraId="7E0449EA">
            <w:pPr>
              <w:jc w:val="both"/>
              <w:rPr>
                <w:rFonts w:ascii="Times New Roman" w:hAnsi="Times New Roman" w:cs="Times New Roman"/>
                <w:sz w:val="24"/>
                <w:szCs w:val="24"/>
              </w:rPr>
            </w:pPr>
          </w:p>
        </w:tc>
        <w:tc>
          <w:tcPr>
            <w:tcW w:w="1232" w:type="dxa"/>
            <w:tcBorders>
              <w:top w:val="single" w:color="auto" w:sz="4" w:space="0"/>
              <w:left w:val="single" w:color="auto" w:sz="4" w:space="0"/>
              <w:bottom w:val="single" w:color="auto" w:sz="4" w:space="0"/>
              <w:right w:val="single" w:color="auto" w:sz="4" w:space="0"/>
            </w:tcBorders>
          </w:tcPr>
          <w:p w14:paraId="14F8945F">
            <w:pPr>
              <w:jc w:val="both"/>
              <w:rPr>
                <w:rFonts w:ascii="Times New Roman" w:hAnsi="Times New Roman" w:cs="Times New Roman"/>
                <w:sz w:val="24"/>
                <w:szCs w:val="24"/>
              </w:rPr>
            </w:pPr>
            <w:r>
              <w:rPr>
                <w:rFonts w:ascii="Times New Roman" w:hAnsi="Times New Roman" w:cs="Times New Roman"/>
                <w:sz w:val="24"/>
                <w:szCs w:val="24"/>
              </w:rPr>
              <w:t>17.404</w:t>
            </w:r>
          </w:p>
        </w:tc>
        <w:tc>
          <w:tcPr>
            <w:tcW w:w="701" w:type="dxa"/>
            <w:tcBorders>
              <w:top w:val="single" w:color="auto" w:sz="4" w:space="0"/>
              <w:left w:val="single" w:color="auto" w:sz="4" w:space="0"/>
              <w:bottom w:val="single" w:color="auto" w:sz="4" w:space="0"/>
              <w:right w:val="single" w:color="auto" w:sz="4" w:space="0"/>
            </w:tcBorders>
          </w:tcPr>
          <w:p w14:paraId="3FE38433">
            <w:pPr>
              <w:jc w:val="both"/>
              <w:rPr>
                <w:rFonts w:ascii="Times New Roman" w:hAnsi="Times New Roman" w:cs="Times New Roman"/>
                <w:sz w:val="24"/>
                <w:szCs w:val="24"/>
              </w:rPr>
            </w:pPr>
            <w:r>
              <w:rPr>
                <w:rFonts w:ascii="Times New Roman" w:hAnsi="Times New Roman" w:cs="Times New Roman"/>
                <w:sz w:val="24"/>
                <w:szCs w:val="24"/>
              </w:rPr>
              <w:t>0.26</w:t>
            </w:r>
          </w:p>
        </w:tc>
        <w:tc>
          <w:tcPr>
            <w:tcW w:w="1048" w:type="dxa"/>
            <w:tcBorders>
              <w:top w:val="single" w:color="auto" w:sz="4" w:space="0"/>
              <w:left w:val="single" w:color="auto" w:sz="4" w:space="0"/>
              <w:bottom w:val="single" w:color="auto" w:sz="4" w:space="0"/>
              <w:right w:val="single" w:color="auto" w:sz="4" w:space="0"/>
            </w:tcBorders>
          </w:tcPr>
          <w:p w14:paraId="68C13E39">
            <w:pPr>
              <w:jc w:val="both"/>
              <w:rPr>
                <w:rFonts w:ascii="Times New Roman" w:hAnsi="Times New Roman" w:cs="Times New Roman"/>
                <w:sz w:val="24"/>
                <w:szCs w:val="24"/>
              </w:rPr>
            </w:pPr>
            <w:r>
              <w:rPr>
                <w:rFonts w:ascii="Times New Roman" w:hAnsi="Times New Roman" w:cs="Times New Roman"/>
                <w:sz w:val="24"/>
                <w:szCs w:val="24"/>
              </w:rPr>
              <w:t xml:space="preserve">Alkanol </w:t>
            </w:r>
          </w:p>
        </w:tc>
        <w:tc>
          <w:tcPr>
            <w:tcW w:w="2479" w:type="dxa"/>
            <w:tcBorders>
              <w:top w:val="single" w:color="auto" w:sz="4" w:space="0"/>
              <w:left w:val="single" w:color="auto" w:sz="4" w:space="0"/>
              <w:bottom w:val="single" w:color="auto" w:sz="4" w:space="0"/>
              <w:right w:val="single" w:color="auto" w:sz="4" w:space="0"/>
            </w:tcBorders>
          </w:tcPr>
          <w:p w14:paraId="5B65967D">
            <w:pPr>
              <w:jc w:val="both"/>
              <w:rPr>
                <w:rFonts w:ascii="Times New Roman" w:hAnsi="Times New Roman" w:cs="Times New Roman"/>
                <w:sz w:val="24"/>
                <w:szCs w:val="24"/>
              </w:rPr>
            </w:pPr>
            <w:r>
              <w:rPr>
                <w:rFonts w:ascii="Times New Roman" w:hAnsi="Times New Roman" w:cs="Times New Roman"/>
                <w:sz w:val="24"/>
                <w:szCs w:val="24"/>
              </w:rPr>
              <w:t xml:space="preserve">Antifungal, antimalarial, antioxidant, antibacterial, antiinflammatory, cytotoxicity, antiviral, insecticidal,  nematicidal </w:t>
            </w:r>
          </w:p>
        </w:tc>
        <w:tc>
          <w:tcPr>
            <w:tcW w:w="1573" w:type="dxa"/>
            <w:tcBorders>
              <w:top w:val="single" w:color="auto" w:sz="4" w:space="0"/>
              <w:left w:val="single" w:color="auto" w:sz="4" w:space="0"/>
              <w:bottom w:val="single" w:color="auto" w:sz="4" w:space="0"/>
              <w:right w:val="single" w:color="auto" w:sz="4" w:space="0"/>
            </w:tcBorders>
          </w:tcPr>
          <w:p w14:paraId="0F7B8A64">
            <w:pPr>
              <w:jc w:val="both"/>
            </w:pPr>
            <w:r>
              <w:t xml:space="preserve">Zhao (2020); Seenivasan (2022); Rouvier (2024); Varsha </w:t>
            </w:r>
            <w:r>
              <w:rPr>
                <w:i/>
                <w:iCs/>
              </w:rPr>
              <w:t>et</w:t>
            </w:r>
            <w:r>
              <w:t xml:space="preserve"> </w:t>
            </w:r>
            <w:r>
              <w:rPr>
                <w:i/>
                <w:iCs/>
              </w:rPr>
              <w:t>al</w:t>
            </w:r>
            <w:r>
              <w:t>., 2015</w:t>
            </w:r>
          </w:p>
        </w:tc>
      </w:tr>
      <w:tr w14:paraId="42F0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17741AD0">
            <w:pPr>
              <w:jc w:val="both"/>
              <w:rPr>
                <w:rFonts w:ascii="Times New Roman" w:hAnsi="Times New Roman" w:cs="Times New Roman"/>
                <w:sz w:val="24"/>
                <w:szCs w:val="24"/>
              </w:rPr>
            </w:pPr>
            <w:r>
              <w:rPr>
                <w:rFonts w:ascii="Times New Roman" w:hAnsi="Times New Roman" w:cs="Times New Roman"/>
                <w:sz w:val="24"/>
                <w:szCs w:val="24"/>
              </w:rPr>
              <w:t>3</w:t>
            </w:r>
          </w:p>
        </w:tc>
        <w:tc>
          <w:tcPr>
            <w:tcW w:w="1838" w:type="dxa"/>
            <w:tcBorders>
              <w:top w:val="single" w:color="auto" w:sz="4" w:space="0"/>
              <w:left w:val="single" w:color="auto" w:sz="4" w:space="0"/>
              <w:bottom w:val="single" w:color="auto" w:sz="4" w:space="0"/>
              <w:right w:val="single" w:color="auto" w:sz="4" w:space="0"/>
            </w:tcBorders>
          </w:tcPr>
          <w:p w14:paraId="74B41114">
            <w:pPr>
              <w:jc w:val="both"/>
              <w:rPr>
                <w:rFonts w:ascii="Times New Roman" w:hAnsi="Times New Roman" w:cs="Times New Roman"/>
                <w:sz w:val="24"/>
                <w:szCs w:val="24"/>
              </w:rPr>
            </w:pPr>
            <w:r>
              <w:rPr>
                <w:rFonts w:ascii="Times New Roman" w:hAnsi="Times New Roman" w:cs="Times New Roman"/>
                <w:sz w:val="24"/>
                <w:szCs w:val="24"/>
              </w:rPr>
              <w:t xml:space="preserve">Dodecanoic acid </w:t>
            </w:r>
          </w:p>
        </w:tc>
        <w:tc>
          <w:tcPr>
            <w:tcW w:w="1232" w:type="dxa"/>
            <w:tcBorders>
              <w:top w:val="single" w:color="auto" w:sz="4" w:space="0"/>
              <w:left w:val="single" w:color="auto" w:sz="4" w:space="0"/>
              <w:bottom w:val="single" w:color="auto" w:sz="4" w:space="0"/>
              <w:right w:val="single" w:color="auto" w:sz="4" w:space="0"/>
            </w:tcBorders>
          </w:tcPr>
          <w:p w14:paraId="5C09B858">
            <w:pPr>
              <w:jc w:val="both"/>
              <w:rPr>
                <w:rFonts w:ascii="Times New Roman" w:hAnsi="Times New Roman" w:cs="Times New Roman"/>
                <w:sz w:val="24"/>
                <w:szCs w:val="24"/>
              </w:rPr>
            </w:pPr>
            <w:r>
              <w:rPr>
                <w:rFonts w:ascii="Times New Roman" w:hAnsi="Times New Roman" w:cs="Times New Roman"/>
                <w:sz w:val="24"/>
                <w:szCs w:val="24"/>
              </w:rPr>
              <w:t>19.232</w:t>
            </w:r>
          </w:p>
        </w:tc>
        <w:tc>
          <w:tcPr>
            <w:tcW w:w="701" w:type="dxa"/>
            <w:tcBorders>
              <w:top w:val="single" w:color="auto" w:sz="4" w:space="0"/>
              <w:left w:val="single" w:color="auto" w:sz="4" w:space="0"/>
              <w:bottom w:val="single" w:color="auto" w:sz="4" w:space="0"/>
              <w:right w:val="single" w:color="auto" w:sz="4" w:space="0"/>
            </w:tcBorders>
          </w:tcPr>
          <w:p w14:paraId="5DB188F7">
            <w:pPr>
              <w:jc w:val="both"/>
              <w:rPr>
                <w:rFonts w:ascii="Times New Roman" w:hAnsi="Times New Roman" w:cs="Times New Roman"/>
                <w:sz w:val="24"/>
                <w:szCs w:val="24"/>
              </w:rPr>
            </w:pPr>
            <w:r>
              <w:rPr>
                <w:rFonts w:ascii="Times New Roman" w:hAnsi="Times New Roman" w:cs="Times New Roman"/>
                <w:sz w:val="24"/>
                <w:szCs w:val="24"/>
              </w:rPr>
              <w:t>2.83</w:t>
            </w:r>
          </w:p>
        </w:tc>
        <w:tc>
          <w:tcPr>
            <w:tcW w:w="1048" w:type="dxa"/>
            <w:tcBorders>
              <w:top w:val="single" w:color="auto" w:sz="4" w:space="0"/>
              <w:left w:val="single" w:color="auto" w:sz="4" w:space="0"/>
              <w:bottom w:val="single" w:color="auto" w:sz="4" w:space="0"/>
              <w:right w:val="single" w:color="auto" w:sz="4" w:space="0"/>
            </w:tcBorders>
          </w:tcPr>
          <w:p w14:paraId="5F2EA409">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color="auto" w:sz="4" w:space="0"/>
              <w:left w:val="single" w:color="auto" w:sz="4" w:space="0"/>
              <w:bottom w:val="single" w:color="auto" w:sz="4" w:space="0"/>
              <w:right w:val="single" w:color="auto" w:sz="4" w:space="0"/>
            </w:tcBorders>
          </w:tcPr>
          <w:p w14:paraId="770CFC31">
            <w:pPr>
              <w:jc w:val="both"/>
              <w:rPr>
                <w:rFonts w:ascii="Times New Roman" w:hAnsi="Times New Roman" w:cs="Times New Roman"/>
                <w:sz w:val="24"/>
                <w:szCs w:val="24"/>
              </w:rPr>
            </w:pPr>
            <w:r>
              <w:rPr>
                <w:rFonts w:ascii="Times New Roman" w:hAnsi="Times New Roman" w:cs="Times New Roman"/>
                <w:sz w:val="24"/>
                <w:szCs w:val="24"/>
              </w:rPr>
              <w:t>Antibacterial, antibiofilm, antiviral, food preservation</w:t>
            </w:r>
          </w:p>
        </w:tc>
        <w:tc>
          <w:tcPr>
            <w:tcW w:w="1573" w:type="dxa"/>
            <w:tcBorders>
              <w:top w:val="single" w:color="auto" w:sz="4" w:space="0"/>
              <w:left w:val="single" w:color="auto" w:sz="4" w:space="0"/>
              <w:bottom w:val="single" w:color="auto" w:sz="4" w:space="0"/>
              <w:right w:val="single" w:color="auto" w:sz="4" w:space="0"/>
            </w:tcBorders>
          </w:tcPr>
          <w:p w14:paraId="2F09CD05">
            <w:pPr>
              <w:jc w:val="both"/>
            </w:pPr>
            <w:r>
              <w:t>Yang (2009); Huang (2014); Qingyan (2024)</w:t>
            </w:r>
          </w:p>
        </w:tc>
      </w:tr>
      <w:tr w14:paraId="1F7B4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6D8A87DB">
            <w:pPr>
              <w:jc w:val="both"/>
              <w:rPr>
                <w:rFonts w:ascii="Times New Roman" w:hAnsi="Times New Roman" w:cs="Times New Roman"/>
                <w:sz w:val="24"/>
                <w:szCs w:val="24"/>
              </w:rPr>
            </w:pPr>
            <w:r>
              <w:rPr>
                <w:rFonts w:ascii="Times New Roman" w:hAnsi="Times New Roman" w:cs="Times New Roman"/>
                <w:sz w:val="24"/>
                <w:szCs w:val="24"/>
              </w:rPr>
              <w:t>4</w:t>
            </w:r>
          </w:p>
        </w:tc>
        <w:tc>
          <w:tcPr>
            <w:tcW w:w="1838" w:type="dxa"/>
            <w:tcBorders>
              <w:top w:val="single" w:color="auto" w:sz="4" w:space="0"/>
              <w:left w:val="single" w:color="auto" w:sz="4" w:space="0"/>
              <w:bottom w:val="single" w:color="auto" w:sz="4" w:space="0"/>
              <w:right w:val="single" w:color="auto" w:sz="4" w:space="0"/>
            </w:tcBorders>
          </w:tcPr>
          <w:p w14:paraId="431C052F">
            <w:pPr>
              <w:jc w:val="both"/>
              <w:rPr>
                <w:rFonts w:ascii="Times New Roman" w:hAnsi="Times New Roman" w:cs="Times New Roman"/>
                <w:sz w:val="24"/>
                <w:szCs w:val="24"/>
              </w:rPr>
            </w:pPr>
            <w:r>
              <w:rPr>
                <w:rFonts w:ascii="Times New Roman" w:hAnsi="Times New Roman" w:cs="Times New Roman"/>
                <w:sz w:val="24"/>
                <w:szCs w:val="24"/>
              </w:rPr>
              <w:t>3-Eicosene, (E)</w:t>
            </w:r>
          </w:p>
        </w:tc>
        <w:tc>
          <w:tcPr>
            <w:tcW w:w="1232" w:type="dxa"/>
            <w:tcBorders>
              <w:top w:val="single" w:color="auto" w:sz="4" w:space="0"/>
              <w:left w:val="single" w:color="auto" w:sz="4" w:space="0"/>
              <w:bottom w:val="single" w:color="auto" w:sz="4" w:space="0"/>
              <w:right w:val="single" w:color="auto" w:sz="4" w:space="0"/>
            </w:tcBorders>
          </w:tcPr>
          <w:p w14:paraId="2F55D221">
            <w:pPr>
              <w:jc w:val="both"/>
              <w:rPr>
                <w:rFonts w:ascii="Times New Roman" w:hAnsi="Times New Roman" w:cs="Times New Roman"/>
                <w:sz w:val="24"/>
                <w:szCs w:val="24"/>
              </w:rPr>
            </w:pPr>
            <w:r>
              <w:rPr>
                <w:rFonts w:ascii="Times New Roman" w:hAnsi="Times New Roman" w:cs="Times New Roman"/>
                <w:sz w:val="24"/>
                <w:szCs w:val="24"/>
              </w:rPr>
              <w:t>19.564</w:t>
            </w:r>
          </w:p>
        </w:tc>
        <w:tc>
          <w:tcPr>
            <w:tcW w:w="701" w:type="dxa"/>
            <w:tcBorders>
              <w:top w:val="single" w:color="auto" w:sz="4" w:space="0"/>
              <w:left w:val="single" w:color="auto" w:sz="4" w:space="0"/>
              <w:bottom w:val="single" w:color="auto" w:sz="4" w:space="0"/>
              <w:right w:val="single" w:color="auto" w:sz="4" w:space="0"/>
            </w:tcBorders>
          </w:tcPr>
          <w:p w14:paraId="7FBCFC06">
            <w:pPr>
              <w:jc w:val="both"/>
              <w:rPr>
                <w:rFonts w:ascii="Times New Roman" w:hAnsi="Times New Roman" w:cs="Times New Roman"/>
                <w:sz w:val="24"/>
                <w:szCs w:val="24"/>
              </w:rPr>
            </w:pPr>
            <w:r>
              <w:rPr>
                <w:rFonts w:ascii="Times New Roman" w:hAnsi="Times New Roman" w:cs="Times New Roman"/>
                <w:sz w:val="24"/>
                <w:szCs w:val="24"/>
              </w:rPr>
              <w:t>0.31</w:t>
            </w:r>
          </w:p>
        </w:tc>
        <w:tc>
          <w:tcPr>
            <w:tcW w:w="1048" w:type="dxa"/>
            <w:tcBorders>
              <w:top w:val="single" w:color="auto" w:sz="4" w:space="0"/>
              <w:left w:val="single" w:color="auto" w:sz="4" w:space="0"/>
              <w:bottom w:val="single" w:color="auto" w:sz="4" w:space="0"/>
              <w:right w:val="single" w:color="auto" w:sz="4" w:space="0"/>
            </w:tcBorders>
          </w:tcPr>
          <w:p w14:paraId="1A5063F1">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color="auto" w:sz="4" w:space="0"/>
              <w:left w:val="single" w:color="auto" w:sz="4" w:space="0"/>
              <w:bottom w:val="single" w:color="auto" w:sz="4" w:space="0"/>
              <w:right w:val="single" w:color="auto" w:sz="4" w:space="0"/>
            </w:tcBorders>
          </w:tcPr>
          <w:p w14:paraId="12F912F5">
            <w:pPr>
              <w:jc w:val="both"/>
              <w:rPr>
                <w:rFonts w:ascii="Times New Roman" w:hAnsi="Times New Roman" w:cs="Times New Roman"/>
                <w:sz w:val="24"/>
                <w:szCs w:val="24"/>
              </w:rPr>
            </w:pPr>
            <w:r>
              <w:rPr>
                <w:rFonts w:ascii="Times New Roman" w:hAnsi="Times New Roman" w:cs="Times New Roman"/>
                <w:sz w:val="24"/>
                <w:szCs w:val="24"/>
              </w:rPr>
              <w:t xml:space="preserve">Antimicrobial, anti-hyperglycemic, cytotoxic activity, antioxidant, insecticidal </w:t>
            </w:r>
          </w:p>
        </w:tc>
        <w:tc>
          <w:tcPr>
            <w:tcW w:w="1573" w:type="dxa"/>
            <w:tcBorders>
              <w:top w:val="single" w:color="auto" w:sz="4" w:space="0"/>
              <w:left w:val="single" w:color="auto" w:sz="4" w:space="0"/>
              <w:bottom w:val="single" w:color="auto" w:sz="4" w:space="0"/>
              <w:right w:val="single" w:color="auto" w:sz="4" w:space="0"/>
            </w:tcBorders>
          </w:tcPr>
          <w:p w14:paraId="449CE1B3">
            <w:pPr>
              <w:jc w:val="both"/>
            </w:pPr>
            <w:r>
              <w:t>Banakar &amp; Jayaraj, 2018</w:t>
            </w:r>
          </w:p>
        </w:tc>
      </w:tr>
      <w:tr w14:paraId="4B211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52949597">
            <w:pPr>
              <w:jc w:val="both"/>
              <w:rPr>
                <w:rFonts w:ascii="Times New Roman" w:hAnsi="Times New Roman" w:cs="Times New Roman"/>
                <w:sz w:val="24"/>
                <w:szCs w:val="24"/>
              </w:rPr>
            </w:pPr>
            <w:r>
              <w:rPr>
                <w:rFonts w:ascii="Times New Roman" w:hAnsi="Times New Roman" w:cs="Times New Roman"/>
                <w:sz w:val="24"/>
                <w:szCs w:val="24"/>
              </w:rPr>
              <w:t>5</w:t>
            </w:r>
          </w:p>
        </w:tc>
        <w:tc>
          <w:tcPr>
            <w:tcW w:w="1838" w:type="dxa"/>
            <w:tcBorders>
              <w:top w:val="single" w:color="auto" w:sz="4" w:space="0"/>
              <w:left w:val="single" w:color="auto" w:sz="4" w:space="0"/>
              <w:bottom w:val="single" w:color="auto" w:sz="4" w:space="0"/>
              <w:right w:val="single" w:color="auto" w:sz="4" w:space="0"/>
            </w:tcBorders>
          </w:tcPr>
          <w:p w14:paraId="2D92CFAD">
            <w:pPr>
              <w:jc w:val="both"/>
              <w:rPr>
                <w:rFonts w:ascii="Times New Roman" w:hAnsi="Times New Roman" w:cs="Times New Roman"/>
                <w:sz w:val="24"/>
                <w:szCs w:val="24"/>
              </w:rPr>
            </w:pPr>
            <w:r>
              <w:rPr>
                <w:rFonts w:ascii="Times New Roman" w:hAnsi="Times New Roman" w:cs="Times New Roman"/>
                <w:sz w:val="24"/>
                <w:szCs w:val="24"/>
              </w:rPr>
              <w:t xml:space="preserve">Hexadecane </w:t>
            </w:r>
          </w:p>
        </w:tc>
        <w:tc>
          <w:tcPr>
            <w:tcW w:w="1232" w:type="dxa"/>
            <w:tcBorders>
              <w:top w:val="single" w:color="auto" w:sz="4" w:space="0"/>
              <w:left w:val="single" w:color="auto" w:sz="4" w:space="0"/>
              <w:bottom w:val="single" w:color="auto" w:sz="4" w:space="0"/>
              <w:right w:val="single" w:color="auto" w:sz="4" w:space="0"/>
            </w:tcBorders>
          </w:tcPr>
          <w:p w14:paraId="2D06CD9C">
            <w:pPr>
              <w:jc w:val="both"/>
              <w:rPr>
                <w:rFonts w:ascii="Times New Roman" w:hAnsi="Times New Roman" w:cs="Times New Roman"/>
                <w:sz w:val="24"/>
                <w:szCs w:val="24"/>
              </w:rPr>
            </w:pPr>
            <w:r>
              <w:rPr>
                <w:rFonts w:ascii="Times New Roman" w:hAnsi="Times New Roman" w:cs="Times New Roman"/>
                <w:sz w:val="24"/>
                <w:szCs w:val="24"/>
              </w:rPr>
              <w:t>19.812</w:t>
            </w:r>
          </w:p>
        </w:tc>
        <w:tc>
          <w:tcPr>
            <w:tcW w:w="701" w:type="dxa"/>
            <w:tcBorders>
              <w:top w:val="single" w:color="auto" w:sz="4" w:space="0"/>
              <w:left w:val="single" w:color="auto" w:sz="4" w:space="0"/>
              <w:bottom w:val="single" w:color="auto" w:sz="4" w:space="0"/>
              <w:right w:val="single" w:color="auto" w:sz="4" w:space="0"/>
            </w:tcBorders>
          </w:tcPr>
          <w:p w14:paraId="44E5DD2B">
            <w:pPr>
              <w:jc w:val="both"/>
              <w:rPr>
                <w:rFonts w:ascii="Times New Roman" w:hAnsi="Times New Roman" w:cs="Times New Roman"/>
                <w:sz w:val="24"/>
                <w:szCs w:val="24"/>
              </w:rPr>
            </w:pPr>
            <w:r>
              <w:rPr>
                <w:rFonts w:ascii="Times New Roman" w:hAnsi="Times New Roman" w:cs="Times New Roman"/>
                <w:sz w:val="24"/>
                <w:szCs w:val="24"/>
              </w:rPr>
              <w:t>0.40</w:t>
            </w:r>
          </w:p>
        </w:tc>
        <w:tc>
          <w:tcPr>
            <w:tcW w:w="1048" w:type="dxa"/>
            <w:tcBorders>
              <w:top w:val="single" w:color="auto" w:sz="4" w:space="0"/>
              <w:left w:val="single" w:color="auto" w:sz="4" w:space="0"/>
              <w:bottom w:val="single" w:color="auto" w:sz="4" w:space="0"/>
              <w:right w:val="single" w:color="auto" w:sz="4" w:space="0"/>
            </w:tcBorders>
          </w:tcPr>
          <w:p w14:paraId="41B215CA">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color="auto" w:sz="4" w:space="0"/>
              <w:left w:val="single" w:color="auto" w:sz="4" w:space="0"/>
              <w:bottom w:val="single" w:color="auto" w:sz="4" w:space="0"/>
              <w:right w:val="single" w:color="auto" w:sz="4" w:space="0"/>
            </w:tcBorders>
          </w:tcPr>
          <w:p w14:paraId="382CDFC3">
            <w:pPr>
              <w:jc w:val="both"/>
              <w:rPr>
                <w:rFonts w:ascii="Times New Roman" w:hAnsi="Times New Roman" w:cs="Times New Roman"/>
                <w:sz w:val="24"/>
                <w:szCs w:val="24"/>
              </w:rPr>
            </w:pPr>
            <w:r>
              <w:rPr>
                <w:rFonts w:ascii="Times New Roman" w:hAnsi="Times New Roman" w:cs="Times New Roman"/>
                <w:sz w:val="24"/>
                <w:szCs w:val="24"/>
              </w:rPr>
              <w:t>Antifungal, antibacterial, antioxidant, Cytotoxicity, antipyretic, anthelmintic, anti-inflammatory, antidiarrheal, antidiabetic</w:t>
            </w:r>
          </w:p>
        </w:tc>
        <w:tc>
          <w:tcPr>
            <w:tcW w:w="1573" w:type="dxa"/>
            <w:tcBorders>
              <w:top w:val="single" w:color="auto" w:sz="4" w:space="0"/>
              <w:left w:val="single" w:color="auto" w:sz="4" w:space="0"/>
              <w:bottom w:val="single" w:color="auto" w:sz="4" w:space="0"/>
              <w:right w:val="single" w:color="auto" w:sz="4" w:space="0"/>
            </w:tcBorders>
          </w:tcPr>
          <w:p w14:paraId="5D8712CF">
            <w:pPr>
              <w:jc w:val="both"/>
            </w:pPr>
            <w:r>
              <w:t xml:space="preserve">Faridha </w:t>
            </w:r>
            <w:r>
              <w:rPr>
                <w:i/>
                <w:iCs/>
              </w:rPr>
              <w:t>et al</w:t>
            </w:r>
            <w:r>
              <w:t>., 2016; Banakar &amp; Jayaraj, 2018</w:t>
            </w:r>
          </w:p>
        </w:tc>
      </w:tr>
      <w:tr w14:paraId="2875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7D2EBB3C">
            <w:pPr>
              <w:jc w:val="both"/>
              <w:rPr>
                <w:rFonts w:ascii="Times New Roman" w:hAnsi="Times New Roman" w:cs="Times New Roman"/>
                <w:sz w:val="24"/>
                <w:szCs w:val="24"/>
              </w:rPr>
            </w:pPr>
            <w:r>
              <w:rPr>
                <w:rFonts w:ascii="Times New Roman" w:hAnsi="Times New Roman" w:cs="Times New Roman"/>
                <w:sz w:val="24"/>
                <w:szCs w:val="24"/>
              </w:rPr>
              <w:t>6</w:t>
            </w:r>
          </w:p>
        </w:tc>
        <w:tc>
          <w:tcPr>
            <w:tcW w:w="1838" w:type="dxa"/>
            <w:tcBorders>
              <w:top w:val="single" w:color="auto" w:sz="4" w:space="0"/>
              <w:left w:val="single" w:color="auto" w:sz="4" w:space="0"/>
              <w:bottom w:val="single" w:color="auto" w:sz="4" w:space="0"/>
              <w:right w:val="single" w:color="auto" w:sz="4" w:space="0"/>
            </w:tcBorders>
          </w:tcPr>
          <w:p w14:paraId="59832369">
            <w:pPr>
              <w:jc w:val="both"/>
              <w:rPr>
                <w:rFonts w:ascii="Times New Roman" w:hAnsi="Times New Roman" w:cs="Times New Roman"/>
                <w:sz w:val="24"/>
                <w:szCs w:val="24"/>
              </w:rPr>
            </w:pPr>
            <w:r>
              <w:rPr>
                <w:rFonts w:ascii="Times New Roman" w:hAnsi="Times New Roman" w:cs="Times New Roman"/>
                <w:sz w:val="24"/>
                <w:szCs w:val="24"/>
              </w:rPr>
              <w:t xml:space="preserve">Tetradecanoic acid </w:t>
            </w:r>
          </w:p>
        </w:tc>
        <w:tc>
          <w:tcPr>
            <w:tcW w:w="1232" w:type="dxa"/>
            <w:tcBorders>
              <w:top w:val="single" w:color="auto" w:sz="4" w:space="0"/>
              <w:left w:val="single" w:color="auto" w:sz="4" w:space="0"/>
              <w:bottom w:val="single" w:color="auto" w:sz="4" w:space="0"/>
              <w:right w:val="single" w:color="auto" w:sz="4" w:space="0"/>
            </w:tcBorders>
          </w:tcPr>
          <w:p w14:paraId="0995E43B">
            <w:pPr>
              <w:jc w:val="both"/>
              <w:rPr>
                <w:rFonts w:ascii="Times New Roman" w:hAnsi="Times New Roman" w:cs="Times New Roman"/>
                <w:sz w:val="24"/>
                <w:szCs w:val="24"/>
              </w:rPr>
            </w:pPr>
            <w:r>
              <w:rPr>
                <w:rFonts w:ascii="Times New Roman" w:hAnsi="Times New Roman" w:cs="Times New Roman"/>
                <w:sz w:val="24"/>
                <w:szCs w:val="24"/>
              </w:rPr>
              <w:t>23.471</w:t>
            </w:r>
          </w:p>
        </w:tc>
        <w:tc>
          <w:tcPr>
            <w:tcW w:w="701" w:type="dxa"/>
            <w:tcBorders>
              <w:top w:val="single" w:color="auto" w:sz="4" w:space="0"/>
              <w:left w:val="single" w:color="auto" w:sz="4" w:space="0"/>
              <w:bottom w:val="single" w:color="auto" w:sz="4" w:space="0"/>
              <w:right w:val="single" w:color="auto" w:sz="4" w:space="0"/>
            </w:tcBorders>
          </w:tcPr>
          <w:p w14:paraId="7FC9759A">
            <w:pPr>
              <w:jc w:val="both"/>
              <w:rPr>
                <w:rFonts w:ascii="Times New Roman" w:hAnsi="Times New Roman" w:cs="Times New Roman"/>
                <w:sz w:val="24"/>
                <w:szCs w:val="24"/>
              </w:rPr>
            </w:pPr>
            <w:r>
              <w:rPr>
                <w:rFonts w:ascii="Times New Roman" w:hAnsi="Times New Roman" w:cs="Times New Roman"/>
                <w:sz w:val="24"/>
                <w:szCs w:val="24"/>
              </w:rPr>
              <w:t>2.90</w:t>
            </w:r>
          </w:p>
        </w:tc>
        <w:tc>
          <w:tcPr>
            <w:tcW w:w="1048" w:type="dxa"/>
            <w:tcBorders>
              <w:top w:val="single" w:color="auto" w:sz="4" w:space="0"/>
              <w:left w:val="single" w:color="auto" w:sz="4" w:space="0"/>
              <w:bottom w:val="single" w:color="auto" w:sz="4" w:space="0"/>
              <w:right w:val="single" w:color="auto" w:sz="4" w:space="0"/>
            </w:tcBorders>
          </w:tcPr>
          <w:p w14:paraId="65151778">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color="auto" w:sz="4" w:space="0"/>
              <w:left w:val="single" w:color="auto" w:sz="4" w:space="0"/>
              <w:bottom w:val="single" w:color="auto" w:sz="4" w:space="0"/>
              <w:right w:val="single" w:color="auto" w:sz="4" w:space="0"/>
            </w:tcBorders>
          </w:tcPr>
          <w:p w14:paraId="4E1E0CE1">
            <w:pPr>
              <w:jc w:val="both"/>
              <w:rPr>
                <w:rFonts w:ascii="Times New Roman" w:hAnsi="Times New Roman" w:cs="Times New Roman"/>
                <w:sz w:val="24"/>
                <w:szCs w:val="24"/>
              </w:rPr>
            </w:pPr>
            <w:r>
              <w:rPr>
                <w:rFonts w:ascii="Times New Roman" w:hAnsi="Times New Roman" w:cs="Times New Roman"/>
                <w:sz w:val="24"/>
                <w:szCs w:val="24"/>
              </w:rPr>
              <w:t>Antibacterial, anti-virulence in derivatives</w:t>
            </w:r>
          </w:p>
        </w:tc>
        <w:tc>
          <w:tcPr>
            <w:tcW w:w="1573" w:type="dxa"/>
            <w:tcBorders>
              <w:top w:val="single" w:color="auto" w:sz="4" w:space="0"/>
              <w:left w:val="single" w:color="auto" w:sz="4" w:space="0"/>
              <w:bottom w:val="single" w:color="auto" w:sz="4" w:space="0"/>
              <w:right w:val="single" w:color="auto" w:sz="4" w:space="0"/>
            </w:tcBorders>
          </w:tcPr>
          <w:p w14:paraId="2587A506">
            <w:pPr>
              <w:jc w:val="both"/>
            </w:pPr>
            <w:r>
              <w:t xml:space="preserve">Casillas-Vargas 2021; Jumina </w:t>
            </w:r>
            <w:r>
              <w:rPr>
                <w:i/>
                <w:iCs/>
              </w:rPr>
              <w:t>et</w:t>
            </w:r>
            <w:r>
              <w:t xml:space="preserve"> </w:t>
            </w:r>
            <w:r>
              <w:rPr>
                <w:i/>
                <w:iCs/>
              </w:rPr>
              <w:t>al</w:t>
            </w:r>
            <w:r>
              <w:t xml:space="preserve">., 2019; Juárez-Rodríguez </w:t>
            </w:r>
            <w:r>
              <w:rPr>
                <w:i/>
                <w:iCs/>
              </w:rPr>
              <w:t>et</w:t>
            </w:r>
            <w:r>
              <w:t xml:space="preserve"> </w:t>
            </w:r>
            <w:r>
              <w:rPr>
                <w:i/>
                <w:iCs/>
              </w:rPr>
              <w:t>al</w:t>
            </w:r>
            <w:r>
              <w:t>., 2021</w:t>
            </w:r>
          </w:p>
        </w:tc>
      </w:tr>
      <w:tr w14:paraId="531DC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38D86888">
            <w:pPr>
              <w:jc w:val="both"/>
              <w:rPr>
                <w:rFonts w:ascii="Times New Roman" w:hAnsi="Times New Roman" w:cs="Times New Roman"/>
                <w:sz w:val="24"/>
                <w:szCs w:val="24"/>
              </w:rPr>
            </w:pPr>
            <w:r>
              <w:rPr>
                <w:rFonts w:ascii="Times New Roman" w:hAnsi="Times New Roman" w:cs="Times New Roman"/>
                <w:sz w:val="24"/>
                <w:szCs w:val="24"/>
              </w:rPr>
              <w:t>7</w:t>
            </w:r>
          </w:p>
        </w:tc>
        <w:tc>
          <w:tcPr>
            <w:tcW w:w="1838" w:type="dxa"/>
            <w:tcBorders>
              <w:top w:val="single" w:color="auto" w:sz="4" w:space="0"/>
              <w:left w:val="single" w:color="auto" w:sz="4" w:space="0"/>
              <w:bottom w:val="single" w:color="auto" w:sz="4" w:space="0"/>
              <w:right w:val="single" w:color="auto" w:sz="4" w:space="0"/>
            </w:tcBorders>
          </w:tcPr>
          <w:p w14:paraId="7DC64542">
            <w:pPr>
              <w:jc w:val="both"/>
              <w:rPr>
                <w:rFonts w:ascii="Times New Roman" w:hAnsi="Times New Roman" w:cs="Times New Roman"/>
                <w:sz w:val="24"/>
                <w:szCs w:val="24"/>
              </w:rPr>
            </w:pPr>
            <w:r>
              <w:rPr>
                <w:rFonts w:ascii="Times New Roman" w:hAnsi="Times New Roman" w:cs="Times New Roman"/>
                <w:sz w:val="24"/>
                <w:szCs w:val="24"/>
              </w:rPr>
              <w:t xml:space="preserve">Octadecane </w:t>
            </w:r>
          </w:p>
        </w:tc>
        <w:tc>
          <w:tcPr>
            <w:tcW w:w="1232" w:type="dxa"/>
            <w:tcBorders>
              <w:top w:val="single" w:color="auto" w:sz="4" w:space="0"/>
              <w:left w:val="single" w:color="auto" w:sz="4" w:space="0"/>
              <w:bottom w:val="single" w:color="auto" w:sz="4" w:space="0"/>
              <w:right w:val="single" w:color="auto" w:sz="4" w:space="0"/>
            </w:tcBorders>
          </w:tcPr>
          <w:p w14:paraId="690DE1CE">
            <w:pPr>
              <w:jc w:val="both"/>
              <w:rPr>
                <w:rFonts w:ascii="Times New Roman" w:hAnsi="Times New Roman" w:cs="Times New Roman"/>
                <w:sz w:val="24"/>
                <w:szCs w:val="24"/>
              </w:rPr>
            </w:pPr>
            <w:r>
              <w:rPr>
                <w:rFonts w:ascii="Times New Roman" w:hAnsi="Times New Roman" w:cs="Times New Roman"/>
                <w:sz w:val="24"/>
                <w:szCs w:val="24"/>
              </w:rPr>
              <w:t>24.214</w:t>
            </w:r>
          </w:p>
        </w:tc>
        <w:tc>
          <w:tcPr>
            <w:tcW w:w="701" w:type="dxa"/>
            <w:tcBorders>
              <w:top w:val="single" w:color="auto" w:sz="4" w:space="0"/>
              <w:left w:val="single" w:color="auto" w:sz="4" w:space="0"/>
              <w:bottom w:val="single" w:color="auto" w:sz="4" w:space="0"/>
              <w:right w:val="single" w:color="auto" w:sz="4" w:space="0"/>
            </w:tcBorders>
          </w:tcPr>
          <w:p w14:paraId="4C0DCB27">
            <w:pPr>
              <w:jc w:val="both"/>
              <w:rPr>
                <w:rFonts w:ascii="Times New Roman" w:hAnsi="Times New Roman" w:cs="Times New Roman"/>
                <w:sz w:val="24"/>
                <w:szCs w:val="24"/>
              </w:rPr>
            </w:pPr>
            <w:r>
              <w:rPr>
                <w:rFonts w:ascii="Times New Roman" w:hAnsi="Times New Roman" w:cs="Times New Roman"/>
                <w:sz w:val="24"/>
                <w:szCs w:val="24"/>
              </w:rPr>
              <w:t>0.84</w:t>
            </w:r>
          </w:p>
        </w:tc>
        <w:tc>
          <w:tcPr>
            <w:tcW w:w="1048" w:type="dxa"/>
            <w:tcBorders>
              <w:top w:val="single" w:color="auto" w:sz="4" w:space="0"/>
              <w:left w:val="single" w:color="auto" w:sz="4" w:space="0"/>
              <w:bottom w:val="single" w:color="auto" w:sz="4" w:space="0"/>
              <w:right w:val="single" w:color="auto" w:sz="4" w:space="0"/>
            </w:tcBorders>
          </w:tcPr>
          <w:p w14:paraId="32E7FEF3">
            <w:pPr>
              <w:jc w:val="both"/>
              <w:rPr>
                <w:rFonts w:ascii="Times New Roman" w:hAnsi="Times New Roman" w:cs="Times New Roman"/>
                <w:sz w:val="24"/>
                <w:szCs w:val="24"/>
              </w:rPr>
            </w:pPr>
            <w:r>
              <w:rPr>
                <w:rFonts w:ascii="Times New Roman" w:hAnsi="Times New Roman" w:cs="Times New Roman"/>
                <w:sz w:val="24"/>
                <w:szCs w:val="24"/>
              </w:rPr>
              <w:t xml:space="preserve">Alkane </w:t>
            </w:r>
          </w:p>
        </w:tc>
        <w:tc>
          <w:tcPr>
            <w:tcW w:w="2479" w:type="dxa"/>
            <w:tcBorders>
              <w:top w:val="single" w:color="auto" w:sz="4" w:space="0"/>
              <w:left w:val="single" w:color="auto" w:sz="4" w:space="0"/>
              <w:bottom w:val="single" w:color="auto" w:sz="4" w:space="0"/>
              <w:right w:val="single" w:color="auto" w:sz="4" w:space="0"/>
            </w:tcBorders>
          </w:tcPr>
          <w:p w14:paraId="1610B381">
            <w:pPr>
              <w:jc w:val="both"/>
              <w:rPr>
                <w:rFonts w:ascii="Times New Roman" w:hAnsi="Times New Roman" w:cs="Times New Roman"/>
                <w:sz w:val="24"/>
                <w:szCs w:val="24"/>
              </w:rPr>
            </w:pPr>
            <w:r>
              <w:rPr>
                <w:rFonts w:ascii="Times New Roman" w:hAnsi="Times New Roman" w:cs="Times New Roman"/>
                <w:sz w:val="24"/>
                <w:szCs w:val="24"/>
              </w:rPr>
              <w:t>Antibacterial antifungal activity, Anti-inflammatory, detoxification, cough relief, lung disease treatment, fever and cold management, antioxidant, antiseptic, anticorrosion activities</w:t>
            </w:r>
          </w:p>
          <w:p w14:paraId="44BFE916">
            <w:pPr>
              <w:jc w:val="both"/>
              <w:rPr>
                <w:rFonts w:ascii="Times New Roman" w:hAnsi="Times New Roman" w:cs="Times New Roman"/>
                <w:sz w:val="24"/>
                <w:szCs w:val="24"/>
              </w:rPr>
            </w:pPr>
          </w:p>
        </w:tc>
        <w:tc>
          <w:tcPr>
            <w:tcW w:w="1573" w:type="dxa"/>
            <w:tcBorders>
              <w:top w:val="single" w:color="auto" w:sz="4" w:space="0"/>
              <w:left w:val="single" w:color="auto" w:sz="4" w:space="0"/>
              <w:bottom w:val="single" w:color="auto" w:sz="4" w:space="0"/>
              <w:right w:val="single" w:color="auto" w:sz="4" w:space="0"/>
            </w:tcBorders>
          </w:tcPr>
          <w:p w14:paraId="59E4A99A">
            <w:pPr>
              <w:jc w:val="both"/>
            </w:pPr>
            <w:r>
              <w:t>Girija</w:t>
            </w:r>
            <w:r>
              <w:rPr>
                <w:i/>
                <w:iCs/>
              </w:rPr>
              <w:t xml:space="preserve"> et al., </w:t>
            </w:r>
            <w:r>
              <w:t>2014; Banakar &amp; Jayaraj, 2018</w:t>
            </w:r>
          </w:p>
        </w:tc>
      </w:tr>
      <w:tr w14:paraId="50000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4A186540">
            <w:pPr>
              <w:jc w:val="both"/>
              <w:rPr>
                <w:rFonts w:ascii="Times New Roman" w:hAnsi="Times New Roman" w:cs="Times New Roman"/>
                <w:sz w:val="24"/>
                <w:szCs w:val="24"/>
              </w:rPr>
            </w:pPr>
            <w:r>
              <w:rPr>
                <w:rFonts w:ascii="Times New Roman" w:hAnsi="Times New Roman" w:cs="Times New Roman"/>
                <w:sz w:val="24"/>
                <w:szCs w:val="24"/>
              </w:rPr>
              <w:t>8</w:t>
            </w:r>
          </w:p>
        </w:tc>
        <w:tc>
          <w:tcPr>
            <w:tcW w:w="1838" w:type="dxa"/>
            <w:tcBorders>
              <w:top w:val="single" w:color="auto" w:sz="4" w:space="0"/>
              <w:left w:val="single" w:color="auto" w:sz="4" w:space="0"/>
              <w:bottom w:val="single" w:color="auto" w:sz="4" w:space="0"/>
              <w:right w:val="single" w:color="auto" w:sz="4" w:space="0"/>
            </w:tcBorders>
          </w:tcPr>
          <w:p w14:paraId="03B9DF57">
            <w:pPr>
              <w:jc w:val="both"/>
              <w:rPr>
                <w:rFonts w:ascii="Times New Roman" w:hAnsi="Times New Roman" w:cs="Times New Roman"/>
                <w:sz w:val="24"/>
                <w:szCs w:val="24"/>
              </w:rPr>
            </w:pPr>
            <w:r>
              <w:rPr>
                <w:rFonts w:ascii="Times New Roman" w:hAnsi="Times New Roman" w:cs="Times New Roman"/>
                <w:sz w:val="24"/>
                <w:szCs w:val="24"/>
              </w:rPr>
              <w:t xml:space="preserve">Hexadecane </w:t>
            </w:r>
          </w:p>
          <w:p w14:paraId="2BC5D74E">
            <w:pPr>
              <w:jc w:val="both"/>
              <w:rPr>
                <w:rFonts w:ascii="Times New Roman" w:hAnsi="Times New Roman" w:cs="Times New Roman"/>
                <w:sz w:val="24"/>
                <w:szCs w:val="24"/>
              </w:rPr>
            </w:pPr>
          </w:p>
        </w:tc>
        <w:tc>
          <w:tcPr>
            <w:tcW w:w="1232" w:type="dxa"/>
            <w:tcBorders>
              <w:top w:val="single" w:color="auto" w:sz="4" w:space="0"/>
              <w:left w:val="single" w:color="auto" w:sz="4" w:space="0"/>
              <w:bottom w:val="single" w:color="auto" w:sz="4" w:space="0"/>
              <w:right w:val="single" w:color="auto" w:sz="4" w:space="0"/>
            </w:tcBorders>
          </w:tcPr>
          <w:p w14:paraId="07F3CE18">
            <w:pPr>
              <w:jc w:val="both"/>
              <w:rPr>
                <w:rFonts w:ascii="Times New Roman" w:hAnsi="Times New Roman" w:cs="Times New Roman"/>
                <w:sz w:val="24"/>
                <w:szCs w:val="24"/>
              </w:rPr>
            </w:pPr>
            <w:r>
              <w:rPr>
                <w:rFonts w:ascii="Times New Roman" w:hAnsi="Times New Roman" w:cs="Times New Roman"/>
                <w:sz w:val="24"/>
                <w:szCs w:val="24"/>
              </w:rPr>
              <w:t>26.259</w:t>
            </w:r>
          </w:p>
        </w:tc>
        <w:tc>
          <w:tcPr>
            <w:tcW w:w="701" w:type="dxa"/>
            <w:tcBorders>
              <w:top w:val="single" w:color="auto" w:sz="4" w:space="0"/>
              <w:left w:val="single" w:color="auto" w:sz="4" w:space="0"/>
              <w:bottom w:val="single" w:color="auto" w:sz="4" w:space="0"/>
              <w:right w:val="single" w:color="auto" w:sz="4" w:space="0"/>
            </w:tcBorders>
          </w:tcPr>
          <w:p w14:paraId="3697B006">
            <w:pPr>
              <w:jc w:val="both"/>
              <w:rPr>
                <w:rFonts w:ascii="Times New Roman" w:hAnsi="Times New Roman" w:cs="Times New Roman"/>
                <w:sz w:val="24"/>
                <w:szCs w:val="24"/>
              </w:rPr>
            </w:pPr>
            <w:r>
              <w:rPr>
                <w:rFonts w:ascii="Times New Roman" w:hAnsi="Times New Roman" w:cs="Times New Roman"/>
                <w:sz w:val="24"/>
                <w:szCs w:val="24"/>
              </w:rPr>
              <w:t>0.56</w:t>
            </w:r>
          </w:p>
        </w:tc>
        <w:tc>
          <w:tcPr>
            <w:tcW w:w="1048" w:type="dxa"/>
            <w:tcBorders>
              <w:top w:val="single" w:color="auto" w:sz="4" w:space="0"/>
              <w:left w:val="single" w:color="auto" w:sz="4" w:space="0"/>
              <w:bottom w:val="single" w:color="auto" w:sz="4" w:space="0"/>
              <w:right w:val="single" w:color="auto" w:sz="4" w:space="0"/>
            </w:tcBorders>
          </w:tcPr>
          <w:p w14:paraId="03BC22C8">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color="auto" w:sz="4" w:space="0"/>
              <w:left w:val="single" w:color="auto" w:sz="4" w:space="0"/>
              <w:bottom w:val="single" w:color="auto" w:sz="4" w:space="0"/>
              <w:right w:val="single" w:color="auto" w:sz="4" w:space="0"/>
            </w:tcBorders>
          </w:tcPr>
          <w:p w14:paraId="026E049C">
            <w:pPr>
              <w:jc w:val="both"/>
              <w:rPr>
                <w:rFonts w:ascii="Times New Roman" w:hAnsi="Times New Roman" w:cs="Times New Roman"/>
                <w:sz w:val="24"/>
                <w:szCs w:val="24"/>
              </w:rPr>
            </w:pPr>
            <w:r>
              <w:rPr>
                <w:rFonts w:ascii="Times New Roman" w:hAnsi="Times New Roman" w:cs="Times New Roman"/>
                <w:sz w:val="24"/>
                <w:szCs w:val="24"/>
              </w:rPr>
              <w:t>Mild antimicrobial</w:t>
            </w:r>
          </w:p>
        </w:tc>
        <w:tc>
          <w:tcPr>
            <w:tcW w:w="1573" w:type="dxa"/>
            <w:tcBorders>
              <w:top w:val="single" w:color="auto" w:sz="4" w:space="0"/>
              <w:left w:val="single" w:color="auto" w:sz="4" w:space="0"/>
              <w:bottom w:val="single" w:color="auto" w:sz="4" w:space="0"/>
              <w:right w:val="single" w:color="auto" w:sz="4" w:space="0"/>
            </w:tcBorders>
          </w:tcPr>
          <w:p w14:paraId="6E3E3AE3">
            <w:pPr>
              <w:jc w:val="both"/>
            </w:pPr>
            <w:r>
              <w:t>Mohamed (2022)</w:t>
            </w:r>
          </w:p>
        </w:tc>
      </w:tr>
      <w:tr w14:paraId="05F16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1B903FAD">
            <w:pPr>
              <w:jc w:val="both"/>
              <w:rPr>
                <w:rFonts w:ascii="Times New Roman" w:hAnsi="Times New Roman" w:cs="Times New Roman"/>
                <w:sz w:val="24"/>
                <w:szCs w:val="24"/>
              </w:rPr>
            </w:pPr>
            <w:r>
              <w:rPr>
                <w:rFonts w:ascii="Times New Roman" w:hAnsi="Times New Roman" w:cs="Times New Roman"/>
                <w:sz w:val="24"/>
                <w:szCs w:val="24"/>
              </w:rPr>
              <w:t>9</w:t>
            </w:r>
          </w:p>
        </w:tc>
        <w:tc>
          <w:tcPr>
            <w:tcW w:w="1838" w:type="dxa"/>
            <w:tcBorders>
              <w:top w:val="single" w:color="auto" w:sz="4" w:space="0"/>
              <w:left w:val="single" w:color="auto" w:sz="4" w:space="0"/>
              <w:bottom w:val="single" w:color="auto" w:sz="4" w:space="0"/>
              <w:right w:val="single" w:color="auto" w:sz="4" w:space="0"/>
            </w:tcBorders>
          </w:tcPr>
          <w:p w14:paraId="414F36FB">
            <w:pPr>
              <w:jc w:val="both"/>
              <w:rPr>
                <w:rFonts w:ascii="Times New Roman" w:hAnsi="Times New Roman" w:cs="Times New Roman"/>
                <w:sz w:val="24"/>
                <w:szCs w:val="24"/>
              </w:rPr>
            </w:pPr>
            <w:r>
              <w:rPr>
                <w:rFonts w:ascii="Times New Roman" w:hAnsi="Times New Roman" w:cs="Times New Roman"/>
                <w:sz w:val="24"/>
                <w:szCs w:val="24"/>
              </w:rPr>
              <w:t xml:space="preserve">Pentadecanoic acid, 1- methyl-, methyl ester </w:t>
            </w:r>
          </w:p>
          <w:p w14:paraId="299D91B7">
            <w:pPr>
              <w:jc w:val="both"/>
              <w:rPr>
                <w:rFonts w:ascii="Times New Roman" w:hAnsi="Times New Roman" w:cs="Times New Roman"/>
                <w:sz w:val="24"/>
                <w:szCs w:val="24"/>
              </w:rPr>
            </w:pPr>
            <w:r>
              <w:rPr>
                <w:rFonts w:ascii="Times New Roman" w:hAnsi="Times New Roman" w:cs="Times New Roman"/>
                <w:sz w:val="24"/>
                <w:szCs w:val="24"/>
              </w:rPr>
              <w:t xml:space="preserve">Hexadecanoic acid, methyl ester </w:t>
            </w:r>
          </w:p>
        </w:tc>
        <w:tc>
          <w:tcPr>
            <w:tcW w:w="1232" w:type="dxa"/>
            <w:tcBorders>
              <w:top w:val="single" w:color="auto" w:sz="4" w:space="0"/>
              <w:left w:val="single" w:color="auto" w:sz="4" w:space="0"/>
              <w:bottom w:val="single" w:color="auto" w:sz="4" w:space="0"/>
              <w:right w:val="single" w:color="auto" w:sz="4" w:space="0"/>
            </w:tcBorders>
          </w:tcPr>
          <w:p w14:paraId="150BC289">
            <w:pPr>
              <w:jc w:val="both"/>
              <w:rPr>
                <w:rFonts w:ascii="Times New Roman" w:hAnsi="Times New Roman" w:cs="Times New Roman"/>
                <w:sz w:val="24"/>
                <w:szCs w:val="24"/>
              </w:rPr>
            </w:pPr>
            <w:r>
              <w:rPr>
                <w:rFonts w:ascii="Times New Roman" w:hAnsi="Times New Roman" w:cs="Times New Roman"/>
                <w:sz w:val="24"/>
                <w:szCs w:val="24"/>
              </w:rPr>
              <w:t>26.472</w:t>
            </w:r>
          </w:p>
        </w:tc>
        <w:tc>
          <w:tcPr>
            <w:tcW w:w="701" w:type="dxa"/>
            <w:tcBorders>
              <w:top w:val="single" w:color="auto" w:sz="4" w:space="0"/>
              <w:left w:val="single" w:color="auto" w:sz="4" w:space="0"/>
              <w:bottom w:val="single" w:color="auto" w:sz="4" w:space="0"/>
              <w:right w:val="single" w:color="auto" w:sz="4" w:space="0"/>
            </w:tcBorders>
          </w:tcPr>
          <w:p w14:paraId="0E41E27C">
            <w:pPr>
              <w:jc w:val="both"/>
              <w:rPr>
                <w:rFonts w:ascii="Times New Roman" w:hAnsi="Times New Roman" w:cs="Times New Roman"/>
                <w:sz w:val="24"/>
                <w:szCs w:val="24"/>
              </w:rPr>
            </w:pPr>
            <w:r>
              <w:rPr>
                <w:rFonts w:ascii="Times New Roman" w:hAnsi="Times New Roman" w:cs="Times New Roman"/>
                <w:sz w:val="24"/>
                <w:szCs w:val="24"/>
              </w:rPr>
              <w:t>1.63</w:t>
            </w:r>
          </w:p>
        </w:tc>
        <w:tc>
          <w:tcPr>
            <w:tcW w:w="1048" w:type="dxa"/>
            <w:tcBorders>
              <w:top w:val="single" w:color="auto" w:sz="4" w:space="0"/>
              <w:left w:val="single" w:color="auto" w:sz="4" w:space="0"/>
              <w:bottom w:val="single" w:color="auto" w:sz="4" w:space="0"/>
              <w:right w:val="single" w:color="auto" w:sz="4" w:space="0"/>
            </w:tcBorders>
          </w:tcPr>
          <w:p w14:paraId="4566A393">
            <w:pPr>
              <w:jc w:val="both"/>
              <w:rPr>
                <w:rFonts w:ascii="Times New Roman" w:hAnsi="Times New Roman" w:cs="Times New Roman"/>
                <w:sz w:val="24"/>
                <w:szCs w:val="24"/>
              </w:rPr>
            </w:pPr>
            <w:r>
              <w:rPr>
                <w:rFonts w:ascii="Times New Roman" w:hAnsi="Times New Roman" w:cs="Times New Roman"/>
                <w:sz w:val="24"/>
                <w:szCs w:val="24"/>
              </w:rPr>
              <w:t xml:space="preserve">Fatty acid methyl ester </w:t>
            </w:r>
          </w:p>
        </w:tc>
        <w:tc>
          <w:tcPr>
            <w:tcW w:w="2479" w:type="dxa"/>
            <w:tcBorders>
              <w:top w:val="single" w:color="auto" w:sz="4" w:space="0"/>
              <w:left w:val="single" w:color="auto" w:sz="4" w:space="0"/>
              <w:bottom w:val="single" w:color="auto" w:sz="4" w:space="0"/>
              <w:right w:val="single" w:color="auto" w:sz="4" w:space="0"/>
            </w:tcBorders>
          </w:tcPr>
          <w:p w14:paraId="27295214">
            <w:pPr>
              <w:jc w:val="both"/>
              <w:rPr>
                <w:rFonts w:ascii="Times New Roman" w:hAnsi="Times New Roman" w:cs="Times New Roman"/>
                <w:sz w:val="24"/>
                <w:szCs w:val="24"/>
              </w:rPr>
            </w:pPr>
            <w:r>
              <w:rPr>
                <w:rFonts w:ascii="Times New Roman" w:hAnsi="Times New Roman" w:cs="Times New Roman"/>
                <w:sz w:val="24"/>
                <w:szCs w:val="24"/>
              </w:rPr>
              <w:t xml:space="preserve">Anti-inflammatory, hypocholesterolemic, anti-cancer,  hepatoprotective, nematicide, nsectifuge, antihistaminic, anticorona, antiarthritic </w:t>
            </w:r>
          </w:p>
        </w:tc>
        <w:tc>
          <w:tcPr>
            <w:tcW w:w="1573" w:type="dxa"/>
            <w:tcBorders>
              <w:top w:val="single" w:color="auto" w:sz="4" w:space="0"/>
              <w:left w:val="single" w:color="auto" w:sz="4" w:space="0"/>
              <w:bottom w:val="single" w:color="auto" w:sz="4" w:space="0"/>
              <w:right w:val="single" w:color="auto" w:sz="4" w:space="0"/>
            </w:tcBorders>
          </w:tcPr>
          <w:p w14:paraId="54393F00">
            <w:pPr>
              <w:jc w:val="both"/>
            </w:pPr>
            <w:r>
              <w:t xml:space="preserve">Jegadeeswari </w:t>
            </w:r>
            <w:r>
              <w:rPr>
                <w:i/>
                <w:iCs/>
              </w:rPr>
              <w:t>et al.,</w:t>
            </w:r>
            <w:r>
              <w:t xml:space="preserve"> 2012</w:t>
            </w:r>
          </w:p>
        </w:tc>
      </w:tr>
      <w:tr w14:paraId="074F9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auto" w:sz="4" w:space="0"/>
              <w:left w:val="single" w:color="auto" w:sz="4" w:space="0"/>
              <w:bottom w:val="single" w:color="auto" w:sz="4" w:space="0"/>
              <w:right w:val="single" w:color="auto" w:sz="4" w:space="0"/>
            </w:tcBorders>
          </w:tcPr>
          <w:p w14:paraId="271DAED9">
            <w:pPr>
              <w:jc w:val="both"/>
              <w:rPr>
                <w:rFonts w:ascii="Times New Roman" w:hAnsi="Times New Roman" w:cs="Times New Roman"/>
                <w:sz w:val="24"/>
                <w:szCs w:val="24"/>
              </w:rPr>
            </w:pPr>
            <w:r>
              <w:rPr>
                <w:rFonts w:ascii="Times New Roman" w:hAnsi="Times New Roman" w:cs="Times New Roman"/>
                <w:sz w:val="24"/>
                <w:szCs w:val="24"/>
              </w:rPr>
              <w:t>10</w:t>
            </w:r>
          </w:p>
        </w:tc>
        <w:tc>
          <w:tcPr>
            <w:tcW w:w="1838" w:type="dxa"/>
            <w:tcBorders>
              <w:top w:val="single" w:color="auto" w:sz="4" w:space="0"/>
              <w:left w:val="single" w:color="auto" w:sz="4" w:space="0"/>
              <w:bottom w:val="single" w:color="auto" w:sz="4" w:space="0"/>
              <w:right w:val="single" w:color="auto" w:sz="4" w:space="0"/>
            </w:tcBorders>
          </w:tcPr>
          <w:p w14:paraId="2F021056">
            <w:pPr>
              <w:jc w:val="both"/>
              <w:rPr>
                <w:rFonts w:ascii="Times New Roman" w:hAnsi="Times New Roman" w:cs="Times New Roman"/>
                <w:sz w:val="24"/>
                <w:szCs w:val="24"/>
              </w:rPr>
            </w:pPr>
            <w:r>
              <w:rPr>
                <w:rFonts w:ascii="Times New Roman" w:hAnsi="Times New Roman" w:cs="Times New Roman"/>
                <w:sz w:val="24"/>
                <w:szCs w:val="24"/>
              </w:rPr>
              <w:t>Dodecane</w:t>
            </w:r>
          </w:p>
        </w:tc>
        <w:tc>
          <w:tcPr>
            <w:tcW w:w="1232" w:type="dxa"/>
            <w:tcBorders>
              <w:top w:val="single" w:color="auto" w:sz="4" w:space="0"/>
              <w:left w:val="single" w:color="auto" w:sz="4" w:space="0"/>
              <w:bottom w:val="single" w:color="auto" w:sz="4" w:space="0"/>
              <w:right w:val="single" w:color="auto" w:sz="4" w:space="0"/>
            </w:tcBorders>
          </w:tcPr>
          <w:p w14:paraId="7E956C42">
            <w:pPr>
              <w:jc w:val="both"/>
              <w:rPr>
                <w:rFonts w:ascii="Times New Roman" w:hAnsi="Times New Roman" w:cs="Times New Roman"/>
                <w:sz w:val="24"/>
                <w:szCs w:val="24"/>
              </w:rPr>
            </w:pPr>
            <w:r>
              <w:rPr>
                <w:rFonts w:ascii="Times New Roman" w:hAnsi="Times New Roman" w:cs="Times New Roman"/>
                <w:sz w:val="24"/>
                <w:szCs w:val="24"/>
              </w:rPr>
              <w:t>26.694</w:t>
            </w:r>
          </w:p>
        </w:tc>
        <w:tc>
          <w:tcPr>
            <w:tcW w:w="701" w:type="dxa"/>
            <w:tcBorders>
              <w:top w:val="single" w:color="auto" w:sz="4" w:space="0"/>
              <w:left w:val="single" w:color="auto" w:sz="4" w:space="0"/>
              <w:bottom w:val="single" w:color="auto" w:sz="4" w:space="0"/>
              <w:right w:val="single" w:color="auto" w:sz="4" w:space="0"/>
            </w:tcBorders>
          </w:tcPr>
          <w:p w14:paraId="4B893BBC">
            <w:pPr>
              <w:jc w:val="both"/>
              <w:rPr>
                <w:rFonts w:ascii="Times New Roman" w:hAnsi="Times New Roman" w:cs="Times New Roman"/>
                <w:sz w:val="24"/>
                <w:szCs w:val="24"/>
              </w:rPr>
            </w:pPr>
            <w:r>
              <w:rPr>
                <w:rFonts w:ascii="Times New Roman" w:hAnsi="Times New Roman" w:cs="Times New Roman"/>
                <w:sz w:val="24"/>
                <w:szCs w:val="24"/>
              </w:rPr>
              <w:t>0.85</w:t>
            </w:r>
          </w:p>
        </w:tc>
        <w:tc>
          <w:tcPr>
            <w:tcW w:w="1048" w:type="dxa"/>
            <w:tcBorders>
              <w:top w:val="single" w:color="auto" w:sz="4" w:space="0"/>
              <w:left w:val="single" w:color="auto" w:sz="4" w:space="0"/>
              <w:bottom w:val="single" w:color="auto" w:sz="4" w:space="0"/>
              <w:right w:val="single" w:color="auto" w:sz="4" w:space="0"/>
            </w:tcBorders>
          </w:tcPr>
          <w:p w14:paraId="3D20196F">
            <w:pPr>
              <w:jc w:val="both"/>
              <w:rPr>
                <w:rFonts w:ascii="Times New Roman" w:hAnsi="Times New Roman" w:cs="Times New Roman"/>
                <w:sz w:val="24"/>
                <w:szCs w:val="24"/>
              </w:rPr>
            </w:pPr>
            <w:r>
              <w:rPr>
                <w:rFonts w:ascii="Times New Roman" w:hAnsi="Times New Roman" w:cs="Times New Roman"/>
                <w:sz w:val="24"/>
                <w:szCs w:val="24"/>
              </w:rPr>
              <w:t xml:space="preserve">Fatty acid </w:t>
            </w:r>
          </w:p>
        </w:tc>
        <w:tc>
          <w:tcPr>
            <w:tcW w:w="2479" w:type="dxa"/>
            <w:tcBorders>
              <w:top w:val="single" w:color="auto" w:sz="4" w:space="0"/>
              <w:left w:val="single" w:color="auto" w:sz="4" w:space="0"/>
              <w:bottom w:val="single" w:color="auto" w:sz="4" w:space="0"/>
              <w:right w:val="single" w:color="auto" w:sz="4" w:space="0"/>
            </w:tcBorders>
          </w:tcPr>
          <w:p w14:paraId="54D92A3C">
            <w:pPr>
              <w:jc w:val="both"/>
              <w:rPr>
                <w:rFonts w:ascii="Times New Roman" w:hAnsi="Times New Roman" w:cs="Times New Roman"/>
                <w:sz w:val="24"/>
                <w:szCs w:val="24"/>
              </w:rPr>
            </w:pPr>
            <w:r>
              <w:rPr>
                <w:rFonts w:ascii="Times New Roman" w:hAnsi="Times New Roman" w:cs="Times New Roman"/>
                <w:sz w:val="24"/>
                <w:szCs w:val="24"/>
              </w:rPr>
              <w:t xml:space="preserve">Antibacterial, antifungal </w:t>
            </w:r>
          </w:p>
        </w:tc>
        <w:tc>
          <w:tcPr>
            <w:tcW w:w="1573" w:type="dxa"/>
            <w:tcBorders>
              <w:top w:val="single" w:color="auto" w:sz="4" w:space="0"/>
              <w:left w:val="single" w:color="auto" w:sz="4" w:space="0"/>
              <w:bottom w:val="single" w:color="auto" w:sz="4" w:space="0"/>
              <w:right w:val="single" w:color="auto" w:sz="4" w:space="0"/>
            </w:tcBorders>
          </w:tcPr>
          <w:p w14:paraId="38EAC098">
            <w:pPr>
              <w:jc w:val="both"/>
            </w:pPr>
            <w:r>
              <w:t xml:space="preserve">Duke, 1992; Meher,  </w:t>
            </w:r>
            <w:r>
              <w:rPr>
                <w:i/>
                <w:iCs/>
              </w:rPr>
              <w:t>et al.</w:t>
            </w:r>
            <w:r>
              <w:t>, 2019</w:t>
            </w:r>
          </w:p>
        </w:tc>
      </w:tr>
    </w:tbl>
    <w:p w14:paraId="36E0D770">
      <w:pPr>
        <w:jc w:val="both"/>
        <w:rPr>
          <w:rFonts w:ascii="Times New Roman" w:hAnsi="Times New Roman" w:cs="Times New Roman"/>
          <w:bCs/>
          <w:sz w:val="24"/>
          <w:szCs w:val="24"/>
        </w:rPr>
      </w:pPr>
    </w:p>
    <w:p w14:paraId="789DE209">
      <w:pPr>
        <w:jc w:val="both"/>
        <w:rPr>
          <w:rFonts w:ascii="Times New Roman" w:hAnsi="Times New Roman" w:cs="Times New Roman"/>
          <w:bCs/>
          <w:sz w:val="24"/>
          <w:szCs w:val="24"/>
        </w:rPr>
      </w:pPr>
    </w:p>
    <w:p w14:paraId="22910EAC">
      <w:pPr>
        <w:jc w:val="both"/>
        <w:rPr>
          <w:rFonts w:ascii="Times New Roman" w:hAnsi="Times New Roman" w:cs="Times New Roman"/>
          <w:bCs/>
          <w:sz w:val="24"/>
          <w:szCs w:val="24"/>
        </w:rPr>
      </w:pPr>
      <w:r>
        <w:rPr>
          <w:rFonts w:ascii="Times New Roman" w:hAnsi="Times New Roman" w:cs="Times New Roman"/>
          <w:b/>
          <w:bCs/>
          <w:sz w:val="24"/>
          <w:szCs w:val="24"/>
        </w:rPr>
        <w:t>Table 6: Qualitative phytochemical screening of five</w:t>
      </w:r>
      <w:r>
        <w:rPr>
          <w:rFonts w:ascii="Times New Roman" w:hAnsi="Times New Roman" w:cs="Times New Roman"/>
          <w:b/>
          <w:bCs/>
          <w:i/>
          <w:iCs/>
          <w:sz w:val="24"/>
          <w:szCs w:val="24"/>
        </w:rPr>
        <w:t xml:space="preserve"> Euphorbia species </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8"/>
        <w:gridCol w:w="1193"/>
        <w:gridCol w:w="1915"/>
        <w:gridCol w:w="1915"/>
        <w:gridCol w:w="1916"/>
      </w:tblGrid>
      <w:tr w14:paraId="6EF2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8" w:type="dxa"/>
            <w:tcBorders>
              <w:top w:val="single" w:color="auto" w:sz="4" w:space="0"/>
              <w:left w:val="single" w:color="auto" w:sz="4" w:space="0"/>
              <w:bottom w:val="single" w:color="auto" w:sz="4" w:space="0"/>
              <w:right w:val="single" w:color="auto" w:sz="4" w:space="0"/>
            </w:tcBorders>
          </w:tcPr>
          <w:p w14:paraId="04C96CC3">
            <w:pPr>
              <w:jc w:val="both"/>
              <w:rPr>
                <w:rFonts w:ascii="Times New Roman" w:hAnsi="Times New Roman" w:cs="Times New Roman"/>
                <w:bCs/>
                <w:sz w:val="24"/>
                <w:szCs w:val="24"/>
              </w:rPr>
            </w:pPr>
            <w:r>
              <w:rPr>
                <w:rFonts w:ascii="Times New Roman" w:hAnsi="Times New Roman" w:cs="Times New Roman"/>
                <w:bCs/>
                <w:sz w:val="24"/>
                <w:szCs w:val="24"/>
              </w:rPr>
              <w:t xml:space="preserve">Species </w:t>
            </w:r>
          </w:p>
        </w:tc>
        <w:tc>
          <w:tcPr>
            <w:tcW w:w="1193" w:type="dxa"/>
            <w:tcBorders>
              <w:top w:val="single" w:color="auto" w:sz="4" w:space="0"/>
              <w:left w:val="single" w:color="auto" w:sz="4" w:space="0"/>
              <w:bottom w:val="single" w:color="auto" w:sz="4" w:space="0"/>
              <w:right w:val="single" w:color="auto" w:sz="4" w:space="0"/>
            </w:tcBorders>
          </w:tcPr>
          <w:p w14:paraId="40BDB0C8">
            <w:pPr>
              <w:jc w:val="both"/>
              <w:rPr>
                <w:rFonts w:ascii="Times New Roman" w:hAnsi="Times New Roman" w:cs="Times New Roman"/>
                <w:bCs/>
                <w:sz w:val="24"/>
                <w:szCs w:val="24"/>
              </w:rPr>
            </w:pPr>
            <w:r>
              <w:rPr>
                <w:rFonts w:ascii="Times New Roman" w:hAnsi="Times New Roman" w:cs="Times New Roman"/>
                <w:bCs/>
                <w:sz w:val="24"/>
                <w:szCs w:val="24"/>
              </w:rPr>
              <w:t xml:space="preserve">Alkaloids </w:t>
            </w:r>
          </w:p>
        </w:tc>
        <w:tc>
          <w:tcPr>
            <w:tcW w:w="1915" w:type="dxa"/>
            <w:tcBorders>
              <w:top w:val="single" w:color="auto" w:sz="4" w:space="0"/>
              <w:left w:val="single" w:color="auto" w:sz="4" w:space="0"/>
              <w:bottom w:val="single" w:color="auto" w:sz="4" w:space="0"/>
              <w:right w:val="single" w:color="auto" w:sz="4" w:space="0"/>
            </w:tcBorders>
          </w:tcPr>
          <w:p w14:paraId="14417522">
            <w:pPr>
              <w:jc w:val="both"/>
              <w:rPr>
                <w:rFonts w:ascii="Times New Roman" w:hAnsi="Times New Roman" w:cs="Times New Roman"/>
                <w:bCs/>
                <w:sz w:val="24"/>
                <w:szCs w:val="24"/>
              </w:rPr>
            </w:pPr>
            <w:r>
              <w:rPr>
                <w:rFonts w:ascii="Times New Roman" w:hAnsi="Times New Roman" w:cs="Times New Roman"/>
                <w:bCs/>
                <w:sz w:val="24"/>
                <w:szCs w:val="24"/>
              </w:rPr>
              <w:t xml:space="preserve">Flavonoids </w:t>
            </w:r>
          </w:p>
        </w:tc>
        <w:tc>
          <w:tcPr>
            <w:tcW w:w="1915" w:type="dxa"/>
            <w:tcBorders>
              <w:top w:val="single" w:color="auto" w:sz="4" w:space="0"/>
              <w:left w:val="single" w:color="auto" w:sz="4" w:space="0"/>
              <w:bottom w:val="single" w:color="auto" w:sz="4" w:space="0"/>
              <w:right w:val="single" w:color="auto" w:sz="4" w:space="0"/>
            </w:tcBorders>
          </w:tcPr>
          <w:p w14:paraId="363F8559">
            <w:pPr>
              <w:jc w:val="both"/>
              <w:rPr>
                <w:rFonts w:ascii="Times New Roman" w:hAnsi="Times New Roman" w:cs="Times New Roman"/>
                <w:bCs/>
                <w:sz w:val="24"/>
                <w:szCs w:val="24"/>
              </w:rPr>
            </w:pPr>
            <w:r>
              <w:rPr>
                <w:rFonts w:ascii="Times New Roman" w:hAnsi="Times New Roman" w:cs="Times New Roman"/>
                <w:bCs/>
                <w:sz w:val="24"/>
                <w:szCs w:val="24"/>
              </w:rPr>
              <w:t xml:space="preserve">Tannins </w:t>
            </w:r>
          </w:p>
        </w:tc>
        <w:tc>
          <w:tcPr>
            <w:tcW w:w="1916" w:type="dxa"/>
            <w:tcBorders>
              <w:top w:val="single" w:color="auto" w:sz="4" w:space="0"/>
              <w:left w:val="single" w:color="auto" w:sz="4" w:space="0"/>
              <w:bottom w:val="single" w:color="auto" w:sz="4" w:space="0"/>
              <w:right w:val="single" w:color="auto" w:sz="4" w:space="0"/>
            </w:tcBorders>
          </w:tcPr>
          <w:p w14:paraId="275ADDA6">
            <w:pPr>
              <w:jc w:val="both"/>
              <w:rPr>
                <w:rFonts w:ascii="Times New Roman" w:hAnsi="Times New Roman" w:cs="Times New Roman"/>
                <w:bCs/>
                <w:sz w:val="24"/>
                <w:szCs w:val="24"/>
              </w:rPr>
            </w:pPr>
            <w:r>
              <w:rPr>
                <w:rFonts w:ascii="Times New Roman" w:hAnsi="Times New Roman" w:cs="Times New Roman"/>
                <w:bCs/>
                <w:sz w:val="24"/>
                <w:szCs w:val="24"/>
              </w:rPr>
              <w:t xml:space="preserve">Saponins </w:t>
            </w:r>
          </w:p>
        </w:tc>
      </w:tr>
      <w:tr w14:paraId="64F6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8" w:type="dxa"/>
            <w:tcBorders>
              <w:top w:val="single" w:color="auto" w:sz="4" w:space="0"/>
              <w:left w:val="single" w:color="auto" w:sz="4" w:space="0"/>
              <w:bottom w:val="single" w:color="auto" w:sz="4" w:space="0"/>
              <w:right w:val="single" w:color="auto" w:sz="4" w:space="0"/>
            </w:tcBorders>
          </w:tcPr>
          <w:p w14:paraId="6244AC2E">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milli </w:t>
            </w:r>
          </w:p>
        </w:tc>
        <w:tc>
          <w:tcPr>
            <w:tcW w:w="1193" w:type="dxa"/>
            <w:tcBorders>
              <w:top w:val="single" w:color="auto" w:sz="4" w:space="0"/>
              <w:left w:val="single" w:color="auto" w:sz="4" w:space="0"/>
              <w:bottom w:val="single" w:color="auto" w:sz="4" w:space="0"/>
              <w:right w:val="single" w:color="auto" w:sz="4" w:space="0"/>
            </w:tcBorders>
          </w:tcPr>
          <w:p w14:paraId="0DDE3D52">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25FCA5E8">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5EE5AB7B">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color="auto" w:sz="4" w:space="0"/>
              <w:left w:val="single" w:color="auto" w:sz="4" w:space="0"/>
              <w:bottom w:val="single" w:color="auto" w:sz="4" w:space="0"/>
              <w:right w:val="single" w:color="auto" w:sz="4" w:space="0"/>
            </w:tcBorders>
          </w:tcPr>
          <w:p w14:paraId="3044CC90">
            <w:pPr>
              <w:jc w:val="both"/>
              <w:rPr>
                <w:rFonts w:ascii="Times New Roman" w:hAnsi="Times New Roman" w:cs="Times New Roman"/>
                <w:bCs/>
                <w:sz w:val="24"/>
                <w:szCs w:val="24"/>
              </w:rPr>
            </w:pPr>
            <w:r>
              <w:rPr>
                <w:rFonts w:ascii="Times New Roman" w:hAnsi="Times New Roman" w:cs="Times New Roman"/>
                <w:bCs/>
                <w:sz w:val="24"/>
                <w:szCs w:val="24"/>
              </w:rPr>
              <w:t>+</w:t>
            </w:r>
          </w:p>
        </w:tc>
      </w:tr>
      <w:tr w14:paraId="362E5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8" w:type="dxa"/>
            <w:tcBorders>
              <w:top w:val="single" w:color="auto" w:sz="4" w:space="0"/>
              <w:left w:val="single" w:color="auto" w:sz="4" w:space="0"/>
              <w:bottom w:val="single" w:color="auto" w:sz="4" w:space="0"/>
              <w:right w:val="single" w:color="auto" w:sz="4" w:space="0"/>
            </w:tcBorders>
          </w:tcPr>
          <w:p w14:paraId="2930A253">
            <w:pPr>
              <w:jc w:val="both"/>
              <w:rPr>
                <w:rFonts w:ascii="Times New Roman" w:hAnsi="Times New Roman" w:cs="Times New Roman"/>
                <w:bCs/>
                <w:sz w:val="24"/>
                <w:szCs w:val="24"/>
              </w:rPr>
            </w:pPr>
            <w:r>
              <w:rPr>
                <w:rFonts w:ascii="Times New Roman" w:hAnsi="Times New Roman" w:cs="Times New Roman"/>
                <w:bCs/>
                <w:i/>
                <w:iCs/>
                <w:sz w:val="24"/>
                <w:szCs w:val="24"/>
              </w:rPr>
              <w:t>Euphorbia heterophylla</w:t>
            </w:r>
            <w:r>
              <w:rPr>
                <w:rFonts w:ascii="Times New Roman" w:hAnsi="Times New Roman" w:cs="Times New Roman"/>
                <w:bCs/>
                <w:sz w:val="24"/>
                <w:szCs w:val="24"/>
              </w:rPr>
              <w:t xml:space="preserve"> </w:t>
            </w:r>
          </w:p>
        </w:tc>
        <w:tc>
          <w:tcPr>
            <w:tcW w:w="1193" w:type="dxa"/>
            <w:tcBorders>
              <w:top w:val="single" w:color="auto" w:sz="4" w:space="0"/>
              <w:left w:val="single" w:color="auto" w:sz="4" w:space="0"/>
              <w:bottom w:val="single" w:color="auto" w:sz="4" w:space="0"/>
              <w:right w:val="single" w:color="auto" w:sz="4" w:space="0"/>
            </w:tcBorders>
          </w:tcPr>
          <w:p w14:paraId="009E192D">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72DFABA2">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79BFE25D">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color="auto" w:sz="4" w:space="0"/>
              <w:left w:val="single" w:color="auto" w:sz="4" w:space="0"/>
              <w:bottom w:val="single" w:color="auto" w:sz="4" w:space="0"/>
              <w:right w:val="single" w:color="auto" w:sz="4" w:space="0"/>
            </w:tcBorders>
          </w:tcPr>
          <w:p w14:paraId="59A369BB">
            <w:pPr>
              <w:jc w:val="both"/>
              <w:rPr>
                <w:rFonts w:ascii="Times New Roman" w:hAnsi="Times New Roman" w:cs="Times New Roman"/>
                <w:bCs/>
                <w:sz w:val="24"/>
                <w:szCs w:val="24"/>
              </w:rPr>
            </w:pPr>
            <w:r>
              <w:rPr>
                <w:rFonts w:ascii="Times New Roman" w:hAnsi="Times New Roman" w:cs="Times New Roman"/>
                <w:bCs/>
                <w:sz w:val="24"/>
                <w:szCs w:val="24"/>
              </w:rPr>
              <w:t>+++</w:t>
            </w:r>
          </w:p>
        </w:tc>
      </w:tr>
      <w:tr w14:paraId="62AE6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8" w:type="dxa"/>
            <w:tcBorders>
              <w:top w:val="single" w:color="auto" w:sz="4" w:space="0"/>
              <w:left w:val="single" w:color="auto" w:sz="4" w:space="0"/>
              <w:bottom w:val="single" w:color="auto" w:sz="4" w:space="0"/>
              <w:right w:val="single" w:color="auto" w:sz="4" w:space="0"/>
            </w:tcBorders>
          </w:tcPr>
          <w:p w14:paraId="5F63A725">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maculata </w:t>
            </w:r>
          </w:p>
        </w:tc>
        <w:tc>
          <w:tcPr>
            <w:tcW w:w="1193" w:type="dxa"/>
            <w:tcBorders>
              <w:top w:val="single" w:color="auto" w:sz="4" w:space="0"/>
              <w:left w:val="single" w:color="auto" w:sz="4" w:space="0"/>
              <w:bottom w:val="single" w:color="auto" w:sz="4" w:space="0"/>
              <w:right w:val="single" w:color="auto" w:sz="4" w:space="0"/>
            </w:tcBorders>
          </w:tcPr>
          <w:p w14:paraId="52F4EF75">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27C76337">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6FEE8D32">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color="auto" w:sz="4" w:space="0"/>
              <w:left w:val="single" w:color="auto" w:sz="4" w:space="0"/>
              <w:bottom w:val="single" w:color="auto" w:sz="4" w:space="0"/>
              <w:right w:val="single" w:color="auto" w:sz="4" w:space="0"/>
            </w:tcBorders>
          </w:tcPr>
          <w:p w14:paraId="15895013">
            <w:pPr>
              <w:jc w:val="both"/>
              <w:rPr>
                <w:rFonts w:ascii="Times New Roman" w:hAnsi="Times New Roman" w:cs="Times New Roman"/>
                <w:bCs/>
                <w:sz w:val="24"/>
                <w:szCs w:val="24"/>
              </w:rPr>
            </w:pPr>
            <w:r>
              <w:rPr>
                <w:rFonts w:ascii="Times New Roman" w:hAnsi="Times New Roman" w:cs="Times New Roman"/>
                <w:bCs/>
                <w:sz w:val="24"/>
                <w:szCs w:val="24"/>
              </w:rPr>
              <w:t>+</w:t>
            </w:r>
          </w:p>
        </w:tc>
      </w:tr>
      <w:tr w14:paraId="36669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8" w:type="dxa"/>
            <w:tcBorders>
              <w:top w:val="single" w:color="auto" w:sz="4" w:space="0"/>
              <w:left w:val="single" w:color="auto" w:sz="4" w:space="0"/>
              <w:bottom w:val="single" w:color="auto" w:sz="4" w:space="0"/>
              <w:right w:val="single" w:color="auto" w:sz="4" w:space="0"/>
            </w:tcBorders>
          </w:tcPr>
          <w:p w14:paraId="1BEA2DA1">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caranensis </w:t>
            </w:r>
          </w:p>
        </w:tc>
        <w:tc>
          <w:tcPr>
            <w:tcW w:w="1193" w:type="dxa"/>
            <w:tcBorders>
              <w:top w:val="single" w:color="auto" w:sz="4" w:space="0"/>
              <w:left w:val="single" w:color="auto" w:sz="4" w:space="0"/>
              <w:bottom w:val="single" w:color="auto" w:sz="4" w:space="0"/>
              <w:right w:val="single" w:color="auto" w:sz="4" w:space="0"/>
            </w:tcBorders>
          </w:tcPr>
          <w:p w14:paraId="2AFD4980">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6992BFD4">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63962843">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color="auto" w:sz="4" w:space="0"/>
              <w:left w:val="single" w:color="auto" w:sz="4" w:space="0"/>
              <w:bottom w:val="single" w:color="auto" w:sz="4" w:space="0"/>
              <w:right w:val="single" w:color="auto" w:sz="4" w:space="0"/>
            </w:tcBorders>
          </w:tcPr>
          <w:p w14:paraId="2FB4D0AD">
            <w:pPr>
              <w:jc w:val="both"/>
              <w:rPr>
                <w:rFonts w:ascii="Times New Roman" w:hAnsi="Times New Roman" w:cs="Times New Roman"/>
                <w:bCs/>
                <w:sz w:val="24"/>
                <w:szCs w:val="24"/>
              </w:rPr>
            </w:pPr>
            <w:r>
              <w:rPr>
                <w:rFonts w:ascii="Times New Roman" w:hAnsi="Times New Roman" w:cs="Times New Roman"/>
                <w:bCs/>
                <w:sz w:val="24"/>
                <w:szCs w:val="24"/>
              </w:rPr>
              <w:t>++</w:t>
            </w:r>
          </w:p>
        </w:tc>
      </w:tr>
      <w:tr w14:paraId="3626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8" w:type="dxa"/>
            <w:tcBorders>
              <w:top w:val="single" w:color="auto" w:sz="4" w:space="0"/>
              <w:left w:val="single" w:color="auto" w:sz="4" w:space="0"/>
              <w:bottom w:val="single" w:color="auto" w:sz="4" w:space="0"/>
              <w:right w:val="single" w:color="auto" w:sz="4" w:space="0"/>
            </w:tcBorders>
          </w:tcPr>
          <w:p w14:paraId="3A3D063B">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Euphorbia hirta </w:t>
            </w:r>
          </w:p>
        </w:tc>
        <w:tc>
          <w:tcPr>
            <w:tcW w:w="1193" w:type="dxa"/>
            <w:tcBorders>
              <w:top w:val="single" w:color="auto" w:sz="4" w:space="0"/>
              <w:left w:val="single" w:color="auto" w:sz="4" w:space="0"/>
              <w:bottom w:val="single" w:color="auto" w:sz="4" w:space="0"/>
              <w:right w:val="single" w:color="auto" w:sz="4" w:space="0"/>
            </w:tcBorders>
          </w:tcPr>
          <w:p w14:paraId="2D2BAAD3">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31902F1E">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5" w:type="dxa"/>
            <w:tcBorders>
              <w:top w:val="single" w:color="auto" w:sz="4" w:space="0"/>
              <w:left w:val="single" w:color="auto" w:sz="4" w:space="0"/>
              <w:bottom w:val="single" w:color="auto" w:sz="4" w:space="0"/>
              <w:right w:val="single" w:color="auto" w:sz="4" w:space="0"/>
            </w:tcBorders>
          </w:tcPr>
          <w:p w14:paraId="563104DE">
            <w:pPr>
              <w:jc w:val="both"/>
              <w:rPr>
                <w:rFonts w:ascii="Times New Roman" w:hAnsi="Times New Roman" w:cs="Times New Roman"/>
                <w:bCs/>
                <w:sz w:val="24"/>
                <w:szCs w:val="24"/>
              </w:rPr>
            </w:pPr>
            <w:r>
              <w:rPr>
                <w:rFonts w:ascii="Times New Roman" w:hAnsi="Times New Roman" w:cs="Times New Roman"/>
                <w:bCs/>
                <w:sz w:val="24"/>
                <w:szCs w:val="24"/>
              </w:rPr>
              <w:t>+++</w:t>
            </w:r>
          </w:p>
        </w:tc>
        <w:tc>
          <w:tcPr>
            <w:tcW w:w="1916" w:type="dxa"/>
            <w:tcBorders>
              <w:top w:val="single" w:color="auto" w:sz="4" w:space="0"/>
              <w:left w:val="single" w:color="auto" w:sz="4" w:space="0"/>
              <w:bottom w:val="single" w:color="auto" w:sz="4" w:space="0"/>
              <w:right w:val="single" w:color="auto" w:sz="4" w:space="0"/>
            </w:tcBorders>
          </w:tcPr>
          <w:p w14:paraId="656DE90C">
            <w:pPr>
              <w:jc w:val="both"/>
              <w:rPr>
                <w:rFonts w:ascii="Times New Roman" w:hAnsi="Times New Roman" w:cs="Times New Roman"/>
                <w:bCs/>
                <w:sz w:val="24"/>
                <w:szCs w:val="24"/>
              </w:rPr>
            </w:pPr>
            <w:r>
              <w:rPr>
                <w:rFonts w:ascii="Times New Roman" w:hAnsi="Times New Roman" w:cs="Times New Roman"/>
                <w:bCs/>
                <w:sz w:val="24"/>
                <w:szCs w:val="24"/>
              </w:rPr>
              <w:t>-</w:t>
            </w:r>
          </w:p>
        </w:tc>
      </w:tr>
    </w:tbl>
    <w:p w14:paraId="65F10315">
      <w:pPr>
        <w:jc w:val="both"/>
        <w:rPr>
          <w:rFonts w:ascii="Times New Roman" w:hAnsi="Times New Roman" w:cs="Times New Roman"/>
          <w:bCs/>
          <w:sz w:val="24"/>
          <w:szCs w:val="24"/>
        </w:rPr>
      </w:pPr>
      <w:r>
        <w:drawing>
          <wp:anchor distT="0" distB="0" distL="0" distR="0" simplePos="0" relativeHeight="251659264" behindDoc="0" locked="0" layoutInCell="1" allowOverlap="1">
            <wp:simplePos x="0" y="0"/>
            <wp:positionH relativeFrom="page">
              <wp:posOffset>2340610</wp:posOffset>
            </wp:positionH>
            <wp:positionV relativeFrom="page">
              <wp:posOffset>6460490</wp:posOffset>
            </wp:positionV>
            <wp:extent cx="4323080" cy="2686685"/>
            <wp:effectExtent l="0" t="0" r="1270" b="18415"/>
            <wp:wrapNone/>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19" cstate="print"/>
                    <a:srcRect/>
                    <a:stretch>
                      <a:fillRect/>
                    </a:stretch>
                  </pic:blipFill>
                  <pic:spPr>
                    <a:xfrm>
                      <a:off x="0" y="0"/>
                      <a:ext cx="4323080" cy="2686685"/>
                    </a:xfrm>
                    <a:prstGeom prst="rect">
                      <a:avLst/>
                    </a:prstGeom>
                    <a:ln>
                      <a:noFill/>
                    </a:ln>
                  </pic:spPr>
                </pic:pic>
              </a:graphicData>
            </a:graphic>
          </wp:anchor>
        </w:drawing>
      </w:r>
    </w:p>
    <w:p w14:paraId="747D09C3">
      <w:pPr>
        <w:jc w:val="both"/>
        <w:rPr>
          <w:rFonts w:ascii="Times New Roman" w:hAnsi="Times New Roman" w:cs="Times New Roman"/>
          <w:bCs/>
          <w:sz w:val="24"/>
          <w:szCs w:val="24"/>
        </w:rPr>
      </w:pPr>
    </w:p>
    <w:p w14:paraId="6A688DBD">
      <w:pPr>
        <w:jc w:val="both"/>
        <w:rPr>
          <w:rFonts w:ascii="Times New Roman" w:hAnsi="Times New Roman" w:cs="Times New Roman"/>
          <w:bCs/>
          <w:sz w:val="24"/>
          <w:szCs w:val="24"/>
        </w:rPr>
      </w:pPr>
    </w:p>
    <w:p w14:paraId="36D767F7">
      <w:pPr>
        <w:jc w:val="both"/>
        <w:rPr>
          <w:rFonts w:ascii="Times New Roman" w:hAnsi="Times New Roman" w:cs="Times New Roman"/>
          <w:bCs/>
          <w:sz w:val="24"/>
          <w:szCs w:val="24"/>
        </w:rPr>
      </w:pPr>
    </w:p>
    <w:p w14:paraId="02C391AE">
      <w:pPr>
        <w:jc w:val="both"/>
        <w:rPr>
          <w:rFonts w:ascii="Times New Roman" w:hAnsi="Times New Roman" w:cs="Times New Roman"/>
          <w:bCs/>
          <w:sz w:val="24"/>
          <w:szCs w:val="24"/>
        </w:rPr>
      </w:pPr>
    </w:p>
    <w:p w14:paraId="5C64882E">
      <w:pPr>
        <w:jc w:val="both"/>
        <w:rPr>
          <w:rFonts w:ascii="Times New Roman" w:hAnsi="Times New Roman" w:cs="Times New Roman"/>
          <w:bCs/>
          <w:sz w:val="24"/>
          <w:szCs w:val="24"/>
        </w:rPr>
      </w:pPr>
    </w:p>
    <w:p w14:paraId="6E464F4B">
      <w:pPr>
        <w:jc w:val="both"/>
        <w:rPr>
          <w:rFonts w:ascii="Times New Roman" w:hAnsi="Times New Roman" w:cs="Times New Roman"/>
          <w:bCs/>
          <w:sz w:val="24"/>
          <w:szCs w:val="24"/>
        </w:rPr>
      </w:pPr>
    </w:p>
    <w:p w14:paraId="77B6E8A3">
      <w:pPr>
        <w:jc w:val="both"/>
        <w:rPr>
          <w:rFonts w:ascii="Times New Roman" w:hAnsi="Times New Roman" w:cs="Times New Roman"/>
          <w:bCs/>
          <w:sz w:val="24"/>
          <w:szCs w:val="24"/>
        </w:rPr>
      </w:pPr>
      <w:r>
        <w:rPr>
          <w:rFonts w:ascii="Times New Roman" w:hAnsi="Times New Roman" w:cs="Times New Roman"/>
          <w:bCs/>
          <w:sz w:val="24"/>
          <w:szCs w:val="24"/>
        </w:rPr>
        <w:t>Fig 6  Dendrogram of Euphorbia species (GC-MS + Qualitative Screening)</w:t>
      </w:r>
    </w:p>
    <w:p w14:paraId="343E3E96">
      <w:pPr>
        <w:jc w:val="both"/>
        <w:rPr>
          <w:rFonts w:ascii="Times New Roman" w:hAnsi="Times New Roman" w:cs="Times New Roman"/>
          <w:bCs/>
          <w:sz w:val="24"/>
          <w:szCs w:val="24"/>
        </w:rPr>
      </w:pPr>
    </w:p>
    <w:p w14:paraId="4B7ADF5B">
      <w:pPr>
        <w:jc w:val="both"/>
        <w:rPr>
          <w:rFonts w:ascii="Times New Roman" w:hAnsi="Times New Roman" w:cs="Times New Roman"/>
          <w:bCs/>
          <w:sz w:val="24"/>
          <w:szCs w:val="24"/>
        </w:rPr>
      </w:pPr>
    </w:p>
    <w:p w14:paraId="72403C8E">
      <w:pPr>
        <w:jc w:val="both"/>
        <w:rPr>
          <w:rFonts w:ascii="Times New Roman" w:hAnsi="Times New Roman" w:cs="Times New Roman"/>
          <w:bCs/>
          <w:sz w:val="24"/>
          <w:szCs w:val="24"/>
        </w:rPr>
      </w:pPr>
    </w:p>
    <w:p w14:paraId="6AFC2448">
      <w:pPr>
        <w:jc w:val="both"/>
        <w:rPr>
          <w:rFonts w:ascii="Times New Roman" w:hAnsi="Times New Roman" w:cs="Times New Roman"/>
          <w:bCs/>
          <w:sz w:val="24"/>
          <w:szCs w:val="24"/>
        </w:rPr>
      </w:pPr>
    </w:p>
    <w:p w14:paraId="522BEE67">
      <w:pPr>
        <w:jc w:val="both"/>
        <w:rPr>
          <w:rFonts w:ascii="Times New Roman" w:hAnsi="Times New Roman" w:cs="Times New Roman"/>
          <w:bCs/>
          <w:sz w:val="24"/>
          <w:szCs w:val="24"/>
        </w:rPr>
      </w:pPr>
    </w:p>
    <w:p w14:paraId="4651AFEB">
      <w:pPr>
        <w:jc w:val="both"/>
        <w:rPr>
          <w:rFonts w:ascii="Times New Roman" w:hAnsi="Times New Roman" w:cs="Times New Roman"/>
          <w:bCs/>
          <w:sz w:val="24"/>
          <w:szCs w:val="24"/>
        </w:rPr>
      </w:pPr>
    </w:p>
    <w:p w14:paraId="6DE352D3">
      <w:pPr>
        <w:jc w:val="both"/>
        <w:rPr>
          <w:rFonts w:ascii="Times New Roman" w:hAnsi="Times New Roman" w:cs="Times New Roman"/>
          <w:bCs/>
          <w:sz w:val="24"/>
          <w:szCs w:val="24"/>
        </w:rPr>
      </w:pPr>
    </w:p>
    <w:p w14:paraId="53814B39">
      <w:pPr>
        <w:jc w:val="both"/>
        <w:rPr>
          <w:rFonts w:ascii="Times New Roman" w:hAnsi="Times New Roman" w:cs="Times New Roman"/>
          <w:bCs/>
          <w:sz w:val="24"/>
          <w:szCs w:val="24"/>
        </w:rPr>
      </w:pPr>
    </w:p>
    <w:p w14:paraId="2F529134">
      <w:pPr>
        <w:jc w:val="both"/>
        <w:rPr>
          <w:rFonts w:ascii="Times New Roman" w:hAnsi="Times New Roman" w:cs="Times New Roman"/>
          <w:bCs/>
          <w:sz w:val="24"/>
          <w:szCs w:val="24"/>
        </w:rPr>
      </w:pPr>
    </w:p>
    <w:p w14:paraId="33F3D67B">
      <w:pPr>
        <w:jc w:val="both"/>
        <w:rPr>
          <w:rFonts w:ascii="Times New Roman" w:hAnsi="Times New Roman" w:cs="Times New Roman"/>
          <w:bCs/>
          <w:sz w:val="24"/>
          <w:szCs w:val="24"/>
        </w:rPr>
      </w:pPr>
    </w:p>
    <w:p w14:paraId="4F0FED59">
      <w:pPr>
        <w:jc w:val="both"/>
        <w:rPr>
          <w:rFonts w:ascii="Times New Roman" w:hAnsi="Times New Roman" w:cs="Times New Roman"/>
          <w:bCs/>
          <w:sz w:val="24"/>
          <w:szCs w:val="24"/>
        </w:rPr>
      </w:pPr>
    </w:p>
    <w:p w14:paraId="67603918">
      <w:pPr>
        <w:jc w:val="both"/>
        <w:rPr>
          <w:rFonts w:ascii="Times New Roman" w:hAnsi="Times New Roman" w:cs="Times New Roman"/>
          <w:bCs/>
          <w:sz w:val="24"/>
          <w:szCs w:val="24"/>
        </w:rPr>
      </w:pPr>
    </w:p>
    <w:p w14:paraId="097A3530">
      <w:pPr>
        <w:jc w:val="both"/>
        <w:rPr>
          <w:rFonts w:ascii="Times New Roman" w:hAnsi="Times New Roman" w:cs="Times New Roman"/>
          <w:bCs/>
          <w:sz w:val="24"/>
          <w:szCs w:val="24"/>
        </w:rPr>
      </w:pPr>
    </w:p>
    <w:p w14:paraId="1D112468">
      <w:pPr>
        <w:jc w:val="both"/>
        <w:rPr>
          <w:rFonts w:ascii="Times New Roman" w:hAnsi="Times New Roman" w:cs="Times New Roman"/>
          <w:b/>
          <w:bCs/>
          <w:sz w:val="24"/>
          <w:szCs w:val="24"/>
        </w:rPr>
      </w:pPr>
      <w:r>
        <w:rPr>
          <w:rFonts w:ascii="Times New Roman" w:hAnsi="Times New Roman" w:cs="Times New Roman"/>
          <w:b/>
          <w:bCs/>
          <w:sz w:val="24"/>
          <w:szCs w:val="24"/>
        </w:rPr>
        <w:t xml:space="preserve">Figure 6: Dendrogram of the phytochemical constituents of five </w:t>
      </w:r>
      <w:r>
        <w:rPr>
          <w:rFonts w:ascii="Times New Roman" w:hAnsi="Times New Roman" w:cs="Times New Roman"/>
          <w:b/>
          <w:bCs/>
          <w:i/>
          <w:iCs/>
          <w:sz w:val="24"/>
          <w:szCs w:val="24"/>
        </w:rPr>
        <w:t>Euphorbia species</w:t>
      </w:r>
      <w:r>
        <w:rPr>
          <w:rFonts w:ascii="Times New Roman" w:hAnsi="Times New Roman" w:cs="Times New Roman"/>
          <w:b/>
          <w:bCs/>
          <w:sz w:val="24"/>
          <w:szCs w:val="24"/>
        </w:rPr>
        <w:t xml:space="preserve"> </w:t>
      </w:r>
    </w:p>
    <w:p w14:paraId="21ACBF25">
      <w:pPr>
        <w:jc w:val="both"/>
        <w:rPr>
          <w:rFonts w:ascii="Times New Roman" w:hAnsi="Times New Roman" w:cs="Times New Roman"/>
          <w:bCs/>
          <w:sz w:val="24"/>
          <w:szCs w:val="24"/>
        </w:rPr>
      </w:pPr>
    </w:p>
    <w:p w14:paraId="567A64EE">
      <w:pPr>
        <w:jc w:val="both"/>
        <w:rPr>
          <w:rFonts w:ascii="Times New Roman" w:hAnsi="Times New Roman" w:cs="Times New Roman"/>
          <w:bCs/>
          <w:sz w:val="24"/>
          <w:szCs w:val="24"/>
        </w:rPr>
      </w:pPr>
    </w:p>
    <w:p w14:paraId="6B3314CC">
      <w:pPr>
        <w:jc w:val="both"/>
        <w:rPr>
          <w:rFonts w:ascii="Times New Roman" w:hAnsi="Times New Roman" w:cs="Times New Roman"/>
          <w:bCs/>
          <w:sz w:val="24"/>
          <w:szCs w:val="24"/>
        </w:rPr>
      </w:pPr>
    </w:p>
    <w:p w14:paraId="632384CD">
      <w:pPr>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60D2A6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comparative phytochemical evaluation of five</w:t>
      </w:r>
      <w:r>
        <w:rPr>
          <w:rFonts w:ascii="Times New Roman" w:hAnsi="Times New Roman" w:cs="Times New Roman"/>
          <w:bCs/>
          <w:i/>
          <w:iCs/>
          <w:sz w:val="24"/>
          <w:szCs w:val="24"/>
        </w:rPr>
        <w:t xml:space="preserve"> Euphorbia species</w:t>
      </w:r>
      <w:r>
        <w:rPr>
          <w:rFonts w:ascii="Times New Roman" w:hAnsi="Times New Roman" w:cs="Times New Roman"/>
          <w:bCs/>
          <w:sz w:val="24"/>
          <w:szCs w:val="24"/>
        </w:rPr>
        <w:t xml:space="preserve"> offers valuable insights into their chemosystematic relationships. The repeated detection of dodecanoic acid, tetradecane, and consistently high tannin levels across all taxa points to a set of conserved biochemical traits within the genus. These metabolites are likely core features that have been maintained through evolutionary time, reflecting their importance in basic structural and defensive functions, as also noted for fatty acids and hydrocarbons in plant defense metabolism (Casillas-Vargas</w:t>
      </w:r>
      <w:r>
        <w:rPr>
          <w:rFonts w:ascii="Times New Roman" w:hAnsi="Times New Roman" w:cs="Times New Roman"/>
          <w:bCs/>
          <w:i/>
          <w:iCs/>
          <w:sz w:val="24"/>
          <w:szCs w:val="24"/>
        </w:rPr>
        <w:t xml:space="preserve"> et al.</w:t>
      </w:r>
      <w:r>
        <w:rPr>
          <w:rFonts w:ascii="Times New Roman" w:hAnsi="Times New Roman" w:cs="Times New Roman"/>
          <w:bCs/>
          <w:sz w:val="24"/>
          <w:szCs w:val="24"/>
        </w:rPr>
        <w:t>, 2021).</w:t>
      </w:r>
    </w:p>
    <w:p w14:paraId="4AA4F36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Despite this phylogenetic conservatism, significant metabolic divergence was observed among the species.</w:t>
      </w:r>
      <w:r>
        <w:rPr>
          <w:rFonts w:ascii="Times New Roman" w:hAnsi="Times New Roman" w:cs="Times New Roman"/>
          <w:bCs/>
          <w:i/>
          <w:iCs/>
          <w:sz w:val="24"/>
          <w:szCs w:val="24"/>
        </w:rPr>
        <w:t xml:space="preserve"> E. heterophylla </w:t>
      </w:r>
      <w:r>
        <w:rPr>
          <w:rFonts w:ascii="Times New Roman" w:hAnsi="Times New Roman" w:cs="Times New Roman"/>
          <w:bCs/>
          <w:sz w:val="24"/>
          <w:szCs w:val="24"/>
        </w:rPr>
        <w:t>was notable for its exceptionally high levels of dodecanoic acid (16.24%) and abundant saponins, suggesting lineage-specific adaptations possibly linked to stress tolerance.</w:t>
      </w:r>
      <w:r>
        <w:rPr>
          <w:rFonts w:ascii="Times New Roman" w:hAnsi="Times New Roman" w:cs="Times New Roman"/>
          <w:bCs/>
          <w:i/>
          <w:iCs/>
          <w:sz w:val="24"/>
          <w:szCs w:val="24"/>
        </w:rPr>
        <w:t xml:space="preserve"> E. caranensis</w:t>
      </w:r>
      <w:r>
        <w:rPr>
          <w:rFonts w:ascii="Times New Roman" w:hAnsi="Times New Roman" w:cs="Times New Roman"/>
          <w:bCs/>
          <w:sz w:val="24"/>
          <w:szCs w:val="24"/>
        </w:rPr>
        <w:t xml:space="preserve"> was unique for its accumulation of 2,4-di-tert-butylphenol, a strong antioxidant with antimicrobial potential, as well as its distinctive alkaloid profile. In contrast,</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stood apart due to enrichment in cis-vaccenic acid and long-chain alkenes, distinguishing it chemically from the other taxa.</w:t>
      </w:r>
    </w:p>
    <w:p w14:paraId="53858DA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Chemotaxonomic clustering patterns further support these interspecific distinctions</w:t>
      </w:r>
      <w:r>
        <w:rPr>
          <w:rFonts w:ascii="Times New Roman" w:hAnsi="Times New Roman" w:cs="Times New Roman"/>
          <w:bCs/>
          <w:i/>
          <w:iCs/>
          <w:sz w:val="24"/>
          <w:szCs w:val="24"/>
        </w:rPr>
        <w:t>. E. maculata</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hirta </w:t>
      </w:r>
      <w:r>
        <w:rPr>
          <w:rFonts w:ascii="Times New Roman" w:hAnsi="Times New Roman" w:cs="Times New Roman"/>
          <w:bCs/>
          <w:sz w:val="24"/>
          <w:szCs w:val="24"/>
        </w:rPr>
        <w:t>grouped together based on their moderate but consistent levels of dodecanoic and tetradecanoic acids, alongside comparable fatty acid patterns. Conversely,</w:t>
      </w:r>
      <w:r>
        <w:rPr>
          <w:rFonts w:ascii="Times New Roman" w:hAnsi="Times New Roman" w:cs="Times New Roman"/>
          <w:bCs/>
          <w:i/>
          <w:iCs/>
          <w:sz w:val="24"/>
          <w:szCs w:val="24"/>
        </w:rPr>
        <w:t xml:space="preserve"> E. caranensis</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xml:space="preserve"> formed a separate cluster due to their shared dominance of fatty acids and defensive secondary metabolites</w:t>
      </w:r>
      <w:r>
        <w:rPr>
          <w:rFonts w:ascii="Times New Roman" w:hAnsi="Times New Roman" w:cs="Times New Roman"/>
          <w:bCs/>
          <w:i/>
          <w:iCs/>
          <w:sz w:val="24"/>
          <w:szCs w:val="24"/>
        </w:rPr>
        <w:t>. E. milli</w:t>
      </w:r>
      <w:r>
        <w:rPr>
          <w:rFonts w:ascii="Times New Roman" w:hAnsi="Times New Roman" w:cs="Times New Roman"/>
          <w:bCs/>
          <w:sz w:val="24"/>
          <w:szCs w:val="24"/>
        </w:rPr>
        <w:t xml:space="preserve"> emerged as an outlier because of its unique unsaturated fatty acid and hydrocarbon profile. Similar clustering patterns have been reported in Balkan and Turkish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where fatty acids and phenolic derivatives served as reliable markers for interspecific differentiation (Yener </w:t>
      </w:r>
      <w:r>
        <w:rPr>
          <w:rFonts w:ascii="Times New Roman" w:hAnsi="Times New Roman" w:cs="Times New Roman"/>
          <w:bCs/>
          <w:i/>
          <w:iCs/>
          <w:sz w:val="24"/>
          <w:szCs w:val="24"/>
        </w:rPr>
        <w:t>et al</w:t>
      </w:r>
      <w:r>
        <w:rPr>
          <w:rFonts w:ascii="Times New Roman" w:hAnsi="Times New Roman" w:cs="Times New Roman"/>
          <w:bCs/>
          <w:sz w:val="24"/>
          <w:szCs w:val="24"/>
        </w:rPr>
        <w:t>., 2019;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w:t>
      </w:r>
    </w:p>
    <w:p w14:paraId="7131457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dendrogram (Figure 6) reflects both phylogenetic conservatism and adaptive divergence. Conserved metabolites such as lauric and tetradecanoic acids, shared across all species, suggest ancestral metabolic traits retained throughout the genus. In contrast, restricted distribution of secondary metabolites—such as alkaloids (found only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and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flavonoids (absent in </w:t>
      </w:r>
      <w:r>
        <w:rPr>
          <w:rFonts w:ascii="Times New Roman" w:hAnsi="Times New Roman" w:cs="Times New Roman"/>
          <w:bCs/>
          <w:i/>
          <w:iCs/>
          <w:sz w:val="24"/>
          <w:szCs w:val="24"/>
        </w:rPr>
        <w:t>E. milli</w:t>
      </w:r>
      <w:r>
        <w:rPr>
          <w:rFonts w:ascii="Times New Roman" w:hAnsi="Times New Roman" w:cs="Times New Roman"/>
          <w:bCs/>
          <w:sz w:val="24"/>
          <w:szCs w:val="24"/>
        </w:rPr>
        <w:t>)—imply lineage-specific evolutionary adaptations, possibly in response to ecological pressures (Wink, 2015).</w:t>
      </w:r>
    </w:p>
    <w:p w14:paraId="3D2695B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clustering results support earlier chemosystematic investigations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w:t>
      </w:r>
      <w:r>
        <w:rPr>
          <w:rFonts w:ascii="Times New Roman" w:hAnsi="Times New Roman" w:cs="Times New Roman"/>
          <w:bCs/>
          <w:i/>
          <w:iCs/>
          <w:sz w:val="24"/>
          <w:szCs w:val="24"/>
        </w:rPr>
        <w:t>species</w:t>
      </w:r>
      <w:r>
        <w:rPr>
          <w:rFonts w:ascii="Times New Roman" w:hAnsi="Times New Roman" w:cs="Times New Roman"/>
          <w:bCs/>
          <w:sz w:val="24"/>
          <w:szCs w:val="24"/>
        </w:rPr>
        <w:t>, in which lipid and phenolic profiles provided robust taxonomic resolution (Sofrenić</w:t>
      </w:r>
      <w:r>
        <w:rPr>
          <w:rFonts w:ascii="Times New Roman" w:hAnsi="Times New Roman" w:cs="Times New Roman"/>
          <w:bCs/>
          <w:i/>
          <w:iCs/>
          <w:sz w:val="24"/>
          <w:szCs w:val="24"/>
        </w:rPr>
        <w:t xml:space="preserve"> et al</w:t>
      </w:r>
      <w:r>
        <w:rPr>
          <w:rFonts w:ascii="Times New Roman" w:hAnsi="Times New Roman" w:cs="Times New Roman"/>
          <w:bCs/>
          <w:sz w:val="24"/>
          <w:szCs w:val="24"/>
        </w:rPr>
        <w:t>., 2023; Yener</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2019). Together, the results validate the use of integrative phytochemical markers in resolving species boundaries and understanding evolutionary relationships within </w:t>
      </w:r>
      <w:r>
        <w:rPr>
          <w:rFonts w:ascii="Times New Roman" w:hAnsi="Times New Roman" w:cs="Times New Roman"/>
          <w:bCs/>
          <w:i/>
          <w:iCs/>
          <w:sz w:val="24"/>
          <w:szCs w:val="24"/>
        </w:rPr>
        <w:t>Euphorbia</w:t>
      </w:r>
      <w:r>
        <w:rPr>
          <w:rFonts w:ascii="Times New Roman" w:hAnsi="Times New Roman" w:cs="Times New Roman"/>
          <w:bCs/>
          <w:sz w:val="24"/>
          <w:szCs w:val="24"/>
        </w:rPr>
        <w:t>.</w:t>
      </w:r>
    </w:p>
    <w:p w14:paraId="0454F84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distribution of secondary metabolite classes also adds evolutionary context. Alkaloids, which were confined to </w:t>
      </w:r>
      <w:r>
        <w:rPr>
          <w:rFonts w:ascii="Times New Roman" w:hAnsi="Times New Roman" w:cs="Times New Roman"/>
          <w:bCs/>
          <w:i/>
          <w:iCs/>
          <w:sz w:val="24"/>
          <w:szCs w:val="24"/>
        </w:rPr>
        <w:t>E. caranensis</w:t>
      </w:r>
      <w:r>
        <w:rPr>
          <w:rFonts w:ascii="Times New Roman" w:hAnsi="Times New Roman" w:cs="Times New Roman"/>
          <w:bCs/>
          <w:sz w:val="24"/>
          <w:szCs w:val="24"/>
        </w:rPr>
        <w:t xml:space="preserve"> and </w:t>
      </w:r>
      <w:r>
        <w:rPr>
          <w:rFonts w:ascii="Times New Roman" w:hAnsi="Times New Roman" w:cs="Times New Roman"/>
          <w:bCs/>
          <w:i/>
          <w:iCs/>
          <w:sz w:val="24"/>
          <w:szCs w:val="24"/>
        </w:rPr>
        <w:t>E. hirta</w:t>
      </w:r>
      <w:r>
        <w:rPr>
          <w:rFonts w:ascii="Times New Roman" w:hAnsi="Times New Roman" w:cs="Times New Roman"/>
          <w:bCs/>
          <w:sz w:val="24"/>
          <w:szCs w:val="24"/>
        </w:rPr>
        <w:t xml:space="preserve">, may represent a restricted trait maintained in specific evolutionary lineages. Flavonoids, present in most species but absent or less abundant in </w:t>
      </w:r>
      <w:r>
        <w:rPr>
          <w:rFonts w:ascii="Times New Roman" w:hAnsi="Times New Roman" w:cs="Times New Roman"/>
          <w:bCs/>
          <w:i/>
          <w:iCs/>
          <w:sz w:val="24"/>
          <w:szCs w:val="24"/>
        </w:rPr>
        <w:t>E. milli</w:t>
      </w:r>
      <w:r>
        <w:rPr>
          <w:rFonts w:ascii="Times New Roman" w:hAnsi="Times New Roman" w:cs="Times New Roman"/>
          <w:bCs/>
          <w:sz w:val="24"/>
          <w:szCs w:val="24"/>
        </w:rPr>
        <w:t xml:space="preserve"> and</w:t>
      </w:r>
      <w:r>
        <w:rPr>
          <w:rFonts w:ascii="Times New Roman" w:hAnsi="Times New Roman" w:cs="Times New Roman"/>
          <w:bCs/>
          <w:i/>
          <w:iCs/>
          <w:sz w:val="24"/>
          <w:szCs w:val="24"/>
        </w:rPr>
        <w:t xml:space="preserve"> E. heterophylla</w:t>
      </w:r>
      <w:r>
        <w:rPr>
          <w:rFonts w:ascii="Times New Roman" w:hAnsi="Times New Roman" w:cs="Times New Roman"/>
          <w:bCs/>
          <w:sz w:val="24"/>
          <w:szCs w:val="24"/>
        </w:rPr>
        <w:t xml:space="preserve">, suggest divergence in polyphenolic metabolism. Meanwhile, saponins showed pronounced variability—being abundant in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but absent in</w:t>
      </w:r>
      <w:r>
        <w:rPr>
          <w:rFonts w:ascii="Times New Roman" w:hAnsi="Times New Roman" w:cs="Times New Roman"/>
          <w:bCs/>
          <w:i/>
          <w:iCs/>
          <w:sz w:val="24"/>
          <w:szCs w:val="24"/>
        </w:rPr>
        <w:t xml:space="preserve"> E. hirta, </w:t>
      </w:r>
      <w:r>
        <w:rPr>
          <w:rFonts w:ascii="Times New Roman" w:hAnsi="Times New Roman" w:cs="Times New Roman"/>
          <w:bCs/>
          <w:sz w:val="24"/>
          <w:szCs w:val="24"/>
        </w:rPr>
        <w:t>highlighting chemical plasticity associated with ecological specialization (Wink, 2015).</w:t>
      </w:r>
    </w:p>
    <w:p w14:paraId="0856A6D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Across the five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analyzed, the chromatograms are dominated by long‑chain alkanes/alkenes and fatty acids (and a few fatty‑acid methyl esters). This chemical space is consistent with prior GC‑MS work on </w:t>
      </w:r>
      <w:r>
        <w:rPr>
          <w:rFonts w:ascii="Times New Roman" w:hAnsi="Times New Roman" w:cs="Times New Roman"/>
          <w:bCs/>
          <w:i/>
          <w:iCs/>
          <w:sz w:val="24"/>
          <w:szCs w:val="24"/>
        </w:rPr>
        <w:t xml:space="preserve">Euphorbia </w:t>
      </w:r>
      <w:r>
        <w:rPr>
          <w:rFonts w:ascii="Times New Roman" w:hAnsi="Times New Roman" w:cs="Times New Roman"/>
          <w:bCs/>
          <w:sz w:val="24"/>
          <w:szCs w:val="24"/>
        </w:rPr>
        <w:t xml:space="preserve">spp., where petroleum‑ether or non‑polar extracts typically yield palmitic (n‑hexadecanoic) and oleic/linoleic series fatty acids alongside high‑m.w. hydrocarbons (e.g., tetratetracontane)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14:paraId="6B076D1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For</w:t>
      </w:r>
      <w:r>
        <w:rPr>
          <w:rFonts w:ascii="Times New Roman" w:hAnsi="Times New Roman" w:cs="Times New Roman"/>
          <w:bCs/>
          <w:i/>
          <w:iCs/>
          <w:sz w:val="24"/>
          <w:szCs w:val="24"/>
        </w:rPr>
        <w:t xml:space="preserve"> Euphorbia heterophylla</w:t>
      </w:r>
      <w:r>
        <w:rPr>
          <w:rFonts w:ascii="Times New Roman" w:hAnsi="Times New Roman" w:cs="Times New Roman"/>
          <w:bCs/>
          <w:sz w:val="24"/>
          <w:szCs w:val="24"/>
        </w:rPr>
        <w:t xml:space="preserve"> profile shows abundant fatty acids (notably dodecanoic acid at 16.24% area) plus 2,4‑di‑tert‑butylphenol (DTBP). Recent GC‑MS work on </w:t>
      </w:r>
      <w:r>
        <w:rPr>
          <w:rFonts w:ascii="Times New Roman" w:hAnsi="Times New Roman" w:cs="Times New Roman"/>
          <w:bCs/>
          <w:i/>
          <w:iCs/>
          <w:sz w:val="24"/>
          <w:szCs w:val="24"/>
        </w:rPr>
        <w:t>E. heterophylla</w:t>
      </w:r>
      <w:r>
        <w:rPr>
          <w:rFonts w:ascii="Times New Roman" w:hAnsi="Times New Roman" w:cs="Times New Roman"/>
          <w:bCs/>
          <w:sz w:val="24"/>
          <w:szCs w:val="24"/>
        </w:rPr>
        <w:t xml:space="preserve"> chloroform extracts likewise reported DTBP as a prominent constituent and a suite of hydrocarbons/aliphatic alcohols, although the exact rank order differs. This supports DTBP as a recurring, diagnostic volatile/semi‑volatile in this species, while differences in relative abundance likely reflect solvent, plant part, season and instrument </w:t>
      </w:r>
    </w:p>
    <w:p w14:paraId="6DA1B863">
      <w:pPr>
        <w:spacing w:line="480" w:lineRule="auto"/>
        <w:jc w:val="both"/>
        <w:rPr>
          <w:rFonts w:ascii="Times New Roman" w:hAnsi="Times New Roman" w:cs="Times New Roman"/>
          <w:bCs/>
          <w:sz w:val="24"/>
          <w:szCs w:val="24"/>
        </w:rPr>
      </w:pPr>
      <w:r>
        <w:rPr>
          <w:rFonts w:ascii="Times New Roman" w:hAnsi="Times New Roman" w:cs="Times New Roman"/>
          <w:bCs/>
          <w:i/>
          <w:iCs/>
          <w:sz w:val="24"/>
          <w:szCs w:val="24"/>
        </w:rPr>
        <w:t>E. hirta</w:t>
      </w:r>
      <w:r>
        <w:rPr>
          <w:rFonts w:ascii="Times New Roman" w:hAnsi="Times New Roman" w:cs="Times New Roman"/>
          <w:bCs/>
          <w:sz w:val="24"/>
          <w:szCs w:val="24"/>
        </w:rPr>
        <w:t xml:space="preserve"> shows typical lipid signatures (dodecanoic and tetradecanoic acids; methyl esters) plus DTBP. Multiple reports on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methanol extracts also find fatty acids (often palmitic and unsaturated C18 species) by GC‑MS, in agreement with a lipid‑rich volatile fraction (Karki</w:t>
      </w:r>
      <w:r>
        <w:rPr>
          <w:rFonts w:ascii="Times New Roman" w:hAnsi="Times New Roman" w:cs="Times New Roman"/>
          <w:bCs/>
          <w:i/>
          <w:iCs/>
          <w:sz w:val="24"/>
          <w:szCs w:val="24"/>
        </w:rPr>
        <w:t xml:space="preserve"> et al</w:t>
      </w:r>
      <w:r>
        <w:rPr>
          <w:rFonts w:ascii="Times New Roman" w:hAnsi="Times New Roman" w:cs="Times New Roman"/>
          <w:bCs/>
          <w:sz w:val="24"/>
          <w:szCs w:val="24"/>
        </w:rPr>
        <w:t>., 2020; Rautela</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2020). </w:t>
      </w:r>
    </w:p>
    <w:p w14:paraId="707A5DA8">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Qualitative screening table records no saponins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whereas other studies frequently detect saponins (alongside flavonoids and tannins) in methanolic extracts. The mismatch may arise from: (i) extraction differences, (ii) assay sensitivity/cutoffs, or (iii) tissue and phenology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14:paraId="6420948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chromatogram is dominated by hydrocarbons and fatty acids, such as cis-vaccenic acid and C20–C35 alkenes. A comparative GC-MS study of</w:t>
      </w:r>
      <w:r>
        <w:rPr>
          <w:rFonts w:ascii="Times New Roman" w:hAnsi="Times New Roman" w:cs="Times New Roman"/>
          <w:bCs/>
          <w:i/>
          <w:iCs/>
          <w:sz w:val="24"/>
          <w:szCs w:val="24"/>
        </w:rPr>
        <w:t xml:space="preserve"> E. hirta </w:t>
      </w:r>
      <w:r>
        <w:rPr>
          <w:rFonts w:ascii="Times New Roman" w:hAnsi="Times New Roman" w:cs="Times New Roman"/>
          <w:bCs/>
          <w:sz w:val="24"/>
          <w:szCs w:val="24"/>
        </w:rPr>
        <w:t>and</w:t>
      </w:r>
      <w:r>
        <w:rPr>
          <w:rFonts w:ascii="Times New Roman" w:hAnsi="Times New Roman" w:cs="Times New Roman"/>
          <w:bCs/>
          <w:i/>
          <w:iCs/>
          <w:sz w:val="24"/>
          <w:szCs w:val="24"/>
        </w:rPr>
        <w:t xml:space="preserve"> E. milli</w:t>
      </w:r>
      <w:r>
        <w:rPr>
          <w:rFonts w:ascii="Times New Roman" w:hAnsi="Times New Roman" w:cs="Times New Roman"/>
          <w:bCs/>
          <w:sz w:val="24"/>
          <w:szCs w:val="24"/>
        </w:rPr>
        <w:t xml:space="preserve"> similarly reported a high abundance of aliphatic lipids and hydrocarbons in the methanolic leaf extract of </w:t>
      </w:r>
      <w:r>
        <w:rPr>
          <w:rFonts w:ascii="Times New Roman" w:hAnsi="Times New Roman" w:cs="Times New Roman"/>
          <w:bCs/>
          <w:i/>
          <w:iCs/>
          <w:sz w:val="24"/>
          <w:szCs w:val="24"/>
        </w:rPr>
        <w:t>E. milli</w:t>
      </w:r>
      <w:r>
        <w:rPr>
          <w:rFonts w:ascii="Times New Roman" w:hAnsi="Times New Roman" w:cs="Times New Roman"/>
          <w:bCs/>
          <w:sz w:val="24"/>
          <w:szCs w:val="24"/>
        </w:rPr>
        <w:t>, although the specific compound identities and relative peak intensities varied. These differences are consistent with expected intra-species variability and methodological influences (Rautela</w:t>
      </w:r>
      <w:r>
        <w:rPr>
          <w:rFonts w:ascii="Times New Roman" w:hAnsi="Times New Roman" w:cs="Times New Roman"/>
          <w:bCs/>
          <w:i/>
          <w:iCs/>
          <w:sz w:val="24"/>
          <w:szCs w:val="24"/>
        </w:rPr>
        <w:t xml:space="preserve"> et al</w:t>
      </w:r>
      <w:r>
        <w:rPr>
          <w:rFonts w:ascii="Times New Roman" w:hAnsi="Times New Roman" w:cs="Times New Roman"/>
          <w:bCs/>
          <w:sz w:val="24"/>
          <w:szCs w:val="24"/>
        </w:rPr>
        <w:t>., 2020).</w:t>
      </w:r>
    </w:p>
    <w:p w14:paraId="555E71A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Pr>
          <w:rFonts w:ascii="Times New Roman" w:hAnsi="Times New Roman" w:cs="Times New Roman"/>
          <w:bCs/>
          <w:i/>
          <w:iCs/>
          <w:sz w:val="24"/>
          <w:szCs w:val="24"/>
        </w:rPr>
        <w:t>E. maculata</w:t>
      </w:r>
      <w:r>
        <w:rPr>
          <w:rFonts w:ascii="Times New Roman" w:hAnsi="Times New Roman" w:cs="Times New Roman"/>
          <w:bCs/>
          <w:sz w:val="24"/>
          <w:szCs w:val="24"/>
        </w:rPr>
        <w:t xml:space="preserve"> GC-MS profile is characterized by C12–C14 alkanes/alkenes and common fatty acids, such as dodecanoic and tetradecanoic acids. This aligns with the broader Euphorbia pattern in which aliphatic compounds dominate non-polar fractions. However, much of the</w:t>
      </w:r>
      <w:r>
        <w:rPr>
          <w:rFonts w:ascii="Times New Roman" w:hAnsi="Times New Roman" w:cs="Times New Roman"/>
          <w:bCs/>
          <w:i/>
          <w:iCs/>
          <w:sz w:val="24"/>
          <w:szCs w:val="24"/>
        </w:rPr>
        <w:t xml:space="preserve"> E. maculata</w:t>
      </w:r>
      <w:r>
        <w:rPr>
          <w:rFonts w:ascii="Times New Roman" w:hAnsi="Times New Roman" w:cs="Times New Roman"/>
          <w:bCs/>
          <w:sz w:val="24"/>
          <w:szCs w:val="24"/>
        </w:rPr>
        <w:t xml:space="preserve"> literature focuses on non-volatile triterpenoids, typically isolated through chromatographic methods rather than GC-MS. Because these high-molecular-weight constituents are poorly detected without derivatization, they are under-represented or absent in direct GC-MS analyses, explaining the lipid-rich but triterpene-poor spectral profile (Sun </w:t>
      </w:r>
      <w:r>
        <w:rPr>
          <w:rFonts w:ascii="Times New Roman" w:hAnsi="Times New Roman" w:cs="Times New Roman"/>
          <w:bCs/>
          <w:i/>
          <w:iCs/>
          <w:sz w:val="24"/>
          <w:szCs w:val="24"/>
        </w:rPr>
        <w:t>et al</w:t>
      </w:r>
      <w:r>
        <w:rPr>
          <w:rFonts w:ascii="Times New Roman" w:hAnsi="Times New Roman" w:cs="Times New Roman"/>
          <w:bCs/>
          <w:sz w:val="24"/>
          <w:szCs w:val="24"/>
        </w:rPr>
        <w:t>., 2018).</w:t>
      </w:r>
    </w:p>
    <w:p w14:paraId="78AF5FA2">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GC‑MS data for </w:t>
      </w:r>
      <w:r>
        <w:rPr>
          <w:rFonts w:ascii="Times New Roman" w:hAnsi="Times New Roman" w:cs="Times New Roman"/>
          <w:bCs/>
          <w:i/>
          <w:iCs/>
          <w:sz w:val="24"/>
          <w:szCs w:val="24"/>
        </w:rPr>
        <w:t>Euphorbia caranensis</w:t>
      </w:r>
      <w:r>
        <w:rPr>
          <w:rFonts w:ascii="Times New Roman" w:hAnsi="Times New Roman" w:cs="Times New Roman"/>
          <w:bCs/>
          <w:sz w:val="24"/>
          <w:szCs w:val="24"/>
        </w:rPr>
        <w:t xml:space="preserve">  are scarce however, cross‑species surveys in </w:t>
      </w:r>
      <w:r>
        <w:rPr>
          <w:rFonts w:ascii="Times New Roman" w:hAnsi="Times New Roman" w:cs="Times New Roman"/>
          <w:bCs/>
          <w:i/>
          <w:iCs/>
          <w:sz w:val="24"/>
          <w:szCs w:val="24"/>
        </w:rPr>
        <w:t>Euphorbia</w:t>
      </w:r>
      <w:r>
        <w:rPr>
          <w:rFonts w:ascii="Times New Roman" w:hAnsi="Times New Roman" w:cs="Times New Roman"/>
          <w:bCs/>
          <w:sz w:val="24"/>
          <w:szCs w:val="24"/>
        </w:rPr>
        <w:t xml:space="preserve"> show that long‑chain fatty acids (palmitic, linoleic) and very‑long‑chain hydrocarbons often dominate GC‑MS profiles, again aligning with the finding of C14–C16 alkanes/alkenes and fatty‑acid methyl esters. </w:t>
      </w:r>
    </w:p>
    <w:p w14:paraId="54F4E86C">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Compounds recurring across species includes dodecanoic acid, tetradecanoic acid, tetradecane/hexadecane, and C18–C20 mono‑enes recur in multiple species. Comparable multi‑species </w:t>
      </w:r>
      <w:r>
        <w:rPr>
          <w:rFonts w:ascii="Times New Roman" w:hAnsi="Times New Roman" w:cs="Times New Roman"/>
          <w:bCs/>
          <w:i/>
          <w:iCs/>
          <w:sz w:val="24"/>
          <w:szCs w:val="24"/>
        </w:rPr>
        <w:t>Euphorbia</w:t>
      </w:r>
      <w:r>
        <w:rPr>
          <w:rFonts w:ascii="Times New Roman" w:hAnsi="Times New Roman" w:cs="Times New Roman"/>
          <w:bCs/>
          <w:sz w:val="24"/>
          <w:szCs w:val="24"/>
        </w:rPr>
        <w:t xml:space="preserve"> surveys identify palmitic/oleic/linoleic series fatty acids and high‑m.w. n‑alkanes as frequent GC‑MS hits, reinforcing that these are conserved chemotaxonomic features of the genus’ lipophilic fraction (Yener </w:t>
      </w:r>
      <w:r>
        <w:rPr>
          <w:rFonts w:ascii="Times New Roman" w:hAnsi="Times New Roman" w:cs="Times New Roman"/>
          <w:bCs/>
          <w:i/>
          <w:iCs/>
          <w:sz w:val="24"/>
          <w:szCs w:val="24"/>
        </w:rPr>
        <w:t>et al</w:t>
      </w:r>
      <w:r>
        <w:rPr>
          <w:rFonts w:ascii="Times New Roman" w:hAnsi="Times New Roman" w:cs="Times New Roman"/>
          <w:bCs/>
          <w:sz w:val="24"/>
          <w:szCs w:val="24"/>
        </w:rPr>
        <w:t xml:space="preserve">., 2019). </w:t>
      </w:r>
    </w:p>
    <w:p w14:paraId="1AA2DDD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Differences in exact compound identities and peak intensities between this study and published </w:t>
      </w:r>
      <w:r>
        <w:rPr>
          <w:rFonts w:ascii="Times New Roman" w:hAnsi="Times New Roman" w:cs="Times New Roman"/>
          <w:bCs/>
          <w:i/>
          <w:iCs/>
          <w:sz w:val="24"/>
          <w:szCs w:val="24"/>
        </w:rPr>
        <w:t>Euphorbia</w:t>
      </w:r>
      <w:r>
        <w:rPr>
          <w:rFonts w:ascii="Times New Roman" w:hAnsi="Times New Roman" w:cs="Times New Roman"/>
          <w:bCs/>
          <w:sz w:val="24"/>
          <w:szCs w:val="24"/>
        </w:rPr>
        <w:t xml:space="preserve"> GC-MS reports can be plausibly explained by several factors: (i) the plant part analyzed and its phenological stage; (ii) geographic origin and edaphic or other environmental stresses; (iii) extraction solvent polarity (e.g., methanol vs. chloroform vs. hexane); (iv) derivatization steps, such as FAME preparation, which enhance detection of fatty acid methyl esters; and (v) variations in GC-MS library versions, spectral deconvolution parameters, and search settings. Such methodological and biological variables are well-documented sources of variation across </w:t>
      </w:r>
      <w:r>
        <w:rPr>
          <w:rFonts w:ascii="Times New Roman" w:hAnsi="Times New Roman" w:cs="Times New Roman"/>
          <w:bCs/>
          <w:i/>
          <w:iCs/>
          <w:sz w:val="24"/>
          <w:szCs w:val="24"/>
        </w:rPr>
        <w:t>Euphorbia</w:t>
      </w:r>
      <w:r>
        <w:rPr>
          <w:rFonts w:ascii="Times New Roman" w:hAnsi="Times New Roman" w:cs="Times New Roman"/>
          <w:bCs/>
          <w:sz w:val="24"/>
          <w:szCs w:val="24"/>
        </w:rPr>
        <w:t xml:space="preserve"> GC-MS studies (Karki </w:t>
      </w:r>
      <w:r>
        <w:rPr>
          <w:rFonts w:ascii="Times New Roman" w:hAnsi="Times New Roman" w:cs="Times New Roman"/>
          <w:bCs/>
          <w:i/>
          <w:iCs/>
          <w:sz w:val="24"/>
          <w:szCs w:val="24"/>
        </w:rPr>
        <w:t>et al</w:t>
      </w:r>
      <w:r>
        <w:rPr>
          <w:rFonts w:ascii="Times New Roman" w:hAnsi="Times New Roman" w:cs="Times New Roman"/>
          <w:bCs/>
          <w:sz w:val="24"/>
          <w:szCs w:val="24"/>
        </w:rPr>
        <w:t>., 2020).</w:t>
      </w:r>
    </w:p>
    <w:p w14:paraId="44144F74">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prevalence of saturated and monounsaturated fatty acids, along with DTBP, aligns with the reported antioxidant, antimicrobial, and cytotoxic activities of </w:t>
      </w:r>
      <w:r>
        <w:rPr>
          <w:rFonts w:ascii="Times New Roman" w:hAnsi="Times New Roman" w:cs="Times New Roman"/>
          <w:bCs/>
          <w:i/>
          <w:iCs/>
          <w:sz w:val="24"/>
          <w:szCs w:val="24"/>
        </w:rPr>
        <w:t>Euphorbia</w:t>
      </w:r>
      <w:r>
        <w:rPr>
          <w:rFonts w:ascii="Times New Roman" w:hAnsi="Times New Roman" w:cs="Times New Roman"/>
          <w:bCs/>
          <w:sz w:val="24"/>
          <w:szCs w:val="24"/>
        </w:rPr>
        <w:t xml:space="preserve"> extracts. However, these bioactivities are often primarily driven by less volatile constituents such as phenolics and diterpenes, which are poorly represented in GC-MS data unless targeted approaches such as LC-MS or compound isolation are employed. The qualitative phytochemical screening results (showing strong tannin and flavonoid presence across all four species) support the occurrence of such polar bioactives, even if they are not reflected as major peaks in the GC-MS profiles (Salehi</w:t>
      </w:r>
      <w:r>
        <w:rPr>
          <w:rFonts w:ascii="Times New Roman" w:hAnsi="Times New Roman" w:cs="Times New Roman"/>
          <w:bCs/>
          <w:i/>
          <w:iCs/>
          <w:sz w:val="24"/>
          <w:szCs w:val="24"/>
        </w:rPr>
        <w:t xml:space="preserve"> et al</w:t>
      </w:r>
      <w:r>
        <w:rPr>
          <w:rFonts w:ascii="Times New Roman" w:hAnsi="Times New Roman" w:cs="Times New Roman"/>
          <w:bCs/>
          <w:sz w:val="24"/>
          <w:szCs w:val="24"/>
        </w:rPr>
        <w:t>., 2019).</w:t>
      </w:r>
    </w:p>
    <w:p w14:paraId="53114C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dominance of fatty acids (such as lauric, myristic, palmitic, and vaccenic acids) in all species is consistent with earlier reports on the genus </w:t>
      </w:r>
      <w:r>
        <w:rPr>
          <w:rFonts w:ascii="Times New Roman" w:hAnsi="Times New Roman" w:cs="Times New Roman"/>
          <w:bCs/>
          <w:i/>
          <w:iCs/>
          <w:sz w:val="24"/>
          <w:szCs w:val="24"/>
        </w:rPr>
        <w:t>Euphorbia</w:t>
      </w:r>
      <w:r>
        <w:rPr>
          <w:rFonts w:ascii="Times New Roman" w:hAnsi="Times New Roman" w:cs="Times New Roman"/>
          <w:bCs/>
          <w:sz w:val="24"/>
          <w:szCs w:val="24"/>
        </w:rPr>
        <w:t xml:space="preserve">, where these compounds are associated with antimicrobial and anti-inflammatory effects (Casillas-Vargas </w:t>
      </w:r>
      <w:r>
        <w:rPr>
          <w:rFonts w:ascii="Times New Roman" w:hAnsi="Times New Roman" w:cs="Times New Roman"/>
          <w:bCs/>
          <w:i/>
          <w:iCs/>
          <w:sz w:val="24"/>
          <w:szCs w:val="24"/>
        </w:rPr>
        <w:t>et al.</w:t>
      </w:r>
      <w:r>
        <w:rPr>
          <w:rFonts w:ascii="Times New Roman" w:hAnsi="Times New Roman" w:cs="Times New Roman"/>
          <w:bCs/>
          <w:sz w:val="24"/>
          <w:szCs w:val="24"/>
        </w:rPr>
        <w:t xml:space="preserve">, 2021). Notably, dodecanoic acid (one of the most recurrent compounds) has demonstrated broad-spectrum antimicrobial activity and is a key component in coconut oil with applications in food preservation (Yang </w:t>
      </w:r>
      <w:r>
        <w:rPr>
          <w:rFonts w:ascii="Times New Roman" w:hAnsi="Times New Roman" w:cs="Times New Roman"/>
          <w:bCs/>
          <w:i/>
          <w:iCs/>
          <w:sz w:val="24"/>
          <w:szCs w:val="24"/>
        </w:rPr>
        <w:t>et al</w:t>
      </w:r>
      <w:r>
        <w:rPr>
          <w:rFonts w:ascii="Times New Roman" w:hAnsi="Times New Roman" w:cs="Times New Roman"/>
          <w:bCs/>
          <w:sz w:val="24"/>
          <w:szCs w:val="24"/>
        </w:rPr>
        <w:t>., 2009; Huang</w:t>
      </w:r>
      <w:r>
        <w:rPr>
          <w:rFonts w:ascii="Times New Roman" w:hAnsi="Times New Roman" w:cs="Times New Roman"/>
          <w:bCs/>
          <w:i/>
          <w:iCs/>
          <w:sz w:val="24"/>
          <w:szCs w:val="24"/>
        </w:rPr>
        <w:t xml:space="preserve"> et al.</w:t>
      </w:r>
      <w:r>
        <w:rPr>
          <w:rFonts w:ascii="Times New Roman" w:hAnsi="Times New Roman" w:cs="Times New Roman"/>
          <w:bCs/>
          <w:sz w:val="24"/>
          <w:szCs w:val="24"/>
        </w:rPr>
        <w:t>, 2014).</w:t>
      </w:r>
    </w:p>
    <w:p w14:paraId="37DC991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The presence of 2,4-di-tert-butylphenol in several species is noteworthy, as it is a potent antioxidant and biofilm inhibitor (Zhao</w:t>
      </w:r>
      <w:r>
        <w:rPr>
          <w:rFonts w:ascii="Times New Roman" w:hAnsi="Times New Roman" w:cs="Times New Roman"/>
          <w:bCs/>
          <w:i/>
          <w:iCs/>
          <w:sz w:val="24"/>
          <w:szCs w:val="24"/>
        </w:rPr>
        <w:t xml:space="preserve"> et al</w:t>
      </w:r>
      <w:r>
        <w:rPr>
          <w:rFonts w:ascii="Times New Roman" w:hAnsi="Times New Roman" w:cs="Times New Roman"/>
          <w:bCs/>
          <w:sz w:val="24"/>
          <w:szCs w:val="24"/>
        </w:rPr>
        <w:t xml:space="preserve">., 2020), suggesting potential applications in combating microbial resistance. Long-chain hydrocarbons such as n-alkanes and docosenes, while primarily structural components of plant cuticular waxes, have been reported to possess mild antimicrobial effects and play ecological roles in plant–insect interactions (Wu </w:t>
      </w:r>
      <w:r>
        <w:rPr>
          <w:rFonts w:ascii="Times New Roman" w:hAnsi="Times New Roman" w:cs="Times New Roman"/>
          <w:bCs/>
          <w:i/>
          <w:iCs/>
          <w:sz w:val="24"/>
          <w:szCs w:val="24"/>
        </w:rPr>
        <w:t>et al</w:t>
      </w:r>
      <w:r>
        <w:rPr>
          <w:rFonts w:ascii="Times New Roman" w:hAnsi="Times New Roman" w:cs="Times New Roman"/>
          <w:bCs/>
          <w:sz w:val="24"/>
          <w:szCs w:val="24"/>
        </w:rPr>
        <w:t>., 2018).</w:t>
      </w:r>
    </w:p>
    <w:p w14:paraId="6067403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GC-MS profiles are broadly consistent with </w:t>
      </w:r>
      <w:r>
        <w:rPr>
          <w:rFonts w:ascii="Times New Roman" w:hAnsi="Times New Roman" w:cs="Times New Roman"/>
          <w:bCs/>
          <w:i/>
          <w:iCs/>
          <w:sz w:val="24"/>
          <w:szCs w:val="24"/>
        </w:rPr>
        <w:t>Euphorbia</w:t>
      </w:r>
      <w:r>
        <w:rPr>
          <w:rFonts w:ascii="Times New Roman" w:hAnsi="Times New Roman" w:cs="Times New Roman"/>
          <w:bCs/>
          <w:sz w:val="24"/>
          <w:szCs w:val="24"/>
        </w:rPr>
        <w:t xml:space="preserve"> literature for lipophilic fractions—typically dominated by long-chain hydrocarbons and fatty acids, with occasional phenolic volatiles such as 2,4-di-tert-butylphenol. Where deviations occur (for instance, the detection of saponins in</w:t>
      </w:r>
      <w:r>
        <w:rPr>
          <w:rFonts w:ascii="Times New Roman" w:hAnsi="Times New Roman" w:cs="Times New Roman"/>
          <w:bCs/>
          <w:i/>
          <w:iCs/>
          <w:sz w:val="24"/>
          <w:szCs w:val="24"/>
        </w:rPr>
        <w:t xml:space="preserve"> E. hirta</w:t>
      </w:r>
      <w:r>
        <w:rPr>
          <w:rFonts w:ascii="Times New Roman" w:hAnsi="Times New Roman" w:cs="Times New Roman"/>
          <w:bCs/>
          <w:sz w:val="24"/>
          <w:szCs w:val="24"/>
        </w:rPr>
        <w:t xml:space="preserve"> through qualitative assays or the absence/presence of specific C16–C18 fatty acids) these can be attributed to methodological differences and plant-specific variables, rather than representing true contradictions.</w:t>
      </w:r>
    </w:p>
    <w:p w14:paraId="1F11E6FE">
      <w:pPr>
        <w:spacing w:line="480" w:lineRule="auto"/>
        <w:jc w:val="both"/>
        <w:rPr>
          <w:rFonts w:ascii="Times New Roman" w:hAnsi="Times New Roman" w:cs="Times New Roman"/>
          <w:bCs/>
          <w:sz w:val="24"/>
          <w:szCs w:val="24"/>
        </w:rPr>
      </w:pPr>
    </w:p>
    <w:p w14:paraId="4051363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290F219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underscores the dual pattern of phylogenetic conservatism and adaptive divergence within the genus </w:t>
      </w:r>
      <w:r>
        <w:rPr>
          <w:rFonts w:ascii="Times New Roman" w:hAnsi="Times New Roman" w:cs="Times New Roman"/>
          <w:bCs/>
          <w:i/>
          <w:iCs/>
          <w:sz w:val="24"/>
          <w:szCs w:val="24"/>
        </w:rPr>
        <w:t>Euphorbia</w:t>
      </w:r>
      <w:r>
        <w:rPr>
          <w:rFonts w:ascii="Times New Roman" w:hAnsi="Times New Roman" w:cs="Times New Roman"/>
          <w:bCs/>
          <w:sz w:val="24"/>
          <w:szCs w:val="24"/>
        </w:rPr>
        <w:t>. The consistent presence of dodecanoic acid, tetradecane, and tannins across all five species highlights their potential as conserved chemotaxonomic markers, reflecting shared evolutionary ancestry. In contrast, the variable distribution of alkaloids, saponins, and certain phenolic derivatives reveals species-specific adaptations, which may be linked to ecological pressures and specialized functions in defense or stress tolerance.</w:t>
      </w:r>
    </w:p>
    <w:p w14:paraId="2D5067BD">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GC–MS analysis predominantly revealed lipophilic compounds such as fatty acids, fatty acid methyl esters, and hydrocarbons, while qualitative screening provided evidence of polar metabolites that contribute to the ethnomedicinal value of these species. Together, these conserved and divergent chemical profiles not only support traditional taxonomic classification but also enhance our understanding of evolutionary </w:t>
      </w:r>
      <w:r>
        <w:rPr>
          <w:rFonts w:ascii="Times New Roman" w:hAnsi="Times New Roman" w:cs="Times New Roman"/>
          <w:bCs/>
          <w:color w:val="0000FF"/>
          <w:sz w:val="24"/>
          <w:szCs w:val="24"/>
        </w:rPr>
        <w:t>trajectories</w:t>
      </w:r>
      <w:r>
        <w:rPr>
          <w:rFonts w:ascii="Times New Roman" w:hAnsi="Times New Roman" w:cs="Times New Roman"/>
          <w:bCs/>
          <w:sz w:val="24"/>
          <w:szCs w:val="24"/>
        </w:rPr>
        <w:t xml:space="preserve"> within </w:t>
      </w:r>
      <w:r>
        <w:rPr>
          <w:rFonts w:ascii="Times New Roman" w:hAnsi="Times New Roman" w:cs="Times New Roman"/>
          <w:bCs/>
          <w:i/>
          <w:iCs/>
          <w:sz w:val="24"/>
          <w:szCs w:val="24"/>
        </w:rPr>
        <w:t>Euphorbia</w:t>
      </w:r>
      <w:r>
        <w:rPr>
          <w:rFonts w:ascii="Times New Roman" w:hAnsi="Times New Roman" w:cs="Times New Roman"/>
          <w:bCs/>
          <w:sz w:val="24"/>
          <w:szCs w:val="24"/>
        </w:rPr>
        <w:t>.</w:t>
      </w:r>
    </w:p>
    <w:p w14:paraId="01E3E4F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Importantly, the findings provide a biochemical framework that connects morphological taxonomy, ecological adaptation, and medicinal applications. The recognition of conserved metabolites as evolutionary signatures, alongside species-specific differences as adaptive markers, validates the role of chemosystematics in species delimitation and evolutionary inference.</w:t>
      </w:r>
    </w:p>
    <w:p w14:paraId="1B70103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Future integration of chemical markers with molecular phylogenetics and morphological traits will improve taxonomic resolution within the genus. Moreover, the identified compounds (particularly dodecanoic acid, tetradecane, and phenolic derivatives) warrant further pharmacological investigation to isolate bioactive principles that may underpin the therapeutic efficacy of these plants. Thus, this study demonstrates that combining GC–MS profiling with qualitative phytochemical screening offers a robust chemosystematic approach for understanding diversity, adaptation, and medicinal potential in </w:t>
      </w:r>
      <w:r>
        <w:rPr>
          <w:rFonts w:ascii="Times New Roman" w:hAnsi="Times New Roman" w:cs="Times New Roman"/>
          <w:bCs/>
          <w:i/>
          <w:iCs/>
          <w:sz w:val="24"/>
          <w:szCs w:val="24"/>
        </w:rPr>
        <w:t>Euphorbia</w:t>
      </w:r>
      <w:r>
        <w:rPr>
          <w:rFonts w:ascii="Times New Roman" w:hAnsi="Times New Roman" w:cs="Times New Roman"/>
          <w:bCs/>
          <w:sz w:val="24"/>
          <w:szCs w:val="24"/>
        </w:rPr>
        <w:t>.</w:t>
      </w:r>
    </w:p>
    <w:p w14:paraId="3D8E7652">
      <w:pPr>
        <w:spacing w:line="480" w:lineRule="auto"/>
        <w:jc w:val="both"/>
        <w:rPr>
          <w:rFonts w:ascii="Times New Roman" w:hAnsi="Times New Roman" w:cs="Times New Roman"/>
          <w:bCs/>
          <w:sz w:val="24"/>
          <w:szCs w:val="24"/>
        </w:rPr>
      </w:pPr>
    </w:p>
    <w:p w14:paraId="14B23E12">
      <w:pPr>
        <w:spacing w:line="480" w:lineRule="auto"/>
        <w:jc w:val="both"/>
        <w:rPr>
          <w:rFonts w:ascii="Times New Roman" w:hAnsi="Times New Roman" w:cs="Times New Roman"/>
          <w:bCs/>
          <w:sz w:val="24"/>
          <w:szCs w:val="24"/>
        </w:rPr>
      </w:pPr>
    </w:p>
    <w:p w14:paraId="570F64BA">
      <w:pPr>
        <w:jc w:val="both"/>
        <w:rPr>
          <w:rFonts w:ascii="Times New Roman" w:hAnsi="Times New Roman" w:cs="Times New Roman"/>
          <w:bCs/>
          <w:sz w:val="24"/>
          <w:szCs w:val="24"/>
        </w:rPr>
      </w:pPr>
    </w:p>
    <w:p w14:paraId="6F123F92">
      <w:pPr>
        <w:jc w:val="both"/>
        <w:rPr>
          <w:rFonts w:ascii="Times New Roman" w:hAnsi="Times New Roman" w:cs="Times New Roman"/>
          <w:b/>
          <w:bCs/>
          <w:sz w:val="24"/>
          <w:szCs w:val="24"/>
        </w:rPr>
      </w:pPr>
    </w:p>
    <w:p w14:paraId="73076AC9">
      <w:pPr>
        <w:jc w:val="both"/>
        <w:rPr>
          <w:rFonts w:ascii="Times New Roman" w:hAnsi="Times New Roman" w:cs="Times New Roman"/>
          <w:b/>
          <w:bCs/>
          <w:sz w:val="24"/>
          <w:szCs w:val="24"/>
        </w:rPr>
      </w:pPr>
    </w:p>
    <w:p w14:paraId="46057159">
      <w:pPr>
        <w:jc w:val="both"/>
        <w:rPr>
          <w:rFonts w:ascii="Times New Roman" w:hAnsi="Times New Roman" w:cs="Times New Roman"/>
          <w:b/>
          <w:bCs/>
          <w:sz w:val="24"/>
          <w:szCs w:val="24"/>
        </w:rPr>
      </w:pPr>
    </w:p>
    <w:p w14:paraId="62790036">
      <w:pPr>
        <w:jc w:val="both"/>
        <w:rPr>
          <w:rFonts w:ascii="Times New Roman" w:hAnsi="Times New Roman" w:cs="Times New Roman"/>
          <w:b/>
          <w:bCs/>
          <w:sz w:val="24"/>
          <w:szCs w:val="24"/>
        </w:rPr>
      </w:pPr>
      <w:commentRangeStart w:id="1"/>
      <w:r>
        <w:rPr>
          <w:rFonts w:ascii="Times New Roman" w:hAnsi="Times New Roman" w:cs="Times New Roman"/>
          <w:b/>
          <w:bCs/>
          <w:sz w:val="24"/>
          <w:szCs w:val="24"/>
        </w:rPr>
        <w:t xml:space="preserve">References </w:t>
      </w:r>
      <w:commentRangeEnd w:id="1"/>
      <w:r>
        <w:commentReference w:id="1"/>
      </w:r>
    </w:p>
    <w:p w14:paraId="45E02F0F">
      <w:pPr>
        <w:jc w:val="both"/>
        <w:rPr>
          <w:rFonts w:ascii="Times New Roman" w:hAnsi="Times New Roman" w:cs="Times New Roman"/>
          <w:sz w:val="24"/>
          <w:szCs w:val="24"/>
        </w:rPr>
      </w:pPr>
      <w:r>
        <w:rPr>
          <w:rFonts w:ascii="Times New Roman" w:hAnsi="Times New Roman" w:cs="Times New Roman"/>
          <w:sz w:val="24"/>
          <w:szCs w:val="24"/>
        </w:rPr>
        <w:t xml:space="preserve">Akpuaka, A., Ekwenchi, M. M., Dashak, D. A., &amp; Dildar, A. (2013). Biological activities of characterized isolates of n-hexane extract of </w:t>
      </w:r>
      <w:r>
        <w:rPr>
          <w:rFonts w:ascii="Times New Roman" w:hAnsi="Times New Roman" w:cs="Times New Roman"/>
          <w:i/>
          <w:iCs/>
          <w:sz w:val="24"/>
          <w:szCs w:val="24"/>
        </w:rPr>
        <w:t>Azadirachta indica</w:t>
      </w:r>
      <w:r>
        <w:rPr>
          <w:rFonts w:ascii="Times New Roman" w:hAnsi="Times New Roman" w:cs="Times New Roman"/>
          <w:sz w:val="24"/>
          <w:szCs w:val="24"/>
        </w:rPr>
        <w:t xml:space="preserve"> A. Juss (Neem) leaves. </w:t>
      </w:r>
      <w:r>
        <w:rPr>
          <w:rFonts w:ascii="Times New Roman" w:hAnsi="Times New Roman" w:cs="Times New Roman"/>
          <w:i/>
          <w:iCs/>
          <w:sz w:val="24"/>
          <w:szCs w:val="24"/>
        </w:rPr>
        <w:t>Nature and Science</w:t>
      </w:r>
      <w:r>
        <w:rPr>
          <w:rFonts w:ascii="Times New Roman" w:hAnsi="Times New Roman" w:cs="Times New Roman"/>
          <w:sz w:val="24"/>
          <w:szCs w:val="24"/>
        </w:rPr>
        <w:t>, 11(5), 141–147.</w:t>
      </w:r>
    </w:p>
    <w:p w14:paraId="58AEE5FC">
      <w:pPr>
        <w:jc w:val="both"/>
        <w:rPr>
          <w:rFonts w:ascii="Times New Roman" w:hAnsi="Times New Roman" w:cs="Times New Roman"/>
          <w:sz w:val="24"/>
          <w:szCs w:val="24"/>
        </w:rPr>
      </w:pPr>
      <w:r>
        <w:rPr>
          <w:rFonts w:ascii="Times New Roman" w:hAnsi="Times New Roman" w:cs="Times New Roman"/>
          <w:sz w:val="24"/>
          <w:szCs w:val="24"/>
        </w:rPr>
        <w:t xml:space="preserve">Aparna, V., Dileep, K. V., Mandal, P. K., Karthe, P., Sadasivan, C. &amp; Haridas, M. (2012). Anti-inflammatory property of n-hexadecanoic acid: structural evidence and kinetic assessment. </w:t>
      </w:r>
      <w:r>
        <w:rPr>
          <w:rFonts w:ascii="Times New Roman" w:hAnsi="Times New Roman" w:cs="Times New Roman"/>
          <w:i/>
          <w:iCs/>
          <w:sz w:val="24"/>
          <w:szCs w:val="24"/>
        </w:rPr>
        <w:t>Chem. Biol. Drug Des.</w:t>
      </w:r>
      <w:r>
        <w:rPr>
          <w:rFonts w:ascii="Times New Roman" w:hAnsi="Times New Roman" w:cs="Times New Roman"/>
          <w:sz w:val="24"/>
          <w:szCs w:val="24"/>
        </w:rPr>
        <w:t xml:space="preserve"> 80, 434–439. doi: 10.1111/j.1747-0285.2012.01418.x</w:t>
      </w:r>
    </w:p>
    <w:p w14:paraId="55DD1333">
      <w:pPr>
        <w:jc w:val="both"/>
        <w:rPr>
          <w:rFonts w:ascii="Times New Roman" w:hAnsi="Times New Roman" w:cs="Times New Roman"/>
          <w:sz w:val="24"/>
          <w:szCs w:val="24"/>
        </w:rPr>
      </w:pPr>
      <w:r>
        <w:rPr>
          <w:rFonts w:ascii="Times New Roman" w:hAnsi="Times New Roman" w:cs="Times New Roman"/>
          <w:sz w:val="24"/>
          <w:szCs w:val="24"/>
        </w:rPr>
        <w:t xml:space="preserve">Awan, Z. A., Shoaib, A., Schenk, P. M., Ahmad, A., Alansi, S., &amp; Paray, B. A. (2023). Antifungal potential of volatiles produced by </w:t>
      </w:r>
      <w:r>
        <w:rPr>
          <w:rFonts w:ascii="Times New Roman" w:hAnsi="Times New Roman" w:cs="Times New Roman"/>
          <w:i/>
          <w:iCs/>
          <w:sz w:val="24"/>
          <w:szCs w:val="24"/>
        </w:rPr>
        <w:t>Bacillus subtilis</w:t>
      </w:r>
      <w:r>
        <w:rPr>
          <w:rFonts w:ascii="Times New Roman" w:hAnsi="Times New Roman" w:cs="Times New Roman"/>
          <w:sz w:val="24"/>
          <w:szCs w:val="24"/>
        </w:rPr>
        <w:t xml:space="preserve"> BS-01 against Alternaria solani in </w:t>
      </w:r>
      <w:r>
        <w:rPr>
          <w:rFonts w:ascii="Times New Roman" w:hAnsi="Times New Roman" w:cs="Times New Roman"/>
          <w:i/>
          <w:iCs/>
          <w:sz w:val="24"/>
          <w:szCs w:val="24"/>
        </w:rPr>
        <w:t>Solanum lycopersicum. Frontiers in Plant Science</w:t>
      </w:r>
      <w:r>
        <w:rPr>
          <w:rFonts w:ascii="Times New Roman" w:hAnsi="Times New Roman" w:cs="Times New Roman"/>
          <w:sz w:val="24"/>
          <w:szCs w:val="24"/>
        </w:rPr>
        <w:t>, 13, 1089562. https://doi.org/10.3389/fpls.2022.1089562</w:t>
      </w:r>
    </w:p>
    <w:p w14:paraId="55C67CDE">
      <w:pPr>
        <w:jc w:val="both"/>
        <w:rPr>
          <w:rFonts w:ascii="Times New Roman" w:hAnsi="Times New Roman" w:cs="Times New Roman"/>
          <w:sz w:val="24"/>
          <w:szCs w:val="24"/>
        </w:rPr>
      </w:pPr>
      <w:r>
        <w:rPr>
          <w:rFonts w:ascii="Times New Roman" w:hAnsi="Times New Roman" w:cs="Times New Roman"/>
          <w:sz w:val="24"/>
          <w:szCs w:val="24"/>
        </w:rPr>
        <w:t xml:space="preserve">Banakar, P., &amp; Jayaraj, M. (2018). GC–MS analysis of bioactive compounds from ethanolic leaf extract of Waltheria indica Linn. and their pharmacological activities. </w:t>
      </w:r>
      <w:r>
        <w:rPr>
          <w:rFonts w:ascii="Times New Roman" w:hAnsi="Times New Roman" w:cs="Times New Roman"/>
          <w:i/>
          <w:iCs/>
          <w:sz w:val="24"/>
          <w:szCs w:val="24"/>
        </w:rPr>
        <w:t>International Journal of Pharmaceutical Sciences and Research</w:t>
      </w:r>
      <w:r>
        <w:rPr>
          <w:rFonts w:ascii="Times New Roman" w:hAnsi="Times New Roman" w:cs="Times New Roman"/>
          <w:sz w:val="24"/>
          <w:szCs w:val="24"/>
        </w:rPr>
        <w:t>, 9(5), 2005–2010. https://doi.org/10.13040/IJPSR.0975-8232.9(5).2005-10</w:t>
      </w:r>
    </w:p>
    <w:p w14:paraId="7E967F7E">
      <w:pPr>
        <w:jc w:val="both"/>
        <w:rPr>
          <w:rFonts w:ascii="Times New Roman" w:hAnsi="Times New Roman" w:cs="Times New Roman"/>
          <w:sz w:val="24"/>
          <w:szCs w:val="24"/>
        </w:rPr>
      </w:pPr>
      <w:r>
        <w:rPr>
          <w:rFonts w:ascii="Times New Roman" w:hAnsi="Times New Roman" w:cs="Times New Roman"/>
          <w:sz w:val="24"/>
          <w:szCs w:val="24"/>
        </w:rPr>
        <w:t xml:space="preserve">Beena, V., Prakash, V., Bindu, A. R., &amp; Bindu, K. (2016). Phytochemical screening methods: A comparative overview. </w:t>
      </w:r>
      <w:r>
        <w:rPr>
          <w:rFonts w:ascii="Times New Roman" w:hAnsi="Times New Roman" w:cs="Times New Roman"/>
          <w:i/>
          <w:iCs/>
          <w:sz w:val="24"/>
          <w:szCs w:val="24"/>
        </w:rPr>
        <w:t>International Journal of Pharmacognosy and Phytochemical Research</w:t>
      </w:r>
      <w:r>
        <w:rPr>
          <w:rFonts w:ascii="Times New Roman" w:hAnsi="Times New Roman" w:cs="Times New Roman"/>
          <w:sz w:val="24"/>
          <w:szCs w:val="24"/>
        </w:rPr>
        <w:t>, 8(3), 387–392.</w:t>
      </w:r>
    </w:p>
    <w:p w14:paraId="0A55B6D6">
      <w:pPr>
        <w:jc w:val="both"/>
        <w:rPr>
          <w:rFonts w:ascii="Times New Roman" w:hAnsi="Times New Roman" w:cs="Times New Roman"/>
          <w:sz w:val="24"/>
          <w:szCs w:val="24"/>
        </w:rPr>
      </w:pPr>
      <w:r>
        <w:rPr>
          <w:rFonts w:ascii="Times New Roman" w:hAnsi="Times New Roman" w:cs="Times New Roman"/>
          <w:sz w:val="24"/>
          <w:szCs w:val="24"/>
        </w:rPr>
        <w:t>Casillas-Vargas, G., Ocasio-Malavé, C., Medina, S., Morales-Guzmán, C., García Del Valle, R., Carballeira, N. M., &amp; Sanabria-Ríos, D. J. (2021). Antibacterial fatty acids: An update of possible mechanisms of action and implications in the development of the next generation of antibacterial agents.</w:t>
      </w:r>
      <w:r>
        <w:rPr>
          <w:rFonts w:ascii="Times New Roman" w:hAnsi="Times New Roman" w:cs="Times New Roman"/>
          <w:i/>
          <w:iCs/>
          <w:sz w:val="24"/>
          <w:szCs w:val="24"/>
        </w:rPr>
        <w:t xml:space="preserve"> Progress in Lipid Research</w:t>
      </w:r>
      <w:r>
        <w:rPr>
          <w:rFonts w:ascii="Times New Roman" w:hAnsi="Times New Roman" w:cs="Times New Roman"/>
          <w:sz w:val="24"/>
          <w:szCs w:val="24"/>
        </w:rPr>
        <w:t xml:space="preserve">, 82, 101093. https://doi.org/10.1016/j.plipres.2021.101093. </w:t>
      </w:r>
    </w:p>
    <w:p w14:paraId="2D3F5E9B">
      <w:pPr>
        <w:jc w:val="both"/>
        <w:rPr>
          <w:rFonts w:ascii="Times New Roman" w:hAnsi="Times New Roman" w:cs="Times New Roman"/>
          <w:sz w:val="24"/>
          <w:szCs w:val="24"/>
        </w:rPr>
      </w:pPr>
      <w:r>
        <w:rPr>
          <w:rFonts w:ascii="Times New Roman" w:hAnsi="Times New Roman" w:cs="Times New Roman"/>
          <w:sz w:val="24"/>
          <w:szCs w:val="24"/>
        </w:rPr>
        <w:t xml:space="preserve">Choi, S. J., Kim, J. K., Kim, H. K., Harris, K., Kim, C. J., Park, G. G., Park, C. S., &amp; Shin, D. H. (2013). 2,4-Di-tert-butylphenol from sweet potato protects against oxidative stress in PC12 cells and in mice. </w:t>
      </w:r>
      <w:r>
        <w:rPr>
          <w:rFonts w:ascii="Times New Roman" w:hAnsi="Times New Roman" w:cs="Times New Roman"/>
          <w:i/>
          <w:iCs/>
          <w:sz w:val="24"/>
          <w:szCs w:val="24"/>
        </w:rPr>
        <w:t>Journal of Medicinal Food</w:t>
      </w:r>
      <w:r>
        <w:rPr>
          <w:rFonts w:ascii="Times New Roman" w:hAnsi="Times New Roman" w:cs="Times New Roman"/>
          <w:sz w:val="24"/>
          <w:szCs w:val="24"/>
        </w:rPr>
        <w:t>, 16(11), 977–983. https://doi.org/10.1089/jmf.2012.2664</w:t>
      </w:r>
    </w:p>
    <w:p w14:paraId="05D9FA7B">
      <w:pPr>
        <w:jc w:val="both"/>
        <w:rPr>
          <w:rFonts w:ascii="Times New Roman" w:hAnsi="Times New Roman" w:cs="Times New Roman"/>
          <w:sz w:val="24"/>
          <w:szCs w:val="24"/>
        </w:rPr>
      </w:pPr>
      <w:r>
        <w:rPr>
          <w:rFonts w:ascii="Times New Roman" w:hAnsi="Times New Roman" w:cs="Times New Roman"/>
          <w:sz w:val="24"/>
          <w:szCs w:val="24"/>
        </w:rPr>
        <w:t xml:space="preserve">de Oliveira Ramalho, T. R., Pacheco de Oliveira, M. T., de Araujo Lima, A. L., Bezerra-Santos, C. R., &amp; Piuvezam, M. R. (2015). Gamma-terpinene modulates acute inflammatory response in mice. </w:t>
      </w:r>
      <w:r>
        <w:rPr>
          <w:rFonts w:ascii="Times New Roman" w:hAnsi="Times New Roman" w:cs="Times New Roman"/>
          <w:i/>
          <w:iCs/>
          <w:sz w:val="24"/>
          <w:szCs w:val="24"/>
        </w:rPr>
        <w:t>Planta Medica</w:t>
      </w:r>
      <w:r>
        <w:rPr>
          <w:rFonts w:ascii="Times New Roman" w:hAnsi="Times New Roman" w:cs="Times New Roman"/>
          <w:sz w:val="24"/>
          <w:szCs w:val="24"/>
        </w:rPr>
        <w:t>, 81(14), 1248–1254. https://doi.org/10.1055/s-0035-1546262</w:t>
      </w:r>
    </w:p>
    <w:p w14:paraId="46C8A9A8">
      <w:pPr>
        <w:jc w:val="both"/>
        <w:rPr>
          <w:rFonts w:ascii="Times New Roman" w:hAnsi="Times New Roman" w:cs="Times New Roman"/>
          <w:sz w:val="24"/>
          <w:szCs w:val="24"/>
        </w:rPr>
      </w:pPr>
      <w:r>
        <w:rPr>
          <w:rFonts w:ascii="Times New Roman" w:hAnsi="Times New Roman" w:cs="Times New Roman"/>
          <w:sz w:val="24"/>
          <w:szCs w:val="24"/>
        </w:rPr>
        <w:t xml:space="preserve">Dhawan, D., &amp; Gupta, J. (2017). Comparison of different solvents for phytochemical extraction potential from </w:t>
      </w:r>
      <w:r>
        <w:rPr>
          <w:rFonts w:ascii="Times New Roman" w:hAnsi="Times New Roman" w:cs="Times New Roman"/>
          <w:i/>
          <w:iCs/>
          <w:sz w:val="24"/>
          <w:szCs w:val="24"/>
        </w:rPr>
        <w:t>Datura metel</w:t>
      </w:r>
      <w:r>
        <w:rPr>
          <w:rFonts w:ascii="Times New Roman" w:hAnsi="Times New Roman" w:cs="Times New Roman"/>
          <w:sz w:val="24"/>
          <w:szCs w:val="24"/>
        </w:rPr>
        <w:t xml:space="preserve"> plant leaves. </w:t>
      </w:r>
      <w:r>
        <w:rPr>
          <w:rFonts w:ascii="Times New Roman" w:hAnsi="Times New Roman" w:cs="Times New Roman"/>
          <w:i/>
          <w:iCs/>
          <w:sz w:val="24"/>
          <w:szCs w:val="24"/>
        </w:rPr>
        <w:t>International Journal of Biological Chemistry</w:t>
      </w:r>
      <w:r>
        <w:rPr>
          <w:rFonts w:ascii="Times New Roman" w:hAnsi="Times New Roman" w:cs="Times New Roman"/>
          <w:sz w:val="24"/>
          <w:szCs w:val="24"/>
        </w:rPr>
        <w:t>, 11(1), 17–22. https://doi.org/10.3923/ijbc.2017.17.22.</w:t>
      </w:r>
    </w:p>
    <w:p w14:paraId="44384752">
      <w:pPr>
        <w:jc w:val="both"/>
        <w:rPr>
          <w:rFonts w:ascii="Times New Roman" w:hAnsi="Times New Roman" w:cs="Times New Roman"/>
          <w:sz w:val="24"/>
          <w:szCs w:val="24"/>
        </w:rPr>
      </w:pPr>
      <w:r>
        <w:rPr>
          <w:rFonts w:ascii="Times New Roman" w:hAnsi="Times New Roman" w:cs="Times New Roman"/>
          <w:sz w:val="24"/>
          <w:szCs w:val="24"/>
        </w:rPr>
        <w:t>Duke, J. A. (1992).</w:t>
      </w:r>
      <w:r>
        <w:rPr>
          <w:rFonts w:ascii="Times New Roman" w:hAnsi="Times New Roman" w:cs="Times New Roman"/>
          <w:i/>
          <w:iCs/>
          <w:sz w:val="24"/>
          <w:szCs w:val="24"/>
        </w:rPr>
        <w:t xml:space="preserve"> Database manual of biologically active phytochemicals and their activities </w:t>
      </w:r>
      <w:r>
        <w:rPr>
          <w:rFonts w:ascii="Times New Roman" w:hAnsi="Times New Roman" w:cs="Times New Roman"/>
          <w:sz w:val="24"/>
          <w:szCs w:val="24"/>
        </w:rPr>
        <w:t>(1st ed.). Boca Raton, FL: CRC Press.</w:t>
      </w:r>
    </w:p>
    <w:p w14:paraId="34823DA0">
      <w:pPr>
        <w:jc w:val="both"/>
        <w:rPr>
          <w:rFonts w:ascii="Times New Roman" w:hAnsi="Times New Roman" w:cs="Times New Roman"/>
          <w:sz w:val="24"/>
          <w:szCs w:val="24"/>
        </w:rPr>
      </w:pPr>
      <w:r>
        <w:rPr>
          <w:rFonts w:ascii="Times New Roman" w:hAnsi="Times New Roman" w:cs="Times New Roman"/>
          <w:sz w:val="24"/>
          <w:szCs w:val="24"/>
        </w:rPr>
        <w:t>Duke, J. A. (2013). Dr. Duke's Phytochemical and Ethnobotanical Databases. U.S. Department of Agriculture, Agricultural Research Service. [online] Available at: https://phytochem.nal.usda.gov/ [Accessed 20 August 2025].</w:t>
      </w:r>
    </w:p>
    <w:p w14:paraId="00A19C2A">
      <w:pPr>
        <w:jc w:val="both"/>
        <w:rPr>
          <w:rFonts w:ascii="Times New Roman" w:hAnsi="Times New Roman" w:cs="Times New Roman"/>
          <w:sz w:val="24"/>
          <w:szCs w:val="24"/>
        </w:rPr>
      </w:pPr>
      <w:r>
        <w:rPr>
          <w:rFonts w:ascii="Times New Roman" w:hAnsi="Times New Roman" w:cs="Times New Roman"/>
          <w:sz w:val="24"/>
          <w:szCs w:val="24"/>
        </w:rPr>
        <w:t xml:space="preserve">Ernst M., Grace O.M., Saslis-Lagoudakis C.H., Nilsson N., Simonsen H.T., Rønsted N. (2015). Global medicinal (Euphorbiacb1eae) uses of </w:t>
      </w:r>
      <w:r>
        <w:rPr>
          <w:rFonts w:ascii="Times New Roman" w:hAnsi="Times New Roman" w:cs="Times New Roman"/>
          <w:i/>
          <w:iCs/>
          <w:sz w:val="24"/>
          <w:szCs w:val="24"/>
        </w:rPr>
        <w:t>Euphorbia</w:t>
      </w:r>
      <w:r>
        <w:rPr>
          <w:rFonts w:ascii="Times New Roman" w:hAnsi="Times New Roman" w:cs="Times New Roman"/>
          <w:sz w:val="24"/>
          <w:szCs w:val="24"/>
        </w:rPr>
        <w:t xml:space="preserve"> L. </w:t>
      </w:r>
      <w:r>
        <w:rPr>
          <w:rFonts w:ascii="Times New Roman" w:hAnsi="Times New Roman" w:cs="Times New Roman"/>
          <w:i/>
          <w:iCs/>
          <w:sz w:val="24"/>
          <w:szCs w:val="24"/>
        </w:rPr>
        <w:t>Journal of Ethnopharmacology</w:t>
      </w:r>
      <w:r>
        <w:rPr>
          <w:rFonts w:ascii="Times New Roman" w:hAnsi="Times New Roman" w:cs="Times New Roman"/>
          <w:sz w:val="24"/>
          <w:szCs w:val="24"/>
        </w:rPr>
        <w:t>, 176, 90–101. https://doi.org/10.1016/j.jep.2015.10.025</w:t>
      </w:r>
    </w:p>
    <w:p w14:paraId="079B21F6">
      <w:pPr>
        <w:jc w:val="both"/>
        <w:rPr>
          <w:rFonts w:ascii="Times New Roman" w:hAnsi="Times New Roman" w:cs="Times New Roman"/>
          <w:sz w:val="24"/>
          <w:szCs w:val="24"/>
        </w:rPr>
      </w:pPr>
      <w:r>
        <w:rPr>
          <w:rFonts w:ascii="Times New Roman" w:hAnsi="Times New Roman" w:cs="Times New Roman"/>
          <w:sz w:val="24"/>
          <w:szCs w:val="24"/>
        </w:rPr>
        <w:t xml:space="preserve">Fahem, N., Djellouli, A. S., &amp; Bahri, S. (2020). Cytotoxic activity assessment and GC-MS screening of two </w:t>
      </w:r>
      <w:r>
        <w:rPr>
          <w:rFonts w:ascii="Times New Roman" w:hAnsi="Times New Roman" w:cs="Times New Roman"/>
          <w:i/>
          <w:iCs/>
          <w:sz w:val="24"/>
          <w:szCs w:val="24"/>
        </w:rPr>
        <w:t>Codium species</w:t>
      </w:r>
      <w:r>
        <w:rPr>
          <w:rFonts w:ascii="Times New Roman" w:hAnsi="Times New Roman" w:cs="Times New Roman"/>
          <w:sz w:val="24"/>
          <w:szCs w:val="24"/>
        </w:rPr>
        <w:t xml:space="preserve"> extracts.</w:t>
      </w:r>
      <w:r>
        <w:rPr>
          <w:rFonts w:ascii="Times New Roman" w:hAnsi="Times New Roman" w:cs="Times New Roman"/>
          <w:i/>
          <w:iCs/>
          <w:sz w:val="24"/>
          <w:szCs w:val="24"/>
        </w:rPr>
        <w:t xml:space="preserve"> Pharmaceutical Chemistry Journal</w:t>
      </w:r>
      <w:r>
        <w:rPr>
          <w:rFonts w:ascii="Times New Roman" w:hAnsi="Times New Roman" w:cs="Times New Roman"/>
          <w:sz w:val="24"/>
          <w:szCs w:val="24"/>
        </w:rPr>
        <w:t>, 54(7), 755–761. https://doi.org/10.1007/s11094-020-02243-3</w:t>
      </w:r>
    </w:p>
    <w:p w14:paraId="0C5C058E">
      <w:pPr>
        <w:jc w:val="both"/>
        <w:rPr>
          <w:rFonts w:ascii="Times New Roman" w:hAnsi="Times New Roman" w:cs="Times New Roman"/>
          <w:sz w:val="24"/>
          <w:szCs w:val="24"/>
        </w:rPr>
      </w:pPr>
      <w:r>
        <w:rPr>
          <w:rFonts w:ascii="Times New Roman" w:hAnsi="Times New Roman" w:cs="Times New Roman"/>
          <w:sz w:val="24"/>
          <w:szCs w:val="24"/>
        </w:rPr>
        <w:t xml:space="preserve">Faridha Begum, I., Mohankumar, R., Jeevan, M., &amp; Ramani, K. (2016). GC–MS analysis of bio-active molecules derived from </w:t>
      </w:r>
      <w:r>
        <w:rPr>
          <w:rFonts w:ascii="Times New Roman" w:hAnsi="Times New Roman" w:cs="Times New Roman"/>
          <w:i/>
          <w:iCs/>
          <w:sz w:val="24"/>
          <w:szCs w:val="24"/>
        </w:rPr>
        <w:t>Paracoccus pantotrophus</w:t>
      </w:r>
      <w:r>
        <w:rPr>
          <w:rFonts w:ascii="Times New Roman" w:hAnsi="Times New Roman" w:cs="Times New Roman"/>
          <w:sz w:val="24"/>
          <w:szCs w:val="24"/>
        </w:rPr>
        <w:t xml:space="preserve"> FMR19 and the antimicrobial activity against bacterial pathogens and MDROs. </w:t>
      </w:r>
      <w:r>
        <w:rPr>
          <w:rFonts w:ascii="Times New Roman" w:hAnsi="Times New Roman" w:cs="Times New Roman"/>
          <w:i/>
          <w:iCs/>
          <w:sz w:val="24"/>
          <w:szCs w:val="24"/>
        </w:rPr>
        <w:t>Indian Journal of Microbiology</w:t>
      </w:r>
      <w:r>
        <w:rPr>
          <w:rFonts w:ascii="Times New Roman" w:hAnsi="Times New Roman" w:cs="Times New Roman"/>
          <w:sz w:val="24"/>
          <w:szCs w:val="24"/>
        </w:rPr>
        <w:t>, 56(4), 426–432. https://doi.org/10.1007/s12088-016-0609-1</w:t>
      </w:r>
    </w:p>
    <w:p w14:paraId="45FF6CB1">
      <w:pPr>
        <w:jc w:val="both"/>
        <w:rPr>
          <w:rFonts w:ascii="Times New Roman" w:hAnsi="Times New Roman" w:cs="Times New Roman"/>
          <w:sz w:val="24"/>
          <w:szCs w:val="24"/>
        </w:rPr>
      </w:pPr>
      <w:r>
        <w:rPr>
          <w:rFonts w:ascii="Times New Roman" w:hAnsi="Times New Roman" w:cs="Times New Roman"/>
          <w:sz w:val="24"/>
          <w:szCs w:val="24"/>
        </w:rPr>
        <w:t>Fleischer, J., &amp; Krieger, J. (2018). Insect Pheromone Receptors - Key Elements in Sensing Intraspecific Chemical Signals. </w:t>
      </w:r>
      <w:r>
        <w:rPr>
          <w:rFonts w:ascii="Times New Roman" w:hAnsi="Times New Roman" w:cs="Times New Roman"/>
          <w:i/>
          <w:iCs/>
          <w:sz w:val="24"/>
          <w:szCs w:val="24"/>
        </w:rPr>
        <w:t>Frontiers in cellular neuroscience</w:t>
      </w:r>
      <w:r>
        <w:rPr>
          <w:rFonts w:ascii="Times New Roman" w:hAnsi="Times New Roman" w:cs="Times New Roman"/>
          <w:sz w:val="24"/>
          <w:szCs w:val="24"/>
        </w:rPr>
        <w:t>, 12, 425. https://doi.org/10.3389/fncel.2018.00425</w:t>
      </w:r>
    </w:p>
    <w:p w14:paraId="46BFF890">
      <w:pPr>
        <w:jc w:val="both"/>
        <w:rPr>
          <w:rFonts w:ascii="Times New Roman" w:hAnsi="Times New Roman" w:cs="Times New Roman"/>
          <w:sz w:val="24"/>
          <w:szCs w:val="24"/>
        </w:rPr>
      </w:pPr>
      <w:r>
        <w:rPr>
          <w:rFonts w:ascii="Times New Roman" w:hAnsi="Times New Roman" w:cs="Times New Roman"/>
          <w:sz w:val="24"/>
          <w:szCs w:val="24"/>
        </w:rPr>
        <w:t>Girija, S., Duraipandiyan, V., Kuppusamy, P. S., Gajendran, H., &amp; Rajagopal, R. (2014). Chromatographic characterization and GC-MS evaluation of the bioactive constituents with antimicrobial potential from the pigmented ink of</w:t>
      </w:r>
      <w:r>
        <w:rPr>
          <w:rFonts w:ascii="Times New Roman" w:hAnsi="Times New Roman" w:cs="Times New Roman"/>
          <w:i/>
          <w:iCs/>
          <w:sz w:val="24"/>
          <w:szCs w:val="24"/>
        </w:rPr>
        <w:t xml:space="preserve"> Loligo duvauceli. International Scholarly Research Notices</w:t>
      </w:r>
      <w:r>
        <w:rPr>
          <w:rFonts w:ascii="Times New Roman" w:hAnsi="Times New Roman" w:cs="Times New Roman"/>
          <w:sz w:val="24"/>
          <w:szCs w:val="24"/>
        </w:rPr>
        <w:t>, 2014, 1–8. https://doi.org/10.1155/2014/82074</w:t>
      </w:r>
    </w:p>
    <w:p w14:paraId="3AFC383E">
      <w:pPr>
        <w:jc w:val="both"/>
        <w:rPr>
          <w:rFonts w:ascii="Times New Roman" w:hAnsi="Times New Roman" w:cs="Times New Roman"/>
          <w:sz w:val="24"/>
          <w:szCs w:val="24"/>
        </w:rPr>
      </w:pPr>
      <w:r>
        <w:rPr>
          <w:rFonts w:ascii="Times New Roman" w:hAnsi="Times New Roman" w:cs="Times New Roman"/>
          <w:sz w:val="24"/>
          <w:szCs w:val="24"/>
        </w:rPr>
        <w:t>Godwin, A., Akinpelu, B. A., Makinde, A. M., Aderogba, M. A., &amp; Oyedapo, O. O. (2015). Identification of n-hexane fraction constituents of</w:t>
      </w:r>
      <w:r>
        <w:rPr>
          <w:rFonts w:ascii="Times New Roman" w:hAnsi="Times New Roman" w:cs="Times New Roman"/>
          <w:i/>
          <w:iCs/>
          <w:sz w:val="24"/>
          <w:szCs w:val="24"/>
        </w:rPr>
        <w:t xml:space="preserve"> Archidium ohioense </w:t>
      </w:r>
      <w:r>
        <w:rPr>
          <w:rFonts w:ascii="Times New Roman" w:hAnsi="Times New Roman" w:cs="Times New Roman"/>
          <w:sz w:val="24"/>
          <w:szCs w:val="24"/>
        </w:rPr>
        <w:t xml:space="preserve">(Schimp. Ex Mull) extract using GC-MS technique. </w:t>
      </w:r>
      <w:r>
        <w:rPr>
          <w:rFonts w:ascii="Times New Roman" w:hAnsi="Times New Roman" w:cs="Times New Roman"/>
          <w:i/>
          <w:iCs/>
          <w:sz w:val="24"/>
          <w:szCs w:val="24"/>
        </w:rPr>
        <w:t>British Journal of Pharmaceutical Research</w:t>
      </w:r>
      <w:r>
        <w:rPr>
          <w:rFonts w:ascii="Times New Roman" w:hAnsi="Times New Roman" w:cs="Times New Roman"/>
          <w:sz w:val="24"/>
          <w:szCs w:val="24"/>
        </w:rPr>
        <w:t>, 6(6), 366–375.</w:t>
      </w:r>
    </w:p>
    <w:p w14:paraId="2FB71720">
      <w:pPr>
        <w:jc w:val="both"/>
        <w:rPr>
          <w:rFonts w:ascii="Times New Roman" w:hAnsi="Times New Roman" w:cs="Times New Roman"/>
          <w:sz w:val="24"/>
          <w:szCs w:val="24"/>
        </w:rPr>
      </w:pPr>
      <w:r>
        <w:rPr>
          <w:rFonts w:ascii="Times New Roman" w:hAnsi="Times New Roman" w:cs="Times New Roman"/>
          <w:sz w:val="24"/>
          <w:szCs w:val="24"/>
        </w:rPr>
        <w:t xml:space="preserve">Govaerts, R., Frodin, D.G. &amp; Radcliffe-Smith, A., (2000). </w:t>
      </w:r>
      <w:r>
        <w:rPr>
          <w:rFonts w:ascii="Times New Roman" w:hAnsi="Times New Roman" w:cs="Times New Roman"/>
          <w:i/>
          <w:iCs/>
          <w:sz w:val="24"/>
          <w:szCs w:val="24"/>
        </w:rPr>
        <w:t>World checklist and bibliography of Euphorbiaceae (with Pandaceae)</w:t>
      </w:r>
      <w:r>
        <w:rPr>
          <w:rFonts w:ascii="Times New Roman" w:hAnsi="Times New Roman" w:cs="Times New Roman"/>
          <w:sz w:val="24"/>
          <w:szCs w:val="24"/>
        </w:rPr>
        <w:t>, vol. 4. Royal Botanic Gardens, Kew, UK.</w:t>
      </w:r>
    </w:p>
    <w:p w14:paraId="07936FB6">
      <w:pPr>
        <w:jc w:val="both"/>
        <w:rPr>
          <w:rFonts w:ascii="Times New Roman" w:hAnsi="Times New Roman" w:cs="Times New Roman"/>
          <w:sz w:val="24"/>
          <w:szCs w:val="24"/>
        </w:rPr>
      </w:pPr>
      <w:r>
        <w:rPr>
          <w:rFonts w:ascii="Times New Roman" w:hAnsi="Times New Roman" w:cs="Times New Roman"/>
          <w:sz w:val="24"/>
          <w:szCs w:val="24"/>
        </w:rPr>
        <w:t xml:space="preserve">Horn, J.W., van Ee, B.W., Morawetz, J.J., Riina, R., Steinmann, V.W., Berry, P.E., &amp; Wurdack, K.J. (2012). Phylogenetics and the evolution of major structural characters in the giant genus </w:t>
      </w:r>
      <w:r>
        <w:rPr>
          <w:rFonts w:ascii="Times New Roman" w:hAnsi="Times New Roman" w:cs="Times New Roman"/>
          <w:i/>
          <w:iCs/>
          <w:sz w:val="24"/>
          <w:szCs w:val="24"/>
        </w:rPr>
        <w:t>Euphorbia</w:t>
      </w:r>
      <w:r>
        <w:rPr>
          <w:rFonts w:ascii="Times New Roman" w:hAnsi="Times New Roman" w:cs="Times New Roman"/>
          <w:sz w:val="24"/>
          <w:szCs w:val="24"/>
        </w:rPr>
        <w:t xml:space="preserve"> L. (Euphorbiaceae). </w:t>
      </w:r>
      <w:r>
        <w:rPr>
          <w:rFonts w:ascii="Times New Roman" w:hAnsi="Times New Roman" w:cs="Times New Roman"/>
          <w:i/>
          <w:iCs/>
          <w:sz w:val="24"/>
          <w:szCs w:val="24"/>
        </w:rPr>
        <w:t>Mol. Phylogenet. Evol</w:t>
      </w:r>
      <w:r>
        <w:rPr>
          <w:rFonts w:ascii="Times New Roman" w:hAnsi="Times New Roman" w:cs="Times New Roman"/>
          <w:sz w:val="24"/>
          <w:szCs w:val="24"/>
        </w:rPr>
        <w:t>., 63(2), 305–326. https://doi.org/10.1016/j.ympev.2011.12.022</w:t>
      </w:r>
    </w:p>
    <w:p w14:paraId="68E602A7">
      <w:pPr>
        <w:jc w:val="both"/>
        <w:rPr>
          <w:rFonts w:ascii="Times New Roman" w:hAnsi="Times New Roman" w:cs="Times New Roman"/>
          <w:sz w:val="24"/>
          <w:szCs w:val="24"/>
        </w:rPr>
      </w:pPr>
      <w:r>
        <w:rPr>
          <w:rFonts w:ascii="Times New Roman" w:hAnsi="Times New Roman" w:cs="Times New Roman"/>
          <w:sz w:val="24"/>
          <w:szCs w:val="24"/>
        </w:rPr>
        <w:t>Huang, W. C., Tsai, T. H., Chuang, L. T., Li, Y. Y., Zouboulis, C. C., &amp; Tsai, P. J. (2014). Anti-bacterial and anti-inflammatory properties of capric acid against Propionibacterium acnes: a comparative study with lauric acid.</w:t>
      </w:r>
      <w:r>
        <w:rPr>
          <w:rFonts w:ascii="Times New Roman" w:hAnsi="Times New Roman" w:cs="Times New Roman"/>
          <w:i/>
          <w:iCs/>
          <w:sz w:val="24"/>
          <w:szCs w:val="24"/>
        </w:rPr>
        <w:t xml:space="preserve"> Journal of dermatological science</w:t>
      </w:r>
      <w:r>
        <w:rPr>
          <w:rFonts w:ascii="Times New Roman" w:hAnsi="Times New Roman" w:cs="Times New Roman"/>
          <w:sz w:val="24"/>
          <w:szCs w:val="24"/>
        </w:rPr>
        <w:t>, 73(3), 232–240. https://doi.org/10.1016/j.jdermsci.2013.10.010</w:t>
      </w:r>
    </w:p>
    <w:p w14:paraId="07F1A2F6">
      <w:pPr>
        <w:jc w:val="both"/>
        <w:rPr>
          <w:rFonts w:ascii="Times New Roman" w:hAnsi="Times New Roman" w:cs="Times New Roman"/>
          <w:sz w:val="24"/>
          <w:szCs w:val="24"/>
        </w:rPr>
      </w:pPr>
      <w:r>
        <w:rPr>
          <w:rFonts w:ascii="Times New Roman" w:hAnsi="Times New Roman" w:cs="Times New Roman"/>
          <w:sz w:val="24"/>
          <w:szCs w:val="24"/>
        </w:rPr>
        <w:t xml:space="preserve">Jegadeeswari, P., Nishanthini, A., Muthukumarasamy, S., &amp; Mohan, V. R. (2012). GC-MS analysis of bioactive components of </w:t>
      </w:r>
      <w:r>
        <w:rPr>
          <w:rFonts w:ascii="Times New Roman" w:hAnsi="Times New Roman" w:cs="Times New Roman"/>
          <w:i/>
          <w:iCs/>
          <w:sz w:val="24"/>
          <w:szCs w:val="24"/>
        </w:rPr>
        <w:t xml:space="preserve">Aristolochia krysagathra </w:t>
      </w:r>
      <w:r>
        <w:rPr>
          <w:rFonts w:ascii="Times New Roman" w:hAnsi="Times New Roman" w:cs="Times New Roman"/>
          <w:sz w:val="24"/>
          <w:szCs w:val="24"/>
        </w:rPr>
        <w:t xml:space="preserve">(Aristolochiaceae). </w:t>
      </w:r>
      <w:r>
        <w:rPr>
          <w:rFonts w:ascii="Times New Roman" w:hAnsi="Times New Roman" w:cs="Times New Roman"/>
          <w:i/>
          <w:iCs/>
          <w:sz w:val="24"/>
          <w:szCs w:val="24"/>
        </w:rPr>
        <w:t>Journal of Current Chemical and Pharmaceutical Sciences</w:t>
      </w:r>
      <w:r>
        <w:rPr>
          <w:rFonts w:ascii="Times New Roman" w:hAnsi="Times New Roman" w:cs="Times New Roman"/>
          <w:sz w:val="24"/>
          <w:szCs w:val="24"/>
        </w:rPr>
        <w:t>, 2(4), 226–232.</w:t>
      </w:r>
    </w:p>
    <w:p w14:paraId="1195BEB4">
      <w:pPr>
        <w:jc w:val="both"/>
        <w:rPr>
          <w:rFonts w:ascii="Times New Roman" w:hAnsi="Times New Roman" w:cs="Times New Roman"/>
          <w:sz w:val="24"/>
          <w:szCs w:val="24"/>
        </w:rPr>
      </w:pPr>
      <w:r>
        <w:rPr>
          <w:rFonts w:ascii="Times New Roman" w:hAnsi="Times New Roman" w:cs="Times New Roman"/>
          <w:sz w:val="24"/>
          <w:szCs w:val="24"/>
        </w:rPr>
        <w:t>Jacome-Sosa, M., Vacca, C., Mangat, R., Diane, A., Nelson, R. C., Reaney, M. J., Shen, J., Curtis, J. M., Vine, D. F., Field, C. J., Igarashi, M., Piomelli, D., Banni, S., &amp; Proctor, S. D. (2016). Vaccenic acid suppresses intestinal inflammation by increasing anandamide and related N-acylethanolamines in the JCR:LA-cp rat. </w:t>
      </w:r>
      <w:r>
        <w:rPr>
          <w:rFonts w:ascii="Times New Roman" w:hAnsi="Times New Roman" w:cs="Times New Roman"/>
          <w:i/>
          <w:iCs/>
          <w:sz w:val="24"/>
          <w:szCs w:val="24"/>
        </w:rPr>
        <w:t>Journal of lipid research</w:t>
      </w:r>
      <w:r>
        <w:rPr>
          <w:rFonts w:ascii="Times New Roman" w:hAnsi="Times New Roman" w:cs="Times New Roman"/>
          <w:sz w:val="24"/>
          <w:szCs w:val="24"/>
        </w:rPr>
        <w:t>, 57(4), 638–649. https://doi.org/10.1194/jlr.M066308</w:t>
      </w:r>
    </w:p>
    <w:p w14:paraId="5B8F3DC6">
      <w:pPr>
        <w:jc w:val="both"/>
        <w:rPr>
          <w:rFonts w:ascii="Times New Roman" w:hAnsi="Times New Roman" w:cs="Times New Roman"/>
          <w:sz w:val="24"/>
          <w:szCs w:val="24"/>
        </w:rPr>
      </w:pPr>
      <w:r>
        <w:rPr>
          <w:rFonts w:ascii="Times New Roman" w:hAnsi="Times New Roman" w:cs="Times New Roman"/>
          <w:sz w:val="24"/>
          <w:szCs w:val="24"/>
        </w:rPr>
        <w:t>Juárez-Rodríguez, M. M., Cortes-López, H., García-Contreras, R., González-Pedrajo, B., Díaz-Guerrero, M., Martínez-Vázquez, M., Rivera-Chávez, J. A., Soto-Hernández, R. M., &amp; Castillo-Juárez, I. (2021). Tetradecanoic Acids With Anti-Virulence Properties Increase the Pathogenicity of </w:t>
      </w:r>
      <w:r>
        <w:rPr>
          <w:rFonts w:ascii="Times New Roman" w:hAnsi="Times New Roman" w:cs="Times New Roman"/>
          <w:i/>
          <w:iCs/>
          <w:sz w:val="24"/>
          <w:szCs w:val="24"/>
        </w:rPr>
        <w:t>Pseudomonas aeruginosa</w:t>
      </w:r>
      <w:r>
        <w:rPr>
          <w:rFonts w:ascii="Times New Roman" w:hAnsi="Times New Roman" w:cs="Times New Roman"/>
          <w:sz w:val="24"/>
          <w:szCs w:val="24"/>
        </w:rPr>
        <w:t> in a Murine Cutaneous Infection Model. </w:t>
      </w:r>
      <w:r>
        <w:rPr>
          <w:rFonts w:ascii="Times New Roman" w:hAnsi="Times New Roman" w:cs="Times New Roman"/>
          <w:i/>
          <w:iCs/>
          <w:sz w:val="24"/>
          <w:szCs w:val="24"/>
        </w:rPr>
        <w:t>Frontiers in cellular and infection microbiology</w:t>
      </w:r>
      <w:r>
        <w:rPr>
          <w:rFonts w:ascii="Times New Roman" w:hAnsi="Times New Roman" w:cs="Times New Roman"/>
          <w:sz w:val="24"/>
          <w:szCs w:val="24"/>
        </w:rPr>
        <w:t>, 10, 597517. https://doi.org/10.3389/fcimb.2020.597517</w:t>
      </w:r>
    </w:p>
    <w:p w14:paraId="389627AE">
      <w:pPr>
        <w:jc w:val="both"/>
        <w:rPr>
          <w:rFonts w:ascii="Times New Roman" w:hAnsi="Times New Roman" w:cs="Times New Roman"/>
          <w:sz w:val="24"/>
          <w:szCs w:val="24"/>
        </w:rPr>
      </w:pPr>
      <w:r>
        <w:rPr>
          <w:rFonts w:ascii="Times New Roman" w:hAnsi="Times New Roman" w:cs="Times New Roman"/>
          <w:sz w:val="24"/>
          <w:szCs w:val="24"/>
        </w:rPr>
        <w:t xml:space="preserve">Jumina, J., Mutmainah, M., Purwono, B., Kurniawan, Y. S., &amp; Syah, Y. M. (2019). Antibacterial and Antifungal Activity of Three Monosaccharide Monomyristate Derivatives. </w:t>
      </w:r>
      <w:r>
        <w:rPr>
          <w:rFonts w:ascii="Times New Roman" w:hAnsi="Times New Roman" w:cs="Times New Roman"/>
          <w:i/>
          <w:iCs/>
          <w:sz w:val="24"/>
          <w:szCs w:val="24"/>
        </w:rPr>
        <w:t>Molecules</w:t>
      </w:r>
      <w:r>
        <w:rPr>
          <w:rFonts w:ascii="Times New Roman" w:hAnsi="Times New Roman" w:cs="Times New Roman"/>
          <w:sz w:val="24"/>
          <w:szCs w:val="24"/>
        </w:rPr>
        <w:t xml:space="preserve">, 24(20), 3692. https://doi.org/10.3390/molecules24203692 </w:t>
      </w:r>
    </w:p>
    <w:p w14:paraId="25385E4C">
      <w:pPr>
        <w:jc w:val="both"/>
        <w:rPr>
          <w:rFonts w:ascii="Times New Roman" w:hAnsi="Times New Roman" w:cs="Times New Roman"/>
          <w:sz w:val="24"/>
          <w:szCs w:val="24"/>
        </w:rPr>
      </w:pPr>
      <w:r>
        <w:rPr>
          <w:rFonts w:ascii="Times New Roman" w:hAnsi="Times New Roman" w:cs="Times New Roman"/>
          <w:sz w:val="24"/>
          <w:szCs w:val="24"/>
        </w:rPr>
        <w:t xml:space="preserve">Karanja, L. N., K’Owino, I. O., Wangila, P. T., &amp; Ramkat, R. C. (2021). Phytochemical composition and antibacterial activity of fruit extract of </w:t>
      </w:r>
      <w:r>
        <w:rPr>
          <w:rFonts w:ascii="Times New Roman" w:hAnsi="Times New Roman" w:cs="Times New Roman"/>
          <w:i/>
          <w:iCs/>
          <w:sz w:val="24"/>
          <w:szCs w:val="24"/>
        </w:rPr>
        <w:t>Solanum incanum</w:t>
      </w:r>
      <w:r>
        <w:rPr>
          <w:rFonts w:ascii="Times New Roman" w:hAnsi="Times New Roman" w:cs="Times New Roman"/>
          <w:sz w:val="24"/>
          <w:szCs w:val="24"/>
        </w:rPr>
        <w:t xml:space="preserve"> L. against </w:t>
      </w:r>
      <w:r>
        <w:rPr>
          <w:rFonts w:ascii="Times New Roman" w:hAnsi="Times New Roman" w:cs="Times New Roman"/>
          <w:i/>
          <w:iCs/>
          <w:sz w:val="24"/>
          <w:szCs w:val="24"/>
        </w:rPr>
        <w:t>Ralstonia solanacearum. Asian Journal of Applied Chemistry Research</w:t>
      </w:r>
      <w:r>
        <w:rPr>
          <w:rFonts w:ascii="Times New Roman" w:hAnsi="Times New Roman" w:cs="Times New Roman"/>
          <w:sz w:val="24"/>
          <w:szCs w:val="24"/>
        </w:rPr>
        <w:t>, 9(4), 1–16. https://doi.org/10.9734/ajacr/2021/v9i430218</w:t>
      </w:r>
    </w:p>
    <w:p w14:paraId="6B877673">
      <w:pPr>
        <w:jc w:val="both"/>
        <w:rPr>
          <w:rFonts w:ascii="Times New Roman" w:hAnsi="Times New Roman" w:cs="Times New Roman"/>
          <w:sz w:val="24"/>
          <w:szCs w:val="24"/>
        </w:rPr>
      </w:pPr>
      <w:r>
        <w:rPr>
          <w:rFonts w:ascii="Times New Roman" w:hAnsi="Times New Roman" w:cs="Times New Roman"/>
          <w:sz w:val="24"/>
          <w:szCs w:val="24"/>
        </w:rPr>
        <w:t xml:space="preserve">Karki, S., Shrestha, K., Gautam, R., &amp; Jha, R. N. (2020). Phytochemical screening, FT-IR and GC-MS analysis of </w:t>
      </w:r>
      <w:r>
        <w:rPr>
          <w:rFonts w:ascii="Times New Roman" w:hAnsi="Times New Roman" w:cs="Times New Roman"/>
          <w:i/>
          <w:iCs/>
          <w:sz w:val="24"/>
          <w:szCs w:val="24"/>
        </w:rPr>
        <w:t>Euphorbia hirta</w:t>
      </w:r>
      <w:r>
        <w:rPr>
          <w:rFonts w:ascii="Times New Roman" w:hAnsi="Times New Roman" w:cs="Times New Roman"/>
          <w:sz w:val="24"/>
          <w:szCs w:val="24"/>
        </w:rPr>
        <w:t xml:space="preserve">. </w:t>
      </w:r>
      <w:r>
        <w:rPr>
          <w:rFonts w:ascii="Times New Roman" w:hAnsi="Times New Roman" w:cs="Times New Roman"/>
          <w:i/>
          <w:iCs/>
          <w:sz w:val="24"/>
          <w:szCs w:val="24"/>
        </w:rPr>
        <w:t>Journal of Pharmacognosy and Phytochemistry</w:t>
      </w:r>
      <w:r>
        <w:rPr>
          <w:rFonts w:ascii="Times New Roman" w:hAnsi="Times New Roman" w:cs="Times New Roman"/>
          <w:sz w:val="24"/>
          <w:szCs w:val="24"/>
        </w:rPr>
        <w:t>, 9(1), 1883–1889. https://www.phytojournal.com/archives/2020/vol9issue1/PartAB/9-1-256-949.pdf</w:t>
      </w:r>
    </w:p>
    <w:p w14:paraId="6ABA2F0A">
      <w:pPr>
        <w:jc w:val="both"/>
        <w:rPr>
          <w:rFonts w:ascii="Times New Roman" w:hAnsi="Times New Roman" w:cs="Times New Roman"/>
          <w:sz w:val="24"/>
          <w:szCs w:val="24"/>
        </w:rPr>
      </w:pPr>
      <w:r>
        <w:rPr>
          <w:rFonts w:ascii="Times New Roman" w:hAnsi="Times New Roman" w:cs="Times New Roman"/>
          <w:sz w:val="24"/>
          <w:szCs w:val="24"/>
        </w:rPr>
        <w:t xml:space="preserve">Keke, C. O., Nsofor, W. N., Kumabia, F. K. R., Iloabuchi, G. C., Ejiofor, J. C., &amp; Osuagwu, O. L. (2023). GCMS and FTIR analysis of ethanol and methanol leave extract of </w:t>
      </w:r>
      <w:r>
        <w:rPr>
          <w:rFonts w:ascii="Times New Roman" w:hAnsi="Times New Roman" w:cs="Times New Roman"/>
          <w:i/>
          <w:iCs/>
          <w:sz w:val="24"/>
          <w:szCs w:val="24"/>
        </w:rPr>
        <w:t>Urena</w:t>
      </w:r>
      <w:r>
        <w:rPr>
          <w:rFonts w:ascii="Times New Roman" w:hAnsi="Times New Roman" w:cs="Times New Roman"/>
          <w:sz w:val="24"/>
          <w:szCs w:val="24"/>
        </w:rPr>
        <w:t xml:space="preserve"> </w:t>
      </w:r>
      <w:r>
        <w:rPr>
          <w:rFonts w:ascii="Times New Roman" w:hAnsi="Times New Roman" w:cs="Times New Roman"/>
          <w:i/>
          <w:iCs/>
          <w:sz w:val="24"/>
          <w:szCs w:val="24"/>
        </w:rPr>
        <w:t>lobata</w:t>
      </w:r>
      <w:r>
        <w:rPr>
          <w:rFonts w:ascii="Times New Roman" w:hAnsi="Times New Roman" w:cs="Times New Roman"/>
          <w:sz w:val="24"/>
          <w:szCs w:val="24"/>
        </w:rPr>
        <w:t xml:space="preserve"> (Caesar weed) for bioactive phytochemical constituents. </w:t>
      </w:r>
      <w:r>
        <w:rPr>
          <w:rFonts w:ascii="Times New Roman" w:hAnsi="Times New Roman" w:cs="Times New Roman"/>
          <w:i/>
          <w:iCs/>
          <w:sz w:val="24"/>
          <w:szCs w:val="24"/>
        </w:rPr>
        <w:t>Journal of Drug Delivery and Therapeutics</w:t>
      </w:r>
      <w:r>
        <w:rPr>
          <w:rFonts w:ascii="Times New Roman" w:hAnsi="Times New Roman" w:cs="Times New Roman"/>
          <w:sz w:val="24"/>
          <w:szCs w:val="24"/>
        </w:rPr>
        <w:t>, 13(1), 99–115. https://doi.org/10.22270/jddt.v13i1.5722</w:t>
      </w:r>
    </w:p>
    <w:p w14:paraId="2850524C">
      <w:pPr>
        <w:jc w:val="both"/>
        <w:rPr>
          <w:rFonts w:ascii="Times New Roman" w:hAnsi="Times New Roman" w:cs="Times New Roman"/>
          <w:sz w:val="24"/>
          <w:szCs w:val="24"/>
        </w:rPr>
      </w:pPr>
      <w:r>
        <w:rPr>
          <w:rFonts w:ascii="Times New Roman" w:hAnsi="Times New Roman" w:cs="Times New Roman"/>
          <w:sz w:val="24"/>
          <w:szCs w:val="24"/>
        </w:rPr>
        <w:t>Mallick, S. S., &amp; Dighe, V. V. (2014). Detection and estimation of alpha-amyrin, betasitosterol, lupeol and n-tricontane in two medicinal plants by high performance thin layer chromatography</w:t>
      </w:r>
      <w:r>
        <w:rPr>
          <w:rFonts w:ascii="Times New Roman" w:hAnsi="Times New Roman" w:cs="Times New Roman"/>
          <w:i/>
          <w:iCs/>
          <w:sz w:val="24"/>
          <w:szCs w:val="24"/>
        </w:rPr>
        <w:t>. Advances in Chemistry,</w:t>
      </w:r>
      <w:r>
        <w:rPr>
          <w:rFonts w:ascii="Times New Roman" w:hAnsi="Times New Roman" w:cs="Times New Roman"/>
          <w:sz w:val="24"/>
          <w:szCs w:val="24"/>
        </w:rPr>
        <w:t xml:space="preserve"> 2014, 143948. </w:t>
      </w:r>
    </w:p>
    <w:p w14:paraId="51FDEDD2">
      <w:pPr>
        <w:jc w:val="both"/>
        <w:rPr>
          <w:rFonts w:ascii="Times New Roman" w:hAnsi="Times New Roman" w:cs="Times New Roman"/>
          <w:sz w:val="24"/>
          <w:szCs w:val="24"/>
        </w:rPr>
      </w:pPr>
      <w:r>
        <w:rPr>
          <w:rFonts w:ascii="Times New Roman" w:hAnsi="Times New Roman" w:cs="Times New Roman"/>
          <w:sz w:val="24"/>
          <w:szCs w:val="24"/>
        </w:rPr>
        <w:t>Meher, A., Behera, B., &amp; Nanda, B. K. (2019). GC–MS investigation of phytocomponents present in ethanolic extract of</w:t>
      </w:r>
      <w:r>
        <w:rPr>
          <w:rFonts w:ascii="Times New Roman" w:hAnsi="Times New Roman" w:cs="Times New Roman"/>
          <w:i/>
          <w:iCs/>
          <w:sz w:val="24"/>
          <w:szCs w:val="24"/>
        </w:rPr>
        <w:t xml:space="preserve"> Ichnocarpus frutescens</w:t>
      </w:r>
      <w:r>
        <w:rPr>
          <w:rFonts w:ascii="Times New Roman" w:hAnsi="Times New Roman" w:cs="Times New Roman"/>
          <w:sz w:val="24"/>
          <w:szCs w:val="24"/>
        </w:rPr>
        <w:t xml:space="preserve"> (L.) W. T. Aiton aerial part. </w:t>
      </w:r>
      <w:r>
        <w:rPr>
          <w:rFonts w:ascii="Times New Roman" w:hAnsi="Times New Roman" w:cs="Times New Roman"/>
          <w:i/>
          <w:iCs/>
          <w:sz w:val="24"/>
          <w:szCs w:val="24"/>
        </w:rPr>
        <w:t>International Journal of Pharmaceutical Sciences and Research</w:t>
      </w:r>
      <w:r>
        <w:rPr>
          <w:rFonts w:ascii="Times New Roman" w:hAnsi="Times New Roman" w:cs="Times New Roman"/>
          <w:sz w:val="24"/>
          <w:szCs w:val="24"/>
        </w:rPr>
        <w:t>, 10(10), 4711–4716. https://doi.org/10.13040/IJPSR.0975-8232.10(10).4711-16</w:t>
      </w:r>
    </w:p>
    <w:p w14:paraId="3E17C0CA">
      <w:pPr>
        <w:jc w:val="both"/>
        <w:rPr>
          <w:rFonts w:ascii="Times New Roman" w:hAnsi="Times New Roman" w:cs="Times New Roman"/>
          <w:sz w:val="24"/>
          <w:szCs w:val="24"/>
        </w:rPr>
      </w:pPr>
      <w:r>
        <w:rPr>
          <w:rFonts w:ascii="Times New Roman" w:hAnsi="Times New Roman" w:cs="Times New Roman"/>
          <w:sz w:val="24"/>
          <w:szCs w:val="24"/>
        </w:rPr>
        <w:t>Midhun, N. K., Saravanamoorthy, M. D., &amp; Abdussalam, A. K. (2025). Gas chromatography–mass spectrometry (GC-MS) analysis of phytoconstituents from leaves of</w:t>
      </w:r>
      <w:r>
        <w:rPr>
          <w:rFonts w:ascii="Times New Roman" w:hAnsi="Times New Roman" w:cs="Times New Roman"/>
          <w:i/>
          <w:iCs/>
          <w:sz w:val="24"/>
          <w:szCs w:val="24"/>
        </w:rPr>
        <w:t xml:space="preserve"> Rhynchoglossum notonianum</w:t>
      </w:r>
      <w:r>
        <w:rPr>
          <w:rFonts w:ascii="Times New Roman" w:hAnsi="Times New Roman" w:cs="Times New Roman"/>
          <w:sz w:val="24"/>
          <w:szCs w:val="24"/>
        </w:rPr>
        <w:t xml:space="preserve"> (Wall.) B.L. Burtt. </w:t>
      </w:r>
      <w:r>
        <w:rPr>
          <w:rFonts w:ascii="Times New Roman" w:hAnsi="Times New Roman" w:cs="Times New Roman"/>
          <w:i/>
          <w:iCs/>
          <w:sz w:val="24"/>
          <w:szCs w:val="24"/>
        </w:rPr>
        <w:t>European Journal of Medicinal Plants</w:t>
      </w:r>
      <w:r>
        <w:rPr>
          <w:rFonts w:ascii="Times New Roman" w:hAnsi="Times New Roman" w:cs="Times New Roman"/>
          <w:sz w:val="24"/>
          <w:szCs w:val="24"/>
        </w:rPr>
        <w:t>, 36(4), 7–16. https://doi.org/10.9734/ejmp/2025/v36i41276</w:t>
      </w:r>
    </w:p>
    <w:p w14:paraId="4A34B19F">
      <w:pPr>
        <w:jc w:val="both"/>
        <w:rPr>
          <w:rFonts w:ascii="Times New Roman" w:hAnsi="Times New Roman" w:cs="Times New Roman"/>
          <w:sz w:val="24"/>
          <w:szCs w:val="24"/>
        </w:rPr>
      </w:pPr>
      <w:r>
        <w:rPr>
          <w:rFonts w:ascii="Times New Roman" w:hAnsi="Times New Roman" w:cs="Times New Roman"/>
          <w:sz w:val="24"/>
          <w:szCs w:val="24"/>
        </w:rPr>
        <w:t xml:space="preserve">Mujeeb, F., Bajpai, P., &amp; Pathak, N. (2014). Phytochemical evaluation, antimicrobial activity, and determination of bioactive components from leaves of </w:t>
      </w:r>
      <w:r>
        <w:rPr>
          <w:rFonts w:ascii="Times New Roman" w:hAnsi="Times New Roman" w:cs="Times New Roman"/>
          <w:i/>
          <w:iCs/>
          <w:sz w:val="24"/>
          <w:szCs w:val="24"/>
        </w:rPr>
        <w:t>Aegle marmelos</w:t>
      </w:r>
      <w:r>
        <w:rPr>
          <w:rFonts w:ascii="Times New Roman" w:hAnsi="Times New Roman" w:cs="Times New Roman"/>
          <w:sz w:val="24"/>
          <w:szCs w:val="24"/>
        </w:rPr>
        <w:t xml:space="preserve">. </w:t>
      </w:r>
      <w:r>
        <w:rPr>
          <w:rFonts w:ascii="Times New Roman" w:hAnsi="Times New Roman" w:cs="Times New Roman"/>
          <w:i/>
          <w:iCs/>
          <w:sz w:val="24"/>
          <w:szCs w:val="24"/>
        </w:rPr>
        <w:t>BioMed Research International</w:t>
      </w:r>
      <w:r>
        <w:rPr>
          <w:rFonts w:ascii="Times New Roman" w:hAnsi="Times New Roman" w:cs="Times New Roman"/>
          <w:sz w:val="24"/>
          <w:szCs w:val="24"/>
        </w:rPr>
        <w:t xml:space="preserve">, 2014, 497606. </w:t>
      </w:r>
      <w:commentRangeStart w:id="2"/>
      <w:r>
        <w:rPr>
          <w:rFonts w:ascii="Times New Roman" w:hAnsi="Times New Roman" w:cs="Times New Roman"/>
          <w:sz w:val="24"/>
          <w:szCs w:val="24"/>
        </w:rPr>
        <w:t>https://doi.org/10.1155/2014/497606</w:t>
      </w:r>
      <w:commentRangeEnd w:id="2"/>
      <w:r>
        <w:commentReference w:id="2"/>
      </w:r>
    </w:p>
    <w:p w14:paraId="35E448CD">
      <w:pPr>
        <w:jc w:val="both"/>
        <w:rPr>
          <w:rFonts w:ascii="Times New Roman" w:hAnsi="Times New Roman" w:cs="Times New Roman"/>
          <w:sz w:val="24"/>
          <w:szCs w:val="24"/>
        </w:rPr>
      </w:pPr>
      <w:r>
        <w:rPr>
          <w:rFonts w:ascii="Times New Roman" w:hAnsi="Times New Roman" w:cs="Times New Roman"/>
          <w:sz w:val="24"/>
          <w:szCs w:val="24"/>
        </w:rPr>
        <w:t>Pandey, A., &amp; Tripathi, S. (2014). Concept of standardization, extraction and pre phytochemical screening.</w:t>
      </w:r>
      <w:r>
        <w:rPr>
          <w:rFonts w:ascii="Times New Roman" w:hAnsi="Times New Roman" w:cs="Times New Roman"/>
          <w:i/>
          <w:iCs/>
          <w:sz w:val="24"/>
          <w:szCs w:val="24"/>
        </w:rPr>
        <w:t xml:space="preserve"> International Journal of Pharmacy and Life Sciences</w:t>
      </w:r>
      <w:r>
        <w:rPr>
          <w:rFonts w:ascii="Times New Roman" w:hAnsi="Times New Roman" w:cs="Times New Roman"/>
          <w:sz w:val="24"/>
          <w:szCs w:val="24"/>
        </w:rPr>
        <w:t>, 5(2), 400–404.</w:t>
      </w:r>
    </w:p>
    <w:p w14:paraId="34FA522C">
      <w:pPr>
        <w:jc w:val="both"/>
        <w:rPr>
          <w:rFonts w:ascii="Times New Roman" w:hAnsi="Times New Roman" w:cs="Times New Roman"/>
          <w:sz w:val="24"/>
          <w:szCs w:val="24"/>
        </w:rPr>
      </w:pPr>
      <w:r>
        <w:rPr>
          <w:rFonts w:ascii="Times New Roman" w:hAnsi="Times New Roman" w:cs="Times New Roman"/>
          <w:sz w:val="24"/>
          <w:szCs w:val="24"/>
        </w:rPr>
        <w:t>Pintus, S., Murru, E., Carta, G., Cordeddu, L., Batetta, B., Accossu, S., Pistis, D., Uda, S., Elena-Ghiani, M., Mele, M., Secchiari, P., Almerighi, G., Pintus, P., &amp; Banni, S. (2012). Sheep cheese naturally enriched in α-linolenic, conjugated linoleic and vaccenic acids improves the lipid profile and reduces anandamide in the plasma of hypercholesterolaemic subjects.</w:t>
      </w:r>
      <w:r>
        <w:rPr>
          <w:rFonts w:ascii="Times New Roman" w:hAnsi="Times New Roman" w:cs="Times New Roman"/>
          <w:i/>
          <w:iCs/>
          <w:sz w:val="24"/>
          <w:szCs w:val="24"/>
        </w:rPr>
        <w:t xml:space="preserve"> British Journal of Nutrition,</w:t>
      </w:r>
      <w:r>
        <w:rPr>
          <w:rFonts w:ascii="Times New Roman" w:hAnsi="Times New Roman" w:cs="Times New Roman"/>
          <w:sz w:val="24"/>
          <w:szCs w:val="24"/>
        </w:rPr>
        <w:t xml:space="preserve"> 107(1), 24–33. https://doi.org/10.1017/S0007114511002714</w:t>
      </w:r>
    </w:p>
    <w:p w14:paraId="46683C62">
      <w:pPr>
        <w:jc w:val="both"/>
        <w:rPr>
          <w:rFonts w:ascii="Times New Roman" w:hAnsi="Times New Roman" w:cs="Times New Roman"/>
          <w:sz w:val="24"/>
          <w:szCs w:val="24"/>
        </w:rPr>
      </w:pPr>
      <w:r>
        <w:rPr>
          <w:rFonts w:ascii="Times New Roman" w:hAnsi="Times New Roman" w:cs="Times New Roman"/>
          <w:sz w:val="24"/>
          <w:szCs w:val="24"/>
        </w:rPr>
        <w:t>Rautela, I., Joshi, P., Thapliyal, P., Pant, M., Dheer, P., &amp; Bisht, S. (2020). Comparative GC-MS analysis of</w:t>
      </w:r>
      <w:r>
        <w:rPr>
          <w:rFonts w:ascii="Times New Roman" w:hAnsi="Times New Roman" w:cs="Times New Roman"/>
          <w:i/>
          <w:iCs/>
          <w:sz w:val="24"/>
          <w:szCs w:val="24"/>
        </w:rPr>
        <w:t xml:space="preserve"> Euphorbia hirta </w:t>
      </w:r>
      <w:r>
        <w:rPr>
          <w:rFonts w:ascii="Times New Roman" w:hAnsi="Times New Roman" w:cs="Times New Roman"/>
          <w:sz w:val="24"/>
          <w:szCs w:val="24"/>
        </w:rPr>
        <w:t>and</w:t>
      </w:r>
      <w:r>
        <w:rPr>
          <w:rFonts w:ascii="Times New Roman" w:hAnsi="Times New Roman" w:cs="Times New Roman"/>
          <w:i/>
          <w:iCs/>
          <w:sz w:val="24"/>
          <w:szCs w:val="24"/>
        </w:rPr>
        <w:t xml:space="preserve"> Euphorbia milli</w:t>
      </w:r>
      <w:r>
        <w:rPr>
          <w:rFonts w:ascii="Times New Roman" w:hAnsi="Times New Roman" w:cs="Times New Roman"/>
          <w:sz w:val="24"/>
          <w:szCs w:val="24"/>
        </w:rPr>
        <w:t xml:space="preserve"> for therapeutic potential utilities. </w:t>
      </w:r>
      <w:r>
        <w:rPr>
          <w:rFonts w:ascii="Times New Roman" w:hAnsi="Times New Roman" w:cs="Times New Roman"/>
          <w:i/>
          <w:iCs/>
          <w:sz w:val="24"/>
          <w:szCs w:val="24"/>
        </w:rPr>
        <w:t>Plant Archives</w:t>
      </w:r>
      <w:r>
        <w:rPr>
          <w:rFonts w:ascii="Times New Roman" w:hAnsi="Times New Roman" w:cs="Times New Roman"/>
          <w:sz w:val="24"/>
          <w:szCs w:val="24"/>
        </w:rPr>
        <w:t>, 20(2), 3515–3522.</w:t>
      </w:r>
    </w:p>
    <w:p w14:paraId="627D753B">
      <w:pPr>
        <w:jc w:val="both"/>
        <w:rPr>
          <w:rFonts w:ascii="Times New Roman" w:hAnsi="Times New Roman" w:cs="Times New Roman"/>
          <w:sz w:val="24"/>
          <w:szCs w:val="24"/>
        </w:rPr>
      </w:pPr>
      <w:r>
        <w:rPr>
          <w:rFonts w:ascii="Times New Roman" w:hAnsi="Times New Roman" w:cs="Times New Roman"/>
          <w:sz w:val="24"/>
          <w:szCs w:val="24"/>
        </w:rPr>
        <w:t xml:space="preserve">Rossi, A., Martins, M. P., Bitencourt, T. A., Peres, N. T. A., Rocha, C. H. L., Rocha, F. M. G., Von Zeska Kress, M. R., Goldman, G. H., &amp; Martinez-Rossi, N. M. (2021). Reassessing the use of undecanoic acid as a therapeutic strategy for treating fungal infections. </w:t>
      </w:r>
      <w:r>
        <w:rPr>
          <w:rFonts w:ascii="Times New Roman" w:hAnsi="Times New Roman" w:cs="Times New Roman"/>
          <w:i/>
          <w:iCs/>
          <w:sz w:val="24"/>
          <w:szCs w:val="24"/>
        </w:rPr>
        <w:t>Mycopathologia</w:t>
      </w:r>
      <w:r>
        <w:rPr>
          <w:rFonts w:ascii="Times New Roman" w:hAnsi="Times New Roman" w:cs="Times New Roman"/>
          <w:sz w:val="24"/>
          <w:szCs w:val="24"/>
        </w:rPr>
        <w:t>, 186(3), 327–340. https://doi.org/10.1007/s11046-021-00550-4</w:t>
      </w:r>
    </w:p>
    <w:p w14:paraId="1CBA41BA">
      <w:pPr>
        <w:jc w:val="both"/>
        <w:rPr>
          <w:rFonts w:ascii="Times New Roman" w:hAnsi="Times New Roman" w:cs="Times New Roman"/>
          <w:sz w:val="24"/>
          <w:szCs w:val="24"/>
        </w:rPr>
      </w:pPr>
      <w:r>
        <w:rPr>
          <w:rFonts w:ascii="Times New Roman" w:hAnsi="Times New Roman" w:cs="Times New Roman"/>
          <w:sz w:val="24"/>
          <w:szCs w:val="24"/>
        </w:rPr>
        <w:t xml:space="preserve">Rowe, S., &amp; Rozeik, C. (2008). The uses of cyclododecane in conservation. </w:t>
      </w:r>
      <w:r>
        <w:rPr>
          <w:rFonts w:ascii="Times New Roman" w:hAnsi="Times New Roman" w:cs="Times New Roman"/>
          <w:i/>
          <w:iCs/>
          <w:sz w:val="24"/>
          <w:szCs w:val="24"/>
        </w:rPr>
        <w:t>Studies in Conservation</w:t>
      </w:r>
      <w:r>
        <w:rPr>
          <w:rFonts w:ascii="Times New Roman" w:hAnsi="Times New Roman" w:cs="Times New Roman"/>
          <w:sz w:val="24"/>
          <w:szCs w:val="24"/>
        </w:rPr>
        <w:t>, 53(sup2), 17–31. https://doi.org/10.1179/sic.2008.53.Supplement-2.17</w:t>
      </w:r>
    </w:p>
    <w:p w14:paraId="6BF332A7">
      <w:pPr>
        <w:jc w:val="both"/>
        <w:rPr>
          <w:rFonts w:ascii="Times New Roman" w:hAnsi="Times New Roman" w:cs="Times New Roman"/>
          <w:sz w:val="24"/>
          <w:szCs w:val="24"/>
        </w:rPr>
      </w:pPr>
      <w:r>
        <w:rPr>
          <w:rFonts w:ascii="Times New Roman" w:hAnsi="Times New Roman" w:cs="Times New Roman"/>
          <w:sz w:val="24"/>
          <w:szCs w:val="24"/>
        </w:rPr>
        <w:t xml:space="preserve">Salehi, B., Iriti, M., Vitalini, S., Antolak, H., Pawlikowska, E., Kręgiel, D., Sharifi-Rad, J., Oyeleye, S. I., Ademiluyi, A. O., Czopek, K., Staniak, M., Custódio, L., Coy-Barrera, E., Segura-Carretero, A., Cádiz-Gurrea, M. L., Capasso, R., Cho, W. C., &amp; Seca, A. M. L. (2019). </w:t>
      </w:r>
      <w:r>
        <w:rPr>
          <w:rFonts w:ascii="Times New Roman" w:hAnsi="Times New Roman" w:cs="Times New Roman"/>
          <w:i/>
          <w:iCs/>
          <w:sz w:val="24"/>
          <w:szCs w:val="24"/>
        </w:rPr>
        <w:t>Euphorbia</w:t>
      </w:r>
      <w:r>
        <w:rPr>
          <w:rFonts w:ascii="Times New Roman" w:hAnsi="Times New Roman" w:cs="Times New Roman"/>
          <w:sz w:val="24"/>
          <w:szCs w:val="24"/>
        </w:rPr>
        <w:t xml:space="preserve">-Derived Natural Products with Potential for Use in Health Maintenance. </w:t>
      </w:r>
      <w:r>
        <w:rPr>
          <w:rFonts w:ascii="Times New Roman" w:hAnsi="Times New Roman" w:cs="Times New Roman"/>
          <w:i/>
          <w:iCs/>
          <w:sz w:val="24"/>
          <w:szCs w:val="24"/>
        </w:rPr>
        <w:t>Biomolecules</w:t>
      </w:r>
      <w:r>
        <w:rPr>
          <w:rFonts w:ascii="Times New Roman" w:hAnsi="Times New Roman" w:cs="Times New Roman"/>
          <w:sz w:val="24"/>
          <w:szCs w:val="24"/>
        </w:rPr>
        <w:t>, 9(8), 337. https://doi.org/10.3390/biom9080337</w:t>
      </w:r>
    </w:p>
    <w:p w14:paraId="5817108B">
      <w:pPr>
        <w:jc w:val="both"/>
        <w:rPr>
          <w:rFonts w:ascii="Times New Roman" w:hAnsi="Times New Roman" w:cs="Times New Roman"/>
          <w:sz w:val="24"/>
          <w:szCs w:val="24"/>
        </w:rPr>
      </w:pPr>
      <w:r>
        <w:rPr>
          <w:rFonts w:ascii="Times New Roman" w:hAnsi="Times New Roman" w:cs="Times New Roman"/>
          <w:sz w:val="24"/>
          <w:szCs w:val="24"/>
        </w:rPr>
        <w:t xml:space="preserve">Seenivasan, A., Radhakrishnan, M., Kaari, M., Sahu, A. K., Said, M., &amp; Dastager, S. G. (2022). 2,4-Di-tert-butylphenol (2,4-DTBP) purified from Streptomyces sp. KCA1 from Phyllanthus niruri: Isolation, characterization, antibacterial and anticancer properties. </w:t>
      </w:r>
      <w:r>
        <w:rPr>
          <w:rFonts w:ascii="Times New Roman" w:hAnsi="Times New Roman" w:cs="Times New Roman"/>
          <w:i/>
          <w:iCs/>
          <w:sz w:val="24"/>
          <w:szCs w:val="24"/>
        </w:rPr>
        <w:t>Journal of King Saud University – Science</w:t>
      </w:r>
      <w:r>
        <w:rPr>
          <w:rFonts w:ascii="Times New Roman" w:hAnsi="Times New Roman" w:cs="Times New Roman"/>
          <w:sz w:val="24"/>
          <w:szCs w:val="24"/>
        </w:rPr>
        <w:t xml:space="preserve">, 34(2), Article 102088. https://doi.org/10.1016/j.jksus.2022.102088 </w:t>
      </w:r>
    </w:p>
    <w:p w14:paraId="447632C6">
      <w:pPr>
        <w:jc w:val="both"/>
        <w:rPr>
          <w:rFonts w:ascii="Times New Roman" w:hAnsi="Times New Roman" w:cs="Times New Roman"/>
          <w:i/>
          <w:iCs/>
          <w:sz w:val="24"/>
          <w:szCs w:val="24"/>
        </w:rPr>
      </w:pPr>
      <w:r>
        <w:rPr>
          <w:rFonts w:ascii="Times New Roman" w:hAnsi="Times New Roman" w:cs="Times New Roman"/>
          <w:sz w:val="24"/>
          <w:szCs w:val="24"/>
        </w:rPr>
        <w:t>Si, T., Wang, A., Yan, H., Kong, L., Guan, L., He, C., Ma, Y., Zhang, H., &amp; Ma, H. (2024). Progress in the Study of Natural Antimicrobial Active Substances in </w:t>
      </w:r>
      <w:r>
        <w:rPr>
          <w:rFonts w:ascii="Times New Roman" w:hAnsi="Times New Roman" w:cs="Times New Roman"/>
          <w:i/>
          <w:iCs/>
          <w:sz w:val="24"/>
          <w:szCs w:val="24"/>
        </w:rPr>
        <w:t>Pseudomonas</w:t>
      </w:r>
      <w:r>
        <w:rPr>
          <w:rFonts w:ascii="Times New Roman" w:hAnsi="Times New Roman" w:cs="Times New Roman"/>
          <w:sz w:val="24"/>
          <w:szCs w:val="24"/>
        </w:rPr>
        <w:t xml:space="preserve"> </w:t>
      </w:r>
      <w:r>
        <w:rPr>
          <w:rFonts w:ascii="Times New Roman" w:hAnsi="Times New Roman" w:cs="Times New Roman"/>
          <w:i/>
          <w:iCs/>
          <w:sz w:val="24"/>
          <w:szCs w:val="24"/>
        </w:rPr>
        <w:t xml:space="preserve">aeruginosa. Molecules (Basel, </w:t>
      </w:r>
    </w:p>
    <w:p w14:paraId="6C3C6954">
      <w:pPr>
        <w:jc w:val="both"/>
        <w:rPr>
          <w:rFonts w:ascii="Times New Roman" w:hAnsi="Times New Roman" w:cs="Times New Roman"/>
          <w:sz w:val="24"/>
          <w:szCs w:val="24"/>
        </w:rPr>
      </w:pPr>
      <w:r>
        <w:rPr>
          <w:rFonts w:ascii="Times New Roman" w:hAnsi="Times New Roman" w:cs="Times New Roman"/>
          <w:sz w:val="24"/>
          <w:szCs w:val="24"/>
        </w:rPr>
        <w:t>Singh, R. (2016). Chemotaxonomy: A tool for plant classification.</w:t>
      </w:r>
      <w:r>
        <w:rPr>
          <w:rFonts w:ascii="Times New Roman" w:hAnsi="Times New Roman" w:cs="Times New Roman"/>
          <w:i/>
          <w:iCs/>
          <w:sz w:val="24"/>
          <w:szCs w:val="24"/>
        </w:rPr>
        <w:t xml:space="preserve"> Journal of Medicinal Plants Studies</w:t>
      </w:r>
      <w:r>
        <w:rPr>
          <w:rFonts w:ascii="Times New Roman" w:hAnsi="Times New Roman" w:cs="Times New Roman"/>
          <w:sz w:val="24"/>
          <w:szCs w:val="24"/>
        </w:rPr>
        <w:t>, 4(2), 90–93.Switzerland), 29(18), 4400. https://doi.org/10.3390/molecules29184400</w:t>
      </w:r>
    </w:p>
    <w:p w14:paraId="256E9427">
      <w:pPr>
        <w:jc w:val="both"/>
        <w:rPr>
          <w:rFonts w:ascii="Times New Roman" w:hAnsi="Times New Roman" w:cs="Times New Roman"/>
          <w:sz w:val="24"/>
          <w:szCs w:val="24"/>
        </w:rPr>
      </w:pPr>
      <w:r>
        <w:rPr>
          <w:rFonts w:ascii="Times New Roman" w:hAnsi="Times New Roman" w:cs="Times New Roman"/>
          <w:sz w:val="24"/>
          <w:szCs w:val="24"/>
        </w:rPr>
        <w:t xml:space="preserve">Sofrenić, I., Anđelković, B., Gođevac, D., Ivanović, S., Simić, K., Ljujić, J., Tešević, V., &amp; Milosavljević, S. (2023). Metabolomics as a potential chemotaxonomical tool: Application on the selected Euphorbia species growing wild in Serbia. Plants, 12(2), 262. https://doi.org/10.3390/plants12020262 </w:t>
      </w:r>
    </w:p>
    <w:p w14:paraId="07DB5712">
      <w:pPr>
        <w:jc w:val="both"/>
        <w:rPr>
          <w:rFonts w:ascii="Times New Roman" w:hAnsi="Times New Roman" w:cs="Times New Roman"/>
          <w:sz w:val="24"/>
          <w:szCs w:val="24"/>
        </w:rPr>
      </w:pPr>
      <w:r>
        <w:rPr>
          <w:rFonts w:ascii="Times New Roman" w:hAnsi="Times New Roman" w:cs="Times New Roman"/>
          <w:sz w:val="24"/>
          <w:szCs w:val="24"/>
        </w:rPr>
        <w:t xml:space="preserve">Strobel, G., Tomshek, A., Geary, B., Spackowicz, D., Strobel, S., Matter, S., &amp; Mann, R. (2010). Endophyte strain NRRL 50072 producing volatile organics is a species of Ascocoryne. </w:t>
      </w:r>
      <w:r>
        <w:rPr>
          <w:rFonts w:ascii="Times New Roman" w:hAnsi="Times New Roman" w:cs="Times New Roman"/>
          <w:i/>
          <w:iCs/>
          <w:sz w:val="24"/>
          <w:szCs w:val="24"/>
        </w:rPr>
        <w:t>Mycology</w:t>
      </w:r>
      <w:r>
        <w:rPr>
          <w:rFonts w:ascii="Times New Roman" w:hAnsi="Times New Roman" w:cs="Times New Roman"/>
          <w:sz w:val="24"/>
          <w:szCs w:val="24"/>
        </w:rPr>
        <w:t>, 1(3), 187–194. https://doi.org/10.1080/21501203.2010.491589</w:t>
      </w:r>
    </w:p>
    <w:p w14:paraId="2902BCA7">
      <w:pPr>
        <w:jc w:val="both"/>
        <w:rPr>
          <w:rFonts w:ascii="Times New Roman" w:hAnsi="Times New Roman" w:cs="Times New Roman"/>
          <w:sz w:val="24"/>
          <w:szCs w:val="24"/>
        </w:rPr>
      </w:pPr>
      <w:r>
        <w:rPr>
          <w:rFonts w:ascii="Times New Roman" w:hAnsi="Times New Roman" w:cs="Times New Roman"/>
          <w:sz w:val="24"/>
          <w:szCs w:val="24"/>
        </w:rPr>
        <w:t xml:space="preserve">Supardy, N. A., Ibrahim, D., Sulaiman, S. F., &amp; Zakaria, N. A. (2012). Inhibition of </w:t>
      </w:r>
      <w:r>
        <w:rPr>
          <w:rFonts w:ascii="Times New Roman" w:hAnsi="Times New Roman" w:cs="Times New Roman"/>
          <w:i/>
          <w:iCs/>
          <w:sz w:val="24"/>
          <w:szCs w:val="24"/>
        </w:rPr>
        <w:t xml:space="preserve">Klebsiella pneumoniae </w:t>
      </w:r>
      <w:r>
        <w:rPr>
          <w:rFonts w:ascii="Times New Roman" w:hAnsi="Times New Roman" w:cs="Times New Roman"/>
          <w:sz w:val="24"/>
          <w:szCs w:val="24"/>
        </w:rPr>
        <w:t xml:space="preserve">ATCC 13883 cells by hexane extract of </w:t>
      </w:r>
      <w:r>
        <w:rPr>
          <w:rFonts w:ascii="Times New Roman" w:hAnsi="Times New Roman" w:cs="Times New Roman"/>
          <w:i/>
          <w:iCs/>
          <w:sz w:val="24"/>
          <w:szCs w:val="24"/>
        </w:rPr>
        <w:t xml:space="preserve">Halimeda discoidea </w:t>
      </w:r>
      <w:r>
        <w:rPr>
          <w:rFonts w:ascii="Times New Roman" w:hAnsi="Times New Roman" w:cs="Times New Roman"/>
          <w:sz w:val="24"/>
          <w:szCs w:val="24"/>
        </w:rPr>
        <w:t xml:space="preserve">(Decaisne) and the identification of its potential bioactive compounds. </w:t>
      </w:r>
      <w:r>
        <w:rPr>
          <w:rFonts w:ascii="Times New Roman" w:hAnsi="Times New Roman" w:cs="Times New Roman"/>
          <w:i/>
          <w:iCs/>
          <w:sz w:val="24"/>
          <w:szCs w:val="24"/>
        </w:rPr>
        <w:t>Journal of Microbiology and Biotechnology</w:t>
      </w:r>
      <w:r>
        <w:rPr>
          <w:rFonts w:ascii="Times New Roman" w:hAnsi="Times New Roman" w:cs="Times New Roman"/>
          <w:sz w:val="24"/>
          <w:szCs w:val="24"/>
        </w:rPr>
        <w:t>, 22(6), 872–881. https://doi.org/10.4014/jmb.1111.11053</w:t>
      </w:r>
    </w:p>
    <w:p w14:paraId="21C8E506">
      <w:pPr>
        <w:jc w:val="both"/>
        <w:rPr>
          <w:rFonts w:ascii="Times New Roman" w:hAnsi="Times New Roman" w:cs="Times New Roman"/>
          <w:sz w:val="24"/>
          <w:szCs w:val="24"/>
        </w:rPr>
      </w:pPr>
      <w:r>
        <w:rPr>
          <w:rFonts w:ascii="Times New Roman" w:hAnsi="Times New Roman" w:cs="Times New Roman"/>
          <w:sz w:val="24"/>
          <w:szCs w:val="24"/>
        </w:rPr>
        <w:t xml:space="preserve">Sun, Y., Gao, L.-L., Tang, M.-Y., Feng, B.-M., Pei, Y.-H., &amp; Yasukawa, K. (2018). Triterpenoids from </w:t>
      </w:r>
      <w:r>
        <w:rPr>
          <w:rFonts w:ascii="Times New Roman" w:hAnsi="Times New Roman" w:cs="Times New Roman"/>
          <w:i/>
          <w:iCs/>
          <w:sz w:val="24"/>
          <w:szCs w:val="24"/>
        </w:rPr>
        <w:t>Euphorbia maculata</w:t>
      </w:r>
      <w:r>
        <w:rPr>
          <w:rFonts w:ascii="Times New Roman" w:hAnsi="Times New Roman" w:cs="Times New Roman"/>
          <w:sz w:val="24"/>
          <w:szCs w:val="24"/>
        </w:rPr>
        <w:t xml:space="preserve"> and their anti-inflammatory effects. </w:t>
      </w:r>
      <w:r>
        <w:rPr>
          <w:rFonts w:ascii="Times New Roman" w:hAnsi="Times New Roman" w:cs="Times New Roman"/>
          <w:i/>
          <w:iCs/>
          <w:sz w:val="24"/>
          <w:szCs w:val="24"/>
        </w:rPr>
        <w:t>Molecules</w:t>
      </w:r>
      <w:r>
        <w:rPr>
          <w:rFonts w:ascii="Times New Roman" w:hAnsi="Times New Roman" w:cs="Times New Roman"/>
          <w:sz w:val="24"/>
          <w:szCs w:val="24"/>
        </w:rPr>
        <w:t>, 23(9), 2112. https://doi.org/10.3390/molecules23092112</w:t>
      </w:r>
    </w:p>
    <w:p w14:paraId="572B22CF">
      <w:pPr>
        <w:jc w:val="both"/>
        <w:rPr>
          <w:rFonts w:ascii="Times New Roman" w:hAnsi="Times New Roman" w:cs="Times New Roman"/>
          <w:sz w:val="24"/>
          <w:szCs w:val="24"/>
        </w:rPr>
      </w:pPr>
      <w:r>
        <w:rPr>
          <w:rFonts w:ascii="Times New Roman" w:hAnsi="Times New Roman" w:cs="Times New Roman"/>
          <w:sz w:val="24"/>
          <w:szCs w:val="24"/>
        </w:rPr>
        <w:t xml:space="preserve">Trease, G. E., &amp; Evans, W. C. (1989). </w:t>
      </w:r>
      <w:r>
        <w:rPr>
          <w:rFonts w:ascii="Times New Roman" w:hAnsi="Times New Roman" w:cs="Times New Roman"/>
          <w:i/>
          <w:iCs/>
          <w:sz w:val="24"/>
          <w:szCs w:val="24"/>
        </w:rPr>
        <w:t>Pharmacognosy</w:t>
      </w:r>
      <w:r>
        <w:rPr>
          <w:rFonts w:ascii="Times New Roman" w:hAnsi="Times New Roman" w:cs="Times New Roman"/>
          <w:sz w:val="24"/>
          <w:szCs w:val="24"/>
        </w:rPr>
        <w:t xml:space="preserve"> (11th ed.). Baillière Tindall.</w:t>
      </w:r>
    </w:p>
    <w:p w14:paraId="3AB8CE48">
      <w:pPr>
        <w:jc w:val="both"/>
        <w:rPr>
          <w:rFonts w:ascii="Times New Roman" w:hAnsi="Times New Roman" w:cs="Times New Roman"/>
          <w:sz w:val="24"/>
          <w:szCs w:val="24"/>
        </w:rPr>
      </w:pPr>
      <w:r>
        <w:rPr>
          <w:rFonts w:ascii="Times New Roman" w:hAnsi="Times New Roman" w:cs="Times New Roman"/>
          <w:sz w:val="24"/>
          <w:szCs w:val="24"/>
        </w:rPr>
        <w:t xml:space="preserve">Ugbogu, E. A., Akubugwo, I. E., Ude, V. C., Gilbert, J., &amp; Ekeanyanwu, B. (2019). Toxicological evaluation of phytochemical characterized aqueous extract of wild dried </w:t>
      </w:r>
      <w:r>
        <w:rPr>
          <w:rFonts w:ascii="Times New Roman" w:hAnsi="Times New Roman" w:cs="Times New Roman"/>
          <w:i/>
          <w:iCs/>
          <w:sz w:val="24"/>
          <w:szCs w:val="24"/>
        </w:rPr>
        <w:t>Lentinus squarrosulus</w:t>
      </w:r>
      <w:r>
        <w:rPr>
          <w:rFonts w:ascii="Times New Roman" w:hAnsi="Times New Roman" w:cs="Times New Roman"/>
          <w:sz w:val="24"/>
          <w:szCs w:val="24"/>
        </w:rPr>
        <w:t xml:space="preserve"> (Mont.) mushroom in rats. </w:t>
      </w:r>
      <w:r>
        <w:rPr>
          <w:rFonts w:ascii="Times New Roman" w:hAnsi="Times New Roman" w:cs="Times New Roman"/>
          <w:i/>
          <w:iCs/>
          <w:sz w:val="24"/>
          <w:szCs w:val="24"/>
        </w:rPr>
        <w:t>Toxicological Research</w:t>
      </w:r>
      <w:r>
        <w:rPr>
          <w:rFonts w:ascii="Times New Roman" w:hAnsi="Times New Roman" w:cs="Times New Roman"/>
          <w:sz w:val="24"/>
          <w:szCs w:val="24"/>
        </w:rPr>
        <w:t>, 35(2), 181–190. https://doi.org/10.5487/TR.2019.35.2.181</w:t>
      </w:r>
    </w:p>
    <w:p w14:paraId="32DCEC76">
      <w:pPr>
        <w:jc w:val="both"/>
        <w:rPr>
          <w:rFonts w:ascii="Times New Roman" w:hAnsi="Times New Roman" w:cs="Times New Roman"/>
          <w:sz w:val="24"/>
          <w:szCs w:val="24"/>
        </w:rPr>
      </w:pPr>
      <w:r>
        <w:rPr>
          <w:rFonts w:ascii="Times New Roman" w:hAnsi="Times New Roman" w:cs="Times New Roman"/>
          <w:sz w:val="24"/>
          <w:szCs w:val="24"/>
        </w:rPr>
        <w:t xml:space="preserve">Varsha, K. K., Devendra, L., Shilpa, G., Priya, S., Pandey, A., &amp; Nampoothiri, K. M. (2015). 2,4-Di-tert-butyl phenol as the antifungal, antioxidant bioactive purified from a newly isolated </w:t>
      </w:r>
      <w:r>
        <w:rPr>
          <w:rFonts w:ascii="Times New Roman" w:hAnsi="Times New Roman" w:cs="Times New Roman"/>
          <w:i/>
          <w:iCs/>
          <w:sz w:val="24"/>
          <w:szCs w:val="24"/>
        </w:rPr>
        <w:t>Lactococcus sp. International Journal of Food Microbiology</w:t>
      </w:r>
      <w:r>
        <w:rPr>
          <w:rFonts w:ascii="Times New Roman" w:hAnsi="Times New Roman" w:cs="Times New Roman"/>
          <w:sz w:val="24"/>
          <w:szCs w:val="24"/>
        </w:rPr>
        <w:t>, 211, 44–50. https://doi.org/10.1016/j.ijfoodmicro.2015.06.025</w:t>
      </w:r>
    </w:p>
    <w:p w14:paraId="47D144DB">
      <w:pPr>
        <w:jc w:val="both"/>
        <w:rPr>
          <w:rFonts w:ascii="Times New Roman" w:hAnsi="Times New Roman" w:cs="Times New Roman"/>
          <w:sz w:val="24"/>
          <w:szCs w:val="24"/>
        </w:rPr>
      </w:pPr>
      <w:r>
        <w:rPr>
          <w:rFonts w:ascii="Times New Roman" w:hAnsi="Times New Roman" w:cs="Times New Roman"/>
          <w:sz w:val="24"/>
          <w:szCs w:val="24"/>
        </w:rPr>
        <w:t xml:space="preserve">Vasas, A. &amp; Hohmann, J. (2014). </w:t>
      </w:r>
      <w:r>
        <w:rPr>
          <w:rFonts w:ascii="Times New Roman" w:hAnsi="Times New Roman" w:cs="Times New Roman"/>
          <w:i/>
          <w:iCs/>
          <w:sz w:val="24"/>
          <w:szCs w:val="24"/>
        </w:rPr>
        <w:t>Euphorbia diterpenes</w:t>
      </w:r>
      <w:r>
        <w:rPr>
          <w:rFonts w:ascii="Times New Roman" w:hAnsi="Times New Roman" w:cs="Times New Roman"/>
          <w:sz w:val="24"/>
          <w:szCs w:val="24"/>
        </w:rPr>
        <w:t xml:space="preserve">: Isolation, structure, biological activity, and synthesis (2008–2012). </w:t>
      </w:r>
      <w:r>
        <w:rPr>
          <w:rFonts w:ascii="Times New Roman" w:hAnsi="Times New Roman" w:cs="Times New Roman"/>
          <w:i/>
          <w:iCs/>
          <w:sz w:val="24"/>
          <w:szCs w:val="24"/>
        </w:rPr>
        <w:t>Chemical Reviews</w:t>
      </w:r>
      <w:r>
        <w:rPr>
          <w:rFonts w:ascii="Times New Roman" w:hAnsi="Times New Roman" w:cs="Times New Roman"/>
          <w:sz w:val="24"/>
          <w:szCs w:val="24"/>
        </w:rPr>
        <w:t>, 114(15), 8579–8612. https://doi.org/10.1021/cr400541j</w:t>
      </w:r>
    </w:p>
    <w:p w14:paraId="0395C5BA">
      <w:pPr>
        <w:jc w:val="both"/>
        <w:rPr>
          <w:rFonts w:ascii="Times New Roman" w:hAnsi="Times New Roman" w:cs="Times New Roman"/>
          <w:sz w:val="24"/>
          <w:szCs w:val="24"/>
        </w:rPr>
      </w:pPr>
      <w:r>
        <w:rPr>
          <w:rFonts w:ascii="Times New Roman" w:hAnsi="Times New Roman" w:cs="Times New Roman"/>
          <w:sz w:val="24"/>
          <w:szCs w:val="24"/>
        </w:rPr>
        <w:t xml:space="preserve">Wallis, T. E. (1989). </w:t>
      </w:r>
      <w:r>
        <w:rPr>
          <w:rFonts w:ascii="Times New Roman" w:hAnsi="Times New Roman" w:cs="Times New Roman"/>
          <w:i/>
          <w:iCs/>
          <w:sz w:val="24"/>
          <w:szCs w:val="24"/>
        </w:rPr>
        <w:t>Textbook of Pharmacognosy</w:t>
      </w:r>
      <w:r>
        <w:rPr>
          <w:rFonts w:ascii="Times New Roman" w:hAnsi="Times New Roman" w:cs="Times New Roman"/>
          <w:sz w:val="24"/>
          <w:szCs w:val="24"/>
        </w:rPr>
        <w:t xml:space="preserve"> (5th ed.). New Delhi: CBS Publishers &amp; Distributors.</w:t>
      </w:r>
    </w:p>
    <w:p w14:paraId="2ECF59FE">
      <w:pPr>
        <w:jc w:val="both"/>
        <w:rPr>
          <w:rFonts w:ascii="Times New Roman" w:hAnsi="Times New Roman" w:cs="Times New Roman"/>
          <w:sz w:val="24"/>
          <w:szCs w:val="24"/>
        </w:rPr>
      </w:pPr>
      <w:r>
        <w:rPr>
          <w:rFonts w:ascii="Times New Roman" w:hAnsi="Times New Roman" w:cs="Times New Roman"/>
          <w:sz w:val="24"/>
          <w:szCs w:val="24"/>
        </w:rPr>
        <w:t xml:space="preserve">Wink, M. (2015). Modes of action of herbal medicines and plant secondary metabolites. </w:t>
      </w:r>
      <w:r>
        <w:rPr>
          <w:rFonts w:ascii="Times New Roman" w:hAnsi="Times New Roman" w:cs="Times New Roman"/>
          <w:i/>
          <w:iCs/>
          <w:sz w:val="24"/>
          <w:szCs w:val="24"/>
        </w:rPr>
        <w:t>Medicines</w:t>
      </w:r>
      <w:r>
        <w:rPr>
          <w:rFonts w:ascii="Times New Roman" w:hAnsi="Times New Roman" w:cs="Times New Roman"/>
          <w:sz w:val="24"/>
          <w:szCs w:val="24"/>
        </w:rPr>
        <w:t>, 2(3), 251–286. https://doi.org/10.3390/medicines2030251</w:t>
      </w:r>
    </w:p>
    <w:p w14:paraId="6C0129A7">
      <w:pPr>
        <w:jc w:val="both"/>
        <w:rPr>
          <w:rFonts w:ascii="Times New Roman" w:hAnsi="Times New Roman" w:cs="Times New Roman"/>
          <w:sz w:val="24"/>
          <w:szCs w:val="24"/>
        </w:rPr>
      </w:pPr>
      <w:r>
        <w:rPr>
          <w:rFonts w:ascii="Times New Roman" w:hAnsi="Times New Roman" w:cs="Times New Roman"/>
          <w:sz w:val="24"/>
          <w:szCs w:val="24"/>
        </w:rPr>
        <w:t>Wu Q., Tang Y., Ding A., You F., Zhang L., Duan J. (2009). 13C-NMR data of three important diterpenes isolated from</w:t>
      </w:r>
      <w:r>
        <w:rPr>
          <w:rFonts w:ascii="Times New Roman" w:hAnsi="Times New Roman" w:cs="Times New Roman"/>
          <w:i/>
          <w:iCs/>
          <w:sz w:val="24"/>
          <w:szCs w:val="24"/>
        </w:rPr>
        <w:t xml:space="preserve"> Euphorbia species. Molecules</w:t>
      </w:r>
      <w:r>
        <w:rPr>
          <w:rFonts w:ascii="Times New Roman" w:hAnsi="Times New Roman" w:cs="Times New Roman"/>
          <w:sz w:val="24"/>
          <w:szCs w:val="24"/>
        </w:rPr>
        <w:t>, 14(11), 4454–4475. https://doi.org/10.3390/molecules14114454</w:t>
      </w:r>
    </w:p>
    <w:p w14:paraId="22397BB0">
      <w:pPr>
        <w:jc w:val="both"/>
        <w:rPr>
          <w:rFonts w:ascii="Times New Roman" w:hAnsi="Times New Roman" w:cs="Times New Roman"/>
          <w:sz w:val="24"/>
          <w:szCs w:val="24"/>
        </w:rPr>
      </w:pPr>
      <w:r>
        <w:rPr>
          <w:rFonts w:ascii="Times New Roman" w:hAnsi="Times New Roman" w:cs="Times New Roman"/>
          <w:sz w:val="24"/>
          <w:szCs w:val="24"/>
        </w:rPr>
        <w:t xml:space="preserve">Yang, D., Pornpattananangkul, D., Nakatsuji, T., Chan, M., Carson, D., Huang, C.-M., &amp; Zhang, L. (2009). The antimicrobial activity of liposomal lauric acids against Propionibacterium acnes. </w:t>
      </w:r>
      <w:r>
        <w:rPr>
          <w:rFonts w:ascii="Times New Roman" w:hAnsi="Times New Roman" w:cs="Times New Roman"/>
          <w:i/>
          <w:iCs/>
          <w:sz w:val="24"/>
          <w:szCs w:val="24"/>
        </w:rPr>
        <w:t>Biomaterials</w:t>
      </w:r>
      <w:r>
        <w:rPr>
          <w:rFonts w:ascii="Times New Roman" w:hAnsi="Times New Roman" w:cs="Times New Roman"/>
          <w:sz w:val="24"/>
          <w:szCs w:val="24"/>
        </w:rPr>
        <w:t>, 30(30), 6035–6040. https://doi.org/10.1016/j.biomaterials.2009.07.033</w:t>
      </w:r>
    </w:p>
    <w:p w14:paraId="42CA1E2C">
      <w:pPr>
        <w:jc w:val="both"/>
        <w:rPr>
          <w:rFonts w:ascii="Times New Roman" w:hAnsi="Times New Roman" w:cs="Times New Roman"/>
          <w:bCs/>
          <w:sz w:val="24"/>
          <w:szCs w:val="24"/>
        </w:rPr>
      </w:pPr>
      <w:r>
        <w:rPr>
          <w:rFonts w:ascii="Times New Roman" w:hAnsi="Times New Roman" w:cs="Times New Roman"/>
          <w:bCs/>
          <w:sz w:val="24"/>
          <w:szCs w:val="24"/>
        </w:rPr>
        <w:t xml:space="preserve">Yener, İ., Ertaş, A., Yilmaz, M. A., Ölmez, Ö. T., Yılmaz, P. K., Yeşil, Y., Kaplaner, E., Öztürk, M., Temel, H., Kolak, U., &amp; Topçu, G. (2019). Characterization of the chemical profile of </w:t>
      </w:r>
      <w:r>
        <w:rPr>
          <w:rFonts w:ascii="Times New Roman" w:hAnsi="Times New Roman" w:cs="Times New Roman"/>
          <w:bCs/>
          <w:i/>
          <w:iCs/>
          <w:sz w:val="24"/>
          <w:szCs w:val="24"/>
        </w:rPr>
        <w:t>Euphorbia species</w:t>
      </w:r>
      <w:r>
        <w:rPr>
          <w:rFonts w:ascii="Times New Roman" w:hAnsi="Times New Roman" w:cs="Times New Roman"/>
          <w:bCs/>
          <w:sz w:val="24"/>
          <w:szCs w:val="24"/>
        </w:rPr>
        <w:t xml:space="preserve"> from Turkey by gas chromatography–mass spectrometry (GC-MS), liquid chromatography–tandem mass spectrometry (LC-MS/MS), and liquid chromatography–ion trap–time-of-flight–mass spectrometry (LC-IT-TOF-MS) and chemometric analysis. </w:t>
      </w:r>
      <w:r>
        <w:rPr>
          <w:rFonts w:ascii="Times New Roman" w:hAnsi="Times New Roman" w:cs="Times New Roman"/>
          <w:bCs/>
          <w:i/>
          <w:iCs/>
          <w:sz w:val="24"/>
          <w:szCs w:val="24"/>
        </w:rPr>
        <w:t>Analytical Letters,</w:t>
      </w:r>
      <w:r>
        <w:rPr>
          <w:rFonts w:ascii="Times New Roman" w:hAnsi="Times New Roman" w:cs="Times New Roman"/>
          <w:bCs/>
          <w:sz w:val="24"/>
          <w:szCs w:val="24"/>
        </w:rPr>
        <w:t xml:space="preserve"> 52(7), 1031–1049. https://doi.org/10.1080/00032719.2018.1512608</w:t>
      </w:r>
    </w:p>
    <w:p w14:paraId="11904371">
      <w:pPr>
        <w:jc w:val="both"/>
        <w:rPr>
          <w:rFonts w:ascii="Times New Roman" w:hAnsi="Times New Roman" w:cs="Times New Roman"/>
          <w:bCs/>
          <w:sz w:val="24"/>
          <w:szCs w:val="24"/>
        </w:rPr>
      </w:pPr>
      <w:r>
        <w:rPr>
          <w:rFonts w:ascii="Times New Roman" w:hAnsi="Times New Roman" w:cs="Times New Roman"/>
          <w:bCs/>
          <w:sz w:val="24"/>
          <w:szCs w:val="24"/>
        </w:rPr>
        <w:t>Zhao, F., Wang, P., Lucardi, R. D., Su, Z., &amp; Li, S. (2020). Natural sources and bioactivities of 2,4-di-tert-butylphenol and its analogs. Toxins, 12(1), 35. https://doi.org/10.3390/toxins12010035</w:t>
      </w:r>
    </w:p>
    <w:p w14:paraId="7F9F0FD5">
      <w:pPr>
        <w:jc w:val="both"/>
        <w:rPr>
          <w:rFonts w:ascii="Times New Roman" w:hAnsi="Times New Roman" w:cs="Times New Roman"/>
          <w:bCs/>
          <w:sz w:val="24"/>
          <w:szCs w:val="24"/>
        </w:rPr>
      </w:pPr>
    </w:p>
    <w:p w14:paraId="0362B375">
      <w:pPr>
        <w:jc w:val="both"/>
        <w:rPr>
          <w:rFonts w:ascii="Times New Roman" w:hAnsi="Times New Roman" w:cs="Times New Roman"/>
          <w:bCs/>
          <w:sz w:val="24"/>
          <w:szCs w:val="24"/>
        </w:rPr>
      </w:pPr>
    </w:p>
    <w:p w14:paraId="5DE12580"/>
    <w:sectPr>
      <w:headerReference r:id="rId9" w:type="first"/>
      <w:footerReference r:id="rId12" w:type="first"/>
      <w:headerReference r:id="rId7" w:type="default"/>
      <w:footerReference r:id="rId10" w:type="default"/>
      <w:headerReference r:id="rId8" w:type="even"/>
      <w:footerReference r:id="rId11" w:type="even"/>
      <w:pgSz w:w="12240" w:h="15840"/>
      <w:pgMar w:top="126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otany Dr D Nagaraju" w:date="2026-01-22T16:15:57Z" w:initials="">
    <w:p w14:paraId="11DE3D47">
      <w:pPr>
        <w:pStyle w:val="5"/>
        <w:rPr>
          <w:rFonts w:hint="default"/>
          <w:lang w:val="en-US"/>
        </w:rPr>
      </w:pPr>
      <w:r>
        <w:rPr>
          <w:rFonts w:hint="default"/>
          <w:lang w:val="en-US"/>
        </w:rPr>
        <w:t>Any specificity to take these 5 plants only,</w:t>
      </w:r>
    </w:p>
    <w:p w14:paraId="2D382F21">
      <w:pPr>
        <w:pStyle w:val="5"/>
        <w:rPr>
          <w:rFonts w:hint="default"/>
          <w:lang w:val="en-US"/>
        </w:rPr>
      </w:pPr>
      <w:r>
        <w:rPr>
          <w:rFonts w:hint="default"/>
          <w:lang w:val="en-US"/>
        </w:rPr>
        <w:t>Next Do you extend to others too, in this family</w:t>
      </w:r>
    </w:p>
  </w:comment>
  <w:comment w:id="1" w:author="Botany Dr D Nagaraju" w:date="2026-01-22T16:44:01Z" w:initials="">
    <w:p w14:paraId="13D5CD3B">
      <w:pPr>
        <w:pStyle w:val="5"/>
        <w:rPr>
          <w:rFonts w:hint="default"/>
          <w:lang w:val="en-US"/>
        </w:rPr>
      </w:pPr>
      <w:r>
        <w:rPr>
          <w:rFonts w:hint="default"/>
          <w:lang w:val="en-US"/>
        </w:rPr>
        <w:t>Once check asper journal farmat</w:t>
      </w:r>
      <w:bookmarkStart w:id="0" w:name="_GoBack"/>
      <w:bookmarkEnd w:id="0"/>
    </w:p>
  </w:comment>
  <w:comment w:id="2" w:author="Botany Dr D Nagaraju" w:date="2026-01-22T16:43:13Z" w:initials="">
    <w:p w14:paraId="72F098DF">
      <w:pPr>
        <w:pStyle w:val="5"/>
        <w:rPr>
          <w:rFonts w:hint="default"/>
          <w:lang w:val="en-US"/>
        </w:rPr>
      </w:pPr>
      <w:r>
        <w:rPr>
          <w:rFonts w:hint="default"/>
          <w:lang w:val="en-US"/>
        </w:rPr>
        <w:t>DOI Links need to be access with click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382F21" w15:done="0"/>
  <w15:commentEx w15:paraId="13D5CD3B" w15:done="0"/>
  <w15:commentEx w15:paraId="72F098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59EC1">
    <w:pPr>
      <w:pStyle w:val="6"/>
      <w:jc w:val="right"/>
    </w:pPr>
    <w:r>
      <w:fldChar w:fldCharType="begin"/>
    </w:r>
    <w:r>
      <w:instrText xml:space="preserve"> PAGE   \* MERGEFORMAT </w:instrText>
    </w:r>
    <w:r>
      <w:fldChar w:fldCharType="separate"/>
    </w:r>
    <w:r>
      <w:t>1</w:t>
    </w:r>
    <w:r>
      <w:fldChar w:fldCharType="end"/>
    </w:r>
  </w:p>
  <w:p w14:paraId="3105F6C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A25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1009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6DEA">
    <w:pPr>
      <w:jc w:val="center"/>
    </w:pPr>
    <w:r>
      <w:pict>
        <v:shape id="PowerPlusWaterMarkObject1232854720" o:spid="_x0000_s2051" o:spt="136" type="#_x0000_t136" style="position:absolute;left:0pt;height:104.65pt;width:555.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89780">
    <w:pPr>
      <w:pStyle w:val="7"/>
    </w:pPr>
    <w:r>
      <w:pict>
        <v:shape id="PowerPlusWaterMarkObject1232854719" o:spid="_x0000_s2050"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2EA96">
    <w:pPr>
      <w:pStyle w:val="7"/>
    </w:pPr>
    <w:r>
      <w:pict>
        <v:shape id="PowerPlusWaterMarkObject1232854718" o:spid="_x0000_s2049"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otany Dr D Nagaraju">
    <w15:presenceInfo w15:providerId="WPS Office" w15:userId="309380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32"/>
    <w:rsid w:val="00364582"/>
    <w:rsid w:val="0043615A"/>
    <w:rsid w:val="00683BDF"/>
    <w:rsid w:val="00AA7ED5"/>
    <w:rsid w:val="00AD454F"/>
    <w:rsid w:val="00B96932"/>
    <w:rsid w:val="00C6149F"/>
    <w:rsid w:val="00E82141"/>
    <w:rsid w:val="01E53AAB"/>
    <w:rsid w:val="18DC12B3"/>
    <w:rsid w:val="39C04573"/>
    <w:rsid w:val="3B882DB9"/>
    <w:rsid w:val="5FEF0D71"/>
    <w:rsid w:val="67D121E0"/>
    <w:rsid w:val="6A701F03"/>
    <w:rsid w:val="6C1B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1"/>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paragraph" w:styleId="6">
    <w:name w:val="footer"/>
    <w:basedOn w:val="1"/>
    <w:link w:val="10"/>
    <w:uiPriority w:val="99"/>
    <w:pPr>
      <w:tabs>
        <w:tab w:val="center" w:pos="4680"/>
        <w:tab w:val="right" w:pos="9360"/>
      </w:tabs>
      <w:spacing w:after="0" w:line="240" w:lineRule="auto"/>
    </w:pPr>
  </w:style>
  <w:style w:type="paragraph" w:styleId="7">
    <w:name w:val="header"/>
    <w:basedOn w:val="1"/>
    <w:link w:val="13"/>
    <w:unhideWhenUsed/>
    <w:uiPriority w:val="99"/>
    <w:pPr>
      <w:tabs>
        <w:tab w:val="center" w:pos="4680"/>
        <w:tab w:val="right" w:pos="9360"/>
      </w:tabs>
      <w:spacing w:after="0" w:line="240" w:lineRule="auto"/>
    </w:pPr>
  </w:style>
  <w:style w:type="character" w:styleId="8">
    <w:name w:val="Hyperlink"/>
    <w:basedOn w:val="2"/>
    <w:unhideWhenUsed/>
    <w:uiPriority w:val="99"/>
    <w:rPr>
      <w:color w:val="0000FF" w:themeColor="hyperlink"/>
      <w:u w:val="single"/>
      <w14:textFill>
        <w14:solidFill>
          <w14:schemeClr w14:val="hlink"/>
        </w14:solidFill>
      </w14:textFill>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oter Char"/>
    <w:basedOn w:val="2"/>
    <w:link w:val="6"/>
    <w:uiPriority w:val="99"/>
    <w:rPr>
      <w:rFonts w:ascii="Calibri" w:hAnsi="Calibri" w:eastAsia="Calibri" w:cs="SimSun"/>
    </w:rPr>
  </w:style>
  <w:style w:type="character" w:customStyle="1" w:styleId="11">
    <w:name w:val="Balloon Text Char"/>
    <w:basedOn w:val="2"/>
    <w:link w:val="4"/>
    <w:uiPriority w:val="99"/>
    <w:rPr>
      <w:rFonts w:ascii="Tahoma" w:hAnsi="Tahoma" w:eastAsia="Calibri" w:cs="Tahoma"/>
      <w:sz w:val="16"/>
      <w:szCs w:val="16"/>
    </w:rPr>
  </w:style>
  <w:style w:type="character" w:customStyle="1" w:styleId="12">
    <w:name w:val="Unresolved Mention"/>
    <w:basedOn w:val="2"/>
    <w:semiHidden/>
    <w:unhideWhenUsed/>
    <w:uiPriority w:val="99"/>
    <w:rPr>
      <w:color w:val="605E5C"/>
      <w:shd w:val="clear" w:color="auto" w:fill="E1DFDD"/>
    </w:rPr>
  </w:style>
  <w:style w:type="character" w:customStyle="1" w:styleId="13">
    <w:name w:val="Header Char"/>
    <w:basedOn w:val="2"/>
    <w:link w:val="7"/>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7955</Words>
  <Characters>45346</Characters>
  <Lines>377</Lines>
  <Paragraphs>106</Paragraphs>
  <TotalTime>227</TotalTime>
  <ScaleCrop>false</ScaleCrop>
  <LinksUpToDate>false</LinksUpToDate>
  <CharactersWithSpaces>53195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2025-09-08T15:55:00Z</dcterms:created>
  <dc:creator>hp</dc:creator>
  <cp:lastModifiedBy>Botany Dr D Nagaraju</cp:lastModifiedBy>
  <dcterms:modified xsi:type="dcterms:W3CDTF">2026-01-22T11:14:14Z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0dc84f03693549e083c512f011a1f6b3</vt:lpwstr>
  </property>
  <property fmtid="{D5CDD505-2E9C-101B-9397-08002B2CF9AE}" pid="3" name="KSOProductBuildVer">
    <vt:lpwstr>1033-12.2.0.23196</vt:lpwstr>
  </property>
</Properties>
</file>