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0517A" w14:textId="33FE50AA" w:rsidR="00D71C12" w:rsidRDefault="00361FE7">
      <w:pPr>
        <w:pStyle w:val="Title"/>
        <w:spacing w:after="0"/>
        <w:jc w:val="both"/>
        <w:rPr>
          <w:rFonts w:ascii="Arial" w:hAnsi="Arial" w:cs="Arial"/>
          <w:sz w:val="20"/>
        </w:rPr>
      </w:pPr>
      <w:r w:rsidRPr="00361FE7">
        <w:rPr>
          <w:rFonts w:ascii="Arial" w:hAnsi="Arial" w:cs="Arial"/>
          <w:sz w:val="20"/>
        </w:rPr>
        <w:t>Original Research Article</w:t>
      </w:r>
    </w:p>
    <w:p w14:paraId="163BE950" w14:textId="77777777" w:rsidR="00361FE7" w:rsidRDefault="00361FE7">
      <w:pPr>
        <w:pStyle w:val="Title"/>
        <w:spacing w:after="0"/>
        <w:jc w:val="both"/>
        <w:rPr>
          <w:rFonts w:ascii="Arial" w:hAnsi="Arial" w:cs="Arial"/>
          <w:sz w:val="20"/>
        </w:rPr>
      </w:pPr>
    </w:p>
    <w:p w14:paraId="46126A98" w14:textId="77777777" w:rsidR="00D71C12" w:rsidRDefault="000D05F8">
      <w:pPr>
        <w:pStyle w:val="Author"/>
        <w:wordWrap w:val="0"/>
        <w:spacing w:line="240" w:lineRule="auto"/>
        <w:rPr>
          <w:rFonts w:ascii="Arial" w:hAnsi="Arial" w:cs="Arial"/>
          <w:bCs/>
          <w:iCs/>
          <w:kern w:val="28"/>
          <w:sz w:val="36"/>
          <w:szCs w:val="36"/>
          <w:lang w:val="en-PH"/>
        </w:rPr>
      </w:pPr>
      <w:r>
        <w:rPr>
          <w:rFonts w:ascii="Arial" w:hAnsi="Arial" w:cs="Arial"/>
          <w:bCs/>
          <w:iCs/>
          <w:kern w:val="28"/>
          <w:sz w:val="36"/>
          <w:szCs w:val="36"/>
          <w:lang w:val="en-PH"/>
        </w:rPr>
        <w:t>Exploring the Meaning of Caring: A Qualitative Study Among First-Year Nursing Students</w:t>
      </w:r>
    </w:p>
    <w:p w14:paraId="720CB565" w14:textId="77777777" w:rsidR="00361FE7" w:rsidRDefault="00361FE7">
      <w:pPr>
        <w:pStyle w:val="Author"/>
        <w:wordWrap w:val="0"/>
        <w:spacing w:line="240" w:lineRule="auto"/>
        <w:rPr>
          <w:rFonts w:ascii="Arial" w:hAnsi="Arial" w:cs="Arial"/>
          <w:bCs/>
          <w:sz w:val="36"/>
          <w:szCs w:val="36"/>
          <w:lang w:val="en-PH"/>
        </w:rPr>
      </w:pPr>
    </w:p>
    <w:p w14:paraId="4CF4C820" w14:textId="10D712F2" w:rsidR="00CF3E22" w:rsidRDefault="00CF3E22" w:rsidP="00CF3E22">
      <w:pPr>
        <w:pStyle w:val="Affiliation"/>
        <w:wordWrap w:val="0"/>
        <w:spacing w:after="0" w:line="240" w:lineRule="auto"/>
        <w:rPr>
          <w:rFonts w:ascii="Arial" w:hAnsi="Arial" w:cs="Arial"/>
          <w:i/>
          <w:lang w:val="en-PH"/>
        </w:rPr>
      </w:pPr>
    </w:p>
    <w:p w14:paraId="25FE82F7" w14:textId="77777777" w:rsidR="005F50F3" w:rsidRDefault="005F50F3" w:rsidP="00CF3E22">
      <w:pPr>
        <w:pStyle w:val="Affiliation"/>
        <w:wordWrap w:val="0"/>
        <w:spacing w:after="0" w:line="240" w:lineRule="auto"/>
        <w:rPr>
          <w:rFonts w:ascii="Arial" w:hAnsi="Arial" w:cs="Arial"/>
          <w:i/>
          <w:lang w:val="en-PH"/>
        </w:rPr>
      </w:pPr>
    </w:p>
    <w:p w14:paraId="119B0F9F" w14:textId="77777777" w:rsidR="00D71C12" w:rsidRDefault="00711373">
      <w:pPr>
        <w:pStyle w:val="Copyright"/>
        <w:spacing w:after="0" w:line="240" w:lineRule="auto"/>
        <w:jc w:val="both"/>
        <w:rPr>
          <w:rFonts w:ascii="Arial" w:hAnsi="Arial" w:cs="Arial"/>
          <w:sz w:val="20"/>
        </w:rPr>
        <w:sectPr w:rsidR="00D71C12" w:rsidSect="009732A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sz w:val="20"/>
        </w:rPr>
      </w:r>
      <w:r>
        <w:rPr>
          <w:rFonts w:ascii="Arial" w:hAnsi="Arial" w:cs="Arial"/>
          <w:sz w:val="20"/>
        </w:rPr>
        <w:pict w14:anchorId="5ABE92FD">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0D05F8">
        <w:rPr>
          <w:rFonts w:ascii="Arial" w:hAnsi="Arial" w:cs="Arial"/>
          <w:sz w:val="20"/>
        </w:rPr>
        <w:t>.</w:t>
      </w:r>
    </w:p>
    <w:p w14:paraId="04B30807" w14:textId="77777777" w:rsidR="00D71C12" w:rsidRDefault="000D05F8">
      <w:pPr>
        <w:pStyle w:val="AbstHead"/>
        <w:spacing w:after="0"/>
        <w:jc w:val="both"/>
        <w:rPr>
          <w:rFonts w:ascii="Arial" w:hAnsi="Arial" w:cs="Arial"/>
          <w:sz w:val="20"/>
        </w:rPr>
      </w:pPr>
      <w:r>
        <w:rPr>
          <w:rFonts w:ascii="Arial" w:hAnsi="Arial" w:cs="Arial"/>
          <w:sz w:val="20"/>
        </w:rPr>
        <w:t>ABSTRACT</w:t>
      </w:r>
    </w:p>
    <w:p w14:paraId="6347B009" w14:textId="77777777" w:rsidR="00D71C12" w:rsidRDefault="00D71C12">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0"/>
      </w:tblGrid>
      <w:tr w:rsidR="00D71C12" w14:paraId="0770B3F1" w14:textId="77777777">
        <w:tc>
          <w:tcPr>
            <w:tcW w:w="9576" w:type="dxa"/>
            <w:shd w:val="clear" w:color="auto" w:fill="F2F2F2"/>
          </w:tcPr>
          <w:p w14:paraId="50392BA6" w14:textId="77777777" w:rsidR="00D71C12" w:rsidRDefault="000D05F8">
            <w:pPr>
              <w:pStyle w:val="NormalWeb"/>
              <w:spacing w:beforeAutospacing="0" w:afterAutospacing="0"/>
              <w:jc w:val="both"/>
              <w:rPr>
                <w:rStyle w:val="Strong"/>
                <w:rFonts w:ascii="Arial" w:hAnsi="Arial" w:cs="Arial"/>
                <w:sz w:val="20"/>
                <w:szCs w:val="20"/>
              </w:rPr>
            </w:pPr>
            <w:r>
              <w:rPr>
                <w:rStyle w:val="Strong"/>
                <w:rFonts w:ascii="Arial" w:hAnsi="Arial" w:cs="Arial"/>
                <w:sz w:val="20"/>
                <w:szCs w:val="20"/>
              </w:rPr>
              <w:t>Aim:</w:t>
            </w:r>
          </w:p>
          <w:p w14:paraId="3C4C6C1A" w14:textId="77777777" w:rsidR="00D71C12" w:rsidRDefault="000D05F8">
            <w:pPr>
              <w:pStyle w:val="NormalWeb"/>
              <w:spacing w:beforeAutospacing="0" w:afterAutospacing="0"/>
              <w:jc w:val="both"/>
              <w:rPr>
                <w:rFonts w:ascii="Arial" w:hAnsi="Arial" w:cs="Arial"/>
                <w:sz w:val="20"/>
                <w:szCs w:val="20"/>
              </w:rPr>
            </w:pPr>
            <w:r>
              <w:rPr>
                <w:rFonts w:ascii="Arial" w:hAnsi="Arial" w:cs="Arial"/>
                <w:sz w:val="20"/>
                <w:szCs w:val="20"/>
              </w:rPr>
              <w:t>Caring has long been regarded as the essence and moral cornerstone of the nursing profession, shaping how nurses understand their roles, form therapeutic relationships, and deliver compassionate, patient-centered care. For first-year nursing students, the concept of caring represents both an ideal and a developing practice—something learned, experienced, negotiated, and internalized as they transition from laypersons to future professionals.</w:t>
            </w:r>
            <w:r>
              <w:rPr>
                <w:rFonts w:ascii="Arial" w:hAnsi="Arial" w:cs="Arial"/>
                <w:sz w:val="20"/>
                <w:szCs w:val="20"/>
                <w:lang w:val="en-PH"/>
              </w:rPr>
              <w:t xml:space="preserve"> </w:t>
            </w:r>
            <w:r>
              <w:rPr>
                <w:rFonts w:ascii="Arial" w:hAnsi="Arial" w:cs="Arial"/>
                <w:sz w:val="20"/>
                <w:szCs w:val="20"/>
              </w:rPr>
              <w:t>To explore the lived meanings and personal understandings of caring among first-year nursing students and to identify how caring is constructed, influenced, and integrated into early professional identity formation within the context of Generation Z learners.</w:t>
            </w:r>
          </w:p>
          <w:p w14:paraId="5ADBF164" w14:textId="77777777" w:rsidR="00D71C12" w:rsidRDefault="000D05F8">
            <w:pPr>
              <w:pStyle w:val="NormalWeb"/>
              <w:spacing w:beforeAutospacing="0" w:afterAutospacing="0"/>
              <w:jc w:val="both"/>
              <w:rPr>
                <w:rStyle w:val="Strong"/>
                <w:rFonts w:ascii="Arial" w:hAnsi="Arial" w:cs="Arial"/>
                <w:sz w:val="20"/>
                <w:szCs w:val="20"/>
              </w:rPr>
            </w:pPr>
            <w:r>
              <w:rPr>
                <w:rStyle w:val="Strong"/>
                <w:rFonts w:ascii="Arial" w:hAnsi="Arial" w:cs="Arial"/>
                <w:sz w:val="20"/>
                <w:szCs w:val="20"/>
              </w:rPr>
              <w:t>Methodology:</w:t>
            </w:r>
          </w:p>
          <w:p w14:paraId="42C88243" w14:textId="77777777" w:rsidR="00D71C12" w:rsidRDefault="000D05F8">
            <w:pPr>
              <w:pStyle w:val="NormalWeb"/>
              <w:spacing w:beforeAutospacing="0" w:afterAutospacing="0"/>
              <w:jc w:val="both"/>
              <w:rPr>
                <w:rFonts w:ascii="Arial" w:hAnsi="Arial" w:cs="Arial"/>
                <w:sz w:val="20"/>
                <w:szCs w:val="20"/>
                <w:lang w:val="en-PH"/>
              </w:rPr>
            </w:pPr>
            <w:r>
              <w:rPr>
                <w:rFonts w:ascii="Arial" w:hAnsi="Arial" w:cs="Arial"/>
                <w:sz w:val="20"/>
                <w:szCs w:val="20"/>
              </w:rPr>
              <w:t>A descriptive qualitative research design employing Braun and Clarke’s thematic analysis approach was utilized.</w:t>
            </w:r>
            <w:r>
              <w:rPr>
                <w:rFonts w:ascii="Arial" w:hAnsi="Arial" w:cs="Arial"/>
                <w:sz w:val="20"/>
                <w:szCs w:val="20"/>
                <w:lang w:val="en-PH"/>
              </w:rPr>
              <w:t xml:space="preserve"> </w:t>
            </w:r>
            <w:r>
              <w:rPr>
                <w:rFonts w:ascii="Arial" w:hAnsi="Arial" w:cs="Arial"/>
                <w:sz w:val="20"/>
                <w:szCs w:val="20"/>
              </w:rPr>
              <w:t>The study was conducted at a higher education institution in Cabanatuan City, Philippines, from August to December 202</w:t>
            </w:r>
            <w:r>
              <w:rPr>
                <w:rFonts w:ascii="Arial" w:hAnsi="Arial" w:cs="Arial"/>
                <w:sz w:val="20"/>
                <w:szCs w:val="20"/>
                <w:lang w:val="en-PH"/>
              </w:rPr>
              <w:t>5</w:t>
            </w:r>
            <w:r>
              <w:rPr>
                <w:rFonts w:ascii="Arial" w:hAnsi="Arial" w:cs="Arial"/>
                <w:sz w:val="20"/>
                <w:szCs w:val="20"/>
              </w:rPr>
              <w:t>.</w:t>
            </w:r>
            <w:r>
              <w:rPr>
                <w:rFonts w:ascii="Arial" w:hAnsi="Arial" w:cs="Arial"/>
                <w:sz w:val="20"/>
                <w:szCs w:val="20"/>
                <w:lang w:val="en-PH"/>
              </w:rPr>
              <w:t xml:space="preserve"> </w:t>
            </w:r>
            <w:r>
              <w:rPr>
                <w:rFonts w:ascii="Arial" w:hAnsi="Arial" w:cs="Arial"/>
                <w:sz w:val="20"/>
                <w:szCs w:val="20"/>
              </w:rPr>
              <w:t>Participants were first-year Bachelor of Science in Nursing students belonging to Generation Z who were recruited through purposive sampling. Individual semi-structured interviews were conducted to elicit detailed accounts of how caring was experienced and understood. Data were audio-recorded, transcribed verbatim, and coded inductively. Analysis proceeded through the six phases of thematic analysis including familiarization, code generation, theme development, review, definition, and reporting. Ethical procedures, including informed consent and confidentiality protections, were observed throughout the study</w:t>
            </w:r>
            <w:r>
              <w:rPr>
                <w:rFonts w:ascii="Arial" w:hAnsi="Arial" w:cs="Arial"/>
                <w:sz w:val="20"/>
                <w:szCs w:val="20"/>
                <w:lang w:val="en-PH"/>
              </w:rPr>
              <w:t>.</w:t>
            </w:r>
          </w:p>
          <w:p w14:paraId="213A24A0" w14:textId="77777777" w:rsidR="00D71C12" w:rsidRDefault="000D05F8">
            <w:pPr>
              <w:pStyle w:val="NormalWeb"/>
              <w:spacing w:beforeAutospacing="0" w:afterAutospacing="0"/>
              <w:jc w:val="both"/>
              <w:rPr>
                <w:rFonts w:ascii="Arial" w:hAnsi="Arial" w:cs="Arial"/>
                <w:sz w:val="20"/>
                <w:szCs w:val="20"/>
              </w:rPr>
            </w:pPr>
            <w:r>
              <w:rPr>
                <w:rStyle w:val="Strong"/>
                <w:rFonts w:ascii="Arial" w:hAnsi="Arial" w:cs="Arial"/>
                <w:sz w:val="20"/>
                <w:szCs w:val="20"/>
              </w:rPr>
              <w:t>Results:</w:t>
            </w:r>
            <w:r>
              <w:rPr>
                <w:rFonts w:ascii="Arial" w:hAnsi="Arial" w:cs="Arial"/>
                <w:sz w:val="20"/>
                <w:szCs w:val="20"/>
              </w:rPr>
              <w:br/>
              <w:t xml:space="preserve">Five major themes emerged: (1) </w:t>
            </w:r>
            <w:r>
              <w:rPr>
                <w:rStyle w:val="Strong"/>
                <w:rFonts w:ascii="Arial" w:hAnsi="Arial" w:cs="Arial"/>
                <w:b w:val="0"/>
                <w:bCs w:val="0"/>
                <w:sz w:val="20"/>
                <w:szCs w:val="20"/>
              </w:rPr>
              <w:t>Authentic Caring Connection</w:t>
            </w:r>
            <w:r>
              <w:rPr>
                <w:rFonts w:ascii="Arial" w:hAnsi="Arial" w:cs="Arial"/>
                <w:sz w:val="20"/>
                <w:szCs w:val="20"/>
              </w:rPr>
              <w:t xml:space="preserve">, characterized by emotional validation, genuine presence, and mental health–oriented caring; (2) </w:t>
            </w:r>
            <w:r>
              <w:rPr>
                <w:rStyle w:val="Strong"/>
                <w:rFonts w:ascii="Arial" w:hAnsi="Arial" w:cs="Arial"/>
                <w:b w:val="0"/>
                <w:bCs w:val="0"/>
                <w:sz w:val="20"/>
                <w:szCs w:val="20"/>
              </w:rPr>
              <w:t>Caring Formalized by Nursing Education</w:t>
            </w:r>
            <w:r>
              <w:rPr>
                <w:rFonts w:ascii="Arial" w:hAnsi="Arial" w:cs="Arial"/>
                <w:sz w:val="20"/>
                <w:szCs w:val="20"/>
              </w:rPr>
              <w:t xml:space="preserve">, where caring shifted from intuitive and personal to structured and professional; (3) </w:t>
            </w:r>
            <w:r>
              <w:rPr>
                <w:rStyle w:val="Strong"/>
                <w:rFonts w:ascii="Arial" w:hAnsi="Arial" w:cs="Arial"/>
                <w:b w:val="0"/>
                <w:bCs w:val="0"/>
                <w:sz w:val="20"/>
                <w:szCs w:val="20"/>
              </w:rPr>
              <w:t>Limited Ability to Care</w:t>
            </w:r>
            <w:r>
              <w:rPr>
                <w:rFonts w:ascii="Arial" w:hAnsi="Arial" w:cs="Arial"/>
                <w:sz w:val="20"/>
                <w:szCs w:val="20"/>
              </w:rPr>
              <w:t xml:space="preserve">, depicting skill gaps, anxiety, and emotional overload during early training; (4) </w:t>
            </w:r>
            <w:r>
              <w:rPr>
                <w:rStyle w:val="Strong"/>
                <w:rFonts w:ascii="Arial" w:hAnsi="Arial" w:cs="Arial"/>
                <w:b w:val="0"/>
                <w:bCs w:val="0"/>
                <w:sz w:val="20"/>
                <w:szCs w:val="20"/>
              </w:rPr>
              <w:t>Caring Learned by Watching Others</w:t>
            </w:r>
            <w:r>
              <w:rPr>
                <w:rFonts w:ascii="Arial" w:hAnsi="Arial" w:cs="Arial"/>
                <w:sz w:val="20"/>
                <w:szCs w:val="20"/>
              </w:rPr>
              <w:t xml:space="preserve">, revealing role modeling from instructors, peers, and simulations as primary learning mechanisms; and (5) </w:t>
            </w:r>
            <w:r>
              <w:rPr>
                <w:rStyle w:val="Strong"/>
                <w:rFonts w:ascii="Arial" w:hAnsi="Arial" w:cs="Arial"/>
                <w:b w:val="0"/>
                <w:bCs w:val="0"/>
                <w:sz w:val="20"/>
                <w:szCs w:val="20"/>
              </w:rPr>
              <w:t>Caring as Professional Identity</w:t>
            </w:r>
            <w:r>
              <w:rPr>
                <w:rFonts w:ascii="Arial" w:hAnsi="Arial" w:cs="Arial"/>
                <w:sz w:val="20"/>
                <w:szCs w:val="20"/>
              </w:rPr>
              <w:t>, where caring became intertwined with motivation, purpose, and envisioned future nurse-self. Collectively, findings suggested that caring for novice students is relationally grounded, pedagogically mediated, emotionally challenging, socially transmitted, and professionally defining.</w:t>
            </w:r>
          </w:p>
          <w:p w14:paraId="4E9BD143" w14:textId="77777777" w:rsidR="00D71C12" w:rsidRDefault="000D05F8">
            <w:pPr>
              <w:pStyle w:val="NormalWeb"/>
              <w:spacing w:beforeAutospacing="0" w:afterAutospacing="0"/>
              <w:jc w:val="both"/>
              <w:rPr>
                <w:rFonts w:ascii="Arial" w:hAnsi="Arial" w:cs="Arial"/>
                <w:sz w:val="20"/>
                <w:szCs w:val="20"/>
              </w:rPr>
            </w:pPr>
            <w:r>
              <w:rPr>
                <w:rStyle w:val="Strong"/>
                <w:rFonts w:ascii="Arial" w:hAnsi="Arial" w:cs="Arial"/>
                <w:sz w:val="20"/>
                <w:szCs w:val="20"/>
              </w:rPr>
              <w:t>Conclusion:</w:t>
            </w:r>
            <w:r>
              <w:rPr>
                <w:rFonts w:ascii="Arial" w:hAnsi="Arial" w:cs="Arial"/>
                <w:sz w:val="20"/>
                <w:szCs w:val="20"/>
              </w:rPr>
              <w:br/>
              <w:t>First-year nursing students conceptualize caring as both an emotional and professional phenomenon shaped by personal history, educational structures, and observational learning. Despite strong caring intentions, students encounter emotional and skill-based limitations that constrain caring enactment during early training. Caring ultimately becomes central to professional identity formation, particularly among Generation Z learners who value authenticity and mental health. Findings underscore the need for nursing curricula that intentionally model caring behaviors, scaffold emotional and communication skills, and provide psychologically safe learning environments that support caring development at the foundational stage.</w:t>
            </w:r>
          </w:p>
          <w:p w14:paraId="4AB7C796" w14:textId="77777777" w:rsidR="00D71C12" w:rsidRDefault="00D71C12">
            <w:pPr>
              <w:pStyle w:val="NormalWeb"/>
              <w:spacing w:beforeAutospacing="0" w:afterAutospacing="0"/>
              <w:rPr>
                <w:rFonts w:ascii="Arial" w:eastAsia="Calibri" w:hAnsi="Arial" w:cs="Arial"/>
                <w:sz w:val="20"/>
                <w:szCs w:val="20"/>
                <w:lang w:val="en-PH"/>
              </w:rPr>
            </w:pPr>
          </w:p>
        </w:tc>
      </w:tr>
    </w:tbl>
    <w:p w14:paraId="09B3CDFD" w14:textId="77777777" w:rsidR="00D71C12" w:rsidRDefault="00D71C12">
      <w:pPr>
        <w:pStyle w:val="Body"/>
        <w:spacing w:after="0"/>
        <w:rPr>
          <w:rFonts w:ascii="Arial" w:hAnsi="Arial" w:cs="Arial"/>
          <w:i/>
        </w:rPr>
      </w:pPr>
    </w:p>
    <w:p w14:paraId="51F2278B" w14:textId="77777777" w:rsidR="00D71C12" w:rsidRDefault="000D05F8">
      <w:pPr>
        <w:pStyle w:val="Body"/>
        <w:spacing w:after="0"/>
        <w:rPr>
          <w:rFonts w:ascii="Arial" w:hAnsi="Arial" w:cs="Arial"/>
          <w:i/>
          <w:lang w:val="en-PH"/>
        </w:rPr>
      </w:pPr>
      <w:r>
        <w:rPr>
          <w:rFonts w:ascii="Arial" w:hAnsi="Arial" w:cs="Arial"/>
          <w:i/>
        </w:rPr>
        <w:t xml:space="preserve">Keywords: </w:t>
      </w:r>
      <w:r>
        <w:rPr>
          <w:rFonts w:ascii="Arial" w:eastAsia="SimSun" w:hAnsi="Arial" w:cs="Arial"/>
          <w:i/>
        </w:rPr>
        <w:t xml:space="preserve">Caring, First-year nursing students, Nursing education, Qualitative study, </w:t>
      </w:r>
      <w:proofErr w:type="gramStart"/>
      <w:r>
        <w:rPr>
          <w:rFonts w:ascii="Arial" w:eastAsia="SimSun" w:hAnsi="Arial" w:cs="Arial"/>
          <w:i/>
        </w:rPr>
        <w:t>Lived</w:t>
      </w:r>
      <w:proofErr w:type="gramEnd"/>
      <w:r>
        <w:rPr>
          <w:rFonts w:ascii="Arial" w:eastAsia="SimSun" w:hAnsi="Arial" w:cs="Arial"/>
          <w:i/>
        </w:rPr>
        <w:t xml:space="preserve"> experience, Meaning-making</w:t>
      </w:r>
    </w:p>
    <w:p w14:paraId="51E3E805" w14:textId="77777777" w:rsidR="00D71C12" w:rsidRDefault="00D71C12">
      <w:pPr>
        <w:pStyle w:val="Body"/>
        <w:spacing w:after="0"/>
        <w:rPr>
          <w:rFonts w:ascii="Arial" w:hAnsi="Arial" w:cs="Arial"/>
          <w:i/>
        </w:rPr>
      </w:pPr>
    </w:p>
    <w:p w14:paraId="2F48F091" w14:textId="77777777" w:rsidR="00D71C12" w:rsidRDefault="000D05F8">
      <w:pPr>
        <w:pStyle w:val="AbstHead"/>
        <w:spacing w:after="0"/>
        <w:jc w:val="both"/>
        <w:rPr>
          <w:rFonts w:ascii="Arial" w:hAnsi="Arial" w:cs="Arial"/>
          <w:sz w:val="20"/>
        </w:rPr>
      </w:pPr>
      <w:r>
        <w:rPr>
          <w:rFonts w:ascii="Arial" w:hAnsi="Arial" w:cs="Arial"/>
          <w:sz w:val="20"/>
        </w:rPr>
        <w:t>1. INTRODUCTION</w:t>
      </w:r>
    </w:p>
    <w:p w14:paraId="1C41C1F8" w14:textId="77777777" w:rsidR="00D71C12" w:rsidRDefault="00D71C12">
      <w:pPr>
        <w:pStyle w:val="AbstHead"/>
        <w:spacing w:after="0"/>
        <w:jc w:val="both"/>
        <w:rPr>
          <w:rFonts w:ascii="Arial" w:hAnsi="Arial" w:cs="Arial"/>
          <w:sz w:val="20"/>
        </w:rPr>
      </w:pPr>
    </w:p>
    <w:p w14:paraId="21BB1206" w14:textId="77777777" w:rsidR="00D71C12" w:rsidRDefault="000D05F8">
      <w:pPr>
        <w:ind w:firstLine="720"/>
        <w:jc w:val="both"/>
        <w:rPr>
          <w:rFonts w:ascii="Arial" w:hAnsi="Arial" w:cs="Arial"/>
        </w:rPr>
      </w:pPr>
      <w:commentRangeStart w:id="0"/>
      <w:r>
        <w:rPr>
          <w:rFonts w:ascii="Arial" w:hAnsi="Arial" w:cs="Arial"/>
        </w:rPr>
        <w:t>Caring has long been regarded as the essence and moral cornerstone of the nursing profession, shaping how nurses understand their roles, form therapeutic relationships, and deliver compassionate, patient-centered care. For first-year nursing students, the concept of caring represents both an ideal and a developing practice—something learned, experienced, negotiated, and internalized as they transition from laypersons to future professionals. Early nursing education introduces students to theoretical models of caring, yet their personal interpretations are often influenced by prior experiences, cultural background, classroom learning, and their initial encounters with patients. As students begin to form their identities as nurses, understanding how they conceptualize caring becomes essential for strengthening nursing curricula, improving clinical mentorship, and supporting their emotional and professional development.</w:t>
      </w:r>
    </w:p>
    <w:p w14:paraId="20AF3C3C" w14:textId="77777777" w:rsidR="00D71C12" w:rsidRDefault="000D05F8">
      <w:pPr>
        <w:ind w:firstLine="720"/>
        <w:jc w:val="both"/>
        <w:rPr>
          <w:rFonts w:ascii="Arial" w:hAnsi="Arial" w:cs="Arial"/>
        </w:rPr>
      </w:pPr>
      <w:r>
        <w:rPr>
          <w:rFonts w:ascii="Arial" w:hAnsi="Arial" w:cs="Arial"/>
        </w:rPr>
        <w:t>Despite the centrality of caring in nursing scholarship, there remains a notable gap in research exploring how beginning nursing students those with limited clinical exposure make meaning of caring at the earliest stages of their formation. Existing studies frequently focus on senior students or practicing nurses, leaving limited qualitative evidence describing the meaning-making processes of first-year learners. These students often grapple with the emotional labor of caring, the expectations of the nursing role, and the challenge of translating theoretical definitions into lived experiences. Exploring their perspectives offers insight into how caring is initially understood, what values and beliefs shape these understandings, and how educational structures can better nurture caring attitudes from the very start of training.</w:t>
      </w:r>
    </w:p>
    <w:p w14:paraId="7DA68B48" w14:textId="77777777" w:rsidR="00D71C12" w:rsidRDefault="000D05F8">
      <w:pPr>
        <w:ind w:firstLine="720"/>
        <w:jc w:val="both"/>
        <w:rPr>
          <w:rFonts w:ascii="Arial" w:hAnsi="Arial" w:cs="Arial"/>
        </w:rPr>
      </w:pPr>
      <w:r>
        <w:rPr>
          <w:rFonts w:ascii="Arial" w:hAnsi="Arial" w:cs="Arial"/>
        </w:rPr>
        <w:t>This study seeks to address this gap by exploring the subjective meanings of caring as described by first-year nursing students. It aims to capture how students define caring, what experiences shape their interpretations, and how they navigate the complexities of learning to care within academic and clinical environments. The findings from this study may inform pedagogical strategies, support the emotional well-being of novice learners, and strengthen the integration of caring within foundational nursing education.</w:t>
      </w:r>
      <w:commentRangeEnd w:id="0"/>
      <w:r w:rsidR="001C73B6">
        <w:rPr>
          <w:rStyle w:val="CommentReference"/>
          <w:rFonts w:ascii="Times New Roman" w:hAnsi="Times New Roman"/>
          <w:lang w:val="nb-NO" w:eastAsia="nb-NO"/>
        </w:rPr>
        <w:commentReference w:id="0"/>
      </w:r>
    </w:p>
    <w:p w14:paraId="793A3FEA" w14:textId="77777777" w:rsidR="00D71C12" w:rsidRDefault="00D71C12">
      <w:pPr>
        <w:pStyle w:val="AbstHead"/>
        <w:spacing w:after="0"/>
        <w:jc w:val="both"/>
        <w:rPr>
          <w:rFonts w:ascii="Arial" w:hAnsi="Arial" w:cs="Arial"/>
          <w:sz w:val="20"/>
        </w:rPr>
      </w:pPr>
    </w:p>
    <w:p w14:paraId="4AB2F077" w14:textId="77777777" w:rsidR="00D71C12" w:rsidRDefault="000D05F8">
      <w:pPr>
        <w:pStyle w:val="AbstHead"/>
        <w:spacing w:after="0"/>
        <w:jc w:val="both"/>
        <w:rPr>
          <w:rFonts w:ascii="Arial" w:hAnsi="Arial" w:cs="Arial"/>
          <w:sz w:val="20"/>
        </w:rPr>
      </w:pPr>
      <w:r>
        <w:rPr>
          <w:rFonts w:ascii="Arial" w:hAnsi="Arial" w:cs="Arial"/>
          <w:sz w:val="20"/>
        </w:rPr>
        <w:t>2. material and methods</w:t>
      </w:r>
    </w:p>
    <w:p w14:paraId="4DBFD3D4" w14:textId="77777777" w:rsidR="00D71C12" w:rsidRDefault="00D71C12">
      <w:pPr>
        <w:pStyle w:val="AbstHead"/>
        <w:spacing w:after="0"/>
        <w:jc w:val="both"/>
        <w:rPr>
          <w:rFonts w:ascii="Arial" w:hAnsi="Arial" w:cs="Arial"/>
          <w:sz w:val="20"/>
        </w:rPr>
      </w:pPr>
    </w:p>
    <w:p w14:paraId="532E5A9C"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1. Study Design</w:t>
      </w:r>
    </w:p>
    <w:p w14:paraId="3456F069" w14:textId="77777777" w:rsidR="00D71C12" w:rsidRDefault="000D05F8">
      <w:pPr>
        <w:pStyle w:val="NormalWeb"/>
        <w:jc w:val="both"/>
        <w:rPr>
          <w:rFonts w:ascii="Arial" w:hAnsi="Arial" w:cs="Arial"/>
          <w:sz w:val="20"/>
          <w:szCs w:val="20"/>
          <w:lang w:val="en-PH"/>
        </w:rPr>
      </w:pPr>
      <w:r>
        <w:rPr>
          <w:rFonts w:ascii="Arial" w:hAnsi="Arial" w:cs="Arial"/>
          <w:sz w:val="20"/>
          <w:szCs w:val="20"/>
        </w:rPr>
        <w:t xml:space="preserve">This study employed a </w:t>
      </w:r>
      <w:r>
        <w:rPr>
          <w:rStyle w:val="Strong"/>
          <w:rFonts w:ascii="Arial" w:hAnsi="Arial" w:cs="Arial"/>
          <w:b w:val="0"/>
          <w:bCs w:val="0"/>
          <w:sz w:val="20"/>
          <w:szCs w:val="20"/>
        </w:rPr>
        <w:t>descriptive qualitative research design</w:t>
      </w:r>
      <w:r>
        <w:rPr>
          <w:rFonts w:ascii="Arial" w:hAnsi="Arial" w:cs="Arial"/>
          <w:sz w:val="20"/>
          <w:szCs w:val="20"/>
        </w:rPr>
        <w:t>, which is appropriate for exploring how first-year nursing students understand and experience caring. This design allows participants to articulate meanings, interpret experiences, and provide rich narrative descriptions in their own words. Through semi-structured interviews, the study aimed to capture individual and shared meanings of caring as they emerge in early nursing education contexts</w:t>
      </w:r>
      <w:r>
        <w:rPr>
          <w:rFonts w:ascii="Arial" w:hAnsi="Arial" w:cs="Arial"/>
          <w:sz w:val="20"/>
          <w:szCs w:val="20"/>
          <w:lang w:val="en-PH"/>
        </w:rPr>
        <w:t>.</w:t>
      </w:r>
    </w:p>
    <w:p w14:paraId="0651A88A"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2. Study Area and Population</w:t>
      </w:r>
    </w:p>
    <w:p w14:paraId="05BB790C" w14:textId="77777777" w:rsidR="00D71C12" w:rsidRDefault="000D05F8">
      <w:pPr>
        <w:pStyle w:val="NormalWeb"/>
        <w:jc w:val="both"/>
        <w:rPr>
          <w:rFonts w:ascii="Arial" w:hAnsi="Arial" w:cs="Arial"/>
          <w:sz w:val="20"/>
          <w:szCs w:val="20"/>
        </w:rPr>
      </w:pPr>
      <w:r>
        <w:rPr>
          <w:rFonts w:ascii="Arial" w:hAnsi="Arial" w:cs="Arial"/>
          <w:sz w:val="20"/>
          <w:szCs w:val="20"/>
        </w:rPr>
        <w:t xml:space="preserve">The study was conducted within a private higher education institution offering a Bachelor of Science in Nursing program. The target population consisted of </w:t>
      </w:r>
      <w:r>
        <w:rPr>
          <w:rStyle w:val="Strong"/>
          <w:rFonts w:ascii="Arial" w:hAnsi="Arial" w:cs="Arial"/>
          <w:b w:val="0"/>
          <w:bCs w:val="0"/>
          <w:sz w:val="20"/>
          <w:szCs w:val="20"/>
        </w:rPr>
        <w:t>first-year nursing students enrolled during the academic year</w:t>
      </w:r>
      <w:r>
        <w:rPr>
          <w:rFonts w:ascii="Arial" w:hAnsi="Arial" w:cs="Arial"/>
          <w:sz w:val="20"/>
          <w:szCs w:val="20"/>
        </w:rPr>
        <w:t xml:space="preserve">, who were undergoing foundational coursework, </w:t>
      </w:r>
      <w:r>
        <w:rPr>
          <w:rFonts w:ascii="Arial" w:hAnsi="Arial" w:cs="Arial"/>
          <w:sz w:val="20"/>
          <w:szCs w:val="20"/>
        </w:rPr>
        <w:lastRenderedPageBreak/>
        <w:t xml:space="preserve">simulation laboratories, and limited structured clinical exposure as part of their initial nursing formation </w:t>
      </w:r>
    </w:p>
    <w:p w14:paraId="041F7CB5"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3. Sampling Procedure</w:t>
      </w:r>
    </w:p>
    <w:p w14:paraId="46FFD9D6" w14:textId="77777777" w:rsidR="00D71C12" w:rsidRDefault="000D05F8">
      <w:pPr>
        <w:pStyle w:val="NormalWeb"/>
        <w:jc w:val="both"/>
        <w:rPr>
          <w:rFonts w:ascii="Arial" w:hAnsi="Arial" w:cs="Arial"/>
          <w:sz w:val="20"/>
          <w:szCs w:val="20"/>
        </w:rPr>
      </w:pPr>
      <w:r>
        <w:rPr>
          <w:rStyle w:val="Strong"/>
          <w:rFonts w:ascii="Arial" w:hAnsi="Arial" w:cs="Arial"/>
          <w:b w:val="0"/>
          <w:bCs w:val="0"/>
          <w:sz w:val="20"/>
          <w:szCs w:val="20"/>
        </w:rPr>
        <w:t>Purposive sampling</w:t>
      </w:r>
      <w:r>
        <w:rPr>
          <w:rFonts w:ascii="Arial" w:hAnsi="Arial" w:cs="Arial"/>
          <w:sz w:val="20"/>
          <w:szCs w:val="20"/>
        </w:rPr>
        <w:t xml:space="preserve"> was used to identify participants who could meaningfully provide insights into the concept of caring based on their lived experience as novice nursing students. Sampling continued until </w:t>
      </w:r>
      <w:r>
        <w:rPr>
          <w:rStyle w:val="Strong"/>
          <w:rFonts w:ascii="Arial" w:hAnsi="Arial" w:cs="Arial"/>
          <w:b w:val="0"/>
          <w:bCs w:val="0"/>
          <w:sz w:val="20"/>
          <w:szCs w:val="20"/>
        </w:rPr>
        <w:t>data saturation</w:t>
      </w:r>
      <w:r>
        <w:rPr>
          <w:rFonts w:ascii="Arial" w:hAnsi="Arial" w:cs="Arial"/>
          <w:sz w:val="20"/>
          <w:szCs w:val="20"/>
        </w:rPr>
        <w:t xml:space="preserve"> was achieved, characterized by recurring patterns and no emergence of new thematic categories during coding and analysis.</w:t>
      </w:r>
    </w:p>
    <w:p w14:paraId="6054B56A"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4. Inclusion and Exclusion Criteria</w:t>
      </w:r>
    </w:p>
    <w:p w14:paraId="2CC09912" w14:textId="77777777" w:rsidR="00D71C12" w:rsidRDefault="000D05F8">
      <w:pPr>
        <w:pStyle w:val="NormalWeb"/>
        <w:jc w:val="both"/>
        <w:rPr>
          <w:rFonts w:ascii="Arial" w:hAnsi="Arial" w:cs="Arial"/>
          <w:sz w:val="20"/>
          <w:szCs w:val="20"/>
          <w:lang w:val="en-PH"/>
        </w:rPr>
      </w:pPr>
      <w:r>
        <w:rPr>
          <w:rStyle w:val="Strong"/>
          <w:rFonts w:ascii="Arial" w:hAnsi="Arial" w:cs="Arial"/>
          <w:sz w:val="20"/>
          <w:szCs w:val="20"/>
        </w:rPr>
        <w:t>Inclusion Criteria</w:t>
      </w:r>
      <w:r>
        <w:rPr>
          <w:rFonts w:ascii="Arial" w:hAnsi="Arial" w:cs="Arial"/>
          <w:sz w:val="20"/>
          <w:szCs w:val="20"/>
        </w:rPr>
        <w:br/>
        <w:t>Participants were eligible if they were</w:t>
      </w:r>
      <w:r>
        <w:rPr>
          <w:rFonts w:ascii="Arial" w:hAnsi="Arial" w:cs="Arial"/>
          <w:sz w:val="20"/>
          <w:szCs w:val="20"/>
          <w:lang w:val="en-PH"/>
        </w:rPr>
        <w:t xml:space="preserve"> </w:t>
      </w:r>
      <w:r>
        <w:rPr>
          <w:rFonts w:ascii="Arial" w:hAnsi="Arial" w:cs="Arial"/>
          <w:sz w:val="20"/>
          <w:szCs w:val="20"/>
        </w:rPr>
        <w:t>officially enrolled as first-year nursing students,</w:t>
      </w:r>
      <w:r>
        <w:rPr>
          <w:rFonts w:ascii="Arial" w:hAnsi="Arial" w:cs="Arial"/>
          <w:sz w:val="20"/>
          <w:szCs w:val="20"/>
          <w:lang w:val="en-PH"/>
        </w:rPr>
        <w:t xml:space="preserve"> included in the dean’s lister, and </w:t>
      </w:r>
      <w:r>
        <w:rPr>
          <w:rFonts w:ascii="Arial" w:hAnsi="Arial" w:cs="Arial"/>
          <w:sz w:val="20"/>
          <w:szCs w:val="20"/>
        </w:rPr>
        <w:t>willing to participate voluntarily</w:t>
      </w:r>
      <w:r>
        <w:rPr>
          <w:rFonts w:ascii="Arial" w:hAnsi="Arial" w:cs="Arial"/>
          <w:sz w:val="20"/>
          <w:szCs w:val="20"/>
          <w:lang w:val="en-PH"/>
        </w:rPr>
        <w:t>.</w:t>
      </w:r>
    </w:p>
    <w:p w14:paraId="73BD2127" w14:textId="77777777" w:rsidR="00D71C12" w:rsidRDefault="000D05F8">
      <w:pPr>
        <w:pStyle w:val="NormalWeb"/>
        <w:jc w:val="both"/>
        <w:rPr>
          <w:rFonts w:ascii="Arial" w:hAnsi="Arial" w:cs="Arial"/>
          <w:sz w:val="20"/>
          <w:szCs w:val="20"/>
        </w:rPr>
      </w:pPr>
      <w:r>
        <w:rPr>
          <w:rStyle w:val="Strong"/>
          <w:rFonts w:ascii="Arial" w:hAnsi="Arial" w:cs="Arial"/>
          <w:sz w:val="20"/>
          <w:szCs w:val="20"/>
        </w:rPr>
        <w:t>Exclusion Criteria</w:t>
      </w:r>
      <w:r>
        <w:rPr>
          <w:rFonts w:ascii="Arial" w:hAnsi="Arial" w:cs="Arial"/>
          <w:sz w:val="20"/>
          <w:szCs w:val="20"/>
        </w:rPr>
        <w:br/>
        <w:t>Students were excluded if they</w:t>
      </w:r>
      <w:r>
        <w:rPr>
          <w:rFonts w:ascii="Arial" w:hAnsi="Arial" w:cs="Arial"/>
          <w:sz w:val="20"/>
          <w:szCs w:val="20"/>
          <w:lang w:val="en-PH"/>
        </w:rPr>
        <w:t xml:space="preserve"> </w:t>
      </w:r>
      <w:r>
        <w:rPr>
          <w:rFonts w:ascii="Arial" w:hAnsi="Arial" w:cs="Arial"/>
          <w:sz w:val="20"/>
          <w:szCs w:val="20"/>
        </w:rPr>
        <w:t>were not enrolled during the period of data gathering,</w:t>
      </w:r>
      <w:r>
        <w:rPr>
          <w:rFonts w:ascii="Arial" w:hAnsi="Arial" w:cs="Arial"/>
          <w:sz w:val="20"/>
          <w:szCs w:val="20"/>
          <w:lang w:val="en-PH"/>
        </w:rPr>
        <w:t xml:space="preserve"> </w:t>
      </w:r>
      <w:r>
        <w:rPr>
          <w:rFonts w:ascii="Arial" w:hAnsi="Arial" w:cs="Arial"/>
          <w:sz w:val="20"/>
          <w:szCs w:val="20"/>
        </w:rPr>
        <w:t>declined to be interviewed or withdrew consent, or</w:t>
      </w:r>
      <w:r>
        <w:rPr>
          <w:rFonts w:ascii="Arial" w:hAnsi="Arial" w:cs="Arial"/>
          <w:sz w:val="20"/>
          <w:szCs w:val="20"/>
          <w:lang w:val="en-PH"/>
        </w:rPr>
        <w:t xml:space="preserve"> </w:t>
      </w:r>
      <w:r>
        <w:rPr>
          <w:rFonts w:ascii="Arial" w:hAnsi="Arial" w:cs="Arial"/>
          <w:sz w:val="20"/>
          <w:szCs w:val="20"/>
        </w:rPr>
        <w:t>were transferring, on leave, or unable to complete interviews for personal or academic reasons.</w:t>
      </w:r>
    </w:p>
    <w:p w14:paraId="39ADB84C"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5. Research Instrument</w:t>
      </w:r>
    </w:p>
    <w:p w14:paraId="58842170" w14:textId="77777777" w:rsidR="00D71C12" w:rsidRDefault="000D05F8">
      <w:pPr>
        <w:pStyle w:val="NormalWeb"/>
        <w:jc w:val="both"/>
        <w:rPr>
          <w:rFonts w:ascii="Arial" w:hAnsi="Arial" w:cs="Arial"/>
          <w:sz w:val="20"/>
          <w:szCs w:val="20"/>
        </w:rPr>
      </w:pPr>
      <w:r>
        <w:rPr>
          <w:rFonts w:ascii="Arial" w:hAnsi="Arial" w:cs="Arial"/>
          <w:sz w:val="20"/>
          <w:szCs w:val="20"/>
        </w:rPr>
        <w:t xml:space="preserve">The study employed a </w:t>
      </w:r>
      <w:r>
        <w:rPr>
          <w:rStyle w:val="Strong"/>
          <w:rFonts w:ascii="Arial" w:hAnsi="Arial" w:cs="Arial"/>
          <w:b w:val="0"/>
          <w:bCs w:val="0"/>
          <w:sz w:val="20"/>
          <w:szCs w:val="20"/>
        </w:rPr>
        <w:t>semi-structured interview guide</w:t>
      </w:r>
      <w:r>
        <w:rPr>
          <w:rFonts w:ascii="Arial" w:hAnsi="Arial" w:cs="Arial"/>
          <w:sz w:val="20"/>
          <w:szCs w:val="20"/>
        </w:rPr>
        <w:t>, developed to explore meanings, influences, challenges, and identity-related elements of caring. Interview probes supported deeper reflection and clarifications. Questions and probes were aligned with the study’s purpose and received expert validation prior to use</w:t>
      </w:r>
      <w:r>
        <w:rPr>
          <w:rFonts w:ascii="Arial" w:hAnsi="Arial" w:cs="Arial"/>
          <w:sz w:val="20"/>
          <w:szCs w:val="20"/>
          <w:lang w:bidi="ar"/>
        </w:rPr>
        <w:t>.</w:t>
      </w:r>
    </w:p>
    <w:p w14:paraId="600399C1" w14:textId="77777777" w:rsidR="00D71C12" w:rsidRDefault="000D05F8">
      <w:pPr>
        <w:pStyle w:val="Heading2"/>
        <w:numPr>
          <w:ilvl w:val="0"/>
          <w:numId w:val="3"/>
        </w:numPr>
        <w:rPr>
          <w:rStyle w:val="Strong"/>
          <w:rFonts w:ascii="Arial" w:hAnsi="Arial" w:cs="Arial" w:hint="default"/>
          <w:b/>
          <w:bCs/>
          <w:sz w:val="20"/>
          <w:szCs w:val="20"/>
        </w:rPr>
      </w:pPr>
      <w:r>
        <w:rPr>
          <w:rStyle w:val="Strong"/>
          <w:rFonts w:ascii="Arial" w:hAnsi="Arial" w:cs="Arial" w:hint="default"/>
          <w:b/>
          <w:bCs/>
          <w:sz w:val="20"/>
          <w:szCs w:val="20"/>
        </w:rPr>
        <w:t>Data Collection Procedure</w:t>
      </w:r>
    </w:p>
    <w:p w14:paraId="052E79AD" w14:textId="77777777" w:rsidR="00D71C12" w:rsidRDefault="000D05F8">
      <w:pPr>
        <w:pStyle w:val="Heading2"/>
        <w:jc w:val="both"/>
        <w:rPr>
          <w:rFonts w:ascii="Arial" w:hAnsi="Arial" w:cs="Arial" w:hint="default"/>
          <w:b w:val="0"/>
          <w:bCs w:val="0"/>
          <w:sz w:val="20"/>
          <w:szCs w:val="20"/>
        </w:rPr>
      </w:pPr>
      <w:r>
        <w:rPr>
          <w:rFonts w:ascii="Arial" w:hAnsi="Arial" w:cs="Arial" w:hint="default"/>
          <w:b w:val="0"/>
          <w:bCs w:val="0"/>
          <w:sz w:val="20"/>
          <w:szCs w:val="20"/>
        </w:rPr>
        <w:t>Data collection began by recruiting eligible first-year nursing students and orienting them to the study. During the orientation, participants were informed about the purpose of the research, the procedures involved, and their rights, including any potential risks and benefits associated with participation. Those who agreed to join the study then provided written informed consent using an approved consent form, which offered options for maintaining anonymity and for allowing or declining audio recording. After consent was secured, one-on-one semi-structured interviews were conducted in a private and quiet setting, each lasting approximately 45 to 60 minutes. Interviews were audio-recorded for participants who granted permission, and field notes were taken to supplement recorded data. Following the interviews, all recordings were transcribed verbatim to ensure accuracy and fidelity to participants’ narratives. Data collection concluded once thematic saturation was reached, meaning no new themes were emerging from subsequent interviews.</w:t>
      </w:r>
    </w:p>
    <w:p w14:paraId="62FE9F49" w14:textId="77777777" w:rsidR="00D71C12" w:rsidRDefault="000D05F8">
      <w:pPr>
        <w:pStyle w:val="Heading2"/>
        <w:rPr>
          <w:rFonts w:ascii="Arial" w:hAnsi="Arial" w:cs="Arial" w:hint="default"/>
          <w:sz w:val="20"/>
          <w:szCs w:val="20"/>
        </w:rPr>
      </w:pPr>
      <w:commentRangeStart w:id="1"/>
      <w:r>
        <w:rPr>
          <w:rStyle w:val="Strong"/>
          <w:rFonts w:ascii="Arial" w:hAnsi="Arial" w:cs="Arial" w:hint="default"/>
          <w:b/>
          <w:bCs/>
          <w:sz w:val="20"/>
          <w:szCs w:val="20"/>
        </w:rPr>
        <w:t>7. Data Management and Analysis</w:t>
      </w:r>
    </w:p>
    <w:p w14:paraId="5D31B19F" w14:textId="77777777" w:rsidR="00D71C12" w:rsidRDefault="000D05F8">
      <w:pPr>
        <w:jc w:val="both"/>
        <w:rPr>
          <w:rFonts w:ascii="Arial" w:hAnsi="Arial" w:cs="Arial"/>
        </w:rPr>
      </w:pPr>
      <w:r>
        <w:rPr>
          <w:rFonts w:ascii="Arial" w:eastAsia="SimSun" w:hAnsi="Arial" w:cs="Arial"/>
        </w:rPr>
        <w:t xml:space="preserve">For data management and analysis, the study employed Braun and Clarke’s (2006) six-phase thematic analysis, which supported inductive generation of themes grounded in participants’ accounts. The analytical process began with familiarization with the data, followed by generating initial codes. These codes were then organized to search for meaningful thematic patterns, which were subsequently reviewed, refined, defined, and named. The final step involved producing the report, integrating both explicit descriptions </w:t>
      </w:r>
      <w:r>
        <w:rPr>
          <w:rFonts w:ascii="Arial" w:eastAsia="SimSun" w:hAnsi="Arial" w:cs="Arial"/>
        </w:rPr>
        <w:lastRenderedPageBreak/>
        <w:t>and underlying latent meanings. Throughout the process, transcripts, recordings, consent forms, and field notes were securely stored, and all identifying information was removed or replaced with pseudonyms for participants who requested anonymity.</w:t>
      </w:r>
      <w:commentRangeEnd w:id="1"/>
      <w:r w:rsidR="001C73B6">
        <w:rPr>
          <w:rStyle w:val="CommentReference"/>
          <w:rFonts w:ascii="Times New Roman" w:hAnsi="Times New Roman"/>
          <w:lang w:val="nb-NO" w:eastAsia="nb-NO"/>
        </w:rPr>
        <w:commentReference w:id="1"/>
      </w:r>
    </w:p>
    <w:p w14:paraId="56781580" w14:textId="77777777" w:rsidR="00D71C12" w:rsidRDefault="000D05F8">
      <w:pPr>
        <w:pStyle w:val="Heading2"/>
        <w:numPr>
          <w:ilvl w:val="0"/>
          <w:numId w:val="4"/>
        </w:numPr>
        <w:jc w:val="both"/>
        <w:rPr>
          <w:rStyle w:val="Strong"/>
          <w:rFonts w:ascii="Arial" w:hAnsi="Arial" w:cs="Arial" w:hint="default"/>
          <w:b/>
          <w:bCs/>
          <w:sz w:val="20"/>
          <w:szCs w:val="20"/>
        </w:rPr>
      </w:pPr>
      <w:r>
        <w:rPr>
          <w:rStyle w:val="Strong"/>
          <w:rFonts w:ascii="Arial" w:hAnsi="Arial" w:cs="Arial" w:hint="default"/>
          <w:b/>
          <w:bCs/>
          <w:sz w:val="20"/>
          <w:szCs w:val="20"/>
        </w:rPr>
        <w:t>Ethical Considerations</w:t>
      </w:r>
    </w:p>
    <w:p w14:paraId="57DDA930" w14:textId="77777777" w:rsidR="00D71C12" w:rsidRDefault="000D05F8">
      <w:pPr>
        <w:pStyle w:val="NormalWeb"/>
        <w:jc w:val="both"/>
        <w:rPr>
          <w:rFonts w:ascii="Arial" w:hAnsi="Arial" w:cs="Arial"/>
          <w:sz w:val="20"/>
          <w:szCs w:val="20"/>
        </w:rPr>
      </w:pPr>
      <w:commentRangeStart w:id="2"/>
      <w:r>
        <w:rPr>
          <w:rFonts w:ascii="Arial" w:hAnsi="Arial" w:cs="Arial"/>
          <w:sz w:val="20"/>
          <w:szCs w:val="20"/>
        </w:rPr>
        <w:t>Ethical principles of qualitative research guided the conduct of the study. Participation was voluntary, and students were informed that they could withdraw at any time without academic consequence. Written informed consent was obtained to ensure that participants understood the purpose of the study, its procedures, and any associated risks and benefits. Confidentiality and privacy were protected by allowing participants to choose pseudonyms or anonymity in all transcripts and reports, and by securely storing recordings and documentation. Potential emotional discomfort during reflection was anticipated, and participants were permitted to pause interviews, skip questions, or discontinue participation if needed. In addition, participants were granted the right to review, correct, or request the removal of any portion of their interview data prior to finalization. Overall, the study adhered to established ethical research practices and complied with institutional research guidelines.</w:t>
      </w:r>
      <w:commentRangeEnd w:id="2"/>
      <w:r w:rsidR="001C73B6">
        <w:rPr>
          <w:rStyle w:val="CommentReference"/>
          <w:rFonts w:eastAsia="Times New Roman"/>
          <w:lang w:val="nb-NO" w:eastAsia="nb-NO"/>
        </w:rPr>
        <w:commentReference w:id="2"/>
      </w:r>
    </w:p>
    <w:p w14:paraId="6DB08089" w14:textId="77777777" w:rsidR="00D71C12" w:rsidRDefault="000D05F8">
      <w:pPr>
        <w:pStyle w:val="Heading2"/>
        <w:rPr>
          <w:rFonts w:ascii="Arial" w:hAnsi="Arial" w:cs="Arial" w:hint="default"/>
          <w:sz w:val="20"/>
          <w:szCs w:val="20"/>
        </w:rPr>
      </w:pPr>
      <w:r>
        <w:rPr>
          <w:rStyle w:val="Strong"/>
          <w:rFonts w:ascii="Arial" w:hAnsi="Arial" w:cs="Arial" w:hint="default"/>
          <w:b/>
          <w:bCs/>
          <w:sz w:val="20"/>
          <w:szCs w:val="20"/>
        </w:rPr>
        <w:t>9. Trustworthiness of Data</w:t>
      </w:r>
    </w:p>
    <w:p w14:paraId="273FE967" w14:textId="77777777" w:rsidR="00D71C12" w:rsidRDefault="000D05F8">
      <w:pPr>
        <w:pStyle w:val="NormalWeb"/>
        <w:jc w:val="both"/>
        <w:rPr>
          <w:rFonts w:ascii="Arial" w:hAnsi="Arial" w:cs="Arial"/>
          <w:sz w:val="20"/>
          <w:szCs w:val="20"/>
        </w:rPr>
      </w:pPr>
      <w:r>
        <w:rPr>
          <w:rFonts w:ascii="Arial" w:hAnsi="Arial" w:cs="Arial"/>
          <w:sz w:val="20"/>
          <w:szCs w:val="20"/>
        </w:rPr>
        <w:t xml:space="preserve">To enhance rigor, several strategies were employed to establish trustworthiness across four recognized criteria. </w:t>
      </w:r>
      <w:r>
        <w:rPr>
          <w:rStyle w:val="Strong"/>
          <w:rFonts w:ascii="Arial" w:hAnsi="Arial" w:cs="Arial"/>
          <w:b w:val="0"/>
          <w:bCs w:val="0"/>
          <w:sz w:val="20"/>
          <w:szCs w:val="20"/>
        </w:rPr>
        <w:t>Credibility</w:t>
      </w:r>
      <w:r>
        <w:rPr>
          <w:rFonts w:ascii="Arial" w:hAnsi="Arial" w:cs="Arial"/>
          <w:sz w:val="20"/>
          <w:szCs w:val="20"/>
        </w:rPr>
        <w:t xml:space="preserve"> was supported through prolonged engagement with the data, triangulation of interview transcripts and field notes, and member checking wherein participants were given the opportunity to review and verify their transcripts. </w:t>
      </w:r>
      <w:r>
        <w:rPr>
          <w:rStyle w:val="Strong"/>
          <w:rFonts w:ascii="Arial" w:hAnsi="Arial" w:cs="Arial"/>
          <w:b w:val="0"/>
          <w:bCs w:val="0"/>
          <w:sz w:val="20"/>
          <w:szCs w:val="20"/>
        </w:rPr>
        <w:t>Transferability</w:t>
      </w:r>
      <w:r>
        <w:rPr>
          <w:rFonts w:ascii="Arial" w:hAnsi="Arial" w:cs="Arial"/>
          <w:sz w:val="20"/>
          <w:szCs w:val="20"/>
        </w:rPr>
        <w:t xml:space="preserve"> was ensured through the use of thick and detailed descriptions of the research context, participant characteristics, and thematic findings, allowing readers to determine the applicability of the results to similar educational settings. </w:t>
      </w:r>
      <w:r>
        <w:rPr>
          <w:rStyle w:val="Strong"/>
          <w:rFonts w:ascii="Arial" w:hAnsi="Arial" w:cs="Arial"/>
          <w:b w:val="0"/>
          <w:bCs w:val="0"/>
          <w:sz w:val="20"/>
          <w:szCs w:val="20"/>
        </w:rPr>
        <w:t>Dependability</w:t>
      </w:r>
      <w:r>
        <w:rPr>
          <w:rFonts w:ascii="Arial" w:hAnsi="Arial" w:cs="Arial"/>
          <w:sz w:val="20"/>
          <w:szCs w:val="20"/>
        </w:rPr>
        <w:t xml:space="preserve"> was maintained by creating an audit trail that included interview guides, raw transcripts, coding outputs, and analytic documentation, permitting external evaluation of the research process. Finally, </w:t>
      </w:r>
      <w:r>
        <w:rPr>
          <w:rStyle w:val="Strong"/>
          <w:rFonts w:ascii="Arial" w:hAnsi="Arial" w:cs="Arial"/>
          <w:b w:val="0"/>
          <w:bCs w:val="0"/>
          <w:sz w:val="20"/>
          <w:szCs w:val="20"/>
        </w:rPr>
        <w:t>confirmability</w:t>
      </w:r>
      <w:r>
        <w:rPr>
          <w:rFonts w:ascii="Arial" w:hAnsi="Arial" w:cs="Arial"/>
          <w:sz w:val="20"/>
          <w:szCs w:val="20"/>
        </w:rPr>
        <w:t xml:space="preserve"> was achieved through reflexive journaling to acknowledge and minimize researcher bias, as well as by preserving verbatim participant quotations to support analytic transparency.</w:t>
      </w:r>
    </w:p>
    <w:p w14:paraId="59E9E1F8" w14:textId="77777777" w:rsidR="00D71C12" w:rsidRDefault="000D05F8">
      <w:pPr>
        <w:pStyle w:val="NormalWeb"/>
        <w:rPr>
          <w:rFonts w:ascii="Arial" w:hAnsi="Arial" w:cs="Arial"/>
          <w:sz w:val="20"/>
          <w:szCs w:val="20"/>
        </w:rPr>
      </w:pPr>
      <w:r>
        <w:rPr>
          <w:rFonts w:ascii="Arial" w:hAnsi="Arial" w:cs="Arial"/>
          <w:sz w:val="20"/>
          <w:szCs w:val="20"/>
        </w:rPr>
        <w:t>These measures align with qualitative research standards for establishing methodological rigor in thematic studies.</w:t>
      </w:r>
    </w:p>
    <w:p w14:paraId="7C8EC0DB" w14:textId="77777777" w:rsidR="00D71C12" w:rsidRDefault="000D05F8">
      <w:pPr>
        <w:pStyle w:val="Head1"/>
        <w:spacing w:after="0"/>
        <w:jc w:val="both"/>
        <w:rPr>
          <w:rFonts w:ascii="Arial" w:hAnsi="Arial" w:cs="Arial"/>
          <w:sz w:val="20"/>
        </w:rPr>
      </w:pPr>
      <w:r>
        <w:rPr>
          <w:rFonts w:ascii="Arial" w:hAnsi="Arial" w:cs="Arial"/>
          <w:sz w:val="20"/>
        </w:rPr>
        <w:t>3. results and discussion</w:t>
      </w:r>
    </w:p>
    <w:p w14:paraId="0B8982A1" w14:textId="77777777" w:rsidR="00D71C12" w:rsidRDefault="00D71C12">
      <w:pPr>
        <w:pStyle w:val="Head1"/>
        <w:spacing w:after="0"/>
        <w:jc w:val="both"/>
        <w:rPr>
          <w:rFonts w:ascii="Arial" w:hAnsi="Arial" w:cs="Arial"/>
          <w:sz w:val="20"/>
        </w:rPr>
      </w:pPr>
    </w:p>
    <w:p w14:paraId="356511B6" w14:textId="77777777" w:rsidR="00D71C12" w:rsidRDefault="000D05F8">
      <w:pPr>
        <w:spacing w:after="160" w:line="256" w:lineRule="auto"/>
        <w:jc w:val="both"/>
        <w:rPr>
          <w:rFonts w:ascii="Arial" w:eastAsia="Aptos" w:hAnsi="Arial" w:cs="Arial"/>
          <w:kern w:val="2"/>
          <w:lang w:eastAsia="zh-CN" w:bidi="ar"/>
          <w14:ligatures w14:val="standardContextual"/>
        </w:rPr>
      </w:pPr>
      <w:commentRangeStart w:id="3"/>
      <w:r>
        <w:rPr>
          <w:rFonts w:ascii="Arial" w:eastAsia="Aptos" w:hAnsi="Arial" w:cs="Arial"/>
          <w:kern w:val="2"/>
          <w:lang w:eastAsia="zh-CN" w:bidi="ar"/>
          <w14:ligatures w14:val="standardContextual"/>
        </w:rPr>
        <w:t>Thematic analysis generated five major themes (1) Authentic Caring Connection, (2) Caring Formalized by Nursing Education, (3) Limited Ability to Care, (4) Caring Learned by Watching Others, and (5) Caring as Professional Identity. Subthemes reflected affective, structural, pedagogical, observational, and identity-oriented dimensions of caring. These themes collectively suggest that caring is conceptualized by students as relational, educationally mediated, emotionally challenging, socially transmitted, and professionally defining.</w:t>
      </w:r>
      <w:commentRangeEnd w:id="3"/>
      <w:r w:rsidR="001C73B6">
        <w:rPr>
          <w:rStyle w:val="CommentReference"/>
          <w:rFonts w:ascii="Times New Roman" w:hAnsi="Times New Roman"/>
          <w:lang w:val="nb-NO" w:eastAsia="nb-NO"/>
        </w:rPr>
        <w:commentReference w:id="3"/>
      </w:r>
    </w:p>
    <w:p w14:paraId="016547F1" w14:textId="77777777" w:rsidR="00D71C12" w:rsidRDefault="000D05F8">
      <w:pPr>
        <w:spacing w:after="160" w:line="256" w:lineRule="auto"/>
        <w:jc w:val="both"/>
        <w:rPr>
          <w:rFonts w:ascii="Arial" w:eastAsia="Aptos" w:hAnsi="Arial" w:cs="Arial"/>
          <w:b/>
          <w:bCs/>
          <w:kern w:val="2"/>
          <w:lang w:val="en-PH" w:eastAsia="zh-CN" w:bidi="ar"/>
          <w14:ligatures w14:val="standardContextual"/>
        </w:rPr>
      </w:pPr>
      <w:r>
        <w:rPr>
          <w:rFonts w:ascii="Arial" w:eastAsia="Aptos" w:hAnsi="Arial" w:cs="Arial"/>
          <w:b/>
          <w:bCs/>
          <w:kern w:val="2"/>
          <w:lang w:val="en-PH" w:eastAsia="zh-CN" w:bidi="ar"/>
          <w14:ligatures w14:val="standardContextual"/>
        </w:rPr>
        <w:t>Figure 1. Conceptual Framework</w:t>
      </w:r>
    </w:p>
    <w:p w14:paraId="25858D58" w14:textId="77777777" w:rsidR="00D71C12" w:rsidRDefault="000D05F8">
      <w:pPr>
        <w:spacing w:after="160" w:line="256" w:lineRule="auto"/>
        <w:jc w:val="center"/>
        <w:rPr>
          <w:rFonts w:ascii="Arial" w:eastAsia="Aptos" w:hAnsi="Arial" w:cs="Arial"/>
          <w:b/>
          <w:bCs/>
          <w:kern w:val="2"/>
          <w:lang w:val="en-PH" w:eastAsia="zh-CN" w:bidi="ar"/>
          <w14:ligatures w14:val="standardContextual"/>
        </w:rPr>
      </w:pPr>
      <w:r>
        <w:rPr>
          <w:rFonts w:ascii="Arial" w:eastAsia="Aptos" w:hAnsi="Arial" w:cs="Arial"/>
          <w:b/>
          <w:bCs/>
          <w:noProof/>
          <w:kern w:val="2"/>
          <w:lang w:val="en-PH" w:eastAsia="zh-CN" w:bidi="ar"/>
          <w14:ligatures w14:val="standardContextual"/>
        </w:rPr>
        <w:lastRenderedPageBreak/>
        <w:drawing>
          <wp:inline distT="0" distB="0" distL="114300" distR="114300" wp14:anchorId="5C19EC3E" wp14:editId="6988FBC9">
            <wp:extent cx="2738755" cy="4108450"/>
            <wp:effectExtent l="0" t="0" r="4445" b="6350"/>
            <wp:docPr id="2" name="Picture 2" descr="ChatGPT Image Jan 29, 2026, 10_30_00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tGPT Image Jan 29, 2026, 10_30_00 AM"/>
                    <pic:cNvPicPr>
                      <a:picLocks noChangeAspect="1"/>
                    </pic:cNvPicPr>
                  </pic:nvPicPr>
                  <pic:blipFill>
                    <a:blip r:embed="rId18"/>
                    <a:stretch>
                      <a:fillRect/>
                    </a:stretch>
                  </pic:blipFill>
                  <pic:spPr>
                    <a:xfrm>
                      <a:off x="0" y="0"/>
                      <a:ext cx="2738755" cy="4108450"/>
                    </a:xfrm>
                    <a:prstGeom prst="rect">
                      <a:avLst/>
                    </a:prstGeom>
                  </pic:spPr>
                </pic:pic>
              </a:graphicData>
            </a:graphic>
          </wp:inline>
        </w:drawing>
      </w:r>
    </w:p>
    <w:p w14:paraId="0F8C2391" w14:textId="77777777" w:rsidR="00D71C12" w:rsidRDefault="000D05F8">
      <w:pPr>
        <w:pStyle w:val="NormalWeb"/>
        <w:jc w:val="both"/>
        <w:rPr>
          <w:rFonts w:ascii="Arial" w:hAnsi="Arial" w:cs="Arial"/>
          <w:sz w:val="20"/>
          <w:szCs w:val="20"/>
        </w:rPr>
      </w:pPr>
      <w:r>
        <w:rPr>
          <w:rFonts w:ascii="Arial" w:hAnsi="Arial" w:cs="Arial"/>
          <w:sz w:val="20"/>
          <w:szCs w:val="20"/>
        </w:rPr>
        <w:t xml:space="preserve">The visual representation portrays the </w:t>
      </w:r>
      <w:r>
        <w:rPr>
          <w:rStyle w:val="Strong"/>
          <w:rFonts w:ascii="Arial" w:hAnsi="Arial" w:cs="Arial"/>
          <w:b w:val="0"/>
          <w:bCs w:val="0"/>
          <w:sz w:val="20"/>
          <w:szCs w:val="20"/>
        </w:rPr>
        <w:t>meaning of caring</w:t>
      </w:r>
      <w:r>
        <w:rPr>
          <w:rFonts w:ascii="Arial" w:hAnsi="Arial" w:cs="Arial"/>
          <w:sz w:val="20"/>
          <w:szCs w:val="20"/>
        </w:rPr>
        <w:t xml:space="preserve"> as a central, evolving construct shaped by multiple, interrelated experiences of first-year nursing students. Placing the meaning of caring at the center emphasizes that students’ understanding of caring is continuously formed through interaction with emotional, educational, social, and experiential influences.</w:t>
      </w:r>
    </w:p>
    <w:p w14:paraId="0E3D324E" w14:textId="77777777" w:rsidR="00D71C12" w:rsidRDefault="000D05F8">
      <w:pPr>
        <w:pStyle w:val="NormalWeb"/>
        <w:jc w:val="both"/>
        <w:rPr>
          <w:rFonts w:ascii="Arial" w:hAnsi="Arial" w:cs="Arial"/>
          <w:sz w:val="20"/>
          <w:szCs w:val="20"/>
        </w:rPr>
      </w:pPr>
      <w:r>
        <w:rPr>
          <w:rFonts w:ascii="Arial" w:hAnsi="Arial" w:cs="Arial"/>
          <w:sz w:val="20"/>
          <w:szCs w:val="20"/>
        </w:rPr>
        <w:t>Authentic Caring Connection highlights caring as fundamentally relational and emotionally grounded, reflecting students’ emphasis on validation, presence, and attention to mental well-being. Caring Formalized by Nursing Education illustrates how personal notions of caring are refined and structured through formal instruction, ethical frameworks, and skills training. Limited Ability to Care represents the emotional and competency-related challenges that can constrain caring enactment during early learning stages. Caring Learned by Watching Others underscores the importance of observational learning, where students adopt caring behaviors through role models and shared experiences. Caring as Professional Identity reflects the integration of caring into students’ developing sense of purpose and identity as future nurses.</w:t>
      </w:r>
    </w:p>
    <w:p w14:paraId="5CBF9424" w14:textId="77777777" w:rsidR="00D71C12" w:rsidRDefault="000D05F8">
      <w:pPr>
        <w:pStyle w:val="NormalWeb"/>
        <w:jc w:val="both"/>
        <w:rPr>
          <w:rFonts w:ascii="Arial" w:hAnsi="Arial" w:cs="Arial"/>
          <w:sz w:val="20"/>
          <w:szCs w:val="20"/>
        </w:rPr>
      </w:pPr>
      <w:r>
        <w:rPr>
          <w:rFonts w:ascii="Arial" w:hAnsi="Arial" w:cs="Arial"/>
          <w:sz w:val="20"/>
          <w:szCs w:val="20"/>
        </w:rPr>
        <w:t>The bidirectional connections suggest that these themes do not operate independently but mutually influence one another, reinforcing caring as a dynamic and ongoing meaning-making process that evolves throughout early nursing education.</w:t>
      </w:r>
    </w:p>
    <w:p w14:paraId="3CA31B4F"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 xml:space="preserve">The findings contribute to nursing caring scholarship, which positions caring as the philosophical core of nursing practice (Watson, 2018) and highlights nursing education as a </w:t>
      </w:r>
      <w:r>
        <w:rPr>
          <w:rFonts w:ascii="Arial" w:eastAsia="Aptos" w:hAnsi="Arial" w:cs="Arial"/>
          <w:kern w:val="2"/>
          <w:lang w:eastAsia="zh-CN" w:bidi="ar"/>
          <w14:ligatures w14:val="standardContextual"/>
        </w:rPr>
        <w:lastRenderedPageBreak/>
        <w:t xml:space="preserve">primary site of caring socialization (Papastavrou et al., 2021). Research has shown that nursing students often conceptualize caring relationally (Park &amp; Kim, 2020), encounter emotional and skill-based barriers to enacting caring in early clinical situations (Browning &amp; Cruz, 2018; </w:t>
      </w:r>
      <w:proofErr w:type="spellStart"/>
      <w:r>
        <w:rPr>
          <w:rFonts w:ascii="Arial" w:eastAsia="Aptos" w:hAnsi="Arial" w:cs="Arial"/>
          <w:kern w:val="2"/>
          <w:lang w:eastAsia="zh-CN" w:bidi="ar"/>
          <w14:ligatures w14:val="standardContextual"/>
        </w:rPr>
        <w:t>Konopásek</w:t>
      </w:r>
      <w:proofErr w:type="spellEnd"/>
      <w:r>
        <w:rPr>
          <w:rFonts w:ascii="Arial" w:eastAsia="Aptos" w:hAnsi="Arial" w:cs="Arial"/>
          <w:kern w:val="2"/>
          <w:lang w:eastAsia="zh-CN" w:bidi="ar"/>
          <w14:ligatures w14:val="standardContextual"/>
        </w:rPr>
        <w:t xml:space="preserve"> et al., 2022), acquire caring behaviors through role modeling (Yue et al., 2021), and incorporate caring into professional identity (Lima et al., 2020). The findings resonate with these trends while adding the generational dimension embedded in Gen Z’s authenticity and mental health orientations.</w:t>
      </w:r>
    </w:p>
    <w:p w14:paraId="585B68FC" w14:textId="77777777" w:rsidR="00D71C12" w:rsidRDefault="000D05F8">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1: Authentic Caring Connection</w:t>
      </w:r>
    </w:p>
    <w:p w14:paraId="45D769BB"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 xml:space="preserve">Participants described caring as relational, emotionally grounded, and authenticity-driven. Subthemes included: </w:t>
      </w:r>
      <w:r>
        <w:rPr>
          <w:rFonts w:ascii="Arial" w:eastAsia="Aptos" w:hAnsi="Arial" w:cs="Arial"/>
          <w:b/>
          <w:bCs/>
          <w:kern w:val="2"/>
          <w:lang w:eastAsia="zh-CN" w:bidi="ar"/>
          <w14:ligatures w14:val="standardContextual"/>
        </w:rPr>
        <w:t>Emotional Validation</w:t>
      </w:r>
      <w:r>
        <w:rPr>
          <w:rFonts w:ascii="Arial" w:eastAsia="Aptos" w:hAnsi="Arial" w:cs="Arial"/>
          <w:kern w:val="2"/>
          <w:lang w:eastAsia="zh-CN" w:bidi="ar"/>
          <w14:ligatures w14:val="standardContextual"/>
        </w:rPr>
        <w:t xml:space="preserve">, </w:t>
      </w:r>
      <w:r>
        <w:rPr>
          <w:rFonts w:ascii="Arial" w:eastAsia="Aptos" w:hAnsi="Arial" w:cs="Arial"/>
          <w:b/>
          <w:bCs/>
          <w:kern w:val="2"/>
          <w:lang w:eastAsia="zh-CN" w:bidi="ar"/>
          <w14:ligatures w14:val="standardContextual"/>
        </w:rPr>
        <w:t>Genuine Presence and Authenticity</w:t>
      </w:r>
      <w:r>
        <w:rPr>
          <w:rFonts w:ascii="Arial" w:eastAsia="Aptos" w:hAnsi="Arial" w:cs="Arial"/>
          <w:kern w:val="2"/>
          <w:lang w:eastAsia="zh-CN" w:bidi="ar"/>
          <w14:ligatures w14:val="standardContextual"/>
        </w:rPr>
        <w:t xml:space="preserve">, and </w:t>
      </w:r>
      <w:r>
        <w:rPr>
          <w:rFonts w:ascii="Arial" w:eastAsia="Aptos" w:hAnsi="Arial" w:cs="Arial"/>
          <w:b/>
          <w:bCs/>
          <w:kern w:val="2"/>
          <w:lang w:eastAsia="zh-CN" w:bidi="ar"/>
          <w14:ligatures w14:val="standardContextual"/>
        </w:rPr>
        <w:t>Mental Health–Oriented Caring</w:t>
      </w:r>
      <w:r>
        <w:rPr>
          <w:rFonts w:ascii="Arial" w:eastAsia="Aptos" w:hAnsi="Arial" w:cs="Arial"/>
          <w:kern w:val="2"/>
          <w:lang w:eastAsia="zh-CN" w:bidi="ar"/>
          <w14:ligatures w14:val="standardContextual"/>
        </w:rPr>
        <w:t>.</w:t>
      </w:r>
    </w:p>
    <w:p w14:paraId="74001122"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Under Emotional Validation, participants associated caring with acknowledging feelings and offering support, such as “making someone feel heard and understood, especially when they’re upset” (Participant 3). Under Genuine Presence and Authenticity, students emphasized sincerity, stating that caring is “being real with others, not just being polite” (Participant 6). Under Mental Health–Oriented Caring, participants emphasized “checking how someone is doing emotionally, not just physically” (Participant 2), reflecting Gen Z’s comfort with psychological discourse.</w:t>
      </w:r>
    </w:p>
    <w:p w14:paraId="419E3C43"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These findings align with Watson’s Human Caring Theory, which frames caring as transpersonal and rooted in authentic presence (Watson, 2018). Empirical studies similarly report that nursing students conceptualize caring relationally in early training (Park &amp; Kim, 2020). Theme 1 argues that caring is experienced not as a technical function but as an interpersonal stance grounded in validation and emotional attunement.</w:t>
      </w:r>
    </w:p>
    <w:p w14:paraId="6E7ABA5E" w14:textId="77777777" w:rsidR="00D71C12" w:rsidRDefault="000D05F8">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2: Caring Formalized by Nursing Education</w:t>
      </w:r>
    </w:p>
    <w:p w14:paraId="754C94CB"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Participants described how nursing education transformed caring from a personal value into a professional competency. Subthemes included: Carryover of Prior Caring Values, Theoretical and Ethical Framing of Caring, and From Natural Instinct to Professional Skill.</w:t>
      </w:r>
    </w:p>
    <w:p w14:paraId="15F51846"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Students entered nursing with pre-existing caring values shaped by family and culture, such as caring for elders (Participant 4). Through coursework, students learned that caring entails theoretical, ethical, and professional responsibilities, remarking that “school taught me caring isn’t just about being kind—there are theories, ethics, and responsibilities behind it” (Participant 1). Simulation further rendered caring intentional and rehearsed, becoming “more deliberate and professional” (Participant 7).</w:t>
      </w:r>
    </w:p>
    <w:p w14:paraId="76B0F7E3"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Nursing education research affirms that curricula formalize caring through theoretical instruction, communication skills, and ethical frameworks (</w:t>
      </w:r>
      <w:proofErr w:type="spellStart"/>
      <w:r>
        <w:rPr>
          <w:rFonts w:ascii="Arial" w:eastAsia="Aptos" w:hAnsi="Arial" w:cs="Arial"/>
          <w:kern w:val="2"/>
          <w:lang w:eastAsia="zh-CN" w:bidi="ar"/>
          <w14:ligatures w14:val="standardContextual"/>
        </w:rPr>
        <w:t>Bulfone</w:t>
      </w:r>
      <w:proofErr w:type="spellEnd"/>
      <w:r>
        <w:rPr>
          <w:rFonts w:ascii="Arial" w:eastAsia="Aptos" w:hAnsi="Arial" w:cs="Arial"/>
          <w:kern w:val="2"/>
          <w:lang w:eastAsia="zh-CN" w:bidi="ar"/>
          <w14:ligatures w14:val="standardContextual"/>
        </w:rPr>
        <w:t xml:space="preserve"> et al., 2021; Papastavrou et al., 2021). Simulation-based learning additionally supports the development of caring competencies (Johansson et al., 2020). Theme 2 demonstrates that caring is constructed and legitimized within nursing education rather than treated as purely innate.</w:t>
      </w:r>
    </w:p>
    <w:p w14:paraId="7E22C416" w14:textId="77777777" w:rsidR="00D71C12" w:rsidRDefault="000D05F8">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3: Limited Ability to Care as Pedagogical Challenge</w:t>
      </w:r>
    </w:p>
    <w:p w14:paraId="16C96D51"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Despite strong caring intentions, participants encountered emotional and skill-based constraints. Subthemes included: Competency and Skill Gaps, Performance Anxiety and Fear of Harm, and Emotional Overload in Early Encounters.</w:t>
      </w:r>
    </w:p>
    <w:p w14:paraId="48737080"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lastRenderedPageBreak/>
        <w:t>Students reported being “too focused on doing the skills properly” to engage relationally (Participant 8). Fear of harming patients also limited caring attempts, with participants feeling “scared of hurting the patient” (Participant 5). Early patient encounters elicited emotional discomfort; seeing illness “felt overwhelming and I didn’t know what to say” (Participant 3).</w:t>
      </w:r>
    </w:p>
    <w:p w14:paraId="0FAFC18F"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These constraints are well documented in nursing education literature. Novice students experience stress, anxiety, and cognitive overload in early clinical contexts (Browning &amp; Cruz, 2018), and emotional discomfort can limit caring communication (</w:t>
      </w:r>
      <w:proofErr w:type="spellStart"/>
      <w:r>
        <w:rPr>
          <w:rFonts w:ascii="Arial" w:eastAsia="Aptos" w:hAnsi="Arial" w:cs="Arial"/>
          <w:kern w:val="2"/>
          <w:lang w:eastAsia="zh-CN" w:bidi="ar"/>
          <w14:ligatures w14:val="standardContextual"/>
        </w:rPr>
        <w:t>Konopásek</w:t>
      </w:r>
      <w:proofErr w:type="spellEnd"/>
      <w:r>
        <w:rPr>
          <w:rFonts w:ascii="Arial" w:eastAsia="Aptos" w:hAnsi="Arial" w:cs="Arial"/>
          <w:kern w:val="2"/>
          <w:lang w:eastAsia="zh-CN" w:bidi="ar"/>
          <w14:ligatures w14:val="standardContextual"/>
        </w:rPr>
        <w:t xml:space="preserve"> et al., 2022). Theme 3 argues that caring enactment is pedagogically mediated; students require competence, emotional regulation, and supported exposure to integrate caring into practice.</w:t>
      </w:r>
    </w:p>
    <w:p w14:paraId="64A1435E" w14:textId="77777777" w:rsidR="00D71C12" w:rsidRDefault="000D05F8">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4: Caring Learned by Watching Others</w:t>
      </w:r>
    </w:p>
    <w:p w14:paraId="19A264BD"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Theme 4 demonstrated that students learned caring through observational learning. Subthemes included: Instructor and Nurse Role Models, Peer-Inspired Caring, and Technology and Simulation Support.</w:t>
      </w:r>
    </w:p>
    <w:p w14:paraId="05FF563E"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Students learned caring communication from instructors, copying how instructors “talked to the patient calmly” (Participant 6) and demonstrated comfort without sounding “scripted” (Participant 1). Peers influenced caring enactment as students wanted to “be like that” after observing patience (Participant 2), and reminded each other to speak kindly (Participant 7). Simulations allowed students to “visualize how caring looks and sounds” (Participant 5) and practice communication “before meeting real ones” (Participant 3).</w:t>
      </w:r>
    </w:p>
    <w:p w14:paraId="2F9C491D"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Role modeling is widely recognized as a mechanism of caring acquisition; Yue et al. (2021) found that instructor modeling shaped relational skills, while Johansson et al. (2020) demonstrated that simulation enhanced caring communication. This reinforces Watson’s assertion that caring is relationally transmitted, not merely cognitively instructed (Watson, 2018). Theme 4 argues that caring is culturally reproduced within nursing through modeling, imitation, and structured experiential learning, highlighting the pedagogical responsibility placed on instructors and clinical nurses.</w:t>
      </w:r>
    </w:p>
    <w:p w14:paraId="19ADA70B" w14:textId="77777777" w:rsidR="00D71C12" w:rsidRDefault="000D05F8">
      <w:pPr>
        <w:spacing w:after="160" w:line="256" w:lineRule="auto"/>
        <w:jc w:val="both"/>
        <w:rPr>
          <w:rFonts w:ascii="Arial" w:hAnsi="Arial" w:cs="Arial"/>
          <w:b/>
          <w:bCs/>
        </w:rPr>
      </w:pPr>
      <w:r>
        <w:rPr>
          <w:rFonts w:ascii="Arial" w:eastAsia="Aptos" w:hAnsi="Arial" w:cs="Arial"/>
          <w:b/>
          <w:bCs/>
          <w:kern w:val="2"/>
          <w:lang w:eastAsia="zh-CN" w:bidi="ar"/>
          <w14:ligatures w14:val="standardContextual"/>
        </w:rPr>
        <w:t>Theme 5: Caring as Professional Identity</w:t>
      </w:r>
    </w:p>
    <w:p w14:paraId="35EE0BBE"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Participants positioned caring as the core of nursing identity. Subthemes included: Meaning and Purpose in Nursing Identity, Aspiring Toward Compassionate Nurse-Self, and Caring as Defining Nursing Culture.</w:t>
      </w:r>
    </w:p>
    <w:p w14:paraId="08453B17" w14:textId="77777777" w:rsidR="00D71C12" w:rsidRDefault="000D05F8">
      <w:pPr>
        <w:spacing w:after="160" w:line="256" w:lineRule="auto"/>
        <w:jc w:val="both"/>
        <w:rPr>
          <w:rFonts w:ascii="Arial" w:hAnsi="Arial" w:cs="Arial"/>
        </w:rPr>
      </w:pPr>
      <w:r>
        <w:rPr>
          <w:rFonts w:ascii="Arial" w:eastAsia="Aptos" w:hAnsi="Arial" w:cs="Arial"/>
          <w:kern w:val="2"/>
          <w:lang w:eastAsia="zh-CN" w:bidi="ar"/>
          <w14:ligatures w14:val="standardContextual"/>
        </w:rPr>
        <w:t>Students described caring as the moral center of nursing. One stated that caring “is what makes nursing meaningful” (Participant 1) and another that “without caring, nursing is just tasks and procedures” (Participant 5). Students articulated aspirational visions of compassionate practice, wanting to “make patients feel seen and respected” (Participant 4) and “advocate for patients” (Participant 6). Caring also served as a boundary marker distinguishing nursing from other professions, as “the identity of nursing” (Participant 7).</w:t>
      </w:r>
    </w:p>
    <w:p w14:paraId="62F88445" w14:textId="77777777" w:rsidR="00D71C12" w:rsidRDefault="000D05F8">
      <w:pPr>
        <w:spacing w:after="160" w:line="256" w:lineRule="auto"/>
        <w:jc w:val="both"/>
        <w:rPr>
          <w:rFonts w:ascii="Arial" w:eastAsia="Aptos" w:hAnsi="Arial" w:cs="Arial"/>
          <w:kern w:val="2"/>
          <w:lang w:eastAsia="zh-CN" w:bidi="ar"/>
          <w14:ligatures w14:val="standardContextual"/>
        </w:rPr>
      </w:pPr>
      <w:r>
        <w:rPr>
          <w:rFonts w:ascii="Arial" w:eastAsia="Aptos" w:hAnsi="Arial" w:cs="Arial"/>
          <w:kern w:val="2"/>
          <w:lang w:eastAsia="zh-CN" w:bidi="ar"/>
          <w14:ligatures w14:val="standardContextual"/>
        </w:rPr>
        <w:t>Nursing research confirms that caring is central to nursing professional identity formation (Lima et al., 2020). Papastavrou et al. (2021) argue that caring is embedded in nursing’s epistemology and symbolic culture. Theme 5 argues that caring is ontological</w:t>
      </w:r>
      <w:r>
        <w:rPr>
          <w:rFonts w:ascii="Arial" w:eastAsia="Aptos" w:hAnsi="Arial" w:cs="Arial"/>
          <w:kern w:val="2"/>
          <w:lang w:val="en-PH" w:eastAsia="zh-CN" w:bidi="ar"/>
          <w14:ligatures w14:val="standardContextual"/>
        </w:rPr>
        <w:t xml:space="preserve"> </w:t>
      </w:r>
      <w:r>
        <w:rPr>
          <w:rFonts w:ascii="Arial" w:eastAsia="Aptos" w:hAnsi="Arial" w:cs="Arial"/>
          <w:kern w:val="2"/>
          <w:lang w:eastAsia="zh-CN" w:bidi="ar"/>
          <w14:ligatures w14:val="standardContextual"/>
        </w:rPr>
        <w:t>defining what a nurse is</w:t>
      </w:r>
      <w:r>
        <w:rPr>
          <w:rFonts w:ascii="Arial" w:eastAsia="Aptos" w:hAnsi="Arial" w:cs="Arial"/>
          <w:kern w:val="2"/>
          <w:lang w:val="en-PH" w:eastAsia="zh-CN" w:bidi="ar"/>
          <w14:ligatures w14:val="standardContextual"/>
        </w:rPr>
        <w:t xml:space="preserve"> </w:t>
      </w:r>
      <w:r>
        <w:rPr>
          <w:rFonts w:ascii="Arial" w:eastAsia="Aptos" w:hAnsi="Arial" w:cs="Arial"/>
          <w:kern w:val="2"/>
          <w:lang w:eastAsia="zh-CN" w:bidi="ar"/>
          <w14:ligatures w14:val="standardContextual"/>
        </w:rPr>
        <w:t>rather than merely functional or procedural. Caring thus shapes both present self-conception and future vocational aspiration.</w:t>
      </w:r>
    </w:p>
    <w:p w14:paraId="72F73DA1" w14:textId="77777777" w:rsidR="00D71C12" w:rsidRDefault="000D05F8">
      <w:pPr>
        <w:pStyle w:val="ConcHead"/>
        <w:spacing w:after="0"/>
        <w:jc w:val="both"/>
        <w:rPr>
          <w:rFonts w:ascii="Arial" w:hAnsi="Arial" w:cs="Arial"/>
          <w:sz w:val="20"/>
        </w:rPr>
      </w:pPr>
      <w:r>
        <w:rPr>
          <w:rFonts w:ascii="Arial" w:hAnsi="Arial" w:cs="Arial"/>
          <w:sz w:val="20"/>
        </w:rPr>
        <w:lastRenderedPageBreak/>
        <w:t>4. Conclusion</w:t>
      </w:r>
    </w:p>
    <w:p w14:paraId="12043F47" w14:textId="77777777" w:rsidR="00D71C12" w:rsidRDefault="00D71C12">
      <w:pPr>
        <w:pStyle w:val="ConcHead"/>
        <w:spacing w:after="0"/>
        <w:jc w:val="both"/>
        <w:rPr>
          <w:rFonts w:ascii="Arial" w:hAnsi="Arial" w:cs="Arial"/>
          <w:sz w:val="20"/>
        </w:rPr>
      </w:pPr>
    </w:p>
    <w:p w14:paraId="47FC4EF3" w14:textId="77777777" w:rsidR="00D71C12" w:rsidRDefault="000D05F8">
      <w:pPr>
        <w:pStyle w:val="NormalWeb"/>
        <w:spacing w:beforeAutospacing="0" w:afterAutospacing="0"/>
        <w:jc w:val="both"/>
        <w:rPr>
          <w:rFonts w:ascii="Arial" w:hAnsi="Arial" w:cs="Arial"/>
          <w:sz w:val="20"/>
          <w:szCs w:val="20"/>
        </w:rPr>
      </w:pPr>
      <w:r>
        <w:rPr>
          <w:rFonts w:ascii="Arial" w:hAnsi="Arial" w:cs="Arial"/>
          <w:sz w:val="20"/>
          <w:szCs w:val="20"/>
        </w:rPr>
        <w:t>This study explored how first-year nursing students understand and experience caring as they begin their formal nursing education. Findings revealed that caring is viewed as a relational and affective practice rooted in authenticity, emotional presence, and validation, reflecting contemporary generational sensitivities toward mental health and sincerity. Through exposure to nursing curricula, simulation, and early clinical encounters, caring evolved from an intuitive personal value into a structured professional competency guided by ethical, theoretical, and technical frameworks. However, participants also encountered barriers such as limited skills, performance anxiety, and emotional overload, which constrained their ability to enact caring in practice. Observational learning through instructors, nurses, and peers emerged as a primary mode of acquiring caring behaviors, highlighting the pedagogical importance of role modeling. Ultimately, caring became integrated into students’ emerging professional identities, reinforcing its central role in shaping the meaning and purpose of nursing work.</w:t>
      </w:r>
    </w:p>
    <w:p w14:paraId="356D970C" w14:textId="77777777" w:rsidR="00D71C12" w:rsidRDefault="000D05F8">
      <w:pPr>
        <w:pStyle w:val="NormalWeb"/>
        <w:spacing w:beforeAutospacing="0" w:afterAutospacing="0"/>
        <w:jc w:val="both"/>
        <w:rPr>
          <w:rFonts w:ascii="Arial" w:hAnsi="Arial" w:cs="Arial"/>
          <w:sz w:val="20"/>
          <w:szCs w:val="20"/>
        </w:rPr>
      </w:pPr>
      <w:r>
        <w:rPr>
          <w:rFonts w:ascii="Arial" w:hAnsi="Arial" w:cs="Arial"/>
          <w:sz w:val="20"/>
          <w:szCs w:val="20"/>
        </w:rPr>
        <w:t>Collectively, the findings underscore that caring is not merely a skill set but a developing identity that takes form through lived experience, educational socialization, and relational learning. Understanding these early meaning-making processes is essential for nursing educators and institutions, as it informs curriculum design, clinical mentorship, emotional support systems, and pedagogies that nurture compassionate practice from the outset of training. Supporting novice learners in bridging the gap between caring intent and caring enactment may strengthen both their development and future patient care outcomes, reaffirming caring as the moral and philosophical core of the nursing profession.</w:t>
      </w:r>
    </w:p>
    <w:p w14:paraId="484867DF" w14:textId="77777777" w:rsidR="00D71C12" w:rsidRDefault="00D71C12">
      <w:pPr>
        <w:pStyle w:val="AcknHead"/>
        <w:spacing w:after="0"/>
        <w:jc w:val="both"/>
        <w:rPr>
          <w:rFonts w:ascii="Arial" w:hAnsi="Arial" w:cs="Arial"/>
          <w:sz w:val="20"/>
        </w:rPr>
      </w:pPr>
    </w:p>
    <w:p w14:paraId="49A098A3" w14:textId="77777777" w:rsidR="00D71C12" w:rsidRDefault="00D71C12">
      <w:pPr>
        <w:pStyle w:val="ReferHead"/>
        <w:spacing w:after="0"/>
        <w:jc w:val="both"/>
        <w:rPr>
          <w:rFonts w:ascii="Arial" w:hAnsi="Arial" w:cs="Arial"/>
          <w:sz w:val="20"/>
        </w:rPr>
      </w:pPr>
    </w:p>
    <w:p w14:paraId="310C8C3E" w14:textId="77777777" w:rsidR="00D71C12" w:rsidRDefault="000D05F8">
      <w:pPr>
        <w:pStyle w:val="ReferHead"/>
        <w:spacing w:after="0"/>
        <w:jc w:val="both"/>
        <w:rPr>
          <w:rFonts w:ascii="Arial" w:hAnsi="Arial" w:cs="Arial"/>
          <w:sz w:val="20"/>
        </w:rPr>
      </w:pPr>
      <w:bookmarkStart w:id="4" w:name="_GoBack"/>
      <w:r>
        <w:rPr>
          <w:rFonts w:ascii="Arial" w:hAnsi="Arial" w:cs="Arial"/>
          <w:sz w:val="20"/>
        </w:rPr>
        <w:t>References</w:t>
      </w:r>
      <w:bookmarkEnd w:id="4"/>
    </w:p>
    <w:p w14:paraId="496CF6FF"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Benner, P. (1984).</w:t>
      </w:r>
      <w:r>
        <w:rPr>
          <w:rFonts w:ascii="Arial" w:hAnsi="Arial" w:cs="Arial"/>
          <w:sz w:val="20"/>
          <w:szCs w:val="20"/>
        </w:rPr>
        <w:br/>
      </w:r>
      <w:r>
        <w:rPr>
          <w:rStyle w:val="Emphasis"/>
          <w:rFonts w:ascii="Arial" w:hAnsi="Arial" w:cs="Arial"/>
          <w:sz w:val="20"/>
          <w:szCs w:val="20"/>
        </w:rPr>
        <w:t>From novice to expert: Excellence and power in clinical nursing practice.</w:t>
      </w:r>
      <w:r>
        <w:rPr>
          <w:rFonts w:ascii="Arial" w:hAnsi="Arial" w:cs="Arial"/>
          <w:sz w:val="20"/>
          <w:szCs w:val="20"/>
        </w:rPr>
        <w:t xml:space="preserve"> Addison-Wesley.</w:t>
      </w:r>
    </w:p>
    <w:p w14:paraId="744C719F"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Braun, V., &amp; Clarke, V. (2006).</w:t>
      </w:r>
      <w:r>
        <w:rPr>
          <w:rStyle w:val="Strong"/>
          <w:rFonts w:ascii="Arial" w:hAnsi="Arial" w:cs="Arial"/>
          <w:b w:val="0"/>
          <w:bCs w:val="0"/>
          <w:sz w:val="20"/>
          <w:szCs w:val="20"/>
          <w:lang w:val="en-PH"/>
        </w:rPr>
        <w:t xml:space="preserve"> </w:t>
      </w:r>
      <w:r>
        <w:rPr>
          <w:rFonts w:ascii="Arial" w:hAnsi="Arial" w:cs="Arial"/>
          <w:sz w:val="20"/>
          <w:szCs w:val="20"/>
        </w:rPr>
        <w:t xml:space="preserve">Using thematic analysis in psychology. </w:t>
      </w:r>
      <w:r>
        <w:rPr>
          <w:rStyle w:val="Emphasis"/>
          <w:rFonts w:ascii="Arial" w:hAnsi="Arial" w:cs="Arial"/>
          <w:sz w:val="20"/>
          <w:szCs w:val="20"/>
        </w:rPr>
        <w:t>Qualitative Research in Psychology, 3</w:t>
      </w:r>
      <w:r>
        <w:rPr>
          <w:rFonts w:ascii="Arial" w:hAnsi="Arial" w:cs="Arial"/>
          <w:sz w:val="20"/>
          <w:szCs w:val="20"/>
        </w:rPr>
        <w:t xml:space="preserve">(2), 77–101. </w:t>
      </w:r>
      <w:hyperlink r:id="rId19" w:tgtFrame="_new" w:history="1">
        <w:r w:rsidR="00D71C12">
          <w:rPr>
            <w:rStyle w:val="Hyperlink"/>
            <w:rFonts w:ascii="Arial" w:hAnsi="Arial" w:cs="Arial"/>
            <w:color w:val="auto"/>
            <w:sz w:val="20"/>
            <w:szCs w:val="20"/>
          </w:rPr>
          <w:t>https://doi.org/10.1191/1478088706qp063oa</w:t>
        </w:r>
      </w:hyperlink>
    </w:p>
    <w:p w14:paraId="33AFCA90"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Braun, V., &amp; Clarke, V. (2019</w:t>
      </w:r>
      <w:r>
        <w:rPr>
          <w:rStyle w:val="Strong"/>
          <w:rFonts w:ascii="Arial" w:hAnsi="Arial" w:cs="Arial"/>
          <w:b w:val="0"/>
          <w:bCs w:val="0"/>
          <w:sz w:val="20"/>
          <w:szCs w:val="20"/>
          <w:lang w:val="en-PH"/>
        </w:rPr>
        <w:t xml:space="preserve">) </w:t>
      </w:r>
      <w:proofErr w:type="spellStart"/>
      <w:r>
        <w:rPr>
          <w:rFonts w:ascii="Arial" w:hAnsi="Arial" w:cs="Arial"/>
          <w:sz w:val="20"/>
          <w:szCs w:val="20"/>
        </w:rPr>
        <w:t>eflecting</w:t>
      </w:r>
      <w:proofErr w:type="spellEnd"/>
      <w:r>
        <w:rPr>
          <w:rFonts w:ascii="Arial" w:hAnsi="Arial" w:cs="Arial"/>
          <w:sz w:val="20"/>
          <w:szCs w:val="20"/>
        </w:rPr>
        <w:t xml:space="preserve"> on reflexive thematic analysis. </w:t>
      </w:r>
      <w:r>
        <w:rPr>
          <w:rStyle w:val="Emphasis"/>
          <w:rFonts w:ascii="Arial" w:hAnsi="Arial" w:cs="Arial"/>
          <w:sz w:val="20"/>
          <w:szCs w:val="20"/>
        </w:rPr>
        <w:t>Qualitative Research in Sport, Exercise and Health, 11</w:t>
      </w:r>
      <w:r>
        <w:rPr>
          <w:rFonts w:ascii="Arial" w:hAnsi="Arial" w:cs="Arial"/>
          <w:sz w:val="20"/>
          <w:szCs w:val="20"/>
        </w:rPr>
        <w:t xml:space="preserve">(4), 589–597. </w:t>
      </w:r>
      <w:hyperlink r:id="rId20" w:tgtFrame="_new" w:history="1">
        <w:r w:rsidR="00D71C12">
          <w:rPr>
            <w:rStyle w:val="Hyperlink"/>
            <w:rFonts w:ascii="Arial" w:hAnsi="Arial" w:cs="Arial"/>
            <w:color w:val="auto"/>
            <w:sz w:val="20"/>
            <w:szCs w:val="20"/>
          </w:rPr>
          <w:t>https://doi.org/10.1080/2159676X.2019.1628806</w:t>
        </w:r>
      </w:hyperlink>
    </w:p>
    <w:p w14:paraId="79FABC11" w14:textId="77777777" w:rsidR="00D71C12" w:rsidRDefault="000D05F8" w:rsidP="009F65AB">
      <w:pPr>
        <w:pStyle w:val="NormalWeb"/>
        <w:spacing w:before="100" w:after="100"/>
        <w:rPr>
          <w:rFonts w:ascii="Arial" w:hAnsi="Arial" w:cs="Arial"/>
          <w:sz w:val="20"/>
          <w:szCs w:val="20"/>
        </w:rPr>
      </w:pPr>
      <w:r>
        <w:rPr>
          <w:rStyle w:val="Strong"/>
          <w:rFonts w:ascii="Arial" w:hAnsi="Arial" w:cs="Arial"/>
          <w:b w:val="0"/>
          <w:bCs w:val="0"/>
          <w:sz w:val="20"/>
          <w:szCs w:val="20"/>
        </w:rPr>
        <w:t>Brunton, M., &amp; Cook, C. (2018).</w:t>
      </w:r>
      <w:r>
        <w:rPr>
          <w:rStyle w:val="Strong"/>
          <w:rFonts w:ascii="Arial" w:hAnsi="Arial" w:cs="Arial"/>
          <w:b w:val="0"/>
          <w:bCs w:val="0"/>
          <w:sz w:val="20"/>
          <w:szCs w:val="20"/>
          <w:lang w:val="en-PH"/>
        </w:rPr>
        <w:t xml:space="preserve"> </w:t>
      </w:r>
      <w:r>
        <w:rPr>
          <w:rFonts w:ascii="Arial" w:hAnsi="Arial" w:cs="Arial"/>
          <w:sz w:val="20"/>
          <w:szCs w:val="20"/>
        </w:rPr>
        <w:t xml:space="preserve">The student experience of empathy: Exploring first-year nursing students’ understanding of empathy. </w:t>
      </w:r>
      <w:r>
        <w:rPr>
          <w:rStyle w:val="Emphasis"/>
          <w:rFonts w:ascii="Arial" w:hAnsi="Arial" w:cs="Arial"/>
          <w:sz w:val="20"/>
          <w:szCs w:val="20"/>
        </w:rPr>
        <w:t>Nurse Education Today, 62</w:t>
      </w:r>
      <w:r>
        <w:rPr>
          <w:rFonts w:ascii="Arial" w:hAnsi="Arial" w:cs="Arial"/>
          <w:sz w:val="20"/>
          <w:szCs w:val="20"/>
        </w:rPr>
        <w:t xml:space="preserve">, 150–155. </w:t>
      </w:r>
      <w:hyperlink r:id="rId21" w:tgtFrame="_new" w:history="1">
        <w:r w:rsidR="00D71C12">
          <w:rPr>
            <w:rStyle w:val="Hyperlink"/>
            <w:rFonts w:ascii="Arial" w:hAnsi="Arial" w:cs="Arial"/>
            <w:color w:val="auto"/>
            <w:sz w:val="20"/>
            <w:szCs w:val="20"/>
          </w:rPr>
          <w:t>https://doi.org/10.1016/j.nedt.2017.12.021</w:t>
        </w:r>
      </w:hyperlink>
    </w:p>
    <w:p w14:paraId="230DDC80"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Browning, M., &amp; Cruz, J. (2018).</w:t>
      </w:r>
      <w:r>
        <w:rPr>
          <w:rStyle w:val="Strong"/>
          <w:rFonts w:ascii="Arial" w:hAnsi="Arial" w:cs="Arial"/>
          <w:b w:val="0"/>
          <w:bCs w:val="0"/>
          <w:sz w:val="20"/>
          <w:szCs w:val="20"/>
          <w:lang w:val="en-PH"/>
        </w:rPr>
        <w:t xml:space="preserve"> </w:t>
      </w:r>
      <w:r>
        <w:rPr>
          <w:rFonts w:ascii="Arial" w:hAnsi="Arial" w:cs="Arial"/>
          <w:sz w:val="20"/>
          <w:szCs w:val="20"/>
        </w:rPr>
        <w:t xml:space="preserve">Reflective debriefing and novice nursing students’ clinical experiences. </w:t>
      </w:r>
      <w:r>
        <w:rPr>
          <w:rStyle w:val="Emphasis"/>
          <w:rFonts w:ascii="Arial" w:hAnsi="Arial" w:cs="Arial"/>
          <w:sz w:val="20"/>
          <w:szCs w:val="20"/>
        </w:rPr>
        <w:t>Nurse Education in Practice, 28</w:t>
      </w:r>
      <w:r>
        <w:rPr>
          <w:rFonts w:ascii="Arial" w:hAnsi="Arial" w:cs="Arial"/>
          <w:sz w:val="20"/>
          <w:szCs w:val="20"/>
        </w:rPr>
        <w:t xml:space="preserve">, 1–6. </w:t>
      </w:r>
      <w:hyperlink r:id="rId22" w:tgtFrame="_new" w:history="1">
        <w:r w:rsidR="00D71C12">
          <w:rPr>
            <w:rStyle w:val="Hyperlink"/>
            <w:rFonts w:ascii="Arial" w:hAnsi="Arial" w:cs="Arial"/>
            <w:color w:val="auto"/>
            <w:sz w:val="20"/>
            <w:szCs w:val="20"/>
          </w:rPr>
          <w:t>https://doi.org/10.1016/j.nepr.2018.02.005</w:t>
        </w:r>
      </w:hyperlink>
    </w:p>
    <w:p w14:paraId="65D0EBF2" w14:textId="77777777" w:rsidR="00D71C12" w:rsidRDefault="000D05F8">
      <w:pPr>
        <w:pStyle w:val="NormalWeb"/>
        <w:rPr>
          <w:rFonts w:ascii="Arial" w:hAnsi="Arial" w:cs="Arial"/>
          <w:sz w:val="20"/>
          <w:szCs w:val="20"/>
        </w:rPr>
      </w:pPr>
      <w:proofErr w:type="spellStart"/>
      <w:r>
        <w:rPr>
          <w:rStyle w:val="Strong"/>
          <w:rFonts w:ascii="Arial" w:hAnsi="Arial" w:cs="Arial"/>
          <w:b w:val="0"/>
          <w:bCs w:val="0"/>
          <w:sz w:val="20"/>
          <w:szCs w:val="20"/>
        </w:rPr>
        <w:t>Bulfone</w:t>
      </w:r>
      <w:proofErr w:type="spellEnd"/>
      <w:r>
        <w:rPr>
          <w:rStyle w:val="Strong"/>
          <w:rFonts w:ascii="Arial" w:hAnsi="Arial" w:cs="Arial"/>
          <w:b w:val="0"/>
          <w:bCs w:val="0"/>
          <w:sz w:val="20"/>
          <w:szCs w:val="20"/>
        </w:rPr>
        <w:t xml:space="preserve">, G., </w:t>
      </w:r>
      <w:proofErr w:type="spellStart"/>
      <w:r>
        <w:rPr>
          <w:rStyle w:val="Strong"/>
          <w:rFonts w:ascii="Arial" w:hAnsi="Arial" w:cs="Arial"/>
          <w:b w:val="0"/>
          <w:bCs w:val="0"/>
          <w:sz w:val="20"/>
          <w:szCs w:val="20"/>
        </w:rPr>
        <w:t>Tamburini</w:t>
      </w:r>
      <w:proofErr w:type="spellEnd"/>
      <w:r>
        <w:rPr>
          <w:rStyle w:val="Strong"/>
          <w:rFonts w:ascii="Arial" w:hAnsi="Arial" w:cs="Arial"/>
          <w:b w:val="0"/>
          <w:bCs w:val="0"/>
          <w:sz w:val="20"/>
          <w:szCs w:val="20"/>
        </w:rPr>
        <w:t xml:space="preserve">, S., </w:t>
      </w:r>
      <w:proofErr w:type="spellStart"/>
      <w:r>
        <w:rPr>
          <w:rStyle w:val="Strong"/>
          <w:rFonts w:ascii="Arial" w:hAnsi="Arial" w:cs="Arial"/>
          <w:b w:val="0"/>
          <w:bCs w:val="0"/>
          <w:sz w:val="20"/>
          <w:szCs w:val="20"/>
        </w:rPr>
        <w:t>Pupo</w:t>
      </w:r>
      <w:proofErr w:type="spellEnd"/>
      <w:r>
        <w:rPr>
          <w:rStyle w:val="Strong"/>
          <w:rFonts w:ascii="Arial" w:hAnsi="Arial" w:cs="Arial"/>
          <w:b w:val="0"/>
          <w:bCs w:val="0"/>
          <w:sz w:val="20"/>
          <w:szCs w:val="20"/>
        </w:rPr>
        <w:t xml:space="preserve">, E., &amp; </w:t>
      </w:r>
      <w:proofErr w:type="spellStart"/>
      <w:r>
        <w:rPr>
          <w:rStyle w:val="Strong"/>
          <w:rFonts w:ascii="Arial" w:hAnsi="Arial" w:cs="Arial"/>
          <w:b w:val="0"/>
          <w:bCs w:val="0"/>
          <w:sz w:val="20"/>
          <w:szCs w:val="20"/>
        </w:rPr>
        <w:t>Squizzato</w:t>
      </w:r>
      <w:proofErr w:type="spellEnd"/>
      <w:r>
        <w:rPr>
          <w:rStyle w:val="Strong"/>
          <w:rFonts w:ascii="Arial" w:hAnsi="Arial" w:cs="Arial"/>
          <w:b w:val="0"/>
          <w:bCs w:val="0"/>
          <w:sz w:val="20"/>
          <w:szCs w:val="20"/>
        </w:rPr>
        <w:t>, A. (2021).</w:t>
      </w:r>
      <w:r>
        <w:rPr>
          <w:rStyle w:val="Strong"/>
          <w:rFonts w:ascii="Arial" w:hAnsi="Arial" w:cs="Arial"/>
          <w:b w:val="0"/>
          <w:bCs w:val="0"/>
          <w:sz w:val="20"/>
          <w:szCs w:val="20"/>
          <w:lang w:val="en-PH"/>
        </w:rPr>
        <w:t xml:space="preserve"> </w:t>
      </w:r>
      <w:r>
        <w:rPr>
          <w:rFonts w:ascii="Arial" w:hAnsi="Arial" w:cs="Arial"/>
          <w:sz w:val="20"/>
          <w:szCs w:val="20"/>
        </w:rPr>
        <w:t xml:space="preserve">Nursing students’ perception of caring: A qualitative study. </w:t>
      </w:r>
      <w:r>
        <w:rPr>
          <w:rStyle w:val="Emphasis"/>
          <w:rFonts w:ascii="Arial" w:hAnsi="Arial" w:cs="Arial"/>
          <w:sz w:val="20"/>
          <w:szCs w:val="20"/>
        </w:rPr>
        <w:t>Nurse Education Today, 103</w:t>
      </w:r>
      <w:r>
        <w:rPr>
          <w:rFonts w:ascii="Arial" w:hAnsi="Arial" w:cs="Arial"/>
          <w:sz w:val="20"/>
          <w:szCs w:val="20"/>
        </w:rPr>
        <w:t xml:space="preserve">, 104964. </w:t>
      </w:r>
      <w:hyperlink r:id="rId23" w:tgtFrame="_new" w:history="1">
        <w:r w:rsidR="00D71C12">
          <w:rPr>
            <w:rStyle w:val="Hyperlink"/>
            <w:rFonts w:ascii="Arial" w:hAnsi="Arial" w:cs="Arial"/>
            <w:color w:val="auto"/>
            <w:sz w:val="20"/>
            <w:szCs w:val="20"/>
          </w:rPr>
          <w:t>https://doi.org/10.1016/j.nedt.2021.104964</w:t>
        </w:r>
      </w:hyperlink>
    </w:p>
    <w:p w14:paraId="1AF88DC4" w14:textId="77777777" w:rsidR="00D71C12" w:rsidRDefault="000D05F8">
      <w:pPr>
        <w:pStyle w:val="NormalWeb"/>
        <w:rPr>
          <w:rFonts w:ascii="Arial" w:hAnsi="Arial" w:cs="Arial"/>
          <w:sz w:val="20"/>
          <w:szCs w:val="20"/>
        </w:rPr>
      </w:pPr>
      <w:proofErr w:type="spellStart"/>
      <w:r>
        <w:rPr>
          <w:rStyle w:val="Strong"/>
          <w:rFonts w:ascii="Arial" w:hAnsi="Arial" w:cs="Arial"/>
          <w:b w:val="0"/>
          <w:bCs w:val="0"/>
          <w:sz w:val="20"/>
          <w:szCs w:val="20"/>
        </w:rPr>
        <w:t>Finfgeld-Connett</w:t>
      </w:r>
      <w:proofErr w:type="spellEnd"/>
      <w:r>
        <w:rPr>
          <w:rStyle w:val="Strong"/>
          <w:rFonts w:ascii="Arial" w:hAnsi="Arial" w:cs="Arial"/>
          <w:b w:val="0"/>
          <w:bCs w:val="0"/>
          <w:sz w:val="20"/>
          <w:szCs w:val="20"/>
        </w:rPr>
        <w:t>, D. (2008).</w:t>
      </w:r>
      <w:r>
        <w:rPr>
          <w:rStyle w:val="Strong"/>
          <w:rFonts w:ascii="Arial" w:hAnsi="Arial" w:cs="Arial"/>
          <w:b w:val="0"/>
          <w:bCs w:val="0"/>
          <w:sz w:val="20"/>
          <w:szCs w:val="20"/>
          <w:lang w:val="en-PH"/>
        </w:rPr>
        <w:t xml:space="preserve"> </w:t>
      </w:r>
      <w:r>
        <w:rPr>
          <w:rFonts w:ascii="Arial" w:hAnsi="Arial" w:cs="Arial"/>
          <w:sz w:val="20"/>
          <w:szCs w:val="20"/>
        </w:rPr>
        <w:t xml:space="preserve">Meta-synthesis of caring in nursing. </w:t>
      </w:r>
      <w:r>
        <w:rPr>
          <w:rStyle w:val="Emphasis"/>
          <w:rFonts w:ascii="Arial" w:hAnsi="Arial" w:cs="Arial"/>
          <w:sz w:val="20"/>
          <w:szCs w:val="20"/>
        </w:rPr>
        <w:t>Journal of Clinical Nursing, 17</w:t>
      </w:r>
      <w:r>
        <w:rPr>
          <w:rFonts w:ascii="Arial" w:hAnsi="Arial" w:cs="Arial"/>
          <w:sz w:val="20"/>
          <w:szCs w:val="20"/>
        </w:rPr>
        <w:t xml:space="preserve">(2), 196–204. </w:t>
      </w:r>
      <w:hyperlink r:id="rId24" w:tgtFrame="_new" w:history="1">
        <w:r w:rsidR="00D71C12">
          <w:rPr>
            <w:rStyle w:val="Hyperlink"/>
            <w:rFonts w:ascii="Arial" w:hAnsi="Arial" w:cs="Arial"/>
            <w:color w:val="auto"/>
            <w:sz w:val="20"/>
            <w:szCs w:val="20"/>
          </w:rPr>
          <w:t>https://doi.org/10.1111/j.1365-2702.2006.01824.x</w:t>
        </w:r>
      </w:hyperlink>
    </w:p>
    <w:p w14:paraId="4C634C6D"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lastRenderedPageBreak/>
        <w:t>Johansson, I., et al. (2020).</w:t>
      </w:r>
      <w:r>
        <w:rPr>
          <w:rStyle w:val="Strong"/>
          <w:rFonts w:ascii="Arial" w:hAnsi="Arial" w:cs="Arial"/>
          <w:b w:val="0"/>
          <w:bCs w:val="0"/>
          <w:sz w:val="20"/>
          <w:szCs w:val="20"/>
          <w:lang w:val="en-PH"/>
        </w:rPr>
        <w:t xml:space="preserve"> </w:t>
      </w:r>
      <w:r>
        <w:rPr>
          <w:rFonts w:ascii="Arial" w:hAnsi="Arial" w:cs="Arial"/>
          <w:sz w:val="20"/>
          <w:szCs w:val="20"/>
        </w:rPr>
        <w:t xml:space="preserve">Simulation and communication training to enhance caring in nursing education. </w:t>
      </w:r>
      <w:r>
        <w:rPr>
          <w:rStyle w:val="Emphasis"/>
          <w:rFonts w:ascii="Arial" w:hAnsi="Arial" w:cs="Arial"/>
          <w:sz w:val="20"/>
          <w:szCs w:val="20"/>
        </w:rPr>
        <w:t>Clinical Simulation in Nursing, 44</w:t>
      </w:r>
      <w:r>
        <w:rPr>
          <w:rFonts w:ascii="Arial" w:hAnsi="Arial" w:cs="Arial"/>
          <w:sz w:val="20"/>
          <w:szCs w:val="20"/>
        </w:rPr>
        <w:t xml:space="preserve">, 11–18. </w:t>
      </w:r>
      <w:hyperlink r:id="rId25" w:tgtFrame="_new" w:history="1">
        <w:r w:rsidR="00D71C12">
          <w:rPr>
            <w:rStyle w:val="Hyperlink"/>
            <w:rFonts w:ascii="Arial" w:hAnsi="Arial" w:cs="Arial"/>
            <w:color w:val="auto"/>
            <w:sz w:val="20"/>
            <w:szCs w:val="20"/>
          </w:rPr>
          <w:t>https://doi.org/10.1016/j.ecns.2019.10.001</w:t>
        </w:r>
      </w:hyperlink>
    </w:p>
    <w:p w14:paraId="1877E298" w14:textId="77777777" w:rsidR="00D71C12" w:rsidRDefault="000D05F8">
      <w:pPr>
        <w:pStyle w:val="NormalWeb"/>
        <w:rPr>
          <w:rFonts w:ascii="Arial" w:hAnsi="Arial" w:cs="Arial"/>
          <w:sz w:val="20"/>
          <w:szCs w:val="20"/>
        </w:rPr>
      </w:pPr>
      <w:proofErr w:type="spellStart"/>
      <w:r>
        <w:rPr>
          <w:rStyle w:val="Strong"/>
          <w:rFonts w:ascii="Arial" w:hAnsi="Arial" w:cs="Arial"/>
          <w:b w:val="0"/>
          <w:bCs w:val="0"/>
          <w:sz w:val="20"/>
          <w:szCs w:val="20"/>
        </w:rPr>
        <w:t>Konopásek</w:t>
      </w:r>
      <w:proofErr w:type="spellEnd"/>
      <w:r>
        <w:rPr>
          <w:rStyle w:val="Strong"/>
          <w:rFonts w:ascii="Arial" w:hAnsi="Arial" w:cs="Arial"/>
          <w:b w:val="0"/>
          <w:bCs w:val="0"/>
          <w:sz w:val="20"/>
          <w:szCs w:val="20"/>
        </w:rPr>
        <w:t>, Z., et al. (2022).</w:t>
      </w:r>
      <w:r>
        <w:rPr>
          <w:rStyle w:val="Strong"/>
          <w:rFonts w:ascii="Arial" w:hAnsi="Arial" w:cs="Arial"/>
          <w:b w:val="0"/>
          <w:bCs w:val="0"/>
          <w:sz w:val="20"/>
          <w:szCs w:val="20"/>
          <w:lang w:val="en-PH"/>
        </w:rPr>
        <w:t xml:space="preserve"> </w:t>
      </w:r>
      <w:r>
        <w:rPr>
          <w:rFonts w:ascii="Arial" w:hAnsi="Arial" w:cs="Arial"/>
          <w:sz w:val="20"/>
          <w:szCs w:val="20"/>
        </w:rPr>
        <w:t xml:space="preserve">Emotional labor and burden in nursing students during clinical practice. </w:t>
      </w:r>
      <w:r>
        <w:rPr>
          <w:rStyle w:val="Emphasis"/>
          <w:rFonts w:ascii="Arial" w:hAnsi="Arial" w:cs="Arial"/>
          <w:sz w:val="20"/>
          <w:szCs w:val="20"/>
        </w:rPr>
        <w:t>Nurse Education Today, 112</w:t>
      </w:r>
      <w:r>
        <w:rPr>
          <w:rFonts w:ascii="Arial" w:hAnsi="Arial" w:cs="Arial"/>
          <w:sz w:val="20"/>
          <w:szCs w:val="20"/>
        </w:rPr>
        <w:t xml:space="preserve">, 105337. </w:t>
      </w:r>
      <w:hyperlink r:id="rId26" w:tgtFrame="_new" w:history="1">
        <w:r w:rsidR="00D71C12">
          <w:rPr>
            <w:rStyle w:val="Hyperlink"/>
            <w:rFonts w:ascii="Arial" w:hAnsi="Arial" w:cs="Arial"/>
            <w:color w:val="auto"/>
            <w:sz w:val="20"/>
            <w:szCs w:val="20"/>
          </w:rPr>
          <w:t>https://doi.org/10.1016/j.nedt.2022.105337</w:t>
        </w:r>
      </w:hyperlink>
    </w:p>
    <w:p w14:paraId="4A3C9166"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Leininger, M. (1981).</w:t>
      </w:r>
      <w:r>
        <w:rPr>
          <w:rStyle w:val="Strong"/>
          <w:rFonts w:ascii="Arial" w:hAnsi="Arial" w:cs="Arial"/>
          <w:b w:val="0"/>
          <w:bCs w:val="0"/>
          <w:sz w:val="20"/>
          <w:szCs w:val="20"/>
          <w:lang w:val="en-PH"/>
        </w:rPr>
        <w:t xml:space="preserve"> </w:t>
      </w:r>
      <w:r>
        <w:rPr>
          <w:rStyle w:val="Emphasis"/>
          <w:rFonts w:ascii="Arial" w:hAnsi="Arial" w:cs="Arial"/>
          <w:sz w:val="20"/>
          <w:szCs w:val="20"/>
        </w:rPr>
        <w:t>Caring: An essential human need.</w:t>
      </w:r>
      <w:r>
        <w:rPr>
          <w:rFonts w:ascii="Arial" w:hAnsi="Arial" w:cs="Arial"/>
          <w:sz w:val="20"/>
          <w:szCs w:val="20"/>
        </w:rPr>
        <w:t xml:space="preserve"> National League for Nursing Press.</w:t>
      </w:r>
    </w:p>
    <w:p w14:paraId="10A2C808"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Lima, S., et al. (2020).</w:t>
      </w:r>
      <w:r>
        <w:rPr>
          <w:rStyle w:val="Strong"/>
          <w:rFonts w:ascii="Arial" w:hAnsi="Arial" w:cs="Arial"/>
          <w:b w:val="0"/>
          <w:bCs w:val="0"/>
          <w:sz w:val="20"/>
          <w:szCs w:val="20"/>
          <w:lang w:val="en-PH"/>
        </w:rPr>
        <w:t xml:space="preserve"> </w:t>
      </w:r>
      <w:r>
        <w:rPr>
          <w:rFonts w:ascii="Arial" w:hAnsi="Arial" w:cs="Arial"/>
          <w:sz w:val="20"/>
          <w:szCs w:val="20"/>
        </w:rPr>
        <w:t xml:space="preserve">Professional identity and caring among nursing students. </w:t>
      </w:r>
      <w:r>
        <w:rPr>
          <w:rStyle w:val="Emphasis"/>
          <w:rFonts w:ascii="Arial" w:hAnsi="Arial" w:cs="Arial"/>
          <w:sz w:val="20"/>
          <w:szCs w:val="20"/>
        </w:rPr>
        <w:t>Nurse Education in Practice, 47</w:t>
      </w:r>
      <w:r>
        <w:rPr>
          <w:rFonts w:ascii="Arial" w:hAnsi="Arial" w:cs="Arial"/>
          <w:sz w:val="20"/>
          <w:szCs w:val="20"/>
        </w:rPr>
        <w:t xml:space="preserve">, 102746. </w:t>
      </w:r>
      <w:hyperlink r:id="rId27" w:tgtFrame="_new" w:history="1">
        <w:r w:rsidR="00D71C12">
          <w:rPr>
            <w:rStyle w:val="Hyperlink"/>
            <w:rFonts w:ascii="Arial" w:hAnsi="Arial" w:cs="Arial"/>
            <w:color w:val="auto"/>
            <w:sz w:val="20"/>
            <w:szCs w:val="20"/>
          </w:rPr>
          <w:t>https://doi.org/10.1016/j.nepr.2020.102746</w:t>
        </w:r>
      </w:hyperlink>
    </w:p>
    <w:p w14:paraId="4FE08371"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 xml:space="preserve">Neubauer, B. E., Witkop, C. T., &amp; </w:t>
      </w:r>
      <w:proofErr w:type="spellStart"/>
      <w:r>
        <w:rPr>
          <w:rStyle w:val="Strong"/>
          <w:rFonts w:ascii="Arial" w:hAnsi="Arial" w:cs="Arial"/>
          <w:b w:val="0"/>
          <w:bCs w:val="0"/>
          <w:sz w:val="20"/>
          <w:szCs w:val="20"/>
        </w:rPr>
        <w:t>Varpio</w:t>
      </w:r>
      <w:proofErr w:type="spellEnd"/>
      <w:r>
        <w:rPr>
          <w:rStyle w:val="Strong"/>
          <w:rFonts w:ascii="Arial" w:hAnsi="Arial" w:cs="Arial"/>
          <w:b w:val="0"/>
          <w:bCs w:val="0"/>
          <w:sz w:val="20"/>
          <w:szCs w:val="20"/>
        </w:rPr>
        <w:t>, L. (2019).</w:t>
      </w:r>
      <w:r>
        <w:rPr>
          <w:rStyle w:val="Strong"/>
          <w:rFonts w:ascii="Arial" w:hAnsi="Arial" w:cs="Arial"/>
          <w:b w:val="0"/>
          <w:bCs w:val="0"/>
          <w:sz w:val="20"/>
          <w:szCs w:val="20"/>
          <w:lang w:val="en-PH"/>
        </w:rPr>
        <w:t xml:space="preserve"> </w:t>
      </w:r>
      <w:r>
        <w:rPr>
          <w:rFonts w:ascii="Arial" w:hAnsi="Arial" w:cs="Arial"/>
          <w:sz w:val="20"/>
          <w:szCs w:val="20"/>
        </w:rPr>
        <w:t xml:space="preserve">How phenomenology can help us learn from lived experience. </w:t>
      </w:r>
      <w:r>
        <w:rPr>
          <w:rStyle w:val="Emphasis"/>
          <w:rFonts w:ascii="Arial" w:hAnsi="Arial" w:cs="Arial"/>
          <w:sz w:val="20"/>
          <w:szCs w:val="20"/>
        </w:rPr>
        <w:t>Perspectives on Medical Education, 8</w:t>
      </w:r>
      <w:r>
        <w:rPr>
          <w:rFonts w:ascii="Arial" w:hAnsi="Arial" w:cs="Arial"/>
          <w:sz w:val="20"/>
          <w:szCs w:val="20"/>
        </w:rPr>
        <w:t xml:space="preserve">(2), 90–97. </w:t>
      </w:r>
      <w:hyperlink r:id="rId28" w:tgtFrame="_new" w:history="1">
        <w:r w:rsidR="00D71C12">
          <w:rPr>
            <w:rStyle w:val="Hyperlink"/>
            <w:rFonts w:ascii="Arial" w:hAnsi="Arial" w:cs="Arial"/>
            <w:color w:val="auto"/>
            <w:sz w:val="20"/>
            <w:szCs w:val="20"/>
          </w:rPr>
          <w:t>https://doi.org/10.1007/s40037-019-0509-2</w:t>
        </w:r>
      </w:hyperlink>
    </w:p>
    <w:p w14:paraId="731F6A27"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Nowell, L. S., Norris, J. M., White, D. E., &amp; Moules, N. J. (2017).</w:t>
      </w:r>
      <w:r>
        <w:rPr>
          <w:rStyle w:val="Strong"/>
          <w:rFonts w:ascii="Arial" w:hAnsi="Arial" w:cs="Arial"/>
          <w:b w:val="0"/>
          <w:bCs w:val="0"/>
          <w:sz w:val="20"/>
          <w:szCs w:val="20"/>
          <w:lang w:val="en-PH"/>
        </w:rPr>
        <w:t xml:space="preserve"> </w:t>
      </w:r>
      <w:r>
        <w:rPr>
          <w:rFonts w:ascii="Arial" w:hAnsi="Arial" w:cs="Arial"/>
          <w:sz w:val="20"/>
          <w:szCs w:val="20"/>
        </w:rPr>
        <w:t xml:space="preserve">Thematic analysis: Striving to meet the trustworthiness criteria. </w:t>
      </w:r>
      <w:r>
        <w:rPr>
          <w:rStyle w:val="Emphasis"/>
          <w:rFonts w:ascii="Arial" w:hAnsi="Arial" w:cs="Arial"/>
          <w:sz w:val="20"/>
          <w:szCs w:val="20"/>
        </w:rPr>
        <w:t>International Journal of Qualitative Methods, 16</w:t>
      </w:r>
      <w:r>
        <w:rPr>
          <w:rFonts w:ascii="Arial" w:hAnsi="Arial" w:cs="Arial"/>
          <w:sz w:val="20"/>
          <w:szCs w:val="20"/>
        </w:rPr>
        <w:t xml:space="preserve">, 1–13. </w:t>
      </w:r>
      <w:hyperlink r:id="rId29" w:tgtFrame="_new" w:history="1">
        <w:r w:rsidR="00D71C12">
          <w:rPr>
            <w:rStyle w:val="Hyperlink"/>
            <w:rFonts w:ascii="Arial" w:hAnsi="Arial" w:cs="Arial"/>
            <w:color w:val="auto"/>
            <w:sz w:val="20"/>
            <w:szCs w:val="20"/>
          </w:rPr>
          <w:t>https://doi.org/10.1177/1609406917733847</w:t>
        </w:r>
      </w:hyperlink>
    </w:p>
    <w:p w14:paraId="17384DC9"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Papastavrou, E., et al. (2021).</w:t>
      </w:r>
      <w:r>
        <w:rPr>
          <w:rStyle w:val="Strong"/>
          <w:rFonts w:ascii="Arial" w:hAnsi="Arial" w:cs="Arial"/>
          <w:b w:val="0"/>
          <w:bCs w:val="0"/>
          <w:sz w:val="20"/>
          <w:szCs w:val="20"/>
          <w:lang w:val="en-PH"/>
        </w:rPr>
        <w:t xml:space="preserve"> </w:t>
      </w:r>
      <w:r>
        <w:rPr>
          <w:rFonts w:ascii="Arial" w:hAnsi="Arial" w:cs="Arial"/>
          <w:sz w:val="20"/>
          <w:szCs w:val="20"/>
        </w:rPr>
        <w:t xml:space="preserve">Nursing students’ perceptions of caring and its teaching in nursing education. </w:t>
      </w:r>
      <w:r>
        <w:rPr>
          <w:rStyle w:val="Emphasis"/>
          <w:rFonts w:ascii="Arial" w:hAnsi="Arial" w:cs="Arial"/>
          <w:sz w:val="20"/>
          <w:szCs w:val="20"/>
        </w:rPr>
        <w:t>Nurse Education in Practice, 52</w:t>
      </w:r>
      <w:r>
        <w:rPr>
          <w:rFonts w:ascii="Arial" w:hAnsi="Arial" w:cs="Arial"/>
          <w:sz w:val="20"/>
          <w:szCs w:val="20"/>
        </w:rPr>
        <w:t xml:space="preserve">, 103017. </w:t>
      </w:r>
      <w:hyperlink r:id="rId30" w:tgtFrame="_new" w:history="1">
        <w:r w:rsidR="00D71C12">
          <w:rPr>
            <w:rStyle w:val="Hyperlink"/>
            <w:rFonts w:ascii="Arial" w:hAnsi="Arial" w:cs="Arial"/>
            <w:color w:val="auto"/>
            <w:sz w:val="20"/>
            <w:szCs w:val="20"/>
          </w:rPr>
          <w:t>https://doi.org/10.1016/j.nepr.2021.103017</w:t>
        </w:r>
      </w:hyperlink>
    </w:p>
    <w:p w14:paraId="660CD5FC"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Park, M., &amp; Kim, J. (2020).</w:t>
      </w:r>
      <w:r>
        <w:rPr>
          <w:rStyle w:val="Strong"/>
          <w:rFonts w:ascii="Arial" w:hAnsi="Arial" w:cs="Arial"/>
          <w:b w:val="0"/>
          <w:bCs w:val="0"/>
          <w:sz w:val="20"/>
          <w:szCs w:val="20"/>
          <w:lang w:val="en-PH"/>
        </w:rPr>
        <w:t xml:space="preserve"> </w:t>
      </w:r>
      <w:r>
        <w:rPr>
          <w:rFonts w:ascii="Arial" w:hAnsi="Arial" w:cs="Arial"/>
          <w:sz w:val="20"/>
          <w:szCs w:val="20"/>
        </w:rPr>
        <w:t xml:space="preserve">Nursing students’ understanding of caring in early clinical practice. </w:t>
      </w:r>
      <w:r>
        <w:rPr>
          <w:rStyle w:val="Emphasis"/>
          <w:rFonts w:ascii="Arial" w:hAnsi="Arial" w:cs="Arial"/>
          <w:sz w:val="20"/>
          <w:szCs w:val="20"/>
        </w:rPr>
        <w:t>International Nursing Review, 67</w:t>
      </w:r>
      <w:r>
        <w:rPr>
          <w:rFonts w:ascii="Arial" w:hAnsi="Arial" w:cs="Arial"/>
          <w:sz w:val="20"/>
          <w:szCs w:val="20"/>
        </w:rPr>
        <w:t xml:space="preserve">(3), 404–412. </w:t>
      </w:r>
      <w:hyperlink r:id="rId31" w:tgtFrame="_new" w:history="1">
        <w:r w:rsidR="00D71C12">
          <w:rPr>
            <w:rStyle w:val="Hyperlink"/>
            <w:rFonts w:ascii="Arial" w:hAnsi="Arial" w:cs="Arial"/>
            <w:color w:val="auto"/>
            <w:sz w:val="20"/>
            <w:szCs w:val="20"/>
          </w:rPr>
          <w:t>https://doi.org/10.1111/inr.12594</w:t>
        </w:r>
      </w:hyperlink>
    </w:p>
    <w:p w14:paraId="157A06B5"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Sargent, A. (2012).</w:t>
      </w:r>
      <w:r>
        <w:rPr>
          <w:rStyle w:val="Strong"/>
          <w:rFonts w:ascii="Arial" w:hAnsi="Arial" w:cs="Arial"/>
          <w:b w:val="0"/>
          <w:bCs w:val="0"/>
          <w:sz w:val="20"/>
          <w:szCs w:val="20"/>
          <w:lang w:val="en-PH"/>
        </w:rPr>
        <w:t xml:space="preserve"> </w:t>
      </w:r>
      <w:r>
        <w:rPr>
          <w:rFonts w:ascii="Arial" w:hAnsi="Arial" w:cs="Arial"/>
          <w:sz w:val="20"/>
          <w:szCs w:val="20"/>
        </w:rPr>
        <w:t xml:space="preserve">Emotional </w:t>
      </w:r>
      <w:proofErr w:type="spellStart"/>
      <w:r>
        <w:rPr>
          <w:rFonts w:ascii="Arial" w:hAnsi="Arial" w:cs="Arial"/>
          <w:sz w:val="20"/>
          <w:szCs w:val="20"/>
        </w:rPr>
        <w:t>labour</w:t>
      </w:r>
      <w:proofErr w:type="spellEnd"/>
      <w:r>
        <w:rPr>
          <w:rFonts w:ascii="Arial" w:hAnsi="Arial" w:cs="Arial"/>
          <w:sz w:val="20"/>
          <w:szCs w:val="20"/>
        </w:rPr>
        <w:t xml:space="preserve"> and nursing: Caring is not ‘free’. </w:t>
      </w:r>
      <w:r>
        <w:rPr>
          <w:rStyle w:val="Emphasis"/>
          <w:rFonts w:ascii="Arial" w:hAnsi="Arial" w:cs="Arial"/>
          <w:sz w:val="20"/>
          <w:szCs w:val="20"/>
        </w:rPr>
        <w:t>Journal of Health Organization and Management, 26</w:t>
      </w:r>
      <w:r>
        <w:rPr>
          <w:rFonts w:ascii="Arial" w:hAnsi="Arial" w:cs="Arial"/>
          <w:sz w:val="20"/>
          <w:szCs w:val="20"/>
        </w:rPr>
        <w:t xml:space="preserve">(1), 81–98. </w:t>
      </w:r>
      <w:hyperlink r:id="rId32" w:tgtFrame="_new" w:history="1">
        <w:r w:rsidR="00D71C12">
          <w:rPr>
            <w:rStyle w:val="Hyperlink"/>
            <w:rFonts w:ascii="Arial" w:hAnsi="Arial" w:cs="Arial"/>
            <w:color w:val="auto"/>
            <w:sz w:val="20"/>
            <w:szCs w:val="20"/>
          </w:rPr>
          <w:t>https://doi.org/10.1108/14777261211211027</w:t>
        </w:r>
      </w:hyperlink>
    </w:p>
    <w:p w14:paraId="055FFF49" w14:textId="77777777" w:rsidR="00D71C12" w:rsidRDefault="000D05F8">
      <w:pPr>
        <w:pStyle w:val="NormalWeb"/>
        <w:rPr>
          <w:rFonts w:ascii="Arial" w:hAnsi="Arial" w:cs="Arial"/>
          <w:sz w:val="20"/>
          <w:szCs w:val="20"/>
        </w:rPr>
      </w:pPr>
      <w:proofErr w:type="spellStart"/>
      <w:r>
        <w:rPr>
          <w:rStyle w:val="Strong"/>
          <w:rFonts w:ascii="Arial" w:hAnsi="Arial" w:cs="Arial"/>
          <w:b w:val="0"/>
          <w:bCs w:val="0"/>
          <w:sz w:val="20"/>
          <w:szCs w:val="20"/>
        </w:rPr>
        <w:t>Seemiller</w:t>
      </w:r>
      <w:proofErr w:type="spellEnd"/>
      <w:r>
        <w:rPr>
          <w:rStyle w:val="Strong"/>
          <w:rFonts w:ascii="Arial" w:hAnsi="Arial" w:cs="Arial"/>
          <w:b w:val="0"/>
          <w:bCs w:val="0"/>
          <w:sz w:val="20"/>
          <w:szCs w:val="20"/>
        </w:rPr>
        <w:t>, C., &amp; Grace, M. (2019).</w:t>
      </w:r>
      <w:r>
        <w:rPr>
          <w:rStyle w:val="Strong"/>
          <w:rFonts w:ascii="Arial" w:hAnsi="Arial" w:cs="Arial"/>
          <w:b w:val="0"/>
          <w:bCs w:val="0"/>
          <w:sz w:val="20"/>
          <w:szCs w:val="20"/>
          <w:lang w:val="en-PH"/>
        </w:rPr>
        <w:t xml:space="preserve"> </w:t>
      </w:r>
      <w:r>
        <w:rPr>
          <w:rStyle w:val="Emphasis"/>
          <w:rFonts w:ascii="Arial" w:hAnsi="Arial" w:cs="Arial"/>
          <w:sz w:val="20"/>
          <w:szCs w:val="20"/>
        </w:rPr>
        <w:t>Generation Z goes to college</w:t>
      </w:r>
      <w:r>
        <w:rPr>
          <w:rFonts w:ascii="Arial" w:hAnsi="Arial" w:cs="Arial"/>
          <w:sz w:val="20"/>
          <w:szCs w:val="20"/>
        </w:rPr>
        <w:t xml:space="preserve"> (2nd ed.). Routledge. </w:t>
      </w:r>
      <w:hyperlink r:id="rId33" w:tgtFrame="_new" w:history="1">
        <w:r w:rsidR="00D71C12">
          <w:rPr>
            <w:rStyle w:val="Hyperlink"/>
            <w:rFonts w:ascii="Arial" w:hAnsi="Arial" w:cs="Arial"/>
            <w:color w:val="auto"/>
            <w:sz w:val="20"/>
            <w:szCs w:val="20"/>
          </w:rPr>
          <w:t>https://doi.org/10.4324/9780429443444</w:t>
        </w:r>
      </w:hyperlink>
    </w:p>
    <w:p w14:paraId="4ED14978"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Simpson, T., &amp; Smith, A. (2019).</w:t>
      </w:r>
      <w:r>
        <w:rPr>
          <w:rStyle w:val="Strong"/>
          <w:rFonts w:ascii="Arial" w:hAnsi="Arial" w:cs="Arial"/>
          <w:b w:val="0"/>
          <w:bCs w:val="0"/>
          <w:sz w:val="20"/>
          <w:szCs w:val="20"/>
          <w:lang w:val="en-PH"/>
        </w:rPr>
        <w:t xml:space="preserve"> </w:t>
      </w:r>
      <w:r>
        <w:rPr>
          <w:rFonts w:ascii="Arial" w:hAnsi="Arial" w:cs="Arial"/>
          <w:sz w:val="20"/>
          <w:szCs w:val="20"/>
        </w:rPr>
        <w:t xml:space="preserve">First-year nursing students’ experiences of developing caring </w:t>
      </w:r>
      <w:proofErr w:type="spellStart"/>
      <w:r>
        <w:rPr>
          <w:rFonts w:ascii="Arial" w:hAnsi="Arial" w:cs="Arial"/>
          <w:sz w:val="20"/>
          <w:szCs w:val="20"/>
        </w:rPr>
        <w:t>behaviours</w:t>
      </w:r>
      <w:proofErr w:type="spellEnd"/>
      <w:r>
        <w:rPr>
          <w:rFonts w:ascii="Arial" w:hAnsi="Arial" w:cs="Arial"/>
          <w:sz w:val="20"/>
          <w:szCs w:val="20"/>
        </w:rPr>
        <w:t xml:space="preserve">: A qualitative study. </w:t>
      </w:r>
      <w:r>
        <w:rPr>
          <w:rStyle w:val="Emphasis"/>
          <w:rFonts w:ascii="Arial" w:hAnsi="Arial" w:cs="Arial"/>
          <w:sz w:val="20"/>
          <w:szCs w:val="20"/>
        </w:rPr>
        <w:t>Nurse Education in Practice, 38</w:t>
      </w:r>
      <w:r>
        <w:rPr>
          <w:rFonts w:ascii="Arial" w:hAnsi="Arial" w:cs="Arial"/>
          <w:sz w:val="20"/>
          <w:szCs w:val="20"/>
        </w:rPr>
        <w:t xml:space="preserve">, 31–36. </w:t>
      </w:r>
      <w:hyperlink r:id="rId34" w:tgtFrame="_new" w:history="1">
        <w:r w:rsidR="00D71C12">
          <w:rPr>
            <w:rStyle w:val="Hyperlink"/>
            <w:rFonts w:ascii="Arial" w:hAnsi="Arial" w:cs="Arial"/>
            <w:color w:val="auto"/>
            <w:sz w:val="20"/>
            <w:szCs w:val="20"/>
          </w:rPr>
          <w:t>https://doi.org/10.1016/j.nepr.2019.05.009</w:t>
        </w:r>
      </w:hyperlink>
    </w:p>
    <w:p w14:paraId="4DFC520A"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Watson, J. (2008).</w:t>
      </w:r>
      <w:r>
        <w:rPr>
          <w:rStyle w:val="Strong"/>
          <w:rFonts w:ascii="Arial" w:hAnsi="Arial" w:cs="Arial"/>
          <w:b w:val="0"/>
          <w:bCs w:val="0"/>
          <w:sz w:val="20"/>
          <w:szCs w:val="20"/>
          <w:lang w:val="en-PH"/>
        </w:rPr>
        <w:t xml:space="preserve"> </w:t>
      </w:r>
      <w:r>
        <w:rPr>
          <w:rStyle w:val="Emphasis"/>
          <w:rFonts w:ascii="Arial" w:hAnsi="Arial" w:cs="Arial"/>
          <w:sz w:val="20"/>
          <w:szCs w:val="20"/>
        </w:rPr>
        <w:t>Nursing: The philosophy and science of caring</w:t>
      </w:r>
      <w:r>
        <w:rPr>
          <w:rFonts w:ascii="Arial" w:hAnsi="Arial" w:cs="Arial"/>
          <w:sz w:val="20"/>
          <w:szCs w:val="20"/>
        </w:rPr>
        <w:t xml:space="preserve"> (Rev. ed.). University Press of Colorado. </w:t>
      </w:r>
      <w:hyperlink r:id="rId35" w:tgtFrame="_new" w:history="1">
        <w:r w:rsidR="00D71C12">
          <w:rPr>
            <w:rStyle w:val="Hyperlink"/>
            <w:rFonts w:ascii="Arial" w:hAnsi="Arial" w:cs="Arial"/>
            <w:color w:val="auto"/>
            <w:sz w:val="20"/>
            <w:szCs w:val="20"/>
          </w:rPr>
          <w:t>https://doi.org/10.2307/j.ctt1c84fg1</w:t>
        </w:r>
      </w:hyperlink>
    </w:p>
    <w:p w14:paraId="63E4347B"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Watson, J. (2018).</w:t>
      </w:r>
      <w:r>
        <w:rPr>
          <w:rStyle w:val="Strong"/>
          <w:rFonts w:ascii="Arial" w:hAnsi="Arial" w:cs="Arial"/>
          <w:b w:val="0"/>
          <w:bCs w:val="0"/>
          <w:sz w:val="20"/>
          <w:szCs w:val="20"/>
          <w:lang w:val="en-PH"/>
        </w:rPr>
        <w:t xml:space="preserve"> </w:t>
      </w:r>
      <w:r>
        <w:rPr>
          <w:rStyle w:val="Emphasis"/>
          <w:rFonts w:ascii="Arial" w:hAnsi="Arial" w:cs="Arial"/>
          <w:sz w:val="20"/>
          <w:szCs w:val="20"/>
        </w:rPr>
        <w:t>Unitary caring science: Theory and practice.</w:t>
      </w:r>
      <w:r>
        <w:rPr>
          <w:rFonts w:ascii="Arial" w:hAnsi="Arial" w:cs="Arial"/>
          <w:sz w:val="20"/>
          <w:szCs w:val="20"/>
        </w:rPr>
        <w:t xml:space="preserve"> Springer. </w:t>
      </w:r>
      <w:hyperlink r:id="rId36" w:tgtFrame="_new" w:history="1">
        <w:r w:rsidR="00D71C12">
          <w:rPr>
            <w:rStyle w:val="Hyperlink"/>
            <w:rFonts w:ascii="Arial" w:hAnsi="Arial" w:cs="Arial"/>
            <w:color w:val="auto"/>
            <w:sz w:val="20"/>
            <w:szCs w:val="20"/>
          </w:rPr>
          <w:t>https://doi.org/10.1891/9780826133033</w:t>
        </w:r>
      </w:hyperlink>
    </w:p>
    <w:p w14:paraId="44BE2D46" w14:textId="77777777" w:rsidR="00D71C12" w:rsidRDefault="000D05F8">
      <w:pPr>
        <w:pStyle w:val="NormalWeb"/>
        <w:rPr>
          <w:rFonts w:ascii="Arial" w:hAnsi="Arial" w:cs="Arial"/>
          <w:sz w:val="20"/>
          <w:szCs w:val="20"/>
        </w:rPr>
      </w:pPr>
      <w:r>
        <w:rPr>
          <w:rStyle w:val="Strong"/>
          <w:rFonts w:ascii="Arial" w:hAnsi="Arial" w:cs="Arial"/>
          <w:b w:val="0"/>
          <w:bCs w:val="0"/>
          <w:sz w:val="20"/>
          <w:szCs w:val="20"/>
        </w:rPr>
        <w:t>Yue, M., et al. (2021).</w:t>
      </w:r>
      <w:r>
        <w:rPr>
          <w:rStyle w:val="Strong"/>
          <w:rFonts w:ascii="Arial" w:hAnsi="Arial" w:cs="Arial"/>
          <w:b w:val="0"/>
          <w:bCs w:val="0"/>
          <w:sz w:val="20"/>
          <w:szCs w:val="20"/>
          <w:lang w:val="en-PH"/>
        </w:rPr>
        <w:t xml:space="preserve"> </w:t>
      </w:r>
      <w:r>
        <w:rPr>
          <w:rFonts w:ascii="Arial" w:hAnsi="Arial" w:cs="Arial"/>
          <w:sz w:val="20"/>
          <w:szCs w:val="20"/>
        </w:rPr>
        <w:t xml:space="preserve">Role modeling caring behaviors in clinical teaching. </w:t>
      </w:r>
      <w:r>
        <w:rPr>
          <w:rStyle w:val="Emphasis"/>
          <w:rFonts w:ascii="Arial" w:hAnsi="Arial" w:cs="Arial"/>
          <w:sz w:val="20"/>
          <w:szCs w:val="20"/>
        </w:rPr>
        <w:t>Journal of Nursing Education, 60</w:t>
      </w:r>
      <w:r>
        <w:rPr>
          <w:rFonts w:ascii="Arial" w:hAnsi="Arial" w:cs="Arial"/>
          <w:sz w:val="20"/>
          <w:szCs w:val="20"/>
        </w:rPr>
        <w:t xml:space="preserve">(5), 251–258. </w:t>
      </w:r>
      <w:hyperlink r:id="rId37" w:tgtFrame="_new" w:history="1">
        <w:r w:rsidR="00D71C12">
          <w:rPr>
            <w:rStyle w:val="Hyperlink"/>
            <w:rFonts w:ascii="Arial" w:hAnsi="Arial" w:cs="Arial"/>
            <w:color w:val="auto"/>
            <w:sz w:val="20"/>
            <w:szCs w:val="20"/>
          </w:rPr>
          <w:t>https://doi.org/10.3928/01484834-20210420-03</w:t>
        </w:r>
      </w:hyperlink>
    </w:p>
    <w:sectPr w:rsidR="00D71C12" w:rsidSect="009732A4">
      <w:headerReference w:type="even" r:id="rId38"/>
      <w:headerReference w:type="default" r:id="rId39"/>
      <w:footerReference w:type="default" r:id="rId40"/>
      <w:headerReference w:type="first" r:id="rId41"/>
      <w:type w:val="continuous"/>
      <w:pgSz w:w="12240" w:h="15840"/>
      <w:pgMar w:top="1440" w:right="2018" w:bottom="2018" w:left="20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6-02-02T09:40:00Z" w:initials="MOU">
    <w:p w14:paraId="6E28D79E" w14:textId="0BAA3BA8" w:rsidR="001C73B6" w:rsidRDefault="001C73B6">
      <w:pPr>
        <w:pStyle w:val="CommentText"/>
      </w:pPr>
      <w:r>
        <w:rPr>
          <w:rStyle w:val="CommentReference"/>
        </w:rPr>
        <w:annotationRef/>
      </w:r>
      <w:r>
        <w:t xml:space="preserve">Referance manager? MENDELY of  ZOTERO, please using reference manager for every section. </w:t>
      </w:r>
    </w:p>
  </w:comment>
  <w:comment w:id="1" w:author="Microsoft Office User" w:date="2026-02-02T09:37:00Z" w:initials="MOU">
    <w:p w14:paraId="541DAB9F" w14:textId="6369D54D" w:rsidR="001C73B6" w:rsidRDefault="001C73B6">
      <w:pPr>
        <w:pStyle w:val="CommentText"/>
      </w:pPr>
      <w:r>
        <w:rPr>
          <w:rStyle w:val="CommentReference"/>
        </w:rPr>
        <w:annotationRef/>
      </w:r>
      <w:r>
        <w:t xml:space="preserve">If </w:t>
      </w:r>
      <w:r>
        <w:t>the data analysis using computer aided qualitative data analysis software  Please mention this section.</w:t>
      </w:r>
    </w:p>
  </w:comment>
  <w:comment w:id="2" w:author="Microsoft Office User" w:date="2026-02-02T09:35:00Z" w:initials="MOU">
    <w:p w14:paraId="2C2EA40B" w14:textId="0BF86A96" w:rsidR="001C73B6" w:rsidRDefault="001C73B6">
      <w:pPr>
        <w:pStyle w:val="CommentText"/>
      </w:pPr>
      <w:r>
        <w:rPr>
          <w:rStyle w:val="CommentReference"/>
        </w:rPr>
        <w:annotationRef/>
      </w:r>
      <w:r>
        <w:t xml:space="preserve">Ethic </w:t>
      </w:r>
      <w:r>
        <w:t>have the code from research ethics</w:t>
      </w:r>
    </w:p>
  </w:comment>
  <w:comment w:id="3" w:author="Microsoft Office User" w:date="2026-02-02T09:34:00Z" w:initials="MOU">
    <w:p w14:paraId="22EC5A75" w14:textId="4211491D" w:rsidR="001C73B6" w:rsidRDefault="001C73B6">
      <w:pPr>
        <w:pStyle w:val="CommentText"/>
      </w:pPr>
      <w:r>
        <w:rPr>
          <w:rStyle w:val="CommentReference"/>
        </w:rPr>
        <w:annotationRef/>
      </w:r>
      <w:r>
        <w:t xml:space="preserve">Using </w:t>
      </w:r>
      <w:r>
        <w:t xml:space="preserve">tabel for explain this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28D79E" w15:done="0"/>
  <w15:commentEx w15:paraId="541DAB9F" w15:done="0"/>
  <w15:commentEx w15:paraId="2C2EA40B" w15:done="0"/>
  <w15:commentEx w15:paraId="22EC5A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28D79E" w16cid:durableId="2D2AEF74"/>
  <w16cid:commentId w16cid:paraId="541DAB9F" w16cid:durableId="2D2AEEC2"/>
  <w16cid:commentId w16cid:paraId="2C2EA40B" w16cid:durableId="2D2AEE6C"/>
  <w16cid:commentId w16cid:paraId="22EC5A75" w16cid:durableId="2D2AEE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9B685" w14:textId="77777777" w:rsidR="00711373" w:rsidRDefault="00711373">
      <w:r>
        <w:separator/>
      </w:r>
    </w:p>
  </w:endnote>
  <w:endnote w:type="continuationSeparator" w:id="0">
    <w:p w14:paraId="7082867E" w14:textId="77777777" w:rsidR="00711373" w:rsidRDefault="0071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7D6F" w14:textId="77777777" w:rsidR="006A632B" w:rsidRDefault="006A6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EDD8" w14:textId="77777777" w:rsidR="006A632B" w:rsidRDefault="006A6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CA2F" w14:textId="77777777" w:rsidR="00D71C12" w:rsidRDefault="00D71C12">
    <w:pPr>
      <w:pStyle w:val="Footer"/>
      <w:rPr>
        <w:rFonts w:ascii="Arial" w:hAnsi="Arial" w:cs="Arial"/>
        <w:sz w:val="16"/>
      </w:rPr>
    </w:pPr>
  </w:p>
  <w:p w14:paraId="789B2DBC" w14:textId="77777777" w:rsidR="00D71C12" w:rsidRDefault="000D05F8">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4367C21" w14:textId="77777777" w:rsidR="00D71C12" w:rsidRDefault="00D71C12">
    <w:pPr>
      <w:pStyle w:val="Footer"/>
      <w:rPr>
        <w:rFonts w:ascii="Arial" w:hAnsi="Arial" w:cs="Arial"/>
        <w:sz w:val="16"/>
      </w:rPr>
    </w:pPr>
  </w:p>
  <w:p w14:paraId="6945017C" w14:textId="12D72BAD" w:rsidR="00D71C12" w:rsidRDefault="00D71C12">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6167" w14:textId="77777777" w:rsidR="00D71C12" w:rsidRDefault="00D71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AE4E3" w14:textId="77777777" w:rsidR="00711373" w:rsidRDefault="00711373">
      <w:r>
        <w:separator/>
      </w:r>
    </w:p>
  </w:footnote>
  <w:footnote w:type="continuationSeparator" w:id="0">
    <w:p w14:paraId="624B8C65" w14:textId="77777777" w:rsidR="00711373" w:rsidRDefault="00711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7E361" w14:textId="4A60BB85" w:rsidR="006A632B" w:rsidRDefault="00711373">
    <w:pPr>
      <w:pStyle w:val="Header"/>
    </w:pPr>
    <w:r>
      <w:rPr>
        <w:noProof/>
      </w:rPr>
      <w:pict w14:anchorId="6C1A5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19"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E94EE" w14:textId="0F9B2533" w:rsidR="006A632B" w:rsidRDefault="00711373">
    <w:pPr>
      <w:pStyle w:val="Header"/>
    </w:pPr>
    <w:r>
      <w:rPr>
        <w:noProof/>
      </w:rPr>
      <w:pict w14:anchorId="3F4D3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0"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106B" w14:textId="224EA616" w:rsidR="00D71C12" w:rsidRDefault="00711373">
    <w:pPr>
      <w:ind w:left="2160"/>
      <w:jc w:val="center"/>
      <w:rPr>
        <w:rFonts w:ascii="Times New Roman" w:eastAsia="Calibri" w:hAnsi="Times New Roman"/>
        <w:i/>
        <w:sz w:val="18"/>
        <w:szCs w:val="22"/>
      </w:rPr>
    </w:pPr>
    <w:r>
      <w:rPr>
        <w:noProof/>
      </w:rPr>
      <w:pict w14:anchorId="5A0F9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18"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D06B0E9" w14:textId="77777777" w:rsidR="00D71C12" w:rsidRDefault="000D05F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4BDC4E4" w14:textId="77777777" w:rsidR="00D71C12" w:rsidRDefault="000D05F8">
    <w:pPr>
      <w:jc w:val="center"/>
      <w:rPr>
        <w:rFonts w:ascii="Times New Roman" w:eastAsia="Calibri" w:hAnsi="Times New Roman"/>
        <w:i/>
        <w:sz w:val="18"/>
        <w:szCs w:val="22"/>
      </w:rPr>
    </w:pPr>
    <w:r>
      <w:rPr>
        <w:rFonts w:ascii="Times New Roman" w:eastAsia="Calibri" w:hAnsi="Times New Roman"/>
        <w:i/>
        <w:sz w:val="18"/>
        <w:szCs w:val="22"/>
      </w:rPr>
      <w:t>.</w:t>
    </w:r>
  </w:p>
  <w:p w14:paraId="5F374E65" w14:textId="77777777" w:rsidR="00D71C12" w:rsidRDefault="000D05F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7C76449" w14:textId="77777777" w:rsidR="00D71C12" w:rsidRDefault="000D05F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75F3E6D" w14:textId="77777777" w:rsidR="00D71C12" w:rsidRDefault="000D05F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BEAC9BE" w14:textId="77777777" w:rsidR="00D71C12" w:rsidRDefault="000D05F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9F42" w14:textId="4C16A628" w:rsidR="006A632B" w:rsidRDefault="00711373">
    <w:pPr>
      <w:pStyle w:val="Header"/>
    </w:pPr>
    <w:r>
      <w:rPr>
        <w:noProof/>
      </w:rPr>
      <w:pict w14:anchorId="3DD5B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2"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7EF6" w14:textId="2C4C6666" w:rsidR="006A632B" w:rsidRDefault="00711373">
    <w:pPr>
      <w:pStyle w:val="Header"/>
    </w:pPr>
    <w:r>
      <w:rPr>
        <w:noProof/>
      </w:rPr>
      <w:pict w14:anchorId="5320C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3"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4E5C" w14:textId="6D040BA7" w:rsidR="006A632B" w:rsidRDefault="00711373">
    <w:pPr>
      <w:pStyle w:val="Header"/>
    </w:pPr>
    <w:r>
      <w:rPr>
        <w:noProof/>
      </w:rPr>
      <w:pict w14:anchorId="1E7AE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558221"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EB7493"/>
    <w:multiLevelType w:val="singleLevel"/>
    <w:tmpl w:val="8CEB7493"/>
    <w:lvl w:ilvl="0">
      <w:start w:val="6"/>
      <w:numFmt w:val="decimal"/>
      <w:suff w:val="space"/>
      <w:lvlText w:val="%1."/>
      <w:lvlJc w:val="left"/>
    </w:lvl>
  </w:abstractNum>
  <w:abstractNum w:abstractNumId="1" w15:restartNumberingAfterBreak="0">
    <w:nsid w:val="D7E409E5"/>
    <w:multiLevelType w:val="singleLevel"/>
    <w:tmpl w:val="D7E409E5"/>
    <w:lvl w:ilvl="0">
      <w:start w:val="8"/>
      <w:numFmt w:val="decimal"/>
      <w:suff w:val="space"/>
      <w:lvlText w:val="%1."/>
      <w:lvlJc w:val="left"/>
    </w:lvl>
  </w:abstractNum>
  <w:abstractNum w:abstractNumId="2" w15:restartNumberingAfterBreak="0">
    <w:nsid w:val="14B5BD4C"/>
    <w:multiLevelType w:val="singleLevel"/>
    <w:tmpl w:val="14B5BD4C"/>
    <w:lvl w:ilvl="0">
      <w:start w:val="5"/>
      <w:numFmt w:val="upperLetter"/>
      <w:suff w:val="nothing"/>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05F8"/>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3B6"/>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B0D"/>
    <w:rsid w:val="00315186"/>
    <w:rsid w:val="0033343E"/>
    <w:rsid w:val="003512C2"/>
    <w:rsid w:val="00361FE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7BEC"/>
    <w:rsid w:val="005C784C"/>
    <w:rsid w:val="005D17F6"/>
    <w:rsid w:val="005E5539"/>
    <w:rsid w:val="005F50F3"/>
    <w:rsid w:val="00602BF5"/>
    <w:rsid w:val="00617FDD"/>
    <w:rsid w:val="00633614"/>
    <w:rsid w:val="00633F68"/>
    <w:rsid w:val="00636EB2"/>
    <w:rsid w:val="006375B8"/>
    <w:rsid w:val="0066510A"/>
    <w:rsid w:val="00673F9F"/>
    <w:rsid w:val="00686953"/>
    <w:rsid w:val="00687DEA"/>
    <w:rsid w:val="00687E67"/>
    <w:rsid w:val="006967F7"/>
    <w:rsid w:val="006A250C"/>
    <w:rsid w:val="006A632B"/>
    <w:rsid w:val="006B21D3"/>
    <w:rsid w:val="006B57D0"/>
    <w:rsid w:val="006C0434"/>
    <w:rsid w:val="006D30FF"/>
    <w:rsid w:val="006D6940"/>
    <w:rsid w:val="006F11EC"/>
    <w:rsid w:val="0070082C"/>
    <w:rsid w:val="00711373"/>
    <w:rsid w:val="007369E6"/>
    <w:rsid w:val="00746E59"/>
    <w:rsid w:val="0075063A"/>
    <w:rsid w:val="00754C9A"/>
    <w:rsid w:val="0075599A"/>
    <w:rsid w:val="00761D52"/>
    <w:rsid w:val="0077749E"/>
    <w:rsid w:val="00780D79"/>
    <w:rsid w:val="00790ADA"/>
    <w:rsid w:val="007D2288"/>
    <w:rsid w:val="007D76A7"/>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32A4"/>
    <w:rsid w:val="00983040"/>
    <w:rsid w:val="009B3FB9"/>
    <w:rsid w:val="009C2465"/>
    <w:rsid w:val="009C30D0"/>
    <w:rsid w:val="009D35A0"/>
    <w:rsid w:val="009D7EB7"/>
    <w:rsid w:val="009E048A"/>
    <w:rsid w:val="009E08E9"/>
    <w:rsid w:val="009E3DB9"/>
    <w:rsid w:val="009E6E35"/>
    <w:rsid w:val="009F0EDA"/>
    <w:rsid w:val="009F65AB"/>
    <w:rsid w:val="00A03B96"/>
    <w:rsid w:val="00A05B19"/>
    <w:rsid w:val="00A1134E"/>
    <w:rsid w:val="00A24E7E"/>
    <w:rsid w:val="00A258C3"/>
    <w:rsid w:val="00A347C0"/>
    <w:rsid w:val="00A47CEC"/>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0599"/>
    <w:rsid w:val="00C70F1B"/>
    <w:rsid w:val="00C71A47"/>
    <w:rsid w:val="00C7464C"/>
    <w:rsid w:val="00C85588"/>
    <w:rsid w:val="00CB38DD"/>
    <w:rsid w:val="00CD6755"/>
    <w:rsid w:val="00CD6856"/>
    <w:rsid w:val="00CE0089"/>
    <w:rsid w:val="00CE793C"/>
    <w:rsid w:val="00CF193C"/>
    <w:rsid w:val="00CF3E22"/>
    <w:rsid w:val="00D173F1"/>
    <w:rsid w:val="00D3586E"/>
    <w:rsid w:val="00D71C12"/>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7DF"/>
    <w:rsid w:val="00EC6A55"/>
    <w:rsid w:val="00ED0288"/>
    <w:rsid w:val="00EE52CB"/>
    <w:rsid w:val="00EF581D"/>
    <w:rsid w:val="00EF7FD8"/>
    <w:rsid w:val="00F06F59"/>
    <w:rsid w:val="00F17988"/>
    <w:rsid w:val="00F469F0"/>
    <w:rsid w:val="00F53273"/>
    <w:rsid w:val="00F53AFE"/>
    <w:rsid w:val="00F62A9D"/>
    <w:rsid w:val="00F755E4"/>
    <w:rsid w:val="00F77D02"/>
    <w:rsid w:val="00F82D49"/>
    <w:rsid w:val="00FA116A"/>
    <w:rsid w:val="00FB3A86"/>
    <w:rsid w:val="00FD36C8"/>
    <w:rsid w:val="035C3C17"/>
    <w:rsid w:val="03DD24A7"/>
    <w:rsid w:val="057161FA"/>
    <w:rsid w:val="07B973B9"/>
    <w:rsid w:val="0EAF5127"/>
    <w:rsid w:val="15CA64AD"/>
    <w:rsid w:val="19571821"/>
    <w:rsid w:val="24D863A1"/>
    <w:rsid w:val="36717E94"/>
    <w:rsid w:val="3BA25192"/>
    <w:rsid w:val="427E2B20"/>
    <w:rsid w:val="43052685"/>
    <w:rsid w:val="48DC7B96"/>
    <w:rsid w:val="4CD62F73"/>
    <w:rsid w:val="4D1914FC"/>
    <w:rsid w:val="4E807848"/>
    <w:rsid w:val="62DE7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7BCA5E9F"/>
  <w15:docId w15:val="{3DEA440B-9814-41DF-88C8-B0FCB7C8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56">
    <w:name w:val="_Style 56"/>
    <w:basedOn w:val="TableNormal1"/>
    <w:qFormat/>
    <w:tblPr/>
  </w:style>
  <w:style w:type="table" w:customStyle="1" w:styleId="TableNormal1">
    <w:name w:val="Table Normal1"/>
    <w:qFormat/>
    <w:tblPr>
      <w:tblCellMar>
        <w:top w:w="0" w:type="dxa"/>
        <w:left w:w="0" w:type="dxa"/>
        <w:bottom w:w="0" w:type="dxa"/>
        <w:right w:w="0" w:type="dxa"/>
      </w:tblCellMar>
    </w:tblPr>
  </w:style>
  <w:style w:type="table" w:customStyle="1" w:styleId="Style57">
    <w:name w:val="_Style 57"/>
    <w:basedOn w:val="TableNormal1"/>
    <w:qFormat/>
    <w:tblPr/>
  </w:style>
  <w:style w:type="table" w:customStyle="1" w:styleId="Style58">
    <w:name w:val="_Style 58"/>
    <w:basedOn w:val="TableNormal1"/>
    <w:qFormat/>
    <w:tblPr/>
  </w:style>
  <w:style w:type="table" w:customStyle="1" w:styleId="Style59">
    <w:name w:val="_Style 59"/>
    <w:basedOn w:val="TableNormal1"/>
    <w:qFormat/>
    <w:tblPr/>
  </w:style>
  <w:style w:type="table" w:customStyle="1" w:styleId="Style60">
    <w:name w:val="_Style 60"/>
    <w:basedOn w:val="TableNormal1"/>
    <w:qFormat/>
    <w:tblPr/>
  </w:style>
  <w:style w:type="table" w:customStyle="1" w:styleId="Style61">
    <w:name w:val="_Style 61"/>
    <w:basedOn w:val="TableNormal1"/>
    <w:qFormat/>
    <w:tblPr/>
  </w:style>
  <w:style w:type="character" w:customStyle="1" w:styleId="font21">
    <w:name w:val="font21"/>
    <w:qFormat/>
    <w:rPr>
      <w:rFonts w:ascii="Arial" w:hAnsi="Arial" w:cs="Arial" w:hint="default"/>
      <w:b/>
      <w:bCs/>
      <w:color w:val="000000"/>
      <w:sz w:val="18"/>
      <w:szCs w:val="18"/>
      <w:u w:val="none"/>
    </w:rPr>
  </w:style>
  <w:style w:type="character" w:customStyle="1" w:styleId="font51">
    <w:name w:val="font51"/>
    <w:qFormat/>
    <w:rPr>
      <w:rFonts w:ascii="Arial" w:hAnsi="Arial" w:cs="Arial" w:hint="default"/>
      <w:b/>
      <w:bCs/>
      <w:color w:val="000000"/>
      <w:sz w:val="18"/>
      <w:szCs w:val="18"/>
      <w:u w:val="none"/>
      <w:vertAlign w:val="superscript"/>
    </w:rPr>
  </w:style>
  <w:style w:type="character" w:styleId="UnresolvedMention">
    <w:name w:val="Unresolved Mention"/>
    <w:basedOn w:val="DefaultParagraphFont"/>
    <w:uiPriority w:val="99"/>
    <w:semiHidden/>
    <w:unhideWhenUsed/>
    <w:rsid w:val="00CF3E22"/>
    <w:rPr>
      <w:color w:val="605E5C"/>
      <w:shd w:val="clear" w:color="auto" w:fill="E1DFDD"/>
    </w:rPr>
  </w:style>
  <w:style w:type="paragraph" w:styleId="CommentSubject">
    <w:name w:val="annotation subject"/>
    <w:basedOn w:val="CommentText"/>
    <w:next w:val="CommentText"/>
    <w:link w:val="CommentSubjectChar"/>
    <w:semiHidden/>
    <w:unhideWhenUsed/>
    <w:rsid w:val="001C73B6"/>
    <w:rPr>
      <w:rFonts w:ascii="Helvetica" w:hAnsi="Helvetica"/>
      <w:b/>
      <w:bCs/>
      <w:lang w:val="en-US" w:eastAsia="en-US"/>
    </w:rPr>
  </w:style>
  <w:style w:type="character" w:customStyle="1" w:styleId="CommentSubjectChar">
    <w:name w:val="Comment Subject Char"/>
    <w:basedOn w:val="CommentTextChar"/>
    <w:link w:val="CommentSubject"/>
    <w:semiHidden/>
    <w:rsid w:val="001C73B6"/>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hyperlink" Target="https://doi.org/10.1016/j.nedt.2022.105337" TargetMode="External"/><Relationship Id="rId39" Type="http://schemas.openxmlformats.org/officeDocument/2006/relationships/header" Target="header5.xml"/><Relationship Id="rId21" Type="http://schemas.openxmlformats.org/officeDocument/2006/relationships/hyperlink" Target="https://doi.org/10.1016/j.nedt.2017.12.021" TargetMode="External"/><Relationship Id="rId34" Type="http://schemas.openxmlformats.org/officeDocument/2006/relationships/hyperlink" Target="https://doi.org/10.1016/j.nepr.2019.05.009"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doi.org/10.1080/2159676X.2019.1628806" TargetMode="External"/><Relationship Id="rId29" Type="http://schemas.openxmlformats.org/officeDocument/2006/relationships/hyperlink" Target="https://doi.org/10.1177/1609406917733847"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11/j.1365-2702.2006.01824.x" TargetMode="External"/><Relationship Id="rId32" Type="http://schemas.openxmlformats.org/officeDocument/2006/relationships/hyperlink" Target="https://doi.org/10.1108/14777261211211027" TargetMode="External"/><Relationship Id="rId37" Type="http://schemas.openxmlformats.org/officeDocument/2006/relationships/hyperlink" Target="https://doi.org/10.3928/01484834-20210420-03"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1016/j.nedt.2021.104964" TargetMode="External"/><Relationship Id="rId28" Type="http://schemas.openxmlformats.org/officeDocument/2006/relationships/hyperlink" Target="https://doi.org/10.1007/s40037-019-0509-2" TargetMode="External"/><Relationship Id="rId36" Type="http://schemas.openxmlformats.org/officeDocument/2006/relationships/hyperlink" Target="https://doi.org/10.1891/9780826133033" TargetMode="External"/><Relationship Id="rId10" Type="http://schemas.openxmlformats.org/officeDocument/2006/relationships/header" Target="header2.xml"/><Relationship Id="rId19" Type="http://schemas.openxmlformats.org/officeDocument/2006/relationships/hyperlink" Target="https://doi.org/10.1191/1478088706qp063oa" TargetMode="External"/><Relationship Id="rId31" Type="http://schemas.openxmlformats.org/officeDocument/2006/relationships/hyperlink" Target="https://doi.org/10.1111/inr.12594"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nepr.2018.02.005" TargetMode="External"/><Relationship Id="rId27" Type="http://schemas.openxmlformats.org/officeDocument/2006/relationships/hyperlink" Target="https://doi.org/10.1016/j.nepr.2020.102746" TargetMode="External"/><Relationship Id="rId30" Type="http://schemas.openxmlformats.org/officeDocument/2006/relationships/hyperlink" Target="https://doi.org/10.1016/j.nepr.2021.103017" TargetMode="External"/><Relationship Id="rId35" Type="http://schemas.openxmlformats.org/officeDocument/2006/relationships/hyperlink" Target="https://doi.org/10.2307/j.ctt1c84fg1" TargetMode="External"/><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yperlink" Target="https://doi.org/10.1016/j.ecns.2019.10.001" TargetMode="External"/><Relationship Id="rId33" Type="http://schemas.openxmlformats.org/officeDocument/2006/relationships/hyperlink" Target="https://doi.org/10.4324/9780429443444"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DA878C-23EF-431A-BC53-8F501126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9</Pages>
  <Words>4111</Words>
  <Characters>23437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28</cp:revision>
  <cp:lastPrinted>1999-07-06T11:00:00Z</cp:lastPrinted>
  <dcterms:created xsi:type="dcterms:W3CDTF">2014-10-25T14:34:00Z</dcterms:created>
  <dcterms:modified xsi:type="dcterms:W3CDTF">2026-02-02T12:47:00Z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4707A47B82E14E1AAD5FA41522FDB88D_12</vt:lpwstr>
  </property>
</Properties>
</file>