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9AC" w:rsidRDefault="008469AC">
      <w:pPr>
        <w:pStyle w:val="BodyText"/>
        <w:spacing w:before="94"/>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8"/>
        <w:gridCol w:w="15771"/>
      </w:tblGrid>
      <w:tr w:rsidR="008469AC">
        <w:trPr>
          <w:trHeight w:val="286"/>
        </w:trPr>
        <w:tc>
          <w:tcPr>
            <w:tcW w:w="5168" w:type="dxa"/>
            <w:tcBorders>
              <w:left w:val="single" w:sz="4" w:space="0" w:color="000000"/>
              <w:right w:val="single" w:sz="4" w:space="0" w:color="000000"/>
            </w:tcBorders>
          </w:tcPr>
          <w:p w:rsidR="008469AC" w:rsidRDefault="0024412D">
            <w:pPr>
              <w:pStyle w:val="TableParagraph"/>
              <w:spacing w:before="2"/>
              <w:ind w:left="91"/>
              <w:rPr>
                <w:rFonts w:ascii="Arial"/>
                <w:sz w:val="20"/>
              </w:rPr>
            </w:pPr>
            <w:r>
              <w:rPr>
                <w:rFonts w:ascii="Arial"/>
                <w:sz w:val="20"/>
              </w:rPr>
              <w:t>Journal</w:t>
            </w:r>
            <w:r>
              <w:rPr>
                <w:rFonts w:ascii="Arial"/>
                <w:spacing w:val="-7"/>
                <w:sz w:val="20"/>
              </w:rPr>
              <w:t xml:space="preserve"> </w:t>
            </w:r>
            <w:r>
              <w:rPr>
                <w:rFonts w:ascii="Arial"/>
                <w:spacing w:val="-2"/>
                <w:sz w:val="20"/>
              </w:rPr>
              <w:t>Name:</w:t>
            </w:r>
          </w:p>
        </w:tc>
        <w:tc>
          <w:tcPr>
            <w:tcW w:w="15771" w:type="dxa"/>
            <w:tcBorders>
              <w:left w:val="single" w:sz="4" w:space="0" w:color="000000"/>
              <w:right w:val="single" w:sz="4" w:space="0" w:color="000000"/>
            </w:tcBorders>
          </w:tcPr>
          <w:p w:rsidR="008469AC" w:rsidRDefault="0087446C">
            <w:pPr>
              <w:pStyle w:val="TableParagraph"/>
              <w:spacing w:before="33"/>
              <w:ind w:left="108"/>
              <w:rPr>
                <w:rFonts w:ascii="Arial"/>
                <w:b/>
                <w:sz w:val="20"/>
              </w:rPr>
            </w:pPr>
            <w:hyperlink r:id="rId6">
              <w:r w:rsidR="0024412D">
                <w:rPr>
                  <w:rFonts w:ascii="Arial"/>
                  <w:b/>
                  <w:color w:val="0000FF"/>
                  <w:sz w:val="20"/>
                  <w:u w:val="single" w:color="0000FF"/>
                </w:rPr>
                <w:t>Asian</w:t>
              </w:r>
              <w:r w:rsidR="0024412D">
                <w:rPr>
                  <w:rFonts w:ascii="Arial"/>
                  <w:b/>
                  <w:color w:val="0000FF"/>
                  <w:spacing w:val="-5"/>
                  <w:sz w:val="20"/>
                  <w:u w:val="single" w:color="0000FF"/>
                </w:rPr>
                <w:t xml:space="preserve"> </w:t>
              </w:r>
              <w:r w:rsidR="0024412D">
                <w:rPr>
                  <w:rFonts w:ascii="Arial"/>
                  <w:b/>
                  <w:color w:val="0000FF"/>
                  <w:sz w:val="20"/>
                  <w:u w:val="single" w:color="0000FF"/>
                </w:rPr>
                <w:t>Journal</w:t>
              </w:r>
              <w:r w:rsidR="0024412D">
                <w:rPr>
                  <w:rFonts w:ascii="Arial"/>
                  <w:b/>
                  <w:color w:val="0000FF"/>
                  <w:spacing w:val="-2"/>
                  <w:sz w:val="20"/>
                  <w:u w:val="single" w:color="0000FF"/>
                </w:rPr>
                <w:t xml:space="preserve"> </w:t>
              </w:r>
              <w:r w:rsidR="0024412D">
                <w:rPr>
                  <w:rFonts w:ascii="Arial"/>
                  <w:b/>
                  <w:color w:val="0000FF"/>
                  <w:sz w:val="20"/>
                  <w:u w:val="single" w:color="0000FF"/>
                </w:rPr>
                <w:t>of</w:t>
              </w:r>
              <w:r w:rsidR="0024412D">
                <w:rPr>
                  <w:rFonts w:ascii="Arial"/>
                  <w:b/>
                  <w:color w:val="0000FF"/>
                  <w:spacing w:val="-6"/>
                  <w:sz w:val="20"/>
                  <w:u w:val="single" w:color="0000FF"/>
                </w:rPr>
                <w:t xml:space="preserve"> </w:t>
              </w:r>
              <w:r w:rsidR="0024412D">
                <w:rPr>
                  <w:rFonts w:ascii="Arial"/>
                  <w:b/>
                  <w:color w:val="0000FF"/>
                  <w:sz w:val="20"/>
                  <w:u w:val="single" w:color="0000FF"/>
                </w:rPr>
                <w:t>Research</w:t>
              </w:r>
              <w:r w:rsidR="0024412D">
                <w:rPr>
                  <w:rFonts w:ascii="Arial"/>
                  <w:b/>
                  <w:color w:val="0000FF"/>
                  <w:spacing w:val="-6"/>
                  <w:sz w:val="20"/>
                  <w:u w:val="single" w:color="0000FF"/>
                </w:rPr>
                <w:t xml:space="preserve"> </w:t>
              </w:r>
              <w:r w:rsidR="0024412D">
                <w:rPr>
                  <w:rFonts w:ascii="Arial"/>
                  <w:b/>
                  <w:color w:val="0000FF"/>
                  <w:sz w:val="20"/>
                  <w:u w:val="single" w:color="0000FF"/>
                </w:rPr>
                <w:t>in</w:t>
              </w:r>
              <w:r w:rsidR="0024412D">
                <w:rPr>
                  <w:rFonts w:ascii="Arial"/>
                  <w:b/>
                  <w:color w:val="0000FF"/>
                  <w:spacing w:val="-4"/>
                  <w:sz w:val="20"/>
                  <w:u w:val="single" w:color="0000FF"/>
                </w:rPr>
                <w:t xml:space="preserve"> </w:t>
              </w:r>
              <w:r w:rsidR="0024412D">
                <w:rPr>
                  <w:rFonts w:ascii="Arial"/>
                  <w:b/>
                  <w:color w:val="0000FF"/>
                  <w:spacing w:val="-2"/>
                  <w:sz w:val="20"/>
                  <w:u w:val="single" w:color="0000FF"/>
                </w:rPr>
                <w:t>Zoology</w:t>
              </w:r>
            </w:hyperlink>
          </w:p>
        </w:tc>
      </w:tr>
      <w:tr w:rsidR="008469AC">
        <w:trPr>
          <w:trHeight w:val="287"/>
        </w:trPr>
        <w:tc>
          <w:tcPr>
            <w:tcW w:w="5168" w:type="dxa"/>
            <w:tcBorders>
              <w:left w:val="single" w:sz="4" w:space="0" w:color="000000"/>
              <w:bottom w:val="single" w:sz="4" w:space="0" w:color="000000"/>
              <w:right w:val="single" w:sz="4" w:space="0" w:color="000000"/>
            </w:tcBorders>
          </w:tcPr>
          <w:p w:rsidR="008469AC" w:rsidRDefault="0024412D">
            <w:pPr>
              <w:pStyle w:val="TableParagraph"/>
              <w:spacing w:before="2"/>
              <w:ind w:left="91"/>
              <w:rPr>
                <w:rFonts w:ascii="Arial"/>
                <w:sz w:val="20"/>
              </w:rPr>
            </w:pPr>
            <w:r>
              <w:rPr>
                <w:rFonts w:ascii="Arial"/>
                <w:sz w:val="20"/>
              </w:rPr>
              <w:t>Manuscript</w:t>
            </w:r>
            <w:r>
              <w:rPr>
                <w:rFonts w:ascii="Arial"/>
                <w:spacing w:val="-7"/>
                <w:sz w:val="20"/>
              </w:rPr>
              <w:t xml:space="preserve"> </w:t>
            </w:r>
            <w:r>
              <w:rPr>
                <w:rFonts w:ascii="Arial"/>
                <w:spacing w:val="-2"/>
                <w:sz w:val="20"/>
              </w:rPr>
              <w:t>Number:</w:t>
            </w:r>
          </w:p>
        </w:tc>
        <w:tc>
          <w:tcPr>
            <w:tcW w:w="15771" w:type="dxa"/>
            <w:tcBorders>
              <w:left w:val="single" w:sz="4" w:space="0" w:color="000000"/>
              <w:bottom w:val="single" w:sz="4" w:space="0" w:color="000000"/>
              <w:right w:val="single" w:sz="4" w:space="0" w:color="000000"/>
            </w:tcBorders>
          </w:tcPr>
          <w:p w:rsidR="008469AC" w:rsidRDefault="0024412D">
            <w:pPr>
              <w:pStyle w:val="TableParagraph"/>
              <w:spacing w:before="29"/>
              <w:ind w:left="108"/>
              <w:rPr>
                <w:rFonts w:ascii="Arial"/>
                <w:b/>
                <w:sz w:val="20"/>
              </w:rPr>
            </w:pPr>
            <w:r>
              <w:rPr>
                <w:rFonts w:ascii="Arial"/>
                <w:b/>
                <w:spacing w:val="-2"/>
                <w:sz w:val="20"/>
              </w:rPr>
              <w:t>Ms_AJRIZ_152481</w:t>
            </w:r>
          </w:p>
        </w:tc>
      </w:tr>
      <w:tr w:rsidR="008469AC">
        <w:trPr>
          <w:trHeight w:val="651"/>
        </w:trPr>
        <w:tc>
          <w:tcPr>
            <w:tcW w:w="5168"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spacing w:before="3"/>
              <w:ind w:left="91"/>
              <w:rPr>
                <w:rFonts w:ascii="Arial"/>
                <w:sz w:val="20"/>
              </w:rPr>
            </w:pPr>
            <w:r>
              <w:rPr>
                <w:rFonts w:ascii="Arial"/>
                <w:sz w:val="20"/>
              </w:rPr>
              <w:t>Title</w:t>
            </w:r>
            <w:r>
              <w:rPr>
                <w:rFonts w:ascii="Arial"/>
                <w:spacing w:val="-6"/>
                <w:sz w:val="20"/>
              </w:rPr>
              <w:t xml:space="preserve"> </w:t>
            </w:r>
            <w:r>
              <w:rPr>
                <w:rFonts w:ascii="Arial"/>
                <w:sz w:val="20"/>
              </w:rPr>
              <w:t>of</w:t>
            </w:r>
            <w:r>
              <w:rPr>
                <w:rFonts w:ascii="Arial"/>
                <w:spacing w:val="-5"/>
                <w:sz w:val="20"/>
              </w:rPr>
              <w:t xml:space="preserve"> </w:t>
            </w:r>
            <w:r>
              <w:rPr>
                <w:rFonts w:ascii="Arial"/>
                <w:sz w:val="20"/>
              </w:rPr>
              <w:t>the</w:t>
            </w:r>
            <w:r>
              <w:rPr>
                <w:rFonts w:ascii="Arial"/>
                <w:spacing w:val="-2"/>
                <w:sz w:val="20"/>
              </w:rPr>
              <w:t xml:space="preserve"> Manuscript:</w:t>
            </w:r>
          </w:p>
        </w:tc>
        <w:tc>
          <w:tcPr>
            <w:tcW w:w="15771"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spacing w:before="212"/>
              <w:ind w:left="108"/>
              <w:rPr>
                <w:rFonts w:ascii="Arial"/>
                <w:b/>
                <w:sz w:val="20"/>
              </w:rPr>
            </w:pPr>
            <w:r>
              <w:rPr>
                <w:rFonts w:ascii="Arial"/>
                <w:b/>
                <w:sz w:val="20"/>
              </w:rPr>
              <w:t>Cytotoxic</w:t>
            </w:r>
            <w:r>
              <w:rPr>
                <w:rFonts w:ascii="Arial"/>
                <w:b/>
                <w:spacing w:val="-7"/>
                <w:sz w:val="20"/>
              </w:rPr>
              <w:t xml:space="preserve"> </w:t>
            </w:r>
            <w:r>
              <w:rPr>
                <w:rFonts w:ascii="Arial"/>
                <w:b/>
                <w:sz w:val="20"/>
              </w:rPr>
              <w:t>effects</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cypermethrin</w:t>
            </w:r>
            <w:r>
              <w:rPr>
                <w:rFonts w:ascii="Arial"/>
                <w:b/>
                <w:spacing w:val="-5"/>
                <w:sz w:val="20"/>
              </w:rPr>
              <w:t xml:space="preserve"> </w:t>
            </w:r>
            <w:r>
              <w:rPr>
                <w:rFonts w:ascii="Arial"/>
                <w:b/>
                <w:sz w:val="20"/>
              </w:rPr>
              <w:t>and</w:t>
            </w:r>
            <w:r>
              <w:rPr>
                <w:rFonts w:ascii="Arial"/>
                <w:b/>
                <w:spacing w:val="-7"/>
                <w:sz w:val="20"/>
              </w:rPr>
              <w:t xml:space="preserve"> </w:t>
            </w:r>
            <w:r>
              <w:rPr>
                <w:rFonts w:ascii="Arial"/>
                <w:b/>
                <w:sz w:val="20"/>
              </w:rPr>
              <w:t>methyl</w:t>
            </w:r>
            <w:r>
              <w:rPr>
                <w:rFonts w:ascii="Arial"/>
                <w:b/>
                <w:spacing w:val="-4"/>
                <w:sz w:val="20"/>
              </w:rPr>
              <w:t xml:space="preserve"> </w:t>
            </w:r>
            <w:r>
              <w:rPr>
                <w:rFonts w:ascii="Arial"/>
                <w:b/>
                <w:sz w:val="20"/>
              </w:rPr>
              <w:t>parathion:</w:t>
            </w:r>
            <w:r>
              <w:rPr>
                <w:rFonts w:ascii="Arial"/>
                <w:b/>
                <w:spacing w:val="-4"/>
                <w:sz w:val="20"/>
              </w:rPr>
              <w:t xml:space="preserve"> </w:t>
            </w:r>
            <w:r>
              <w:rPr>
                <w:rFonts w:ascii="Arial"/>
                <w:b/>
                <w:sz w:val="20"/>
              </w:rPr>
              <w:t>in</w:t>
            </w:r>
            <w:r>
              <w:rPr>
                <w:rFonts w:ascii="Arial"/>
                <w:b/>
                <w:spacing w:val="-4"/>
                <w:sz w:val="20"/>
              </w:rPr>
              <w:t xml:space="preserve"> </w:t>
            </w:r>
            <w:r>
              <w:rPr>
                <w:rFonts w:ascii="Arial"/>
                <w:b/>
                <w:sz w:val="20"/>
              </w:rPr>
              <w:t>vitro</w:t>
            </w:r>
            <w:r>
              <w:rPr>
                <w:rFonts w:ascii="Arial"/>
                <w:b/>
                <w:spacing w:val="-5"/>
                <w:sz w:val="20"/>
              </w:rPr>
              <w:t xml:space="preserve"> </w:t>
            </w:r>
            <w:r>
              <w:rPr>
                <w:rFonts w:ascii="Arial"/>
                <w:b/>
                <w:sz w:val="20"/>
              </w:rPr>
              <w:t>and</w:t>
            </w:r>
            <w:r>
              <w:rPr>
                <w:rFonts w:ascii="Arial"/>
                <w:b/>
                <w:spacing w:val="-7"/>
                <w:sz w:val="20"/>
              </w:rPr>
              <w:t xml:space="preserve"> </w:t>
            </w:r>
            <w:r>
              <w:rPr>
                <w:rFonts w:ascii="Arial"/>
                <w:b/>
                <w:sz w:val="20"/>
              </w:rPr>
              <w:t>in</w:t>
            </w:r>
            <w:r>
              <w:rPr>
                <w:rFonts w:ascii="Arial"/>
                <w:b/>
                <w:spacing w:val="-6"/>
                <w:sz w:val="20"/>
              </w:rPr>
              <w:t xml:space="preserve"> </w:t>
            </w:r>
            <w:r>
              <w:rPr>
                <w:rFonts w:ascii="Arial"/>
                <w:b/>
                <w:sz w:val="20"/>
              </w:rPr>
              <w:t>vivo</w:t>
            </w:r>
            <w:r>
              <w:rPr>
                <w:rFonts w:ascii="Arial"/>
                <w:b/>
                <w:spacing w:val="-5"/>
                <w:sz w:val="20"/>
              </w:rPr>
              <w:t xml:space="preserve"> </w:t>
            </w:r>
            <w:r>
              <w:rPr>
                <w:rFonts w:ascii="Arial"/>
                <w:b/>
                <w:spacing w:val="-2"/>
                <w:sz w:val="20"/>
              </w:rPr>
              <w:t>studies</w:t>
            </w:r>
          </w:p>
        </w:tc>
      </w:tr>
      <w:tr w:rsidR="008469AC">
        <w:trPr>
          <w:trHeight w:val="329"/>
        </w:trPr>
        <w:tc>
          <w:tcPr>
            <w:tcW w:w="5168"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spacing w:before="3"/>
              <w:ind w:left="91"/>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Article</w:t>
            </w:r>
          </w:p>
        </w:tc>
        <w:tc>
          <w:tcPr>
            <w:tcW w:w="15771"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spacing w:before="55"/>
              <w:ind w:left="108"/>
              <w:rPr>
                <w:rFonts w:ascii="Arial"/>
                <w:b/>
                <w:sz w:val="20"/>
              </w:rPr>
            </w:pPr>
            <w:r>
              <w:rPr>
                <w:rFonts w:ascii="Arial"/>
                <w:b/>
                <w:sz w:val="20"/>
              </w:rPr>
              <w:t>Original</w:t>
            </w:r>
            <w:r>
              <w:rPr>
                <w:rFonts w:ascii="Arial"/>
                <w:b/>
                <w:spacing w:val="-8"/>
                <w:sz w:val="20"/>
              </w:rPr>
              <w:t xml:space="preserve"> </w:t>
            </w:r>
            <w:r>
              <w:rPr>
                <w:rFonts w:ascii="Arial"/>
                <w:b/>
                <w:sz w:val="20"/>
              </w:rPr>
              <w:t>Research</w:t>
            </w:r>
            <w:r>
              <w:rPr>
                <w:rFonts w:ascii="Arial"/>
                <w:b/>
                <w:spacing w:val="-9"/>
                <w:sz w:val="20"/>
              </w:rPr>
              <w:t xml:space="preserve"> </w:t>
            </w:r>
            <w:r>
              <w:rPr>
                <w:rFonts w:ascii="Arial"/>
                <w:b/>
                <w:spacing w:val="-2"/>
                <w:sz w:val="20"/>
              </w:rPr>
              <w:t>Article</w:t>
            </w:r>
          </w:p>
        </w:tc>
      </w:tr>
    </w:tbl>
    <w:p w:rsidR="008469AC" w:rsidRDefault="008469AC">
      <w:pPr>
        <w:pStyle w:val="BodyText"/>
      </w:pPr>
    </w:p>
    <w:p w:rsidR="008469AC" w:rsidRDefault="008469AC">
      <w:pPr>
        <w:pStyle w:val="BodyText"/>
      </w:pPr>
    </w:p>
    <w:tbl>
      <w:tblPr>
        <w:tblW w:w="2276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60"/>
        <w:gridCol w:w="10069"/>
        <w:gridCol w:w="6932"/>
      </w:tblGrid>
      <w:tr w:rsidR="008469AC" w:rsidTr="00B468BF">
        <w:trPr>
          <w:trHeight w:val="450"/>
        </w:trPr>
        <w:tc>
          <w:tcPr>
            <w:tcW w:w="22761" w:type="dxa"/>
            <w:gridSpan w:val="3"/>
            <w:tcBorders>
              <w:top w:val="nil"/>
              <w:left w:val="nil"/>
              <w:right w:val="nil"/>
            </w:tcBorders>
          </w:tcPr>
          <w:p w:rsidR="008469AC" w:rsidRDefault="0024412D">
            <w:pPr>
              <w:pStyle w:val="TableParagraph"/>
              <w:spacing w:line="220" w:lineRule="exact"/>
              <w:ind w:left="113"/>
              <w:rPr>
                <w:b/>
                <w:sz w:val="20"/>
              </w:rPr>
            </w:pPr>
            <w:r>
              <w:rPr>
                <w:b/>
                <w:color w:val="000000"/>
                <w:sz w:val="20"/>
                <w:highlight w:val="yellow"/>
              </w:rPr>
              <w:t>PART</w:t>
            </w:r>
            <w:r>
              <w:rPr>
                <w:b/>
                <w:color w:val="000000"/>
                <w:spacing w:val="46"/>
                <w:sz w:val="20"/>
                <w:highlight w:val="yellow"/>
              </w:rPr>
              <w:t xml:space="preserve"> </w:t>
            </w:r>
            <w:r>
              <w:rPr>
                <w:b/>
                <w:color w:val="000000"/>
                <w:sz w:val="20"/>
                <w:highlight w:val="yellow"/>
              </w:rPr>
              <w:t>1:</w:t>
            </w:r>
            <w:r>
              <w:rPr>
                <w:b/>
                <w:color w:val="000000"/>
                <w:spacing w:val="-3"/>
                <w:sz w:val="20"/>
              </w:rPr>
              <w:t xml:space="preserve"> </w:t>
            </w:r>
            <w:r>
              <w:rPr>
                <w:b/>
                <w:color w:val="000000"/>
                <w:spacing w:val="-2"/>
                <w:sz w:val="20"/>
              </w:rPr>
              <w:t>Comments</w:t>
            </w:r>
          </w:p>
        </w:tc>
      </w:tr>
      <w:tr w:rsidR="008469AC" w:rsidTr="00B468BF">
        <w:trPr>
          <w:trHeight w:val="961"/>
        </w:trPr>
        <w:tc>
          <w:tcPr>
            <w:tcW w:w="5760" w:type="dxa"/>
            <w:tcBorders>
              <w:top w:val="single" w:sz="4" w:space="0" w:color="000000"/>
              <w:left w:val="single" w:sz="4" w:space="0" w:color="000000"/>
              <w:bottom w:val="single" w:sz="4" w:space="0" w:color="000000"/>
              <w:right w:val="single" w:sz="4" w:space="0" w:color="000000"/>
            </w:tcBorders>
          </w:tcPr>
          <w:p w:rsidR="008469AC" w:rsidRDefault="008469AC">
            <w:pPr>
              <w:pStyle w:val="TableParagraph"/>
              <w:rPr>
                <w:sz w:val="20"/>
              </w:rPr>
            </w:pPr>
          </w:p>
        </w:tc>
        <w:tc>
          <w:tcPr>
            <w:tcW w:w="10069"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spacing w:line="224" w:lineRule="exact"/>
              <w:ind w:left="108"/>
              <w:rPr>
                <w:b/>
                <w:sz w:val="20"/>
              </w:rPr>
            </w:pPr>
            <w:r>
              <w:rPr>
                <w:b/>
                <w:sz w:val="20"/>
              </w:rPr>
              <w:t>Reviewer’s</w:t>
            </w:r>
            <w:r>
              <w:rPr>
                <w:b/>
                <w:spacing w:val="-11"/>
                <w:sz w:val="20"/>
              </w:rPr>
              <w:t xml:space="preserve"> </w:t>
            </w:r>
            <w:r>
              <w:rPr>
                <w:b/>
                <w:spacing w:val="-2"/>
                <w:sz w:val="20"/>
              </w:rPr>
              <w:t>comment</w:t>
            </w:r>
          </w:p>
          <w:p w:rsidR="008469AC" w:rsidRDefault="0024412D">
            <w:pPr>
              <w:pStyle w:val="TableParagraph"/>
              <w:spacing w:before="3"/>
              <w:ind w:left="108" w:right="137"/>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w:t>
            </w:r>
            <w:r>
              <w:rPr>
                <w:b/>
                <w:color w:val="000000"/>
                <w:spacing w:val="-7"/>
                <w:sz w:val="20"/>
                <w:highlight w:val="yellow"/>
              </w:rPr>
              <w:t xml:space="preserve"> </w:t>
            </w:r>
            <w:r>
              <w:rPr>
                <w:b/>
                <w:color w:val="000000"/>
                <w:sz w:val="20"/>
                <w:highlight w:val="yellow"/>
              </w:rPr>
              <w:t>strictly</w:t>
            </w:r>
            <w:r>
              <w:rPr>
                <w:b/>
                <w:color w:val="000000"/>
                <w:spacing w:val="-5"/>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932"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spacing w:line="254" w:lineRule="auto"/>
              <w:ind w:left="108" w:right="736"/>
              <w:rPr>
                <w:sz w:val="20"/>
              </w:rPr>
            </w:pPr>
            <w:r>
              <w:rPr>
                <w:b/>
                <w:sz w:val="20"/>
              </w:rPr>
              <w:t>Author’s</w:t>
            </w:r>
            <w:r>
              <w:rPr>
                <w:b/>
                <w:spacing w:val="-5"/>
                <w:sz w:val="20"/>
              </w:rPr>
              <w:t xml:space="preserve"> </w:t>
            </w:r>
            <w:r>
              <w:rPr>
                <w:b/>
                <w:sz w:val="20"/>
              </w:rPr>
              <w:t>Feedback</w:t>
            </w:r>
            <w:r>
              <w:rPr>
                <w:b/>
                <w:spacing w:val="-5"/>
                <w:sz w:val="20"/>
              </w:rPr>
              <w:t xml:space="preserve"> </w:t>
            </w:r>
            <w:r>
              <w:rPr>
                <w:sz w:val="20"/>
              </w:rPr>
              <w:t>(It</w:t>
            </w:r>
            <w:r>
              <w:rPr>
                <w:spacing w:val="-7"/>
                <w:sz w:val="20"/>
              </w:rPr>
              <w:t xml:space="preserve"> </w:t>
            </w:r>
            <w:r>
              <w:rPr>
                <w:sz w:val="20"/>
              </w:rPr>
              <w:t>is</w:t>
            </w:r>
            <w:r>
              <w:rPr>
                <w:spacing w:val="-5"/>
                <w:sz w:val="20"/>
              </w:rPr>
              <w:t xml:space="preserve"> </w:t>
            </w:r>
            <w:r>
              <w:rPr>
                <w:sz w:val="20"/>
              </w:rPr>
              <w:t>mandatory</w:t>
            </w:r>
            <w:r>
              <w:rPr>
                <w:spacing w:val="-6"/>
                <w:sz w:val="20"/>
              </w:rPr>
              <w:t xml:space="preserve"> </w:t>
            </w:r>
            <w:r>
              <w:rPr>
                <w:sz w:val="20"/>
              </w:rPr>
              <w:t>that</w:t>
            </w:r>
            <w:r>
              <w:rPr>
                <w:spacing w:val="-6"/>
                <w:sz w:val="20"/>
              </w:rPr>
              <w:t xml:space="preserve"> </w:t>
            </w:r>
            <w:r>
              <w:rPr>
                <w:sz w:val="20"/>
              </w:rPr>
              <w:t>authors</w:t>
            </w:r>
            <w:r>
              <w:rPr>
                <w:spacing w:val="-5"/>
                <w:sz w:val="20"/>
              </w:rPr>
              <w:t xml:space="preserve"> </w:t>
            </w:r>
            <w:r>
              <w:rPr>
                <w:sz w:val="20"/>
              </w:rPr>
              <w:t>should</w:t>
            </w:r>
            <w:r>
              <w:rPr>
                <w:spacing w:val="-7"/>
                <w:sz w:val="20"/>
              </w:rPr>
              <w:t xml:space="preserve"> </w:t>
            </w:r>
            <w:r>
              <w:rPr>
                <w:sz w:val="20"/>
              </w:rPr>
              <w:t>write</w:t>
            </w:r>
            <w:r>
              <w:rPr>
                <w:spacing w:val="-6"/>
                <w:sz w:val="20"/>
              </w:rPr>
              <w:t xml:space="preserve"> </w:t>
            </w:r>
            <w:r>
              <w:rPr>
                <w:sz w:val="20"/>
              </w:rPr>
              <w:t>his/her feedback here)</w:t>
            </w:r>
          </w:p>
        </w:tc>
      </w:tr>
      <w:tr w:rsidR="008469AC" w:rsidTr="00B468BF">
        <w:trPr>
          <w:trHeight w:val="1382"/>
        </w:trPr>
        <w:tc>
          <w:tcPr>
            <w:tcW w:w="5760"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ind w:left="468" w:right="199"/>
              <w:rPr>
                <w:b/>
                <w:sz w:val="20"/>
              </w:rPr>
            </w:pPr>
            <w:r>
              <w:rPr>
                <w:b/>
                <w:sz w:val="20"/>
              </w:rPr>
              <w:t>Please</w:t>
            </w:r>
            <w:r>
              <w:rPr>
                <w:b/>
                <w:spacing w:val="-7"/>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7"/>
                <w:sz w:val="20"/>
              </w:rPr>
              <w:t xml:space="preserve"> </w:t>
            </w:r>
            <w:r>
              <w:rPr>
                <w:b/>
                <w:sz w:val="20"/>
              </w:rPr>
              <w:t>sentences</w:t>
            </w:r>
            <w:r>
              <w:rPr>
                <w:b/>
                <w:spacing w:val="-6"/>
                <w:sz w:val="20"/>
              </w:rPr>
              <w:t xml:space="preserve"> </w:t>
            </w:r>
            <w:r>
              <w:rPr>
                <w:b/>
                <w:sz w:val="20"/>
              </w:rPr>
              <w:t>regarding</w:t>
            </w:r>
            <w:r>
              <w:rPr>
                <w:b/>
                <w:spacing w:val="-7"/>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10069"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ind w:left="108" w:right="99"/>
              <w:jc w:val="both"/>
              <w:rPr>
                <w:sz w:val="20"/>
              </w:rPr>
            </w:pPr>
            <w:r>
              <w:rPr>
                <w:sz w:val="20"/>
              </w:rPr>
              <w:t>This study</w:t>
            </w:r>
            <w:r>
              <w:rPr>
                <w:spacing w:val="-5"/>
                <w:sz w:val="20"/>
              </w:rPr>
              <w:t xml:space="preserve"> </w:t>
            </w:r>
            <w:r>
              <w:rPr>
                <w:sz w:val="20"/>
              </w:rPr>
              <w:t>presents a</w:t>
            </w:r>
            <w:r>
              <w:rPr>
                <w:spacing w:val="-3"/>
                <w:sz w:val="20"/>
              </w:rPr>
              <w:t xml:space="preserve"> </w:t>
            </w:r>
            <w:r>
              <w:rPr>
                <w:sz w:val="20"/>
              </w:rPr>
              <w:t>comparative evaluation</w:t>
            </w:r>
            <w:r>
              <w:rPr>
                <w:spacing w:val="-1"/>
                <w:sz w:val="20"/>
              </w:rPr>
              <w:t xml:space="preserve"> </w:t>
            </w:r>
            <w:r>
              <w:rPr>
                <w:sz w:val="20"/>
              </w:rPr>
              <w:t>of</w:t>
            </w:r>
            <w:r>
              <w:rPr>
                <w:spacing w:val="-2"/>
                <w:sz w:val="20"/>
              </w:rPr>
              <w:t xml:space="preserve"> </w:t>
            </w:r>
            <w:r>
              <w:rPr>
                <w:sz w:val="20"/>
              </w:rPr>
              <w:t>the</w:t>
            </w:r>
            <w:r>
              <w:rPr>
                <w:spacing w:val="-4"/>
                <w:sz w:val="20"/>
              </w:rPr>
              <w:t xml:space="preserve"> </w:t>
            </w:r>
            <w:r>
              <w:rPr>
                <w:sz w:val="20"/>
              </w:rPr>
              <w:t>cytotoxic and</w:t>
            </w:r>
            <w:r>
              <w:rPr>
                <w:spacing w:val="-1"/>
                <w:sz w:val="20"/>
              </w:rPr>
              <w:t xml:space="preserve"> </w:t>
            </w:r>
            <w:r>
              <w:rPr>
                <w:sz w:val="20"/>
              </w:rPr>
              <w:t>nephrotoxic effects</w:t>
            </w:r>
            <w:r>
              <w:rPr>
                <w:spacing w:val="-3"/>
                <w:sz w:val="20"/>
              </w:rPr>
              <w:t xml:space="preserve"> </w:t>
            </w:r>
            <w:r>
              <w:rPr>
                <w:sz w:val="20"/>
              </w:rPr>
              <w:t>of</w:t>
            </w:r>
            <w:r>
              <w:rPr>
                <w:spacing w:val="-2"/>
                <w:sz w:val="20"/>
              </w:rPr>
              <w:t xml:space="preserve"> </w:t>
            </w:r>
            <w:r>
              <w:rPr>
                <w:sz w:val="20"/>
              </w:rPr>
              <w:t>cypermethrin</w:t>
            </w:r>
            <w:r>
              <w:rPr>
                <w:spacing w:val="-1"/>
                <w:sz w:val="20"/>
              </w:rPr>
              <w:t xml:space="preserve"> </w:t>
            </w:r>
            <w:r>
              <w:rPr>
                <w:sz w:val="20"/>
              </w:rPr>
              <w:t>and</w:t>
            </w:r>
            <w:r>
              <w:rPr>
                <w:spacing w:val="-1"/>
                <w:sz w:val="20"/>
              </w:rPr>
              <w:t xml:space="preserve"> </w:t>
            </w:r>
            <w:r>
              <w:rPr>
                <w:sz w:val="20"/>
              </w:rPr>
              <w:t>methyl parathion using both in vitro and in vivo models. By linking cellular responses such as oxidative stress and DNA damage with histopathological alterations in kidney tissue, the manuscript contributes additional evidence to existing knowledge on pesticide toxicity. The findings may be useful for toxicological assessment and environmental health studies, particularly in areas with frequent pesticide exposure.</w:t>
            </w:r>
          </w:p>
        </w:tc>
        <w:tc>
          <w:tcPr>
            <w:tcW w:w="6932" w:type="dxa"/>
            <w:tcBorders>
              <w:top w:val="single" w:sz="4" w:space="0" w:color="000000"/>
              <w:left w:val="single" w:sz="4" w:space="0" w:color="000000"/>
              <w:bottom w:val="single" w:sz="4" w:space="0" w:color="000000"/>
              <w:right w:val="single" w:sz="4" w:space="0" w:color="000000"/>
            </w:tcBorders>
          </w:tcPr>
          <w:p w:rsidR="008469AC" w:rsidRDefault="008469AC">
            <w:pPr>
              <w:pStyle w:val="TableParagraph"/>
              <w:rPr>
                <w:sz w:val="20"/>
              </w:rPr>
            </w:pPr>
          </w:p>
        </w:tc>
      </w:tr>
      <w:tr w:rsidR="008469AC" w:rsidTr="00B468BF">
        <w:trPr>
          <w:trHeight w:val="1262"/>
        </w:trPr>
        <w:tc>
          <w:tcPr>
            <w:tcW w:w="5760"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spacing w:line="227" w:lineRule="exact"/>
              <w:ind w:left="468"/>
              <w:rPr>
                <w:b/>
                <w:sz w:val="20"/>
              </w:rPr>
            </w:pPr>
            <w:r>
              <w:rPr>
                <w:b/>
                <w:sz w:val="20"/>
              </w:rPr>
              <w:t>Is</w:t>
            </w:r>
            <w:r>
              <w:rPr>
                <w:b/>
                <w:spacing w:val="-3"/>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article</w:t>
            </w:r>
            <w:r>
              <w:rPr>
                <w:b/>
                <w:spacing w:val="-3"/>
                <w:sz w:val="20"/>
              </w:rPr>
              <w:t xml:space="preserve"> </w:t>
            </w:r>
            <w:r>
              <w:rPr>
                <w:b/>
                <w:spacing w:val="-2"/>
                <w:sz w:val="20"/>
              </w:rPr>
              <w:t>suitable?</w:t>
            </w:r>
          </w:p>
          <w:p w:rsidR="008469AC" w:rsidRDefault="0024412D">
            <w:pPr>
              <w:pStyle w:val="TableParagraph"/>
              <w:spacing w:before="3"/>
              <w:ind w:left="468"/>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4"/>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4"/>
                <w:sz w:val="20"/>
              </w:rPr>
              <w:t xml:space="preserve"> </w:t>
            </w:r>
            <w:r>
              <w:rPr>
                <w:b/>
                <w:spacing w:val="-2"/>
                <w:sz w:val="20"/>
              </w:rPr>
              <w:t>title)</w:t>
            </w:r>
          </w:p>
        </w:tc>
        <w:tc>
          <w:tcPr>
            <w:tcW w:w="10069"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spacing w:line="242" w:lineRule="auto"/>
              <w:ind w:left="108" w:right="103"/>
              <w:jc w:val="both"/>
              <w:rPr>
                <w:sz w:val="20"/>
              </w:rPr>
            </w:pPr>
            <w:r>
              <w:rPr>
                <w:sz w:val="20"/>
              </w:rPr>
              <w:t>Yes, the title is generally suitable and reflects the main focus of the study, including the comparative assessment of cytotoxic effects using both in vitro and in vivo approaches. However, the title could be slightly refined to improve clarity and scientific precision.</w:t>
            </w:r>
          </w:p>
        </w:tc>
        <w:tc>
          <w:tcPr>
            <w:tcW w:w="6932" w:type="dxa"/>
            <w:tcBorders>
              <w:top w:val="single" w:sz="4" w:space="0" w:color="000000"/>
              <w:left w:val="single" w:sz="4" w:space="0" w:color="000000"/>
              <w:bottom w:val="single" w:sz="4" w:space="0" w:color="000000"/>
              <w:right w:val="single" w:sz="4" w:space="0" w:color="000000"/>
            </w:tcBorders>
          </w:tcPr>
          <w:p w:rsidR="008469AC" w:rsidRDefault="008469AC">
            <w:pPr>
              <w:pStyle w:val="TableParagraph"/>
              <w:rPr>
                <w:sz w:val="20"/>
              </w:rPr>
            </w:pPr>
          </w:p>
        </w:tc>
      </w:tr>
      <w:tr w:rsidR="008469AC" w:rsidTr="00B468BF">
        <w:trPr>
          <w:trHeight w:val="1378"/>
        </w:trPr>
        <w:tc>
          <w:tcPr>
            <w:tcW w:w="5760"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spacing w:line="242" w:lineRule="auto"/>
              <w:ind w:left="468" w:right="199"/>
              <w:rPr>
                <w:b/>
                <w:sz w:val="20"/>
              </w:rPr>
            </w:pPr>
            <w:r>
              <w:rPr>
                <w:b/>
                <w:sz w:val="20"/>
              </w:rPr>
              <w:t>Is the abstract of the article comprehensive? Do you suggest</w:t>
            </w:r>
            <w:r>
              <w:rPr>
                <w:b/>
                <w:spacing w:val="-6"/>
                <w:sz w:val="20"/>
              </w:rPr>
              <w:t xml:space="preserve"> </w:t>
            </w:r>
            <w:r>
              <w:rPr>
                <w:b/>
                <w:sz w:val="20"/>
              </w:rPr>
              <w:t>the</w:t>
            </w:r>
            <w:r>
              <w:rPr>
                <w:b/>
                <w:spacing w:val="-4"/>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6"/>
                <w:sz w:val="20"/>
              </w:rPr>
              <w:t xml:space="preserve"> </w:t>
            </w:r>
            <w:r>
              <w:rPr>
                <w:b/>
                <w:sz w:val="20"/>
              </w:rPr>
              <w:t>of</w:t>
            </w:r>
            <w:r>
              <w:rPr>
                <w:b/>
                <w:spacing w:val="-6"/>
                <w:sz w:val="20"/>
              </w:rPr>
              <w:t xml:space="preserve"> </w:t>
            </w:r>
            <w:r>
              <w:rPr>
                <w:b/>
                <w:sz w:val="20"/>
              </w:rPr>
              <w:t>some</w:t>
            </w:r>
            <w:r>
              <w:rPr>
                <w:b/>
                <w:spacing w:val="-5"/>
                <w:sz w:val="20"/>
              </w:rPr>
              <w:t xml:space="preserve"> </w:t>
            </w:r>
            <w:r>
              <w:rPr>
                <w:b/>
                <w:sz w:val="20"/>
              </w:rPr>
              <w:t>points</w:t>
            </w:r>
            <w:r>
              <w:rPr>
                <w:b/>
                <w:spacing w:val="-4"/>
                <w:sz w:val="20"/>
              </w:rPr>
              <w:t xml:space="preserve"> </w:t>
            </w:r>
            <w:r>
              <w:rPr>
                <w:b/>
                <w:sz w:val="20"/>
              </w:rPr>
              <w:t>in</w:t>
            </w:r>
            <w:r>
              <w:rPr>
                <w:b/>
                <w:spacing w:val="-6"/>
                <w:sz w:val="20"/>
              </w:rPr>
              <w:t xml:space="preserve"> </w:t>
            </w:r>
            <w:r>
              <w:rPr>
                <w:b/>
                <w:sz w:val="20"/>
              </w:rPr>
              <w:t>this section? Please write your suggestions here.</w:t>
            </w:r>
          </w:p>
        </w:tc>
        <w:tc>
          <w:tcPr>
            <w:tcW w:w="10069"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ind w:left="108" w:right="101"/>
              <w:jc w:val="both"/>
              <w:rPr>
                <w:sz w:val="20"/>
              </w:rPr>
            </w:pPr>
            <w:r>
              <w:rPr>
                <w:sz w:val="20"/>
              </w:rPr>
              <w:t>The abstract generally summarizes the objectives, experimental approaches, and main findings of the study. However, it could be improved for clarity and balance. It is suggested to briefly state the rationale or novelty of the study</w:t>
            </w:r>
            <w:r>
              <w:rPr>
                <w:spacing w:val="-1"/>
                <w:sz w:val="20"/>
              </w:rPr>
              <w:t xml:space="preserve"> </w:t>
            </w:r>
            <w:r>
              <w:rPr>
                <w:sz w:val="20"/>
              </w:rPr>
              <w:t>more explicitly</w:t>
            </w:r>
            <w:r>
              <w:rPr>
                <w:spacing w:val="-1"/>
                <w:sz w:val="20"/>
              </w:rPr>
              <w:t xml:space="preserve"> </w:t>
            </w:r>
            <w:r>
              <w:rPr>
                <w:sz w:val="20"/>
              </w:rPr>
              <w:t>at</w:t>
            </w:r>
            <w:r>
              <w:rPr>
                <w:spacing w:val="-1"/>
                <w:sz w:val="20"/>
              </w:rPr>
              <w:t xml:space="preserve"> </w:t>
            </w:r>
            <w:r>
              <w:rPr>
                <w:sz w:val="20"/>
              </w:rPr>
              <w:t>the beginning. In</w:t>
            </w:r>
            <w:r>
              <w:rPr>
                <w:spacing w:val="-1"/>
                <w:sz w:val="20"/>
              </w:rPr>
              <w:t xml:space="preserve"> </w:t>
            </w:r>
            <w:r>
              <w:rPr>
                <w:sz w:val="20"/>
              </w:rPr>
              <w:t>addition, mentioning</w:t>
            </w:r>
            <w:r>
              <w:rPr>
                <w:spacing w:val="-1"/>
                <w:sz w:val="20"/>
              </w:rPr>
              <w:t xml:space="preserve"> </w:t>
            </w:r>
            <w:r>
              <w:rPr>
                <w:sz w:val="20"/>
              </w:rPr>
              <w:t>key</w:t>
            </w:r>
            <w:r>
              <w:rPr>
                <w:spacing w:val="-1"/>
                <w:sz w:val="20"/>
              </w:rPr>
              <w:t xml:space="preserve"> </w:t>
            </w:r>
            <w:r>
              <w:rPr>
                <w:sz w:val="20"/>
              </w:rPr>
              <w:t>quantitative outcomes (such</w:t>
            </w:r>
            <w:r>
              <w:rPr>
                <w:spacing w:val="-1"/>
                <w:sz w:val="20"/>
              </w:rPr>
              <w:t xml:space="preserve"> </w:t>
            </w:r>
            <w:r>
              <w:rPr>
                <w:sz w:val="20"/>
              </w:rPr>
              <w:t>as</w:t>
            </w:r>
            <w:r>
              <w:rPr>
                <w:spacing w:val="-2"/>
                <w:sz w:val="20"/>
              </w:rPr>
              <w:t xml:space="preserve"> </w:t>
            </w:r>
            <w:r>
              <w:rPr>
                <w:sz w:val="20"/>
              </w:rPr>
              <w:t>IC₅₀</w:t>
            </w:r>
            <w:r>
              <w:rPr>
                <w:spacing w:val="-2"/>
                <w:sz w:val="20"/>
              </w:rPr>
              <w:t xml:space="preserve"> </w:t>
            </w:r>
            <w:r>
              <w:rPr>
                <w:sz w:val="20"/>
              </w:rPr>
              <w:t>values or major histopathological observations) in a more concise manner would strengthen the abstract. Minor</w:t>
            </w:r>
            <w:r>
              <w:rPr>
                <w:spacing w:val="40"/>
                <w:sz w:val="20"/>
              </w:rPr>
              <w:t xml:space="preserve"> </w:t>
            </w:r>
            <w:r>
              <w:rPr>
                <w:sz w:val="20"/>
              </w:rPr>
              <w:t>reduction of methodological details may also improve readability and focus.</w:t>
            </w:r>
          </w:p>
        </w:tc>
        <w:tc>
          <w:tcPr>
            <w:tcW w:w="6932" w:type="dxa"/>
            <w:tcBorders>
              <w:top w:val="single" w:sz="4" w:space="0" w:color="000000"/>
              <w:left w:val="single" w:sz="4" w:space="0" w:color="000000"/>
              <w:bottom w:val="single" w:sz="4" w:space="0" w:color="000000"/>
              <w:right w:val="single" w:sz="4" w:space="0" w:color="000000"/>
            </w:tcBorders>
          </w:tcPr>
          <w:p w:rsidR="008469AC" w:rsidRDefault="008469AC">
            <w:pPr>
              <w:pStyle w:val="TableParagraph"/>
              <w:rPr>
                <w:sz w:val="20"/>
              </w:rPr>
            </w:pPr>
          </w:p>
        </w:tc>
      </w:tr>
      <w:tr w:rsidR="008469AC" w:rsidTr="00B468BF">
        <w:trPr>
          <w:trHeight w:val="1379"/>
        </w:trPr>
        <w:tc>
          <w:tcPr>
            <w:tcW w:w="5760"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ind w:left="468" w:right="199"/>
              <w:rPr>
                <w:b/>
                <w:sz w:val="20"/>
              </w:rPr>
            </w:pPr>
            <w:r>
              <w:rPr>
                <w:b/>
                <w:sz w:val="20"/>
              </w:rPr>
              <w:t>Is</w:t>
            </w:r>
            <w:r>
              <w:rPr>
                <w:b/>
                <w:spacing w:val="-7"/>
                <w:sz w:val="20"/>
              </w:rPr>
              <w:t xml:space="preserve"> </w:t>
            </w:r>
            <w:r>
              <w:rPr>
                <w:b/>
                <w:sz w:val="20"/>
              </w:rPr>
              <w:t>the</w:t>
            </w:r>
            <w:r>
              <w:rPr>
                <w:b/>
                <w:spacing w:val="-7"/>
                <w:sz w:val="20"/>
              </w:rPr>
              <w:t xml:space="preserve"> </w:t>
            </w:r>
            <w:r>
              <w:rPr>
                <w:b/>
                <w:sz w:val="20"/>
              </w:rPr>
              <w:t>manuscript</w:t>
            </w:r>
            <w:r>
              <w:rPr>
                <w:b/>
                <w:spacing w:val="-9"/>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8"/>
                <w:sz w:val="20"/>
              </w:rPr>
              <w:t xml:space="preserve"> </w:t>
            </w:r>
            <w:r>
              <w:rPr>
                <w:b/>
                <w:sz w:val="20"/>
              </w:rPr>
              <w:t xml:space="preserve">write </w:t>
            </w:r>
            <w:r>
              <w:rPr>
                <w:b/>
                <w:spacing w:val="-2"/>
                <w:sz w:val="20"/>
              </w:rPr>
              <w:t>here.</w:t>
            </w:r>
          </w:p>
        </w:tc>
        <w:tc>
          <w:tcPr>
            <w:tcW w:w="10069"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ind w:left="108" w:right="96"/>
              <w:jc w:val="both"/>
              <w:rPr>
                <w:sz w:val="20"/>
              </w:rPr>
            </w:pPr>
            <w:r>
              <w:rPr>
                <w:sz w:val="20"/>
              </w:rPr>
              <w:t>The manuscript is scientifically sound in terms of its overall experimental design and logical flow, combining in vitro and in vivo approaches to assess pesticide-induced toxicity. The methodologies employed are generally appropriate for the stated objectives, and the results are largely consistent with existing toxicological literature. However, some methodological details, data presentation, and statistical descriptions require clarification to fully support the conclusions. Addressing these issues would improve the scientific rigor and reliability of the study.</w:t>
            </w:r>
          </w:p>
        </w:tc>
        <w:tc>
          <w:tcPr>
            <w:tcW w:w="6932" w:type="dxa"/>
            <w:tcBorders>
              <w:top w:val="single" w:sz="4" w:space="0" w:color="000000"/>
              <w:left w:val="single" w:sz="4" w:space="0" w:color="000000"/>
              <w:bottom w:val="single" w:sz="4" w:space="0" w:color="000000"/>
              <w:right w:val="single" w:sz="4" w:space="0" w:color="000000"/>
            </w:tcBorders>
          </w:tcPr>
          <w:p w:rsidR="008469AC" w:rsidRDefault="008469AC">
            <w:pPr>
              <w:pStyle w:val="TableParagraph"/>
              <w:rPr>
                <w:sz w:val="20"/>
              </w:rPr>
            </w:pPr>
          </w:p>
        </w:tc>
      </w:tr>
      <w:tr w:rsidR="008469AC" w:rsidTr="00B468BF">
        <w:trPr>
          <w:trHeight w:val="1886"/>
        </w:trPr>
        <w:tc>
          <w:tcPr>
            <w:tcW w:w="5760"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ind w:left="468" w:right="199"/>
              <w:rPr>
                <w:b/>
                <w:sz w:val="20"/>
              </w:rPr>
            </w:pPr>
            <w:r>
              <w:rPr>
                <w:b/>
                <w:sz w:val="20"/>
              </w:rPr>
              <w:t>Are</w:t>
            </w:r>
            <w:r>
              <w:rPr>
                <w:b/>
                <w:spacing w:val="-6"/>
                <w:sz w:val="20"/>
              </w:rPr>
              <w:t xml:space="preserve"> </w:t>
            </w:r>
            <w:r>
              <w:rPr>
                <w:b/>
                <w:sz w:val="20"/>
              </w:rPr>
              <w:t>the</w:t>
            </w:r>
            <w:r>
              <w:rPr>
                <w:b/>
                <w:spacing w:val="-6"/>
                <w:sz w:val="20"/>
              </w:rPr>
              <w:t xml:space="preserve"> </w:t>
            </w:r>
            <w:r>
              <w:rPr>
                <w:b/>
                <w:sz w:val="20"/>
              </w:rPr>
              <w:t>references</w:t>
            </w:r>
            <w:r>
              <w:rPr>
                <w:b/>
                <w:spacing w:val="-5"/>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3"/>
                <w:sz w:val="20"/>
              </w:rPr>
              <w:t xml:space="preserve"> </w:t>
            </w:r>
            <w:r>
              <w:rPr>
                <w:b/>
                <w:sz w:val="20"/>
              </w:rPr>
              <w:t>If</w:t>
            </w:r>
            <w:r>
              <w:rPr>
                <w:b/>
                <w:spacing w:val="-7"/>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10069"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ind w:left="108" w:right="94"/>
              <w:jc w:val="both"/>
              <w:rPr>
                <w:sz w:val="24"/>
              </w:rPr>
            </w:pPr>
            <w:r>
              <w:rPr>
                <w:sz w:val="24"/>
              </w:rPr>
              <w:t>The references cited in the manuscript are generally relevant to the topic and</w:t>
            </w:r>
            <w:r>
              <w:rPr>
                <w:spacing w:val="-1"/>
                <w:sz w:val="24"/>
              </w:rPr>
              <w:t xml:space="preserve"> </w:t>
            </w:r>
            <w:r>
              <w:rPr>
                <w:sz w:val="24"/>
              </w:rPr>
              <w:t>provide adequate background on pesticide toxicity. However, the reference list relies heavily on older studies, with relatively limited inclusion of recent literature. It is recommended that the authors incorporate more up-to-date references, particularly within the last 5–7 years, focusing on molecular mechanisms of pesticide-induced oxidative stress, nephrotoxicity, and genotoxicity. Improving consistency and formatting of the reference list would also strengthen this section.</w:t>
            </w:r>
          </w:p>
        </w:tc>
        <w:tc>
          <w:tcPr>
            <w:tcW w:w="6932" w:type="dxa"/>
            <w:tcBorders>
              <w:top w:val="single" w:sz="4" w:space="0" w:color="000000"/>
              <w:left w:val="single" w:sz="4" w:space="0" w:color="000000"/>
              <w:bottom w:val="single" w:sz="4" w:space="0" w:color="000000"/>
              <w:right w:val="single" w:sz="4" w:space="0" w:color="000000"/>
            </w:tcBorders>
          </w:tcPr>
          <w:p w:rsidR="008469AC" w:rsidRDefault="008469AC">
            <w:pPr>
              <w:pStyle w:val="TableParagraph"/>
              <w:rPr>
                <w:sz w:val="20"/>
              </w:rPr>
            </w:pPr>
          </w:p>
        </w:tc>
      </w:tr>
      <w:tr w:rsidR="008469AC" w:rsidTr="00B468BF">
        <w:trPr>
          <w:trHeight w:val="1612"/>
        </w:trPr>
        <w:tc>
          <w:tcPr>
            <w:tcW w:w="5760"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ind w:left="468" w:right="199"/>
              <w:rPr>
                <w:b/>
                <w:sz w:val="20"/>
              </w:rPr>
            </w:pPr>
            <w:r>
              <w:rPr>
                <w:b/>
                <w:sz w:val="20"/>
              </w:rPr>
              <w:t>Is</w:t>
            </w:r>
            <w:r>
              <w:rPr>
                <w:b/>
                <w:spacing w:val="-6"/>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6"/>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10069"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spacing w:before="1"/>
              <w:ind w:left="108" w:right="100"/>
              <w:jc w:val="both"/>
              <w:rPr>
                <w:sz w:val="24"/>
              </w:rPr>
            </w:pPr>
            <w:r>
              <w:rPr>
                <w:sz w:val="24"/>
              </w:rPr>
              <w:t>The overall scientific content can be understood; however, the English language quality is not fully suitable for scholarly communication in its current form. The manuscript contains frequent grammatical errors, awkward sentence structures, and inconsistent use of scientific terminology. Substantial language editing by a fluent English speaker or a professional editing service is strongly recommended to improve clarity and readability.</w:t>
            </w:r>
          </w:p>
        </w:tc>
        <w:tc>
          <w:tcPr>
            <w:tcW w:w="6932" w:type="dxa"/>
            <w:tcBorders>
              <w:top w:val="single" w:sz="4" w:space="0" w:color="000000"/>
              <w:left w:val="single" w:sz="4" w:space="0" w:color="000000"/>
              <w:bottom w:val="single" w:sz="4" w:space="0" w:color="000000"/>
              <w:right w:val="single" w:sz="4" w:space="0" w:color="000000"/>
            </w:tcBorders>
          </w:tcPr>
          <w:p w:rsidR="008469AC" w:rsidRDefault="008469AC">
            <w:pPr>
              <w:pStyle w:val="TableParagraph"/>
              <w:rPr>
                <w:sz w:val="20"/>
              </w:rPr>
            </w:pPr>
          </w:p>
        </w:tc>
      </w:tr>
      <w:tr w:rsidR="008469AC" w:rsidTr="00B468BF">
        <w:trPr>
          <w:trHeight w:val="2160"/>
        </w:trPr>
        <w:tc>
          <w:tcPr>
            <w:tcW w:w="5760"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ind w:left="108"/>
              <w:rPr>
                <w:sz w:val="20"/>
              </w:rPr>
            </w:pPr>
            <w:r>
              <w:rPr>
                <w:b/>
                <w:spacing w:val="-2"/>
                <w:sz w:val="20"/>
                <w:u w:val="single"/>
              </w:rPr>
              <w:lastRenderedPageBreak/>
              <w:t>Optional/General</w:t>
            </w:r>
            <w:r>
              <w:rPr>
                <w:b/>
                <w:spacing w:val="18"/>
                <w:sz w:val="20"/>
              </w:rPr>
              <w:t xml:space="preserve"> </w:t>
            </w:r>
            <w:r>
              <w:rPr>
                <w:spacing w:val="-2"/>
                <w:sz w:val="20"/>
              </w:rPr>
              <w:t>comments</w:t>
            </w:r>
          </w:p>
        </w:tc>
        <w:tc>
          <w:tcPr>
            <w:tcW w:w="10069" w:type="dxa"/>
            <w:tcBorders>
              <w:top w:val="single" w:sz="4" w:space="0" w:color="000000"/>
              <w:left w:val="single" w:sz="4" w:space="0" w:color="000000"/>
              <w:bottom w:val="single" w:sz="4" w:space="0" w:color="000000"/>
              <w:right w:val="single" w:sz="4" w:space="0" w:color="000000"/>
            </w:tcBorders>
          </w:tcPr>
          <w:p w:rsidR="008469AC" w:rsidRDefault="0024412D">
            <w:pPr>
              <w:pStyle w:val="TableParagraph"/>
              <w:ind w:left="108" w:right="101"/>
              <w:jc w:val="both"/>
              <w:rPr>
                <w:sz w:val="24"/>
              </w:rPr>
            </w:pPr>
            <w:r>
              <w:rPr>
                <w:sz w:val="24"/>
              </w:rPr>
              <w:t xml:space="preserve">The manuscript addresses an environmentally relevant topic and employs a combination of in vitro and in vivo approaches, which is a positive aspect of the study. Nevertheless, the authors are encouraged to improve clarity, consistency, and scientific presentation throughout the manuscript. Greater attention should be given to language quality, statistical description, and data presentation to strengthen the overall impact of the work. With appropriate revisions, the manuscript could make a useful contribution to the field of environmental and veterinary </w:t>
            </w:r>
            <w:r>
              <w:rPr>
                <w:spacing w:val="-2"/>
                <w:sz w:val="24"/>
              </w:rPr>
              <w:t>toxicology.</w:t>
            </w:r>
          </w:p>
        </w:tc>
        <w:tc>
          <w:tcPr>
            <w:tcW w:w="6932" w:type="dxa"/>
            <w:tcBorders>
              <w:top w:val="single" w:sz="4" w:space="0" w:color="000000"/>
              <w:left w:val="single" w:sz="4" w:space="0" w:color="000000"/>
              <w:bottom w:val="single" w:sz="4" w:space="0" w:color="000000"/>
              <w:right w:val="single" w:sz="4" w:space="0" w:color="000000"/>
            </w:tcBorders>
          </w:tcPr>
          <w:p w:rsidR="008469AC" w:rsidRDefault="008469AC">
            <w:pPr>
              <w:pStyle w:val="TableParagraph"/>
              <w:rPr>
                <w:sz w:val="20"/>
              </w:rPr>
            </w:pPr>
          </w:p>
        </w:tc>
      </w:tr>
    </w:tbl>
    <w:p w:rsidR="00A9447F" w:rsidRDefault="00A9447F" w:rsidP="00A9447F">
      <w:pPr>
        <w:pStyle w:val="Affiliation"/>
        <w:spacing w:after="0" w:line="240" w:lineRule="auto"/>
        <w:jc w:val="left"/>
        <w:rPr>
          <w:rFonts w:ascii="Arial" w:hAnsi="Arial" w:cs="Arial"/>
          <w:b/>
          <w:sz w:val="16"/>
          <w:szCs w:val="16"/>
          <w:u w:val="single"/>
        </w:rPr>
      </w:pPr>
    </w:p>
    <w:p w:rsidR="00A9447F" w:rsidRDefault="00A9447F" w:rsidP="00A9447F">
      <w:pPr>
        <w:pStyle w:val="Affiliation"/>
        <w:spacing w:after="0" w:line="240" w:lineRule="auto"/>
        <w:jc w:val="left"/>
        <w:rPr>
          <w:rFonts w:ascii="Arial" w:hAnsi="Arial" w:cs="Arial"/>
          <w:b/>
          <w:sz w:val="16"/>
          <w:szCs w:val="16"/>
          <w:u w:val="single"/>
        </w:rPr>
      </w:pPr>
    </w:p>
    <w:tbl>
      <w:tblPr>
        <w:tblW w:w="42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353"/>
        <w:gridCol w:w="7711"/>
        <w:gridCol w:w="4429"/>
      </w:tblGrid>
      <w:tr w:rsidR="00A9447F" w:rsidTr="00A9447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9447F" w:rsidRDefault="00A9447F">
            <w:pPr>
              <w:spacing w:line="276" w:lineRule="auto"/>
              <w:rPr>
                <w:rFonts w:ascii="Arial" w:eastAsia="Arial Unicode MS" w:hAnsi="Arial" w:cs="Arial"/>
                <w:b/>
                <w:sz w:val="20"/>
                <w:szCs w:val="20"/>
                <w:u w:val="single"/>
                <w:lang w:val="en-GB"/>
              </w:rPr>
            </w:pPr>
            <w:bookmarkStart w:id="0" w:name="_Hlk156057883"/>
            <w:bookmarkStart w:id="1"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A9447F" w:rsidRDefault="00A9447F">
            <w:pPr>
              <w:spacing w:line="276" w:lineRule="auto"/>
              <w:rPr>
                <w:rFonts w:ascii="Arial" w:eastAsia="Arial Unicode MS" w:hAnsi="Arial" w:cs="Arial"/>
                <w:b/>
                <w:sz w:val="20"/>
                <w:szCs w:val="20"/>
                <w:u w:val="single"/>
                <w:lang w:val="en-GB"/>
              </w:rPr>
            </w:pPr>
          </w:p>
        </w:tc>
      </w:tr>
      <w:tr w:rsidR="00A9447F" w:rsidTr="00A9447F">
        <w:tc>
          <w:tcPr>
            <w:tcW w:w="188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9447F" w:rsidRDefault="00A9447F">
            <w:pPr>
              <w:spacing w:line="276" w:lineRule="auto"/>
              <w:rPr>
                <w:rFonts w:ascii="Arial" w:eastAsia="Arial Unicode MS" w:hAnsi="Arial" w:cs="Arial"/>
                <w:sz w:val="20"/>
                <w:szCs w:val="20"/>
                <w:lang w:val="en-GB"/>
              </w:rPr>
            </w:pPr>
          </w:p>
        </w:tc>
        <w:tc>
          <w:tcPr>
            <w:tcW w:w="19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9447F" w:rsidRDefault="00A9447F">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A9447F" w:rsidRDefault="00A9447F">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A9447F" w:rsidRDefault="00A9447F">
            <w:pPr>
              <w:keepNext/>
              <w:spacing w:line="276" w:lineRule="auto"/>
              <w:outlineLvl w:val="1"/>
              <w:rPr>
                <w:rFonts w:ascii="Arial" w:eastAsia="MS Mincho" w:hAnsi="Arial" w:cs="Arial"/>
                <w:bCs/>
                <w:sz w:val="20"/>
                <w:szCs w:val="20"/>
                <w:lang w:val="en-GB"/>
              </w:rPr>
            </w:pPr>
          </w:p>
        </w:tc>
      </w:tr>
      <w:tr w:rsidR="00A9447F" w:rsidTr="00A9447F">
        <w:trPr>
          <w:trHeight w:val="890"/>
        </w:trPr>
        <w:tc>
          <w:tcPr>
            <w:tcW w:w="188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9447F" w:rsidRDefault="00A9447F">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A9447F" w:rsidRDefault="00A9447F">
            <w:pPr>
              <w:spacing w:line="276" w:lineRule="auto"/>
              <w:rPr>
                <w:rFonts w:ascii="Arial" w:eastAsia="Arial Unicode MS" w:hAnsi="Arial" w:cs="Arial"/>
                <w:sz w:val="20"/>
                <w:szCs w:val="20"/>
                <w:lang w:val="en-GB"/>
              </w:rPr>
            </w:pPr>
          </w:p>
        </w:tc>
        <w:tc>
          <w:tcPr>
            <w:tcW w:w="19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447F" w:rsidRDefault="00A9447F">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A9447F" w:rsidRDefault="00A9447F">
            <w:pPr>
              <w:spacing w:line="276" w:lineRule="auto"/>
              <w:rPr>
                <w:rFonts w:ascii="Arial" w:eastAsia="Arial Unicode MS" w:hAnsi="Arial" w:cs="Arial"/>
                <w:sz w:val="20"/>
                <w:szCs w:val="20"/>
                <w:lang w:val="en-GB"/>
              </w:rPr>
            </w:pPr>
          </w:p>
          <w:p w:rsidR="00A9447F" w:rsidRDefault="00A9447F">
            <w:pPr>
              <w:spacing w:line="276" w:lineRule="auto"/>
              <w:rPr>
                <w:rFonts w:ascii="Arial" w:eastAsia="Arial Unicode MS" w:hAnsi="Arial" w:cs="Arial"/>
                <w:sz w:val="20"/>
                <w:szCs w:val="20"/>
                <w:lang w:val="en-GB"/>
              </w:rPr>
            </w:pP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A9447F" w:rsidRDefault="00A9447F">
            <w:pPr>
              <w:spacing w:line="276" w:lineRule="auto"/>
              <w:rPr>
                <w:rFonts w:ascii="Arial" w:eastAsia="Arial Unicode MS" w:hAnsi="Arial" w:cs="Arial"/>
                <w:sz w:val="20"/>
                <w:szCs w:val="20"/>
                <w:lang w:val="en-GB"/>
              </w:rPr>
            </w:pPr>
          </w:p>
          <w:p w:rsidR="00A9447F" w:rsidRDefault="00A9447F">
            <w:pPr>
              <w:spacing w:line="276" w:lineRule="auto"/>
              <w:rPr>
                <w:rFonts w:ascii="Arial" w:eastAsia="Arial Unicode MS" w:hAnsi="Arial" w:cs="Arial"/>
                <w:sz w:val="20"/>
                <w:szCs w:val="20"/>
                <w:lang w:val="en-GB"/>
              </w:rPr>
            </w:pPr>
          </w:p>
          <w:p w:rsidR="00A9447F" w:rsidRDefault="00A9447F">
            <w:pPr>
              <w:spacing w:line="276" w:lineRule="auto"/>
              <w:rPr>
                <w:rFonts w:ascii="Arial" w:eastAsia="Arial Unicode MS" w:hAnsi="Arial" w:cs="Arial"/>
                <w:sz w:val="20"/>
                <w:szCs w:val="20"/>
                <w:lang w:val="en-GB"/>
              </w:rPr>
            </w:pPr>
          </w:p>
        </w:tc>
      </w:tr>
      <w:bookmarkEnd w:id="0"/>
    </w:tbl>
    <w:p w:rsidR="00A9447F" w:rsidRDefault="00A9447F" w:rsidP="00A9447F">
      <w:pPr>
        <w:rPr>
          <w:sz w:val="24"/>
          <w:szCs w:val="24"/>
        </w:rPr>
      </w:pPr>
    </w:p>
    <w:p w:rsidR="00A9447F" w:rsidRDefault="00A9447F" w:rsidP="00A9447F"/>
    <w:p w:rsidR="00A9447F" w:rsidRDefault="00A9447F" w:rsidP="00A9447F">
      <w:pPr>
        <w:rPr>
          <w:bCs/>
          <w:u w:val="single"/>
          <w:lang w:val="en-GB"/>
        </w:rPr>
      </w:pPr>
    </w:p>
    <w:bookmarkEnd w:id="1"/>
    <w:p w:rsidR="00A9447F" w:rsidRDefault="00A9447F" w:rsidP="00A9447F"/>
    <w:p w:rsidR="00A9447F" w:rsidRDefault="00A9447F" w:rsidP="00A9447F">
      <w:pPr>
        <w:pStyle w:val="Affiliation"/>
        <w:spacing w:after="0" w:line="240" w:lineRule="auto"/>
        <w:jc w:val="left"/>
        <w:rPr>
          <w:rFonts w:ascii="Arial" w:hAnsi="Arial" w:cs="Arial"/>
          <w:b/>
          <w:sz w:val="16"/>
          <w:szCs w:val="16"/>
          <w:u w:val="single"/>
        </w:rPr>
      </w:pPr>
      <w:bookmarkStart w:id="2" w:name="_GoBack"/>
      <w:bookmarkEnd w:id="2"/>
      <w:r>
        <w:rPr>
          <w:rFonts w:ascii="Arial" w:hAnsi="Arial" w:cs="Arial"/>
          <w:b/>
          <w:sz w:val="16"/>
          <w:szCs w:val="16"/>
          <w:u w:val="single"/>
        </w:rPr>
        <w:t>Reviewer details:</w:t>
      </w:r>
    </w:p>
    <w:p w:rsidR="00A9447F" w:rsidRDefault="00A9447F" w:rsidP="00A9447F">
      <w:pPr>
        <w:pStyle w:val="Affiliation"/>
        <w:spacing w:after="0" w:line="240" w:lineRule="auto"/>
        <w:jc w:val="left"/>
        <w:rPr>
          <w:rFonts w:ascii="Arial" w:hAnsi="Arial" w:cs="Arial"/>
          <w:sz w:val="16"/>
          <w:szCs w:val="16"/>
        </w:rPr>
      </w:pPr>
    </w:p>
    <w:p w:rsidR="00A9447F" w:rsidRDefault="00A9447F" w:rsidP="00A9447F">
      <w:pPr>
        <w:rPr>
          <w:rFonts w:asciiTheme="minorHAnsi" w:hAnsiTheme="minorHAnsi"/>
          <w:sz w:val="20"/>
          <w:szCs w:val="20"/>
        </w:rPr>
      </w:pPr>
      <w:proofErr w:type="spellStart"/>
      <w:r>
        <w:rPr>
          <w:rFonts w:ascii="Calibri" w:hAnsi="Calibri" w:cs="Calibri"/>
          <w:color w:val="000000"/>
        </w:rPr>
        <w:t>Endang</w:t>
      </w:r>
      <w:proofErr w:type="spellEnd"/>
      <w:r>
        <w:rPr>
          <w:rFonts w:ascii="Calibri" w:hAnsi="Calibri" w:cs="Calibri"/>
          <w:color w:val="000000"/>
        </w:rPr>
        <w:t xml:space="preserve"> </w:t>
      </w:r>
      <w:proofErr w:type="spellStart"/>
      <w:r>
        <w:rPr>
          <w:rFonts w:ascii="Calibri" w:hAnsi="Calibri" w:cs="Calibri"/>
          <w:color w:val="000000"/>
        </w:rPr>
        <w:t>Nurcahyani</w:t>
      </w:r>
      <w:proofErr w:type="spellEnd"/>
      <w:r>
        <w:rPr>
          <w:rFonts w:ascii="Calibri" w:hAnsi="Calibri" w:cs="Calibri"/>
          <w:color w:val="000000"/>
        </w:rPr>
        <w:t xml:space="preserve">, </w:t>
      </w:r>
      <w:proofErr w:type="spellStart"/>
      <w:r>
        <w:rPr>
          <w:rFonts w:ascii="Calibri" w:hAnsi="Calibri" w:cs="Calibri"/>
          <w:color w:val="000000"/>
        </w:rPr>
        <w:t>M.Si</w:t>
      </w:r>
      <w:proofErr w:type="spellEnd"/>
      <w:r>
        <w:rPr>
          <w:rFonts w:ascii="Calibri" w:hAnsi="Calibri" w:cs="Calibri"/>
          <w:color w:val="000000"/>
        </w:rPr>
        <w:t>., University of Lampung, Indonesia</w:t>
      </w:r>
      <w:r>
        <w:rPr>
          <w:rFonts w:ascii="Calibri" w:hAnsi="Calibri" w:cs="Calibri"/>
          <w:color w:val="000000"/>
        </w:rPr>
        <w:br/>
      </w:r>
    </w:p>
    <w:p w:rsidR="00A9447F" w:rsidRDefault="00A9447F" w:rsidP="00A9447F">
      <w:pPr>
        <w:pStyle w:val="Affiliation"/>
        <w:spacing w:after="0" w:line="240" w:lineRule="auto"/>
        <w:jc w:val="left"/>
        <w:rPr>
          <w:rFonts w:ascii="Arial" w:hAnsi="Arial" w:cs="Arial"/>
          <w:sz w:val="16"/>
          <w:szCs w:val="16"/>
        </w:rPr>
      </w:pPr>
    </w:p>
    <w:p w:rsidR="0024412D" w:rsidRDefault="0024412D" w:rsidP="00A9447F"/>
    <w:sectPr w:rsidR="0024412D">
      <w:headerReference w:type="default" r:id="rId7"/>
      <w:footerReference w:type="default" r:id="rId8"/>
      <w:pgSz w:w="23820" w:h="16840" w:orient="landscape"/>
      <w:pgMar w:top="1820" w:right="0"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46C" w:rsidRDefault="0087446C">
      <w:r>
        <w:separator/>
      </w:r>
    </w:p>
  </w:endnote>
  <w:endnote w:type="continuationSeparator" w:id="0">
    <w:p w:rsidR="0087446C" w:rsidRDefault="0087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9AC" w:rsidRDefault="0024412D">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10111323</wp:posOffset>
              </wp:positionV>
              <wp:extent cx="6661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139065"/>
                      </a:xfrm>
                      <a:prstGeom prst="rect">
                        <a:avLst/>
                      </a:prstGeom>
                    </wps:spPr>
                    <wps:txbx>
                      <w:txbxContent>
                        <w:p w:rsidR="008469AC" w:rsidRDefault="0024412D">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4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" filled="f" stroked="f">
              <v:textbox inset="0,0,0,0">
                <w:txbxContent>
                  <w:p w:rsidR="008469AC" w:rsidRDefault="0024412D">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2641600</wp:posOffset>
              </wp:positionH>
              <wp:positionV relativeFrom="page">
                <wp:posOffset>10111323</wp:posOffset>
              </wp:positionV>
              <wp:extent cx="70866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9065"/>
                      </a:xfrm>
                      <a:prstGeom prst="rect">
                        <a:avLst/>
                      </a:prstGeom>
                    </wps:spPr>
                    <wps:txbx>
                      <w:txbxContent>
                        <w:p w:rsidR="008469AC" w:rsidRDefault="0024412D">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" filled="f" stroked="f">
              <v:textbox inset="0,0,0,0">
                <w:txbxContent>
                  <w:p w:rsidR="008469AC" w:rsidRDefault="0024412D">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4416171</wp:posOffset>
              </wp:positionH>
              <wp:positionV relativeFrom="page">
                <wp:posOffset>10111323</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8469AC" w:rsidRDefault="0024412D">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8469AC" w:rsidRDefault="0024412D">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6846189</wp:posOffset>
              </wp:positionH>
              <wp:positionV relativeFrom="page">
                <wp:posOffset>10111323</wp:posOffset>
              </wp:positionV>
              <wp:extent cx="1020444"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9065"/>
                      </a:xfrm>
                      <a:prstGeom prst="rect">
                        <a:avLst/>
                      </a:prstGeom>
                    </wps:spPr>
                    <wps:txbx>
                      <w:txbxContent>
                        <w:p w:rsidR="008469AC" w:rsidRDefault="0024412D">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3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" filled="f" stroked="f">
              <v:textbox inset="0,0,0,0">
                <w:txbxContent>
                  <w:p w:rsidR="008469AC" w:rsidRDefault="0024412D">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46C" w:rsidRDefault="0087446C">
      <w:r>
        <w:separator/>
      </w:r>
    </w:p>
  </w:footnote>
  <w:footnote w:type="continuationSeparator" w:id="0">
    <w:p w:rsidR="0087446C" w:rsidRDefault="0087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9AC" w:rsidRDefault="0024412D">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803233</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8469AC" w:rsidRDefault="0024412D">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8469AC" w:rsidRDefault="0024412D">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69AC"/>
    <w:rsid w:val="0024412D"/>
    <w:rsid w:val="002614E6"/>
    <w:rsid w:val="008469AC"/>
    <w:rsid w:val="0087446C"/>
    <w:rsid w:val="008A7149"/>
    <w:rsid w:val="00A9447F"/>
    <w:rsid w:val="00B4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00D8"/>
  <w15:docId w15:val="{3FABEBCC-62F3-4998-A187-BD116EE0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8A7149"/>
    <w:rPr>
      <w:color w:val="0000FF"/>
      <w:u w:val="single"/>
    </w:rPr>
  </w:style>
  <w:style w:type="paragraph" w:customStyle="1" w:styleId="Affiliation">
    <w:name w:val="Affiliation"/>
    <w:basedOn w:val="Normal"/>
    <w:rsid w:val="00A9447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069163">
      <w:bodyDiv w:val="1"/>
      <w:marLeft w:val="0"/>
      <w:marRight w:val="0"/>
      <w:marTop w:val="0"/>
      <w:marBottom w:val="0"/>
      <w:divBdr>
        <w:top w:val="none" w:sz="0" w:space="0" w:color="auto"/>
        <w:left w:val="none" w:sz="0" w:space="0" w:color="auto"/>
        <w:bottom w:val="none" w:sz="0" w:space="0" w:color="auto"/>
        <w:right w:val="none" w:sz="0" w:space="0" w:color="auto"/>
      </w:divBdr>
    </w:div>
    <w:div w:id="1189297753">
      <w:bodyDiv w:val="1"/>
      <w:marLeft w:val="0"/>
      <w:marRight w:val="0"/>
      <w:marTop w:val="0"/>
      <w:marBottom w:val="0"/>
      <w:divBdr>
        <w:top w:val="none" w:sz="0" w:space="0" w:color="auto"/>
        <w:left w:val="none" w:sz="0" w:space="0" w:color="auto"/>
        <w:bottom w:val="none" w:sz="0" w:space="0" w:color="auto"/>
        <w:right w:val="none" w:sz="0" w:space="0" w:color="auto"/>
      </w:divBdr>
    </w:div>
    <w:div w:id="1488127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iz.com/index.php/AJRI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cp:revision>
  <dcterms:created xsi:type="dcterms:W3CDTF">2026-02-02T06:12:00Z</dcterms:created>
  <dcterms:modified xsi:type="dcterms:W3CDTF">2026-02-05T09:00:00Z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Microsoft® Word 2019</vt:lpwstr>
  </property>
  <property fmtid="{D5CDD505-2E9C-101B-9397-08002B2CF9AE}" pid="4" name="LastSaved">
    <vt:filetime>2026-02-02T00:00:00Z</vt:filetime>
  </property>
  <property fmtid="{D5CDD505-2E9C-101B-9397-08002B2CF9AE}" pid="5" name="Producer">
    <vt:lpwstr>3-Heights(TM) PDF Security Shell 4.8.25.2 (http://www.pdf-tools.com)</vt:lpwstr>
  </property>
</Properties>
</file>