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DAA5" w14:textId="78FD139E" w:rsidR="00754C9A" w:rsidRPr="004C5D82" w:rsidRDefault="004C5D82" w:rsidP="004C5D82">
      <w:pPr>
        <w:pStyle w:val="Title"/>
        <w:spacing w:after="0"/>
        <w:rPr>
          <w:rFonts w:ascii="Arial" w:hAnsi="Arial" w:cs="Arial"/>
          <w:i/>
          <w:u w:val="single"/>
        </w:rPr>
      </w:pPr>
      <w:r w:rsidRPr="004C5D82">
        <w:rPr>
          <w:rFonts w:ascii="Arial" w:hAnsi="Arial" w:cs="Arial"/>
          <w:i/>
          <w:u w:val="single"/>
        </w:rPr>
        <w:t>Original Research Article</w:t>
      </w:r>
    </w:p>
    <w:p w14:paraId="1FE67BBA" w14:textId="77777777" w:rsidR="004C5D82" w:rsidRDefault="004C5D82" w:rsidP="00441B6F">
      <w:pPr>
        <w:pStyle w:val="Title"/>
        <w:spacing w:after="0"/>
        <w:jc w:val="both"/>
        <w:rPr>
          <w:rFonts w:ascii="Arial" w:hAnsi="Arial" w:cs="Arial"/>
        </w:rPr>
      </w:pPr>
    </w:p>
    <w:p w14:paraId="2D80CF86" w14:textId="613663E3" w:rsidR="00163BC4" w:rsidRPr="00163BC4" w:rsidRDefault="00924466" w:rsidP="00441B6F">
      <w:pPr>
        <w:pStyle w:val="Author"/>
        <w:spacing w:line="240" w:lineRule="auto"/>
        <w:rPr>
          <w:rFonts w:ascii="Arial" w:hAnsi="Arial" w:cs="Arial"/>
          <w:bCs/>
          <w:iCs/>
          <w:kern w:val="28"/>
          <w:sz w:val="36"/>
        </w:rPr>
      </w:pPr>
      <w:r>
        <w:rPr>
          <w:rFonts w:ascii="Arial" w:hAnsi="Arial" w:cs="Arial"/>
          <w:bCs/>
          <w:iCs/>
          <w:kern w:val="28"/>
          <w:sz w:val="36"/>
        </w:rPr>
        <w:t>Standardization of White Mangrove (</w:t>
      </w:r>
      <w:commentRangeStart w:id="0"/>
      <w:r>
        <w:rPr>
          <w:rFonts w:ascii="Arial" w:hAnsi="Arial" w:cs="Arial"/>
          <w:bCs/>
          <w:iCs/>
          <w:kern w:val="28"/>
          <w:sz w:val="36"/>
        </w:rPr>
        <w:t>Avicennia marina</w:t>
      </w:r>
      <w:commentRangeEnd w:id="0"/>
      <w:r w:rsidR="00122C5F">
        <w:rPr>
          <w:rStyle w:val="CommentReference"/>
          <w:rFonts w:ascii="Arial" w:hAnsi="Arial" w:cs="Arial"/>
          <w:bCs/>
          <w:iCs/>
          <w:kern w:val="28"/>
          <w:sz w:val="36"/>
          <w:szCs w:val="20"/>
        </w:rPr>
        <w:commentReference w:id="0"/>
      </w:r>
      <w:r>
        <w:rPr>
          <w:rFonts w:ascii="Arial" w:hAnsi="Arial" w:cs="Arial"/>
          <w:bCs/>
          <w:iCs/>
          <w:kern w:val="28"/>
          <w:sz w:val="36"/>
        </w:rPr>
        <w:t>) Ethanol and Flavanoid Content from Three Location in Central Java, Indonesia</w:t>
      </w:r>
      <w:r w:rsidR="00231920">
        <w:rPr>
          <w:rFonts w:ascii="Arial" w:hAnsi="Arial" w:cs="Arial"/>
          <w:bCs/>
          <w:iCs/>
          <w:kern w:val="28"/>
          <w:sz w:val="36"/>
        </w:rPr>
        <w:t xml:space="preserve"> </w:t>
      </w:r>
    </w:p>
    <w:p w14:paraId="41A60A84" w14:textId="77777777" w:rsidR="00A258C3" w:rsidRPr="00790ADA" w:rsidRDefault="00A258C3" w:rsidP="00441B6F">
      <w:pPr>
        <w:pStyle w:val="Author"/>
        <w:spacing w:line="240" w:lineRule="auto"/>
        <w:jc w:val="both"/>
        <w:rPr>
          <w:rFonts w:ascii="Arial" w:hAnsi="Arial" w:cs="Arial"/>
          <w:sz w:val="36"/>
        </w:rPr>
      </w:pPr>
    </w:p>
    <w:p w14:paraId="0C9C98ED" w14:textId="77777777" w:rsidR="002C57D2" w:rsidRPr="00FB3A86" w:rsidRDefault="002C57D2" w:rsidP="00441B6F">
      <w:pPr>
        <w:pStyle w:val="Affiliation"/>
        <w:spacing w:after="0" w:line="240" w:lineRule="auto"/>
        <w:jc w:val="both"/>
        <w:rPr>
          <w:rFonts w:ascii="Arial" w:hAnsi="Arial" w:cs="Arial"/>
        </w:rPr>
      </w:pPr>
    </w:p>
    <w:p w14:paraId="6EA37D22" w14:textId="77777777" w:rsidR="00B01FCD" w:rsidRPr="00FB3A86" w:rsidRDefault="00000000" w:rsidP="00441B6F">
      <w:pPr>
        <w:pStyle w:val="Copyright"/>
        <w:spacing w:after="0" w:line="240" w:lineRule="auto"/>
        <w:jc w:val="both"/>
        <w:rPr>
          <w:rFonts w:ascii="Arial" w:hAnsi="Arial" w:cs="Arial"/>
        </w:rPr>
        <w:sectPr w:rsidR="00B01FCD" w:rsidRPr="00FB3A86" w:rsidSect="004239FA">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titlePg/>
          <w:docGrid w:linePitch="272"/>
        </w:sectPr>
      </w:pPr>
      <w:r>
        <w:rPr>
          <w:rFonts w:ascii="Arial" w:hAnsi="Arial" w:cs="Arial"/>
        </w:rPr>
      </w:r>
      <w:r>
        <w:rPr>
          <w:rFonts w:ascii="Arial" w:hAnsi="Arial" w:cs="Arial"/>
        </w:rPr>
        <w:pict w14:anchorId="2EF43492">
          <v:shapetype id="_x0000_t32" coordsize="21600,21600" o:spt="32" o:oned="t" path="m,l21600,21600e" filled="f">
            <v:path arrowok="t" fillok="f" o:connecttype="none"/>
            <o:lock v:ext="edit" shapetype="t"/>
          </v:shapetype>
          <v:shape id="_x0000_s205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0474AB" w14:textId="10C173A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FC8C93" w14:textId="77777777" w:rsidR="00790ADA" w:rsidRPr="000E4AB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E4AB5" w14:paraId="7073B535" w14:textId="77777777" w:rsidTr="001E44FE">
        <w:tc>
          <w:tcPr>
            <w:tcW w:w="9576" w:type="dxa"/>
            <w:shd w:val="clear" w:color="auto" w:fill="F2F2F2"/>
          </w:tcPr>
          <w:p w14:paraId="303B5D36" w14:textId="34F7591D" w:rsidR="00505F06" w:rsidRPr="000E4AB5" w:rsidRDefault="000E4AB5" w:rsidP="00441B6F">
            <w:pPr>
              <w:pStyle w:val="Body"/>
              <w:spacing w:after="0"/>
              <w:rPr>
                <w:rFonts w:ascii="Arial" w:eastAsia="Calibri" w:hAnsi="Arial" w:cs="Arial"/>
                <w:szCs w:val="22"/>
              </w:rPr>
            </w:pPr>
            <w:r w:rsidRPr="000E4AB5">
              <w:rPr>
                <w:rFonts w:ascii="Arial" w:hAnsi="Arial" w:cs="Arial"/>
                <w:szCs w:val="24"/>
              </w:rPr>
              <w:t>Standardization is a process of determining characteristics based on certain parameters to achieve a good quality level. Traditional medicines circulating in Indonesia must meet the requirements of efficacy, safety and quality. One of the plants used is White mangrove (</w:t>
            </w:r>
            <w:commentRangeStart w:id="1"/>
            <w:r w:rsidRPr="000E4AB5">
              <w:rPr>
                <w:rFonts w:ascii="Arial" w:hAnsi="Arial" w:cs="Arial"/>
                <w:szCs w:val="24"/>
              </w:rPr>
              <w:t>Avicennia marina</w:t>
            </w:r>
            <w:commentRangeEnd w:id="1"/>
            <w:r w:rsidR="00122C5F" w:rsidRPr="000E4AB5">
              <w:rPr>
                <w:rStyle w:val="CommentReference"/>
                <w:rFonts w:ascii="Arial" w:hAnsi="Arial" w:cs="Arial"/>
                <w:sz w:val="20"/>
                <w:szCs w:val="24"/>
              </w:rPr>
              <w:commentReference w:id="1"/>
            </w:r>
            <w:r w:rsidRPr="000E4AB5">
              <w:rPr>
                <w:rFonts w:ascii="Arial" w:hAnsi="Arial" w:cs="Arial"/>
                <w:szCs w:val="24"/>
              </w:rPr>
              <w:t xml:space="preserve">). This study aims to standardize the specific and non-specific parameters of white mangrove fruit extract taken from </w:t>
            </w:r>
            <w:r>
              <w:rPr>
                <w:rFonts w:ascii="Arial" w:hAnsi="Arial" w:cs="Arial"/>
                <w:szCs w:val="24"/>
              </w:rPr>
              <w:t>three</w:t>
            </w:r>
            <w:r w:rsidRPr="000E4AB5">
              <w:rPr>
                <w:rFonts w:ascii="Arial" w:hAnsi="Arial" w:cs="Arial"/>
                <w:szCs w:val="24"/>
              </w:rPr>
              <w:t xml:space="preserve"> different areas in Central Java Province, namely Mangkang Semarang, Baros River Yogyakarta and Teluk Awur Jepara. Standardization was carried out on specific parameters including organoleptic, soluble compound content, chemical content of the extract and total flavonoid content, while non-specific parameters of the extract include loss on drying, water content, residual ash content, acid-soluble ash content residue, microbial and fungal contamination. The specific parameters of the extracts sequentially from Mangkang Semarang, Baros River Yogyakarta and Teluk Awur Jepara showed that the extract content was greenish black, slightly bitter taste and distinctive odor; the extract content that was soluble in water was 13.16-22.40%; the extract content that was soluble in ethanol was 25.17-44.18%; total flavonoid content of 3.26-13.27 mg QE/g. Non-specific parameters showed that the loss on drying was 6.69-11.56%; moisture content was 8.99-16.98%; total ash content was 7.48-19.50%; acid-soluble ash content was 0.89-3.47%; the total number of yeast and fungi ranged from 2.0x10</w:t>
            </w:r>
            <w:r w:rsidRPr="000E4AB5">
              <w:rPr>
                <w:rFonts w:ascii="Arial" w:hAnsi="Arial" w:cs="Arial"/>
                <w:szCs w:val="24"/>
                <w:vertAlign w:val="superscript"/>
              </w:rPr>
              <w:t>2</w:t>
            </w:r>
            <w:r w:rsidRPr="000E4AB5">
              <w:rPr>
                <w:rFonts w:ascii="Arial" w:hAnsi="Arial" w:cs="Arial"/>
                <w:szCs w:val="24"/>
              </w:rPr>
              <w:t>–2.0x10</w:t>
            </w:r>
            <w:r w:rsidRPr="000E4AB5">
              <w:rPr>
                <w:rFonts w:ascii="Arial" w:hAnsi="Arial" w:cs="Arial"/>
                <w:szCs w:val="24"/>
                <w:vertAlign w:val="superscript"/>
              </w:rPr>
              <w:t>5</w:t>
            </w:r>
            <w:r w:rsidRPr="000E4AB5">
              <w:rPr>
                <w:rFonts w:ascii="Arial" w:hAnsi="Arial" w:cs="Arial"/>
                <w:szCs w:val="24"/>
              </w:rPr>
              <w:t xml:space="preserve"> CFU/g and the number of microbial colonies was 2.0x10</w:t>
            </w:r>
            <w:r w:rsidRPr="000E4AB5">
              <w:rPr>
                <w:rFonts w:ascii="Arial" w:hAnsi="Arial" w:cs="Arial"/>
                <w:szCs w:val="24"/>
                <w:vertAlign w:val="superscript"/>
              </w:rPr>
              <w:t>2</w:t>
            </w:r>
            <w:r w:rsidRPr="000E4AB5">
              <w:rPr>
                <w:rFonts w:ascii="Arial" w:hAnsi="Arial" w:cs="Arial"/>
                <w:szCs w:val="24"/>
              </w:rPr>
              <w:t>–2.0x10</w:t>
            </w:r>
            <w:r w:rsidRPr="000E4AB5">
              <w:rPr>
                <w:rFonts w:ascii="Arial" w:hAnsi="Arial" w:cs="Arial"/>
                <w:szCs w:val="24"/>
                <w:vertAlign w:val="superscript"/>
              </w:rPr>
              <w:t>3</w:t>
            </w:r>
            <w:r w:rsidRPr="000E4AB5">
              <w:rPr>
                <w:rFonts w:ascii="Arial" w:hAnsi="Arial" w:cs="Arial"/>
                <w:szCs w:val="24"/>
              </w:rPr>
              <w:t xml:space="preserve"> CFU/g. It can be concluded that the white mangrove fruit extract from the Mangkang area of ​​Central Java Province, Indonesia meets the requirements as a raw material for herbal products in Indonesia.</w:t>
            </w:r>
          </w:p>
        </w:tc>
      </w:tr>
    </w:tbl>
    <w:p w14:paraId="21FBB53B" w14:textId="77777777" w:rsidR="00636EB2" w:rsidRDefault="00636EB2" w:rsidP="00441B6F">
      <w:pPr>
        <w:pStyle w:val="Body"/>
        <w:spacing w:after="0"/>
        <w:rPr>
          <w:rFonts w:ascii="Arial" w:hAnsi="Arial" w:cs="Arial"/>
          <w:i/>
        </w:rPr>
      </w:pPr>
    </w:p>
    <w:p w14:paraId="3B2F4B63" w14:textId="34A6BF16" w:rsidR="0024282C" w:rsidRPr="000E4AB5" w:rsidRDefault="00A24E7E" w:rsidP="00441B6F">
      <w:pPr>
        <w:pStyle w:val="Body"/>
        <w:spacing w:after="0"/>
        <w:rPr>
          <w:rFonts w:ascii="Arial" w:hAnsi="Arial" w:cs="Arial"/>
          <w:i/>
        </w:rPr>
      </w:pPr>
      <w:r>
        <w:rPr>
          <w:rFonts w:ascii="Arial" w:hAnsi="Arial" w:cs="Arial"/>
          <w:i/>
        </w:rPr>
        <w:t>Keywords:</w:t>
      </w:r>
      <w:r w:rsidR="000E4AB5" w:rsidRPr="000E4AB5">
        <w:rPr>
          <w:rFonts w:ascii="Arial" w:hAnsi="Arial" w:cs="Arial"/>
          <w:i/>
          <w:iCs/>
        </w:rPr>
        <w:t xml:space="preserve"> </w:t>
      </w:r>
      <w:r w:rsidR="000E4AB5" w:rsidRPr="001F3BEF">
        <w:rPr>
          <w:rFonts w:ascii="Arial" w:hAnsi="Arial" w:cs="Arial"/>
          <w:i/>
          <w:iCs/>
        </w:rPr>
        <w:t>Standardization; Specific parameters; Non-Specific parameters; Total</w:t>
      </w:r>
      <w:r w:rsidR="000E4AB5">
        <w:rPr>
          <w:rFonts w:ascii="Arial" w:hAnsi="Arial" w:cs="Arial"/>
          <w:i/>
          <w:iCs/>
        </w:rPr>
        <w:t xml:space="preserve"> </w:t>
      </w:r>
      <w:r w:rsidR="000E4AB5" w:rsidRPr="001F3BEF">
        <w:rPr>
          <w:rFonts w:ascii="Arial" w:hAnsi="Arial" w:cs="Arial"/>
          <w:i/>
          <w:iCs/>
        </w:rPr>
        <w:t>Flavanoids; White mangrove fruit.</w:t>
      </w:r>
    </w:p>
    <w:p w14:paraId="206BEA29" w14:textId="77777777" w:rsidR="00505F06" w:rsidRPr="00A24E7E" w:rsidRDefault="00505F06" w:rsidP="00441B6F">
      <w:pPr>
        <w:pStyle w:val="Body"/>
        <w:spacing w:after="0"/>
        <w:rPr>
          <w:rFonts w:ascii="Arial" w:hAnsi="Arial" w:cs="Arial"/>
          <w:i/>
        </w:rPr>
      </w:pPr>
    </w:p>
    <w:p w14:paraId="33213993" w14:textId="77777777" w:rsidR="006432B1" w:rsidRDefault="006432B1" w:rsidP="00441B6F">
      <w:pPr>
        <w:pStyle w:val="AbstHead"/>
        <w:spacing w:after="0"/>
        <w:jc w:val="both"/>
        <w:rPr>
          <w:rFonts w:ascii="Arial" w:hAnsi="Arial" w:cs="Arial"/>
        </w:rPr>
        <w:sectPr w:rsidR="006432B1" w:rsidSect="004239FA">
          <w:type w:val="continuous"/>
          <w:pgSz w:w="12240" w:h="15840"/>
          <w:pgMar w:top="1440" w:right="2016" w:bottom="2016" w:left="2016" w:header="720" w:footer="1123" w:gutter="0"/>
          <w:cols w:space="720"/>
          <w:titlePg/>
          <w:docGrid w:linePitch="272"/>
        </w:sectPr>
      </w:pPr>
    </w:p>
    <w:p w14:paraId="6702EE86" w14:textId="3AA6FC1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6857D64" w14:textId="77777777" w:rsidR="00790ADA" w:rsidRPr="00FB3A86" w:rsidRDefault="00790ADA" w:rsidP="00441B6F">
      <w:pPr>
        <w:pStyle w:val="AbstHead"/>
        <w:spacing w:after="0"/>
        <w:jc w:val="both"/>
        <w:rPr>
          <w:rFonts w:ascii="Arial" w:hAnsi="Arial" w:cs="Arial"/>
        </w:rPr>
      </w:pPr>
    </w:p>
    <w:p w14:paraId="7758AC22" w14:textId="29DC2CAF" w:rsidR="000E4AB5" w:rsidRDefault="000E4AB5" w:rsidP="000E4AB5">
      <w:pPr>
        <w:tabs>
          <w:tab w:val="center" w:pos="4513"/>
          <w:tab w:val="right" w:pos="9026"/>
        </w:tabs>
        <w:jc w:val="both"/>
        <w:rPr>
          <w:rFonts w:ascii="Arial" w:hAnsi="Arial" w:cs="Arial"/>
          <w:lang w:val="id-ID"/>
        </w:rPr>
      </w:pPr>
      <w:r w:rsidRPr="001F3B9B">
        <w:rPr>
          <w:rFonts w:ascii="Arial" w:hAnsi="Arial" w:cs="Arial"/>
          <w:lang w:val="id-ID"/>
        </w:rPr>
        <w:t>Improving the quality of medicinal raw materials can be achieved through cultivation efforts and the implementation of standardization processes, both for materials in their simple form and in extract form. Standardization encompasses a series of methods, measurement techniques, and parameters aimed at producing quality components that meet standards and ensure the stability of medicinal preparations</w:t>
      </w:r>
      <w:r>
        <w:rPr>
          <w:rFonts w:ascii="Arial" w:hAnsi="Arial" w:cs="Arial"/>
        </w:rPr>
        <w:t xml:space="preserve"> </w:t>
      </w:r>
      <w:r>
        <w:rPr>
          <w:rFonts w:ascii="Arial" w:hAnsi="Arial" w:cs="Arial"/>
        </w:rPr>
        <w:fldChar w:fldCharType="begin" w:fldLock="1"/>
      </w:r>
      <w:r w:rsidR="00DD5BA0">
        <w:rPr>
          <w:rFonts w:ascii="Arial" w:hAnsi="Arial" w:cs="Arial"/>
        </w:rPr>
        <w:instrText>ADDIN CSL_CITATION {"citationItems":[{"id":"ITEM-1","itemData":{"DOI":"10.35799/pha.9.2020.31362","ISSN":"2302-2493","abstract":"ABSTRACTThis study aims to determine the standardization of betel leaf extracts and determine the concentration of extracts that can inhibit bacteria. In this study, the extraction was carried out by the maceration method. The specific parameters were identity of the extracts, organoleptic test, levels of water, ethanol soluble compounds, and chemical content, meanwhile, the non-specific parameters were drying loss, moisture content, and specific gravity. The results of the standardization of specific parameters showed the name of the Green Betel leaf extract (Piper betle L.), organoleptic (thick, dark green color, and strong betel odor), water-soluble and ethanol-soluble extracts content (68.27% and 82%), containing alkaloid compounds, steroids, and tannins. The results of non-specific parameters showed drying shrinkage (10.91%), moisture content (22.73%), and specific gravity (0.874 g / mL). Antibacterial test against Pseudomonas aeruginosa showed that betel leaf extracts at a concentration of 25%, 20%, and 15% experienced a decrease in Optical Density (OD) values respectively -0.192, -0.065, -0.098 while at concentrations of 10% and 5% had an increase Optical Density (OD) values were 0.512, 0.767, respectively. From the results obtained, it was concluded that the betel leaf extracts (Piper betle L.) fulfilled specific and non-specific parameters and had the ability to inhibit the growth of Pseudomonas aeruginosa bacteria with an MIC value of 15%.Keywords: Betel leaf (Piper betle L.), Standardization, Antibacterial, Pseudomonas aeruginosa. ABSTRAKPenelitian ini bertujuan untuk menentukan standarisasi ekstrak daun sirih hijau dan menentukan konsentrasi ekstrak yang mampu menghambat bakteri. Dalam penelitian ini penyarian dilakukan dengan metode maserasi. Parameter spesifik yaitu identitas ekstrak, uji organoleptik, kadar senyawa larut air dan larut etanol, dan kandungan kimia, sedangkan parameter non spesifik yaitu susut pengeringan, kadar air, dan bobot jenis. Hasil standarisasi parameter spesifik menunjukkan nama ekstrak etanol Daun Sirih Hijau (Piper betle L.), organoleptik (kental, warna hijau pekat, dan bau khas sirih yang tajam), kadar sari larut air dan larut etanol masing masing (68,27% dan 82%), dengan kandungan senyawa alkaloid, steroid, tanin. Hasil parameter non spesifik menunjukkan nilai susut pengeringan (10,91%), kadar air (22,73%), dan bobot jenis (0,874 g/mL). Uji antibakteri terhadap Pseudomonas aeruginosa menunjukkan bahwa ekstrak da…","author":[{"dropping-particle":"","family":"Manarisip","given":"Geraldin Ester","non-dropping-particle":"","parse-names":false,"suffix":""},{"dropping-particle":"","family":"Fatimawa;i","given":"Fatimawali","non-dropping-particle":"","parse-names":false,"suffix":""},{"dropping-particle":"","family":"Rotinsulu","given":"Henki","non-dropping-particle":"","parse-names":false,"suffix":""}],"container-title":"Pharmacon","id":"ITEM-1","issue":"4","issued":{"date-parts":[["2020"]]},"page":"533","title":"Standarisasi Ekstrak Daun Sirih Hijau (Piper Betle L.) Dan Uji Antibakteri Terhadap Bakteri Pseudomonas Aeruginosa","type":"article-journal","volume":"9"},"uris":["http://www.mendeley.com/documents/?uuid=33b6563f-bd9d-4e6a-a5c7-ce86d4689f23"]}],"mendeley":{"formattedCitation":"[1]","plainTextFormattedCitation":"[1]","previouslyFormattedCitation":"&lt;sup&gt;1&lt;/sup&gt;"},"properties":{"noteIndex":0},"schema":"https://github.com/citation-style-language/schema/raw/master/csl-citation.json"}</w:instrText>
      </w:r>
      <w:r>
        <w:rPr>
          <w:rFonts w:ascii="Arial" w:hAnsi="Arial" w:cs="Arial"/>
        </w:rPr>
        <w:fldChar w:fldCharType="separate"/>
      </w:r>
      <w:r w:rsidR="00DD5BA0" w:rsidRPr="00DD5BA0">
        <w:rPr>
          <w:rFonts w:ascii="Arial" w:hAnsi="Arial" w:cs="Arial"/>
          <w:noProof/>
        </w:rPr>
        <w:t>[1]</w:t>
      </w:r>
      <w:r>
        <w:rPr>
          <w:rFonts w:ascii="Arial" w:hAnsi="Arial" w:cs="Arial"/>
        </w:rPr>
        <w:fldChar w:fldCharType="end"/>
      </w:r>
      <w:r w:rsidRPr="001F3B9B">
        <w:rPr>
          <w:rFonts w:ascii="Arial" w:hAnsi="Arial" w:cs="Arial"/>
        </w:rPr>
        <w:t xml:space="preserve">. </w:t>
      </w:r>
      <w:r w:rsidRPr="001F3B9B">
        <w:rPr>
          <w:rFonts w:ascii="Arial" w:hAnsi="Arial" w:cs="Arial"/>
          <w:lang w:val="id-ID"/>
        </w:rPr>
        <w:t xml:space="preserve">A medicinal plant will be deemed to meet the quality requirements for raw materials if the plant extract has been standardized </w:t>
      </w:r>
      <w:r w:rsidRPr="001F3B9B">
        <w:rPr>
          <w:rFonts w:ascii="Arial" w:hAnsi="Arial" w:cs="Arial"/>
          <w:lang w:val="id-ID"/>
        </w:rPr>
        <w:lastRenderedPageBreak/>
        <w:t>specifically or non-</w:t>
      </w:r>
      <w:r w:rsidRPr="00122C5F">
        <w:rPr>
          <w:rFonts w:ascii="Arial" w:hAnsi="Arial" w:cs="Arial"/>
          <w:highlight w:val="red"/>
          <w:lang w:val="id-ID"/>
        </w:rPr>
        <w:t>specificall</w:t>
      </w:r>
      <w:r>
        <w:rPr>
          <w:rFonts w:ascii="Arial" w:hAnsi="Arial" w:cs="Arial"/>
        </w:rPr>
        <w:t xml:space="preserve"> </w:t>
      </w:r>
      <w:r>
        <w:rPr>
          <w:rFonts w:ascii="Arial" w:hAnsi="Arial" w:cs="Arial"/>
        </w:rPr>
        <w:fldChar w:fldCharType="begin" w:fldLock="1"/>
      </w:r>
      <w:r w:rsidR="00DD5BA0">
        <w:rPr>
          <w:rFonts w:ascii="Arial" w:hAnsi="Arial" w:cs="Arial"/>
        </w:rPr>
        <w:instrText>ADDIN CSL_CITATION {"citationItems":[{"id":"ITEM-1","itemData":{"DOI":"10.33096/jffi.v4i2.268","ISSN":"2356-0398","abstract":"ABSTRAK Teh hijau memiliki nama spesies Camellia sinensis (L.) Kuntze, family Theaceae dan Jati belanda (Guazuma ulmifolia Lam.) termasuk kedalam family sterculiaceae Tujuan Penelitian ini adalah melakukan standarisasi ekstrak air daun jati belanda dan ekstrak air the hijau. Ekstrak distandardisasi dengan beberapa dua parameter yaitu parameter spesifik dan parameter non spesifik. Kadar sari larut air pada jati belanda 12,88 % dan teh hijau 40,88, sedangkan kadar sari larut etanol pada jati belanda 4, 23 % dan pada teh hijau 4,23 %. Hasil pengujian kandungan kimia menunjukkan pada ekstrak jati belanda mengandung saponin dan flavonoid sedangkan pada teh hijau mengandung tannin dan flavonoid. Kadar air ekstrak daun jati belanda 0,95 % dan teh hijau 2,79%. Hasil kadar abu total jati belanda sebesar 37,61% dan teh hijau 36,84 %. Kadar abu tidak larut asam yaitu pada jati belanda sebesar 3,54% dan teh hijau 3,77%. Hasil dari penetapan susut pengeringan pada ekstrak jati belanda yaitu 0,46 % dan teh hijau 0,46 %. Ekstrak jati belanda maupun teh hijau berdasarkan pengujian standarisasi meliputi parameter spesifik dan no-spesifik memenuhi standarisasi mutu bahan baku.","author":[{"dropping-particle":"","family":"Najib","given":"Ahmad","non-dropping-particle":"","parse-names":false,"suffix":""},{"dropping-particle":"","family":"Malik","given":"Abd.","non-dropping-particle":"","parse-names":false,"suffix":""},{"dropping-particle":"","family":"Ahmad","given":"Aktsar Roskiana","non-dropping-particle":"","parse-names":false,"suffix":""},{"dropping-particle":"","family":"Handayani","given":"Virsa","non-dropping-particle":"","parse-names":false,"suffix":""},{"dropping-particle":"","family":"Syarif","given":"Rezki Amriati","non-dropping-particle":"","parse-names":false,"suffix":""},{"dropping-particle":"","family":"Waris","given":"Risda","non-dropping-particle":"","parse-names":false,"suffix":""}],"container-title":"Jurnal Fitofarmaka Indonesia","id":"ITEM-1","issue":"2","issued":{"date-parts":[["2017"]]},"page":"241-245","title":"Standarisasi Ekstrak Air Daun Jati Belanda Dan Teh Hijau","type":"article-journal","volume":"4"},"uris":["http://www.mendeley.com/documents/?uuid=3844fcc8-6da2-4877-87e2-f5634c26e2d8"]}],"mendeley":{"formattedCitation":"[2]","plainTextFormattedCitation":"[2]","previouslyFormattedCitation":"&lt;sup&gt;2&lt;/sup&gt;"},"properties":{"noteIndex":0},"schema":"https://github.com/citation-style-language/schema/raw/master/csl-citation.json"}</w:instrText>
      </w:r>
      <w:r>
        <w:rPr>
          <w:rFonts w:ascii="Arial" w:hAnsi="Arial" w:cs="Arial"/>
        </w:rPr>
        <w:fldChar w:fldCharType="separate"/>
      </w:r>
      <w:r w:rsidR="00DD5BA0" w:rsidRPr="00DD5BA0">
        <w:rPr>
          <w:rFonts w:ascii="Arial" w:hAnsi="Arial" w:cs="Arial"/>
          <w:noProof/>
        </w:rPr>
        <w:t>[2]</w:t>
      </w:r>
      <w:r>
        <w:rPr>
          <w:rFonts w:ascii="Arial" w:hAnsi="Arial" w:cs="Arial"/>
        </w:rPr>
        <w:fldChar w:fldCharType="end"/>
      </w:r>
      <w:r w:rsidRPr="001F3B9B">
        <w:rPr>
          <w:rFonts w:ascii="Arial" w:hAnsi="Arial" w:cs="Arial"/>
        </w:rPr>
        <w:t xml:space="preserve">. </w:t>
      </w:r>
      <w:r w:rsidRPr="001F3B9B">
        <w:rPr>
          <w:rFonts w:ascii="Arial" w:hAnsi="Arial" w:cs="Arial"/>
          <w:lang w:val="id-ID"/>
        </w:rPr>
        <w:t>The active compound content and extract quality of medicinal plants can vary, influenced by factors such as seed type, growing location, climatic conditions, age and harvesting method, as well as post-harvest processing up to the final preparation stage. Therefore, extract standardization is crucial to ensure high-quality extracts before further processing on an industrial scale.</w:t>
      </w:r>
    </w:p>
    <w:p w14:paraId="1FD083FF" w14:textId="77777777" w:rsidR="000E4AB5" w:rsidRPr="001F3B9B" w:rsidRDefault="000E4AB5" w:rsidP="000E4AB5">
      <w:pPr>
        <w:tabs>
          <w:tab w:val="center" w:pos="4513"/>
          <w:tab w:val="right" w:pos="9026"/>
        </w:tabs>
        <w:jc w:val="both"/>
        <w:rPr>
          <w:rFonts w:ascii="Arial" w:hAnsi="Arial" w:cs="Arial"/>
          <w:lang w:val="id-ID"/>
        </w:rPr>
      </w:pPr>
    </w:p>
    <w:p w14:paraId="1D6499FE" w14:textId="663FFAE8" w:rsidR="000E4AB5" w:rsidRPr="001F3B9B" w:rsidRDefault="000E4AB5" w:rsidP="000E4AB5">
      <w:pPr>
        <w:tabs>
          <w:tab w:val="center" w:pos="4513"/>
          <w:tab w:val="right" w:pos="9026"/>
        </w:tabs>
        <w:jc w:val="both"/>
        <w:rPr>
          <w:rFonts w:ascii="Arial" w:hAnsi="Arial" w:cs="Arial"/>
        </w:rPr>
      </w:pPr>
      <w:r w:rsidRPr="001F3B9B">
        <w:rPr>
          <w:rFonts w:ascii="Arial" w:hAnsi="Arial" w:cs="Arial"/>
          <w:lang w:val="id-ID"/>
        </w:rPr>
        <w:t xml:space="preserve">One medicinal plant currently under extensive study is </w:t>
      </w:r>
      <w:r w:rsidRPr="001F3B9B">
        <w:rPr>
          <w:rFonts w:ascii="Arial" w:hAnsi="Arial" w:cs="Arial"/>
        </w:rPr>
        <w:t xml:space="preserve">white mangrove </w:t>
      </w:r>
      <w:r w:rsidRPr="001F3B9B">
        <w:rPr>
          <w:rFonts w:ascii="Arial" w:hAnsi="Arial" w:cs="Arial"/>
          <w:lang w:val="id-ID"/>
        </w:rPr>
        <w:t>(</w:t>
      </w:r>
      <w:r w:rsidRPr="00122C5F">
        <w:rPr>
          <w:rFonts w:ascii="Arial" w:hAnsi="Arial" w:cs="Arial"/>
          <w:highlight w:val="red"/>
          <w:lang w:val="id-ID"/>
        </w:rPr>
        <w:t>Avicennia marina</w:t>
      </w:r>
      <w:r w:rsidRPr="001F3B9B">
        <w:rPr>
          <w:rFonts w:ascii="Arial" w:hAnsi="Arial" w:cs="Arial"/>
          <w:lang w:val="id-ID"/>
        </w:rPr>
        <w:t>), a type of mangrove that grows abundantly in coastal areas of Indonesia. Traditionally, the leaves and fruit are the most commonly used parts of the plant. Empirically, people have long used both parts of the plant to treat various ailments such as hepatitis, smallpox, rheumatism, and as an antifertility agent. In India, the crushed unripe fruit of the api-api plant is used as an ointment to treat skin abscesse</w:t>
      </w:r>
      <w:r>
        <w:rPr>
          <w:rFonts w:ascii="Arial" w:hAnsi="Arial" w:cs="Arial"/>
        </w:rPr>
        <w:t xml:space="preserve"> </w:t>
      </w:r>
      <w:r>
        <w:rPr>
          <w:rFonts w:ascii="Arial" w:hAnsi="Arial" w:cs="Arial"/>
        </w:rPr>
        <w:fldChar w:fldCharType="begin" w:fldLock="1"/>
      </w:r>
      <w:r w:rsidR="00DD5BA0">
        <w:rPr>
          <w:rFonts w:ascii="Arial" w:hAnsi="Arial" w:cs="Arial"/>
        </w:rPr>
        <w:instrText>ADDIN CSL_CITATION {"citationItems":[{"id":"ITEM-1","itemData":{"ISSN":"1880-7682","abstract":"… Avicennia marina foliage as a salt enrichment nutrient for … fruits of a Beibu gulf mangrove Avicennia marina. Marine Drugs 12… Antiviral activity of Avicennia marina against herpes simplex …","author":[{"dropping-particle":"","family":"Baba","given":"Shigeyuki","non-dropping-particle":"","parse-names":false,"suffix":""},{"dropping-particle":"","family":"Chan","given":"Hung Tuck","non-dropping-particle":"","parse-names":false,"suffix":""},{"dropping-particle":"","family":"Oshiro","given":"Nozomi","non-dropping-particle":"","parse-names":false,"suffix":""},{"dropping-particle":"","family":"Maxwell","given":"Gordon S","non-dropping-particle":"","parse-names":false,"suffix":""},{"dropping-particle":"","family":"Inoue","given":"Tomomi","non-dropping-particle":"","parse-names":false,"suffix":""},{"dropping-particle":"","family":"Chan","given":"Eric W C","non-dropping-particle":"","parse-names":false,"suffix":""}],"container-title":"ISME/GLOMIS Electronic Journal ","id":"ITEM-1","issue":"2","issued":{"date-parts":[["2016"]]},"page":"5-10","title":"Botany, uses, chemistry and bioactivities of mangrove plants IV: Avicennia marina","type":"article-journal","volume":"14"},"uris":["http://www.mendeley.com/documents/?uuid=58f4ed5f-258d-4489-a584-a25e1f334ce6"]}],"mendeley":{"formattedCitation":"[3]","plainTextFormattedCitation":"[3]","previouslyFormattedCitation":"&lt;sup&gt;3&lt;/sup&gt;"},"properties":{"noteIndex":0},"schema":"https://github.com/citation-style-language/schema/raw/master/csl-citation.json"}</w:instrText>
      </w:r>
      <w:r>
        <w:rPr>
          <w:rFonts w:ascii="Arial" w:hAnsi="Arial" w:cs="Arial"/>
        </w:rPr>
        <w:fldChar w:fldCharType="separate"/>
      </w:r>
      <w:r w:rsidR="00DD5BA0" w:rsidRPr="00DD5BA0">
        <w:rPr>
          <w:rFonts w:ascii="Arial" w:hAnsi="Arial" w:cs="Arial"/>
          <w:noProof/>
        </w:rPr>
        <w:t>[3]</w:t>
      </w:r>
      <w:r>
        <w:rPr>
          <w:rFonts w:ascii="Arial" w:hAnsi="Arial" w:cs="Arial"/>
        </w:rPr>
        <w:fldChar w:fldCharType="end"/>
      </w:r>
      <w:r w:rsidRPr="001F3B9B">
        <w:rPr>
          <w:rFonts w:ascii="Arial" w:hAnsi="Arial" w:cs="Arial"/>
          <w:lang w:val="id-ID"/>
        </w:rPr>
        <w:t xml:space="preserve">. Various studies have identified the bioactive compounds contained in </w:t>
      </w:r>
      <w:r w:rsidRPr="00122C5F">
        <w:rPr>
          <w:rFonts w:ascii="Arial" w:hAnsi="Arial" w:cs="Arial"/>
          <w:highlight w:val="red"/>
          <w:lang w:val="id-ID"/>
        </w:rPr>
        <w:t>Avicennia marina</w:t>
      </w:r>
      <w:r w:rsidRPr="001F3B9B">
        <w:rPr>
          <w:rFonts w:ascii="Arial" w:hAnsi="Arial" w:cs="Arial"/>
          <w:lang w:val="id-ID"/>
        </w:rPr>
        <w:t>. Results indicate that this plant contains flavonoids, tannins, saponins, and alkaloids, which are known to possess various biological activities, such as antioxidant, antimicrobial, anticancer, and anti-inflammatory properties</w:t>
      </w:r>
      <w:r>
        <w:rPr>
          <w:rFonts w:ascii="Arial" w:hAnsi="Arial" w:cs="Arial"/>
        </w:rPr>
        <w:t xml:space="preserve"> </w:t>
      </w:r>
      <w:r>
        <w:rPr>
          <w:rFonts w:ascii="Arial" w:hAnsi="Arial" w:cs="Arial"/>
        </w:rPr>
        <w:fldChar w:fldCharType="begin" w:fldLock="1"/>
      </w:r>
      <w:r w:rsidR="00DD5BA0">
        <w:rPr>
          <w:rFonts w:ascii="Arial" w:hAnsi="Arial" w:cs="Arial"/>
        </w:rPr>
        <w:instrText>ADDIN CSL_CITATION {"citationItems":[{"id":"ITEM-1","itemData":{"DOI":"10.29303/jbt.v24i1b.7987","ISSN":"2549-7863","abstract":"&lt;p&gt;Indonesia, as a maritime nation, possesses numerous mangrove ecosystems that have significant potential for exploring their benefits. One species of mangrove that has attracted attention is Avicennia marina, which contains various bioactive compounds. This article aims to provide a comprehensive review of the bioactive components of the Avicennia marina plant and its biological activities, particularly its therapeutic potential and benefits in the pharmaceutical field. We conducted a literature search to find relevant articles in the PubMed, Scopus, and Google Scholar databases using the keywords: plant identification + Avicennia marina; compound identification + Avicennia marina; biological activity + Avicennia marina. The bioactive content from the leaves, fruits, stems, and roots of Avicennia marina has been shown to exhibit antioxidant, antimicrobial, anticancer, and anti-inflammatory effects. This effect is strongly correlated to the presence of active metabolites of triterpenes, terpene alcohols, diterpenes, tannins, dodecanoic acid, octadecanoic acid, phenolic compound, flavonoid, squalene, and phytol. This indicates that Avicennia marina is a promising natural source for further research in the development of a new drug. Our finding further the notion of Avicennia marina as a potential medicinal plant.&lt;/p&gt;","author":[{"dropping-particle":"","family":"Budastra","given":"Cintya","non-dropping-particle":"","parse-names":false,"suffix":""},{"dropping-particle":"","family":"Ulya","given":"Tuhfatul","non-dropping-particle":"","parse-names":false,"suffix":""},{"dropping-particle":"","family":"Maulidya","given":"Selvira Anandia Intan","non-dropping-particle":"","parse-names":false,"suffix":""},{"dropping-particle":"","family":"Purnomo","given":"Indra","non-dropping-particle":"","parse-names":false,"suffix":""},{"dropping-particle":"","family":"Lisnasari","given":"Baiq Risky Wahyu","non-dropping-particle":"","parse-names":false,"suffix":""},{"dropping-particle":"","family":"Permatasari","given":"Lina","non-dropping-particle":"","parse-names":false,"suffix":""}],"container-title":"Jurnal Biologi Tropis","id":"ITEM-1","issue":"1b","issued":{"date-parts":[["2024","12","15"]]},"page":"474-481","title":"Literature Review: Exploration of Bioactive Components of Avicennia marina and Its Biological Activities","type":"article-journal","volume":"24"},"uris":["http://www.mendeley.com/documents/?uuid=08a74653-0e62-3dd5-8d22-e002ade700c2"]}],"mendeley":{"formattedCitation":"[4]","plainTextFormattedCitation":"[4]","previouslyFormattedCitation":"&lt;sup&gt;4&lt;/sup&gt;"},"properties":{"noteIndex":0},"schema":"https://github.com/citation-style-language/schema/raw/master/csl-citation.json"}</w:instrText>
      </w:r>
      <w:r>
        <w:rPr>
          <w:rFonts w:ascii="Arial" w:hAnsi="Arial" w:cs="Arial"/>
        </w:rPr>
        <w:fldChar w:fldCharType="separate"/>
      </w:r>
      <w:r w:rsidR="00DD5BA0" w:rsidRPr="00DD5BA0">
        <w:rPr>
          <w:rFonts w:ascii="Arial" w:hAnsi="Arial" w:cs="Arial"/>
          <w:noProof/>
        </w:rPr>
        <w:t>[4]</w:t>
      </w:r>
      <w:r>
        <w:rPr>
          <w:rFonts w:ascii="Arial" w:hAnsi="Arial" w:cs="Arial"/>
        </w:rPr>
        <w:fldChar w:fldCharType="end"/>
      </w:r>
      <w:r w:rsidRPr="001F3B9B">
        <w:rPr>
          <w:rFonts w:ascii="Arial" w:hAnsi="Arial" w:cs="Arial"/>
        </w:rPr>
        <w:t>.</w:t>
      </w:r>
    </w:p>
    <w:p w14:paraId="37745C46" w14:textId="77777777" w:rsidR="000E4AB5" w:rsidRDefault="000E4AB5" w:rsidP="000E4AB5">
      <w:pPr>
        <w:tabs>
          <w:tab w:val="center" w:pos="4513"/>
          <w:tab w:val="right" w:pos="9026"/>
        </w:tabs>
        <w:jc w:val="both"/>
        <w:rPr>
          <w:rFonts w:ascii="Arial" w:hAnsi="Arial" w:cs="Arial"/>
          <w:lang w:val="id-ID"/>
        </w:rPr>
      </w:pPr>
    </w:p>
    <w:p w14:paraId="0604A959" w14:textId="77777777" w:rsidR="000E4AB5" w:rsidRPr="001F3B9B" w:rsidRDefault="000E4AB5" w:rsidP="000E4AB5">
      <w:pPr>
        <w:tabs>
          <w:tab w:val="center" w:pos="4513"/>
          <w:tab w:val="right" w:pos="9026"/>
        </w:tabs>
        <w:jc w:val="both"/>
        <w:rPr>
          <w:rFonts w:ascii="Arial" w:hAnsi="Arial" w:cs="Arial"/>
          <w:lang w:val="id-ID"/>
        </w:rPr>
      </w:pPr>
      <w:r w:rsidRPr="001F3B9B">
        <w:rPr>
          <w:rFonts w:ascii="Arial" w:hAnsi="Arial" w:cs="Arial"/>
          <w:lang w:val="id-ID"/>
        </w:rPr>
        <w:t xml:space="preserve">Based on this description, </w:t>
      </w:r>
      <w:r w:rsidRPr="00122C5F">
        <w:rPr>
          <w:rFonts w:ascii="Arial" w:hAnsi="Arial" w:cs="Arial"/>
          <w:highlight w:val="red"/>
          <w:lang w:val="id-ID"/>
        </w:rPr>
        <w:t>this study will standardiz</w:t>
      </w:r>
      <w:r w:rsidRPr="00122C5F">
        <w:rPr>
          <w:rFonts w:ascii="Arial" w:hAnsi="Arial" w:cs="Arial"/>
          <w:highlight w:val="red"/>
        </w:rPr>
        <w:t>ation</w:t>
      </w:r>
      <w:r w:rsidRPr="001F3B9B">
        <w:rPr>
          <w:rFonts w:ascii="Arial" w:hAnsi="Arial" w:cs="Arial"/>
          <w:lang w:val="id-ID"/>
        </w:rPr>
        <w:t xml:space="preserve"> the mangrove white extract to determine whether it meets standardization parameters before being used for therapy.</w:t>
      </w:r>
    </w:p>
    <w:p w14:paraId="4EF3E483" w14:textId="77777777" w:rsidR="00790ADA" w:rsidRPr="00FB3A86" w:rsidRDefault="00790ADA" w:rsidP="00441B6F">
      <w:pPr>
        <w:pStyle w:val="Body"/>
        <w:spacing w:after="0"/>
        <w:rPr>
          <w:rFonts w:ascii="Arial" w:hAnsi="Arial" w:cs="Arial"/>
        </w:rPr>
      </w:pPr>
    </w:p>
    <w:p w14:paraId="7D925F3C" w14:textId="01C0615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35C8558" w14:textId="77777777" w:rsidR="00790ADA" w:rsidRPr="00FB3A86" w:rsidRDefault="00790ADA" w:rsidP="00441B6F">
      <w:pPr>
        <w:pStyle w:val="AbstHead"/>
        <w:spacing w:after="0"/>
        <w:jc w:val="both"/>
        <w:rPr>
          <w:rFonts w:ascii="Arial" w:hAnsi="Arial" w:cs="Arial"/>
        </w:rPr>
      </w:pPr>
    </w:p>
    <w:p w14:paraId="0298C550" w14:textId="77777777" w:rsidR="000E4AB5" w:rsidRPr="0008465F" w:rsidRDefault="000E4AB5" w:rsidP="000E4AB5">
      <w:pPr>
        <w:pBdr>
          <w:top w:val="nil"/>
          <w:left w:val="nil"/>
          <w:bottom w:val="nil"/>
          <w:right w:val="nil"/>
          <w:between w:val="nil"/>
        </w:pBdr>
        <w:jc w:val="both"/>
        <w:rPr>
          <w:rFonts w:ascii="Arial" w:eastAsia="Cambria" w:hAnsi="Arial" w:cs="Arial"/>
          <w:color w:val="000000"/>
        </w:rPr>
      </w:pPr>
      <w:r w:rsidRPr="00122C5F">
        <w:rPr>
          <w:rFonts w:ascii="Arial" w:eastAsia="Cambria" w:hAnsi="Arial" w:cs="Arial"/>
          <w:color w:val="000000"/>
          <w:highlight w:val="red"/>
        </w:rPr>
        <w:t>The study was tools used are</w:t>
      </w:r>
      <w:r w:rsidRPr="0008465F">
        <w:rPr>
          <w:rFonts w:ascii="Arial" w:eastAsia="Cambria" w:hAnsi="Arial" w:cs="Arial"/>
          <w:color w:val="000000"/>
        </w:rPr>
        <w:t xml:space="preserve"> glassware, analytical scales, test tube racks, stirring rods, ovens, desiccators, measuring cups, blenders, water baths, rotary evaporators, test tubes, dropper pipettes, filter paper, capillary tubes, dropper plates, chambers, silica gel plates 60 F</w:t>
      </w:r>
      <w:r w:rsidRPr="0008465F">
        <w:rPr>
          <w:rFonts w:ascii="Arial" w:eastAsia="Cambria" w:hAnsi="Arial" w:cs="Arial"/>
          <w:color w:val="000000"/>
          <w:vertAlign w:val="subscript"/>
        </w:rPr>
        <w:t>254</w:t>
      </w:r>
      <w:r w:rsidRPr="0008465F">
        <w:rPr>
          <w:rFonts w:ascii="Arial" w:eastAsia="Cambria" w:hAnsi="Arial" w:cs="Arial"/>
          <w:color w:val="000000"/>
        </w:rPr>
        <w:t>, UV lamps 254 nm, porcelain crucibles, muffles.</w:t>
      </w:r>
    </w:p>
    <w:p w14:paraId="39D641D7" w14:textId="77777777" w:rsidR="000E4AB5" w:rsidRDefault="000E4AB5" w:rsidP="000E4AB5">
      <w:pPr>
        <w:keepNext/>
        <w:keepLines/>
        <w:pBdr>
          <w:top w:val="nil"/>
          <w:left w:val="nil"/>
          <w:bottom w:val="nil"/>
          <w:right w:val="nil"/>
          <w:between w:val="nil"/>
        </w:pBdr>
        <w:jc w:val="both"/>
        <w:rPr>
          <w:rFonts w:ascii="Arial" w:eastAsia="Cambria" w:hAnsi="Arial" w:cs="Arial"/>
          <w:color w:val="000000"/>
        </w:rPr>
      </w:pPr>
      <w:bookmarkStart w:id="2" w:name="_heading=h.gjdgxs" w:colFirst="0" w:colLast="0"/>
      <w:bookmarkEnd w:id="2"/>
    </w:p>
    <w:p w14:paraId="6BA89C4A" w14:textId="77777777" w:rsidR="000E4AB5" w:rsidRPr="0008465F" w:rsidRDefault="000E4AB5" w:rsidP="000E4AB5">
      <w:pPr>
        <w:keepNext/>
        <w:keepLines/>
        <w:pBdr>
          <w:top w:val="nil"/>
          <w:left w:val="nil"/>
          <w:bottom w:val="nil"/>
          <w:right w:val="nil"/>
          <w:between w:val="nil"/>
        </w:pBdr>
        <w:jc w:val="both"/>
        <w:rPr>
          <w:rFonts w:ascii="Arial" w:eastAsia="Cambria" w:hAnsi="Arial" w:cs="Arial"/>
          <w:color w:val="000000"/>
        </w:rPr>
      </w:pPr>
      <w:r w:rsidRPr="0008465F">
        <w:rPr>
          <w:rFonts w:ascii="Arial" w:eastAsia="Cambria" w:hAnsi="Arial" w:cs="Arial"/>
          <w:color w:val="000000"/>
        </w:rPr>
        <w:t xml:space="preserve">The materials used in this research were </w:t>
      </w:r>
      <w:commentRangeStart w:id="3"/>
      <w:r w:rsidRPr="0008465F">
        <w:rPr>
          <w:rFonts w:ascii="Arial" w:eastAsia="Cambria" w:hAnsi="Arial" w:cs="Arial"/>
          <w:color w:val="000000"/>
        </w:rPr>
        <w:t xml:space="preserve">mangrove white taken from the Mangkang area, </w:t>
      </w:r>
      <w:commentRangeEnd w:id="3"/>
      <w:r w:rsidR="00122C5F" w:rsidRPr="0008465F">
        <w:rPr>
          <w:rStyle w:val="CommentReference"/>
          <w:rFonts w:ascii="Arial" w:eastAsia="Cambria" w:hAnsi="Arial" w:cs="Arial"/>
          <w:color w:val="000000"/>
          <w:sz w:val="20"/>
          <w:szCs w:val="20"/>
        </w:rPr>
        <w:commentReference w:id="3"/>
      </w:r>
      <w:r w:rsidRPr="0008465F">
        <w:rPr>
          <w:rFonts w:ascii="Arial" w:eastAsia="Cambria" w:hAnsi="Arial" w:cs="Arial"/>
          <w:color w:val="000000"/>
        </w:rPr>
        <w:t>Semarang, Central Java, the Buros River, Yogyakarta, and the Awur Bay Coast, Jepara Regency. Sulfanilic acid, NaNO</w:t>
      </w:r>
      <w:r w:rsidRPr="0008465F">
        <w:rPr>
          <w:rFonts w:ascii="Arial" w:eastAsia="Cambria" w:hAnsi="Arial" w:cs="Arial"/>
          <w:color w:val="000000"/>
          <w:vertAlign w:val="subscript"/>
        </w:rPr>
        <w:t>2</w:t>
      </w:r>
      <w:r w:rsidRPr="0008465F">
        <w:rPr>
          <w:rFonts w:ascii="Arial" w:eastAsia="Cambria" w:hAnsi="Arial" w:cs="Arial"/>
          <w:color w:val="000000"/>
        </w:rPr>
        <w:t>, NaOH, HCl, 25% ammonia, chloroform, distilled water, Mg powder, amyl alcohol, FeCl</w:t>
      </w:r>
      <w:r w:rsidRPr="0008465F">
        <w:rPr>
          <w:rFonts w:ascii="Arial" w:eastAsia="Cambria" w:hAnsi="Arial" w:cs="Arial"/>
          <w:color w:val="000000"/>
          <w:vertAlign w:val="subscript"/>
        </w:rPr>
        <w:t>3</w:t>
      </w:r>
      <w:r w:rsidRPr="0008465F">
        <w:rPr>
          <w:rFonts w:ascii="Arial" w:eastAsia="Cambria" w:hAnsi="Arial" w:cs="Arial"/>
          <w:color w:val="000000"/>
        </w:rPr>
        <w:t>, NaCl, gelatin, Dragendorff's reagent, Mayer's reagent, Bouchardat's reagent, anhydrous acetic acid, H</w:t>
      </w:r>
      <w:r w:rsidRPr="0008465F">
        <w:rPr>
          <w:rFonts w:ascii="Arial" w:eastAsia="Cambria" w:hAnsi="Arial" w:cs="Arial"/>
          <w:color w:val="000000"/>
          <w:vertAlign w:val="subscript"/>
        </w:rPr>
        <w:t>2</w:t>
      </w:r>
      <w:r w:rsidRPr="0008465F">
        <w:rPr>
          <w:rFonts w:ascii="Arial" w:eastAsia="Cambria" w:hAnsi="Arial" w:cs="Arial"/>
          <w:color w:val="000000"/>
        </w:rPr>
        <w:t>SO</w:t>
      </w:r>
      <w:r w:rsidRPr="0008465F">
        <w:rPr>
          <w:rFonts w:ascii="Arial" w:eastAsia="Cambria" w:hAnsi="Arial" w:cs="Arial"/>
          <w:color w:val="000000"/>
          <w:vertAlign w:val="subscript"/>
        </w:rPr>
        <w:t>4</w:t>
      </w:r>
      <w:r w:rsidRPr="0008465F">
        <w:rPr>
          <w:rFonts w:ascii="Arial" w:eastAsia="Cambria" w:hAnsi="Arial" w:cs="Arial"/>
          <w:color w:val="000000"/>
        </w:rPr>
        <w:t>.</w:t>
      </w:r>
    </w:p>
    <w:p w14:paraId="1129C1BB" w14:textId="77777777" w:rsidR="00790ADA" w:rsidRPr="00FB3A86" w:rsidRDefault="00790ADA" w:rsidP="00441B6F">
      <w:pPr>
        <w:pStyle w:val="Body"/>
        <w:spacing w:after="0"/>
        <w:rPr>
          <w:rFonts w:ascii="Arial" w:hAnsi="Arial" w:cs="Arial"/>
        </w:rPr>
      </w:pPr>
    </w:p>
    <w:p w14:paraId="1564D0DC" w14:textId="3B9C9CD4" w:rsidR="000E4AB5" w:rsidRDefault="00AA74E0" w:rsidP="000E4AB5">
      <w:pPr>
        <w:pStyle w:val="Body"/>
        <w:spacing w:after="0"/>
        <w:rPr>
          <w:rFonts w:ascii="Arial" w:hAnsi="Arial" w:cs="Arial"/>
          <w:b/>
          <w:sz w:val="22"/>
        </w:rPr>
      </w:pPr>
      <w:r w:rsidRPr="00C30A0F">
        <w:rPr>
          <w:rFonts w:ascii="Arial" w:hAnsi="Arial" w:cs="Arial"/>
          <w:b/>
          <w:caps/>
          <w:sz w:val="22"/>
        </w:rPr>
        <w:t xml:space="preserve">2.1 </w:t>
      </w:r>
      <w:r w:rsidR="000E4AB5">
        <w:rPr>
          <w:rFonts w:ascii="Arial" w:hAnsi="Arial" w:cs="Arial"/>
          <w:b/>
          <w:sz w:val="22"/>
        </w:rPr>
        <w:t>White Mangrove</w:t>
      </w:r>
      <w:r w:rsidR="000E4AB5">
        <w:rPr>
          <w:rFonts w:ascii="Arial" w:hAnsi="Arial" w:cs="Arial"/>
          <w:b/>
          <w:caps/>
          <w:sz w:val="22"/>
        </w:rPr>
        <w:t xml:space="preserve"> </w:t>
      </w:r>
      <w:r w:rsidR="000E4AB5">
        <w:rPr>
          <w:rFonts w:ascii="Arial" w:hAnsi="Arial" w:cs="Arial"/>
          <w:b/>
          <w:sz w:val="22"/>
        </w:rPr>
        <w:t>Preparation</w:t>
      </w:r>
    </w:p>
    <w:p w14:paraId="26A5EC99" w14:textId="77777777" w:rsidR="000E4AB5" w:rsidRDefault="000E4AB5" w:rsidP="000E4AB5">
      <w:pPr>
        <w:jc w:val="both"/>
        <w:rPr>
          <w:rFonts w:ascii="Arial" w:eastAsia="Cambria" w:hAnsi="Arial" w:cs="Arial"/>
          <w:color w:val="000000"/>
        </w:rPr>
      </w:pPr>
    </w:p>
    <w:p w14:paraId="57AD376D" w14:textId="23DD1C43" w:rsidR="000E4AB5" w:rsidRPr="00153C60" w:rsidRDefault="000E4AB5" w:rsidP="000E4AB5">
      <w:pPr>
        <w:jc w:val="both"/>
        <w:rPr>
          <w:rFonts w:ascii="Arial" w:hAnsi="Arial" w:cs="Arial"/>
          <w:bCs/>
          <w:iCs/>
          <w:szCs w:val="24"/>
        </w:rPr>
      </w:pPr>
      <w:r w:rsidRPr="00153C60">
        <w:rPr>
          <w:rFonts w:ascii="Arial" w:eastAsia="Cambria" w:hAnsi="Arial" w:cs="Arial"/>
          <w:color w:val="000000"/>
        </w:rPr>
        <w:t xml:space="preserve">White mangrove was extracted using maceration. </w:t>
      </w:r>
      <w:r w:rsidRPr="00153C60">
        <w:rPr>
          <w:rFonts w:ascii="Arial" w:hAnsi="Arial" w:cs="Arial"/>
          <w:bCs/>
          <w:iCs/>
          <w:szCs w:val="24"/>
        </w:rPr>
        <w:t>A total of 300 g of white mangrove was extracted with 3000 ml 96% ethanol which was carried out at room temperature (25</w:t>
      </w:r>
      <w:r w:rsidRPr="00153C60">
        <w:rPr>
          <w:rFonts w:ascii="Arial" w:hAnsi="Arial" w:cs="Arial"/>
          <w:bCs/>
          <w:iCs/>
          <w:szCs w:val="24"/>
          <w:vertAlign w:val="superscript"/>
        </w:rPr>
        <w:t>o</w:t>
      </w:r>
      <w:r w:rsidRPr="00153C60">
        <w:rPr>
          <w:rFonts w:ascii="Arial" w:hAnsi="Arial" w:cs="Arial"/>
          <w:bCs/>
          <w:iCs/>
          <w:szCs w:val="24"/>
        </w:rPr>
        <w:t>C) 3x24 hours with occasional stirring. The filtrate obtained was evaporated with an evaporator using a temperature of 50</w:t>
      </w:r>
      <w:r w:rsidRPr="00153C60">
        <w:rPr>
          <w:rFonts w:ascii="Arial" w:hAnsi="Arial" w:cs="Arial"/>
          <w:bCs/>
          <w:iCs/>
          <w:szCs w:val="24"/>
          <w:vertAlign w:val="superscript"/>
        </w:rPr>
        <w:t>o</w:t>
      </w:r>
      <w:r w:rsidRPr="00153C60">
        <w:rPr>
          <w:rFonts w:ascii="Arial" w:hAnsi="Arial" w:cs="Arial"/>
          <w:bCs/>
          <w:iCs/>
          <w:szCs w:val="24"/>
        </w:rPr>
        <w:t>C until a thick extract was obtained</w:t>
      </w:r>
      <w:r>
        <w:rPr>
          <w:rFonts w:ascii="Arial" w:hAnsi="Arial" w:cs="Arial"/>
          <w:bCs/>
          <w:iCs/>
          <w:szCs w:val="24"/>
        </w:rPr>
        <w:t xml:space="preserve"> </w:t>
      </w:r>
      <w:r>
        <w:rPr>
          <w:rFonts w:ascii="Arial" w:hAnsi="Arial" w:cs="Arial"/>
          <w:bCs/>
          <w:iCs/>
          <w:szCs w:val="24"/>
        </w:rPr>
        <w:fldChar w:fldCharType="begin" w:fldLock="1"/>
      </w:r>
      <w:r w:rsidR="00DD5BA0">
        <w:rPr>
          <w:rFonts w:ascii="Arial" w:hAnsi="Arial" w:cs="Arial"/>
          <w:bCs/>
          <w:iCs/>
          <w:szCs w:val="24"/>
        </w:rPr>
        <w:instrText>ADDIN CSL_CITATION {"citationItems":[{"id":"ITEM-1","itemData":{"author":[{"dropping-particle":"","family":"Palupi","given":"Dwi Hadi Setya","non-dropping-particle":"","parse-names":false,"suffix":""},{"dropping-particle":"","family":"Haryanti","given":"Sri","non-dropping-particle":"","parse-names":false,"suffix":""},{"dropping-particle":"","family":"Prahasiwi, Masitoh Suryaning Utomo","given":"Retno Sari","non-dropping-particle":"","parse-names":false,"suffix":""}],"id":"ITEM-1","issue":"1","issued":{"date-parts":[["2025"]]},"page":"100-113","title":"Aktivitas Penghambatan Dipeptidyl peptidase-4 ( DPP-4 ) dan Skrining Fitokimia Ekstrak Buah Api-api ( Avicennia marina )","type":"article-journal","volume":"10"},"uris":["http://www.mendeley.com/documents/?uuid=2b4ce288-0dce-4de1-9187-c4f6a6bf106e"]}],"mendeley":{"formattedCitation":"[5]","plainTextFormattedCitation":"[5]","previouslyFormattedCitation":"&lt;sup&gt;5&lt;/sup&gt;"},"properties":{"noteIndex":0},"schema":"https://github.com/citation-style-language/schema/raw/master/csl-citation.json"}</w:instrText>
      </w:r>
      <w:r>
        <w:rPr>
          <w:rFonts w:ascii="Arial" w:hAnsi="Arial" w:cs="Arial"/>
          <w:bCs/>
          <w:iCs/>
          <w:szCs w:val="24"/>
        </w:rPr>
        <w:fldChar w:fldCharType="separate"/>
      </w:r>
      <w:r w:rsidR="00DD5BA0" w:rsidRPr="00DD5BA0">
        <w:rPr>
          <w:rFonts w:ascii="Arial" w:hAnsi="Arial" w:cs="Arial"/>
          <w:bCs/>
          <w:iCs/>
          <w:noProof/>
          <w:szCs w:val="24"/>
        </w:rPr>
        <w:t>[5]</w:t>
      </w:r>
      <w:r>
        <w:rPr>
          <w:rFonts w:ascii="Arial" w:hAnsi="Arial" w:cs="Arial"/>
          <w:bCs/>
          <w:iCs/>
          <w:szCs w:val="24"/>
        </w:rPr>
        <w:fldChar w:fldCharType="end"/>
      </w:r>
      <w:r>
        <w:rPr>
          <w:rFonts w:ascii="Arial" w:hAnsi="Arial" w:cs="Arial"/>
          <w:bCs/>
          <w:iCs/>
          <w:szCs w:val="24"/>
        </w:rPr>
        <w:t>.</w:t>
      </w:r>
    </w:p>
    <w:p w14:paraId="09F9E805" w14:textId="52E186A2" w:rsidR="00AA74E0" w:rsidRDefault="00AA74E0" w:rsidP="00441B6F">
      <w:pPr>
        <w:pStyle w:val="Body"/>
        <w:spacing w:after="0"/>
        <w:rPr>
          <w:rFonts w:ascii="Arial" w:hAnsi="Arial" w:cs="Arial"/>
        </w:rPr>
      </w:pPr>
    </w:p>
    <w:p w14:paraId="73E3C149" w14:textId="77777777" w:rsidR="000E4AB5" w:rsidRPr="006A01CA" w:rsidRDefault="000E4AB5" w:rsidP="000E4AB5">
      <w:pPr>
        <w:pStyle w:val="Heading1"/>
        <w:numPr>
          <w:ilvl w:val="1"/>
          <w:numId w:val="31"/>
        </w:numPr>
        <w:tabs>
          <w:tab w:val="num" w:pos="360"/>
        </w:tabs>
        <w:ind w:left="0" w:firstLine="0"/>
        <w:jc w:val="both"/>
        <w:rPr>
          <w:sz w:val="22"/>
          <w:szCs w:val="22"/>
        </w:rPr>
      </w:pPr>
      <w:commentRangeStart w:id="4"/>
      <w:r w:rsidRPr="006A01CA">
        <w:rPr>
          <w:sz w:val="22"/>
          <w:szCs w:val="22"/>
        </w:rPr>
        <w:t>St</w:t>
      </w:r>
      <w:r>
        <w:rPr>
          <w:sz w:val="22"/>
          <w:szCs w:val="22"/>
        </w:rPr>
        <w:t>andardization of Spesific Parameters</w:t>
      </w:r>
      <w:commentRangeEnd w:id="4"/>
      <w:r w:rsidR="00E75B61" w:rsidRPr="006A01CA">
        <w:rPr>
          <w:rStyle w:val="CommentReference"/>
          <w:sz w:val="22"/>
          <w:szCs w:val="22"/>
        </w:rPr>
        <w:commentReference w:id="4"/>
      </w:r>
    </w:p>
    <w:p w14:paraId="5346CD6D" w14:textId="77777777" w:rsidR="00505F06" w:rsidRDefault="00505F06" w:rsidP="00441B6F">
      <w:pPr>
        <w:pStyle w:val="Body"/>
        <w:spacing w:after="0"/>
        <w:rPr>
          <w:rFonts w:ascii="Arial" w:hAnsi="Arial" w:cs="Arial"/>
        </w:rPr>
      </w:pPr>
    </w:p>
    <w:p w14:paraId="7BB4A4E0" w14:textId="15DEA2F6" w:rsidR="00F60FE3" w:rsidRDefault="000E4AB5" w:rsidP="00F60FE3">
      <w:pPr>
        <w:pStyle w:val="Body"/>
        <w:numPr>
          <w:ilvl w:val="2"/>
          <w:numId w:val="31"/>
        </w:numPr>
        <w:spacing w:after="0"/>
        <w:ind w:left="567" w:hanging="567"/>
        <w:rPr>
          <w:rFonts w:ascii="Arial" w:hAnsi="Arial" w:cs="Arial"/>
          <w:b/>
          <w:u w:val="single"/>
        </w:rPr>
      </w:pPr>
      <w:r>
        <w:rPr>
          <w:rFonts w:ascii="Arial" w:hAnsi="Arial" w:cs="Arial"/>
          <w:b/>
          <w:u w:val="single"/>
        </w:rPr>
        <w:t>Organoleptic</w:t>
      </w:r>
    </w:p>
    <w:p w14:paraId="191E6347" w14:textId="77777777" w:rsidR="00F60FE3" w:rsidRDefault="00F60FE3" w:rsidP="00F60FE3">
      <w:pPr>
        <w:pStyle w:val="Body"/>
        <w:spacing w:after="0"/>
        <w:ind w:left="567"/>
        <w:rPr>
          <w:rFonts w:ascii="Arial" w:hAnsi="Arial" w:cs="Arial"/>
          <w:b/>
          <w:u w:val="single"/>
        </w:rPr>
      </w:pPr>
    </w:p>
    <w:p w14:paraId="6329134D" w14:textId="212485B3" w:rsidR="00505F06" w:rsidRDefault="000E4AB5" w:rsidP="00F60FE3">
      <w:pPr>
        <w:pStyle w:val="Body"/>
        <w:spacing w:after="0"/>
        <w:rPr>
          <w:rFonts w:ascii="Arial" w:hAnsi="Arial" w:cs="Arial"/>
          <w:lang w:val="sv-SE"/>
        </w:rPr>
      </w:pPr>
      <w:r w:rsidRPr="00153C60">
        <w:rPr>
          <w:rFonts w:ascii="Arial" w:hAnsi="Arial" w:cs="Arial"/>
          <w:lang w:val="sv-SE"/>
        </w:rPr>
        <w:t>Macroscopic observations of the physical properties of the extract, such as color, shape, aroma, and taste, are carried out. Organoleptic testing aims to provide information on the characteristics of the extract, thus assisting in the standardization and identification of the quality of natural raw materials</w:t>
      </w:r>
      <w:r>
        <w:rPr>
          <w:rFonts w:ascii="Arial" w:hAnsi="Arial" w:cs="Arial"/>
          <w:lang w:val="sv-SE"/>
        </w:rPr>
        <w:t xml:space="preserve">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p>
    <w:p w14:paraId="7DF95085" w14:textId="0ED9CEE9" w:rsidR="00F60FE3" w:rsidRDefault="00F60FE3" w:rsidP="00F60FE3">
      <w:pPr>
        <w:pStyle w:val="Body"/>
        <w:spacing w:after="0"/>
        <w:rPr>
          <w:rFonts w:ascii="Arial" w:hAnsi="Arial" w:cs="Arial"/>
        </w:rPr>
      </w:pPr>
    </w:p>
    <w:p w14:paraId="5712D23A"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The Essence is Dissolved in Water Solvent</w:t>
      </w:r>
    </w:p>
    <w:p w14:paraId="0817E266" w14:textId="77777777" w:rsidR="00F60FE3" w:rsidRPr="00153C60" w:rsidRDefault="00F60FE3" w:rsidP="00F60FE3">
      <w:pPr>
        <w:pStyle w:val="ListParagraph"/>
        <w:jc w:val="both"/>
        <w:rPr>
          <w:rFonts w:ascii="Arial" w:hAnsi="Arial" w:cs="Arial"/>
          <w:b/>
          <w:szCs w:val="24"/>
        </w:rPr>
      </w:pPr>
    </w:p>
    <w:p w14:paraId="1755290A" w14:textId="0A1C8F00" w:rsidR="00F60FE3" w:rsidRPr="00153C60" w:rsidRDefault="00F60FE3" w:rsidP="00F60FE3">
      <w:pPr>
        <w:jc w:val="both"/>
        <w:rPr>
          <w:rFonts w:ascii="Arial" w:hAnsi="Arial" w:cs="Arial"/>
          <w:lang w:val="sv-SE"/>
        </w:rPr>
      </w:pPr>
      <w:r w:rsidRPr="00153C60">
        <w:rPr>
          <w:rFonts w:ascii="Arial" w:hAnsi="Arial" w:cs="Arial"/>
        </w:rPr>
        <w:t xml:space="preserve">The process began by </w:t>
      </w:r>
      <w:r w:rsidRPr="00122C5F">
        <w:rPr>
          <w:rFonts w:ascii="Arial" w:hAnsi="Arial" w:cs="Arial"/>
          <w:highlight w:val="red"/>
        </w:rPr>
        <w:t>disosolving</w:t>
      </w:r>
      <w:r w:rsidRPr="00153C60">
        <w:rPr>
          <w:rFonts w:ascii="Arial" w:hAnsi="Arial" w:cs="Arial"/>
        </w:rPr>
        <w:t xml:space="preserve"> 5 grams of the extract in </w:t>
      </w:r>
      <w:commentRangeStart w:id="5"/>
      <w:r w:rsidRPr="00153C60">
        <w:rPr>
          <w:rFonts w:ascii="Arial" w:hAnsi="Arial" w:cs="Arial"/>
        </w:rPr>
        <w:t xml:space="preserve">100 mL chloroform </w:t>
      </w:r>
      <w:commentRangeEnd w:id="5"/>
      <w:r w:rsidR="00122C5F" w:rsidRPr="00153C60">
        <w:rPr>
          <w:rStyle w:val="CommentReference"/>
          <w:rFonts w:ascii="Arial" w:hAnsi="Arial" w:cs="Arial"/>
          <w:sz w:val="20"/>
          <w:szCs w:val="20"/>
        </w:rPr>
        <w:commentReference w:id="5"/>
      </w:r>
      <w:r w:rsidRPr="00153C60">
        <w:rPr>
          <w:rFonts w:ascii="Arial" w:hAnsi="Arial" w:cs="Arial"/>
        </w:rPr>
        <w:t xml:space="preserve">for 24 hours, using a clogged flask while shaking frequently for the first 6 hours. It was then left to stand </w:t>
      </w:r>
      <w:r w:rsidRPr="00153C60">
        <w:rPr>
          <w:rFonts w:ascii="Arial" w:hAnsi="Arial" w:cs="Arial"/>
        </w:rPr>
        <w:lastRenderedPageBreak/>
        <w:t xml:space="preserve">for 18 hours and filtered. The filtrate was evaporated to dryness and then heated at 105ºC until a constant weight was obtained. This was replicated three times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39143123" w14:textId="77777777" w:rsidR="00F60FE3" w:rsidRPr="00153C60" w:rsidRDefault="00F60FE3" w:rsidP="00F60FE3">
      <w:pPr>
        <w:jc w:val="both"/>
        <w:rPr>
          <w:rFonts w:ascii="Arial" w:hAnsi="Arial" w:cs="Arial"/>
          <w:bCs/>
          <w:szCs w:val="24"/>
        </w:rPr>
      </w:pPr>
    </w:p>
    <w:p w14:paraId="56ADD0A6"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The Essence is Dissolved in Ethanol Solvent</w:t>
      </w:r>
    </w:p>
    <w:p w14:paraId="652A4E56" w14:textId="77777777" w:rsidR="00F60FE3" w:rsidRPr="00153C60" w:rsidRDefault="00F60FE3" w:rsidP="00F60FE3">
      <w:pPr>
        <w:pStyle w:val="ListParagraph"/>
        <w:ind w:left="567"/>
        <w:jc w:val="both"/>
        <w:rPr>
          <w:rFonts w:ascii="Arial" w:hAnsi="Arial" w:cs="Arial"/>
          <w:b/>
          <w:szCs w:val="24"/>
        </w:rPr>
      </w:pPr>
    </w:p>
    <w:p w14:paraId="230C37E0" w14:textId="267BDBE7" w:rsidR="00F60FE3" w:rsidRPr="00153C60" w:rsidRDefault="00F60FE3" w:rsidP="00F60FE3">
      <w:pPr>
        <w:jc w:val="both"/>
        <w:rPr>
          <w:rFonts w:ascii="Arial" w:hAnsi="Arial" w:cs="Arial"/>
          <w:lang w:val="sv-SE"/>
        </w:rPr>
      </w:pPr>
      <w:r w:rsidRPr="00153C60">
        <w:rPr>
          <w:rFonts w:ascii="Arial" w:hAnsi="Arial" w:cs="Arial"/>
        </w:rPr>
        <w:t xml:space="preserve">The process began by </w:t>
      </w:r>
      <w:r w:rsidRPr="00122C5F">
        <w:rPr>
          <w:rFonts w:ascii="Arial" w:hAnsi="Arial" w:cs="Arial"/>
          <w:highlight w:val="red"/>
        </w:rPr>
        <w:t>disosolving</w:t>
      </w:r>
      <w:r w:rsidRPr="00153C60">
        <w:rPr>
          <w:rFonts w:ascii="Arial" w:hAnsi="Arial" w:cs="Arial"/>
        </w:rPr>
        <w:t xml:space="preserve"> 5 grams of the extract </w:t>
      </w:r>
      <w:r w:rsidRPr="00153C60">
        <w:rPr>
          <w:rFonts w:ascii="Arial" w:hAnsi="Arial" w:cs="Arial"/>
          <w:lang w:eastAsia="zh-CN"/>
        </w:rPr>
        <w:t xml:space="preserve">in 100 mL of 70% ethanol for 24 hours, using a clogged flask while shaking repeatedly for the first 6 hours. It was then left to stand for 18 hours and filtered. The filtrate was evaporated to dryness and then heated at 105ºC until a constant weight was obtained. This was replicated three times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54E37F95" w14:textId="77777777" w:rsidR="00F60FE3" w:rsidRDefault="00F60FE3" w:rsidP="00F60FE3">
      <w:pPr>
        <w:pStyle w:val="Body"/>
        <w:spacing w:after="0"/>
        <w:rPr>
          <w:rFonts w:ascii="Arial" w:hAnsi="Arial" w:cs="Arial"/>
        </w:rPr>
      </w:pPr>
    </w:p>
    <w:p w14:paraId="5A381368" w14:textId="4B4BB111" w:rsidR="00F60FE3" w:rsidRDefault="00F60FE3" w:rsidP="00F60FE3">
      <w:pPr>
        <w:pStyle w:val="Heading1"/>
        <w:numPr>
          <w:ilvl w:val="1"/>
          <w:numId w:val="31"/>
        </w:numPr>
        <w:tabs>
          <w:tab w:val="num" w:pos="360"/>
        </w:tabs>
        <w:ind w:left="0" w:firstLine="0"/>
        <w:jc w:val="both"/>
        <w:rPr>
          <w:sz w:val="22"/>
          <w:szCs w:val="22"/>
        </w:rPr>
      </w:pPr>
      <w:r w:rsidRPr="006A01CA">
        <w:rPr>
          <w:sz w:val="22"/>
          <w:szCs w:val="22"/>
        </w:rPr>
        <w:t>St</w:t>
      </w:r>
      <w:r>
        <w:rPr>
          <w:sz w:val="22"/>
          <w:szCs w:val="22"/>
        </w:rPr>
        <w:t>andardization of Non-spesific Parameters</w:t>
      </w:r>
    </w:p>
    <w:p w14:paraId="31D4AB00" w14:textId="77777777" w:rsidR="00F60FE3" w:rsidRPr="00F60FE3" w:rsidRDefault="00F60FE3" w:rsidP="00F60FE3"/>
    <w:p w14:paraId="40A02C4F" w14:textId="6D84E0B9"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Loss on Drying </w:t>
      </w:r>
    </w:p>
    <w:p w14:paraId="1DADF812" w14:textId="77777777" w:rsidR="00F60FE3" w:rsidRPr="00153C60" w:rsidRDefault="00F60FE3" w:rsidP="00F60FE3">
      <w:pPr>
        <w:pStyle w:val="ListParagraph"/>
        <w:ind w:left="567"/>
        <w:jc w:val="both"/>
        <w:rPr>
          <w:rFonts w:ascii="Arial" w:hAnsi="Arial" w:cs="Arial"/>
          <w:b/>
          <w:szCs w:val="24"/>
        </w:rPr>
      </w:pPr>
    </w:p>
    <w:p w14:paraId="5BD09F46" w14:textId="788DC7BF" w:rsidR="00F60FE3" w:rsidRDefault="00F60FE3" w:rsidP="00F60FE3">
      <w:pPr>
        <w:jc w:val="both"/>
        <w:rPr>
          <w:rFonts w:ascii="Arial" w:hAnsi="Arial" w:cs="Arial"/>
          <w:lang w:val="sv-SE"/>
        </w:rPr>
      </w:pPr>
      <w:r w:rsidRPr="00153C60">
        <w:rPr>
          <w:rFonts w:ascii="Arial" w:hAnsi="Arial" w:cs="Arial"/>
        </w:rPr>
        <w:t>The extract was weighed and placed in a closed porcelain crucible (which had been heated at 105</w:t>
      </w:r>
      <w:r w:rsidRPr="00153C60">
        <w:rPr>
          <w:rFonts w:ascii="Arial" w:hAnsi="Arial" w:cs="Arial"/>
          <w:vertAlign w:val="superscript"/>
        </w:rPr>
        <w:t>o</w:t>
      </w:r>
      <w:r w:rsidRPr="00153C60">
        <w:rPr>
          <w:rFonts w:ascii="Arial" w:hAnsi="Arial" w:cs="Arial"/>
        </w:rPr>
        <w:t>C for 30 minutes) as much as 1 gram. Before weighing, the extract was leveled in the porcelain crucible using a stirring rod to make it even and placed in an oven, and opened the lid, dried at 105</w:t>
      </w:r>
      <w:r w:rsidRPr="00153C60">
        <w:rPr>
          <w:rFonts w:ascii="Arial" w:hAnsi="Arial" w:cs="Arial"/>
          <w:vertAlign w:val="superscript"/>
        </w:rPr>
        <w:t>o</w:t>
      </w:r>
      <w:r w:rsidRPr="00153C60">
        <w:rPr>
          <w:rFonts w:ascii="Arial" w:hAnsi="Arial" w:cs="Arial"/>
        </w:rPr>
        <w:t xml:space="preserve">C for 30 minutes. Remove it and cool it in a desiccator for 15 minutes until it reaches room temperature, then weighed. Repeat the treatment until a constant weight is obtained, then replicated three times. The percentage of drying loss is calculated from the constant weight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6D7B32B1" w14:textId="77777777" w:rsidR="00F60FE3" w:rsidRPr="00153C60" w:rsidRDefault="00F60FE3" w:rsidP="00F60FE3">
      <w:pPr>
        <w:jc w:val="both"/>
        <w:rPr>
          <w:rFonts w:ascii="Arial" w:hAnsi="Arial" w:cs="Arial"/>
          <w:lang w:val="sv-SE"/>
        </w:rPr>
      </w:pPr>
    </w:p>
    <w:p w14:paraId="2A54B094"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Water Content </w:t>
      </w:r>
    </w:p>
    <w:p w14:paraId="0E06F669" w14:textId="77777777" w:rsidR="00F60FE3" w:rsidRPr="00153C60" w:rsidRDefault="00F60FE3" w:rsidP="00F60FE3">
      <w:pPr>
        <w:pStyle w:val="ListParagraph"/>
        <w:ind w:left="567"/>
        <w:jc w:val="both"/>
        <w:rPr>
          <w:rFonts w:ascii="Arial" w:hAnsi="Arial" w:cs="Arial"/>
          <w:b/>
          <w:szCs w:val="24"/>
        </w:rPr>
      </w:pPr>
    </w:p>
    <w:p w14:paraId="3C27C90D" w14:textId="1E27C6B1" w:rsidR="00F60FE3" w:rsidRDefault="00F60FE3" w:rsidP="00F60FE3">
      <w:pPr>
        <w:jc w:val="both"/>
        <w:rPr>
          <w:rFonts w:ascii="Arial" w:hAnsi="Arial" w:cs="Arial"/>
          <w:lang w:val="sv-SE"/>
        </w:rPr>
      </w:pPr>
      <w:r w:rsidRPr="00153C60">
        <w:rPr>
          <w:rFonts w:ascii="Arial" w:hAnsi="Arial" w:cs="Arial"/>
        </w:rPr>
        <w:t xml:space="preserve">Determination of water content using the gravimetric method. Accurately weigh approximately 10 g of the extract and place it in a tared container. Dry at 105°C for 5 hours and weigh. Continue drying and weighing at 1-hour intervals until the difference between two successive weighings is no more than 0.25%. Quality requirements are met if the difference is no more than 10%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5D58C652" w14:textId="77777777" w:rsidR="00F60FE3" w:rsidRPr="00153C60" w:rsidRDefault="00F60FE3" w:rsidP="00F60FE3">
      <w:pPr>
        <w:jc w:val="both"/>
        <w:rPr>
          <w:rFonts w:ascii="Arial" w:hAnsi="Arial" w:cs="Arial"/>
          <w:bCs/>
          <w:szCs w:val="24"/>
        </w:rPr>
      </w:pPr>
    </w:p>
    <w:p w14:paraId="31BD2662"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Ash Content </w:t>
      </w:r>
    </w:p>
    <w:p w14:paraId="40765B56" w14:textId="77777777" w:rsidR="00F60FE3" w:rsidRPr="00153C60" w:rsidRDefault="00F60FE3" w:rsidP="00F60FE3">
      <w:pPr>
        <w:pStyle w:val="ListParagraph"/>
        <w:ind w:left="567"/>
        <w:jc w:val="both"/>
        <w:rPr>
          <w:rFonts w:ascii="Arial" w:hAnsi="Arial" w:cs="Arial"/>
          <w:b/>
          <w:szCs w:val="24"/>
        </w:rPr>
      </w:pPr>
      <w:r w:rsidRPr="00153C60">
        <w:rPr>
          <w:rFonts w:ascii="Arial" w:hAnsi="Arial" w:cs="Arial"/>
          <w:b/>
          <w:szCs w:val="24"/>
        </w:rPr>
        <w:t xml:space="preserve"> </w:t>
      </w:r>
    </w:p>
    <w:p w14:paraId="179AD500" w14:textId="1379336A" w:rsidR="00F60FE3" w:rsidRDefault="00F60FE3" w:rsidP="00F60FE3">
      <w:pPr>
        <w:jc w:val="both"/>
        <w:rPr>
          <w:rFonts w:ascii="Arial" w:hAnsi="Arial" w:cs="Arial"/>
          <w:lang w:val="sv-SE"/>
        </w:rPr>
      </w:pPr>
      <w:r w:rsidRPr="00153C60">
        <w:rPr>
          <w:rFonts w:ascii="Arial" w:hAnsi="Arial" w:cs="Arial"/>
        </w:rPr>
        <w:t>Put the extract  into a porcelain cup that has been heated to a temperature 800</w:t>
      </w:r>
      <w:r w:rsidRPr="00153C60">
        <w:rPr>
          <w:rFonts w:ascii="Arial" w:hAnsi="Arial" w:cs="Arial"/>
          <w:vertAlign w:val="superscript"/>
        </w:rPr>
        <w:t>o</w:t>
      </w:r>
      <w:r w:rsidRPr="00153C60">
        <w:rPr>
          <w:rFonts w:ascii="Arial" w:hAnsi="Arial" w:cs="Arial"/>
        </w:rPr>
        <w:t>C as much as 2-3 grams. The extract is incandescent until the charcoal is gone, cooled and weighed. If the water cannot be removed by this method, add hot water, stir, filter through ash-free filter paper. Ignite the filter paper and the remaining filtration in the same porcelain crucible. The filtrate is put into the porcelain crucible, evaporated and incandescent until the weight remains constant. The total ash content is calculated against the weight of the test material, expressed as % w/w. Quality requirements are met if it is not more than 10%</w:t>
      </w:r>
      <w:r w:rsidRPr="00153C60">
        <w:rPr>
          <w:rFonts w:ascii="Arial" w:hAnsi="Arial" w:cs="Arial"/>
          <w:color w:val="000000"/>
        </w:rPr>
        <w:t xml:space="preserve">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29EA23EA" w14:textId="77777777" w:rsidR="00F60FE3" w:rsidRPr="00153C60" w:rsidRDefault="00F60FE3" w:rsidP="00F60FE3">
      <w:pPr>
        <w:jc w:val="both"/>
        <w:rPr>
          <w:rFonts w:ascii="Arial" w:hAnsi="Arial" w:cs="Arial"/>
          <w:lang w:val="sv-SE"/>
        </w:rPr>
      </w:pPr>
    </w:p>
    <w:p w14:paraId="1670835B"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Acid-insoluble Ash Content </w:t>
      </w:r>
    </w:p>
    <w:p w14:paraId="756BE823" w14:textId="77777777" w:rsidR="00F60FE3" w:rsidRPr="00153C60" w:rsidRDefault="00F60FE3" w:rsidP="00F60FE3">
      <w:pPr>
        <w:pStyle w:val="ListParagraph"/>
        <w:ind w:left="567"/>
        <w:jc w:val="both"/>
        <w:rPr>
          <w:rFonts w:ascii="Arial" w:hAnsi="Arial" w:cs="Arial"/>
          <w:b/>
          <w:szCs w:val="24"/>
        </w:rPr>
      </w:pPr>
    </w:p>
    <w:p w14:paraId="47B57BC1" w14:textId="5F4A6510" w:rsidR="00F60FE3" w:rsidRDefault="00F60FE3" w:rsidP="00F60FE3">
      <w:pPr>
        <w:jc w:val="both"/>
        <w:rPr>
          <w:rFonts w:ascii="Arial" w:hAnsi="Arial" w:cs="Arial"/>
          <w:lang w:val="sv-SE"/>
        </w:rPr>
      </w:pPr>
      <w:r w:rsidRPr="00153C60">
        <w:rPr>
          <w:rFonts w:ascii="Arial" w:hAnsi="Arial" w:cs="Arial"/>
          <w:lang w:val="es-ES"/>
        </w:rPr>
        <w:t xml:space="preserve">Boil the ash obtained in the determination of total ash content with 25 mL of dilute hydrochloric acid for 5 minutes. Collect the acid-insoluble part, filter it through ash-free filter paper, wash it with hot water, and ignite it in a crucible until the weight remains constant at 800±25ºC. The acid-insoluble ash content is calculated against the weight of the test material, expressed as % w/w. Quality requirements are met if it is not more </w:t>
      </w:r>
      <w:r w:rsidRPr="00A22C21">
        <w:rPr>
          <w:rFonts w:ascii="Arial" w:hAnsi="Arial" w:cs="Arial"/>
          <w:highlight w:val="red"/>
          <w:lang w:val="es-ES"/>
        </w:rPr>
        <w:pgNum/>
      </w:r>
      <w:r w:rsidRPr="00A22C21">
        <w:rPr>
          <w:rFonts w:ascii="Arial" w:hAnsi="Arial" w:cs="Arial"/>
          <w:highlight w:val="red"/>
          <w:lang w:val="es-ES"/>
        </w:rPr>
        <w:t>an</w:t>
      </w:r>
      <w:r w:rsidRPr="00153C60">
        <w:rPr>
          <w:rFonts w:ascii="Arial" w:hAnsi="Arial" w:cs="Arial"/>
          <w:lang w:val="es-ES"/>
        </w:rPr>
        <w:t xml:space="preserve"> 1.6%</w:t>
      </w:r>
      <w:r w:rsidRPr="00153C60">
        <w:rPr>
          <w:rFonts w:ascii="Arial" w:hAnsi="Arial" w:cs="Arial"/>
          <w:color w:val="000000"/>
        </w:rPr>
        <w:t xml:space="preserve">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18596A77" w14:textId="77777777" w:rsidR="00F60FE3" w:rsidRPr="00153C60" w:rsidRDefault="00F60FE3" w:rsidP="00F60FE3">
      <w:pPr>
        <w:jc w:val="both"/>
        <w:rPr>
          <w:rFonts w:ascii="Arial" w:hAnsi="Arial" w:cs="Arial"/>
          <w:lang w:val="sv-SE"/>
        </w:rPr>
      </w:pPr>
    </w:p>
    <w:p w14:paraId="3956186B"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Total Plate Count </w:t>
      </w:r>
    </w:p>
    <w:p w14:paraId="36F39BC3" w14:textId="77777777" w:rsidR="00F60FE3" w:rsidRPr="00153C60" w:rsidRDefault="00F60FE3" w:rsidP="00F60FE3">
      <w:pPr>
        <w:pStyle w:val="ListParagraph"/>
        <w:ind w:left="567"/>
        <w:jc w:val="both"/>
        <w:rPr>
          <w:rFonts w:ascii="Arial" w:hAnsi="Arial" w:cs="Arial"/>
          <w:b/>
          <w:szCs w:val="24"/>
        </w:rPr>
      </w:pPr>
    </w:p>
    <w:p w14:paraId="3AAB47FB" w14:textId="7447C4DD" w:rsidR="00F60FE3" w:rsidRDefault="00F60FE3" w:rsidP="00F60FE3">
      <w:pPr>
        <w:jc w:val="both"/>
        <w:rPr>
          <w:rFonts w:ascii="Arial" w:hAnsi="Arial" w:cs="Arial"/>
          <w:bCs/>
          <w:szCs w:val="24"/>
        </w:rPr>
      </w:pPr>
      <w:r w:rsidRPr="00153C60">
        <w:rPr>
          <w:rFonts w:ascii="Arial" w:hAnsi="Arial" w:cs="Arial"/>
          <w:bCs/>
          <w:szCs w:val="24"/>
        </w:rPr>
        <w:lastRenderedPageBreak/>
        <w:t xml:space="preserve">Pipette 1 mL of each previously prepared dilution into sterile petri dishes. Then add 15 mL of PCA to each petri dish. After the agar solidifies, incubate for 24 hours at 37°C. Then count the Total Plate Count in each petri dish </w:t>
      </w:r>
      <w:r>
        <w:rPr>
          <w:rFonts w:ascii="Arial" w:hAnsi="Arial" w:cs="Arial"/>
          <w:bCs/>
          <w:szCs w:val="24"/>
        </w:rPr>
        <w:fldChar w:fldCharType="begin" w:fldLock="1"/>
      </w:r>
      <w:r w:rsidR="00DD5BA0">
        <w:rPr>
          <w:rFonts w:ascii="Arial" w:hAnsi="Arial" w:cs="Arial"/>
          <w:bCs/>
          <w:szCs w:val="24"/>
        </w:rPr>
        <w:instrText>ADDIN CSL_CITATION {"citationItems":[{"id":"ITEM-1","itemData":{"author":[{"dropping-particle":"","family":"Permata","given":"Asiska","non-dropping-particle":"","parse-names":false,"suffix":""},{"dropping-particle":"","family":"Fadila","given":"Sarah","non-dropping-particle":"","parse-names":false,"suffix":""}],"id":"ITEM-1","issued":{"date-parts":[["2024"]]},"page":"308-315","title":"Gel formulation of moringa leaf extract ( Moringa oleifera Lam .) and test of preparation characteristics and microbiological contamination test Formulasi gel ekstrak daun kelor ( Moringa oleifera Lam .) serta uji karakteristik sediaan dan uji cemaran mik","type":"article-journal"},"uris":["http://www.mendeley.com/documents/?uuid=44e45eb0-5bbe-4b87-a755-b20fae2249eb"]}],"mendeley":{"formattedCitation":"[7]","plainTextFormattedCitation":"[7]","previouslyFormattedCitation":"&lt;sup&gt;7&lt;/sup&gt;"},"properties":{"noteIndex":0},"schema":"https://github.com/citation-style-language/schema/raw/master/csl-citation.json"}</w:instrText>
      </w:r>
      <w:r>
        <w:rPr>
          <w:rFonts w:ascii="Arial" w:hAnsi="Arial" w:cs="Arial"/>
          <w:bCs/>
          <w:szCs w:val="24"/>
        </w:rPr>
        <w:fldChar w:fldCharType="separate"/>
      </w:r>
      <w:r w:rsidR="00DD5BA0" w:rsidRPr="00DD5BA0">
        <w:rPr>
          <w:rFonts w:ascii="Arial" w:hAnsi="Arial" w:cs="Arial"/>
          <w:bCs/>
          <w:noProof/>
          <w:szCs w:val="24"/>
        </w:rPr>
        <w:t>[7]</w:t>
      </w:r>
      <w:r>
        <w:rPr>
          <w:rFonts w:ascii="Arial" w:hAnsi="Arial" w:cs="Arial"/>
          <w:bCs/>
          <w:szCs w:val="24"/>
        </w:rPr>
        <w:fldChar w:fldCharType="end"/>
      </w:r>
      <w:r>
        <w:rPr>
          <w:rFonts w:ascii="Arial" w:hAnsi="Arial" w:cs="Arial"/>
          <w:bCs/>
          <w:szCs w:val="24"/>
        </w:rPr>
        <w:t>.</w:t>
      </w:r>
    </w:p>
    <w:p w14:paraId="57F52E3E" w14:textId="77777777" w:rsidR="00F60FE3" w:rsidRPr="00153C60" w:rsidRDefault="00F60FE3" w:rsidP="00F60FE3">
      <w:pPr>
        <w:jc w:val="both"/>
        <w:rPr>
          <w:rFonts w:ascii="Arial" w:hAnsi="Arial" w:cs="Arial"/>
          <w:bCs/>
          <w:szCs w:val="24"/>
        </w:rPr>
      </w:pPr>
    </w:p>
    <w:p w14:paraId="73FBD3FE"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Total Yeast and Mold Content </w:t>
      </w:r>
    </w:p>
    <w:p w14:paraId="1F009E74" w14:textId="77777777" w:rsidR="00F60FE3" w:rsidRPr="00153C60" w:rsidRDefault="00F60FE3" w:rsidP="00F60FE3">
      <w:pPr>
        <w:pStyle w:val="ListParagraph"/>
        <w:ind w:left="567"/>
        <w:jc w:val="both"/>
        <w:rPr>
          <w:rFonts w:ascii="Arial" w:hAnsi="Arial" w:cs="Arial"/>
          <w:b/>
          <w:szCs w:val="24"/>
        </w:rPr>
      </w:pPr>
    </w:p>
    <w:p w14:paraId="75CB8042" w14:textId="11390413" w:rsidR="00F60FE3" w:rsidRPr="00153C60" w:rsidRDefault="00F60FE3" w:rsidP="00F60FE3">
      <w:pPr>
        <w:jc w:val="both"/>
        <w:rPr>
          <w:rFonts w:ascii="Arial" w:hAnsi="Arial" w:cs="Arial"/>
          <w:bCs/>
          <w:szCs w:val="24"/>
        </w:rPr>
      </w:pPr>
      <w:r w:rsidRPr="00153C60">
        <w:rPr>
          <w:rFonts w:ascii="Arial" w:hAnsi="Arial" w:cs="Arial"/>
          <w:bCs/>
          <w:szCs w:val="24"/>
        </w:rPr>
        <w:t>Pipette 1 mL of each previously prepared dilution into sterile petri dishes. Then add 15 mL of PDA to each petri dish. After the agar solidifies, incubate at 25°C for 3 days. Then count the number of Yeast Mold Numbers in each petri dish</w:t>
      </w:r>
      <w:r>
        <w:rPr>
          <w:rFonts w:ascii="Arial" w:hAnsi="Arial" w:cs="Arial"/>
          <w:bCs/>
          <w:szCs w:val="24"/>
        </w:rPr>
        <w:t xml:space="preserve"> </w:t>
      </w:r>
      <w:r>
        <w:rPr>
          <w:rFonts w:ascii="Arial" w:hAnsi="Arial" w:cs="Arial"/>
          <w:bCs/>
          <w:szCs w:val="24"/>
        </w:rPr>
        <w:fldChar w:fldCharType="begin" w:fldLock="1"/>
      </w:r>
      <w:r w:rsidR="00DD5BA0">
        <w:rPr>
          <w:rFonts w:ascii="Arial" w:hAnsi="Arial" w:cs="Arial"/>
          <w:bCs/>
          <w:szCs w:val="24"/>
        </w:rPr>
        <w:instrText>ADDIN CSL_CITATION {"citationItems":[{"id":"ITEM-1","itemData":{"author":[{"dropping-particle":"","family":"Permata","given":"Asiska","non-dropping-particle":"","parse-names":false,"suffix":""},{"dropping-particle":"","family":"Fadila","given":"Sarah","non-dropping-particle":"","parse-names":false,"suffix":""}],"id":"ITEM-1","issued":{"date-parts":[["2024"]]},"page":"308-315","title":"Gel formulation of moringa leaf extract ( Moringa oleifera Lam .) and test of preparation characteristics and microbiological contamination test Formulasi gel ekstrak daun kelor ( Moringa oleifera Lam .) serta uji karakteristik sediaan dan uji cemaran mik","type":"article-journal"},"uris":["http://www.mendeley.com/documents/?uuid=44e45eb0-5bbe-4b87-a755-b20fae2249eb"]}],"mendeley":{"formattedCitation":"[7]","plainTextFormattedCitation":"[7]","previouslyFormattedCitation":"&lt;sup&gt;7&lt;/sup&gt;"},"properties":{"noteIndex":0},"schema":"https://github.com/citation-style-language/schema/raw/master/csl-citation.json"}</w:instrText>
      </w:r>
      <w:r>
        <w:rPr>
          <w:rFonts w:ascii="Arial" w:hAnsi="Arial" w:cs="Arial"/>
          <w:bCs/>
          <w:szCs w:val="24"/>
        </w:rPr>
        <w:fldChar w:fldCharType="separate"/>
      </w:r>
      <w:r w:rsidR="00DD5BA0" w:rsidRPr="00DD5BA0">
        <w:rPr>
          <w:rFonts w:ascii="Arial" w:hAnsi="Arial" w:cs="Arial"/>
          <w:bCs/>
          <w:noProof/>
          <w:szCs w:val="24"/>
        </w:rPr>
        <w:t>[7]</w:t>
      </w:r>
      <w:r>
        <w:rPr>
          <w:rFonts w:ascii="Arial" w:hAnsi="Arial" w:cs="Arial"/>
          <w:bCs/>
          <w:szCs w:val="24"/>
        </w:rPr>
        <w:fldChar w:fldCharType="end"/>
      </w:r>
      <w:r>
        <w:rPr>
          <w:rFonts w:ascii="Arial" w:hAnsi="Arial" w:cs="Arial"/>
          <w:bCs/>
          <w:szCs w:val="24"/>
        </w:rPr>
        <w:t>.</w:t>
      </w:r>
    </w:p>
    <w:p w14:paraId="0B4F2BE3" w14:textId="77777777" w:rsidR="00F60FE3" w:rsidRPr="00F60FE3" w:rsidRDefault="00F60FE3" w:rsidP="00F60FE3"/>
    <w:p w14:paraId="5461A987" w14:textId="2D2FE49A" w:rsidR="00F60FE3" w:rsidRDefault="00F60FE3" w:rsidP="00F60FE3">
      <w:pPr>
        <w:pStyle w:val="Heading1"/>
        <w:numPr>
          <w:ilvl w:val="1"/>
          <w:numId w:val="31"/>
        </w:numPr>
        <w:tabs>
          <w:tab w:val="num" w:pos="360"/>
        </w:tabs>
        <w:ind w:left="0" w:firstLine="0"/>
        <w:jc w:val="both"/>
        <w:rPr>
          <w:sz w:val="22"/>
          <w:szCs w:val="22"/>
        </w:rPr>
      </w:pPr>
      <w:r>
        <w:rPr>
          <w:sz w:val="22"/>
          <w:szCs w:val="22"/>
        </w:rPr>
        <w:t>Determination of Total Flavanoid Content</w:t>
      </w:r>
    </w:p>
    <w:p w14:paraId="3C1F886E" w14:textId="77777777" w:rsidR="00F60FE3" w:rsidRDefault="00F60FE3" w:rsidP="00F60FE3">
      <w:pPr>
        <w:jc w:val="both"/>
        <w:rPr>
          <w:rFonts w:ascii="Arial" w:hAnsi="Arial" w:cs="Arial"/>
          <w:bCs/>
        </w:rPr>
      </w:pPr>
    </w:p>
    <w:p w14:paraId="3DB3D841" w14:textId="3CF66823" w:rsidR="00F60FE3" w:rsidRPr="00F60FE3" w:rsidRDefault="00F60FE3" w:rsidP="00F60FE3">
      <w:pPr>
        <w:jc w:val="both"/>
        <w:rPr>
          <w:rFonts w:ascii="Arial" w:hAnsi="Arial" w:cs="Arial"/>
          <w:bCs/>
        </w:rPr>
      </w:pPr>
      <w:r w:rsidRPr="00F60FE3">
        <w:rPr>
          <w:rFonts w:ascii="Arial" w:hAnsi="Arial" w:cs="Arial"/>
          <w:bCs/>
        </w:rPr>
        <w:t xml:space="preserve">Total flavonoid content was determined spectrophotometrically using the aluminum chloride colorimetric method </w:t>
      </w:r>
      <w:r w:rsidRPr="00F60FE3">
        <w:rPr>
          <w:rFonts w:ascii="Arial" w:hAnsi="Arial" w:cs="Arial"/>
          <w:bCs/>
        </w:rPr>
        <w:fldChar w:fldCharType="begin" w:fldLock="1"/>
      </w:r>
      <w:r w:rsidR="00DD5BA0">
        <w:rPr>
          <w:rFonts w:ascii="Arial" w:hAnsi="Arial" w:cs="Arial"/>
          <w:bCs/>
        </w:rPr>
        <w:instrText>ADDIN CSL_CITATION {"citationItems":[{"id":"ITEM-1","itemData":{"author":[{"dropping-particle":"","family":"Wilujeng D","given":"Anggarani M","non-dropping-particle":"","parse-names":false,"suffix":""}],"id":"ITEM-1","issue":"3","issued":{"date-parts":[["2021"]]},"page":"295-306","title":"Penentuan Fenolik Total, Flavanoid Total, dan Antioksidan Ekstrak Bawang Lanang (Allium sativum L.)","type":"article-journal","volume":"10"},"uris":["http://www.mendeley.com/documents/?uuid=fb6c05a4-f6db-4b77-b515-51c4043b4e3a"]},{"id":"ITEM-2","itemData":{"DOI":"10.5530/pj.2021.13.11","ISSN":"09753575","abstract":"Background: Dayak Onion (Eleutherine bulbosa Urb.) is a typical plant of Kalimantan which is traditionally used by the Dayak community as a medicinal plant. Dayak onion bulbs have been proven had many pharmacology activities. Objective: This study aims to determine the nonspesific and specific parameters of 70% ethanol extract of Eleutherine bulbosa Urb. Total flavonoids was also quantified Methods:. Eleutherine bulbosa Urb was extracted with maseration method used etanol 70 % as solvent. Determination of non-spesific includes by determined specific gravity, water content, total ash content, acid insoluble ash content, residual sovents, heavy metanol contamination, microbial contamination, mold and yeast contamination. Determination of specific parameters included extract identity, organoleptic extract, water/ethanol soluble content, chromatography profile. Total flavonoid content were quantified with colorimetric method. Results: there were no significance difference between nonspesific and specific parameters Eleutherine bulbosa Urb from three different locations. Measurement of total phenol content and total flavonoid content respectively form South Borneo were; 6,499 ± 0,5248 mg QE/g extract, from central borneo were 7,585 ± 0,0437 mgQE/g extract, and from east borneo were 5,035 mg ± 0,3887 mgQE/g extract. Conclusion: it can be concluded that bulbs of Eleutherine bulbosa Urb from three locations have characters to similar between each other and bulbs of Eleutherine bulbosa Urb form central borneo had","author":[{"dropping-particle":"","family":"Muthia","given":"Rahmi","non-dropping-particle":"","parse-names":false,"suffix":""},{"dropping-particle":"","family":"Wati","given":"Helmina","non-dropping-particle":"","parse-names":false,"suffix":""},{"dropping-particle":"Bin","family":"Jamaludin","given":"Wahyudin","non-dropping-particle":"","parse-names":false,"suffix":""},{"dropping-particle":"","family":"Kartini","given":"","non-dropping-particle":"","parse-names":false,"suffix":""},{"dropping-particle":"","family":"Setiawan","given":"Finna","non-dropping-particle":"","parse-names":false,"suffix":""},{"dropping-particle":"","family":"Fikri","given":"Muhammad","non-dropping-particle":"","parse-names":false,"suffix":""},{"dropping-particle":"","family":"Wahhab","given":"Abdul","non-dropping-particle":"","parse-names":false,"suffix":""}],"container-title":"Pharmacognosy Journal","id":"ITEM-2","issue":"1","issued":{"date-parts":[["2021"]]},"page":"73-80","title":"Standardization of eleutherine bulbosa urb. bulbs and total flavonoid content from three locations in Kalimantan, Indonesia","type":"article-journal","volume":"13"},"uris":["http://www.mendeley.com/documents/?uuid=02429631-2413-42f5-a189-a01fe43016a6"]}],"mendeley":{"formattedCitation":"[8], [9]","manualFormatting":"[8]","plainTextFormattedCitation":"[8], [9]","previouslyFormattedCitation":"&lt;sup&gt;8,9&lt;/sup&gt;"},"properties":{"noteIndex":0},"schema":"https://github.com/citation-style-language/schema/raw/master/csl-citation.json"}</w:instrText>
      </w:r>
      <w:r w:rsidRPr="00F60FE3">
        <w:rPr>
          <w:rFonts w:ascii="Arial" w:hAnsi="Arial" w:cs="Arial"/>
          <w:bCs/>
        </w:rPr>
        <w:fldChar w:fldCharType="separate"/>
      </w:r>
      <w:r w:rsidRPr="00F60FE3">
        <w:rPr>
          <w:rFonts w:ascii="Arial" w:hAnsi="Arial" w:cs="Arial"/>
          <w:bCs/>
          <w:noProof/>
        </w:rPr>
        <w:t>[8]</w:t>
      </w:r>
      <w:r w:rsidRPr="00F60FE3">
        <w:rPr>
          <w:rFonts w:ascii="Arial" w:hAnsi="Arial" w:cs="Arial"/>
          <w:bCs/>
        </w:rPr>
        <w:fldChar w:fldCharType="end"/>
      </w:r>
      <w:r w:rsidRPr="00F60FE3">
        <w:rPr>
          <w:rFonts w:ascii="Arial" w:hAnsi="Arial" w:cs="Arial"/>
          <w:bCs/>
        </w:rPr>
        <w:t>. Initially, the maximum absorbance wavelength and optimum time were determined by reacting 0.5 mL of quercetin (60 µg/mL) with 0.1 mL of AlCl</w:t>
      </w:r>
      <w:r w:rsidRPr="00F60FE3">
        <w:rPr>
          <w:rFonts w:ascii="Arial" w:hAnsi="Arial" w:cs="Arial"/>
          <w:bCs/>
          <w:vertAlign w:val="subscript"/>
        </w:rPr>
        <w:t>3</w:t>
      </w:r>
      <w:r w:rsidRPr="00F60FE3">
        <w:rPr>
          <w:rFonts w:ascii="Arial" w:hAnsi="Arial" w:cs="Arial"/>
          <w:bCs/>
        </w:rPr>
        <w:t xml:space="preserve">, 0.1 mL of 1 M sodium acetate, and 2.8 mL of distilled water; the mixture was read at a wavelength of 400–600 nm. For quantification, a standard calibration curve was constructed using various concentrations of quercetin (20–60 µg/mL) derived from a 1000 µg/mL stock solution. Finally, 0.5 mL of the extract (1000 µg/mL) prepared with the same reagent composition was incubated for the optimized operating time, and its absorbance was measured at the peak wavelength to calculate the flavonoid concentration relative to the quercetin standard </w:t>
      </w:r>
      <w:r w:rsidRPr="00F60FE3">
        <w:rPr>
          <w:rFonts w:ascii="Arial" w:hAnsi="Arial" w:cs="Arial"/>
          <w:bCs/>
        </w:rPr>
        <w:fldChar w:fldCharType="begin" w:fldLock="1"/>
      </w:r>
      <w:r w:rsidR="00DD5BA0">
        <w:rPr>
          <w:rFonts w:ascii="Arial" w:hAnsi="Arial" w:cs="Arial"/>
          <w:bCs/>
        </w:rPr>
        <w:instrText>ADDIN CSL_CITATION {"citationItems":[{"id":"ITEM-1","itemData":{"DOI":"10.5530/pj.2021.13.11","ISSN":"09753575","abstract":"Background: Dayak Onion (Eleutherine bulbosa Urb.) is a typical plant of Kalimantan which is traditionally used by the Dayak community as a medicinal plant. Dayak onion bulbs have been proven had many pharmacology activities. Objective: This study aims to determine the nonspesific and specific parameters of 70% ethanol extract of Eleutherine bulbosa Urb. Total flavonoids was also quantified Methods:. Eleutherine bulbosa Urb was extracted with maseration method used etanol 70 % as solvent. Determination of non-spesific includes by determined specific gravity, water content, total ash content, acid insoluble ash content, residual sovents, heavy metanol contamination, microbial contamination, mold and yeast contamination. Determination of specific parameters included extract identity, organoleptic extract, water/ethanol soluble content, chromatography profile. Total flavonoid content were quantified with colorimetric method. Results: there were no significance difference between nonspesific and specific parameters Eleutherine bulbosa Urb from three different locations. Measurement of total phenol content and total flavonoid content respectively form South Borneo were; 6,499 ± 0,5248 mg QE/g extract, from central borneo were 7,585 ± 0,0437 mgQE/g extract, and from east borneo were 5,035 mg ± 0,3887 mgQE/g extract. Conclusion: it can be concluded that bulbs of Eleutherine bulbosa Urb from three locations have characters to similar between each other and bulbs of Eleutherine bulbosa Urb form central borneo had","author":[{"dropping-particle":"","family":"Muthia","given":"Rahmi","non-dropping-particle":"","parse-names":false,"suffix":""},{"dropping-particle":"","family":"Wati","given":"Helmina","non-dropping-particle":"","parse-names":false,"suffix":""},{"dropping-particle":"Bin","family":"Jamaludin","given":"Wahyudin","non-dropping-particle":"","parse-names":false,"suffix":""},{"dropping-particle":"","family":"Kartini","given":"","non-dropping-particle":"","parse-names":false,"suffix":""},{"dropping-particle":"","family":"Setiawan","given":"Finna","non-dropping-particle":"","parse-names":false,"suffix":""},{"dropping-particle":"","family":"Fikri","given":"Muhammad","non-dropping-particle":"","parse-names":false,"suffix":""},{"dropping-particle":"","family":"Wahhab","given":"Abdul","non-dropping-particle":"","parse-names":false,"suffix":""}],"container-title":"Pharmacognosy Journal","id":"ITEM-1","issue":"1","issued":{"date-parts":[["2021"]]},"page":"73-80","title":"Standardization of eleutherine bulbosa urb. bulbs and total flavonoid content from three locations in Kalimantan, Indonesia","type":"article-journal","volume":"13"},"uris":["http://www.mendeley.com/documents/?uuid=02429631-2413-42f5-a189-a01fe43016a6"]}],"mendeley":{"formattedCitation":"[9]","plainTextFormattedCitation":"[9]","previouslyFormattedCitation":"&lt;sup&gt;9&lt;/sup&gt;"},"properties":{"noteIndex":0},"schema":"https://github.com/citation-style-language/schema/raw/master/csl-citation.json"}</w:instrText>
      </w:r>
      <w:r w:rsidRPr="00F60FE3">
        <w:rPr>
          <w:rFonts w:ascii="Arial" w:hAnsi="Arial" w:cs="Arial"/>
          <w:bCs/>
        </w:rPr>
        <w:fldChar w:fldCharType="separate"/>
      </w:r>
      <w:r w:rsidR="00DD5BA0" w:rsidRPr="00DD5BA0">
        <w:rPr>
          <w:rFonts w:ascii="Arial" w:hAnsi="Arial" w:cs="Arial"/>
          <w:bCs/>
          <w:noProof/>
        </w:rPr>
        <w:t>[9]</w:t>
      </w:r>
      <w:r w:rsidRPr="00F60FE3">
        <w:rPr>
          <w:rFonts w:ascii="Arial" w:hAnsi="Arial" w:cs="Arial"/>
          <w:bCs/>
        </w:rPr>
        <w:fldChar w:fldCharType="end"/>
      </w:r>
      <w:r w:rsidRPr="00F60FE3">
        <w:rPr>
          <w:rFonts w:ascii="Arial" w:hAnsi="Arial" w:cs="Arial"/>
          <w:bCs/>
        </w:rPr>
        <w:t>.</w:t>
      </w:r>
    </w:p>
    <w:p w14:paraId="53088B99" w14:textId="77777777" w:rsidR="006432B1" w:rsidRDefault="006432B1" w:rsidP="00F60FE3">
      <w:pPr>
        <w:sectPr w:rsidR="006432B1" w:rsidSect="004239FA">
          <w:type w:val="continuous"/>
          <w:pgSz w:w="12240" w:h="15840"/>
          <w:pgMar w:top="1440" w:right="2016" w:bottom="2016" w:left="2016" w:header="720" w:footer="1123" w:gutter="0"/>
          <w:cols w:space="720"/>
          <w:titlePg/>
          <w:docGrid w:linePitch="272"/>
        </w:sectPr>
      </w:pPr>
    </w:p>
    <w:p w14:paraId="2161B832" w14:textId="1CAA799F" w:rsidR="00F60FE3" w:rsidRPr="00F60FE3" w:rsidRDefault="00F60FE3" w:rsidP="00F60FE3"/>
    <w:p w14:paraId="6D59FB39" w14:textId="77777777" w:rsidR="00790ADA" w:rsidRPr="00FB3A86" w:rsidRDefault="00790ADA" w:rsidP="00441B6F">
      <w:pPr>
        <w:pStyle w:val="Body"/>
        <w:spacing w:after="0"/>
        <w:rPr>
          <w:rFonts w:ascii="Arial" w:hAnsi="Arial" w:cs="Arial"/>
        </w:rPr>
      </w:pPr>
    </w:p>
    <w:p w14:paraId="3007AC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7CE7F3" w14:textId="77777777" w:rsidR="00790ADA" w:rsidRPr="00FB3A86" w:rsidRDefault="00790ADA" w:rsidP="00441B6F">
      <w:pPr>
        <w:pStyle w:val="Head1"/>
        <w:spacing w:after="0"/>
        <w:jc w:val="both"/>
        <w:rPr>
          <w:rFonts w:ascii="Arial" w:hAnsi="Arial" w:cs="Arial"/>
        </w:rPr>
      </w:pPr>
    </w:p>
    <w:p w14:paraId="1BC7ADF5" w14:textId="77777777" w:rsidR="006432B1" w:rsidRDefault="006432B1" w:rsidP="00F60FE3">
      <w:pPr>
        <w:pStyle w:val="Heading3"/>
        <w:numPr>
          <w:ilvl w:val="1"/>
          <w:numId w:val="33"/>
        </w:numPr>
        <w:tabs>
          <w:tab w:val="num" w:pos="360"/>
        </w:tabs>
        <w:ind w:left="426" w:hanging="426"/>
        <w:jc w:val="both"/>
        <w:rPr>
          <w:rFonts w:ascii="Arial" w:hAnsi="Arial" w:cs="Arial"/>
          <w:b/>
          <w:bCs/>
          <w:color w:val="000000"/>
          <w:sz w:val="22"/>
          <w:szCs w:val="22"/>
        </w:rPr>
        <w:sectPr w:rsidR="006432B1" w:rsidSect="004239FA">
          <w:type w:val="continuous"/>
          <w:pgSz w:w="12240" w:h="15840"/>
          <w:pgMar w:top="1440" w:right="2016" w:bottom="2016" w:left="2016" w:header="720" w:footer="1123" w:gutter="0"/>
          <w:cols w:space="720"/>
          <w:titlePg/>
          <w:docGrid w:linePitch="272"/>
        </w:sectPr>
      </w:pPr>
    </w:p>
    <w:p w14:paraId="73649EA4" w14:textId="7A409CAE" w:rsidR="00F60FE3" w:rsidRDefault="00F60FE3" w:rsidP="00F60FE3">
      <w:pPr>
        <w:pStyle w:val="Heading3"/>
        <w:numPr>
          <w:ilvl w:val="1"/>
          <w:numId w:val="33"/>
        </w:numPr>
        <w:tabs>
          <w:tab w:val="num" w:pos="360"/>
        </w:tabs>
        <w:ind w:left="426" w:hanging="426"/>
        <w:jc w:val="both"/>
        <w:rPr>
          <w:rFonts w:ascii="Arial" w:hAnsi="Arial" w:cs="Arial"/>
          <w:b/>
          <w:bCs/>
          <w:color w:val="000000"/>
          <w:sz w:val="22"/>
          <w:szCs w:val="22"/>
        </w:rPr>
      </w:pPr>
      <w:r w:rsidRPr="00B1191B">
        <w:rPr>
          <w:rFonts w:ascii="Arial" w:hAnsi="Arial" w:cs="Arial"/>
          <w:b/>
          <w:bCs/>
          <w:color w:val="000000"/>
          <w:sz w:val="22"/>
          <w:szCs w:val="22"/>
        </w:rPr>
        <w:t>Result of White Mangrove Extraction</w:t>
      </w:r>
    </w:p>
    <w:p w14:paraId="76D4B9F2" w14:textId="77777777" w:rsidR="00F60FE3" w:rsidRDefault="00F60FE3" w:rsidP="00F60FE3">
      <w:pPr>
        <w:jc w:val="both"/>
        <w:rPr>
          <w:rFonts w:ascii="Arial" w:hAnsi="Arial" w:cs="Arial"/>
          <w:szCs w:val="24"/>
        </w:rPr>
      </w:pPr>
    </w:p>
    <w:p w14:paraId="76682335" w14:textId="213A0339" w:rsidR="00F60FE3" w:rsidRDefault="00F60FE3" w:rsidP="00F60FE3">
      <w:pPr>
        <w:jc w:val="both"/>
        <w:rPr>
          <w:rFonts w:ascii="Arial" w:hAnsi="Arial" w:cs="Arial"/>
          <w:szCs w:val="24"/>
        </w:rPr>
      </w:pPr>
      <w:r w:rsidRPr="00153C60">
        <w:rPr>
          <w:rFonts w:ascii="Arial" w:hAnsi="Arial" w:cs="Arial"/>
          <w:szCs w:val="24"/>
        </w:rPr>
        <w:t>White Mangrove Fruit samples were collected in three different locations</w:t>
      </w:r>
      <w:r>
        <w:rPr>
          <w:rFonts w:ascii="Arial" w:hAnsi="Arial" w:cs="Arial"/>
          <w:szCs w:val="24"/>
        </w:rPr>
        <w:t xml:space="preserve"> of </w:t>
      </w:r>
      <w:r w:rsidRPr="00153C60">
        <w:rPr>
          <w:rFonts w:ascii="Arial" w:hAnsi="Arial" w:cs="Arial"/>
          <w:szCs w:val="24"/>
        </w:rPr>
        <w:t xml:space="preserve">Mangkang Semarang, Baros River Yogyakarta, and Teluk Awur Jepara. This was done to determine standardization parameters based on the different growing locations. Differences in growing locations can affect the values ​​of standardization parameters. </w:t>
      </w:r>
      <w:commentRangeStart w:id="6"/>
      <w:r w:rsidRPr="00153C60">
        <w:rPr>
          <w:rFonts w:ascii="Arial" w:hAnsi="Arial" w:cs="Arial"/>
          <w:szCs w:val="24"/>
        </w:rPr>
        <w:t xml:space="preserve">These differences can be influenced by several factors, including altitude, rainfall, air humidity, light intensity, and soil nutrient and mineral content </w:t>
      </w:r>
      <w:commentRangeEnd w:id="6"/>
      <w:r w:rsidR="00E75B61">
        <w:rPr>
          <w:rStyle w:val="CommentReference"/>
          <w:rFonts w:ascii="Arial" w:hAnsi="Arial" w:cs="Arial"/>
          <w:sz w:val="20"/>
          <w:szCs w:val="24"/>
        </w:rPr>
        <w:commentReference w:id="6"/>
      </w:r>
      <w:r>
        <w:rPr>
          <w:rFonts w:ascii="Arial" w:hAnsi="Arial" w:cs="Arial"/>
          <w:szCs w:val="24"/>
        </w:rPr>
        <w:fldChar w:fldCharType="begin" w:fldLock="1"/>
      </w:r>
      <w:r w:rsidR="00DD5BA0">
        <w:rPr>
          <w:rFonts w:ascii="Arial" w:hAnsi="Arial" w:cs="Arial"/>
          <w:szCs w:val="24"/>
        </w:rPr>
        <w:instrText>ADDIN CSL_CITATION {"citationItems":[{"id":"ITEM-1","itemData":{"DOI":"10.12928/mf.v13i2.7773","ISSN":"1412-7946","abstract":"Standardisasi ekstrak tumbuhan obat di Indonesia merupakan salah satu tahapan penting dalam pengembangan obat asli Indonesia. Daun pacar kuku ( Lawsonia inermis L.) merupakan salah satu tanaman yang mengandung senyawa naftokuinon dengan berbagai aktivitas. Penelitian ini bertujuan untuk me lakukan standardisasi ekstrak daun pacar kuku sehingga diharapkan dapat digunakan sebagai acuan parameter standar mutu ekstrak karena standarisasi ekstrak pacar kuku belum tercantum di MMI dan FHI. Dalam penelitian ini peny arian ekstrak daun pacar kuku dilakukan menggunakan metode infundasi. Penetapan parameter non spesifik meliputi kadar air, kadar abu total, kadar abu tidak larut asam dan cemaran mikroba dengan metode ALT. Penetapan parameter spesifik yaitu dengan mengetah ui organoleptis ekstrak, profil KLT dan menetapkan kadar naftokuinon total menggunakan metode kromatografi lapis Tipis (KLT) dengan fase diam silika gel 60 F254 , fase gerak metanol : kloroform (2:8) dan analisis kuantitatif menggunakan densitometri pada panjang gelombang maksimal. Hasil standardisasi untuk parameter non spesifik menunjukkan kadar air (7,33±0,52% v/b), kadar abu total (6,43±0,25%), kadar abu tidak larut asam (0,106±0,004% ), dan uji cemaran mikroba (85x102 CFU/g). Hasil untuk parameter spesifik menunjukkan organoleptis ekstrak (kental, warna coklat tua, rasa agak pahit dan berbau khas daun pacar kuku), dengan kandungan senyawa naftokuinon, kumarin, flavonoid, polifenol, alkaloid, dan kadar naftokuinon total (7,43±0,28%). Ekstrak daun pacar kuku sudah memenuhi persyaratan sesuai acuan standar Farmakope Herbal Indonesia tentang syarat ekstrak sebagai bahan baku sediaan obat tradisional.","author":[{"dropping-particle":"","family":"Zainab","given":"Zainab","non-dropping-particle":"","parse-names":false,"suffix":""},{"dropping-particle":"","family":"Sulistyani","given":"Nanik","non-dropping-particle":"","parse-names":false,"suffix":""},{"dropping-particle":"","family":"Anisaningrum","given":"Anisaningrum","non-dropping-particle":"","parse-names":false,"suffix":""}],"container-title":"Media Farmasi: Jurnal Ilmu Farmasi","id":"ITEM-1","issue":"2","issued":{"date-parts":[["2016"]]},"page":"212","title":"Penetapan Parameter Standardisasi Non Spesifik dan Spesifik Ekstrak Daun Pacar Kuku (Lawsonia inermis L.)","type":"article-journal","volume":"13"},"uris":["http://www.mendeley.com/documents/?uuid=2e9c3713-3930-47d0-939c-b38fd9b59640"]}],"mendeley":{"formattedCitation":"[10]","plainTextFormattedCitation":"[10]","previouslyFormattedCitation":"&lt;sup&gt;10&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[10]</w:t>
      </w:r>
      <w:r>
        <w:rPr>
          <w:rFonts w:ascii="Arial" w:hAnsi="Arial" w:cs="Arial"/>
          <w:szCs w:val="24"/>
        </w:rPr>
        <w:fldChar w:fldCharType="end"/>
      </w:r>
      <w:r>
        <w:rPr>
          <w:rFonts w:ascii="Arial" w:hAnsi="Arial" w:cs="Arial"/>
          <w:szCs w:val="24"/>
        </w:rPr>
        <w:t>.</w:t>
      </w:r>
    </w:p>
    <w:p w14:paraId="141BAA08" w14:textId="77777777" w:rsidR="00F60FE3" w:rsidRPr="00153C60" w:rsidRDefault="00F60FE3" w:rsidP="00F60FE3">
      <w:pPr>
        <w:jc w:val="both"/>
        <w:rPr>
          <w:rFonts w:ascii="Arial" w:hAnsi="Arial" w:cs="Arial"/>
          <w:szCs w:val="24"/>
        </w:rPr>
      </w:pPr>
    </w:p>
    <w:p w14:paraId="0456BF77" w14:textId="77777777" w:rsidR="00F60FE3" w:rsidRPr="00153C60" w:rsidRDefault="00F60FE3" w:rsidP="00F60FE3">
      <w:pPr>
        <w:jc w:val="both"/>
        <w:rPr>
          <w:rFonts w:ascii="Arial" w:hAnsi="Arial" w:cs="Arial"/>
          <w:szCs w:val="24"/>
        </w:rPr>
      </w:pPr>
      <w:r w:rsidRPr="00153C60">
        <w:rPr>
          <w:rFonts w:ascii="Arial" w:hAnsi="Arial" w:cs="Arial"/>
          <w:szCs w:val="24"/>
        </w:rPr>
        <w:t xml:space="preserve">Extraction of white mangrove fruit was performed using 96% ethanol as a solvent, considering that more bioactive compounds could be obtained due to its universal properties. The highest extract yield was shown by the white mangrove fruit extract Mangkang Semarang, which was 45,98%. </w:t>
      </w:r>
    </w:p>
    <w:p w14:paraId="22007852" w14:textId="77777777" w:rsidR="006432B1" w:rsidRDefault="006432B1" w:rsidP="00441B6F">
      <w:pPr>
        <w:pStyle w:val="Body"/>
        <w:spacing w:after="0"/>
        <w:rPr>
          <w:rFonts w:ascii="Arial" w:hAnsi="Arial" w:cs="Arial"/>
        </w:rPr>
        <w:sectPr w:rsidR="006432B1" w:rsidSect="004239FA">
          <w:type w:val="continuous"/>
          <w:pgSz w:w="12240" w:h="15840"/>
          <w:pgMar w:top="1440" w:right="2016" w:bottom="2016" w:left="2016" w:header="720" w:footer="1123" w:gutter="0"/>
          <w:cols w:space="720"/>
          <w:titlePg/>
          <w:docGrid w:linePitch="272"/>
        </w:sectPr>
      </w:pPr>
    </w:p>
    <w:p w14:paraId="22BCFED9" w14:textId="56695576" w:rsidR="00790ADA" w:rsidRDefault="00790ADA" w:rsidP="00441B6F">
      <w:pPr>
        <w:pStyle w:val="Body"/>
        <w:spacing w:after="0"/>
        <w:rPr>
          <w:rFonts w:ascii="Arial" w:hAnsi="Arial" w:cs="Arial"/>
        </w:rPr>
      </w:pPr>
    </w:p>
    <w:p w14:paraId="1EDC923B" w14:textId="77777777" w:rsidR="00F60FE3" w:rsidRPr="00153C60" w:rsidRDefault="00F60FE3" w:rsidP="00F60FE3">
      <w:pPr>
        <w:jc w:val="center"/>
        <w:rPr>
          <w:rFonts w:ascii="Arial" w:hAnsi="Arial" w:cs="Arial"/>
        </w:rPr>
      </w:pPr>
      <w:r w:rsidRPr="00153C60">
        <w:rPr>
          <w:rFonts w:ascii="Arial" w:hAnsi="Arial" w:cs="Arial"/>
        </w:rPr>
        <w:object w:dxaOrig="3144" w:dyaOrig="5023" w14:anchorId="267CD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6pt;height:250.8pt" o:ole="">
            <v:imagedata r:id="rId18" o:title=""/>
          </v:shape>
          <o:OLEObject Type="Embed" ProgID="Prism10.Document" ShapeID="_x0000_i1026" DrawAspect="Content" ObjectID="_1832572660" r:id="rId19"/>
        </w:object>
      </w:r>
    </w:p>
    <w:p w14:paraId="0EE2B44F" w14:textId="77777777" w:rsidR="00F60FE3" w:rsidRPr="00B1191B" w:rsidRDefault="00F60FE3" w:rsidP="00F60FE3">
      <w:pPr>
        <w:ind w:left="567" w:hanging="567"/>
        <w:jc w:val="both"/>
        <w:rPr>
          <w:rFonts w:ascii="Arial" w:hAnsi="Arial" w:cs="Arial"/>
          <w:b/>
          <w:iCs/>
          <w:szCs w:val="24"/>
        </w:rPr>
      </w:pPr>
      <w:r w:rsidRPr="00B1191B">
        <w:rPr>
          <w:rFonts w:ascii="Arial" w:hAnsi="Arial" w:cs="Arial"/>
          <w:b/>
          <w:iCs/>
          <w:szCs w:val="24"/>
        </w:rPr>
        <w:t>Figure 1: Yield of white mangrove fruit extract (Avicennia marina) from three plant growth locations.</w:t>
      </w:r>
    </w:p>
    <w:p w14:paraId="5BD6662C" w14:textId="68F4CD2C" w:rsidR="00F60FE3" w:rsidRDefault="00F60FE3" w:rsidP="00441B6F">
      <w:pPr>
        <w:pStyle w:val="Body"/>
        <w:spacing w:after="0"/>
        <w:rPr>
          <w:rFonts w:ascii="Arial" w:hAnsi="Arial" w:cs="Arial"/>
        </w:rPr>
      </w:pPr>
    </w:p>
    <w:p w14:paraId="15F898E5" w14:textId="77777777" w:rsidR="006432B1" w:rsidRDefault="006432B1" w:rsidP="00F60FE3">
      <w:pPr>
        <w:pStyle w:val="Heading3"/>
        <w:numPr>
          <w:ilvl w:val="1"/>
          <w:numId w:val="33"/>
        </w:numPr>
        <w:tabs>
          <w:tab w:val="num" w:pos="360"/>
        </w:tabs>
        <w:ind w:left="426" w:hanging="426"/>
        <w:jc w:val="both"/>
        <w:rPr>
          <w:rFonts w:ascii="Arial" w:hAnsi="Arial" w:cs="Arial"/>
          <w:b/>
          <w:bCs/>
          <w:color w:val="000000"/>
          <w:sz w:val="22"/>
          <w:szCs w:val="22"/>
        </w:rPr>
        <w:sectPr w:rsidR="006432B1" w:rsidSect="004239FA">
          <w:type w:val="continuous"/>
          <w:pgSz w:w="12240" w:h="15840"/>
          <w:pgMar w:top="1440" w:right="2016" w:bottom="2016" w:left="2016" w:header="720" w:footer="1123" w:gutter="0"/>
          <w:cols w:space="720"/>
          <w:titlePg/>
          <w:docGrid w:linePitch="272"/>
        </w:sectPr>
      </w:pPr>
    </w:p>
    <w:p w14:paraId="2F96E786" w14:textId="1472DF98" w:rsidR="00F60FE3" w:rsidRDefault="00F60FE3" w:rsidP="00F60FE3">
      <w:pPr>
        <w:pStyle w:val="Heading3"/>
        <w:numPr>
          <w:ilvl w:val="1"/>
          <w:numId w:val="33"/>
        </w:numPr>
        <w:tabs>
          <w:tab w:val="num" w:pos="360"/>
        </w:tabs>
        <w:ind w:left="426" w:hanging="426"/>
        <w:jc w:val="both"/>
        <w:rPr>
          <w:rFonts w:ascii="Arial" w:hAnsi="Arial" w:cs="Arial"/>
          <w:b/>
          <w:bCs/>
          <w:color w:val="000000"/>
          <w:sz w:val="22"/>
          <w:szCs w:val="22"/>
        </w:rPr>
      </w:pPr>
      <w:r w:rsidRPr="00B1191B">
        <w:rPr>
          <w:rFonts w:ascii="Arial" w:hAnsi="Arial" w:cs="Arial"/>
          <w:b/>
          <w:bCs/>
          <w:color w:val="000000"/>
          <w:sz w:val="22"/>
          <w:szCs w:val="22"/>
        </w:rPr>
        <w:t>Standardization Test Results for Spesific and Non-spesific Parameters of White Mangrove Extract</w:t>
      </w:r>
    </w:p>
    <w:p w14:paraId="4B3CCD28" w14:textId="77777777" w:rsidR="00F60FE3" w:rsidRPr="00257D84" w:rsidRDefault="00F60FE3" w:rsidP="00F60FE3"/>
    <w:p w14:paraId="250B4758" w14:textId="0711D072" w:rsidR="00F60FE3" w:rsidRDefault="00F60FE3" w:rsidP="00F60FE3">
      <w:pPr>
        <w:jc w:val="both"/>
        <w:rPr>
          <w:rFonts w:ascii="Arial" w:hAnsi="Arial" w:cs="Arial"/>
          <w:szCs w:val="24"/>
        </w:rPr>
      </w:pPr>
      <w:r w:rsidRPr="00153C60">
        <w:rPr>
          <w:rFonts w:ascii="Arial" w:hAnsi="Arial" w:cs="Arial"/>
          <w:szCs w:val="24"/>
        </w:rPr>
        <w:t>Evaluation of specific parameters of the white mangrove extract was conducted using organoleptic tests, phytochemical tests, and soluble compounds in ethanol and water.</w:t>
      </w:r>
      <w:r>
        <w:rPr>
          <w:rFonts w:ascii="Arial" w:hAnsi="Arial" w:cs="Arial"/>
          <w:szCs w:val="24"/>
        </w:rPr>
        <w:t xml:space="preserve"> </w:t>
      </w:r>
      <w:r w:rsidRPr="00153C60">
        <w:rPr>
          <w:rFonts w:ascii="Arial" w:hAnsi="Arial" w:cs="Arial"/>
          <w:szCs w:val="24"/>
        </w:rPr>
        <w:t>The phytochemical test in the white mangrove extract using a color test was used as a preliminary identification to determine the bioactive compounds in white mangrove fruit. Results showed that the ethanol extract of white mangrove fruit from Mangkang contained flavonoids, alkaloids, tannins, saponins, phenolics, steroids, and triterpenoids (Table 1).</w:t>
      </w:r>
    </w:p>
    <w:p w14:paraId="3CBCB1BE" w14:textId="77777777" w:rsidR="00F60FE3" w:rsidRDefault="00F60FE3" w:rsidP="00F60FE3">
      <w:pPr>
        <w:jc w:val="both"/>
        <w:rPr>
          <w:rFonts w:ascii="Arial" w:hAnsi="Arial" w:cs="Arial"/>
          <w:szCs w:val="24"/>
        </w:rPr>
      </w:pPr>
      <w:r w:rsidRPr="00153C60">
        <w:rPr>
          <w:rFonts w:ascii="Arial" w:hAnsi="Arial" w:cs="Arial"/>
          <w:szCs w:val="24"/>
        </w:rPr>
        <w:t xml:space="preserve"> </w:t>
      </w:r>
    </w:p>
    <w:p w14:paraId="2A61CDF2" w14:textId="77777777" w:rsidR="006432B1" w:rsidRDefault="00F60FE3" w:rsidP="00F60FE3">
      <w:pPr>
        <w:jc w:val="both"/>
        <w:rPr>
          <w:rFonts w:ascii="Arial" w:hAnsi="Arial" w:cs="Arial"/>
          <w:szCs w:val="24"/>
        </w:rPr>
        <w:sectPr w:rsidR="006432B1" w:rsidSect="004239FA">
          <w:type w:val="continuous"/>
          <w:pgSz w:w="12240" w:h="15840"/>
          <w:pgMar w:top="1440" w:right="2016" w:bottom="2016" w:left="2016" w:header="720" w:footer="1123" w:gutter="0"/>
          <w:cols w:space="720"/>
          <w:titlePg/>
          <w:docGrid w:linePitch="272"/>
        </w:sectPr>
      </w:pPr>
      <w:r w:rsidRPr="00153C60">
        <w:rPr>
          <w:rFonts w:ascii="Arial" w:hAnsi="Arial" w:cs="Arial"/>
          <w:szCs w:val="24"/>
        </w:rPr>
        <w:t>Extracts from the Baros River and Teluk Awur River were free of alkaloids. Previous research showed different results compared to the extract from Mangkang, Semarang, where no alkaloids were detected in the ethanol extract of white mangrove fruit obtained from the Kaliwungu area, Kendal Regency</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{"citationItems":[{"id":"ITEM-1","itemData":{"author":[{"dropping-particle":"","family":"Palupi","given":"Dwi Hadi Setya","non-dropping-particle":"","parse-names":false,"suffix":""},{"dropping-particle":"","family":"Haryanti","given":"Sri","non-dropping-particle":"","parse-names":false,"suffix":""},{"dropping-particle":"","family":"Prahasiwi, Masitoh Suryaning Utomo","given":"Retno Sari","non-dropping-particle":"","parse-names":false,"suffix":""}],"id":"ITEM-1","issue":"1","issued":{"date-parts":[["2025"]]},"page":"100-113","title":"Aktivitas Penghambatan Dipeptidyl peptidase-4 ( DPP-4 ) dan Skrining Fitokimia Ekstrak Buah Api-api ( Avicennia marina )","type":"article-journal","volume":"10"},"uris":["http://www.mendeley.com/documents/?uuid=2b4ce288-0dce-4de1-9187-c4f6a6bf106e"]}],"mendeley":{"formattedCitation":"[5]","plainTextFormattedCitation":"[5]","previouslyFormattedCitation":"&lt;sup&gt;5&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[5]</w:t>
      </w:r>
      <w:r>
        <w:rPr>
          <w:rFonts w:ascii="Arial" w:hAnsi="Arial" w:cs="Arial"/>
          <w:szCs w:val="24"/>
        </w:rPr>
        <w:fldChar w:fldCharType="end"/>
      </w:r>
      <w:r w:rsidRPr="00153C60">
        <w:rPr>
          <w:rFonts w:ascii="Arial" w:hAnsi="Arial" w:cs="Arial"/>
          <w:szCs w:val="24"/>
        </w:rPr>
        <w:t xml:space="preserve">. This is likely due to differences in growth location. Furthermore, phytochemical extraction results are also influenced by factors related to the sample and the extraction process. Plant part, plant origin, particle size, drying method, and air content are some of the sample factors. Extraction factors include solvent </w:t>
      </w:r>
    </w:p>
    <w:p w14:paraId="2DFB9766" w14:textId="7D0E5863" w:rsidR="00F60FE3" w:rsidRPr="00153C60" w:rsidRDefault="00F60FE3" w:rsidP="00F60FE3">
      <w:pPr>
        <w:jc w:val="both"/>
        <w:rPr>
          <w:rFonts w:ascii="Arial" w:hAnsi="Arial" w:cs="Arial"/>
          <w:szCs w:val="24"/>
        </w:rPr>
      </w:pPr>
      <w:r w:rsidRPr="00153C60">
        <w:rPr>
          <w:rFonts w:ascii="Arial" w:hAnsi="Arial" w:cs="Arial"/>
          <w:szCs w:val="24"/>
        </w:rPr>
        <w:t xml:space="preserve">type, extraction method, solvent composition, temperature, and extraction duration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{"citationItems":[{"id":"ITEM-1","itemData":{"author":[{"dropping-particle":"","family":"Shaikh","given":"Junaid R","non-dropping-particle":"","parse-names":false,"suffix":""}],"id":"ITEM-1","issue":"2","issued":{"date-parts":[["2020"]]},"page":"603-608","title":"Qualitative tests for preliminary phytochemical screening : An overview","type":"article-journal","volume":"8"},"uris":["http://www.mendeley.com/documents/?uuid=85caed54-4b8e-429f-aa44-5763eae5e6f1"]}],"mendeley":{"formattedCitation":"[11]","plainTextFormattedCitation":"[11]","previouslyFormattedCitation":"&lt;sup&gt;11&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[11]</w:t>
      </w:r>
      <w:r>
        <w:rPr>
          <w:rFonts w:ascii="Arial" w:hAnsi="Arial" w:cs="Arial"/>
          <w:szCs w:val="24"/>
        </w:rPr>
        <w:fldChar w:fldCharType="end"/>
      </w:r>
      <w:r>
        <w:rPr>
          <w:rFonts w:ascii="Arial" w:hAnsi="Arial" w:cs="Arial"/>
          <w:szCs w:val="24"/>
        </w:rPr>
        <w:t>.</w:t>
      </w:r>
    </w:p>
    <w:p w14:paraId="1270032E" w14:textId="3C441BE6" w:rsidR="00F60FE3" w:rsidRDefault="00F60FE3" w:rsidP="00441B6F">
      <w:pPr>
        <w:pStyle w:val="Body"/>
        <w:spacing w:after="0"/>
        <w:rPr>
          <w:rFonts w:ascii="Arial" w:hAnsi="Arial" w:cs="Arial"/>
        </w:rPr>
      </w:pPr>
    </w:p>
    <w:p w14:paraId="4D0540E0" w14:textId="77777777" w:rsidR="00F60FE3" w:rsidRPr="00B1191B" w:rsidRDefault="00F60FE3" w:rsidP="00F60FE3">
      <w:pPr>
        <w:spacing w:after="240"/>
        <w:jc w:val="both"/>
        <w:rPr>
          <w:rFonts w:ascii="Arial" w:hAnsi="Arial" w:cs="Arial"/>
          <w:b/>
          <w:bCs/>
        </w:rPr>
      </w:pPr>
      <w:r w:rsidRPr="00B1191B">
        <w:rPr>
          <w:rFonts w:ascii="Arial" w:hAnsi="Arial" w:cs="Arial"/>
          <w:b/>
          <w:bCs/>
        </w:rPr>
        <w:t xml:space="preserve">Table 1. Qualitative phytochemical screening of </w:t>
      </w:r>
      <w:r w:rsidRPr="00B1191B">
        <w:rPr>
          <w:rFonts w:ascii="Arial" w:hAnsi="Arial" w:cs="Arial"/>
          <w:b/>
          <w:bCs/>
          <w:i/>
          <w:iCs/>
        </w:rPr>
        <w:t>White Mangrove</w:t>
      </w:r>
      <w:r w:rsidRPr="00B1191B">
        <w:rPr>
          <w:rFonts w:ascii="Arial" w:hAnsi="Arial" w:cs="Arial"/>
          <w:b/>
          <w:bCs/>
        </w:rPr>
        <w:t xml:space="preserve"> from three Location</w:t>
      </w:r>
    </w:p>
    <w:tbl>
      <w:tblPr>
        <w:tblW w:w="639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606"/>
        <w:gridCol w:w="1833"/>
        <w:gridCol w:w="1354"/>
        <w:gridCol w:w="1265"/>
        <w:gridCol w:w="1336"/>
      </w:tblGrid>
      <w:tr w:rsidR="00F60FE3" w:rsidRPr="00153C60" w14:paraId="0F4E159D" w14:textId="77777777" w:rsidTr="00991734">
        <w:trPr>
          <w:trHeight w:val="145"/>
          <w:jc w:val="center"/>
        </w:trPr>
        <w:tc>
          <w:tcPr>
            <w:tcW w:w="606" w:type="dxa"/>
            <w:tcBorders>
              <w:bottom w:val="single" w:sz="4" w:space="0" w:color="auto"/>
            </w:tcBorders>
          </w:tcPr>
          <w:p w14:paraId="5D96BDCB" w14:textId="77777777" w:rsidR="00F60FE3" w:rsidRPr="00153C60" w:rsidRDefault="00F60FE3" w:rsidP="00991734">
            <w:pPr>
              <w:jc w:val="both"/>
              <w:rPr>
                <w:rFonts w:ascii="Arial" w:hAnsi="Arial" w:cs="Arial"/>
                <w:bCs/>
              </w:rPr>
            </w:pPr>
            <w:r w:rsidRPr="00153C60">
              <w:rPr>
                <w:rFonts w:ascii="Arial" w:hAnsi="Arial" w:cs="Arial"/>
                <w:bCs/>
              </w:rPr>
              <w:t>No</w:t>
            </w:r>
          </w:p>
        </w:tc>
        <w:tc>
          <w:tcPr>
            <w:tcW w:w="1833" w:type="dxa"/>
            <w:tcBorders>
              <w:bottom w:val="single" w:sz="4" w:space="0" w:color="auto"/>
            </w:tcBorders>
          </w:tcPr>
          <w:p w14:paraId="7AFC0E94" w14:textId="77777777" w:rsidR="00F60FE3" w:rsidRPr="00153C60" w:rsidRDefault="00F60FE3" w:rsidP="00991734">
            <w:pPr>
              <w:jc w:val="both"/>
              <w:rPr>
                <w:rFonts w:ascii="Arial" w:hAnsi="Arial" w:cs="Arial"/>
                <w:bCs/>
              </w:rPr>
            </w:pPr>
            <w:r w:rsidRPr="00153C60">
              <w:rPr>
                <w:rFonts w:ascii="Arial" w:hAnsi="Arial" w:cs="Arial"/>
                <w:bCs/>
              </w:rPr>
              <w:t>Parameter</w:t>
            </w:r>
          </w:p>
        </w:tc>
        <w:tc>
          <w:tcPr>
            <w:tcW w:w="1354" w:type="dxa"/>
            <w:tcBorders>
              <w:bottom w:val="single" w:sz="4" w:space="0" w:color="auto"/>
            </w:tcBorders>
            <w:vAlign w:val="center"/>
          </w:tcPr>
          <w:p w14:paraId="32C82AF1" w14:textId="77777777" w:rsidR="00F60FE3" w:rsidRPr="00153C60" w:rsidRDefault="00F60FE3" w:rsidP="00991734">
            <w:pPr>
              <w:jc w:val="both"/>
              <w:rPr>
                <w:rFonts w:ascii="Arial" w:hAnsi="Arial" w:cs="Arial"/>
                <w:bCs/>
              </w:rPr>
            </w:pPr>
            <w:r w:rsidRPr="00153C60">
              <w:rPr>
                <w:rFonts w:ascii="Arial" w:hAnsi="Arial" w:cs="Arial"/>
                <w:bCs/>
                <w:color w:val="000000"/>
                <w:lang w:eastAsia="en-ID"/>
              </w:rPr>
              <w:t>Mangkang Semarang</w:t>
            </w:r>
          </w:p>
        </w:tc>
        <w:tc>
          <w:tcPr>
            <w:tcW w:w="1265" w:type="dxa"/>
            <w:tcBorders>
              <w:bottom w:val="single" w:sz="4" w:space="0" w:color="auto"/>
            </w:tcBorders>
            <w:vAlign w:val="center"/>
          </w:tcPr>
          <w:p w14:paraId="44243E09" w14:textId="77777777" w:rsidR="00F60FE3" w:rsidRPr="00153C60" w:rsidRDefault="00F60FE3" w:rsidP="00991734">
            <w:pPr>
              <w:jc w:val="both"/>
              <w:rPr>
                <w:rFonts w:ascii="Arial" w:hAnsi="Arial" w:cs="Arial"/>
                <w:bCs/>
              </w:rPr>
            </w:pPr>
            <w:r w:rsidRPr="00153C60">
              <w:rPr>
                <w:rFonts w:ascii="Arial" w:hAnsi="Arial" w:cs="Arial"/>
                <w:bCs/>
                <w:color w:val="000000"/>
                <w:lang w:eastAsia="en-ID"/>
              </w:rPr>
              <w:t>Baros River Yogyakarta</w:t>
            </w:r>
          </w:p>
        </w:tc>
        <w:tc>
          <w:tcPr>
            <w:tcW w:w="1336" w:type="dxa"/>
            <w:tcBorders>
              <w:bottom w:val="single" w:sz="4" w:space="0" w:color="auto"/>
            </w:tcBorders>
            <w:vAlign w:val="center"/>
          </w:tcPr>
          <w:p w14:paraId="3D6CBAFB" w14:textId="77777777" w:rsidR="00F60FE3" w:rsidRPr="00153C60" w:rsidRDefault="00F60FE3" w:rsidP="00991734">
            <w:pPr>
              <w:jc w:val="both"/>
              <w:rPr>
                <w:rFonts w:ascii="Arial" w:hAnsi="Arial" w:cs="Arial"/>
                <w:bCs/>
              </w:rPr>
            </w:pPr>
            <w:r w:rsidRPr="00153C60">
              <w:rPr>
                <w:rFonts w:ascii="Arial" w:hAnsi="Arial" w:cs="Arial"/>
                <w:bCs/>
                <w:color w:val="000000"/>
                <w:lang w:eastAsia="en-ID"/>
              </w:rPr>
              <w:t>Teluk Awur Jepara</w:t>
            </w:r>
          </w:p>
        </w:tc>
      </w:tr>
      <w:tr w:rsidR="00F60FE3" w:rsidRPr="00153C60" w14:paraId="4F85C3A6" w14:textId="77777777" w:rsidTr="00991734">
        <w:trPr>
          <w:trHeight w:val="113"/>
          <w:jc w:val="center"/>
        </w:trPr>
        <w:tc>
          <w:tcPr>
            <w:tcW w:w="606" w:type="dxa"/>
            <w:tcBorders>
              <w:top w:val="single" w:sz="4" w:space="0" w:color="auto"/>
              <w:bottom w:val="nil"/>
            </w:tcBorders>
          </w:tcPr>
          <w:p w14:paraId="419FE720" w14:textId="77777777" w:rsidR="00F60FE3" w:rsidRPr="00153C60" w:rsidRDefault="00F60FE3" w:rsidP="00991734">
            <w:pPr>
              <w:jc w:val="both"/>
              <w:rPr>
                <w:rFonts w:ascii="Arial" w:hAnsi="Arial" w:cs="Arial"/>
              </w:rPr>
            </w:pPr>
            <w:r w:rsidRPr="00153C60">
              <w:rPr>
                <w:rFonts w:ascii="Arial" w:hAnsi="Arial" w:cs="Arial"/>
              </w:rPr>
              <w:t>1</w:t>
            </w:r>
          </w:p>
        </w:tc>
        <w:tc>
          <w:tcPr>
            <w:tcW w:w="1833" w:type="dxa"/>
            <w:tcBorders>
              <w:top w:val="single" w:sz="4" w:space="0" w:color="auto"/>
              <w:bottom w:val="nil"/>
            </w:tcBorders>
          </w:tcPr>
          <w:p w14:paraId="2E728E38" w14:textId="77777777" w:rsidR="00F60FE3" w:rsidRPr="00153C60" w:rsidRDefault="00F60FE3" w:rsidP="00991734">
            <w:pPr>
              <w:jc w:val="both"/>
              <w:rPr>
                <w:rFonts w:ascii="Arial" w:hAnsi="Arial" w:cs="Arial"/>
              </w:rPr>
            </w:pPr>
            <w:r w:rsidRPr="00153C60">
              <w:rPr>
                <w:rFonts w:ascii="Arial" w:hAnsi="Arial" w:cs="Arial"/>
              </w:rPr>
              <w:t>Flavanoid</w:t>
            </w:r>
          </w:p>
        </w:tc>
        <w:tc>
          <w:tcPr>
            <w:tcW w:w="1354" w:type="dxa"/>
            <w:tcBorders>
              <w:top w:val="single" w:sz="4" w:space="0" w:color="auto"/>
              <w:bottom w:val="nil"/>
            </w:tcBorders>
          </w:tcPr>
          <w:p w14:paraId="7BC6BAC7"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single" w:sz="4" w:space="0" w:color="auto"/>
              <w:bottom w:val="nil"/>
            </w:tcBorders>
          </w:tcPr>
          <w:p w14:paraId="11F86C97"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single" w:sz="4" w:space="0" w:color="auto"/>
              <w:bottom w:val="nil"/>
            </w:tcBorders>
          </w:tcPr>
          <w:p w14:paraId="026A9FEC"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265705AB" w14:textId="77777777" w:rsidTr="00991734">
        <w:trPr>
          <w:jc w:val="center"/>
        </w:trPr>
        <w:tc>
          <w:tcPr>
            <w:tcW w:w="606" w:type="dxa"/>
            <w:tcBorders>
              <w:top w:val="nil"/>
              <w:bottom w:val="nil"/>
            </w:tcBorders>
          </w:tcPr>
          <w:p w14:paraId="59AFA9DF" w14:textId="77777777" w:rsidR="00F60FE3" w:rsidRPr="00153C60" w:rsidRDefault="00F60FE3" w:rsidP="00991734">
            <w:pPr>
              <w:jc w:val="both"/>
              <w:rPr>
                <w:rFonts w:ascii="Arial" w:hAnsi="Arial" w:cs="Arial"/>
              </w:rPr>
            </w:pPr>
            <w:r w:rsidRPr="00153C60">
              <w:rPr>
                <w:rFonts w:ascii="Arial" w:hAnsi="Arial" w:cs="Arial"/>
              </w:rPr>
              <w:t>2</w:t>
            </w:r>
          </w:p>
        </w:tc>
        <w:tc>
          <w:tcPr>
            <w:tcW w:w="1833" w:type="dxa"/>
            <w:tcBorders>
              <w:top w:val="nil"/>
              <w:bottom w:val="nil"/>
            </w:tcBorders>
          </w:tcPr>
          <w:p w14:paraId="4314B670" w14:textId="77777777" w:rsidR="00F60FE3" w:rsidRPr="00153C60" w:rsidRDefault="00F60FE3" w:rsidP="00991734">
            <w:pPr>
              <w:jc w:val="both"/>
              <w:rPr>
                <w:rFonts w:ascii="Arial" w:hAnsi="Arial" w:cs="Arial"/>
              </w:rPr>
            </w:pPr>
            <w:r w:rsidRPr="00153C60">
              <w:rPr>
                <w:rFonts w:ascii="Arial" w:hAnsi="Arial" w:cs="Arial"/>
              </w:rPr>
              <w:t>Alkaloid</w:t>
            </w:r>
          </w:p>
        </w:tc>
        <w:tc>
          <w:tcPr>
            <w:tcW w:w="1354" w:type="dxa"/>
            <w:tcBorders>
              <w:top w:val="nil"/>
              <w:bottom w:val="nil"/>
            </w:tcBorders>
          </w:tcPr>
          <w:p w14:paraId="0CA7CC25" w14:textId="77777777" w:rsidR="00F60FE3" w:rsidRPr="00153C60" w:rsidRDefault="00F60FE3" w:rsidP="00991734">
            <w:pPr>
              <w:jc w:val="center"/>
              <w:rPr>
                <w:rFonts w:ascii="Arial" w:hAnsi="Arial" w:cs="Arial"/>
              </w:rPr>
            </w:pPr>
          </w:p>
        </w:tc>
        <w:tc>
          <w:tcPr>
            <w:tcW w:w="1265" w:type="dxa"/>
            <w:tcBorders>
              <w:top w:val="nil"/>
              <w:bottom w:val="nil"/>
            </w:tcBorders>
          </w:tcPr>
          <w:p w14:paraId="1C4F58AC" w14:textId="77777777" w:rsidR="00F60FE3" w:rsidRPr="00153C60" w:rsidRDefault="00F60FE3" w:rsidP="00991734">
            <w:pPr>
              <w:jc w:val="center"/>
              <w:rPr>
                <w:rFonts w:ascii="Arial" w:hAnsi="Arial" w:cs="Arial"/>
              </w:rPr>
            </w:pPr>
          </w:p>
        </w:tc>
        <w:tc>
          <w:tcPr>
            <w:tcW w:w="1336" w:type="dxa"/>
            <w:tcBorders>
              <w:top w:val="nil"/>
              <w:bottom w:val="nil"/>
            </w:tcBorders>
          </w:tcPr>
          <w:p w14:paraId="2B097EED" w14:textId="77777777" w:rsidR="00F60FE3" w:rsidRPr="00153C60" w:rsidRDefault="00F60FE3" w:rsidP="00991734">
            <w:pPr>
              <w:jc w:val="center"/>
              <w:rPr>
                <w:rFonts w:ascii="Arial" w:hAnsi="Arial" w:cs="Arial"/>
              </w:rPr>
            </w:pPr>
          </w:p>
        </w:tc>
      </w:tr>
      <w:tr w:rsidR="00F60FE3" w:rsidRPr="00153C60" w14:paraId="69C59C8F" w14:textId="77777777" w:rsidTr="00991734">
        <w:trPr>
          <w:jc w:val="center"/>
        </w:trPr>
        <w:tc>
          <w:tcPr>
            <w:tcW w:w="606" w:type="dxa"/>
            <w:tcBorders>
              <w:top w:val="nil"/>
              <w:bottom w:val="nil"/>
            </w:tcBorders>
          </w:tcPr>
          <w:p w14:paraId="7381341B" w14:textId="77777777" w:rsidR="00F60FE3" w:rsidRPr="00153C60" w:rsidRDefault="00F60FE3" w:rsidP="00991734">
            <w:pPr>
              <w:jc w:val="both"/>
              <w:rPr>
                <w:rFonts w:ascii="Arial" w:hAnsi="Arial" w:cs="Arial"/>
              </w:rPr>
            </w:pPr>
          </w:p>
        </w:tc>
        <w:tc>
          <w:tcPr>
            <w:tcW w:w="1833" w:type="dxa"/>
            <w:tcBorders>
              <w:top w:val="nil"/>
              <w:bottom w:val="nil"/>
            </w:tcBorders>
          </w:tcPr>
          <w:p w14:paraId="3EB8D87C" w14:textId="77777777" w:rsidR="00F60FE3" w:rsidRPr="00153C60" w:rsidRDefault="00F60FE3" w:rsidP="00F60FE3">
            <w:pPr>
              <w:pStyle w:val="ListParagraph"/>
              <w:numPr>
                <w:ilvl w:val="0"/>
                <w:numId w:val="34"/>
              </w:numPr>
              <w:ind w:left="350" w:right="-117"/>
              <w:jc w:val="both"/>
              <w:rPr>
                <w:rFonts w:ascii="Arial" w:hAnsi="Arial" w:cs="Arial"/>
              </w:rPr>
            </w:pPr>
            <w:r w:rsidRPr="00153C60">
              <w:rPr>
                <w:rFonts w:ascii="Arial" w:hAnsi="Arial" w:cs="Arial"/>
              </w:rPr>
              <w:t>Bouchardat</w:t>
            </w:r>
          </w:p>
        </w:tc>
        <w:tc>
          <w:tcPr>
            <w:tcW w:w="1354" w:type="dxa"/>
            <w:tcBorders>
              <w:top w:val="nil"/>
              <w:bottom w:val="nil"/>
            </w:tcBorders>
          </w:tcPr>
          <w:p w14:paraId="5455DD72"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7D1D346E"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64714DE1"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5310D5A3" w14:textId="77777777" w:rsidTr="00991734">
        <w:trPr>
          <w:jc w:val="center"/>
        </w:trPr>
        <w:tc>
          <w:tcPr>
            <w:tcW w:w="606" w:type="dxa"/>
            <w:tcBorders>
              <w:top w:val="nil"/>
              <w:bottom w:val="nil"/>
            </w:tcBorders>
          </w:tcPr>
          <w:p w14:paraId="5D140266" w14:textId="77777777" w:rsidR="00F60FE3" w:rsidRPr="00153C60" w:rsidRDefault="00F60FE3" w:rsidP="00991734">
            <w:pPr>
              <w:jc w:val="both"/>
              <w:rPr>
                <w:rFonts w:ascii="Arial" w:hAnsi="Arial" w:cs="Arial"/>
              </w:rPr>
            </w:pPr>
          </w:p>
        </w:tc>
        <w:tc>
          <w:tcPr>
            <w:tcW w:w="1833" w:type="dxa"/>
            <w:tcBorders>
              <w:top w:val="nil"/>
              <w:bottom w:val="nil"/>
            </w:tcBorders>
          </w:tcPr>
          <w:p w14:paraId="63ACE4D6" w14:textId="77777777" w:rsidR="00F60FE3" w:rsidRPr="00153C60" w:rsidRDefault="00F60FE3" w:rsidP="00F60FE3">
            <w:pPr>
              <w:pStyle w:val="ListParagraph"/>
              <w:numPr>
                <w:ilvl w:val="0"/>
                <w:numId w:val="34"/>
              </w:numPr>
              <w:ind w:left="350" w:right="-117"/>
              <w:jc w:val="both"/>
              <w:rPr>
                <w:rFonts w:ascii="Arial" w:hAnsi="Arial" w:cs="Arial"/>
              </w:rPr>
            </w:pPr>
            <w:r w:rsidRPr="00153C60">
              <w:rPr>
                <w:rFonts w:ascii="Arial" w:hAnsi="Arial" w:cs="Arial"/>
              </w:rPr>
              <w:t>Asam fosfomolibdat</w:t>
            </w:r>
          </w:p>
        </w:tc>
        <w:tc>
          <w:tcPr>
            <w:tcW w:w="1354" w:type="dxa"/>
            <w:tcBorders>
              <w:top w:val="nil"/>
              <w:bottom w:val="nil"/>
            </w:tcBorders>
          </w:tcPr>
          <w:p w14:paraId="7AD3C127"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28A5E616"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7F78A9A3"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464E5126" w14:textId="77777777" w:rsidTr="00991734">
        <w:trPr>
          <w:jc w:val="center"/>
        </w:trPr>
        <w:tc>
          <w:tcPr>
            <w:tcW w:w="606" w:type="dxa"/>
            <w:tcBorders>
              <w:top w:val="nil"/>
              <w:bottom w:val="nil"/>
            </w:tcBorders>
          </w:tcPr>
          <w:p w14:paraId="47E0BF22" w14:textId="77777777" w:rsidR="00F60FE3" w:rsidRPr="00153C60" w:rsidRDefault="00F60FE3" w:rsidP="00991734">
            <w:pPr>
              <w:jc w:val="both"/>
              <w:rPr>
                <w:rFonts w:ascii="Arial" w:hAnsi="Arial" w:cs="Arial"/>
              </w:rPr>
            </w:pPr>
          </w:p>
        </w:tc>
        <w:tc>
          <w:tcPr>
            <w:tcW w:w="1833" w:type="dxa"/>
            <w:tcBorders>
              <w:top w:val="nil"/>
              <w:bottom w:val="nil"/>
            </w:tcBorders>
          </w:tcPr>
          <w:p w14:paraId="14114AEE" w14:textId="77777777" w:rsidR="00F60FE3" w:rsidRPr="00153C60" w:rsidRDefault="00F60FE3" w:rsidP="00F60FE3">
            <w:pPr>
              <w:pStyle w:val="ListParagraph"/>
              <w:numPr>
                <w:ilvl w:val="0"/>
                <w:numId w:val="34"/>
              </w:numPr>
              <w:ind w:left="350" w:right="-117"/>
              <w:jc w:val="both"/>
              <w:rPr>
                <w:rFonts w:ascii="Arial" w:hAnsi="Arial" w:cs="Arial"/>
              </w:rPr>
            </w:pPr>
            <w:r w:rsidRPr="00153C60">
              <w:rPr>
                <w:rFonts w:ascii="Arial" w:hAnsi="Arial" w:cs="Arial"/>
              </w:rPr>
              <w:t>Hager</w:t>
            </w:r>
          </w:p>
        </w:tc>
        <w:tc>
          <w:tcPr>
            <w:tcW w:w="1354" w:type="dxa"/>
            <w:tcBorders>
              <w:top w:val="nil"/>
              <w:bottom w:val="nil"/>
            </w:tcBorders>
          </w:tcPr>
          <w:p w14:paraId="76743C30"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6435F253"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049E41C8"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2D3A1D18" w14:textId="77777777" w:rsidTr="00991734">
        <w:trPr>
          <w:jc w:val="center"/>
        </w:trPr>
        <w:tc>
          <w:tcPr>
            <w:tcW w:w="606" w:type="dxa"/>
            <w:tcBorders>
              <w:top w:val="nil"/>
              <w:bottom w:val="nil"/>
            </w:tcBorders>
          </w:tcPr>
          <w:p w14:paraId="458C012F" w14:textId="77777777" w:rsidR="00F60FE3" w:rsidRPr="00153C60" w:rsidRDefault="00F60FE3" w:rsidP="00991734">
            <w:pPr>
              <w:jc w:val="both"/>
              <w:rPr>
                <w:rFonts w:ascii="Arial" w:hAnsi="Arial" w:cs="Arial"/>
              </w:rPr>
            </w:pPr>
          </w:p>
        </w:tc>
        <w:tc>
          <w:tcPr>
            <w:tcW w:w="1833" w:type="dxa"/>
            <w:tcBorders>
              <w:top w:val="nil"/>
              <w:bottom w:val="nil"/>
            </w:tcBorders>
          </w:tcPr>
          <w:p w14:paraId="271654DF" w14:textId="77777777" w:rsidR="00F60FE3" w:rsidRPr="00153C60" w:rsidRDefault="00F60FE3" w:rsidP="00F60FE3">
            <w:pPr>
              <w:pStyle w:val="ListParagraph"/>
              <w:numPr>
                <w:ilvl w:val="0"/>
                <w:numId w:val="34"/>
              </w:numPr>
              <w:ind w:left="350" w:right="-117"/>
              <w:jc w:val="both"/>
              <w:rPr>
                <w:rFonts w:ascii="Arial" w:hAnsi="Arial" w:cs="Arial"/>
              </w:rPr>
            </w:pPr>
            <w:r w:rsidRPr="00153C60">
              <w:rPr>
                <w:rFonts w:ascii="Arial" w:hAnsi="Arial" w:cs="Arial"/>
              </w:rPr>
              <w:t>Mayer</w:t>
            </w:r>
          </w:p>
        </w:tc>
        <w:tc>
          <w:tcPr>
            <w:tcW w:w="1354" w:type="dxa"/>
            <w:tcBorders>
              <w:top w:val="nil"/>
              <w:bottom w:val="nil"/>
            </w:tcBorders>
          </w:tcPr>
          <w:p w14:paraId="1EC2BEF6"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3024B5F1"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0B649879"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1A4AD243" w14:textId="77777777" w:rsidTr="00991734">
        <w:trPr>
          <w:jc w:val="center"/>
        </w:trPr>
        <w:tc>
          <w:tcPr>
            <w:tcW w:w="606" w:type="dxa"/>
            <w:tcBorders>
              <w:top w:val="nil"/>
              <w:bottom w:val="nil"/>
            </w:tcBorders>
          </w:tcPr>
          <w:p w14:paraId="297AF1F8" w14:textId="77777777" w:rsidR="00F60FE3" w:rsidRPr="00153C60" w:rsidRDefault="00F60FE3" w:rsidP="00991734">
            <w:pPr>
              <w:jc w:val="both"/>
              <w:rPr>
                <w:rFonts w:ascii="Arial" w:hAnsi="Arial" w:cs="Arial"/>
              </w:rPr>
            </w:pPr>
            <w:r w:rsidRPr="00153C60">
              <w:rPr>
                <w:rFonts w:ascii="Arial" w:hAnsi="Arial" w:cs="Arial"/>
              </w:rPr>
              <w:t>3</w:t>
            </w:r>
          </w:p>
        </w:tc>
        <w:tc>
          <w:tcPr>
            <w:tcW w:w="1833" w:type="dxa"/>
            <w:tcBorders>
              <w:top w:val="nil"/>
              <w:bottom w:val="nil"/>
            </w:tcBorders>
          </w:tcPr>
          <w:p w14:paraId="6CA17F2C" w14:textId="77777777" w:rsidR="00F60FE3" w:rsidRPr="00153C60" w:rsidRDefault="00F60FE3" w:rsidP="00991734">
            <w:pPr>
              <w:jc w:val="both"/>
              <w:rPr>
                <w:rFonts w:ascii="Arial" w:hAnsi="Arial" w:cs="Arial"/>
              </w:rPr>
            </w:pPr>
            <w:r w:rsidRPr="00153C60">
              <w:rPr>
                <w:rFonts w:ascii="Arial" w:hAnsi="Arial" w:cs="Arial"/>
              </w:rPr>
              <w:t>Tannin</w:t>
            </w:r>
          </w:p>
        </w:tc>
        <w:tc>
          <w:tcPr>
            <w:tcW w:w="1354" w:type="dxa"/>
            <w:tcBorders>
              <w:top w:val="nil"/>
              <w:bottom w:val="nil"/>
            </w:tcBorders>
          </w:tcPr>
          <w:p w14:paraId="0A98B126"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1ED0C384"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49E96815"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7C361934" w14:textId="77777777" w:rsidTr="00991734">
        <w:trPr>
          <w:jc w:val="center"/>
        </w:trPr>
        <w:tc>
          <w:tcPr>
            <w:tcW w:w="606" w:type="dxa"/>
            <w:tcBorders>
              <w:top w:val="nil"/>
              <w:bottom w:val="nil"/>
            </w:tcBorders>
          </w:tcPr>
          <w:p w14:paraId="437105A5" w14:textId="77777777" w:rsidR="00F60FE3" w:rsidRPr="00153C60" w:rsidRDefault="00F60FE3" w:rsidP="00991734">
            <w:pPr>
              <w:jc w:val="both"/>
              <w:rPr>
                <w:rFonts w:ascii="Arial" w:hAnsi="Arial" w:cs="Arial"/>
              </w:rPr>
            </w:pPr>
            <w:r w:rsidRPr="00153C60">
              <w:rPr>
                <w:rFonts w:ascii="Arial" w:hAnsi="Arial" w:cs="Arial"/>
              </w:rPr>
              <w:t>4</w:t>
            </w:r>
          </w:p>
        </w:tc>
        <w:tc>
          <w:tcPr>
            <w:tcW w:w="1833" w:type="dxa"/>
            <w:tcBorders>
              <w:top w:val="nil"/>
              <w:bottom w:val="nil"/>
            </w:tcBorders>
          </w:tcPr>
          <w:p w14:paraId="61F25259" w14:textId="77777777" w:rsidR="00F60FE3" w:rsidRPr="00153C60" w:rsidRDefault="00F60FE3" w:rsidP="00991734">
            <w:pPr>
              <w:jc w:val="both"/>
              <w:rPr>
                <w:rFonts w:ascii="Arial" w:hAnsi="Arial" w:cs="Arial"/>
              </w:rPr>
            </w:pPr>
            <w:r w:rsidRPr="00153C60">
              <w:rPr>
                <w:rFonts w:ascii="Arial" w:hAnsi="Arial" w:cs="Arial"/>
              </w:rPr>
              <w:t>Saponnin</w:t>
            </w:r>
          </w:p>
        </w:tc>
        <w:tc>
          <w:tcPr>
            <w:tcW w:w="1354" w:type="dxa"/>
            <w:tcBorders>
              <w:top w:val="nil"/>
              <w:bottom w:val="nil"/>
            </w:tcBorders>
          </w:tcPr>
          <w:p w14:paraId="284DFE25"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531B94CD"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642861A0"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4223D13A" w14:textId="77777777" w:rsidTr="00991734">
        <w:trPr>
          <w:jc w:val="center"/>
        </w:trPr>
        <w:tc>
          <w:tcPr>
            <w:tcW w:w="606" w:type="dxa"/>
            <w:tcBorders>
              <w:top w:val="nil"/>
              <w:bottom w:val="nil"/>
            </w:tcBorders>
          </w:tcPr>
          <w:p w14:paraId="4271D72D" w14:textId="77777777" w:rsidR="00F60FE3" w:rsidRPr="00153C60" w:rsidRDefault="00F60FE3" w:rsidP="00991734">
            <w:pPr>
              <w:jc w:val="both"/>
              <w:rPr>
                <w:rFonts w:ascii="Arial" w:hAnsi="Arial" w:cs="Arial"/>
              </w:rPr>
            </w:pPr>
            <w:r w:rsidRPr="00153C60">
              <w:rPr>
                <w:rFonts w:ascii="Arial" w:hAnsi="Arial" w:cs="Arial"/>
              </w:rPr>
              <w:t>5</w:t>
            </w:r>
          </w:p>
        </w:tc>
        <w:tc>
          <w:tcPr>
            <w:tcW w:w="1833" w:type="dxa"/>
            <w:tcBorders>
              <w:top w:val="nil"/>
              <w:bottom w:val="nil"/>
            </w:tcBorders>
          </w:tcPr>
          <w:p w14:paraId="2458B9C8" w14:textId="77777777" w:rsidR="00F60FE3" w:rsidRPr="00153C60" w:rsidRDefault="00F60FE3" w:rsidP="00991734">
            <w:pPr>
              <w:jc w:val="both"/>
              <w:rPr>
                <w:rFonts w:ascii="Arial" w:hAnsi="Arial" w:cs="Arial"/>
              </w:rPr>
            </w:pPr>
            <w:r w:rsidRPr="00153C60">
              <w:rPr>
                <w:rFonts w:ascii="Arial" w:hAnsi="Arial" w:cs="Arial"/>
              </w:rPr>
              <w:t>Phenolic</w:t>
            </w:r>
          </w:p>
        </w:tc>
        <w:tc>
          <w:tcPr>
            <w:tcW w:w="1354" w:type="dxa"/>
            <w:tcBorders>
              <w:top w:val="nil"/>
              <w:bottom w:val="nil"/>
            </w:tcBorders>
          </w:tcPr>
          <w:p w14:paraId="7ADBFEBA"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64C813F0"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6AB1CD74"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6530A948" w14:textId="77777777" w:rsidTr="00991734">
        <w:trPr>
          <w:jc w:val="center"/>
        </w:trPr>
        <w:tc>
          <w:tcPr>
            <w:tcW w:w="606" w:type="dxa"/>
            <w:tcBorders>
              <w:top w:val="nil"/>
              <w:bottom w:val="nil"/>
            </w:tcBorders>
          </w:tcPr>
          <w:p w14:paraId="731E8219" w14:textId="77777777" w:rsidR="00F60FE3" w:rsidRPr="00153C60" w:rsidRDefault="00F60FE3" w:rsidP="00991734">
            <w:pPr>
              <w:jc w:val="both"/>
              <w:rPr>
                <w:rFonts w:ascii="Arial" w:hAnsi="Arial" w:cs="Arial"/>
              </w:rPr>
            </w:pPr>
            <w:r w:rsidRPr="00153C60">
              <w:rPr>
                <w:rFonts w:ascii="Arial" w:hAnsi="Arial" w:cs="Arial"/>
              </w:rPr>
              <w:t>6</w:t>
            </w:r>
          </w:p>
        </w:tc>
        <w:tc>
          <w:tcPr>
            <w:tcW w:w="1833" w:type="dxa"/>
            <w:tcBorders>
              <w:top w:val="nil"/>
              <w:bottom w:val="nil"/>
            </w:tcBorders>
          </w:tcPr>
          <w:p w14:paraId="7471E5BA" w14:textId="77777777" w:rsidR="00F60FE3" w:rsidRPr="00153C60" w:rsidRDefault="00F60FE3" w:rsidP="00991734">
            <w:pPr>
              <w:jc w:val="both"/>
              <w:rPr>
                <w:rFonts w:ascii="Arial" w:hAnsi="Arial" w:cs="Arial"/>
              </w:rPr>
            </w:pPr>
            <w:r w:rsidRPr="00153C60">
              <w:rPr>
                <w:rFonts w:ascii="Arial" w:hAnsi="Arial" w:cs="Arial"/>
              </w:rPr>
              <w:t>Steroid</w:t>
            </w:r>
          </w:p>
        </w:tc>
        <w:tc>
          <w:tcPr>
            <w:tcW w:w="1354" w:type="dxa"/>
            <w:tcBorders>
              <w:top w:val="nil"/>
              <w:bottom w:val="nil"/>
            </w:tcBorders>
          </w:tcPr>
          <w:p w14:paraId="5086F918"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650EF68B"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0A1510C2"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46A268B4" w14:textId="77777777" w:rsidTr="00991734">
        <w:trPr>
          <w:jc w:val="center"/>
        </w:trPr>
        <w:tc>
          <w:tcPr>
            <w:tcW w:w="606" w:type="dxa"/>
            <w:tcBorders>
              <w:top w:val="nil"/>
              <w:bottom w:val="single" w:sz="4" w:space="0" w:color="auto"/>
            </w:tcBorders>
          </w:tcPr>
          <w:p w14:paraId="16DB21F3" w14:textId="77777777" w:rsidR="00F60FE3" w:rsidRPr="00153C60" w:rsidRDefault="00F60FE3" w:rsidP="00991734">
            <w:pPr>
              <w:jc w:val="both"/>
              <w:rPr>
                <w:rFonts w:ascii="Arial" w:hAnsi="Arial" w:cs="Arial"/>
              </w:rPr>
            </w:pPr>
            <w:r w:rsidRPr="00153C60">
              <w:rPr>
                <w:rFonts w:ascii="Arial" w:hAnsi="Arial" w:cs="Arial"/>
              </w:rPr>
              <w:t>7</w:t>
            </w:r>
          </w:p>
        </w:tc>
        <w:tc>
          <w:tcPr>
            <w:tcW w:w="1833" w:type="dxa"/>
            <w:tcBorders>
              <w:top w:val="nil"/>
              <w:bottom w:val="single" w:sz="4" w:space="0" w:color="auto"/>
            </w:tcBorders>
          </w:tcPr>
          <w:p w14:paraId="6FB2253E" w14:textId="77777777" w:rsidR="00F60FE3" w:rsidRPr="00153C60" w:rsidRDefault="00F60FE3" w:rsidP="00991734">
            <w:pPr>
              <w:jc w:val="both"/>
              <w:rPr>
                <w:rFonts w:ascii="Arial" w:hAnsi="Arial" w:cs="Arial"/>
              </w:rPr>
            </w:pPr>
            <w:r w:rsidRPr="00153C60">
              <w:rPr>
                <w:rFonts w:ascii="Arial" w:hAnsi="Arial" w:cs="Arial"/>
              </w:rPr>
              <w:t>Triterpenoid</w:t>
            </w:r>
          </w:p>
        </w:tc>
        <w:tc>
          <w:tcPr>
            <w:tcW w:w="1354" w:type="dxa"/>
            <w:tcBorders>
              <w:top w:val="nil"/>
              <w:bottom w:val="single" w:sz="4" w:space="0" w:color="auto"/>
            </w:tcBorders>
          </w:tcPr>
          <w:p w14:paraId="204B9DAF"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single" w:sz="4" w:space="0" w:color="auto"/>
            </w:tcBorders>
          </w:tcPr>
          <w:p w14:paraId="0FECF441"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single" w:sz="4" w:space="0" w:color="auto"/>
            </w:tcBorders>
          </w:tcPr>
          <w:p w14:paraId="10632580" w14:textId="77777777" w:rsidR="00F60FE3" w:rsidRPr="00153C60" w:rsidRDefault="00F60FE3" w:rsidP="00991734">
            <w:pPr>
              <w:jc w:val="center"/>
              <w:rPr>
                <w:rFonts w:ascii="Arial" w:hAnsi="Arial" w:cs="Arial"/>
              </w:rPr>
            </w:pPr>
            <w:r w:rsidRPr="00153C60">
              <w:rPr>
                <w:rFonts w:ascii="Arial" w:hAnsi="Arial" w:cs="Arial"/>
              </w:rPr>
              <w:t>+</w:t>
            </w:r>
          </w:p>
        </w:tc>
      </w:tr>
    </w:tbl>
    <w:p w14:paraId="5F97ACFC" w14:textId="77777777" w:rsidR="00F60FE3" w:rsidRPr="00B1191B" w:rsidRDefault="00F60FE3" w:rsidP="00F60FE3">
      <w:pPr>
        <w:jc w:val="both"/>
        <w:rPr>
          <w:rFonts w:ascii="Arial" w:hAnsi="Arial" w:cs="Arial"/>
          <w:i/>
          <w:sz w:val="18"/>
          <w:szCs w:val="18"/>
        </w:rPr>
      </w:pPr>
      <w:r w:rsidRPr="00B1191B">
        <w:rPr>
          <w:rFonts w:ascii="Arial" w:hAnsi="Arial" w:cs="Arial"/>
          <w:bCs/>
          <w:i/>
          <w:sz w:val="18"/>
          <w:szCs w:val="18"/>
        </w:rPr>
        <w:t xml:space="preserve">*Description: </w:t>
      </w:r>
      <w:r w:rsidRPr="00B1191B">
        <w:rPr>
          <w:rFonts w:ascii="Arial" w:hAnsi="Arial" w:cs="Arial"/>
          <w:i/>
          <w:sz w:val="18"/>
          <w:szCs w:val="18"/>
        </w:rPr>
        <w:t>+ results indicate the presence of secondary metabolic compounds</w:t>
      </w:r>
    </w:p>
    <w:p w14:paraId="1BEF2172" w14:textId="5EE2B35C" w:rsidR="00F60FE3" w:rsidRDefault="00F60FE3" w:rsidP="00441B6F">
      <w:pPr>
        <w:pStyle w:val="Body"/>
        <w:spacing w:after="0"/>
        <w:rPr>
          <w:rFonts w:ascii="Arial" w:hAnsi="Arial" w:cs="Arial"/>
        </w:rPr>
      </w:pPr>
    </w:p>
    <w:p w14:paraId="260F7CD8" w14:textId="77777777" w:rsidR="006432B1" w:rsidRDefault="006432B1" w:rsidP="00F60FE3">
      <w:pPr>
        <w:jc w:val="both"/>
        <w:rPr>
          <w:rFonts w:ascii="Arial" w:hAnsi="Arial" w:cs="Arial"/>
          <w:szCs w:val="24"/>
        </w:rPr>
        <w:sectPr w:rsidR="006432B1" w:rsidSect="004239FA">
          <w:type w:val="continuous"/>
          <w:pgSz w:w="12240" w:h="15840"/>
          <w:pgMar w:top="1440" w:right="2016" w:bottom="2016" w:left="2016" w:header="720" w:footer="1123" w:gutter="0"/>
          <w:cols w:space="720"/>
          <w:titlePg/>
          <w:docGrid w:linePitch="272"/>
        </w:sectPr>
      </w:pPr>
    </w:p>
    <w:p w14:paraId="30E37008" w14:textId="630DDE21" w:rsidR="00F60FE3" w:rsidRPr="00153C60" w:rsidRDefault="00F60FE3" w:rsidP="00F60FE3">
      <w:pPr>
        <w:jc w:val="both"/>
        <w:rPr>
          <w:rFonts w:ascii="Arial" w:hAnsi="Arial" w:cs="Arial"/>
          <w:szCs w:val="24"/>
        </w:rPr>
      </w:pPr>
      <w:r w:rsidRPr="00153C60">
        <w:rPr>
          <w:rFonts w:ascii="Arial" w:hAnsi="Arial" w:cs="Arial"/>
          <w:szCs w:val="24"/>
        </w:rPr>
        <w:t>Specific parameters describe the identity of an extract. The identification process is an important part of the quality control of traditional medicinal products because the ingredients usually come from different cultivation areas and have many physical similarities with other plants of the same genus. The first parameter to be determined is the identity of the extract. Assessing the quality of the extract is the organoleptic determination of the extract, which involves observing the color, taste, and odor</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[6]</w:t>
      </w:r>
      <w:r>
        <w:rPr>
          <w:rFonts w:ascii="Arial" w:hAnsi="Arial" w:cs="Arial"/>
          <w:szCs w:val="24"/>
        </w:rPr>
        <w:fldChar w:fldCharType="end"/>
      </w:r>
      <w:r w:rsidRPr="00153C60">
        <w:rPr>
          <w:rFonts w:ascii="Arial" w:hAnsi="Arial" w:cs="Arial"/>
          <w:szCs w:val="24"/>
        </w:rPr>
        <w:t>. The results of the organoleptic test from three locations showed similarities in color, taste, and odor. The slightly bitter taste is caused by the content of saponins, tannins, and alkaloid</w:t>
      </w:r>
      <w:r>
        <w:rPr>
          <w:rFonts w:ascii="Arial" w:hAnsi="Arial" w:cs="Arial"/>
          <w:szCs w:val="24"/>
        </w:rPr>
        <w:t xml:space="preserve">s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{"citationItems":[{"id":"ITEM-1","itemData":{"author":[{"dropping-particle":"","family":"Permadi","given":"Yusup Bayu","non-dropping-particle":"","parse-names":false,"suffix":""},{"dropping-particle":"","family":"Sedjati","given":"Sri","non-dropping-particle":"","parse-names":false,"suffix":""},{"dropping-particle":"","family":"Supriyantini","given":"Endang","non-dropping-particle":"","parse-names":false,"suffix":""}],"id":"ITEM-1","issued":{"date-parts":[["2012"]]},"page":"39-47","title":"Waktu Perendaman Air Terhadap Kandungan Nutrisi Tepung Buah Mangrove Avicenia marina","type":"article-journal","volume":"1"},"uris":["http://www.mendeley.com/documents/?uuid=d28fef8b-951c-4088-9005-770a7f6c535b"]}],"mendeley":{"formattedCitation":"[12]","plainTextFormattedCitation":"[12]","previouslyFormattedCitation":"&lt;sup&gt;12&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[12]</w:t>
      </w:r>
      <w:r>
        <w:rPr>
          <w:rFonts w:ascii="Arial" w:hAnsi="Arial" w:cs="Arial"/>
          <w:szCs w:val="24"/>
        </w:rPr>
        <w:fldChar w:fldCharType="end"/>
      </w:r>
      <w:r w:rsidRPr="00153C60">
        <w:rPr>
          <w:rFonts w:ascii="Arial" w:hAnsi="Arial" w:cs="Arial"/>
          <w:szCs w:val="24"/>
        </w:rPr>
        <w:t xml:space="preserve">. This is proven by the results of phytochemical screening with the presence of saponins, tannins, and alkaloids which showed positive results. The solubility of the extract in water and ethanol solvents indicates the presence of active compounds that are polar (soluble in water) and </w:t>
      </w:r>
      <w:commentRangeStart w:id="7"/>
      <w:r w:rsidRPr="00153C60">
        <w:rPr>
          <w:rFonts w:ascii="Arial" w:hAnsi="Arial" w:cs="Arial"/>
          <w:szCs w:val="24"/>
        </w:rPr>
        <w:t xml:space="preserve">polar-nonpolar </w:t>
      </w:r>
      <w:commentRangeEnd w:id="7"/>
      <w:r w:rsidR="00E75B61" w:rsidRPr="00153C60">
        <w:rPr>
          <w:rStyle w:val="CommentReference"/>
          <w:rFonts w:ascii="Arial" w:hAnsi="Arial" w:cs="Arial"/>
          <w:sz w:val="20"/>
          <w:szCs w:val="24"/>
        </w:rPr>
        <w:commentReference w:id="7"/>
      </w:r>
      <w:r w:rsidRPr="00153C60">
        <w:rPr>
          <w:rFonts w:ascii="Arial" w:hAnsi="Arial" w:cs="Arial"/>
          <w:szCs w:val="24"/>
        </w:rPr>
        <w:t>(soluble in ethanol</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{"citationItems":[{"id":"ITEM-1","itemData":{"abstract":"Daun leilem (Clerodendrum minahassae Teisjm. &amp; Binn) memiliki banyak efek farmakologis sebagai obat tradisional. Bahan baku obat tradisional perlu standardisasi. Standardisasi simplisia dan ekstrak etanol daun leilem dilakukan untuk menetapkan parameter standar simplisia dan ekstrak etanol daun leilem. Penetapan standar mutu simplisia dan ekstrak meliputi parameter spesifik dan non spesifik.Ekstrak kental diperoleh dari hasil maserasi daun leilem menggunakan etanol 70% dengan perolehan rendemen sebesar 22%. Pengamatan makroskopik menunjukkan simplisia daun leilem berwarna cokelat kehijauan, berbentuk bundar telur, ujungnya runcing, berpangkal tumpul, permukaannya licin, bertepi rata, umumnya terdapat 6 pasang tulang daun yang menyirip, panjang rata-rata 11,1 cm dan lebar rata-rata 5,3 cm. Organoleptik dari ekstrak etanol daun leilem yaitu berkonsistensi kental, berwarna hitam, berbau khas dan berasa pahit. Fragmen pengenal simplisia daun leilem berupa hablur kalsium oksalat berbentuk stiloid, berkas pembuluh dengan penebalan cincin, rambut penutup berbentuk kerucut dan memiliki ujung rambut yang runcing, stomata dengan sel batu, epidermis atas dengan stomata tipe anomositik serta epidermis bawah berbentuk poligonal tidak beraturan. Kadar senyawa terlarut dalam air pada simplisia sebesar 19,932% dan pada ekstrak sebesar 52,096%, sedangkan kadar senyawa terlarut dalam etanol pada simplisia sebesar 11,776% dan pada ekstrak sebesar 35,108%. Ekstrak mengandung senyawa alkaloid, steroid, flavonoid dan tanin. Kadar air dalam simplisia dan ekstrak masing-masing ≤ 10%. Kadar abu total dalam simplisia sebesar 27,783% dan dalam ekstrak sebesar 12%, kadar abu tidak larut asam dalam simplisia sebesar 4,242% dan dalam ekstrak sebesar 2,518%. Susut pengeringan pada simplisia sebesar 12,399% dan pada ekstrak sebesar 24,603%. Bobot jenis ekstrak sebesar 1,055 g/ ml. Total cemaran bakteri dan kapang pada ekstrak memenuhi syarat dengan nilai masing-masing sebesar 5,4 x 102 koloni/g dan 5,0 x 102 koloni/g. A","author":[{"dropping-particle":"","family":"Utami","given":"Yuri Pratiwi","non-dropping-particle":"","parse-names":false,"suffix":""},{"dropping-particle":"","family":"Umar","given":"Abdul Halim","non-dropping-particle":"","parse-names":false,"suffix":""},{"dropping-particle":"","family":"Syahruni","given":"Reny","non-dropping-particle":"","parse-names":false,"suffix":""},{"dropping-particle":"","family":"Kadullah","given":"Indah","non-dropping-particle":"","parse-names":false,"suffix":""}],"container-title":"Journal of Pharmaceutical and Medicinal Sciences","id":"ITEM-1","issue":"1","issued":{"date-parts":[["2017"]]},"page":"32-39","title":"Standardisasi Simplisia dan Ekstrak Etanol Daun Leilem ( Clerodendrum","type":"article-journal","volume":"2"},"uris":["http://www.mendeley.com/documents/?uuid=6cb682de-4a41-4292-b459-3ccb64dd8141"]}],"mendeley":{"formattedCitation":"[13]","plainTextFormattedCitation":"[13]","previouslyFormattedCitation":"&lt;sup&gt;13&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[13]</w:t>
      </w:r>
      <w:r>
        <w:rPr>
          <w:rFonts w:ascii="Arial" w:hAnsi="Arial" w:cs="Arial"/>
          <w:szCs w:val="24"/>
        </w:rPr>
        <w:fldChar w:fldCharType="end"/>
      </w:r>
      <w:r w:rsidRPr="00153C60">
        <w:rPr>
          <w:rFonts w:ascii="Arial" w:hAnsi="Arial" w:cs="Arial"/>
          <w:szCs w:val="24"/>
        </w:rPr>
        <w:t>. Each plant contains different compounds, which are soluble or attracted based on their polarity. Table 2 shows that the extracts from the three locations are more soluble in ethanol than in water, so it can be concluded that the attracted compounds are semipolar.</w:t>
      </w:r>
    </w:p>
    <w:p w14:paraId="02993E42" w14:textId="77777777" w:rsidR="006432B1" w:rsidRDefault="006432B1" w:rsidP="00441B6F">
      <w:pPr>
        <w:pStyle w:val="Body"/>
        <w:spacing w:after="0"/>
        <w:rPr>
          <w:rFonts w:ascii="Arial" w:hAnsi="Arial" w:cs="Arial"/>
        </w:rPr>
        <w:sectPr w:rsidR="006432B1" w:rsidSect="004239FA">
          <w:type w:val="continuous"/>
          <w:pgSz w:w="12240" w:h="15840"/>
          <w:pgMar w:top="1440" w:right="2016" w:bottom="2016" w:left="2016" w:header="720" w:footer="1123" w:gutter="0"/>
          <w:cols w:space="720"/>
          <w:titlePg/>
          <w:docGrid w:linePitch="272"/>
        </w:sectPr>
      </w:pPr>
    </w:p>
    <w:p w14:paraId="3A07AE4F" w14:textId="3B3530AD" w:rsidR="00F60FE3" w:rsidRDefault="00F60FE3" w:rsidP="00441B6F">
      <w:pPr>
        <w:pStyle w:val="Body"/>
        <w:spacing w:after="0"/>
        <w:rPr>
          <w:rFonts w:ascii="Arial" w:hAnsi="Arial" w:cs="Arial"/>
        </w:rPr>
      </w:pPr>
    </w:p>
    <w:p w14:paraId="4F6396FD" w14:textId="77777777" w:rsidR="00F60FE3" w:rsidRPr="00153C60" w:rsidRDefault="00F60FE3" w:rsidP="00F60FE3">
      <w:pPr>
        <w:tabs>
          <w:tab w:val="left" w:pos="900"/>
        </w:tabs>
        <w:spacing w:after="240"/>
        <w:ind w:left="900" w:hanging="900"/>
        <w:jc w:val="both"/>
        <w:rPr>
          <w:rFonts w:ascii="Arial" w:hAnsi="Arial" w:cs="Arial"/>
          <w:b/>
          <w:szCs w:val="24"/>
        </w:rPr>
      </w:pPr>
      <w:r w:rsidRPr="00153C60">
        <w:rPr>
          <w:rFonts w:ascii="Arial" w:hAnsi="Arial" w:cs="Arial"/>
          <w:b/>
          <w:szCs w:val="24"/>
        </w:rPr>
        <w:t>Table 2.</w:t>
      </w:r>
      <w:r w:rsidRPr="00153C60">
        <w:rPr>
          <w:rFonts w:ascii="Arial" w:hAnsi="Arial" w:cs="Arial"/>
          <w:b/>
          <w:szCs w:val="24"/>
        </w:rPr>
        <w:tab/>
        <w:t xml:space="preserve">Results Spesific and non-spesific parameters of </w:t>
      </w:r>
      <w:r w:rsidRPr="00153C60">
        <w:rPr>
          <w:rFonts w:ascii="Arial" w:hAnsi="Arial" w:cs="Arial"/>
          <w:b/>
          <w:i/>
          <w:iCs/>
          <w:szCs w:val="24"/>
        </w:rPr>
        <w:t>White Mangrove</w:t>
      </w:r>
      <w:r w:rsidRPr="00153C60">
        <w:rPr>
          <w:rFonts w:ascii="Arial" w:hAnsi="Arial" w:cs="Arial"/>
          <w:b/>
          <w:szCs w:val="24"/>
        </w:rPr>
        <w:t xml:space="preserve"> from three Location</w:t>
      </w:r>
    </w:p>
    <w:tbl>
      <w:tblPr>
        <w:tblW w:w="8430" w:type="dxa"/>
        <w:jc w:val="center"/>
        <w:tblLayout w:type="fixed"/>
        <w:tblLook w:val="04A0" w:firstRow="1" w:lastRow="0" w:firstColumn="1" w:lastColumn="0" w:noHBand="0" w:noVBand="1"/>
      </w:tblPr>
      <w:tblGrid>
        <w:gridCol w:w="1040"/>
        <w:gridCol w:w="1416"/>
        <w:gridCol w:w="1276"/>
        <w:gridCol w:w="269"/>
        <w:gridCol w:w="1596"/>
        <w:gridCol w:w="159"/>
        <w:gridCol w:w="1730"/>
        <w:gridCol w:w="806"/>
        <w:gridCol w:w="138"/>
      </w:tblGrid>
      <w:tr w:rsidR="00F60FE3" w:rsidRPr="00B1191B" w14:paraId="5216756E" w14:textId="77777777" w:rsidTr="00991734">
        <w:trPr>
          <w:trHeight w:val="54"/>
          <w:jc w:val="center"/>
        </w:trPr>
        <w:tc>
          <w:tcPr>
            <w:tcW w:w="1040" w:type="dxa"/>
            <w:vMerge w:val="restart"/>
            <w:tcBorders>
              <w:top w:val="single" w:sz="4" w:space="0" w:color="auto"/>
              <w:left w:val="nil"/>
              <w:bottom w:val="single" w:sz="4" w:space="0" w:color="000000"/>
              <w:right w:val="nil"/>
            </w:tcBorders>
            <w:vAlign w:val="center"/>
            <w:hideMark/>
          </w:tcPr>
          <w:p w14:paraId="3AA440B3"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Parameter</w:t>
            </w:r>
          </w:p>
        </w:tc>
        <w:tc>
          <w:tcPr>
            <w:tcW w:w="1417" w:type="dxa"/>
            <w:vMerge w:val="restart"/>
            <w:tcBorders>
              <w:top w:val="single" w:sz="4" w:space="0" w:color="auto"/>
              <w:left w:val="nil"/>
              <w:bottom w:val="single" w:sz="4" w:space="0" w:color="000000"/>
              <w:right w:val="nil"/>
            </w:tcBorders>
            <w:vAlign w:val="center"/>
            <w:hideMark/>
          </w:tcPr>
          <w:p w14:paraId="4A52F63B"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Test type</w:t>
            </w:r>
          </w:p>
        </w:tc>
        <w:tc>
          <w:tcPr>
            <w:tcW w:w="5032" w:type="dxa"/>
            <w:gridSpan w:val="5"/>
            <w:tcBorders>
              <w:top w:val="single" w:sz="4" w:space="0" w:color="auto"/>
              <w:left w:val="nil"/>
              <w:bottom w:val="nil"/>
              <w:right w:val="nil"/>
            </w:tcBorders>
            <w:vAlign w:val="center"/>
            <w:hideMark/>
          </w:tcPr>
          <w:p w14:paraId="6BBD2227"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Location</w:t>
            </w:r>
          </w:p>
        </w:tc>
        <w:tc>
          <w:tcPr>
            <w:tcW w:w="941" w:type="dxa"/>
            <w:gridSpan w:val="2"/>
            <w:tcBorders>
              <w:top w:val="single" w:sz="4" w:space="0" w:color="auto"/>
              <w:left w:val="nil"/>
              <w:right w:val="nil"/>
            </w:tcBorders>
            <w:vAlign w:val="center"/>
            <w:hideMark/>
          </w:tcPr>
          <w:p w14:paraId="51D42183" w14:textId="77777777" w:rsidR="00F60FE3" w:rsidRPr="00B1191B" w:rsidRDefault="00F60FE3" w:rsidP="006432B1">
            <w:pPr>
              <w:jc w:val="center"/>
              <w:rPr>
                <w:rFonts w:ascii="Arial" w:hAnsi="Arial" w:cs="Arial"/>
                <w:b/>
                <w:bCs/>
                <w:color w:val="000000"/>
                <w:lang w:val="en-ID" w:eastAsia="en-ID"/>
              </w:rPr>
            </w:pPr>
            <w:commentRangeStart w:id="8"/>
            <w:r w:rsidRPr="00B1191B">
              <w:rPr>
                <w:rFonts w:ascii="Arial" w:hAnsi="Arial" w:cs="Arial"/>
                <w:b/>
                <w:bCs/>
                <w:color w:val="000000"/>
                <w:lang w:eastAsia="en-ID"/>
              </w:rPr>
              <w:t>Condition</w:t>
            </w:r>
            <w:commentRangeEnd w:id="8"/>
            <w:r w:rsidR="00E75B61" w:rsidRPr="00B1191B">
              <w:rPr>
                <w:rStyle w:val="CommentReference"/>
                <w:rFonts w:ascii="Arial" w:hAnsi="Arial" w:cs="Arial"/>
                <w:b/>
                <w:bCs/>
                <w:color w:val="000000"/>
                <w:sz w:val="20"/>
                <w:szCs w:val="20"/>
                <w:lang w:val="en-ID" w:eastAsia="en-ID"/>
              </w:rPr>
              <w:commentReference w:id="8"/>
            </w:r>
          </w:p>
        </w:tc>
      </w:tr>
      <w:tr w:rsidR="00F60FE3" w:rsidRPr="00B1191B" w14:paraId="1F7EFB82" w14:textId="77777777" w:rsidTr="00991734">
        <w:trPr>
          <w:trHeight w:val="349"/>
          <w:jc w:val="center"/>
        </w:trPr>
        <w:tc>
          <w:tcPr>
            <w:tcW w:w="1040" w:type="dxa"/>
            <w:vMerge/>
            <w:tcBorders>
              <w:top w:val="single" w:sz="4" w:space="0" w:color="auto"/>
              <w:left w:val="nil"/>
              <w:bottom w:val="single" w:sz="4" w:space="0" w:color="000000"/>
              <w:right w:val="nil"/>
            </w:tcBorders>
            <w:vAlign w:val="center"/>
            <w:hideMark/>
          </w:tcPr>
          <w:p w14:paraId="42A3EACE" w14:textId="77777777" w:rsidR="00F60FE3" w:rsidRPr="00B1191B" w:rsidRDefault="00F60FE3" w:rsidP="006432B1">
            <w:pPr>
              <w:jc w:val="center"/>
              <w:rPr>
                <w:rFonts w:ascii="Arial" w:hAnsi="Arial" w:cs="Arial"/>
                <w:b/>
                <w:bCs/>
                <w:color w:val="000000"/>
                <w:lang w:val="en-ID" w:eastAsia="en-ID"/>
              </w:rPr>
            </w:pPr>
          </w:p>
        </w:tc>
        <w:tc>
          <w:tcPr>
            <w:tcW w:w="1417" w:type="dxa"/>
            <w:vMerge/>
            <w:tcBorders>
              <w:top w:val="single" w:sz="4" w:space="0" w:color="auto"/>
              <w:left w:val="nil"/>
              <w:bottom w:val="single" w:sz="4" w:space="0" w:color="000000"/>
              <w:right w:val="nil"/>
            </w:tcBorders>
            <w:vAlign w:val="center"/>
            <w:hideMark/>
          </w:tcPr>
          <w:p w14:paraId="2573C59E" w14:textId="77777777" w:rsidR="00F60FE3" w:rsidRPr="00B1191B" w:rsidRDefault="00F60FE3" w:rsidP="006432B1">
            <w:pPr>
              <w:jc w:val="center"/>
              <w:rPr>
                <w:rFonts w:ascii="Arial" w:hAnsi="Arial" w:cs="Arial"/>
                <w:b/>
                <w:bCs/>
                <w:color w:val="000000"/>
                <w:lang w:val="en-ID" w:eastAsia="en-ID"/>
              </w:rPr>
            </w:pPr>
          </w:p>
        </w:tc>
        <w:tc>
          <w:tcPr>
            <w:tcW w:w="1276" w:type="dxa"/>
            <w:tcBorders>
              <w:top w:val="single" w:sz="4" w:space="0" w:color="auto"/>
              <w:left w:val="nil"/>
              <w:bottom w:val="single" w:sz="4" w:space="0" w:color="auto"/>
              <w:right w:val="nil"/>
            </w:tcBorders>
            <w:vAlign w:val="center"/>
            <w:hideMark/>
          </w:tcPr>
          <w:p w14:paraId="6570FDA3"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Mangkang Semarang</w:t>
            </w:r>
          </w:p>
        </w:tc>
        <w:tc>
          <w:tcPr>
            <w:tcW w:w="2025" w:type="dxa"/>
            <w:gridSpan w:val="3"/>
            <w:tcBorders>
              <w:top w:val="single" w:sz="4" w:space="0" w:color="auto"/>
              <w:left w:val="nil"/>
              <w:bottom w:val="single" w:sz="4" w:space="0" w:color="auto"/>
              <w:right w:val="nil"/>
            </w:tcBorders>
            <w:vAlign w:val="center"/>
            <w:hideMark/>
          </w:tcPr>
          <w:p w14:paraId="3ABF3BBE"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 xml:space="preserve">Baros </w:t>
            </w:r>
            <w:r>
              <w:rPr>
                <w:rFonts w:ascii="Arial" w:hAnsi="Arial" w:cs="Arial"/>
                <w:b/>
                <w:bCs/>
                <w:color w:val="000000"/>
                <w:lang w:eastAsia="en-ID"/>
              </w:rPr>
              <w:t xml:space="preserve"> </w:t>
            </w:r>
            <w:r w:rsidRPr="00B1191B">
              <w:rPr>
                <w:rFonts w:ascii="Arial" w:hAnsi="Arial" w:cs="Arial"/>
                <w:b/>
                <w:bCs/>
                <w:color w:val="000000"/>
                <w:lang w:eastAsia="en-ID"/>
              </w:rPr>
              <w:t>River Yogyakarta</w:t>
            </w:r>
          </w:p>
        </w:tc>
        <w:tc>
          <w:tcPr>
            <w:tcW w:w="1731" w:type="dxa"/>
            <w:tcBorders>
              <w:top w:val="single" w:sz="4" w:space="0" w:color="auto"/>
              <w:left w:val="nil"/>
              <w:bottom w:val="single" w:sz="4" w:space="0" w:color="auto"/>
              <w:right w:val="nil"/>
            </w:tcBorders>
            <w:vAlign w:val="center"/>
            <w:hideMark/>
          </w:tcPr>
          <w:p w14:paraId="5563C695" w14:textId="77777777" w:rsidR="00F60FE3" w:rsidRPr="00B1191B" w:rsidRDefault="00F60FE3" w:rsidP="006432B1">
            <w:pPr>
              <w:ind w:left="-101" w:right="-268"/>
              <w:jc w:val="center"/>
              <w:rPr>
                <w:rFonts w:ascii="Arial" w:hAnsi="Arial" w:cs="Arial"/>
                <w:b/>
                <w:bCs/>
                <w:color w:val="000000"/>
                <w:lang w:val="en-ID" w:eastAsia="en-ID"/>
              </w:rPr>
            </w:pPr>
            <w:r w:rsidRPr="00B1191B">
              <w:rPr>
                <w:rFonts w:ascii="Arial" w:hAnsi="Arial" w:cs="Arial"/>
                <w:b/>
                <w:bCs/>
                <w:color w:val="000000"/>
                <w:lang w:eastAsia="en-ID"/>
              </w:rPr>
              <w:t>Teluk Awur Jepara</w:t>
            </w:r>
          </w:p>
        </w:tc>
        <w:tc>
          <w:tcPr>
            <w:tcW w:w="941" w:type="dxa"/>
            <w:gridSpan w:val="2"/>
            <w:tcBorders>
              <w:left w:val="nil"/>
              <w:bottom w:val="single" w:sz="4" w:space="0" w:color="auto"/>
              <w:right w:val="nil"/>
            </w:tcBorders>
            <w:vAlign w:val="center"/>
            <w:hideMark/>
          </w:tcPr>
          <w:p w14:paraId="6FC624CF" w14:textId="77777777" w:rsidR="00F60FE3" w:rsidRPr="00B1191B" w:rsidRDefault="00F60FE3" w:rsidP="006432B1">
            <w:pPr>
              <w:jc w:val="center"/>
              <w:rPr>
                <w:rFonts w:ascii="Arial" w:hAnsi="Arial" w:cs="Arial"/>
                <w:b/>
                <w:bCs/>
                <w:color w:val="000000"/>
                <w:lang w:val="en-ID" w:eastAsia="en-ID"/>
              </w:rPr>
            </w:pPr>
          </w:p>
        </w:tc>
      </w:tr>
      <w:tr w:rsidR="00F60FE3" w:rsidRPr="00B1191B" w14:paraId="63521F91" w14:textId="77777777" w:rsidTr="00991734">
        <w:trPr>
          <w:trHeight w:val="54"/>
          <w:jc w:val="center"/>
        </w:trPr>
        <w:tc>
          <w:tcPr>
            <w:tcW w:w="1040" w:type="dxa"/>
            <w:vMerge w:val="restart"/>
            <w:tcBorders>
              <w:top w:val="nil"/>
              <w:left w:val="nil"/>
              <w:bottom w:val="single" w:sz="4" w:space="0" w:color="000000"/>
              <w:right w:val="nil"/>
            </w:tcBorders>
            <w:vAlign w:val="center"/>
            <w:hideMark/>
          </w:tcPr>
          <w:p w14:paraId="658369B0" w14:textId="77777777" w:rsidR="00F60FE3" w:rsidRPr="00B1191B" w:rsidRDefault="00F60FE3" w:rsidP="006432B1">
            <w:pPr>
              <w:jc w:val="both"/>
              <w:rPr>
                <w:rFonts w:ascii="Arial" w:hAnsi="Arial" w:cs="Arial"/>
                <w:color w:val="000000"/>
                <w:lang w:val="en-ID" w:eastAsia="en-ID"/>
              </w:rPr>
            </w:pPr>
            <w:r w:rsidRPr="00B1191B">
              <w:rPr>
                <w:rFonts w:ascii="Arial" w:hAnsi="Arial" w:cs="Arial"/>
                <w:color w:val="000000"/>
                <w:lang w:eastAsia="en-ID"/>
              </w:rPr>
              <w:t>Spesific</w:t>
            </w:r>
          </w:p>
        </w:tc>
        <w:tc>
          <w:tcPr>
            <w:tcW w:w="2693" w:type="dxa"/>
            <w:gridSpan w:val="2"/>
            <w:tcBorders>
              <w:top w:val="single" w:sz="4" w:space="0" w:color="auto"/>
              <w:left w:val="nil"/>
              <w:bottom w:val="nil"/>
              <w:right w:val="nil"/>
            </w:tcBorders>
            <w:noWrap/>
            <w:vAlign w:val="center"/>
            <w:hideMark/>
          </w:tcPr>
          <w:p w14:paraId="7D7A7F5E"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Organoleptic</w:t>
            </w:r>
          </w:p>
        </w:tc>
        <w:tc>
          <w:tcPr>
            <w:tcW w:w="2025" w:type="dxa"/>
            <w:gridSpan w:val="3"/>
            <w:tcBorders>
              <w:top w:val="single" w:sz="4" w:space="0" w:color="auto"/>
              <w:left w:val="nil"/>
              <w:bottom w:val="nil"/>
              <w:right w:val="nil"/>
            </w:tcBorders>
            <w:hideMark/>
          </w:tcPr>
          <w:p w14:paraId="5F7531B5" w14:textId="77777777" w:rsidR="00F60FE3" w:rsidRPr="00B1191B" w:rsidRDefault="00F60FE3" w:rsidP="006432B1">
            <w:pPr>
              <w:jc w:val="center"/>
              <w:rPr>
                <w:rFonts w:ascii="Arial" w:hAnsi="Arial" w:cs="Arial"/>
                <w:color w:val="000000"/>
                <w:lang w:val="en-ID" w:eastAsia="en-ID"/>
              </w:rPr>
            </w:pPr>
          </w:p>
        </w:tc>
        <w:tc>
          <w:tcPr>
            <w:tcW w:w="1731" w:type="dxa"/>
            <w:tcBorders>
              <w:top w:val="single" w:sz="4" w:space="0" w:color="auto"/>
              <w:left w:val="nil"/>
              <w:bottom w:val="nil"/>
              <w:right w:val="nil"/>
            </w:tcBorders>
            <w:hideMark/>
          </w:tcPr>
          <w:p w14:paraId="2E00D0A2" w14:textId="77777777" w:rsidR="00F60FE3" w:rsidRPr="00B1191B" w:rsidRDefault="00F60FE3" w:rsidP="006432B1">
            <w:pPr>
              <w:jc w:val="center"/>
              <w:rPr>
                <w:rFonts w:ascii="Arial" w:hAnsi="Arial" w:cs="Arial"/>
                <w:color w:val="000000"/>
                <w:lang w:val="en-ID" w:eastAsia="en-ID"/>
              </w:rPr>
            </w:pPr>
          </w:p>
        </w:tc>
        <w:tc>
          <w:tcPr>
            <w:tcW w:w="941" w:type="dxa"/>
            <w:gridSpan w:val="2"/>
            <w:tcBorders>
              <w:top w:val="single" w:sz="4" w:space="0" w:color="auto"/>
              <w:left w:val="nil"/>
              <w:bottom w:val="nil"/>
              <w:right w:val="nil"/>
            </w:tcBorders>
            <w:vAlign w:val="center"/>
            <w:hideMark/>
          </w:tcPr>
          <w:p w14:paraId="7050B58F" w14:textId="77777777" w:rsidR="00F60FE3" w:rsidRPr="00B1191B" w:rsidRDefault="00F60FE3" w:rsidP="006432B1">
            <w:pPr>
              <w:jc w:val="both"/>
              <w:rPr>
                <w:rFonts w:ascii="Arial" w:hAnsi="Arial" w:cs="Arial"/>
                <w:color w:val="000000"/>
                <w:lang w:val="en-ID" w:eastAsia="en-ID"/>
              </w:rPr>
            </w:pPr>
            <w:r w:rsidRPr="00B1191B">
              <w:rPr>
                <w:rFonts w:ascii="Arial" w:hAnsi="Arial" w:cs="Arial"/>
                <w:color w:val="000000"/>
                <w:lang w:val="en-ID" w:eastAsia="en-ID"/>
              </w:rPr>
              <w:t> </w:t>
            </w:r>
          </w:p>
        </w:tc>
      </w:tr>
      <w:tr w:rsidR="00F60FE3" w:rsidRPr="00B1191B" w14:paraId="2D1354C1" w14:textId="77777777" w:rsidTr="00991734">
        <w:trPr>
          <w:trHeight w:val="75"/>
          <w:jc w:val="center"/>
        </w:trPr>
        <w:tc>
          <w:tcPr>
            <w:tcW w:w="1040" w:type="dxa"/>
            <w:vMerge/>
            <w:tcBorders>
              <w:top w:val="nil"/>
              <w:left w:val="nil"/>
              <w:bottom w:val="single" w:sz="4" w:space="0" w:color="000000"/>
              <w:right w:val="nil"/>
            </w:tcBorders>
            <w:vAlign w:val="center"/>
            <w:hideMark/>
          </w:tcPr>
          <w:p w14:paraId="6091D7D0"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5611341B"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a.     Color</w:t>
            </w:r>
          </w:p>
        </w:tc>
        <w:tc>
          <w:tcPr>
            <w:tcW w:w="1276" w:type="dxa"/>
            <w:tcBorders>
              <w:top w:val="nil"/>
              <w:left w:val="nil"/>
              <w:bottom w:val="nil"/>
              <w:right w:val="nil"/>
            </w:tcBorders>
            <w:vAlign w:val="center"/>
            <w:hideMark/>
          </w:tcPr>
          <w:p w14:paraId="6D08DF13"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Blackish green</w:t>
            </w:r>
          </w:p>
        </w:tc>
        <w:tc>
          <w:tcPr>
            <w:tcW w:w="2025" w:type="dxa"/>
            <w:gridSpan w:val="3"/>
            <w:tcBorders>
              <w:top w:val="nil"/>
              <w:left w:val="nil"/>
              <w:bottom w:val="nil"/>
              <w:right w:val="nil"/>
            </w:tcBorders>
            <w:vAlign w:val="center"/>
            <w:hideMark/>
          </w:tcPr>
          <w:p w14:paraId="0862D1FE"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Blackish green</w:t>
            </w:r>
          </w:p>
        </w:tc>
        <w:tc>
          <w:tcPr>
            <w:tcW w:w="1731" w:type="dxa"/>
            <w:tcBorders>
              <w:top w:val="nil"/>
              <w:left w:val="nil"/>
              <w:bottom w:val="nil"/>
              <w:right w:val="nil"/>
            </w:tcBorders>
            <w:vAlign w:val="center"/>
            <w:hideMark/>
          </w:tcPr>
          <w:p w14:paraId="521EBAF0"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Blackish green</w:t>
            </w:r>
          </w:p>
        </w:tc>
        <w:tc>
          <w:tcPr>
            <w:tcW w:w="941" w:type="dxa"/>
            <w:gridSpan w:val="2"/>
            <w:tcBorders>
              <w:top w:val="nil"/>
              <w:left w:val="nil"/>
              <w:bottom w:val="nil"/>
              <w:right w:val="nil"/>
            </w:tcBorders>
            <w:vAlign w:val="center"/>
            <w:hideMark/>
          </w:tcPr>
          <w:p w14:paraId="7FF675D4" w14:textId="77777777" w:rsidR="00F60FE3" w:rsidRPr="00B1191B" w:rsidRDefault="00F60FE3" w:rsidP="006432B1">
            <w:pPr>
              <w:jc w:val="both"/>
              <w:rPr>
                <w:rFonts w:ascii="Arial" w:hAnsi="Arial" w:cs="Arial"/>
                <w:color w:val="000000"/>
                <w:lang w:val="en-ID" w:eastAsia="en-ID"/>
              </w:rPr>
            </w:pPr>
          </w:p>
        </w:tc>
      </w:tr>
      <w:tr w:rsidR="00F60FE3" w:rsidRPr="00B1191B" w14:paraId="2E96FFAC" w14:textId="77777777" w:rsidTr="00991734">
        <w:trPr>
          <w:trHeight w:val="71"/>
          <w:jc w:val="center"/>
        </w:trPr>
        <w:tc>
          <w:tcPr>
            <w:tcW w:w="1040" w:type="dxa"/>
            <w:vMerge/>
            <w:tcBorders>
              <w:top w:val="nil"/>
              <w:left w:val="nil"/>
              <w:bottom w:val="single" w:sz="4" w:space="0" w:color="000000"/>
              <w:right w:val="nil"/>
            </w:tcBorders>
            <w:vAlign w:val="center"/>
            <w:hideMark/>
          </w:tcPr>
          <w:p w14:paraId="59A74B00"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01F52582"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b.     Taste</w:t>
            </w:r>
          </w:p>
        </w:tc>
        <w:tc>
          <w:tcPr>
            <w:tcW w:w="1276" w:type="dxa"/>
            <w:tcBorders>
              <w:top w:val="nil"/>
              <w:left w:val="nil"/>
              <w:bottom w:val="nil"/>
              <w:right w:val="nil"/>
            </w:tcBorders>
            <w:vAlign w:val="center"/>
            <w:hideMark/>
          </w:tcPr>
          <w:p w14:paraId="34AC8BEC"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a bit bitter</w:t>
            </w:r>
          </w:p>
        </w:tc>
        <w:tc>
          <w:tcPr>
            <w:tcW w:w="2025" w:type="dxa"/>
            <w:gridSpan w:val="3"/>
            <w:tcBorders>
              <w:top w:val="nil"/>
              <w:left w:val="nil"/>
              <w:bottom w:val="nil"/>
              <w:right w:val="nil"/>
            </w:tcBorders>
            <w:vAlign w:val="center"/>
            <w:hideMark/>
          </w:tcPr>
          <w:p w14:paraId="5A80B035"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a bit bitter</w:t>
            </w:r>
          </w:p>
        </w:tc>
        <w:tc>
          <w:tcPr>
            <w:tcW w:w="1731" w:type="dxa"/>
            <w:tcBorders>
              <w:top w:val="nil"/>
              <w:left w:val="nil"/>
              <w:bottom w:val="nil"/>
              <w:right w:val="nil"/>
            </w:tcBorders>
            <w:vAlign w:val="center"/>
            <w:hideMark/>
          </w:tcPr>
          <w:p w14:paraId="15F4B913"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a bit bitter</w:t>
            </w:r>
          </w:p>
        </w:tc>
        <w:tc>
          <w:tcPr>
            <w:tcW w:w="941" w:type="dxa"/>
            <w:gridSpan w:val="2"/>
            <w:tcBorders>
              <w:top w:val="nil"/>
              <w:left w:val="nil"/>
              <w:bottom w:val="nil"/>
              <w:right w:val="nil"/>
            </w:tcBorders>
            <w:vAlign w:val="center"/>
            <w:hideMark/>
          </w:tcPr>
          <w:p w14:paraId="686CBCE1" w14:textId="77777777" w:rsidR="00F60FE3" w:rsidRPr="00B1191B" w:rsidRDefault="00F60FE3" w:rsidP="006432B1">
            <w:pPr>
              <w:jc w:val="both"/>
              <w:rPr>
                <w:rFonts w:ascii="Arial" w:hAnsi="Arial" w:cs="Arial"/>
                <w:color w:val="000000"/>
                <w:lang w:val="en-ID" w:eastAsia="en-ID"/>
              </w:rPr>
            </w:pPr>
          </w:p>
        </w:tc>
      </w:tr>
      <w:tr w:rsidR="00F60FE3" w:rsidRPr="00B1191B" w14:paraId="40C5E847" w14:textId="77777777" w:rsidTr="00991734">
        <w:trPr>
          <w:trHeight w:val="54"/>
          <w:jc w:val="center"/>
        </w:trPr>
        <w:tc>
          <w:tcPr>
            <w:tcW w:w="1040" w:type="dxa"/>
            <w:vMerge/>
            <w:tcBorders>
              <w:top w:val="nil"/>
              <w:left w:val="nil"/>
              <w:bottom w:val="single" w:sz="4" w:space="0" w:color="000000"/>
              <w:right w:val="nil"/>
            </w:tcBorders>
            <w:vAlign w:val="center"/>
            <w:hideMark/>
          </w:tcPr>
          <w:p w14:paraId="71DB2D97"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0070FE55"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c.     Odor</w:t>
            </w:r>
          </w:p>
        </w:tc>
        <w:tc>
          <w:tcPr>
            <w:tcW w:w="1276" w:type="dxa"/>
            <w:tcBorders>
              <w:top w:val="nil"/>
              <w:left w:val="nil"/>
              <w:bottom w:val="nil"/>
              <w:right w:val="nil"/>
            </w:tcBorders>
            <w:vAlign w:val="center"/>
            <w:hideMark/>
          </w:tcPr>
          <w:p w14:paraId="09D9BBC1"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Distinctive smell</w:t>
            </w:r>
          </w:p>
        </w:tc>
        <w:tc>
          <w:tcPr>
            <w:tcW w:w="2025" w:type="dxa"/>
            <w:gridSpan w:val="3"/>
            <w:tcBorders>
              <w:top w:val="nil"/>
              <w:left w:val="nil"/>
              <w:bottom w:val="nil"/>
              <w:right w:val="nil"/>
            </w:tcBorders>
            <w:vAlign w:val="center"/>
            <w:hideMark/>
          </w:tcPr>
          <w:p w14:paraId="0104896D"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Distinctive smell</w:t>
            </w:r>
          </w:p>
        </w:tc>
        <w:tc>
          <w:tcPr>
            <w:tcW w:w="1731" w:type="dxa"/>
            <w:tcBorders>
              <w:top w:val="nil"/>
              <w:left w:val="nil"/>
              <w:bottom w:val="nil"/>
              <w:right w:val="nil"/>
            </w:tcBorders>
            <w:vAlign w:val="center"/>
            <w:hideMark/>
          </w:tcPr>
          <w:p w14:paraId="2618BCF4" w14:textId="77777777" w:rsidR="00F60FE3" w:rsidRPr="00B1191B" w:rsidRDefault="00F60FE3" w:rsidP="006432B1">
            <w:pPr>
              <w:ind w:right="-126"/>
              <w:jc w:val="center"/>
              <w:rPr>
                <w:rFonts w:ascii="Arial" w:hAnsi="Arial" w:cs="Arial"/>
                <w:color w:val="000000"/>
                <w:lang w:val="en-ID" w:eastAsia="en-ID"/>
              </w:rPr>
            </w:pPr>
            <w:r w:rsidRPr="00B1191B">
              <w:rPr>
                <w:rFonts w:ascii="Arial" w:hAnsi="Arial" w:cs="Arial"/>
                <w:color w:val="000000"/>
                <w:lang w:eastAsia="en-ID"/>
              </w:rPr>
              <w:t>Distinctive smell</w:t>
            </w:r>
          </w:p>
        </w:tc>
        <w:tc>
          <w:tcPr>
            <w:tcW w:w="941" w:type="dxa"/>
            <w:gridSpan w:val="2"/>
            <w:tcBorders>
              <w:top w:val="nil"/>
              <w:left w:val="nil"/>
              <w:bottom w:val="nil"/>
              <w:right w:val="nil"/>
            </w:tcBorders>
            <w:vAlign w:val="center"/>
            <w:hideMark/>
          </w:tcPr>
          <w:p w14:paraId="1E15AE21" w14:textId="77777777" w:rsidR="00F60FE3" w:rsidRPr="00B1191B" w:rsidRDefault="00F60FE3" w:rsidP="006432B1">
            <w:pPr>
              <w:jc w:val="both"/>
              <w:rPr>
                <w:rFonts w:ascii="Arial" w:hAnsi="Arial" w:cs="Arial"/>
                <w:color w:val="000000"/>
                <w:lang w:val="en-ID" w:eastAsia="en-ID"/>
              </w:rPr>
            </w:pPr>
          </w:p>
        </w:tc>
      </w:tr>
      <w:tr w:rsidR="00F60FE3" w:rsidRPr="00B1191B" w14:paraId="2A29B939" w14:textId="77777777" w:rsidTr="00991734">
        <w:trPr>
          <w:trHeight w:val="54"/>
          <w:jc w:val="center"/>
        </w:trPr>
        <w:tc>
          <w:tcPr>
            <w:tcW w:w="1040" w:type="dxa"/>
            <w:vMerge/>
            <w:tcBorders>
              <w:top w:val="nil"/>
              <w:left w:val="nil"/>
              <w:bottom w:val="single" w:sz="4" w:space="0" w:color="000000"/>
              <w:right w:val="nil"/>
            </w:tcBorders>
            <w:vAlign w:val="center"/>
            <w:hideMark/>
          </w:tcPr>
          <w:p w14:paraId="036CBFCB"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noWrap/>
            <w:vAlign w:val="center"/>
            <w:hideMark/>
          </w:tcPr>
          <w:p w14:paraId="7E06739B"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Water Soluble Content (% w/w)</w:t>
            </w:r>
          </w:p>
        </w:tc>
        <w:tc>
          <w:tcPr>
            <w:tcW w:w="1276" w:type="dxa"/>
            <w:tcBorders>
              <w:top w:val="nil"/>
              <w:left w:val="nil"/>
              <w:bottom w:val="nil"/>
              <w:right w:val="nil"/>
            </w:tcBorders>
            <w:vAlign w:val="center"/>
            <w:hideMark/>
          </w:tcPr>
          <w:p w14:paraId="588E0F99"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13,16 ± 5,79</w:t>
            </w:r>
          </w:p>
        </w:tc>
        <w:tc>
          <w:tcPr>
            <w:tcW w:w="2025" w:type="dxa"/>
            <w:gridSpan w:val="3"/>
            <w:tcBorders>
              <w:top w:val="nil"/>
              <w:left w:val="nil"/>
              <w:bottom w:val="nil"/>
              <w:right w:val="nil"/>
            </w:tcBorders>
            <w:vAlign w:val="center"/>
            <w:hideMark/>
          </w:tcPr>
          <w:p w14:paraId="5CF93806"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17,28 ± 5,15</w:t>
            </w:r>
          </w:p>
        </w:tc>
        <w:tc>
          <w:tcPr>
            <w:tcW w:w="1731" w:type="dxa"/>
            <w:tcBorders>
              <w:top w:val="nil"/>
              <w:left w:val="nil"/>
              <w:bottom w:val="nil"/>
              <w:right w:val="nil"/>
            </w:tcBorders>
            <w:vAlign w:val="center"/>
            <w:hideMark/>
          </w:tcPr>
          <w:p w14:paraId="5FE7170B"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22,40 ± 13,68</w:t>
            </w:r>
          </w:p>
        </w:tc>
        <w:tc>
          <w:tcPr>
            <w:tcW w:w="941" w:type="dxa"/>
            <w:gridSpan w:val="2"/>
            <w:tcBorders>
              <w:top w:val="nil"/>
              <w:left w:val="nil"/>
              <w:bottom w:val="nil"/>
              <w:right w:val="nil"/>
            </w:tcBorders>
            <w:noWrap/>
            <w:vAlign w:val="center"/>
            <w:hideMark/>
          </w:tcPr>
          <w:p w14:paraId="3F6BEB2B" w14:textId="77777777" w:rsidR="00F60FE3" w:rsidRPr="00B1191B" w:rsidRDefault="00F60FE3" w:rsidP="006432B1">
            <w:pPr>
              <w:jc w:val="both"/>
              <w:rPr>
                <w:rFonts w:ascii="Arial" w:hAnsi="Arial" w:cs="Arial"/>
                <w:color w:val="000000"/>
                <w:lang w:val="en-ID" w:eastAsia="en-ID"/>
              </w:rPr>
            </w:pPr>
          </w:p>
        </w:tc>
      </w:tr>
      <w:tr w:rsidR="00F60FE3" w:rsidRPr="00B1191B" w14:paraId="0F05A4F1" w14:textId="77777777" w:rsidTr="00991734">
        <w:trPr>
          <w:trHeight w:val="54"/>
          <w:jc w:val="center"/>
        </w:trPr>
        <w:tc>
          <w:tcPr>
            <w:tcW w:w="1040" w:type="dxa"/>
            <w:vMerge/>
            <w:tcBorders>
              <w:top w:val="nil"/>
              <w:left w:val="nil"/>
              <w:bottom w:val="single" w:sz="4" w:space="0" w:color="000000"/>
              <w:right w:val="nil"/>
            </w:tcBorders>
            <w:vAlign w:val="center"/>
            <w:hideMark/>
          </w:tcPr>
          <w:p w14:paraId="1DB38910"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single" w:sz="4" w:space="0" w:color="auto"/>
              <w:right w:val="nil"/>
            </w:tcBorders>
            <w:noWrap/>
            <w:vAlign w:val="center"/>
            <w:hideMark/>
          </w:tcPr>
          <w:p w14:paraId="0B9DFDFD"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Ethanol Soluble Content (% w/w)</w:t>
            </w:r>
          </w:p>
        </w:tc>
        <w:tc>
          <w:tcPr>
            <w:tcW w:w="1276" w:type="dxa"/>
            <w:tcBorders>
              <w:top w:val="nil"/>
              <w:left w:val="nil"/>
              <w:bottom w:val="single" w:sz="4" w:space="0" w:color="auto"/>
              <w:right w:val="nil"/>
            </w:tcBorders>
            <w:vAlign w:val="center"/>
            <w:hideMark/>
          </w:tcPr>
          <w:p w14:paraId="472577DA"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44,18 ± 0,95</w:t>
            </w:r>
          </w:p>
        </w:tc>
        <w:tc>
          <w:tcPr>
            <w:tcW w:w="2025" w:type="dxa"/>
            <w:gridSpan w:val="3"/>
            <w:tcBorders>
              <w:top w:val="nil"/>
              <w:left w:val="nil"/>
              <w:bottom w:val="single" w:sz="4" w:space="0" w:color="auto"/>
              <w:right w:val="nil"/>
            </w:tcBorders>
            <w:vAlign w:val="center"/>
            <w:hideMark/>
          </w:tcPr>
          <w:p w14:paraId="0373AEBB"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40,41 ± 4,04</w:t>
            </w:r>
          </w:p>
        </w:tc>
        <w:tc>
          <w:tcPr>
            <w:tcW w:w="1731" w:type="dxa"/>
            <w:tcBorders>
              <w:top w:val="nil"/>
              <w:left w:val="nil"/>
              <w:bottom w:val="single" w:sz="4" w:space="0" w:color="auto"/>
              <w:right w:val="nil"/>
            </w:tcBorders>
            <w:vAlign w:val="center"/>
            <w:hideMark/>
          </w:tcPr>
          <w:p w14:paraId="0802E8D2"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25,17 ± 11,31</w:t>
            </w:r>
          </w:p>
        </w:tc>
        <w:tc>
          <w:tcPr>
            <w:tcW w:w="941" w:type="dxa"/>
            <w:gridSpan w:val="2"/>
            <w:tcBorders>
              <w:top w:val="nil"/>
              <w:left w:val="nil"/>
              <w:bottom w:val="single" w:sz="4" w:space="0" w:color="auto"/>
              <w:right w:val="nil"/>
            </w:tcBorders>
            <w:noWrap/>
            <w:vAlign w:val="center"/>
            <w:hideMark/>
          </w:tcPr>
          <w:p w14:paraId="72AA6C32" w14:textId="77777777" w:rsidR="00F60FE3" w:rsidRPr="00B1191B" w:rsidRDefault="00F60FE3" w:rsidP="006432B1">
            <w:pPr>
              <w:jc w:val="both"/>
              <w:rPr>
                <w:rFonts w:ascii="Arial" w:hAnsi="Arial" w:cs="Arial"/>
                <w:b/>
                <w:bCs/>
                <w:lang w:val="en-ID" w:eastAsia="en-ID"/>
              </w:rPr>
            </w:pPr>
            <w:r w:rsidRPr="00B1191B">
              <w:rPr>
                <w:rFonts w:ascii="Arial" w:hAnsi="Arial" w:cs="Arial"/>
                <w:b/>
                <w:bCs/>
                <w:lang w:val="en-ID" w:eastAsia="en-ID"/>
              </w:rPr>
              <w:t> </w:t>
            </w:r>
          </w:p>
        </w:tc>
      </w:tr>
      <w:tr w:rsidR="00F60FE3" w:rsidRPr="00B1191B" w14:paraId="367D0944" w14:textId="77777777" w:rsidTr="00991734">
        <w:trPr>
          <w:gridAfter w:val="1"/>
          <w:wAfter w:w="138" w:type="dxa"/>
          <w:trHeight w:val="54"/>
          <w:jc w:val="center"/>
        </w:trPr>
        <w:tc>
          <w:tcPr>
            <w:tcW w:w="1040" w:type="dxa"/>
            <w:vMerge w:val="restart"/>
            <w:tcBorders>
              <w:top w:val="nil"/>
              <w:left w:val="nil"/>
              <w:bottom w:val="nil"/>
              <w:right w:val="nil"/>
            </w:tcBorders>
            <w:vAlign w:val="center"/>
            <w:hideMark/>
          </w:tcPr>
          <w:p w14:paraId="66955EE1" w14:textId="77777777" w:rsidR="00F60FE3" w:rsidRPr="00B1191B" w:rsidRDefault="00F60FE3" w:rsidP="006432B1">
            <w:pPr>
              <w:jc w:val="both"/>
              <w:rPr>
                <w:rFonts w:ascii="Arial" w:hAnsi="Arial" w:cs="Arial"/>
                <w:color w:val="000000"/>
                <w:lang w:val="en-ID" w:eastAsia="en-ID"/>
              </w:rPr>
            </w:pPr>
            <w:r w:rsidRPr="00B1191B">
              <w:rPr>
                <w:rFonts w:ascii="Arial" w:hAnsi="Arial" w:cs="Arial"/>
                <w:color w:val="000000"/>
                <w:lang w:eastAsia="en-ID"/>
              </w:rPr>
              <w:t>Non spesific</w:t>
            </w:r>
          </w:p>
        </w:tc>
        <w:tc>
          <w:tcPr>
            <w:tcW w:w="1417" w:type="dxa"/>
            <w:tcBorders>
              <w:top w:val="nil"/>
              <w:left w:val="nil"/>
              <w:bottom w:val="nil"/>
              <w:right w:val="nil"/>
            </w:tcBorders>
            <w:vAlign w:val="center"/>
            <w:hideMark/>
          </w:tcPr>
          <w:p w14:paraId="0B65D9D3"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Loss on Drying  (%)</w:t>
            </w:r>
          </w:p>
        </w:tc>
        <w:tc>
          <w:tcPr>
            <w:tcW w:w="1545" w:type="dxa"/>
            <w:gridSpan w:val="2"/>
            <w:tcBorders>
              <w:top w:val="nil"/>
              <w:left w:val="nil"/>
              <w:bottom w:val="nil"/>
              <w:right w:val="nil"/>
            </w:tcBorders>
            <w:vAlign w:val="center"/>
            <w:hideMark/>
          </w:tcPr>
          <w:p w14:paraId="5D621F56"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t>6,69 ± 0,67</w:t>
            </w:r>
          </w:p>
        </w:tc>
        <w:tc>
          <w:tcPr>
            <w:tcW w:w="1597" w:type="dxa"/>
            <w:tcBorders>
              <w:top w:val="nil"/>
              <w:left w:val="nil"/>
              <w:bottom w:val="nil"/>
              <w:right w:val="nil"/>
            </w:tcBorders>
            <w:vAlign w:val="center"/>
            <w:hideMark/>
          </w:tcPr>
          <w:p w14:paraId="1858FC1D"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9,63 ± 0,85</w:t>
            </w:r>
          </w:p>
        </w:tc>
        <w:tc>
          <w:tcPr>
            <w:tcW w:w="1887" w:type="dxa"/>
            <w:gridSpan w:val="2"/>
            <w:tcBorders>
              <w:top w:val="nil"/>
              <w:left w:val="nil"/>
              <w:bottom w:val="nil"/>
              <w:right w:val="nil"/>
            </w:tcBorders>
            <w:vAlign w:val="center"/>
            <w:hideMark/>
          </w:tcPr>
          <w:p w14:paraId="28CC9E28"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11,56 ± 1,26</w:t>
            </w:r>
          </w:p>
        </w:tc>
        <w:tc>
          <w:tcPr>
            <w:tcW w:w="806" w:type="dxa"/>
            <w:tcBorders>
              <w:top w:val="nil"/>
              <w:left w:val="nil"/>
              <w:bottom w:val="nil"/>
              <w:right w:val="nil"/>
            </w:tcBorders>
            <w:noWrap/>
            <w:vAlign w:val="center"/>
            <w:hideMark/>
          </w:tcPr>
          <w:p w14:paraId="4CDC3228" w14:textId="1BBB633E" w:rsidR="00F60FE3" w:rsidRPr="00B1191B" w:rsidRDefault="00F60FE3" w:rsidP="006432B1">
            <w:pPr>
              <w:jc w:val="both"/>
              <w:rPr>
                <w:rFonts w:ascii="Arial" w:hAnsi="Arial" w:cs="Arial"/>
                <w:lang w:val="en-ID" w:eastAsia="en-ID"/>
              </w:rPr>
            </w:pPr>
            <w:r w:rsidRPr="00B1191B">
              <w:rPr>
                <w:rFonts w:ascii="Arial" w:hAnsi="Arial" w:cs="Arial"/>
                <w:lang w:val="en-ID" w:eastAsia="en-ID"/>
              </w:rPr>
              <w:t xml:space="preserve">≤ 10% </w:t>
            </w:r>
            <w:r w:rsidRPr="00B1191B">
              <w:rPr>
                <w:rFonts w:ascii="Arial" w:hAnsi="Arial" w:cs="Arial"/>
                <w:lang w:val="en-ID" w:eastAsia="en-ID"/>
              </w:rPr>
              <w:fldChar w:fldCharType="begin" w:fldLock="1"/>
            </w:r>
            <w:r w:rsidR="00DD5BA0">
              <w:rPr>
                <w:rFonts w:ascii="Arial" w:hAnsi="Arial" w:cs="Arial"/>
                <w:lang w:val="en-ID" w:eastAsia="en-ID"/>
              </w:rPr>
              <w:instrText>ADDIN CSL_CITATION {"citationItems":[{"id":"ITEM-1","itemData":{"ISBN":"978-602-301-380-2","author":[{"dropping-particle":"","family":"Kemenkes RI","given":"","non-dropping-particle":"","parse-names":false,"suffix":""}],"container-title":"Jakarta: Departement Kesehatan Republik Indonesia","id":"ITEM-1","issued":{"date-parts":[["2022"]]},"number-of-pages":"1-236","title":"Suplemen I Farmakope Herbal Indonesia Edisi II","type":"book"},"uris":["http://www.mendeley.com/documents/?uuid=5756bd40-3520-490e-82e7-b3d9e88d4cfb"]}],"mendeley":{"formattedCitation":"[14]","plainTextFormattedCitation":"[14]","previouslyFormattedCitation":"&lt;sup&gt;14&lt;/sup&gt;"},"properties":{"noteIndex":0},"schema":"https://github.com/citation-style-language/schema/raw/master/csl-citation.json"}</w:instrText>
            </w:r>
            <w:r w:rsidRPr="00B1191B">
              <w:rPr>
                <w:rFonts w:ascii="Arial" w:hAnsi="Arial" w:cs="Arial"/>
                <w:lang w:val="en-ID" w:eastAsia="en-ID"/>
              </w:rPr>
              <w:fldChar w:fldCharType="separate"/>
            </w:r>
            <w:r w:rsidR="00DD5BA0" w:rsidRPr="00DD5BA0">
              <w:rPr>
                <w:rFonts w:ascii="Arial" w:hAnsi="Arial" w:cs="Arial"/>
                <w:noProof/>
                <w:lang w:val="en-ID" w:eastAsia="en-ID"/>
              </w:rPr>
              <w:t>[14]</w:t>
            </w:r>
            <w:r w:rsidRPr="00B1191B">
              <w:rPr>
                <w:rFonts w:ascii="Arial" w:hAnsi="Arial" w:cs="Arial"/>
                <w:lang w:val="en-ID" w:eastAsia="en-ID"/>
              </w:rPr>
              <w:fldChar w:fldCharType="end"/>
            </w:r>
          </w:p>
        </w:tc>
      </w:tr>
      <w:tr w:rsidR="00F60FE3" w:rsidRPr="00B1191B" w14:paraId="4CAFAC7E" w14:textId="77777777" w:rsidTr="00991734">
        <w:trPr>
          <w:gridAfter w:val="1"/>
          <w:wAfter w:w="138" w:type="dxa"/>
          <w:trHeight w:val="64"/>
          <w:jc w:val="center"/>
        </w:trPr>
        <w:tc>
          <w:tcPr>
            <w:tcW w:w="1040" w:type="dxa"/>
            <w:vMerge/>
            <w:tcBorders>
              <w:top w:val="nil"/>
              <w:left w:val="nil"/>
              <w:bottom w:val="nil"/>
              <w:right w:val="nil"/>
            </w:tcBorders>
            <w:vAlign w:val="center"/>
            <w:hideMark/>
          </w:tcPr>
          <w:p w14:paraId="75D93C48"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29EA9A68"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Water Content (%)</w:t>
            </w:r>
          </w:p>
        </w:tc>
        <w:tc>
          <w:tcPr>
            <w:tcW w:w="1545" w:type="dxa"/>
            <w:gridSpan w:val="2"/>
            <w:tcBorders>
              <w:top w:val="nil"/>
              <w:left w:val="nil"/>
              <w:bottom w:val="nil"/>
              <w:right w:val="nil"/>
            </w:tcBorders>
            <w:vAlign w:val="center"/>
            <w:hideMark/>
          </w:tcPr>
          <w:p w14:paraId="28325230"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t>8,99 ± 1,57</w:t>
            </w:r>
          </w:p>
        </w:tc>
        <w:tc>
          <w:tcPr>
            <w:tcW w:w="1597" w:type="dxa"/>
            <w:tcBorders>
              <w:top w:val="nil"/>
              <w:left w:val="nil"/>
              <w:bottom w:val="nil"/>
              <w:right w:val="nil"/>
            </w:tcBorders>
            <w:vAlign w:val="center"/>
            <w:hideMark/>
          </w:tcPr>
          <w:p w14:paraId="2D87BD13"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11,29 ± 0,76</w:t>
            </w:r>
          </w:p>
        </w:tc>
        <w:tc>
          <w:tcPr>
            <w:tcW w:w="1887" w:type="dxa"/>
            <w:gridSpan w:val="2"/>
            <w:tcBorders>
              <w:top w:val="nil"/>
              <w:left w:val="nil"/>
              <w:bottom w:val="nil"/>
              <w:right w:val="nil"/>
            </w:tcBorders>
            <w:vAlign w:val="center"/>
            <w:hideMark/>
          </w:tcPr>
          <w:p w14:paraId="4B6D603D"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16,98 ± 2,73</w:t>
            </w:r>
          </w:p>
        </w:tc>
        <w:tc>
          <w:tcPr>
            <w:tcW w:w="806" w:type="dxa"/>
            <w:tcBorders>
              <w:top w:val="nil"/>
              <w:left w:val="nil"/>
              <w:bottom w:val="nil"/>
              <w:right w:val="nil"/>
            </w:tcBorders>
            <w:noWrap/>
            <w:vAlign w:val="center"/>
            <w:hideMark/>
          </w:tcPr>
          <w:p w14:paraId="3E11D1F0" w14:textId="7E09AE7C" w:rsidR="00F60FE3" w:rsidRPr="00B1191B" w:rsidRDefault="00F60FE3" w:rsidP="006432B1">
            <w:pPr>
              <w:jc w:val="both"/>
              <w:rPr>
                <w:rFonts w:ascii="Arial" w:hAnsi="Arial" w:cs="Arial"/>
                <w:lang w:val="en-ID" w:eastAsia="en-ID"/>
              </w:rPr>
            </w:pPr>
            <w:r w:rsidRPr="00B1191B">
              <w:rPr>
                <w:rFonts w:ascii="Arial" w:hAnsi="Arial" w:cs="Arial"/>
                <w:lang w:val="en-ID" w:eastAsia="en-ID"/>
              </w:rPr>
              <w:t xml:space="preserve">≤ 10% </w:t>
            </w:r>
            <w:r w:rsidRPr="00B1191B">
              <w:rPr>
                <w:rFonts w:ascii="Arial" w:hAnsi="Arial" w:cs="Arial"/>
                <w:lang w:val="en-ID" w:eastAsia="en-ID"/>
              </w:rPr>
              <w:fldChar w:fldCharType="begin" w:fldLock="1"/>
            </w:r>
            <w:r w:rsidR="00DD5BA0">
              <w:rPr>
                <w:rFonts w:ascii="Arial" w:hAnsi="Arial" w:cs="Arial"/>
                <w:lang w:val="en-ID" w:eastAsia="en-ID"/>
              </w:rPr>
              <w:instrText>ADDIN CSL_CITATION {"citationItems":[{"id":"ITEM-1","itemData":{"ISBN":"978-602-301-380-2","author":[{"dropping-particle":"","family":"Kemenkes RI","given":"","non-dropping-particle":"","parse-names":false,"suffix":""}],"container-title":"Jakarta: Departement Kesehatan Republik Indonesia","id":"ITEM-1","issued":{"date-parts":[["2022"]]},"number-of-pages":"1-236","title":"Suplemen I Farmakope Herbal Indonesia Edisi II","type":"book"},"uris":["http://www.mendeley.com/documents/?uuid=5756bd40-3520-490e-82e7-b3d9e88d4cfb"]}],"mendeley":{"formattedCitation":"[14]","plainTextFormattedCitation":"[14]","previouslyFormattedCitation":"&lt;sup&gt;14&lt;/sup&gt;"},"properties":{"noteIndex":0},"schema":"https://github.com/citation-style-language/schema/raw/master/csl-citation.json"}</w:instrText>
            </w:r>
            <w:r w:rsidRPr="00B1191B">
              <w:rPr>
                <w:rFonts w:ascii="Arial" w:hAnsi="Arial" w:cs="Arial"/>
                <w:lang w:val="en-ID" w:eastAsia="en-ID"/>
              </w:rPr>
              <w:fldChar w:fldCharType="separate"/>
            </w:r>
            <w:r w:rsidR="00DD5BA0" w:rsidRPr="00DD5BA0">
              <w:rPr>
                <w:rFonts w:ascii="Arial" w:hAnsi="Arial" w:cs="Arial"/>
                <w:noProof/>
                <w:lang w:val="en-ID" w:eastAsia="en-ID"/>
              </w:rPr>
              <w:t>[14]</w:t>
            </w:r>
            <w:r w:rsidRPr="00B1191B">
              <w:rPr>
                <w:rFonts w:ascii="Arial" w:hAnsi="Arial" w:cs="Arial"/>
                <w:lang w:val="en-ID" w:eastAsia="en-ID"/>
              </w:rPr>
              <w:fldChar w:fldCharType="end"/>
            </w:r>
          </w:p>
        </w:tc>
      </w:tr>
      <w:tr w:rsidR="00F60FE3" w:rsidRPr="00B1191B" w14:paraId="662ADCF9" w14:textId="77777777" w:rsidTr="00991734">
        <w:trPr>
          <w:gridAfter w:val="1"/>
          <w:wAfter w:w="138" w:type="dxa"/>
          <w:trHeight w:val="64"/>
          <w:jc w:val="center"/>
        </w:trPr>
        <w:tc>
          <w:tcPr>
            <w:tcW w:w="1040" w:type="dxa"/>
            <w:vMerge/>
            <w:tcBorders>
              <w:top w:val="nil"/>
              <w:left w:val="nil"/>
              <w:bottom w:val="nil"/>
              <w:right w:val="nil"/>
            </w:tcBorders>
            <w:vAlign w:val="center"/>
            <w:hideMark/>
          </w:tcPr>
          <w:p w14:paraId="0A79427B"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68F820F4"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Total Ash Content (%)</w:t>
            </w:r>
          </w:p>
        </w:tc>
        <w:tc>
          <w:tcPr>
            <w:tcW w:w="1545" w:type="dxa"/>
            <w:gridSpan w:val="2"/>
            <w:tcBorders>
              <w:top w:val="nil"/>
              <w:left w:val="nil"/>
              <w:bottom w:val="nil"/>
              <w:right w:val="nil"/>
            </w:tcBorders>
            <w:vAlign w:val="center"/>
            <w:hideMark/>
          </w:tcPr>
          <w:p w14:paraId="12151A4B"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t>7,48 ± 2,10</w:t>
            </w:r>
          </w:p>
        </w:tc>
        <w:tc>
          <w:tcPr>
            <w:tcW w:w="1597" w:type="dxa"/>
            <w:tcBorders>
              <w:top w:val="nil"/>
              <w:left w:val="nil"/>
              <w:bottom w:val="nil"/>
              <w:right w:val="nil"/>
            </w:tcBorders>
            <w:vAlign w:val="center"/>
            <w:hideMark/>
          </w:tcPr>
          <w:p w14:paraId="4E9E6711"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15,57 ± 2,32</w:t>
            </w:r>
          </w:p>
        </w:tc>
        <w:tc>
          <w:tcPr>
            <w:tcW w:w="1887" w:type="dxa"/>
            <w:gridSpan w:val="2"/>
            <w:tcBorders>
              <w:top w:val="nil"/>
              <w:left w:val="nil"/>
              <w:bottom w:val="nil"/>
              <w:right w:val="nil"/>
            </w:tcBorders>
            <w:vAlign w:val="center"/>
            <w:hideMark/>
          </w:tcPr>
          <w:p w14:paraId="2DE4DD61"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19,50 ± 5,83</w:t>
            </w:r>
          </w:p>
        </w:tc>
        <w:tc>
          <w:tcPr>
            <w:tcW w:w="806" w:type="dxa"/>
            <w:tcBorders>
              <w:top w:val="nil"/>
              <w:left w:val="nil"/>
              <w:bottom w:val="nil"/>
              <w:right w:val="nil"/>
            </w:tcBorders>
            <w:noWrap/>
            <w:vAlign w:val="center"/>
            <w:hideMark/>
          </w:tcPr>
          <w:p w14:paraId="400DA2C9" w14:textId="151F85CB" w:rsidR="00F60FE3" w:rsidRPr="00B1191B" w:rsidRDefault="00F60FE3" w:rsidP="006432B1">
            <w:pPr>
              <w:jc w:val="both"/>
              <w:rPr>
                <w:rFonts w:ascii="Arial" w:hAnsi="Arial" w:cs="Arial"/>
                <w:lang w:val="en-ID" w:eastAsia="en-ID"/>
              </w:rPr>
            </w:pPr>
            <w:r w:rsidRPr="00B1191B">
              <w:rPr>
                <w:rFonts w:ascii="Arial" w:hAnsi="Arial" w:cs="Arial"/>
                <w:lang w:val="en-ID" w:eastAsia="en-ID"/>
              </w:rPr>
              <w:t xml:space="preserve">≤ 10% </w:t>
            </w:r>
            <w:r w:rsidRPr="00B1191B">
              <w:rPr>
                <w:rFonts w:ascii="Arial" w:hAnsi="Arial" w:cs="Arial"/>
                <w:lang w:val="en-ID" w:eastAsia="en-ID"/>
              </w:rPr>
              <w:fldChar w:fldCharType="begin" w:fldLock="1"/>
            </w:r>
            <w:r w:rsidR="00DD5BA0">
              <w:rPr>
                <w:rFonts w:ascii="Arial" w:hAnsi="Arial" w:cs="Arial"/>
                <w:lang w:val="en-ID" w:eastAsia="en-ID"/>
              </w:rPr>
              <w:instrText>ADDIN CSL_CITATION {"citationItems":[{"id":"ITEM-1","itemData":{"ISBN":"978-602-301-380-2","author":[{"dropping-particle":"","family":"Kemenkes RI","given":"","non-dropping-particle":"","parse-names":false,"suffix":""}],"container-title":"Jakarta: Departement Kesehatan Republik Indonesia","id":"ITEM-1","issued":{"date-parts":[["2022"]]},"number-of-pages":"1-236","title":"Suplemen I Farmakope Herbal Indonesia Edisi II","type":"book"},"uris":["http://www.mendeley.com/documents/?uuid=5756bd40-3520-490e-82e7-b3d9e88d4cfb"]}],"mendeley":{"formattedCitation":"[14]","plainTextFormattedCitation":"[14]","previouslyFormattedCitation":"&lt;sup&gt;14&lt;/sup&gt;"},"properties":{"noteIndex":0},"schema":"https://github.com/citation-style-language/schema/raw/master/csl-citation.json"}</w:instrText>
            </w:r>
            <w:r w:rsidRPr="00B1191B">
              <w:rPr>
                <w:rFonts w:ascii="Arial" w:hAnsi="Arial" w:cs="Arial"/>
                <w:lang w:val="en-ID" w:eastAsia="en-ID"/>
              </w:rPr>
              <w:fldChar w:fldCharType="separate"/>
            </w:r>
            <w:r w:rsidR="00DD5BA0" w:rsidRPr="00DD5BA0">
              <w:rPr>
                <w:rFonts w:ascii="Arial" w:hAnsi="Arial" w:cs="Arial"/>
                <w:noProof/>
                <w:lang w:val="en-ID" w:eastAsia="en-ID"/>
              </w:rPr>
              <w:t>[14]</w:t>
            </w:r>
            <w:r w:rsidRPr="00B1191B">
              <w:rPr>
                <w:rFonts w:ascii="Arial" w:hAnsi="Arial" w:cs="Arial"/>
                <w:lang w:val="en-ID" w:eastAsia="en-ID"/>
              </w:rPr>
              <w:fldChar w:fldCharType="end"/>
            </w:r>
          </w:p>
        </w:tc>
      </w:tr>
      <w:tr w:rsidR="00F60FE3" w:rsidRPr="00B1191B" w14:paraId="3515DE47" w14:textId="77777777" w:rsidTr="00991734">
        <w:trPr>
          <w:gridAfter w:val="1"/>
          <w:wAfter w:w="138" w:type="dxa"/>
          <w:trHeight w:val="64"/>
          <w:jc w:val="center"/>
        </w:trPr>
        <w:tc>
          <w:tcPr>
            <w:tcW w:w="1040" w:type="dxa"/>
            <w:vMerge/>
            <w:tcBorders>
              <w:top w:val="nil"/>
              <w:left w:val="nil"/>
              <w:bottom w:val="nil"/>
              <w:right w:val="nil"/>
            </w:tcBorders>
            <w:vAlign w:val="center"/>
            <w:hideMark/>
          </w:tcPr>
          <w:p w14:paraId="156C2223"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70665ED8"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 xml:space="preserve">Acid </w:t>
            </w:r>
            <w:r w:rsidRPr="00B1191B">
              <w:rPr>
                <w:rFonts w:ascii="Arial" w:hAnsi="Arial" w:cs="Arial"/>
                <w:color w:val="000000"/>
                <w:lang w:eastAsia="en-ID"/>
              </w:rPr>
              <w:lastRenderedPageBreak/>
              <w:t>Insoluble Ash Content (% w/w)</w:t>
            </w:r>
          </w:p>
        </w:tc>
        <w:tc>
          <w:tcPr>
            <w:tcW w:w="1545" w:type="dxa"/>
            <w:gridSpan w:val="2"/>
            <w:tcBorders>
              <w:top w:val="nil"/>
              <w:left w:val="nil"/>
              <w:bottom w:val="nil"/>
              <w:right w:val="nil"/>
            </w:tcBorders>
            <w:vAlign w:val="center"/>
            <w:hideMark/>
          </w:tcPr>
          <w:p w14:paraId="22518546"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lastRenderedPageBreak/>
              <w:t>0,89 ± 0,50</w:t>
            </w:r>
          </w:p>
        </w:tc>
        <w:tc>
          <w:tcPr>
            <w:tcW w:w="1597" w:type="dxa"/>
            <w:tcBorders>
              <w:top w:val="nil"/>
              <w:left w:val="nil"/>
              <w:bottom w:val="nil"/>
              <w:right w:val="nil"/>
            </w:tcBorders>
            <w:vAlign w:val="center"/>
            <w:hideMark/>
          </w:tcPr>
          <w:p w14:paraId="2C728B33"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2,89 ± 0,36</w:t>
            </w:r>
          </w:p>
        </w:tc>
        <w:tc>
          <w:tcPr>
            <w:tcW w:w="1887" w:type="dxa"/>
            <w:gridSpan w:val="2"/>
            <w:tcBorders>
              <w:top w:val="nil"/>
              <w:left w:val="nil"/>
              <w:bottom w:val="nil"/>
              <w:right w:val="nil"/>
            </w:tcBorders>
            <w:vAlign w:val="center"/>
            <w:hideMark/>
          </w:tcPr>
          <w:p w14:paraId="4152E2EB"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3,47 ± 0,79</w:t>
            </w:r>
          </w:p>
        </w:tc>
        <w:tc>
          <w:tcPr>
            <w:tcW w:w="806" w:type="dxa"/>
            <w:tcBorders>
              <w:top w:val="nil"/>
              <w:left w:val="nil"/>
              <w:bottom w:val="nil"/>
              <w:right w:val="nil"/>
            </w:tcBorders>
            <w:noWrap/>
            <w:vAlign w:val="center"/>
            <w:hideMark/>
          </w:tcPr>
          <w:p w14:paraId="23D81E79" w14:textId="7B204A30" w:rsidR="00F60FE3" w:rsidRPr="00B1191B" w:rsidRDefault="00F60FE3" w:rsidP="006432B1">
            <w:pPr>
              <w:jc w:val="both"/>
              <w:rPr>
                <w:rFonts w:ascii="Arial" w:hAnsi="Arial" w:cs="Arial"/>
                <w:lang w:val="en-ID" w:eastAsia="en-ID"/>
              </w:rPr>
            </w:pPr>
            <w:r w:rsidRPr="00B1191B">
              <w:rPr>
                <w:rFonts w:ascii="Arial" w:hAnsi="Arial" w:cs="Arial"/>
                <w:lang w:val="en-ID" w:eastAsia="en-ID"/>
              </w:rPr>
              <w:t xml:space="preserve">≤ </w:t>
            </w:r>
            <w:r w:rsidRPr="00B1191B">
              <w:rPr>
                <w:rFonts w:ascii="Arial" w:hAnsi="Arial" w:cs="Arial"/>
                <w:lang w:val="en-ID" w:eastAsia="en-ID"/>
              </w:rPr>
              <w:lastRenderedPageBreak/>
              <w:t xml:space="preserve">1,6% </w:t>
            </w:r>
            <w:r w:rsidRPr="00B1191B">
              <w:rPr>
                <w:rFonts w:ascii="Arial" w:hAnsi="Arial" w:cs="Arial"/>
                <w:lang w:val="en-ID" w:eastAsia="en-ID"/>
              </w:rPr>
              <w:fldChar w:fldCharType="begin" w:fldLock="1"/>
            </w:r>
            <w:r w:rsidR="00DD5BA0">
              <w:rPr>
                <w:rFonts w:ascii="Arial" w:hAnsi="Arial" w:cs="Arial"/>
                <w:lang w:val="en-ID" w:eastAsia="en-ID"/>
              </w:rPr>
              <w:instrText>ADDIN CSL_CITATION {"citationItems":[{"id":"ITEM-1","itemData":{"ISBN":"978-602-301-380-2","author":[{"dropping-particle":"","family":"Kemenkes RI","given":"","non-dropping-particle":"","parse-names":false,"suffix":""}],"container-title":"Jakarta: Departement Kesehatan Republik Indonesia","id":"ITEM-1","issued":{"date-parts":[["2022"]]},"number-of-pages":"1-236","title":"Suplemen I Farmakope Herbal Indonesia Edisi II","type":"book"},"uris":["http://www.mendeley.com/documents/?uuid=5756bd40-3520-490e-82e7-b3d9e88d4cfb"]}],"mendeley":{"formattedCitation":"[14]","plainTextFormattedCitation":"[14]","previouslyFormattedCitation":"&lt;sup&gt;14&lt;/sup&gt;"},"properties":{"noteIndex":0},"schema":"https://github.com/citation-style-language/schema/raw/master/csl-citation.json"}</w:instrText>
            </w:r>
            <w:r w:rsidRPr="00B1191B">
              <w:rPr>
                <w:rFonts w:ascii="Arial" w:hAnsi="Arial" w:cs="Arial"/>
                <w:lang w:val="en-ID" w:eastAsia="en-ID"/>
              </w:rPr>
              <w:fldChar w:fldCharType="separate"/>
            </w:r>
            <w:r w:rsidR="00DD5BA0" w:rsidRPr="00DD5BA0">
              <w:rPr>
                <w:rFonts w:ascii="Arial" w:hAnsi="Arial" w:cs="Arial"/>
                <w:noProof/>
                <w:lang w:val="en-ID" w:eastAsia="en-ID"/>
              </w:rPr>
              <w:t>[14]</w:t>
            </w:r>
            <w:r w:rsidRPr="00B1191B">
              <w:rPr>
                <w:rFonts w:ascii="Arial" w:hAnsi="Arial" w:cs="Arial"/>
                <w:lang w:val="en-ID" w:eastAsia="en-ID"/>
              </w:rPr>
              <w:fldChar w:fldCharType="end"/>
            </w:r>
          </w:p>
        </w:tc>
      </w:tr>
      <w:tr w:rsidR="00F60FE3" w:rsidRPr="00B1191B" w14:paraId="3F88E7C1" w14:textId="77777777" w:rsidTr="00991734">
        <w:trPr>
          <w:gridAfter w:val="1"/>
          <w:wAfter w:w="138" w:type="dxa"/>
          <w:trHeight w:val="64"/>
          <w:jc w:val="center"/>
        </w:trPr>
        <w:tc>
          <w:tcPr>
            <w:tcW w:w="1040" w:type="dxa"/>
            <w:tcBorders>
              <w:top w:val="nil"/>
              <w:left w:val="nil"/>
              <w:bottom w:val="nil"/>
              <w:right w:val="nil"/>
            </w:tcBorders>
            <w:hideMark/>
          </w:tcPr>
          <w:p w14:paraId="22FD06DD" w14:textId="77777777" w:rsidR="00F60FE3" w:rsidRPr="00B1191B" w:rsidRDefault="00F60FE3" w:rsidP="006432B1">
            <w:pPr>
              <w:jc w:val="both"/>
              <w:rPr>
                <w:rFonts w:ascii="Arial" w:hAnsi="Arial" w:cs="Arial"/>
                <w:b/>
                <w:bCs/>
                <w:lang w:val="en-ID" w:eastAsia="en-ID"/>
              </w:rPr>
            </w:pPr>
          </w:p>
        </w:tc>
        <w:tc>
          <w:tcPr>
            <w:tcW w:w="1417" w:type="dxa"/>
            <w:tcBorders>
              <w:top w:val="nil"/>
              <w:left w:val="nil"/>
              <w:bottom w:val="nil"/>
              <w:right w:val="nil"/>
            </w:tcBorders>
            <w:vAlign w:val="center"/>
            <w:hideMark/>
          </w:tcPr>
          <w:p w14:paraId="5FFD012F"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Total yeast and mold (CFU/g)</w:t>
            </w:r>
          </w:p>
        </w:tc>
        <w:tc>
          <w:tcPr>
            <w:tcW w:w="1545" w:type="dxa"/>
            <w:gridSpan w:val="2"/>
            <w:tcBorders>
              <w:top w:val="nil"/>
              <w:left w:val="nil"/>
              <w:bottom w:val="nil"/>
              <w:right w:val="nil"/>
            </w:tcBorders>
            <w:vAlign w:val="center"/>
            <w:hideMark/>
          </w:tcPr>
          <w:p w14:paraId="08234B0F" w14:textId="77777777" w:rsidR="00F60FE3" w:rsidRPr="00B1191B" w:rsidRDefault="00F60FE3" w:rsidP="006432B1">
            <w:pPr>
              <w:ind w:left="-126" w:right="-95"/>
              <w:jc w:val="center"/>
              <w:rPr>
                <w:rFonts w:ascii="Arial" w:hAnsi="Arial" w:cs="Arial"/>
                <w:color w:val="000000"/>
                <w:lang w:val="en-ID" w:eastAsia="en-ID"/>
              </w:rPr>
            </w:pPr>
            <w:commentRangeStart w:id="9"/>
            <w:r w:rsidRPr="00B1191B">
              <w:rPr>
                <w:rFonts w:ascii="Arial" w:hAnsi="Arial" w:cs="Arial"/>
                <w:color w:val="000000"/>
                <w:lang w:eastAsia="en-ID"/>
              </w:rPr>
              <w:t>&lt;3,0x10</w:t>
            </w:r>
            <w:r w:rsidRPr="00B1191B">
              <w:rPr>
                <w:rFonts w:ascii="Arial" w:hAnsi="Arial" w:cs="Arial"/>
                <w:color w:val="000000"/>
                <w:vertAlign w:val="superscript"/>
                <w:lang w:eastAsia="en-ID"/>
              </w:rPr>
              <w:t>3</w:t>
            </w:r>
            <w:r w:rsidRPr="00B1191B">
              <w:rPr>
                <w:rFonts w:ascii="Arial" w:hAnsi="Arial" w:cs="Arial"/>
                <w:color w:val="000000"/>
                <w:lang w:eastAsia="en-ID"/>
              </w:rPr>
              <w:t xml:space="preserve"> (2,0x10</w:t>
            </w:r>
            <w:r w:rsidRPr="00B1191B">
              <w:rPr>
                <w:rFonts w:ascii="Arial" w:hAnsi="Arial" w:cs="Arial"/>
                <w:color w:val="000000"/>
                <w:vertAlign w:val="superscript"/>
                <w:lang w:eastAsia="en-ID"/>
              </w:rPr>
              <w:t>3</w:t>
            </w:r>
            <w:commentRangeEnd w:id="9"/>
            <w:r w:rsidR="003F2271" w:rsidRPr="00B1191B">
              <w:rPr>
                <w:rStyle w:val="CommentReference"/>
                <w:rFonts w:ascii="Arial" w:hAnsi="Arial" w:cs="Arial"/>
                <w:color w:val="000000"/>
                <w:sz w:val="20"/>
                <w:szCs w:val="20"/>
                <w:lang w:eastAsia="en-ID"/>
              </w:rPr>
              <w:commentReference w:id="9"/>
            </w:r>
            <w:r w:rsidRPr="00B1191B">
              <w:rPr>
                <w:rFonts w:ascii="Arial" w:hAnsi="Arial" w:cs="Arial"/>
                <w:color w:val="000000"/>
                <w:lang w:eastAsia="en-ID"/>
              </w:rPr>
              <w:t>)</w:t>
            </w:r>
          </w:p>
        </w:tc>
        <w:tc>
          <w:tcPr>
            <w:tcW w:w="1597" w:type="dxa"/>
            <w:tcBorders>
              <w:top w:val="nil"/>
              <w:left w:val="nil"/>
              <w:bottom w:val="nil"/>
              <w:right w:val="nil"/>
            </w:tcBorders>
            <w:vAlign w:val="center"/>
            <w:hideMark/>
          </w:tcPr>
          <w:p w14:paraId="4D032FE7"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(5,7x10</w:t>
            </w:r>
            <w:r w:rsidRPr="00B1191B">
              <w:rPr>
                <w:rFonts w:ascii="Arial" w:hAnsi="Arial" w:cs="Arial"/>
                <w:color w:val="000000"/>
                <w:vertAlign w:val="superscript"/>
                <w:lang w:eastAsia="en-ID"/>
              </w:rPr>
              <w:t>2</w:t>
            </w:r>
            <w:r w:rsidRPr="00B1191B">
              <w:rPr>
                <w:rFonts w:ascii="Arial" w:hAnsi="Arial" w:cs="Arial"/>
                <w:color w:val="000000"/>
                <w:lang w:eastAsia="en-ID"/>
              </w:rPr>
              <w:t>)</w:t>
            </w:r>
          </w:p>
        </w:tc>
        <w:tc>
          <w:tcPr>
            <w:tcW w:w="1887" w:type="dxa"/>
            <w:gridSpan w:val="2"/>
            <w:tcBorders>
              <w:top w:val="nil"/>
              <w:left w:val="nil"/>
              <w:bottom w:val="nil"/>
              <w:right w:val="nil"/>
            </w:tcBorders>
            <w:vAlign w:val="center"/>
            <w:hideMark/>
          </w:tcPr>
          <w:p w14:paraId="0E518644"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(2x10</w:t>
            </w:r>
            <w:r w:rsidRPr="00B1191B">
              <w:rPr>
                <w:rFonts w:ascii="Arial" w:hAnsi="Arial" w:cs="Arial"/>
                <w:color w:val="000000"/>
                <w:vertAlign w:val="superscript"/>
                <w:lang w:eastAsia="en-ID"/>
              </w:rPr>
              <w:t>2</w:t>
            </w:r>
            <w:r w:rsidRPr="00B1191B">
              <w:rPr>
                <w:rFonts w:ascii="Arial" w:hAnsi="Arial" w:cs="Arial"/>
                <w:color w:val="000000"/>
                <w:lang w:eastAsia="en-ID"/>
              </w:rPr>
              <w:t>)</w:t>
            </w:r>
          </w:p>
        </w:tc>
        <w:tc>
          <w:tcPr>
            <w:tcW w:w="806" w:type="dxa"/>
            <w:tcBorders>
              <w:top w:val="nil"/>
              <w:left w:val="nil"/>
              <w:bottom w:val="nil"/>
              <w:right w:val="nil"/>
            </w:tcBorders>
            <w:vAlign w:val="center"/>
            <w:hideMark/>
          </w:tcPr>
          <w:p w14:paraId="68988DE8" w14:textId="371039DA" w:rsidR="00F60FE3" w:rsidRPr="00B1191B" w:rsidRDefault="00F60FE3" w:rsidP="006432B1">
            <w:pPr>
              <w:ind w:left="-104" w:right="-107"/>
              <w:jc w:val="both"/>
              <w:rPr>
                <w:rFonts w:ascii="Arial" w:hAnsi="Arial" w:cs="Arial"/>
                <w:color w:val="000000"/>
                <w:lang w:val="en-ID" w:eastAsia="en-ID"/>
              </w:rPr>
            </w:pPr>
            <w:r w:rsidRPr="00B1191B">
              <w:rPr>
                <w:rFonts w:ascii="Arial" w:hAnsi="Arial" w:cs="Arial"/>
                <w:lang w:val="en-ID" w:eastAsia="en-ID"/>
              </w:rPr>
              <w:t>≤ 10</w:t>
            </w:r>
            <w:r w:rsidRPr="00B1191B">
              <w:rPr>
                <w:rFonts w:ascii="Arial" w:hAnsi="Arial" w:cs="Arial"/>
                <w:vertAlign w:val="superscript"/>
                <w:lang w:val="en-ID" w:eastAsia="en-ID"/>
              </w:rPr>
              <w:t>3</w:t>
            </w:r>
            <w:r w:rsidRPr="00B1191B">
              <w:rPr>
                <w:rFonts w:ascii="Arial" w:hAnsi="Arial" w:cs="Arial"/>
                <w:color w:val="000000"/>
                <w:lang w:eastAsia="en-ID"/>
              </w:rPr>
              <w:t xml:space="preserve"> CFU/g </w:t>
            </w:r>
            <w:r w:rsidRPr="00B1191B">
              <w:rPr>
                <w:rFonts w:ascii="Arial" w:hAnsi="Arial" w:cs="Arial"/>
                <w:color w:val="000000"/>
                <w:lang w:eastAsia="en-ID"/>
              </w:rPr>
              <w:fldChar w:fldCharType="begin" w:fldLock="1"/>
            </w:r>
            <w:r w:rsidR="00DD5BA0">
              <w:rPr>
                <w:rFonts w:ascii="Arial" w:hAnsi="Arial" w:cs="Arial"/>
                <w:color w:val="000000"/>
                <w:lang w:eastAsia="en-ID"/>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sidRPr="00B1191B">
              <w:rPr>
                <w:rFonts w:ascii="Arial" w:hAnsi="Arial" w:cs="Arial"/>
                <w:color w:val="000000"/>
                <w:lang w:eastAsia="en-ID"/>
              </w:rPr>
              <w:fldChar w:fldCharType="separate"/>
            </w:r>
            <w:r w:rsidR="00DD5BA0" w:rsidRPr="00DD5BA0">
              <w:rPr>
                <w:rFonts w:ascii="Arial" w:hAnsi="Arial" w:cs="Arial"/>
                <w:noProof/>
                <w:color w:val="000000"/>
                <w:lang w:eastAsia="en-ID"/>
              </w:rPr>
              <w:t>[6]</w:t>
            </w:r>
            <w:r w:rsidRPr="00B1191B">
              <w:rPr>
                <w:rFonts w:ascii="Arial" w:hAnsi="Arial" w:cs="Arial"/>
                <w:color w:val="000000"/>
                <w:lang w:eastAsia="en-ID"/>
              </w:rPr>
              <w:fldChar w:fldCharType="end"/>
            </w:r>
            <w:r w:rsidRPr="00B1191B">
              <w:rPr>
                <w:rFonts w:ascii="Arial" w:hAnsi="Arial" w:cs="Arial"/>
                <w:color w:val="000000"/>
                <w:lang w:eastAsia="en-ID"/>
              </w:rPr>
              <w:t xml:space="preserve"> </w:t>
            </w:r>
          </w:p>
        </w:tc>
      </w:tr>
      <w:tr w:rsidR="00F60FE3" w:rsidRPr="00B1191B" w14:paraId="6074D754" w14:textId="77777777" w:rsidTr="00991734">
        <w:trPr>
          <w:trHeight w:val="64"/>
          <w:jc w:val="center"/>
        </w:trPr>
        <w:tc>
          <w:tcPr>
            <w:tcW w:w="1040" w:type="dxa"/>
            <w:tcBorders>
              <w:top w:val="nil"/>
              <w:left w:val="nil"/>
              <w:bottom w:val="single" w:sz="4" w:space="0" w:color="auto"/>
              <w:right w:val="nil"/>
            </w:tcBorders>
            <w:hideMark/>
          </w:tcPr>
          <w:p w14:paraId="022FB53A" w14:textId="77777777" w:rsidR="00F60FE3" w:rsidRPr="00B1191B" w:rsidRDefault="00F60FE3" w:rsidP="006432B1">
            <w:pPr>
              <w:jc w:val="both"/>
              <w:rPr>
                <w:rFonts w:ascii="Arial" w:hAnsi="Arial" w:cs="Arial"/>
                <w:color w:val="000000"/>
                <w:lang w:val="en-ID" w:eastAsia="en-ID"/>
              </w:rPr>
            </w:pPr>
            <w:r w:rsidRPr="00B1191B">
              <w:rPr>
                <w:rFonts w:ascii="Arial" w:hAnsi="Arial" w:cs="Arial"/>
                <w:color w:val="000000"/>
                <w:lang w:val="en-ID" w:eastAsia="en-ID"/>
              </w:rPr>
              <w:t> </w:t>
            </w:r>
          </w:p>
        </w:tc>
        <w:tc>
          <w:tcPr>
            <w:tcW w:w="1417" w:type="dxa"/>
            <w:tcBorders>
              <w:top w:val="nil"/>
              <w:left w:val="nil"/>
              <w:bottom w:val="single" w:sz="4" w:space="0" w:color="auto"/>
              <w:right w:val="nil"/>
            </w:tcBorders>
            <w:vAlign w:val="center"/>
            <w:hideMark/>
          </w:tcPr>
          <w:p w14:paraId="7B482AF0"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Total plate count (CFU/g)</w:t>
            </w:r>
          </w:p>
        </w:tc>
        <w:tc>
          <w:tcPr>
            <w:tcW w:w="1276" w:type="dxa"/>
            <w:tcBorders>
              <w:top w:val="nil"/>
              <w:left w:val="nil"/>
              <w:bottom w:val="single" w:sz="4" w:space="0" w:color="auto"/>
              <w:right w:val="nil"/>
            </w:tcBorders>
            <w:vAlign w:val="center"/>
            <w:hideMark/>
          </w:tcPr>
          <w:p w14:paraId="1AA4343A" w14:textId="77777777" w:rsidR="00F60FE3" w:rsidRPr="00B1191B" w:rsidRDefault="00F60FE3" w:rsidP="006432B1">
            <w:pPr>
              <w:jc w:val="center"/>
              <w:rPr>
                <w:rFonts w:ascii="Arial" w:hAnsi="Arial" w:cs="Arial"/>
                <w:color w:val="000000"/>
                <w:lang w:val="en-ID" w:eastAsia="en-ID"/>
              </w:rPr>
            </w:pPr>
            <w:commentRangeStart w:id="10"/>
            <w:r w:rsidRPr="00B1191B">
              <w:rPr>
                <w:rFonts w:ascii="Arial" w:hAnsi="Arial" w:cs="Arial"/>
                <w:color w:val="000000"/>
                <w:lang w:eastAsia="en-ID"/>
              </w:rPr>
              <w:t>-</w:t>
            </w:r>
            <w:commentRangeEnd w:id="10"/>
            <w:r w:rsidR="003F2271" w:rsidRPr="00B1191B">
              <w:rPr>
                <w:rStyle w:val="CommentReference"/>
                <w:rFonts w:ascii="Arial" w:hAnsi="Arial" w:cs="Arial"/>
                <w:color w:val="000000"/>
                <w:sz w:val="20"/>
                <w:szCs w:val="20"/>
                <w:lang w:val="en-ID" w:eastAsia="en-ID"/>
              </w:rPr>
              <w:commentReference w:id="10"/>
            </w:r>
          </w:p>
        </w:tc>
        <w:tc>
          <w:tcPr>
            <w:tcW w:w="2025" w:type="dxa"/>
            <w:gridSpan w:val="3"/>
            <w:tcBorders>
              <w:top w:val="nil"/>
              <w:left w:val="nil"/>
              <w:bottom w:val="single" w:sz="4" w:space="0" w:color="auto"/>
              <w:right w:val="nil"/>
            </w:tcBorders>
            <w:vAlign w:val="center"/>
            <w:hideMark/>
          </w:tcPr>
          <w:p w14:paraId="28744301" w14:textId="77777777" w:rsidR="00F60FE3" w:rsidRPr="00B1191B" w:rsidRDefault="00F60FE3" w:rsidP="006432B1">
            <w:pPr>
              <w:ind w:right="-97"/>
              <w:jc w:val="center"/>
              <w:rPr>
                <w:rFonts w:ascii="Arial" w:hAnsi="Arial" w:cs="Arial"/>
                <w:color w:val="000000"/>
                <w:lang w:val="en-ID" w:eastAsia="en-ID"/>
              </w:rPr>
            </w:pPr>
            <w:commentRangeStart w:id="11"/>
            <w:r w:rsidRPr="00B1191B">
              <w:rPr>
                <w:rFonts w:ascii="Arial" w:hAnsi="Arial" w:cs="Arial"/>
                <w:color w:val="000000"/>
                <w:lang w:eastAsia="en-ID"/>
              </w:rPr>
              <w:t>&lt;3,0x10</w:t>
            </w:r>
            <w:r w:rsidRPr="00B1191B">
              <w:rPr>
                <w:rFonts w:ascii="Arial" w:hAnsi="Arial" w:cs="Arial"/>
                <w:color w:val="000000"/>
                <w:vertAlign w:val="superscript"/>
                <w:lang w:eastAsia="en-ID"/>
              </w:rPr>
              <w:t>5</w:t>
            </w:r>
            <w:r w:rsidRPr="00B1191B">
              <w:rPr>
                <w:rFonts w:ascii="Arial" w:hAnsi="Arial" w:cs="Arial"/>
                <w:color w:val="000000"/>
                <w:lang w:eastAsia="en-ID"/>
              </w:rPr>
              <w:t xml:space="preserve"> (2,0 x 10</w:t>
            </w:r>
            <w:r w:rsidRPr="00B1191B">
              <w:rPr>
                <w:rFonts w:ascii="Arial" w:hAnsi="Arial" w:cs="Arial"/>
                <w:color w:val="000000"/>
                <w:vertAlign w:val="superscript"/>
                <w:lang w:eastAsia="en-ID"/>
              </w:rPr>
              <w:t>5</w:t>
            </w:r>
            <w:r w:rsidRPr="00B1191B">
              <w:rPr>
                <w:rFonts w:ascii="Arial" w:hAnsi="Arial" w:cs="Arial"/>
                <w:color w:val="000000"/>
                <w:lang w:eastAsia="en-ID"/>
              </w:rPr>
              <w:t>)</w:t>
            </w:r>
          </w:p>
        </w:tc>
        <w:tc>
          <w:tcPr>
            <w:tcW w:w="1731" w:type="dxa"/>
            <w:tcBorders>
              <w:top w:val="nil"/>
              <w:left w:val="nil"/>
              <w:bottom w:val="single" w:sz="4" w:space="0" w:color="auto"/>
              <w:right w:val="nil"/>
            </w:tcBorders>
            <w:vAlign w:val="center"/>
            <w:hideMark/>
          </w:tcPr>
          <w:p w14:paraId="0F3B3E1B"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&lt;3,0x10</w:t>
            </w:r>
            <w:r w:rsidRPr="00B1191B">
              <w:rPr>
                <w:rFonts w:ascii="Arial" w:hAnsi="Arial" w:cs="Arial"/>
                <w:color w:val="000000"/>
                <w:vertAlign w:val="superscript"/>
                <w:lang w:eastAsia="en-ID"/>
              </w:rPr>
              <w:t>2</w:t>
            </w:r>
            <w:r w:rsidRPr="00B1191B">
              <w:rPr>
                <w:rFonts w:ascii="Arial" w:hAnsi="Arial" w:cs="Arial"/>
                <w:color w:val="000000"/>
                <w:lang w:eastAsia="en-ID"/>
              </w:rPr>
              <w:t>(2,0x10</w:t>
            </w:r>
            <w:r w:rsidRPr="00B1191B">
              <w:rPr>
                <w:rFonts w:ascii="Arial" w:hAnsi="Arial" w:cs="Arial"/>
                <w:color w:val="000000"/>
                <w:vertAlign w:val="superscript"/>
                <w:lang w:eastAsia="en-ID"/>
              </w:rPr>
              <w:t>2</w:t>
            </w:r>
            <w:r w:rsidRPr="00B1191B">
              <w:rPr>
                <w:rFonts w:ascii="Arial" w:hAnsi="Arial" w:cs="Arial"/>
                <w:color w:val="000000"/>
                <w:lang w:eastAsia="en-ID"/>
              </w:rPr>
              <w:t>)</w:t>
            </w:r>
            <w:commentRangeEnd w:id="11"/>
            <w:r w:rsidR="003F2271" w:rsidRPr="00B1191B">
              <w:rPr>
                <w:rStyle w:val="CommentReference"/>
                <w:rFonts w:ascii="Arial" w:hAnsi="Arial" w:cs="Arial"/>
                <w:color w:val="000000"/>
                <w:sz w:val="20"/>
                <w:szCs w:val="20"/>
                <w:lang w:val="en-ID" w:eastAsia="en-ID"/>
              </w:rPr>
              <w:commentReference w:id="11"/>
            </w:r>
          </w:p>
        </w:tc>
        <w:tc>
          <w:tcPr>
            <w:tcW w:w="941" w:type="dxa"/>
            <w:gridSpan w:val="2"/>
            <w:tcBorders>
              <w:top w:val="nil"/>
              <w:left w:val="nil"/>
              <w:bottom w:val="single" w:sz="4" w:space="0" w:color="auto"/>
              <w:right w:val="nil"/>
            </w:tcBorders>
            <w:vAlign w:val="center"/>
            <w:hideMark/>
          </w:tcPr>
          <w:p w14:paraId="6ECA42E2" w14:textId="311E4225" w:rsidR="00F60FE3" w:rsidRPr="00B1191B" w:rsidRDefault="00F60FE3" w:rsidP="006432B1">
            <w:pPr>
              <w:ind w:left="-104" w:right="-110"/>
              <w:jc w:val="both"/>
              <w:rPr>
                <w:rFonts w:ascii="Arial" w:hAnsi="Arial" w:cs="Arial"/>
                <w:color w:val="000000"/>
                <w:lang w:eastAsia="en-ID"/>
              </w:rPr>
            </w:pPr>
            <w:r w:rsidRPr="00B1191B">
              <w:rPr>
                <w:rFonts w:ascii="Arial" w:hAnsi="Arial" w:cs="Arial"/>
                <w:lang w:val="en-ID" w:eastAsia="en-ID"/>
              </w:rPr>
              <w:t>≤ 10</w:t>
            </w:r>
            <w:r w:rsidRPr="00B1191B">
              <w:rPr>
                <w:rFonts w:ascii="Arial" w:hAnsi="Arial" w:cs="Arial"/>
                <w:vertAlign w:val="superscript"/>
                <w:lang w:val="en-ID" w:eastAsia="en-ID"/>
              </w:rPr>
              <w:t>4</w:t>
            </w:r>
            <w:r w:rsidRPr="00B1191B">
              <w:rPr>
                <w:rFonts w:ascii="Arial" w:hAnsi="Arial" w:cs="Arial"/>
                <w:color w:val="000000"/>
                <w:lang w:eastAsia="en-ID"/>
              </w:rPr>
              <w:t xml:space="preserve"> CFU/g </w:t>
            </w:r>
            <w:r w:rsidRPr="00B1191B">
              <w:rPr>
                <w:rFonts w:ascii="Arial" w:hAnsi="Arial" w:cs="Arial"/>
                <w:color w:val="000000"/>
                <w:lang w:eastAsia="en-ID"/>
              </w:rPr>
              <w:fldChar w:fldCharType="begin" w:fldLock="1"/>
            </w:r>
            <w:r w:rsidR="00DD5BA0">
              <w:rPr>
                <w:rFonts w:ascii="Arial" w:hAnsi="Arial" w:cs="Arial"/>
                <w:color w:val="000000"/>
                <w:lang w:eastAsia="en-ID"/>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sidRPr="00B1191B">
              <w:rPr>
                <w:rFonts w:ascii="Arial" w:hAnsi="Arial" w:cs="Arial"/>
                <w:color w:val="000000"/>
                <w:lang w:eastAsia="en-ID"/>
              </w:rPr>
              <w:fldChar w:fldCharType="separate"/>
            </w:r>
            <w:r w:rsidR="00DD5BA0" w:rsidRPr="00DD5BA0">
              <w:rPr>
                <w:rFonts w:ascii="Arial" w:hAnsi="Arial" w:cs="Arial"/>
                <w:noProof/>
                <w:color w:val="000000"/>
                <w:lang w:eastAsia="en-ID"/>
              </w:rPr>
              <w:t>[6]</w:t>
            </w:r>
            <w:r w:rsidRPr="00B1191B">
              <w:rPr>
                <w:rFonts w:ascii="Arial" w:hAnsi="Arial" w:cs="Arial"/>
                <w:color w:val="000000"/>
                <w:lang w:eastAsia="en-ID"/>
              </w:rPr>
              <w:fldChar w:fldCharType="end"/>
            </w:r>
            <w:r w:rsidRPr="00B1191B">
              <w:rPr>
                <w:rFonts w:ascii="Arial" w:hAnsi="Arial" w:cs="Arial"/>
                <w:color w:val="000000"/>
                <w:lang w:eastAsia="en-ID"/>
              </w:rPr>
              <w:t xml:space="preserve"> </w:t>
            </w:r>
          </w:p>
        </w:tc>
      </w:tr>
    </w:tbl>
    <w:p w14:paraId="7D759BD6" w14:textId="77777777" w:rsidR="00F60FE3" w:rsidRPr="00B1191B" w:rsidRDefault="00F60FE3" w:rsidP="00F60FE3">
      <w:pPr>
        <w:pStyle w:val="BodyText3"/>
        <w:tabs>
          <w:tab w:val="left" w:pos="1080"/>
        </w:tabs>
        <w:spacing w:after="0"/>
        <w:jc w:val="both"/>
        <w:rPr>
          <w:rFonts w:ascii="Arial" w:hAnsi="Arial" w:cs="Arial"/>
          <w:i/>
          <w:sz w:val="18"/>
          <w:szCs w:val="18"/>
        </w:rPr>
      </w:pPr>
      <w:r w:rsidRPr="00153C60">
        <w:rPr>
          <w:rFonts w:ascii="Arial" w:hAnsi="Arial" w:cs="Arial"/>
          <w:bCs/>
          <w:i/>
          <w:sz w:val="24"/>
          <w:szCs w:val="24"/>
        </w:rPr>
        <w:tab/>
      </w:r>
      <w:r w:rsidRPr="00B1191B">
        <w:rPr>
          <w:rFonts w:ascii="Arial" w:hAnsi="Arial" w:cs="Arial"/>
          <w:bCs/>
          <w:i/>
          <w:sz w:val="18"/>
          <w:szCs w:val="18"/>
        </w:rPr>
        <w:t xml:space="preserve">*Description: </w:t>
      </w:r>
      <w:r w:rsidRPr="00B1191B">
        <w:rPr>
          <w:rFonts w:ascii="Arial" w:hAnsi="Arial" w:cs="Arial"/>
          <w:i/>
          <w:sz w:val="18"/>
          <w:szCs w:val="18"/>
        </w:rPr>
        <w:t>Value are means of triplicate determination ± Standard Deviation</w:t>
      </w:r>
    </w:p>
    <w:p w14:paraId="4B6368BF" w14:textId="5F1603D1" w:rsidR="00F60FE3" w:rsidRDefault="00F60FE3" w:rsidP="00441B6F">
      <w:pPr>
        <w:pStyle w:val="Body"/>
        <w:spacing w:after="0"/>
        <w:rPr>
          <w:rFonts w:ascii="Arial" w:hAnsi="Arial" w:cs="Arial"/>
        </w:rPr>
      </w:pPr>
    </w:p>
    <w:p w14:paraId="57CBDEB1" w14:textId="77777777" w:rsidR="006432B1" w:rsidRDefault="006432B1" w:rsidP="00F60FE3">
      <w:pPr>
        <w:jc w:val="both"/>
        <w:rPr>
          <w:rFonts w:ascii="Arial" w:hAnsi="Arial" w:cs="Arial"/>
          <w:szCs w:val="24"/>
        </w:rPr>
        <w:sectPr w:rsidR="006432B1" w:rsidSect="004239FA">
          <w:type w:val="continuous"/>
          <w:pgSz w:w="12240" w:h="15840"/>
          <w:pgMar w:top="1440" w:right="2016" w:bottom="2016" w:left="2016" w:header="720" w:footer="1123" w:gutter="0"/>
          <w:cols w:space="720"/>
          <w:titlePg/>
          <w:docGrid w:linePitch="272"/>
        </w:sectPr>
      </w:pPr>
    </w:p>
    <w:p w14:paraId="40EDA9F5" w14:textId="514B7B73" w:rsidR="00F60FE3" w:rsidRDefault="00F60FE3" w:rsidP="00F60FE3">
      <w:pPr>
        <w:jc w:val="both"/>
        <w:rPr>
          <w:rFonts w:ascii="Arial" w:hAnsi="Arial" w:cs="Arial"/>
          <w:szCs w:val="24"/>
        </w:rPr>
      </w:pPr>
      <w:commentRangeStart w:id="12"/>
      <w:r w:rsidRPr="00153C60">
        <w:rPr>
          <w:rFonts w:ascii="Arial" w:hAnsi="Arial" w:cs="Arial"/>
          <w:szCs w:val="24"/>
        </w:rPr>
        <w:t>The loss on drying aims to determine the amount of compounds lost or evaporated during the drying process. The lower the drying loss value, the better the drying process performed on the sample. This means a lower water content in the sample, reducing the likelihood of mold growth in the herbal medicine. Compounds lost during the drying process include water, essential oils, and volatile compounds</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Hasanah","given":"Norijatil","non-dropping-particle":"","parse-names":false,"suffix":""},{"dropping-particle":"","family":"Sriyono","given":"Agung","non-dropping-particle":"","parse-names":false,"suffix":""}],"id":"ITEM-1","issue":"01","issued":{"date-parts":[["2021"]]},"page":"101-110","title":"Standardisasi Simplisia dan Ekstrak Daun Matoa ( Pometia pinnata J . R Forst &amp; G . Forst ) Asal","type":"article-journal","volume":"08"},"uris":["http://www.mendeley.com/documents/?uuid=863ab47f-b5bf-4620-a56f-c9428aa2310f"]}],"mendeley":{"formattedCitation":"[15]","plainTextFormattedCitation":"[15]","previouslyFormattedCitation":"&lt;sup&gt;15&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[15]</w:t>
      </w:r>
      <w:r>
        <w:rPr>
          <w:rFonts w:ascii="Arial" w:hAnsi="Arial" w:cs="Arial"/>
          <w:szCs w:val="24"/>
        </w:rPr>
        <w:fldChar w:fldCharType="end"/>
      </w:r>
      <w:r w:rsidRPr="00153C60">
        <w:rPr>
          <w:rFonts w:ascii="Arial" w:hAnsi="Arial" w:cs="Arial"/>
          <w:szCs w:val="24"/>
        </w:rPr>
        <w:t xml:space="preserve">. The higher the water content in a material, the more susceptible the extract is to damage and decay caused by microbial growth. High water content can also cause decomposition of active compounds in the extract due to enzymatic reactions. Therefore, water content determines the quality and stability of the extract, as well as the formation of the extract preparation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Yumita","given":"Agustin","non-dropping-particle":"","parse-names":false,"suffix":""},{"dropping-particle":"","family":"Si","given":"M","non-dropping-particle":"","parse-names":false,"suffix":""},{"dropping-particle":"","family":"Rahmadini","given":"Nuriza","non-dropping-particle":"","parse-names":false,"suffix":""},{"dropping-particle":"","family":"Cmm","given":"M","non-dropping-particle":"","parse-names":false,"suffix":""},{"dropping-particle":"","family":"Dewanti","given":"Ema","non-dropping-particle":"","parse-names":false,"suffix":""},{"dropping-particle":"","family":"Si","given":"M","non-dropping-particle":"","parse-names":false,"suffix":""}],"id":"ITEM-1","issued":{"date-parts":[["2023"]]},"title":"Modul pembelajaran standarisasi obat bahan alam","type":"article-journal"},"uris":["http://www.mendeley.com/documents/?uuid=5f3389ab-e47d-4e33-bb84-ef11cac43c0e"]}],"mendeley":{"formattedCitation":"[16]","plainTextFormattedCitation":"[16]","previouslyFormattedCitation":"&lt;sup&gt;16&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[16]</w:t>
      </w:r>
      <w:r>
        <w:rPr>
          <w:rFonts w:ascii="Arial" w:hAnsi="Arial" w:cs="Arial"/>
          <w:szCs w:val="24"/>
        </w:rPr>
        <w:fldChar w:fldCharType="end"/>
      </w:r>
      <w:r>
        <w:rPr>
          <w:rFonts w:ascii="Arial" w:hAnsi="Arial" w:cs="Arial"/>
          <w:szCs w:val="24"/>
        </w:rPr>
        <w:t>.</w:t>
      </w:r>
    </w:p>
    <w:p w14:paraId="789DE9C7" w14:textId="77777777" w:rsidR="00F60FE3" w:rsidRPr="00153C60" w:rsidRDefault="00F60FE3" w:rsidP="00F60FE3">
      <w:pPr>
        <w:jc w:val="both"/>
        <w:rPr>
          <w:rFonts w:ascii="Arial" w:hAnsi="Arial" w:cs="Arial"/>
          <w:szCs w:val="24"/>
        </w:rPr>
      </w:pPr>
    </w:p>
    <w:p w14:paraId="5D1E65F6" w14:textId="464338E2" w:rsidR="00F60FE3" w:rsidRDefault="00F60FE3" w:rsidP="00F60FE3">
      <w:pPr>
        <w:jc w:val="both"/>
        <w:rPr>
          <w:rFonts w:ascii="Arial" w:hAnsi="Arial" w:cs="Arial"/>
          <w:szCs w:val="24"/>
        </w:rPr>
      </w:pPr>
      <w:r w:rsidRPr="00153C60">
        <w:rPr>
          <w:rFonts w:ascii="Arial" w:hAnsi="Arial" w:cs="Arial"/>
          <w:szCs w:val="24"/>
        </w:rPr>
        <w:t xml:space="preserve">Ash content is a that provides a general overview of the internal and external mineral content from the initial process to extract formation. At this stage, the extract is heated until the organic compounds and their derivatives are destroyed and evaporated, leaving only mineral and inorganic elements. The ash content should be low because this parameter indicates the presence of heavy metal contamination that is resistant to high temperatures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{"citationItems":[{"id":"ITEM-1","itemData":{"author":[{"dropping-particle":"","family":"R","given":"Matoa Pometia J","non-dropping-particle":"","parse-names":false,"suffix":""},{"dropping-particle":"","family":"Forst","given":"G","non-dropping-particle":"","parse-names":false,"suffix":""}],"id":"ITEM-1","issue":"1","issued":{"date-parts":[["2020"]]},"page":"1-12","title":"Pengukuran Parameter Spesifik Dan Non Spesifik Ekstrak Etanol Daun","type":"article-journal","volume":"6"},"uris":["http://www.mendeley.com/documents/?uuid=3ac198d2-aee4-4518-8413-a2f36a3ca4bc"]}],"mendeley":{"formattedCitation":"[17]","plainTextFormattedCitation":"[17]","previouslyFormattedCitation":"&lt;sup&gt;17&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[17]</w:t>
      </w:r>
      <w:r>
        <w:rPr>
          <w:rFonts w:ascii="Arial" w:hAnsi="Arial" w:cs="Arial"/>
          <w:szCs w:val="24"/>
        </w:rPr>
        <w:fldChar w:fldCharType="end"/>
      </w:r>
      <w:r>
        <w:rPr>
          <w:rFonts w:ascii="Arial" w:hAnsi="Arial" w:cs="Arial"/>
          <w:szCs w:val="24"/>
        </w:rPr>
        <w:t>.</w:t>
      </w:r>
    </w:p>
    <w:p w14:paraId="723A7325" w14:textId="77777777" w:rsidR="00F60FE3" w:rsidRPr="00153C60" w:rsidRDefault="00F60FE3" w:rsidP="00F60FE3">
      <w:pPr>
        <w:jc w:val="both"/>
        <w:rPr>
          <w:rFonts w:ascii="Arial" w:hAnsi="Arial" w:cs="Arial"/>
          <w:szCs w:val="24"/>
        </w:rPr>
      </w:pPr>
    </w:p>
    <w:p w14:paraId="4760380B" w14:textId="77777777" w:rsidR="00F60FE3" w:rsidRPr="00153C60" w:rsidRDefault="00F60FE3" w:rsidP="00F60FE3">
      <w:pPr>
        <w:jc w:val="both"/>
        <w:rPr>
          <w:rFonts w:ascii="Arial" w:hAnsi="Arial" w:cs="Arial"/>
          <w:szCs w:val="24"/>
        </w:rPr>
      </w:pPr>
      <w:r w:rsidRPr="00153C60">
        <w:rPr>
          <w:rFonts w:ascii="Arial" w:hAnsi="Arial" w:cs="Arial"/>
          <w:szCs w:val="24"/>
        </w:rPr>
        <w:t>The determination of acid-insoluble ash content indicates the presence of acid-insoluble inorganic compounds, such as soil or sand, still attached to the white mangrove medicinal herb. This can be caused by contamination from the air or from the sample processing site during the process of harvesting the fruit and turning it into powder. Ash content determination is a very important parameter in the evaluation of traditional medicinal raw materials, as it is related to the safety level of the medicinal herb as a raw material for traditional medicines.</w:t>
      </w:r>
    </w:p>
    <w:p w14:paraId="5152E386" w14:textId="77777777" w:rsidR="00F60FE3" w:rsidRDefault="00F60FE3" w:rsidP="00F60FE3">
      <w:pPr>
        <w:jc w:val="both"/>
        <w:rPr>
          <w:rFonts w:ascii="Arial" w:hAnsi="Arial" w:cs="Arial"/>
          <w:szCs w:val="24"/>
        </w:rPr>
      </w:pPr>
    </w:p>
    <w:p w14:paraId="73EF6A3D" w14:textId="439F636C" w:rsidR="00F60FE3" w:rsidRPr="00153C60" w:rsidRDefault="00F60FE3" w:rsidP="00F60FE3">
      <w:pPr>
        <w:jc w:val="both"/>
        <w:rPr>
          <w:rFonts w:ascii="Arial" w:hAnsi="Arial" w:cs="Arial"/>
          <w:szCs w:val="24"/>
        </w:rPr>
      </w:pPr>
      <w:r w:rsidRPr="00153C60">
        <w:rPr>
          <w:rFonts w:ascii="Arial" w:hAnsi="Arial" w:cs="Arial"/>
          <w:szCs w:val="24"/>
        </w:rPr>
        <w:t>The purpose of microbiological testing, including Total Plate Count (</w:t>
      </w:r>
      <w:commentRangeStart w:id="13"/>
      <w:r w:rsidRPr="00153C60">
        <w:rPr>
          <w:rFonts w:ascii="Arial" w:hAnsi="Arial" w:cs="Arial"/>
          <w:szCs w:val="24"/>
        </w:rPr>
        <w:t>ALT</w:t>
      </w:r>
      <w:commentRangeEnd w:id="13"/>
      <w:r w:rsidR="00E75B61" w:rsidRPr="00153C60">
        <w:rPr>
          <w:rStyle w:val="CommentReference"/>
          <w:rFonts w:ascii="Arial" w:hAnsi="Arial" w:cs="Arial"/>
          <w:sz w:val="20"/>
          <w:szCs w:val="24"/>
        </w:rPr>
        <w:commentReference w:id="13"/>
      </w:r>
      <w:r w:rsidRPr="00153C60">
        <w:rPr>
          <w:rFonts w:ascii="Arial" w:hAnsi="Arial" w:cs="Arial"/>
          <w:szCs w:val="24"/>
        </w:rPr>
        <w:t>) and Yeast Mold Number (YMC) testing, is to ensure that the extract does not contain pathogenic and non-pathogenic microbes and fungi exceeding the specified limits, as this affects the extract's stability and toxicity to health. Total plate count is a quantitative test to determine the number of microbes present in a sample</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[6]</w:t>
      </w:r>
      <w:r>
        <w:rPr>
          <w:rFonts w:ascii="Arial" w:hAnsi="Arial" w:cs="Arial"/>
          <w:szCs w:val="24"/>
        </w:rPr>
        <w:fldChar w:fldCharType="end"/>
      </w:r>
      <w:r w:rsidRPr="00153C60">
        <w:rPr>
          <w:rFonts w:ascii="Arial" w:hAnsi="Arial" w:cs="Arial"/>
          <w:szCs w:val="24"/>
        </w:rPr>
        <w:t>. ALT can be used as an indicator of product cleanliness, in the microbiological analysis of the finished product environment, as an indicator for process monitoring, and as a basis for estimating whether a product is acceptable or not based on its microbiological quality. Meanwhile, the Yeast Count (</w:t>
      </w:r>
      <w:r w:rsidRPr="00E75B61">
        <w:rPr>
          <w:rFonts w:ascii="Arial" w:hAnsi="Arial" w:cs="Arial"/>
          <w:szCs w:val="24"/>
          <w:highlight w:val="red"/>
        </w:rPr>
        <w:t>YAC</w:t>
      </w:r>
      <w:r w:rsidRPr="00153C60">
        <w:rPr>
          <w:rFonts w:ascii="Arial" w:hAnsi="Arial" w:cs="Arial"/>
          <w:szCs w:val="24"/>
        </w:rPr>
        <w:t xml:space="preserve">) test essentially measures fungal contamination to ensure it does not exceed established limits. Yeasts are a group of microscopic unicellular fungi that can cause human pathogens, while molds are multicellular, filamentous fungi that can also be toxic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Segal-kischinevzky","given":"Claudia","non-dropping-particle":"","parse-names":false,"suffix":""},{"dropping-particle":"","family":"Romero-aguilar","given":"Lucero","non-dropping-particle":"","parse-names":false,"suffix":""},{"dropping-particle":"","family":"Alcaraz","given":"Luis D","non-dropping-particle":"","parse-names":false,"suffix":""},{"dropping-particle":"","family":"Geovani","given":"L","non-dropping-particle":"","parse-names":false,"suffix":""},{"dropping-particle":"","family":"Mart","given":"Blanca","non-dropping-particle":"","parse-names":false,"suffix":""},{"dropping-particle":"","family":"Torres-ram","given":"Nayeli","non-dropping-particle":"","parse-names":false,"suffix":""},{"dropping-particle":"","family":"Sandoval","given":"Georgina","non-dropping-particle":"","parse-names":false,"suffix":""},{"dropping-particle":"","family":"Gonz","given":"James","non-dropping-particle":"","parse-names":false,"suffix":""}],"id":"ITEM-1","issued":{"date-parts":[["2022"]]},"title":"Yeasts Inhabiting Extreme Environments and Their Biotechnological Applications","type":"article-journal"},"uris":["http://www.mendeley.com/documents/?uuid=7f3c6682-5a92-4fed-aaab-8b46c6727e5f"]}],"mendeley":{"formattedCitation":"[18]","plainTextFormattedCitation":"[18]","previouslyFormattedCitation":"&lt;sup&gt;18&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[18]</w:t>
      </w:r>
      <w:r>
        <w:rPr>
          <w:rFonts w:ascii="Arial" w:hAnsi="Arial" w:cs="Arial"/>
          <w:szCs w:val="24"/>
        </w:rPr>
        <w:fldChar w:fldCharType="end"/>
      </w:r>
      <w:commentRangeEnd w:id="12"/>
      <w:r w:rsidR="003F2271" w:rsidRPr="00153C60">
        <w:rPr>
          <w:rStyle w:val="CommentReference"/>
          <w:rFonts w:ascii="Arial" w:hAnsi="Arial" w:cs="Arial"/>
          <w:sz w:val="20"/>
          <w:szCs w:val="24"/>
        </w:rPr>
        <w:commentReference w:id="12"/>
      </w:r>
    </w:p>
    <w:p w14:paraId="42CB88D7" w14:textId="77777777" w:rsidR="00F60FE3" w:rsidRDefault="00F60FE3" w:rsidP="00F60FE3">
      <w:pPr>
        <w:jc w:val="both"/>
        <w:rPr>
          <w:rFonts w:ascii="Arial" w:hAnsi="Arial" w:cs="Arial"/>
          <w:szCs w:val="24"/>
        </w:rPr>
      </w:pPr>
    </w:p>
    <w:p w14:paraId="154D827D" w14:textId="10FB5046" w:rsidR="00F60FE3" w:rsidRDefault="00F60FE3" w:rsidP="00F60FE3">
      <w:pPr>
        <w:jc w:val="both"/>
        <w:rPr>
          <w:rFonts w:ascii="Arial" w:hAnsi="Arial" w:cs="Arial"/>
          <w:szCs w:val="24"/>
        </w:rPr>
      </w:pPr>
      <w:r w:rsidRPr="00153C60">
        <w:rPr>
          <w:rFonts w:ascii="Arial" w:hAnsi="Arial" w:cs="Arial"/>
          <w:szCs w:val="24"/>
        </w:rPr>
        <w:t xml:space="preserve">The quality of traditional medicinal ingredients does not exceed the maximum limits for microbial contamination and mold/yeast, respectively, which are ≤10⁴ CFU/g and ≤10³ CFU/g </w:t>
      </w:r>
      <w:r>
        <w:rPr>
          <w:rFonts w:ascii="Arial" w:hAnsi="Arial" w:cs="Arial"/>
          <w:szCs w:val="24"/>
        </w:rPr>
        <w:fldChar w:fldCharType="begin" w:fldLock="1"/>
      </w:r>
      <w:r w:rsidR="00DD5BA0">
        <w:rPr>
          <w:rFonts w:ascii="Arial" w:hAnsi="Arial" w:cs="Arial"/>
          <w:szCs w:val="24"/>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[6]</w:t>
      </w:r>
      <w:r>
        <w:rPr>
          <w:rFonts w:ascii="Arial" w:hAnsi="Arial" w:cs="Arial"/>
          <w:szCs w:val="24"/>
        </w:rPr>
        <w:fldChar w:fldCharType="end"/>
      </w:r>
      <w:r>
        <w:rPr>
          <w:rFonts w:ascii="Arial" w:hAnsi="Arial" w:cs="Arial"/>
          <w:szCs w:val="24"/>
        </w:rPr>
        <w:t>.</w:t>
      </w:r>
      <w:r w:rsidRPr="00153C60">
        <w:rPr>
          <w:rFonts w:ascii="Arial" w:hAnsi="Arial" w:cs="Arial"/>
          <w:szCs w:val="24"/>
        </w:rPr>
        <w:t xml:space="preserve"> From these limits, it is clear that the results of </w:t>
      </w:r>
      <w:r w:rsidRPr="003F2271">
        <w:rPr>
          <w:rFonts w:ascii="Arial" w:hAnsi="Arial" w:cs="Arial"/>
          <w:szCs w:val="24"/>
          <w:highlight w:val="red"/>
        </w:rPr>
        <w:t>the ALT and YAC</w:t>
      </w:r>
      <w:r w:rsidRPr="00153C60">
        <w:rPr>
          <w:rFonts w:ascii="Arial" w:hAnsi="Arial" w:cs="Arial"/>
          <w:szCs w:val="24"/>
        </w:rPr>
        <w:t xml:space="preserve"> determinations in white mangrove extract </w:t>
      </w:r>
      <w:commentRangeStart w:id="14"/>
      <w:r w:rsidRPr="00153C60">
        <w:rPr>
          <w:rFonts w:ascii="Arial" w:hAnsi="Arial" w:cs="Arial"/>
          <w:szCs w:val="24"/>
        </w:rPr>
        <w:t>are below the specified requirements</w:t>
      </w:r>
      <w:commentRangeEnd w:id="14"/>
      <w:r w:rsidR="003F2271" w:rsidRPr="00153C60">
        <w:rPr>
          <w:rStyle w:val="CommentReference"/>
          <w:rFonts w:ascii="Arial" w:hAnsi="Arial" w:cs="Arial"/>
          <w:sz w:val="20"/>
          <w:szCs w:val="24"/>
        </w:rPr>
        <w:commentReference w:id="14"/>
      </w:r>
      <w:r w:rsidRPr="00153C60">
        <w:rPr>
          <w:rFonts w:ascii="Arial" w:hAnsi="Arial" w:cs="Arial"/>
          <w:szCs w:val="24"/>
        </w:rPr>
        <w:t>.</w:t>
      </w:r>
    </w:p>
    <w:p w14:paraId="5993BBD7" w14:textId="77777777" w:rsidR="00F60FE3" w:rsidRPr="00153C60" w:rsidRDefault="00F60FE3" w:rsidP="00F60FE3">
      <w:pPr>
        <w:jc w:val="both"/>
        <w:rPr>
          <w:rFonts w:ascii="Arial" w:hAnsi="Arial" w:cs="Arial"/>
          <w:szCs w:val="24"/>
        </w:rPr>
      </w:pPr>
    </w:p>
    <w:p w14:paraId="139A1D6C" w14:textId="77777777" w:rsidR="00F60FE3" w:rsidRDefault="00F60FE3" w:rsidP="00F60FE3">
      <w:pPr>
        <w:pStyle w:val="Heading3"/>
        <w:numPr>
          <w:ilvl w:val="1"/>
          <w:numId w:val="33"/>
        </w:numPr>
        <w:tabs>
          <w:tab w:val="num" w:pos="360"/>
        </w:tabs>
        <w:ind w:left="567" w:hanging="567"/>
        <w:jc w:val="both"/>
        <w:rPr>
          <w:rFonts w:ascii="Arial" w:hAnsi="Arial" w:cs="Arial"/>
          <w:b/>
          <w:bCs/>
          <w:color w:val="000000"/>
          <w:sz w:val="22"/>
          <w:szCs w:val="22"/>
        </w:rPr>
      </w:pPr>
      <w:r w:rsidRPr="00B1191B">
        <w:rPr>
          <w:rFonts w:ascii="Arial" w:hAnsi="Arial" w:cs="Arial"/>
          <w:b/>
          <w:bCs/>
          <w:color w:val="000000"/>
          <w:sz w:val="22"/>
          <w:szCs w:val="22"/>
        </w:rPr>
        <w:lastRenderedPageBreak/>
        <w:t>Total Flavanoid Content</w:t>
      </w:r>
    </w:p>
    <w:p w14:paraId="1A676472" w14:textId="77777777" w:rsidR="00F60FE3" w:rsidRPr="00257D84" w:rsidRDefault="00F60FE3" w:rsidP="00F60FE3"/>
    <w:p w14:paraId="0B852356" w14:textId="77777777" w:rsidR="00F60FE3" w:rsidRPr="00153C60" w:rsidRDefault="00F60FE3" w:rsidP="00F60FE3">
      <w:pPr>
        <w:jc w:val="both"/>
        <w:rPr>
          <w:rFonts w:ascii="Arial" w:hAnsi="Arial" w:cs="Arial"/>
          <w:szCs w:val="24"/>
        </w:rPr>
      </w:pPr>
      <w:r w:rsidRPr="00153C60">
        <w:rPr>
          <w:rFonts w:ascii="Arial" w:hAnsi="Arial" w:cs="Arial"/>
          <w:szCs w:val="24"/>
        </w:rPr>
        <w:t>The total flavonoid content in Mangkang Semarang has a higher TFC value compared to the Baros River and Teluk Awur.</w:t>
      </w:r>
    </w:p>
    <w:p w14:paraId="649484E1" w14:textId="77777777" w:rsidR="006432B1" w:rsidRDefault="006432B1" w:rsidP="00F60FE3">
      <w:pPr>
        <w:jc w:val="center"/>
        <w:rPr>
          <w:rFonts w:ascii="Arial" w:hAnsi="Arial" w:cs="Arial"/>
          <w:b/>
        </w:rPr>
        <w:sectPr w:rsidR="006432B1" w:rsidSect="004239FA">
          <w:type w:val="continuous"/>
          <w:pgSz w:w="12240" w:h="15840"/>
          <w:pgMar w:top="1440" w:right="2016" w:bottom="2016" w:left="2016" w:header="720" w:footer="1123" w:gutter="0"/>
          <w:cols w:space="720"/>
          <w:titlePg/>
          <w:docGrid w:linePitch="272"/>
        </w:sectPr>
      </w:pPr>
    </w:p>
    <w:p w14:paraId="0B3F8C5D" w14:textId="432B0611" w:rsidR="00F60FE3" w:rsidRPr="00153C60" w:rsidRDefault="00F60FE3" w:rsidP="00F60FE3">
      <w:pPr>
        <w:jc w:val="center"/>
        <w:rPr>
          <w:rFonts w:ascii="Arial" w:hAnsi="Arial" w:cs="Arial"/>
          <w:szCs w:val="24"/>
        </w:rPr>
      </w:pPr>
      <w:r w:rsidRPr="00153C60">
        <w:rPr>
          <w:rFonts w:ascii="Arial" w:hAnsi="Arial" w:cs="Arial"/>
          <w:b/>
        </w:rPr>
        <w:object w:dxaOrig="3290" w:dyaOrig="6528" w14:anchorId="0FC4C829">
          <v:shape id="_x0000_i1027" type="#_x0000_t75" style="width:159.6pt;height:240pt" o:ole="">
            <v:imagedata r:id="rId20" o:title=""/>
          </v:shape>
          <o:OLEObject Type="Embed" ProgID="Prism10.Document" ShapeID="_x0000_i1027" DrawAspect="Content" ObjectID="_1832572661" r:id="rId21"/>
        </w:object>
      </w:r>
    </w:p>
    <w:p w14:paraId="1FF8797E" w14:textId="3E8F90AE" w:rsidR="00F60FE3" w:rsidRPr="00B1191B" w:rsidRDefault="00F60FE3" w:rsidP="00F60FE3">
      <w:pPr>
        <w:ind w:left="709" w:hanging="709"/>
        <w:jc w:val="both"/>
        <w:rPr>
          <w:rFonts w:ascii="Arial" w:hAnsi="Arial" w:cs="Arial"/>
          <w:b/>
          <w:bCs/>
        </w:rPr>
      </w:pPr>
      <w:bookmarkStart w:id="15" w:name="OLE_LINK2"/>
      <w:r w:rsidRPr="00B1191B">
        <w:rPr>
          <w:rFonts w:ascii="Arial" w:hAnsi="Arial" w:cs="Arial"/>
          <w:b/>
          <w:bCs/>
        </w:rPr>
        <w:t xml:space="preserve">Figure </w:t>
      </w:r>
      <w:r w:rsidR="003150F9">
        <w:rPr>
          <w:rFonts w:ascii="Arial" w:hAnsi="Arial" w:cs="Arial"/>
          <w:b/>
          <w:bCs/>
        </w:rPr>
        <w:t>2</w:t>
      </w:r>
      <w:r w:rsidRPr="00B1191B">
        <w:rPr>
          <w:rFonts w:ascii="Arial" w:hAnsi="Arial" w:cs="Arial"/>
          <w:b/>
          <w:bCs/>
        </w:rPr>
        <w:t xml:space="preserve">: Results of Total Flavanoid levels </w:t>
      </w:r>
      <w:r w:rsidRPr="003F2271">
        <w:rPr>
          <w:rFonts w:ascii="Arial" w:hAnsi="Arial" w:cs="Arial"/>
          <w:b/>
          <w:bCs/>
          <w:highlight w:val="red"/>
        </w:rPr>
        <w:t>Test</w:t>
      </w:r>
      <w:r w:rsidRPr="00B1191B">
        <w:rPr>
          <w:rFonts w:ascii="Arial" w:hAnsi="Arial" w:cs="Arial"/>
          <w:b/>
          <w:bCs/>
        </w:rPr>
        <w:t xml:space="preserve"> Using Three </w:t>
      </w:r>
      <w:r w:rsidRPr="003F2271">
        <w:rPr>
          <w:rFonts w:ascii="Arial" w:hAnsi="Arial" w:cs="Arial"/>
          <w:b/>
          <w:bCs/>
          <w:highlight w:val="red"/>
        </w:rPr>
        <w:t>Sample</w:t>
      </w:r>
      <w:r w:rsidRPr="00B1191B">
        <w:rPr>
          <w:rFonts w:ascii="Arial" w:hAnsi="Arial" w:cs="Arial"/>
          <w:b/>
          <w:bCs/>
        </w:rPr>
        <w:t xml:space="preserve"> n= 3,  **** = &lt;0,0001 (significant)</w:t>
      </w:r>
    </w:p>
    <w:bookmarkEnd w:id="15"/>
    <w:p w14:paraId="1A59A8F9" w14:textId="77777777" w:rsidR="00F60FE3" w:rsidRDefault="00F60FE3" w:rsidP="00F60FE3">
      <w:pPr>
        <w:jc w:val="both"/>
        <w:rPr>
          <w:rFonts w:ascii="Arial" w:hAnsi="Arial" w:cs="Arial"/>
          <w:bCs/>
          <w:i/>
          <w:szCs w:val="24"/>
        </w:rPr>
        <w:sectPr w:rsidR="00F60FE3" w:rsidSect="004239FA">
          <w:type w:val="continuous"/>
          <w:pgSz w:w="12240" w:h="15840"/>
          <w:pgMar w:top="1440" w:right="2016" w:bottom="2016" w:left="2016" w:header="720" w:footer="1123" w:gutter="0"/>
          <w:cols w:space="720"/>
          <w:titlePg/>
          <w:docGrid w:linePitch="272"/>
        </w:sectPr>
      </w:pPr>
    </w:p>
    <w:p w14:paraId="7CB415E5" w14:textId="77777777" w:rsidR="00F60FE3" w:rsidRPr="00153C60" w:rsidRDefault="00F60FE3" w:rsidP="00F60FE3">
      <w:pPr>
        <w:jc w:val="both"/>
        <w:rPr>
          <w:rFonts w:ascii="Arial" w:hAnsi="Arial" w:cs="Arial"/>
          <w:bCs/>
          <w:i/>
          <w:szCs w:val="24"/>
        </w:rPr>
      </w:pPr>
    </w:p>
    <w:p w14:paraId="78ED6953" w14:textId="77777777" w:rsidR="006432B1" w:rsidRDefault="006432B1" w:rsidP="00F60FE3">
      <w:pPr>
        <w:jc w:val="both"/>
        <w:rPr>
          <w:rFonts w:ascii="Arial" w:hAnsi="Arial" w:cs="Arial"/>
          <w:szCs w:val="24"/>
        </w:rPr>
        <w:sectPr w:rsidR="006432B1" w:rsidSect="004239FA">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23B8F04C" w14:textId="47F11A33" w:rsidR="00F60FE3" w:rsidRDefault="00F60FE3" w:rsidP="00F60FE3">
      <w:pPr>
        <w:jc w:val="both"/>
        <w:rPr>
          <w:rFonts w:ascii="Arial" w:hAnsi="Arial" w:cs="Arial"/>
          <w:szCs w:val="24"/>
        </w:rPr>
      </w:pPr>
      <w:r w:rsidRPr="00153C60">
        <w:rPr>
          <w:rFonts w:ascii="Arial" w:hAnsi="Arial" w:cs="Arial"/>
          <w:szCs w:val="24"/>
        </w:rPr>
        <w:t xml:space="preserve">In Figure </w:t>
      </w:r>
      <w:r w:rsidR="003150F9">
        <w:rPr>
          <w:rFonts w:ascii="Arial" w:hAnsi="Arial" w:cs="Arial"/>
          <w:szCs w:val="24"/>
        </w:rPr>
        <w:t>2</w:t>
      </w:r>
      <w:r w:rsidRPr="00153C60">
        <w:rPr>
          <w:rFonts w:ascii="Arial" w:hAnsi="Arial" w:cs="Arial"/>
          <w:szCs w:val="24"/>
        </w:rPr>
        <w:t>, Higher flavonoid content is associated with environmental stress factors such as salinity fluctuations, tidal exposure, anthropogenic pressure, and nutrient availability, which are known to stimulate the production of secondary metabolites, including flavonoid</w:t>
      </w:r>
      <w:r>
        <w:rPr>
          <w:rFonts w:ascii="Arial" w:hAnsi="Arial" w:cs="Arial"/>
          <w:szCs w:val="24"/>
        </w:rPr>
        <w:t xml:space="preserve">s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Agati","given":"Giovanni","non-dropping-particle":"","parse-names":false,"suffix":""},{"dropping-particle":"","family":"Brunetti","given":"Cecilia","non-dropping-particle":"","parse-names":false,"suffix":""},{"dropping-particle":"","family":"Di","given":"Martina","non-dropping-particle":"","parse-names":false,"suffix":""},{"dropping-particle":"","family":"Ferrini","given":"Francesco","non-dropping-particle":"","parse-names":false,"suffix":""},{"dropping-particle":"","family":"Pollastri","given":"Susanna","non-dropping-particle":"","parse-names":false,"suffix":""},{"dropping-particle":"","family":"Tattini","given":"Massimiliano","non-dropping-particle":"","parse-names":false,"suffix":""}],"id":"ITEM-1","issued":{"date-parts":[["2013"]]},"title":"Plant Physiology and Biochemistry Functional roles of fl avonoids in photoprotection : New evidence , lessons from the past","type":"article-journal","volume":"72"},"uris":["http://www.mendeley.com/documents/?uuid=777168df-8f7f-45d5-80ad-6b387e6b301c"]}],"mendeley":{"formattedCitation":"[19]","plainTextFormattedCitation":"[19]","previouslyFormattedCitation":"&lt;sup&gt;19&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[19]</w:t>
      </w:r>
      <w:r>
        <w:rPr>
          <w:rFonts w:ascii="Arial" w:hAnsi="Arial" w:cs="Arial"/>
          <w:szCs w:val="24"/>
        </w:rPr>
        <w:fldChar w:fldCharType="end"/>
      </w:r>
      <w:r w:rsidRPr="00153C60">
        <w:rPr>
          <w:rFonts w:ascii="Arial" w:hAnsi="Arial" w:cs="Arial"/>
          <w:szCs w:val="24"/>
        </w:rPr>
        <w:t>. Mangrove plants growing under higher oxidative or ecological stress tend to enhance their defense mechanisms by synthesizing phenolic compounds with antioxidant properties</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Acharya","given":"Srinivas","non-dropping-particle":"","parse-names":false,"suffix":""},{"dropping-particle":"","family":"Pradhan","given":"Madhusmita","non-dropping-particle":"","parse-names":false,"suffix":""},{"dropping-particle":"","family":"Mahalik","given":"Gyanranjan","non-dropping-particle":"","parse-names":false,"suffix":""},{"dropping-particle":"","family":"Babu","given":"Ram","non-dropping-particle":"","parse-names":false,"suffix":""},{"dropping-particle":"","family":"Parida","given":"Sangeeta","non-dropping-particle":"","parse-names":false,"suffix":""},{"dropping-particle":"","family":"Kumar","given":"Pradipta","non-dropping-particle":"","parse-names":false,"suffix":""}],"id":"ITEM-1","issue":"x","issued":{"date-parts":[["1925"]]},"title":"e - Publishing Group Abiotic stress tolerance in mangroves with a special reference to salinity","type":"article-journal","volume":"x"},"uris":["http://www.mendeley.com/documents/?uuid=4eca9290-1cad-4b98-8f8a-d4dea32b0626"]}],"mendeley":{"formattedCitation":"[20]","plainTextFormattedCitation":"[20]","previouslyFormattedCitation":"&lt;sup&gt;20&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[20]</w:t>
      </w:r>
      <w:r>
        <w:rPr>
          <w:rFonts w:ascii="Arial" w:hAnsi="Arial" w:cs="Arial"/>
          <w:szCs w:val="24"/>
        </w:rPr>
        <w:fldChar w:fldCharType="end"/>
      </w:r>
      <w:r w:rsidRPr="00153C60">
        <w:rPr>
          <w:rFonts w:ascii="Arial" w:hAnsi="Arial" w:cs="Arial"/>
          <w:szCs w:val="24"/>
        </w:rPr>
        <w:t>. Conversely, the relatively low flavonoid content observed in the Baros River extracts may be attributed to differences in sediment composition, the influence of freshwater, and lower exposure to abiotic stressors, which may reduce the need for secondary metabolite production. Similar variations in flavonoid content among mangrove species from different habitats have been reported in previous studies, emphasizing the strong influence of environmental and ecological conditions on phytochemical profiles.</w:t>
      </w:r>
    </w:p>
    <w:p w14:paraId="08E76210" w14:textId="77777777" w:rsidR="00F60FE3" w:rsidRPr="00153C60" w:rsidRDefault="00F60FE3" w:rsidP="00F60FE3">
      <w:pPr>
        <w:ind w:firstLine="720"/>
        <w:jc w:val="both"/>
        <w:rPr>
          <w:rFonts w:ascii="Arial" w:hAnsi="Arial" w:cs="Arial"/>
          <w:szCs w:val="24"/>
        </w:rPr>
      </w:pPr>
    </w:p>
    <w:p w14:paraId="2FA9BA1C" w14:textId="6B5E0AB4" w:rsidR="00F60FE3" w:rsidRPr="00153C60" w:rsidRDefault="00F60FE3" w:rsidP="00F60FE3">
      <w:pPr>
        <w:jc w:val="both"/>
        <w:rPr>
          <w:rFonts w:ascii="Arial" w:hAnsi="Arial" w:cs="Arial"/>
          <w:szCs w:val="24"/>
        </w:rPr>
      </w:pPr>
      <w:r w:rsidRPr="00153C60">
        <w:rPr>
          <w:rFonts w:ascii="Arial" w:hAnsi="Arial" w:cs="Arial"/>
          <w:szCs w:val="24"/>
        </w:rPr>
        <w:t xml:space="preserve">Furthermore, flavonoids are known to contribute significantly to the antioxidant, anti-inflammatory, and metabolic regulatory activities of mangrove extracts. Therefore, the higher flavonoid concentration in the Mangkang Semarang extracts indicates greater potential biological activity, supporting their prospective application in pharmaceutical or nutraceutical formulations. These findings highlight the importance of selecting appropriate geographic sources to maximize the functional value of mangrove-derived bioactive compounds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Alfaridz","given":"Faizal","non-dropping-particle":"","parse-names":false,"suffix":""},{"dropping-particle":"","family":"Amalia","given":"Riezki","non-dropping-particle":"","parse-names":false,"suffix":""},{"dropping-particle":"","family":"Farmasi","given":"Fakultas","non-dropping-particle":"","parse-names":false,"suffix":""},{"dropping-particle":"","family":"Padjadjaran","given":"Universitas","non-dropping-particle":"","parse-names":false,"suffix":""},{"dropping-particle":"","family":"Barat","given":"Jawa","non-dropping-particle":"","parse-names":false,"suffix":""}],"id":"ITEM-1","issued":{"date-parts":[["2015"]]},"page":"1-9","title":"Farmaka Farmaka","type":"article-journal","volume":"16"},"uris":["http://www.mendeley.com/documents/?uuid=db6c8f82-09ea-447d-85a0-ec7f6e4cc14c"]}],"mendeley":{"formattedCitation":"[21]","plainTextFormattedCitation":"[21]","previouslyFormattedCitation":"&lt;sup&gt;21&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[21]</w:t>
      </w:r>
      <w:r>
        <w:rPr>
          <w:rFonts w:ascii="Arial" w:hAnsi="Arial" w:cs="Arial"/>
          <w:szCs w:val="24"/>
        </w:rPr>
        <w:fldChar w:fldCharType="end"/>
      </w:r>
      <w:r>
        <w:rPr>
          <w:rFonts w:ascii="Arial" w:hAnsi="Arial" w:cs="Arial"/>
          <w:szCs w:val="24"/>
        </w:rPr>
        <w:t>.</w:t>
      </w:r>
    </w:p>
    <w:p w14:paraId="7DBEF718" w14:textId="77777777" w:rsidR="00E053D0" w:rsidRDefault="00E053D0" w:rsidP="00441B6F">
      <w:pPr>
        <w:pStyle w:val="Body"/>
        <w:spacing w:after="0"/>
        <w:rPr>
          <w:rFonts w:ascii="Arial" w:hAnsi="Arial" w:cs="Arial"/>
        </w:rPr>
      </w:pPr>
    </w:p>
    <w:p w14:paraId="221A5319" w14:textId="77777777" w:rsidR="00790ADA" w:rsidRPr="00FB3A86" w:rsidRDefault="00790ADA" w:rsidP="00441B6F">
      <w:pPr>
        <w:pStyle w:val="Body"/>
        <w:spacing w:after="0"/>
        <w:rPr>
          <w:rFonts w:ascii="Arial" w:hAnsi="Arial" w:cs="Arial"/>
        </w:rPr>
      </w:pPr>
    </w:p>
    <w:p w14:paraId="66F2B7D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832061" w14:textId="77777777" w:rsidR="00790ADA" w:rsidRPr="00FB3A86" w:rsidRDefault="00790ADA" w:rsidP="00441B6F">
      <w:pPr>
        <w:pStyle w:val="ConcHead"/>
        <w:spacing w:after="0"/>
        <w:jc w:val="both"/>
        <w:rPr>
          <w:rFonts w:ascii="Arial" w:hAnsi="Arial" w:cs="Arial"/>
        </w:rPr>
      </w:pPr>
    </w:p>
    <w:p w14:paraId="3AFA200D" w14:textId="590A5F60" w:rsidR="00F60FE3" w:rsidRPr="00153C60" w:rsidRDefault="00F60FE3" w:rsidP="00F60FE3">
      <w:pPr>
        <w:jc w:val="both"/>
        <w:rPr>
          <w:rFonts w:ascii="Arial" w:hAnsi="Arial" w:cs="Arial"/>
          <w:szCs w:val="24"/>
        </w:rPr>
      </w:pPr>
      <w:commentRangeStart w:id="16"/>
      <w:r w:rsidRPr="00153C60">
        <w:rPr>
          <w:rFonts w:ascii="Arial" w:hAnsi="Arial" w:cs="Arial"/>
          <w:szCs w:val="24"/>
        </w:rPr>
        <w:t xml:space="preserve">The results of standardization of the medicinal plants and extracts, including specific parameters including organoleptic tests, soluble compounds in specific solvents, extract yield, phytochemical screening, and nonspecific parameters including drying loss, water </w:t>
      </w:r>
      <w:r w:rsidRPr="00153C60">
        <w:rPr>
          <w:rFonts w:ascii="Arial" w:hAnsi="Arial" w:cs="Arial"/>
          <w:szCs w:val="24"/>
        </w:rPr>
        <w:lastRenderedPageBreak/>
        <w:t>content, total ash content, and acid-insoluble ash content</w:t>
      </w:r>
      <w:commentRangeEnd w:id="16"/>
      <w:r w:rsidR="003F2271" w:rsidRPr="00153C60">
        <w:rPr>
          <w:rStyle w:val="CommentReference"/>
          <w:rFonts w:ascii="Arial" w:hAnsi="Arial" w:cs="Arial"/>
          <w:sz w:val="20"/>
          <w:szCs w:val="24"/>
        </w:rPr>
        <w:commentReference w:id="16"/>
      </w:r>
      <w:r w:rsidRPr="00153C60">
        <w:rPr>
          <w:rFonts w:ascii="Arial" w:hAnsi="Arial" w:cs="Arial"/>
          <w:szCs w:val="24"/>
        </w:rPr>
        <w:t>. It can be concluded that the white white mangrove fruit extract from the Mangkang area of ​​Central Java Province, Indonesia meets the requirements as a raw material</w:t>
      </w:r>
      <w:r w:rsidR="002018B9">
        <w:rPr>
          <w:rFonts w:ascii="Arial" w:hAnsi="Arial" w:cs="Arial"/>
          <w:szCs w:val="24"/>
        </w:rPr>
        <w:t xml:space="preserve"> </w:t>
      </w:r>
      <w:r w:rsidRPr="00153C60">
        <w:rPr>
          <w:rFonts w:ascii="Arial" w:hAnsi="Arial" w:cs="Arial"/>
          <w:szCs w:val="24"/>
        </w:rPr>
        <w:t>for herbal</w:t>
      </w:r>
      <w:r w:rsidR="002018B9">
        <w:rPr>
          <w:rFonts w:ascii="Arial" w:hAnsi="Arial" w:cs="Arial"/>
          <w:szCs w:val="24"/>
        </w:rPr>
        <w:t xml:space="preserve"> </w:t>
      </w:r>
      <w:r w:rsidRPr="00153C60">
        <w:rPr>
          <w:rFonts w:ascii="Arial" w:hAnsi="Arial" w:cs="Arial"/>
          <w:szCs w:val="24"/>
        </w:rPr>
        <w:t>products in</w:t>
      </w:r>
      <w:r w:rsidR="002018B9">
        <w:rPr>
          <w:rFonts w:ascii="Arial" w:hAnsi="Arial" w:cs="Arial"/>
          <w:szCs w:val="24"/>
        </w:rPr>
        <w:t xml:space="preserve"> </w:t>
      </w:r>
      <w:r w:rsidRPr="00153C60">
        <w:rPr>
          <w:rFonts w:ascii="Arial" w:hAnsi="Arial" w:cs="Arial"/>
          <w:szCs w:val="24"/>
        </w:rPr>
        <w:t>Indonesia</w:t>
      </w:r>
      <w:r w:rsidR="002018B9">
        <w:rPr>
          <w:rFonts w:ascii="Arial" w:hAnsi="Arial" w:cs="Arial"/>
          <w:szCs w:val="24"/>
        </w:rPr>
        <w:t xml:space="preserve"> </w:t>
      </w:r>
      <w:r w:rsidRPr="00153C60">
        <w:rPr>
          <w:rFonts w:ascii="Arial" w:hAnsi="Arial" w:cs="Arial"/>
          <w:szCs w:val="24"/>
        </w:rPr>
        <w:t xml:space="preserve">with a total </w:t>
      </w:r>
      <w:commentRangeStart w:id="17"/>
      <w:r w:rsidRPr="00153C60">
        <w:rPr>
          <w:rFonts w:ascii="Arial" w:hAnsi="Arial" w:cs="Arial"/>
          <w:szCs w:val="24"/>
        </w:rPr>
        <w:t>flavonoid content of 13.27 mg QE/g </w:t>
      </w:r>
      <w:commentRangeEnd w:id="17"/>
      <w:r w:rsidR="00F7306A" w:rsidRPr="00153C60">
        <w:rPr>
          <w:rStyle w:val="CommentReference"/>
          <w:rFonts w:ascii="Arial" w:hAnsi="Arial" w:cs="Arial"/>
          <w:sz w:val="20"/>
          <w:szCs w:val="24"/>
        </w:rPr>
        <w:commentReference w:id="17"/>
      </w:r>
    </w:p>
    <w:p w14:paraId="50F671EA" w14:textId="77777777" w:rsidR="00860000" w:rsidRDefault="00860000" w:rsidP="00441B6F">
      <w:pPr>
        <w:pStyle w:val="ReferHead"/>
        <w:spacing w:after="0"/>
        <w:jc w:val="both"/>
        <w:rPr>
          <w:rFonts w:ascii="Arial" w:hAnsi="Arial" w:cs="Arial"/>
        </w:rPr>
      </w:pPr>
    </w:p>
    <w:p w14:paraId="197CF17B" w14:textId="68F8A693" w:rsidR="00B01FCD" w:rsidRDefault="00B01FCD" w:rsidP="00441B6F">
      <w:pPr>
        <w:pStyle w:val="ReferHead"/>
        <w:spacing w:after="0"/>
        <w:jc w:val="both"/>
        <w:rPr>
          <w:rFonts w:ascii="Arial" w:hAnsi="Arial" w:cs="Arial"/>
        </w:rPr>
      </w:pPr>
      <w:r w:rsidRPr="00FB3A86">
        <w:rPr>
          <w:rFonts w:ascii="Arial" w:hAnsi="Arial" w:cs="Arial"/>
        </w:rPr>
        <w:t>References</w:t>
      </w:r>
    </w:p>
    <w:p w14:paraId="7AFA1423" w14:textId="4436CD73" w:rsidR="004759E2" w:rsidRPr="004759E2" w:rsidRDefault="00DD5BA0" w:rsidP="004759E2">
      <w:pPr>
        <w:widowControl w:val="0"/>
        <w:autoSpaceDE w:val="0"/>
        <w:autoSpaceDN w:val="0"/>
        <w:adjustRightInd w:val="0"/>
        <w:ind w:left="640" w:hanging="640"/>
        <w:rPr>
          <w:rFonts w:ascii="Arial" w:hAnsi="Arial" w:cs="Arial"/>
          <w:noProof/>
          <w:szCs w:val="24"/>
        </w:rPr>
      </w:pPr>
      <w:r w:rsidRPr="00526E3E">
        <w:rPr>
          <w:rFonts w:ascii="Arial" w:hAnsi="Arial" w:cs="Arial"/>
        </w:rPr>
        <w:fldChar w:fldCharType="begin" w:fldLock="1"/>
      </w:r>
      <w:r w:rsidRPr="00526E3E">
        <w:rPr>
          <w:rFonts w:ascii="Arial" w:hAnsi="Arial" w:cs="Arial"/>
        </w:rPr>
        <w:instrText xml:space="preserve">ADDIN Mendeley Bibliography CSL_BIBLIOGRAPHY </w:instrText>
      </w:r>
      <w:r w:rsidRPr="00526E3E">
        <w:rPr>
          <w:rFonts w:ascii="Arial" w:hAnsi="Arial" w:cs="Arial"/>
        </w:rPr>
        <w:fldChar w:fldCharType="separate"/>
      </w:r>
      <w:r w:rsidR="004759E2" w:rsidRPr="004759E2">
        <w:rPr>
          <w:rFonts w:ascii="Arial" w:hAnsi="Arial" w:cs="Arial"/>
          <w:noProof/>
          <w:szCs w:val="24"/>
        </w:rPr>
        <w:t xml:space="preserve">[1] </w:t>
      </w:r>
      <w:r w:rsidR="00CE0C76">
        <w:rPr>
          <w:rFonts w:ascii="Arial" w:hAnsi="Arial" w:cs="Arial"/>
          <w:noProof/>
          <w:szCs w:val="24"/>
        </w:rPr>
        <w:tab/>
      </w:r>
      <w:r w:rsidR="004759E2" w:rsidRPr="004759E2">
        <w:rPr>
          <w:rFonts w:ascii="Arial" w:hAnsi="Arial" w:cs="Arial"/>
          <w:noProof/>
          <w:szCs w:val="24"/>
        </w:rPr>
        <w:t>G. E. Manarisip, F. Fatimawa;i, and H. Rotinsulu, “Standardization of Green Betel Leaf Extract (Piper Betle L.) and Antibacterial Test Against Pseudomonas Aeruginosa,” Pharmacon, vol. 9, no. 4, p. 533, 2020, doi: 10.35799/pha.9.2020.31362.</w:t>
      </w:r>
    </w:p>
    <w:p w14:paraId="66E38E14" w14:textId="45197F5A"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 xml:space="preserve">[2] </w:t>
      </w:r>
      <w:r w:rsidR="00CE0C76">
        <w:rPr>
          <w:rFonts w:ascii="Arial" w:hAnsi="Arial" w:cs="Arial"/>
          <w:noProof/>
          <w:szCs w:val="24"/>
        </w:rPr>
        <w:tab/>
      </w:r>
      <w:r w:rsidRPr="004759E2">
        <w:rPr>
          <w:rFonts w:ascii="Arial" w:hAnsi="Arial" w:cs="Arial"/>
          <w:noProof/>
          <w:szCs w:val="24"/>
        </w:rPr>
        <w:t>A. Najib, A. Malik, A. R. Ahmad, V. Handayani, R. A. Syarif, and R. Waris, “Standardization of Water Extract of Jati Belanda Leaves and Green Tea,” J. Phytopharmaca Indones., vol. 4, no. 2, pp. 241–245, 2017, doi: 10.33096/jffi.v4i2.268.</w:t>
      </w:r>
    </w:p>
    <w:p w14:paraId="42CE8FC6" w14:textId="526B6420"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 xml:space="preserve">[3] </w:t>
      </w:r>
      <w:r w:rsidR="00CE0C76">
        <w:rPr>
          <w:rFonts w:ascii="Arial" w:hAnsi="Arial" w:cs="Arial"/>
          <w:noProof/>
          <w:szCs w:val="24"/>
        </w:rPr>
        <w:tab/>
      </w:r>
      <w:r w:rsidRPr="004759E2">
        <w:rPr>
          <w:rFonts w:ascii="Arial" w:hAnsi="Arial" w:cs="Arial"/>
          <w:noProof/>
          <w:szCs w:val="24"/>
        </w:rPr>
        <w:t>S. Baba, H. T. Chan, N. Oshiro, G. S. Maxwell, T. Inoue, and E. W. C. Chan, “Botany, uses, chemistry and bioactivities of mangrove plants IV: Avicennia marina,” ISME/GLOMIS Electron. J., vol. 14, no. 2, pp. 5–10, 2016.</w:t>
      </w:r>
    </w:p>
    <w:p w14:paraId="096E7819" w14:textId="5FE436D5"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 xml:space="preserve">[4] </w:t>
      </w:r>
      <w:r w:rsidR="00CE0C76">
        <w:rPr>
          <w:rFonts w:ascii="Arial" w:hAnsi="Arial" w:cs="Arial"/>
          <w:noProof/>
          <w:szCs w:val="24"/>
        </w:rPr>
        <w:tab/>
      </w:r>
      <w:r w:rsidRPr="004759E2">
        <w:rPr>
          <w:rFonts w:ascii="Arial" w:hAnsi="Arial" w:cs="Arial"/>
          <w:noProof/>
          <w:szCs w:val="24"/>
        </w:rPr>
        <w:t>C. Budastra, T. Ulya, S. A. I. Maulidya, I. Purnomo, B. R. W. Lisnasari, and L. Permatasari, "Literature Review: Exploration of Bioactive Components of Avicennia marina and Its Biological Activities," J. Biol. Trop., vol. 24, no. 1b, pp. 474–481, Dec. 2024, doi: 10.29303/jbt.v24i1b.7987.</w:t>
      </w:r>
    </w:p>
    <w:p w14:paraId="6E021066" w14:textId="78A98CED"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[5]</w:t>
      </w:r>
      <w:r w:rsidR="00CE0C76">
        <w:rPr>
          <w:rFonts w:ascii="Arial" w:hAnsi="Arial" w:cs="Arial"/>
          <w:noProof/>
          <w:szCs w:val="24"/>
        </w:rPr>
        <w:tab/>
      </w:r>
      <w:r w:rsidRPr="004759E2">
        <w:rPr>
          <w:rFonts w:ascii="Arial" w:hAnsi="Arial" w:cs="Arial"/>
          <w:noProof/>
          <w:szCs w:val="24"/>
        </w:rPr>
        <w:t xml:space="preserve"> D. H. S. Palupi, S. Haryanti, and R. S. Prahasiwi, Masitoh Suryaning Utomo, “Dipeptidyl peptidase-4 (DPP-4) Inhibitory Activity and Phytochemical Screening of Api-api Fruit Extract (Avicennia marina),” vol. 10, no. 1, pp. 100–113, 2025.</w:t>
      </w:r>
    </w:p>
    <w:p w14:paraId="603C1788"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[6] D. R. Ditjen POM, “General standard parameters of medicinal plant extracts, Jakarta: Ministry of Health of the Republic of Indonesia,” Ed. IV, pp. 9–11, 16, 2000.</w:t>
      </w:r>
    </w:p>
    <w:p w14:paraId="7C5FAD9F"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[7] A. Permata and S. Fadila, “Gel formulation of moringa leaf extract (Moringa oleifera Lam.) and test of preparation characteristics and microbiological contamination test,” pp. 308–315, 2024.</w:t>
      </w:r>
    </w:p>
    <w:p w14:paraId="7D949835"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[8] A. M. Wilujeng D, “Determination of Total Phenolics, Total Flavonoids, and Antioxidants of Bawang Lanang (Allium sativum L.) Extract,” vol. 10, no. 3, pp. 295–306, 2021.</w:t>
      </w:r>
    </w:p>
    <w:p w14:paraId="48A01560"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[9] R. Muthia et al., “Standardization of eleutherine bulbosa urb. bulbs and total flavonoid content from three locations in Kalimantan, Indonesia,” Pharmacogn. J., vol. 13, no. 1, pp. 73–80, 2021, doi: 10.5530/pj.2021.13.11.</w:t>
      </w:r>
    </w:p>
    <w:p w14:paraId="4060E1E9"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[10] Z. Zainab, N. Sulistyani, and A. Anisaningrum, “Determination of Non-Specific and Specific Standardization Parameters of Henna Leaf Extract (Lawsonia inermis L.),” Media Farm. J. Farm Sciences., vol. 13, no. 2, p. 212, 2016, doi: 10.12928/mf.v13i2.7773.</w:t>
      </w:r>
    </w:p>
    <w:p w14:paraId="5FC77FE9"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[11] J. R. Shaikh, “Qualitative tests for preliminary phytochemical screening: An overview,” vol. 8, no. 2, pp. 603–608, 2020.</w:t>
      </w:r>
    </w:p>
    <w:p w14:paraId="0382E670"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[12] Y. B. Permadi, S. Sedjati, and E. Supriyantini, “Influence of Water Soaking Time on the Nutrient Content of Mangrove Fruit Flour (Avicenia marina),” vol. 1, pp. 39–47, 2012.</w:t>
      </w:r>
    </w:p>
    <w:p w14:paraId="4FCF1387"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[13] Y. P. Utami, A. H. Umar, R. Syahruni, and I. Kadullah, “Standardization of Simplicia and Ethanol Extract of Leilem (Clerodendrum) Leaves,” J. Pharm. Med. Sci., vol. 2, no. 1, pp. 32–39, 2017.</w:t>
      </w:r>
    </w:p>
    <w:p w14:paraId="562D0EC3"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[14] Ministry of Health of the Republic of Indonesia, Supplement I of the Indonesian Herbal Pharmacopoeia, Edition II. 2022.</w:t>
      </w:r>
    </w:p>
    <w:p w14:paraId="199C3E30"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[15] N. Hasanah and A. Sriyono, “Standardization of Simplicia and Ethanol Extract of Matoa (Pometia pinnata J. R. Forst &amp; G. Forst) Leaves,” vol. 08, no. 01, pp. 101–110, 2021.</w:t>
      </w:r>
    </w:p>
    <w:p w14:paraId="1A0A67C5"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[16] A. Yumita, M. Si, N. Rahmadini, M. Cmm, E. Dewanti, and M. Si, “Learning Module for Standardization of Natural Medicines,” 2023.</w:t>
      </w:r>
    </w:p>
    <w:p w14:paraId="1C3BAA1D"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[17] M. P. J. R and G. Forst, “Measurement of Specific and Nonspecific Parameters of Ethanol Extract of Leaves,” vol. 6, no. 1, pp. 1–12, 2020.</w:t>
      </w:r>
    </w:p>
    <w:p w14:paraId="37F9E131"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lastRenderedPageBreak/>
        <w:t>[18] C. Segal-kischinevzky et al., “Yeasts Inhabiting Extreme Environments and Their Biotechnological Applications,” 2022.</w:t>
      </w:r>
    </w:p>
    <w:p w14:paraId="0840F9A8"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[19] G. Agati, C. Brunetti, M. Di, F. Ferrini, S. Pollastri, and M. Tattini, “Plant Physiology and Biochemistry: Functional roles of flavonoids in photoprotection: New evidence, lessons from the past,” vol. 72, 2013.</w:t>
      </w:r>
    </w:p>
    <w:p w14:paraId="3FB6683D"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[20] S. Acharya, M. Pradhan, G. Mahalik, R. Babu, S. Parida, and P. Kumar, “e - Publishing Group Abiotic stress tolerance in mangroves with a special reference to salinity,” vol. x, no. x, 1925.</w:t>
      </w:r>
    </w:p>
    <w:p w14:paraId="28260FE4" w14:textId="53C9CD91" w:rsidR="00DD5BA0" w:rsidRPr="00DD5BA0" w:rsidRDefault="004759E2" w:rsidP="004759E2">
      <w:pPr>
        <w:widowControl w:val="0"/>
        <w:autoSpaceDE w:val="0"/>
        <w:autoSpaceDN w:val="0"/>
        <w:adjustRightInd w:val="0"/>
        <w:ind w:left="640" w:hanging="640"/>
        <w:rPr>
          <w:rFonts w:ascii="Arial" w:hAnsi="Arial" w:cs="Arial"/>
          <w:noProof/>
        </w:rPr>
      </w:pPr>
      <w:r w:rsidRPr="004759E2">
        <w:rPr>
          <w:rFonts w:ascii="Arial" w:hAnsi="Arial" w:cs="Arial"/>
          <w:noProof/>
          <w:szCs w:val="24"/>
        </w:rPr>
        <w:t>[21] F. Alfaridz, R. Amalia, F. Farmasi, U. Padjadjaran, and J. Barat, "Farmaka Farmaka," vol. 16, pp. 1–9, 2015.</w:t>
      </w:r>
    </w:p>
    <w:p w14:paraId="5A9A1141" w14:textId="760D6E47" w:rsidR="004D4277" w:rsidRPr="006432B1" w:rsidRDefault="00DD5BA0" w:rsidP="006432B1">
      <w:pPr>
        <w:pStyle w:val="ReferHead"/>
        <w:spacing w:after="0"/>
        <w:jc w:val="both"/>
        <w:rPr>
          <w:rFonts w:ascii="Arial" w:hAnsi="Arial" w:cs="Arial"/>
        </w:rPr>
        <w:sectPr w:rsidR="004D4277" w:rsidRPr="006432B1" w:rsidSect="004239FA">
          <w:type w:val="continuous"/>
          <w:pgSz w:w="12240" w:h="15840"/>
          <w:pgMar w:top="1440" w:right="2016" w:bottom="2016" w:left="2016" w:header="720" w:footer="1123" w:gutter="0"/>
          <w:cols w:space="720"/>
          <w:docGrid w:linePitch="272"/>
        </w:sectPr>
      </w:pPr>
      <w:r w:rsidRPr="00526E3E">
        <w:rPr>
          <w:rFonts w:ascii="Arial" w:hAnsi="Arial" w:cs="Arial"/>
        </w:rPr>
        <w:fldChar w:fldCharType="end"/>
      </w:r>
    </w:p>
    <w:p w14:paraId="6394D05D" w14:textId="77777777" w:rsidR="00B01FCD" w:rsidRPr="00FB3A86" w:rsidRDefault="00B01FCD" w:rsidP="00441B6F">
      <w:pPr>
        <w:pStyle w:val="Appendix"/>
        <w:spacing w:after="0"/>
        <w:jc w:val="both"/>
        <w:rPr>
          <w:rFonts w:ascii="Arial" w:hAnsi="Arial" w:cs="Arial"/>
          <w:b w:val="0"/>
        </w:rPr>
      </w:pPr>
    </w:p>
    <w:sectPr w:rsidR="00B01FCD" w:rsidRPr="00FB3A86" w:rsidSect="004239F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gnes Anania Triavika Sahamastuti" w:date="2026-02-14T10:21:00Z" w:initials="AT">
    <w:p w14:paraId="770C7E5B" w14:textId="77777777" w:rsidR="00122C5F" w:rsidRDefault="00122C5F" w:rsidP="00122C5F">
      <w:pPr>
        <w:pStyle w:val="CommentText"/>
      </w:pPr>
      <w:r>
        <w:rPr>
          <w:rStyle w:val="CommentReference"/>
        </w:rPr>
        <w:annotationRef/>
      </w:r>
      <w:r>
        <w:t>Should be written in Italic</w:t>
      </w:r>
    </w:p>
  </w:comment>
  <w:comment w:id="1" w:author="Agnes Anania Triavika Sahamastuti" w:date="2026-02-14T10:21:00Z" w:initials="AT">
    <w:p w14:paraId="376F3A1C" w14:textId="77777777" w:rsidR="00122C5F" w:rsidRDefault="00122C5F" w:rsidP="00122C5F">
      <w:pPr>
        <w:pStyle w:val="CommentText"/>
      </w:pPr>
      <w:r>
        <w:rPr>
          <w:rStyle w:val="CommentReference"/>
        </w:rPr>
        <w:annotationRef/>
      </w:r>
      <w:r>
        <w:t>Should be written in Italic</w:t>
      </w:r>
    </w:p>
  </w:comment>
  <w:comment w:id="3" w:author="Agnes Anania Triavika Sahamastuti" w:date="2026-02-14T10:30:00Z" w:initials="AT">
    <w:p w14:paraId="71ED397D" w14:textId="77777777" w:rsidR="00122C5F" w:rsidRDefault="00122C5F" w:rsidP="00122C5F">
      <w:pPr>
        <w:pStyle w:val="CommentText"/>
      </w:pPr>
      <w:r>
        <w:rPr>
          <w:rStyle w:val="CommentReference"/>
        </w:rPr>
        <w:annotationRef/>
      </w:r>
      <w:r>
        <w:t>Did you perform plant determination?</w:t>
      </w:r>
    </w:p>
  </w:comment>
  <w:comment w:id="4" w:author="Agnes Anania Triavika Sahamastuti" w:date="2026-02-14T10:52:00Z" w:initials="AT">
    <w:p w14:paraId="2A5CB425" w14:textId="77777777" w:rsidR="00E75B61" w:rsidRDefault="00E75B61" w:rsidP="00E75B61">
      <w:pPr>
        <w:pStyle w:val="CommentText"/>
      </w:pPr>
      <w:r>
        <w:rPr>
          <w:rStyle w:val="CommentReference"/>
        </w:rPr>
        <w:annotationRef/>
      </w:r>
      <w:r>
        <w:t>No method written for phytochemical screening</w:t>
      </w:r>
    </w:p>
  </w:comment>
  <w:comment w:id="5" w:author="Agnes Anania Triavika Sahamastuti" w:date="2026-02-14T10:38:00Z" w:initials="AT">
    <w:p w14:paraId="7D645657" w14:textId="77777777" w:rsidR="00122C5F" w:rsidRDefault="00122C5F" w:rsidP="00122C5F">
      <w:pPr>
        <w:pStyle w:val="CommentText"/>
      </w:pPr>
      <w:r>
        <w:rPr>
          <w:rStyle w:val="CommentReference"/>
        </w:rPr>
        <w:annotationRef/>
      </w:r>
      <w:r>
        <w:t>Only CHCl3?</w:t>
      </w:r>
    </w:p>
  </w:comment>
  <w:comment w:id="6" w:author="Agnes Anania Triavika Sahamastuti" w:date="2026-02-14T10:51:00Z" w:initials="AT">
    <w:p w14:paraId="5F3D957F" w14:textId="77777777" w:rsidR="00E75B61" w:rsidRDefault="00E75B61" w:rsidP="00E75B61">
      <w:pPr>
        <w:pStyle w:val="CommentText"/>
      </w:pPr>
      <w:r>
        <w:rPr>
          <w:rStyle w:val="CommentReference"/>
        </w:rPr>
        <w:annotationRef/>
      </w:r>
      <w:r>
        <w:t>Please explain basic differences between those 3 locations!  Why do you think this research is necessary to be done for those 3 areas?</w:t>
      </w:r>
    </w:p>
  </w:comment>
  <w:comment w:id="7" w:author="Agnes Anania Triavika Sahamastuti" w:date="2026-02-14T10:55:00Z" w:initials="AT">
    <w:p w14:paraId="23EAE58D" w14:textId="77777777" w:rsidR="00E75B61" w:rsidRDefault="00E75B61" w:rsidP="00E75B61">
      <w:pPr>
        <w:pStyle w:val="CommentText"/>
      </w:pPr>
      <w:r>
        <w:rPr>
          <w:rStyle w:val="CommentReference"/>
        </w:rPr>
        <w:annotationRef/>
      </w:r>
      <w:r>
        <w:t>Semi polar</w:t>
      </w:r>
    </w:p>
  </w:comment>
  <w:comment w:id="8" w:author="Agnes Anania Triavika Sahamastuti" w:date="2026-02-14T10:58:00Z" w:initials="AT">
    <w:p w14:paraId="672E6564" w14:textId="77777777" w:rsidR="00E75B61" w:rsidRDefault="00E75B61" w:rsidP="00E75B61">
      <w:pPr>
        <w:pStyle w:val="CommentText"/>
      </w:pPr>
      <w:r>
        <w:rPr>
          <w:rStyle w:val="CommentReference"/>
        </w:rPr>
        <w:annotationRef/>
      </w:r>
      <w:r>
        <w:t>Better to write: standard or requirements</w:t>
      </w:r>
    </w:p>
  </w:comment>
  <w:comment w:id="9" w:author="Agnes Anania Triavika Sahamastuti" w:date="2026-02-14T11:02:00Z" w:initials="AT">
    <w:p w14:paraId="7907F895" w14:textId="77777777" w:rsidR="003F2271" w:rsidRDefault="003F2271" w:rsidP="003F2271">
      <w:pPr>
        <w:pStyle w:val="CommentText"/>
      </w:pPr>
      <w:r>
        <w:rPr>
          <w:rStyle w:val="CommentReference"/>
        </w:rPr>
        <w:annotationRef/>
      </w:r>
      <w:r>
        <w:t>Write the exact number</w:t>
      </w:r>
    </w:p>
  </w:comment>
  <w:comment w:id="10" w:author="Agnes Anania Triavika Sahamastuti" w:date="2026-02-14T11:07:00Z" w:initials="AT">
    <w:p w14:paraId="699C0A69" w14:textId="77777777" w:rsidR="003F2271" w:rsidRDefault="003F2271" w:rsidP="003F2271">
      <w:pPr>
        <w:pStyle w:val="CommentText"/>
      </w:pPr>
      <w:r>
        <w:rPr>
          <w:rStyle w:val="CommentReference"/>
        </w:rPr>
        <w:annotationRef/>
      </w:r>
      <w:r>
        <w:t>What this symbol means? 0?</w:t>
      </w:r>
    </w:p>
  </w:comment>
  <w:comment w:id="11" w:author="Agnes Anania Triavika Sahamastuti" w:date="2026-02-14T11:03:00Z" w:initials="AT">
    <w:p w14:paraId="52916120" w14:textId="77777777" w:rsidR="003F2271" w:rsidRDefault="003F2271" w:rsidP="003F2271">
      <w:pPr>
        <w:pStyle w:val="CommentText"/>
      </w:pPr>
      <w:r>
        <w:rPr>
          <w:rStyle w:val="CommentReference"/>
        </w:rPr>
        <w:annotationRef/>
      </w:r>
      <w:r>
        <w:t>Write the exact number</w:t>
      </w:r>
    </w:p>
  </w:comment>
  <w:comment w:id="13" w:author="Agnes Anania Triavika Sahamastuti" w:date="2026-02-14T10:59:00Z" w:initials="AT">
    <w:p w14:paraId="71C5EF87" w14:textId="77777777" w:rsidR="00E75B61" w:rsidRDefault="00E75B61" w:rsidP="00E75B61">
      <w:pPr>
        <w:pStyle w:val="CommentText"/>
      </w:pPr>
      <w:r>
        <w:rPr>
          <w:rStyle w:val="CommentReference"/>
        </w:rPr>
        <w:annotationRef/>
      </w:r>
      <w:r>
        <w:t>Better to abbreviate is as TPC</w:t>
      </w:r>
    </w:p>
  </w:comment>
  <w:comment w:id="12" w:author="Agnes Anania Triavika Sahamastuti" w:date="2026-02-14T11:08:00Z" w:initials="AT">
    <w:p w14:paraId="5E38F8A7" w14:textId="77777777" w:rsidR="003F2271" w:rsidRDefault="003F2271" w:rsidP="003F2271">
      <w:pPr>
        <w:pStyle w:val="CommentText"/>
      </w:pPr>
      <w:r>
        <w:rPr>
          <w:rStyle w:val="CommentReference"/>
        </w:rPr>
        <w:annotationRef/>
      </w:r>
      <w:r>
        <w:t>No discussion regarding the results of each extract?</w:t>
      </w:r>
    </w:p>
  </w:comment>
  <w:comment w:id="14" w:author="Agnes Anania Triavika Sahamastuti" w:date="2026-02-14T11:09:00Z" w:initials="AT">
    <w:p w14:paraId="22500935" w14:textId="77777777" w:rsidR="003F2271" w:rsidRDefault="003F2271" w:rsidP="003F2271">
      <w:pPr>
        <w:pStyle w:val="CommentText"/>
      </w:pPr>
      <w:r>
        <w:rPr>
          <w:rStyle w:val="CommentReference"/>
        </w:rPr>
        <w:annotationRef/>
      </w:r>
      <w:r>
        <w:t>Some of the results exceeded the requirement!</w:t>
      </w:r>
    </w:p>
  </w:comment>
  <w:comment w:id="16" w:author="Agnes Anania Triavika Sahamastuti" w:date="2026-02-14T11:10:00Z" w:initials="AT">
    <w:p w14:paraId="645353C8" w14:textId="77777777" w:rsidR="003F2271" w:rsidRDefault="003F2271" w:rsidP="003F2271">
      <w:pPr>
        <w:pStyle w:val="CommentText"/>
      </w:pPr>
      <w:r>
        <w:rPr>
          <w:rStyle w:val="CommentReference"/>
        </w:rPr>
        <w:annotationRef/>
      </w:r>
      <w:r>
        <w:t>This sentence has no predicate and object.</w:t>
      </w:r>
    </w:p>
  </w:comment>
  <w:comment w:id="17" w:author="Agnes Anania Triavika Sahamastuti" w:date="2026-02-14T11:11:00Z" w:initials="AT">
    <w:p w14:paraId="177FFC64" w14:textId="77777777" w:rsidR="00F7306A" w:rsidRDefault="00F7306A" w:rsidP="00F7306A">
      <w:pPr>
        <w:pStyle w:val="CommentText"/>
      </w:pPr>
      <w:r>
        <w:rPr>
          <w:rStyle w:val="CommentReference"/>
        </w:rPr>
        <w:annotationRef/>
      </w:r>
      <w:r>
        <w:t>Only because of this? How abut the TPC result exceeded the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0C7E5B" w15:done="0"/>
  <w15:commentEx w15:paraId="376F3A1C" w15:done="0"/>
  <w15:commentEx w15:paraId="71ED397D" w15:done="0"/>
  <w15:commentEx w15:paraId="2A5CB425" w15:done="0"/>
  <w15:commentEx w15:paraId="7D645657" w15:done="0"/>
  <w15:commentEx w15:paraId="5F3D957F" w15:done="0"/>
  <w15:commentEx w15:paraId="23EAE58D" w15:done="0"/>
  <w15:commentEx w15:paraId="672E6564" w15:done="0"/>
  <w15:commentEx w15:paraId="7907F895" w15:done="0"/>
  <w15:commentEx w15:paraId="699C0A69" w15:done="0"/>
  <w15:commentEx w15:paraId="52916120" w15:done="0"/>
  <w15:commentEx w15:paraId="71C5EF87" w15:done="0"/>
  <w15:commentEx w15:paraId="5E38F8A7" w15:done="0"/>
  <w15:commentEx w15:paraId="22500935" w15:done="0"/>
  <w15:commentEx w15:paraId="645353C8" w15:done="0"/>
  <w15:commentEx w15:paraId="177FFC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3DC205" w16cex:dateUtc="2026-02-14T03:21:00Z"/>
  <w16cex:commentExtensible w16cex:durableId="12D0F8F5" w16cex:dateUtc="2026-02-14T03:21:00Z"/>
  <w16cex:commentExtensible w16cex:durableId="44FDFE53" w16cex:dateUtc="2026-02-14T03:30:00Z"/>
  <w16cex:commentExtensible w16cex:durableId="4F06A261" w16cex:dateUtc="2026-02-14T03:52:00Z"/>
  <w16cex:commentExtensible w16cex:durableId="6EB6C681" w16cex:dateUtc="2026-02-14T03:38:00Z"/>
  <w16cex:commentExtensible w16cex:durableId="3A734769" w16cex:dateUtc="2026-02-14T03:51:00Z"/>
  <w16cex:commentExtensible w16cex:durableId="0A23A9BC" w16cex:dateUtc="2026-02-14T03:55:00Z"/>
  <w16cex:commentExtensible w16cex:durableId="34CCF3EB" w16cex:dateUtc="2026-02-14T03:58:00Z"/>
  <w16cex:commentExtensible w16cex:durableId="5332F193" w16cex:dateUtc="2026-02-14T04:02:00Z"/>
  <w16cex:commentExtensible w16cex:durableId="301AF766" w16cex:dateUtc="2026-02-14T04:07:00Z"/>
  <w16cex:commentExtensible w16cex:durableId="46C72CE6" w16cex:dateUtc="2026-02-14T04:03:00Z"/>
  <w16cex:commentExtensible w16cex:durableId="4C736FE3" w16cex:dateUtc="2026-02-14T03:59:00Z"/>
  <w16cex:commentExtensible w16cex:durableId="6ABB0A71" w16cex:dateUtc="2026-02-14T04:08:00Z"/>
  <w16cex:commentExtensible w16cex:durableId="32774760" w16cex:dateUtc="2026-02-14T04:09:00Z"/>
  <w16cex:commentExtensible w16cex:durableId="1836BBB4" w16cex:dateUtc="2026-02-14T04:10:00Z"/>
  <w16cex:commentExtensible w16cex:durableId="50DB4338" w16cex:dateUtc="2026-02-14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0C7E5B" w16cid:durableId="663DC205"/>
  <w16cid:commentId w16cid:paraId="376F3A1C" w16cid:durableId="12D0F8F5"/>
  <w16cid:commentId w16cid:paraId="71ED397D" w16cid:durableId="44FDFE53"/>
  <w16cid:commentId w16cid:paraId="2A5CB425" w16cid:durableId="4F06A261"/>
  <w16cid:commentId w16cid:paraId="7D645657" w16cid:durableId="6EB6C681"/>
  <w16cid:commentId w16cid:paraId="5F3D957F" w16cid:durableId="3A734769"/>
  <w16cid:commentId w16cid:paraId="23EAE58D" w16cid:durableId="0A23A9BC"/>
  <w16cid:commentId w16cid:paraId="672E6564" w16cid:durableId="34CCF3EB"/>
  <w16cid:commentId w16cid:paraId="7907F895" w16cid:durableId="5332F193"/>
  <w16cid:commentId w16cid:paraId="699C0A69" w16cid:durableId="301AF766"/>
  <w16cid:commentId w16cid:paraId="52916120" w16cid:durableId="46C72CE6"/>
  <w16cid:commentId w16cid:paraId="71C5EF87" w16cid:durableId="4C736FE3"/>
  <w16cid:commentId w16cid:paraId="5E38F8A7" w16cid:durableId="6ABB0A71"/>
  <w16cid:commentId w16cid:paraId="22500935" w16cid:durableId="32774760"/>
  <w16cid:commentId w16cid:paraId="645353C8" w16cid:durableId="1836BBB4"/>
  <w16cid:commentId w16cid:paraId="177FFC64" w16cid:durableId="50DB43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7636" w14:textId="77777777" w:rsidR="004746C5" w:rsidRDefault="004746C5" w:rsidP="00C37E61">
      <w:r>
        <w:separator/>
      </w:r>
    </w:p>
  </w:endnote>
  <w:endnote w:type="continuationSeparator" w:id="0">
    <w:p w14:paraId="1923562D" w14:textId="77777777" w:rsidR="004746C5" w:rsidRDefault="004746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5791" w14:textId="77777777" w:rsidR="004239FA" w:rsidRDefault="00423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21D1" w14:textId="77777777" w:rsidR="004239FA" w:rsidRDefault="00423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8992" w14:textId="77777777" w:rsidR="009E048A" w:rsidRDefault="009E048A">
    <w:pPr>
      <w:pStyle w:val="Footer"/>
      <w:rPr>
        <w:rFonts w:ascii="Arial" w:hAnsi="Arial" w:cs="Arial"/>
        <w:sz w:val="16"/>
      </w:rPr>
    </w:pPr>
  </w:p>
  <w:p w14:paraId="06026CD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168D43" w14:textId="77777777" w:rsidR="009E048A" w:rsidRDefault="009E048A">
    <w:pPr>
      <w:pStyle w:val="Footer"/>
      <w:rPr>
        <w:rFonts w:ascii="Arial" w:hAnsi="Arial" w:cs="Arial"/>
        <w:sz w:val="16"/>
      </w:rPr>
    </w:pPr>
  </w:p>
  <w:p w14:paraId="4A36014E" w14:textId="559325A7"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8C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2824" w14:textId="77777777" w:rsidR="004746C5" w:rsidRDefault="004746C5" w:rsidP="00C37E61">
      <w:r>
        <w:separator/>
      </w:r>
    </w:p>
  </w:footnote>
  <w:footnote w:type="continuationSeparator" w:id="0">
    <w:p w14:paraId="7FD10CD3" w14:textId="77777777" w:rsidR="004746C5" w:rsidRDefault="004746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5761" w14:textId="6AF91CD8" w:rsidR="004239FA" w:rsidRDefault="00000000">
    <w:pPr>
      <w:pStyle w:val="Header"/>
    </w:pPr>
    <w:r>
      <w:rPr>
        <w:noProof/>
      </w:rPr>
      <w:pict w14:anchorId="22532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8820" w14:textId="6F1B1CB9" w:rsidR="004239FA" w:rsidRDefault="00000000">
    <w:pPr>
      <w:pStyle w:val="Header"/>
    </w:pPr>
    <w:r>
      <w:rPr>
        <w:noProof/>
      </w:rPr>
      <w:pict w14:anchorId="7176A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2F5B" w14:textId="3187497E" w:rsidR="00296529" w:rsidRPr="00296529" w:rsidRDefault="00000000" w:rsidP="00296529">
    <w:pPr>
      <w:ind w:left="2160"/>
      <w:jc w:val="center"/>
      <w:rPr>
        <w:rFonts w:ascii="Times New Roman" w:eastAsia="Calibri" w:hAnsi="Times New Roman"/>
        <w:i/>
        <w:sz w:val="18"/>
        <w:szCs w:val="22"/>
      </w:rPr>
    </w:pPr>
    <w:r>
      <w:rPr>
        <w:noProof/>
      </w:rPr>
      <w:pict w14:anchorId="30972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6B9A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0EAA3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A41F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49E1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52D53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CAD36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A8FF" w14:textId="14EDFAF7" w:rsidR="004239FA" w:rsidRDefault="00000000">
    <w:pPr>
      <w:pStyle w:val="Header"/>
    </w:pPr>
    <w:r>
      <w:rPr>
        <w:noProof/>
      </w:rPr>
      <w:pict w14:anchorId="33C48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DDF9" w14:textId="41394C29" w:rsidR="004239FA" w:rsidRDefault="00000000">
    <w:pPr>
      <w:pStyle w:val="Header"/>
    </w:pPr>
    <w:r>
      <w:rPr>
        <w:noProof/>
      </w:rPr>
      <w:pict w14:anchorId="2DE4E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2678" w14:textId="7ABEDA30" w:rsidR="004239FA" w:rsidRDefault="00000000">
    <w:pPr>
      <w:pStyle w:val="Header"/>
    </w:pPr>
    <w:r>
      <w:rPr>
        <w:noProof/>
      </w:rPr>
      <w:pict w14:anchorId="3F8F6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B447ED"/>
    <w:multiLevelType w:val="multilevel"/>
    <w:tmpl w:val="07D83E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17118F"/>
    <w:multiLevelType w:val="hybridMultilevel"/>
    <w:tmpl w:val="847619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1E62D7"/>
    <w:multiLevelType w:val="multilevel"/>
    <w:tmpl w:val="269C73F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6811A4"/>
    <w:multiLevelType w:val="multilevel"/>
    <w:tmpl w:val="E81AD1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915284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8171450">
    <w:abstractNumId w:val="19"/>
  </w:num>
  <w:num w:numId="3" w16cid:durableId="1740128060">
    <w:abstractNumId w:val="27"/>
  </w:num>
  <w:num w:numId="4" w16cid:durableId="21127017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40802252">
    <w:abstractNumId w:val="9"/>
  </w:num>
  <w:num w:numId="6" w16cid:durableId="221068192">
    <w:abstractNumId w:val="7"/>
  </w:num>
  <w:num w:numId="7" w16cid:durableId="49380432">
    <w:abstractNumId w:val="1"/>
  </w:num>
  <w:num w:numId="8" w16cid:durableId="2064255697">
    <w:abstractNumId w:val="15"/>
  </w:num>
  <w:num w:numId="9" w16cid:durableId="564755039">
    <w:abstractNumId w:val="29"/>
  </w:num>
  <w:num w:numId="10" w16cid:durableId="235288479">
    <w:abstractNumId w:val="2"/>
  </w:num>
  <w:num w:numId="11" w16cid:durableId="1804426535">
    <w:abstractNumId w:val="22"/>
  </w:num>
  <w:num w:numId="12" w16cid:durableId="1692874157">
    <w:abstractNumId w:val="3"/>
  </w:num>
  <w:num w:numId="13" w16cid:durableId="1518933111">
    <w:abstractNumId w:val="21"/>
  </w:num>
  <w:num w:numId="14" w16cid:durableId="1566793902">
    <w:abstractNumId w:val="10"/>
  </w:num>
  <w:num w:numId="15" w16cid:durableId="1652321390">
    <w:abstractNumId w:val="25"/>
  </w:num>
  <w:num w:numId="16" w16cid:durableId="1700428015">
    <w:abstractNumId w:val="5"/>
  </w:num>
  <w:num w:numId="17" w16cid:durableId="9262203">
    <w:abstractNumId w:val="26"/>
  </w:num>
  <w:num w:numId="18" w16cid:durableId="403917050">
    <w:abstractNumId w:val="17"/>
  </w:num>
  <w:num w:numId="19" w16cid:durableId="1180199292">
    <w:abstractNumId w:val="32"/>
  </w:num>
  <w:num w:numId="20" w16cid:durableId="1172718722">
    <w:abstractNumId w:val="13"/>
  </w:num>
  <w:num w:numId="21" w16cid:durableId="1325816909">
    <w:abstractNumId w:val="11"/>
  </w:num>
  <w:num w:numId="22" w16cid:durableId="248655639">
    <w:abstractNumId w:val="16"/>
  </w:num>
  <w:num w:numId="23" w16cid:durableId="838038960">
    <w:abstractNumId w:val="23"/>
  </w:num>
  <w:num w:numId="24" w16cid:durableId="1895191511">
    <w:abstractNumId w:val="30"/>
  </w:num>
  <w:num w:numId="25" w16cid:durableId="1360618269">
    <w:abstractNumId w:val="4"/>
  </w:num>
  <w:num w:numId="26" w16cid:durableId="1923491836">
    <w:abstractNumId w:val="20"/>
  </w:num>
  <w:num w:numId="27" w16cid:durableId="1709068505">
    <w:abstractNumId w:val="24"/>
  </w:num>
  <w:num w:numId="28" w16cid:durableId="1144854701">
    <w:abstractNumId w:val="31"/>
  </w:num>
  <w:num w:numId="29" w16cid:durableId="1711343797">
    <w:abstractNumId w:val="28"/>
  </w:num>
  <w:num w:numId="30" w16cid:durableId="1936817301">
    <w:abstractNumId w:val="12"/>
  </w:num>
  <w:num w:numId="31" w16cid:durableId="651906875">
    <w:abstractNumId w:val="18"/>
  </w:num>
  <w:num w:numId="32" w16cid:durableId="1890215571">
    <w:abstractNumId w:val="6"/>
  </w:num>
  <w:num w:numId="33" w16cid:durableId="1597521457">
    <w:abstractNumId w:val="14"/>
  </w:num>
  <w:num w:numId="34" w16cid:durableId="7326562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es Anania Triavika Sahamastuti">
    <w15:presenceInfo w15:providerId="AD" w15:userId="S::agnes.ats@maranatha.edu::b3c2292c-e4df-4a4f-812d-52075e43d9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0B14"/>
    <w:rsid w:val="000A47FA"/>
    <w:rsid w:val="000A65D3"/>
    <w:rsid w:val="000B1E33"/>
    <w:rsid w:val="000D689F"/>
    <w:rsid w:val="000E4AB5"/>
    <w:rsid w:val="000E7B7B"/>
    <w:rsid w:val="000E7D62"/>
    <w:rsid w:val="00103357"/>
    <w:rsid w:val="00122C5F"/>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18B9"/>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0F9"/>
    <w:rsid w:val="00315186"/>
    <w:rsid w:val="0033343E"/>
    <w:rsid w:val="0033695F"/>
    <w:rsid w:val="003512C2"/>
    <w:rsid w:val="00371FB6"/>
    <w:rsid w:val="003763C1"/>
    <w:rsid w:val="00376BBE"/>
    <w:rsid w:val="0039224F"/>
    <w:rsid w:val="003A43A4"/>
    <w:rsid w:val="003A7E18"/>
    <w:rsid w:val="003C4C86"/>
    <w:rsid w:val="003C6258"/>
    <w:rsid w:val="003E2904"/>
    <w:rsid w:val="003F2271"/>
    <w:rsid w:val="00401927"/>
    <w:rsid w:val="0041027F"/>
    <w:rsid w:val="00412475"/>
    <w:rsid w:val="00423789"/>
    <w:rsid w:val="004239FA"/>
    <w:rsid w:val="00440F43"/>
    <w:rsid w:val="00441B6F"/>
    <w:rsid w:val="00446221"/>
    <w:rsid w:val="00450E62"/>
    <w:rsid w:val="004539DB"/>
    <w:rsid w:val="00471A80"/>
    <w:rsid w:val="004746C5"/>
    <w:rsid w:val="004759E2"/>
    <w:rsid w:val="004C5D82"/>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32B1"/>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5D8E"/>
    <w:rsid w:val="0077749E"/>
    <w:rsid w:val="00790063"/>
    <w:rsid w:val="00790ADA"/>
    <w:rsid w:val="007D2288"/>
    <w:rsid w:val="007E088F"/>
    <w:rsid w:val="007F7B32"/>
    <w:rsid w:val="00804BC2"/>
    <w:rsid w:val="0081431A"/>
    <w:rsid w:val="0083216F"/>
    <w:rsid w:val="00857D36"/>
    <w:rsid w:val="00860000"/>
    <w:rsid w:val="00863BD3"/>
    <w:rsid w:val="008641ED"/>
    <w:rsid w:val="00866874"/>
    <w:rsid w:val="00866D66"/>
    <w:rsid w:val="008671C6"/>
    <w:rsid w:val="00875803"/>
    <w:rsid w:val="008B459E"/>
    <w:rsid w:val="008C7452"/>
    <w:rsid w:val="008D5D75"/>
    <w:rsid w:val="008E13AE"/>
    <w:rsid w:val="008E1506"/>
    <w:rsid w:val="008E710C"/>
    <w:rsid w:val="008F69D6"/>
    <w:rsid w:val="00902823"/>
    <w:rsid w:val="00915CA6"/>
    <w:rsid w:val="00924466"/>
    <w:rsid w:val="00927834"/>
    <w:rsid w:val="00932ED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C21"/>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3E25"/>
    <w:rsid w:val="00CD6755"/>
    <w:rsid w:val="00CD6856"/>
    <w:rsid w:val="00CE0089"/>
    <w:rsid w:val="00CE0C76"/>
    <w:rsid w:val="00CE793C"/>
    <w:rsid w:val="00CF193C"/>
    <w:rsid w:val="00D173F1"/>
    <w:rsid w:val="00D74CB0"/>
    <w:rsid w:val="00D8295D"/>
    <w:rsid w:val="00DC2A65"/>
    <w:rsid w:val="00DD5BA0"/>
    <w:rsid w:val="00DE15F0"/>
    <w:rsid w:val="00DE5663"/>
    <w:rsid w:val="00DE78AA"/>
    <w:rsid w:val="00E053D0"/>
    <w:rsid w:val="00E15994"/>
    <w:rsid w:val="00E3114E"/>
    <w:rsid w:val="00E31A70"/>
    <w:rsid w:val="00E35B02"/>
    <w:rsid w:val="00E66496"/>
    <w:rsid w:val="00E66B35"/>
    <w:rsid w:val="00E66E10"/>
    <w:rsid w:val="00E75B61"/>
    <w:rsid w:val="00E769F6"/>
    <w:rsid w:val="00E8407C"/>
    <w:rsid w:val="00E84F3C"/>
    <w:rsid w:val="00EA012C"/>
    <w:rsid w:val="00EC6A55"/>
    <w:rsid w:val="00ED0288"/>
    <w:rsid w:val="00EE52CB"/>
    <w:rsid w:val="00EF581D"/>
    <w:rsid w:val="00EF7FD8"/>
    <w:rsid w:val="00F06F59"/>
    <w:rsid w:val="00F17988"/>
    <w:rsid w:val="00F469F0"/>
    <w:rsid w:val="00F53273"/>
    <w:rsid w:val="00F60FE3"/>
    <w:rsid w:val="00F7306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_x0000_s2052"/>
      </o:rules>
    </o:shapelayout>
  </w:shapeDefaults>
  <w:decimalSymbol w:val="."/>
  <w:listSeparator w:val=","/>
  <w14:docId w14:val="5992E8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60F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F60FE3"/>
    <w:pPr>
      <w:ind w:left="720"/>
      <w:contextualSpacing/>
    </w:pPr>
    <w:rPr>
      <w:rFonts w:eastAsia="SimSun"/>
    </w:rPr>
  </w:style>
  <w:style w:type="character" w:customStyle="1" w:styleId="ListParagraphChar">
    <w:name w:val="List Paragraph Char"/>
    <w:link w:val="ListParagraph"/>
    <w:uiPriority w:val="34"/>
    <w:locked/>
    <w:rsid w:val="00F60FE3"/>
    <w:rPr>
      <w:rFonts w:ascii="Helvetica" w:eastAsia="SimSun" w:hAnsi="Helvetica"/>
    </w:rPr>
  </w:style>
  <w:style w:type="character" w:customStyle="1" w:styleId="Heading3Char">
    <w:name w:val="Heading 3 Char"/>
    <w:basedOn w:val="DefaultParagraphFont"/>
    <w:link w:val="Heading3"/>
    <w:semiHidden/>
    <w:rsid w:val="00F60FE3"/>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122C5F"/>
    <w:rPr>
      <w:rFonts w:ascii="Helvetica" w:hAnsi="Helvetica"/>
      <w:b/>
      <w:bCs/>
      <w:lang w:val="en-US" w:eastAsia="en-US"/>
    </w:rPr>
  </w:style>
  <w:style w:type="character" w:customStyle="1" w:styleId="CommentSubjectChar">
    <w:name w:val="Comment Subject Char"/>
    <w:basedOn w:val="CommentTextChar"/>
    <w:link w:val="CommentSubject"/>
    <w:semiHidden/>
    <w:rsid w:val="00122C5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427644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oleObject" Target="embeddings/oleObject1.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0FBAB-E567-407F-98B4-60EBACED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110</TotalTime>
  <Pages>10</Pages>
  <Words>12012</Words>
  <Characters>66191</Characters>
  <Application>Microsoft Office Word</Application>
  <DocSecurity>0</DocSecurity>
  <Lines>1838</Lines>
  <Paragraphs>744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77459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Agnes Anania Triavika Sahamastuti</cp:lastModifiedBy>
  <cp:revision>19</cp:revision>
  <cp:lastPrinted>1999-07-06T11:00:00Z</cp:lastPrinted>
  <dcterms:created xsi:type="dcterms:W3CDTF">2014-10-25T14:34:00Z</dcterms:created>
  <dcterms:modified xsi:type="dcterms:W3CDTF">2026-02-14T04:11:00Z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6ff555ed-cece-3566-8207-ac4d0c481182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 (in-text citations)</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http://www.zotero.org/styles/sekolah-tinggi-ilmu-farmasi-yayasan-pharmasi-semarang</vt:lpwstr>
  </property>
  <property fmtid="{D5CDD505-2E9C-101B-9397-08002B2CF9AE}" pid="24" name="Mendeley Recent Style Name 9_1">
    <vt:lpwstr>Sekolah Tinggi Ilmu Farmasi Yayasan Pharmasi Semarang</vt:lpwstr>
  </property>
</Properties>
</file>