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217" w:rsidRDefault="00C27C27">
      <w:pPr>
        <w:jc w:val="both"/>
        <w:rPr>
          <w:rFonts w:ascii="Times New Roman" w:hAnsi="Times New Roman" w:cs="Times New Roman"/>
          <w:b/>
          <w:bCs/>
        </w:rPr>
      </w:pPr>
      <w:r>
        <w:rPr>
          <w:rFonts w:ascii="Times New Roman" w:hAnsi="Times New Roman" w:cs="Times New Roman"/>
          <w:b/>
          <w:bCs/>
        </w:rPr>
        <w:t>Effect of PEG-Mediated water deficit on morphometric traits and antioxidants activity in Chickpea plants</w:t>
      </w:r>
    </w:p>
    <w:p w:rsidR="00694217" w:rsidRDefault="00694217">
      <w:pPr>
        <w:jc w:val="both"/>
        <w:rPr>
          <w:rFonts w:ascii="Times New Roman" w:hAnsi="Times New Roman" w:cs="Times New Roman"/>
          <w:b/>
          <w:bCs/>
        </w:rPr>
      </w:pPr>
    </w:p>
    <w:p w:rsidR="00A61898" w:rsidRDefault="00C27C27">
      <w:pPr>
        <w:jc w:val="center"/>
        <w:rPr>
          <w:rFonts w:ascii="Times New Roman" w:hAnsi="Times New Roman" w:cs="Times New Roman"/>
          <w:b/>
          <w:bCs/>
        </w:rPr>
      </w:pPr>
      <w:r>
        <w:rPr>
          <w:rFonts w:ascii="Times New Roman" w:hAnsi="Times New Roman" w:cs="Times New Roman"/>
          <w:b/>
          <w:bCs/>
        </w:rPr>
        <w:t xml:space="preserve">Abstract </w:t>
      </w:r>
    </w:p>
    <w:p w:rsidR="00A61898" w:rsidRDefault="00C27C27">
      <w:pPr>
        <w:jc w:val="both"/>
        <w:rPr>
          <w:rFonts w:ascii="Times New Roman" w:hAnsi="Times New Roman" w:cs="Times New Roman"/>
        </w:rPr>
      </w:pPr>
      <w:r>
        <w:rPr>
          <w:rFonts w:ascii="Times New Roman" w:hAnsi="Times New Roman" w:cs="Times New Roman"/>
        </w:rPr>
        <w:t xml:space="preserve">Drought stress is a major constraint to chickpea ( Cicer arietinum L.) production, particularly in semi-arid regions, where water scarcity adversely affects seed germination, seedling establishment, and overall plant growth. The present study evaluated the effect of polyethylene glycol (PEG)–induced water deficit on morphometric traits and antioxidant enzyme activities in chickpea seedlings under laboratory conditions. Seeds were subjected to osmotic stress using PEG solutions at concentrations of 2%, 4%, and 6%, while distilled water–soaked seeds served as the control. Germination percentage, seedling growth parameters (root length, shoot length, seedling length, leaf number), seedling vigour index (SVI), and antioxidant enzyme activities (peroxidase and polyphenol oxidase) were assessed. </w:t>
      </w:r>
    </w:p>
    <w:p w:rsidR="00A61898" w:rsidRDefault="00C27C27">
      <w:pPr>
        <w:jc w:val="both"/>
        <w:rPr>
          <w:rFonts w:ascii="Times New Roman" w:hAnsi="Times New Roman" w:cs="Times New Roman"/>
        </w:rPr>
      </w:pPr>
      <w:r>
        <w:rPr>
          <w:rFonts w:ascii="Times New Roman" w:hAnsi="Times New Roman" w:cs="Times New Roman"/>
        </w:rPr>
        <w:t>Results revealed a progressive decline in germination percentage, seedling length, root and shoot growth, leaf number, and SVI with increasing PEG concentration. Germination decreased from 100% in the control to 88% at 6% PEG, indicating the inhibitory effect of osmotic stress on early seedling development. In contrast, antioxidant enzyme activities showed a marked increase under stress conditions, with the highest peroxidase and polyphenol oxidase activities recorded at 6% PEG. The enhanced activity of these enzymes suggests activation of antioxidative defense mechanisms to counteract PEG-induced oxidative stress.</w:t>
      </w:r>
    </w:p>
    <w:p w:rsidR="00A61898" w:rsidRDefault="00C27C27">
      <w:pPr>
        <w:jc w:val="both"/>
        <w:rPr>
          <w:rFonts w:ascii="Times New Roman" w:hAnsi="Times New Roman" w:cs="Times New Roman"/>
        </w:rPr>
      </w:pPr>
      <w:r>
        <w:rPr>
          <w:rFonts w:ascii="Times New Roman" w:hAnsi="Times New Roman" w:cs="Times New Roman"/>
        </w:rPr>
        <w:t xml:space="preserve">Overall, PEG-mediated osmotic stress negatively affected morphometric traits of chickpea seedlings while stimulating antioxidant enzyme responses. These findings highlight the sensitivity of chickpea to water deficit during early growth stages and underscore the role of antioxidant systems in stress tolerance. The study provides valuable insights for screening drought-tolerant chickpea genotypes and developing strategies to improve crop resilience under water-limited </w:t>
      </w:r>
      <w:commentRangeStart w:id="0"/>
      <w:r>
        <w:rPr>
          <w:rFonts w:ascii="Times New Roman" w:hAnsi="Times New Roman" w:cs="Times New Roman"/>
        </w:rPr>
        <w:t>conditions</w:t>
      </w:r>
      <w:commentRangeEnd w:id="0"/>
      <w:r w:rsidR="00974C6E">
        <w:rPr>
          <w:rStyle w:val="CommentReference"/>
        </w:rPr>
        <w:commentReference w:id="0"/>
      </w:r>
      <w:r>
        <w:rPr>
          <w:rFonts w:ascii="Times New Roman" w:hAnsi="Times New Roman" w:cs="Times New Roman"/>
        </w:rPr>
        <w:t>.</w:t>
      </w:r>
    </w:p>
    <w:p w:rsidR="00A61898" w:rsidRDefault="00C27C27">
      <w:pPr>
        <w:jc w:val="both"/>
        <w:rPr>
          <w:rFonts w:ascii="Times New Roman" w:hAnsi="Times New Roman" w:cs="Times New Roman"/>
        </w:rPr>
      </w:pPr>
      <w:r>
        <w:rPr>
          <w:rFonts w:ascii="Times New Roman" w:hAnsi="Times New Roman" w:cs="Times New Roman"/>
          <w:b/>
          <w:bCs/>
        </w:rPr>
        <w:t xml:space="preserve">Keywords: </w:t>
      </w:r>
      <w:r>
        <w:rPr>
          <w:rFonts w:ascii="Times New Roman" w:hAnsi="Times New Roman" w:cs="Times New Roman"/>
        </w:rPr>
        <w:t>Cicer, water stress, PEG, morphological character, antioxidant enzymes.</w:t>
      </w:r>
    </w:p>
    <w:p w:rsidR="00A61898" w:rsidRDefault="00C27C27">
      <w:pPr>
        <w:jc w:val="both"/>
        <w:rPr>
          <w:rFonts w:ascii="Times New Roman" w:hAnsi="Times New Roman" w:cs="Times New Roman"/>
          <w:b/>
          <w:bCs/>
        </w:rPr>
      </w:pPr>
      <w:r>
        <w:rPr>
          <w:rFonts w:ascii="Times New Roman" w:hAnsi="Times New Roman" w:cs="Times New Roman"/>
          <w:b/>
          <w:bCs/>
        </w:rPr>
        <w:t xml:space="preserve">Introduction </w:t>
      </w:r>
    </w:p>
    <w:p w:rsidR="00A61898" w:rsidRDefault="00C27C27">
      <w:pPr>
        <w:jc w:val="both"/>
        <w:rPr>
          <w:rFonts w:ascii="Times New Roman" w:hAnsi="Times New Roman" w:cs="Times New Roman"/>
        </w:rPr>
      </w:pPr>
      <w:r>
        <w:rPr>
          <w:rFonts w:ascii="Times New Roman" w:hAnsi="Times New Roman" w:cs="Times New Roman"/>
        </w:rPr>
        <w:t>Cicer belongs to the family Fabaceae and this genus comprises approximately 44 species including both cultivated and wild taxa, predominantly distributed in the Middle East, Central Asia and parts of Mediterranean region.</w:t>
      </w:r>
    </w:p>
    <w:p w:rsidR="00A61898" w:rsidRDefault="00C27C27">
      <w:pPr>
        <w:jc w:val="both"/>
        <w:rPr>
          <w:rFonts w:ascii="Times New Roman" w:hAnsi="Times New Roman" w:cs="Times New Roman"/>
        </w:rPr>
      </w:pPr>
      <w:r>
        <w:rPr>
          <w:rFonts w:ascii="Times New Roman" w:hAnsi="Times New Roman" w:cs="Times New Roman"/>
        </w:rPr>
        <w:t xml:space="preserve">Cicer arietinum is the third most important pulse crop globally and also a major source of protein, carbohydrates, vitamins, and essential minerals (Varshney et al., 2013). It enhances soil fertility due to its nitrogen fixing ability and reducing dependence on chemical fertilizers (Graham &amp; Vance, 2003 and Varshney et al, 2021). Despite its nutritional and agronomic </w:t>
      </w:r>
      <w:r>
        <w:rPr>
          <w:rFonts w:ascii="Times New Roman" w:hAnsi="Times New Roman" w:cs="Times New Roman"/>
        </w:rPr>
        <w:lastRenderedPageBreak/>
        <w:t>importance, chickpea production is highly constrained by drought stress, particularly in semi-arid regions where it is predominantly cultivated (Jukanti et al., 2012).</w:t>
      </w:r>
    </w:p>
    <w:p w:rsidR="00A61898" w:rsidRDefault="00C27C27">
      <w:pPr>
        <w:jc w:val="both"/>
        <w:rPr>
          <w:rFonts w:ascii="Times New Roman" w:hAnsi="Times New Roman" w:cs="Times New Roman"/>
        </w:rPr>
      </w:pPr>
      <w:r>
        <w:rPr>
          <w:rFonts w:ascii="Times New Roman" w:hAnsi="Times New Roman" w:cs="Times New Roman"/>
        </w:rPr>
        <w:t>Drought is a widespread global problem that affects a substantial proportion of agricultural land with varying degrees of severity. Deficiency of water, high temperatures, and low atmospheric humidity contribute to drought conditions, making drought one of the major limiting factors for optimal plant growth and crop yield (Hirt and Shinozaki 2003, Szilagyi 2003 and Sajjad et al 2023. It also induces significant reduction in germination, seedling establishment, plant height, leaf area, and biomass accumulation (Kashiwagi et al., 2006). At the cellular level, water deficit stress leads to excessive formation of reactive oxygen species (ROS), which can cause oxidative damage to lipids, proteins, and nucleic acids, ultimately affecting plant growth and productivity (Apel &amp; Hirt, 2004).</w:t>
      </w:r>
    </w:p>
    <w:p w:rsidR="00A61898" w:rsidRDefault="00C27C27">
      <w:pPr>
        <w:jc w:val="both"/>
        <w:rPr>
          <w:rFonts w:ascii="Times New Roman" w:hAnsi="Times New Roman" w:cs="Times New Roman"/>
        </w:rPr>
      </w:pPr>
      <w:r>
        <w:rPr>
          <w:rFonts w:ascii="Times New Roman" w:hAnsi="Times New Roman" w:cs="Times New Roman"/>
        </w:rPr>
        <w:t>Polyethylene glycol (PEG) is commonly used in experimental research to simulate drought conditions because its large molecular size prevents it from entering plant cells while inducing a controlled osmotic stress in the growth medium (Michel &amp; Kaufmann, 1973). PEG-induced osmotic stress has been widely applied to study plant responses at the morphological, physiological, and biochemical levels. Under such stress conditions, plants enhance their antioxidative defense system, including enzymes such as superoxide dismutase (SOD), catalase (CAT), and peroxidase (POD), to detoxify ROS and maintain cellular homeostasis (Mittler, 2002; Gill &amp; Tuteja, 2010).</w:t>
      </w:r>
    </w:p>
    <w:p w:rsidR="00A61898" w:rsidRDefault="00C27C27">
      <w:pPr>
        <w:jc w:val="both"/>
        <w:rPr>
          <w:rFonts w:ascii="Times New Roman" w:hAnsi="Times New Roman" w:cs="Times New Roman"/>
        </w:rPr>
      </w:pPr>
      <w:r>
        <w:rPr>
          <w:rFonts w:ascii="Times New Roman" w:hAnsi="Times New Roman" w:cs="Times New Roman"/>
        </w:rPr>
        <w:t xml:space="preserve">Understanding these morphological and antioxidant responses in chickpea under PEG-induced stress is essential for identifying tolerant genotypes and improving drought-resilience strategies. Therefore, the present study examines the effect of polyethylene glycol on morphological characteristics and antioxidant enzyme activities in Cicer </w:t>
      </w:r>
      <w:commentRangeStart w:id="1"/>
      <w:r>
        <w:rPr>
          <w:rFonts w:ascii="Times New Roman" w:hAnsi="Times New Roman" w:cs="Times New Roman"/>
        </w:rPr>
        <w:t>arietinum</w:t>
      </w:r>
      <w:commentRangeEnd w:id="1"/>
      <w:r w:rsidR="00061F9B">
        <w:rPr>
          <w:rStyle w:val="CommentReference"/>
        </w:rPr>
        <w:commentReference w:id="1"/>
      </w:r>
      <w:r>
        <w:rPr>
          <w:rFonts w:ascii="Times New Roman" w:hAnsi="Times New Roman" w:cs="Times New Roman"/>
        </w:rPr>
        <w:t>.</w:t>
      </w:r>
    </w:p>
    <w:p w:rsidR="00A61898" w:rsidRDefault="00C27C27">
      <w:pPr>
        <w:jc w:val="both"/>
        <w:rPr>
          <w:rFonts w:ascii="Times New Roman" w:hAnsi="Times New Roman" w:cs="Times New Roman"/>
          <w:b/>
          <w:bCs/>
        </w:rPr>
      </w:pPr>
      <w:r>
        <w:rPr>
          <w:rFonts w:ascii="Times New Roman" w:hAnsi="Times New Roman" w:cs="Times New Roman"/>
          <w:b/>
          <w:bCs/>
        </w:rPr>
        <w:t>Material and methods</w:t>
      </w:r>
    </w:p>
    <w:p w:rsidR="00A61898" w:rsidRDefault="00C27C27">
      <w:pPr>
        <w:jc w:val="both"/>
        <w:rPr>
          <w:rFonts w:ascii="Times New Roman" w:hAnsi="Times New Roman" w:cs="Times New Roman"/>
        </w:rPr>
      </w:pPr>
      <w:r>
        <w:rPr>
          <w:rFonts w:ascii="Times New Roman" w:hAnsi="Times New Roman" w:cs="Times New Roman"/>
        </w:rPr>
        <w:t xml:space="preserve">Healthy </w:t>
      </w:r>
      <w:r>
        <w:rPr>
          <w:rFonts w:ascii="Times New Roman" w:hAnsi="Times New Roman" w:cs="Times New Roman"/>
          <w:i/>
          <w:iCs/>
        </w:rPr>
        <w:t>Cicer</w:t>
      </w:r>
      <w:r>
        <w:rPr>
          <w:rFonts w:ascii="Times New Roman" w:hAnsi="Times New Roman" w:cs="Times New Roman"/>
        </w:rPr>
        <w:t xml:space="preserve"> </w:t>
      </w:r>
      <w:commentRangeStart w:id="2"/>
      <w:r>
        <w:rPr>
          <w:rFonts w:ascii="Times New Roman" w:hAnsi="Times New Roman" w:cs="Times New Roman"/>
        </w:rPr>
        <w:t>seeds</w:t>
      </w:r>
      <w:commentRangeEnd w:id="2"/>
      <w:r w:rsidR="00974C6E">
        <w:rPr>
          <w:rStyle w:val="CommentReference"/>
        </w:rPr>
        <w:commentReference w:id="2"/>
      </w:r>
      <w:r>
        <w:rPr>
          <w:rFonts w:ascii="Times New Roman" w:hAnsi="Times New Roman" w:cs="Times New Roman"/>
        </w:rPr>
        <w:t xml:space="preserve"> of uniform size were selected for the experiment. The seeds were surface sterilized using teepol and thoroughly rinsed with distilled water. The experiment was conducted under laboratory conditions.</w:t>
      </w:r>
    </w:p>
    <w:p w:rsidR="00A61898" w:rsidRDefault="00C27C27">
      <w:pPr>
        <w:jc w:val="both"/>
        <w:rPr>
          <w:rFonts w:ascii="Times New Roman" w:hAnsi="Times New Roman" w:cs="Times New Roman"/>
        </w:rPr>
      </w:pPr>
      <w:r>
        <w:rPr>
          <w:rFonts w:ascii="Times New Roman" w:hAnsi="Times New Roman" w:cs="Times New Roman"/>
        </w:rPr>
        <w:t>Polyethylene glycol (PEG) solutions were prepared at three concentrations (2%, 4%, and 6%). Seeds were soaked separately in each PEG solution for 24 hours. Seeds soaked in double-distilled water served as the control. After soaking, seeds from each treatment were placed in Petri dishes lined with moistened cotton and allowed to germinate.</w:t>
      </w:r>
    </w:p>
    <w:p w:rsidR="00A61898" w:rsidRDefault="00C27C27">
      <w:pPr>
        <w:jc w:val="both"/>
        <w:rPr>
          <w:rFonts w:ascii="Times New Roman" w:hAnsi="Times New Roman" w:cs="Times New Roman"/>
        </w:rPr>
      </w:pPr>
      <w:r>
        <w:rPr>
          <w:rFonts w:ascii="Times New Roman" w:hAnsi="Times New Roman" w:cs="Times New Roman"/>
        </w:rPr>
        <w:t>Peroxidase (POX) and polyphenol oxidase (PPO) activities were estimated following the method of Karo and Mishra (1976), with minor modifications.</w:t>
      </w:r>
    </w:p>
    <w:p w:rsidR="00A61898" w:rsidRDefault="00C27C27">
      <w:pPr>
        <w:jc w:val="both"/>
        <w:rPr>
          <w:rFonts w:ascii="Times New Roman" w:hAnsi="Times New Roman" w:cs="Times New Roman"/>
        </w:rPr>
      </w:pPr>
      <w:r>
        <w:rPr>
          <w:rFonts w:ascii="Times New Roman" w:hAnsi="Times New Roman" w:cs="Times New Roman"/>
        </w:rPr>
        <w:t>Normal seedlings were counted at the end of the germination period, and germination percentage was calculated using the following formula:</w:t>
      </w:r>
    </w:p>
    <w:p w:rsidR="00A61898" w:rsidRDefault="00C27C27">
      <w:pPr>
        <w:jc w:val="both"/>
        <w:rPr>
          <w:rFonts w:ascii="Times New Roman" w:hAnsi="Times New Roman" w:cs="Times New Roman"/>
        </w:rPr>
      </w:pPr>
      <m:oMathPara>
        <m:oMath>
          <m:r>
            <m:rPr>
              <m:nor/>
            </m:rPr>
            <w:rPr>
              <w:rFonts w:ascii="Times New Roman" w:hAnsi="Times New Roman" w:cs="Times New Roman"/>
            </w:rPr>
            <w:lastRenderedPageBreak/>
            <m:t>Germination (%)</m:t>
          </m:r>
          <m:r>
            <w:rPr>
              <w:rFonts w:ascii="Cambria Math" w:hAnsi="Cambria Math" w:cs="Times New Roman"/>
            </w:rPr>
            <m:t>=</m:t>
          </m:r>
          <m:f>
            <m:fPr>
              <m:ctrlPr>
                <w:rPr>
                  <w:rFonts w:ascii="Cambria Math" w:hAnsi="Cambria Math" w:cs="Times New Roman"/>
                </w:rPr>
              </m:ctrlPr>
            </m:fPr>
            <m:num>
              <m:r>
                <m:rPr>
                  <m:nor/>
                </m:rPr>
                <w:rPr>
                  <w:rFonts w:ascii="Times New Roman" w:hAnsi="Times New Roman" w:cs="Times New Roman"/>
                </w:rPr>
                <m:t>Number of normal seedlings</m:t>
              </m:r>
            </m:num>
            <m:den>
              <m:r>
                <m:rPr>
                  <m:nor/>
                </m:rPr>
                <w:rPr>
                  <w:rFonts w:ascii="Times New Roman" w:hAnsi="Times New Roman" w:cs="Times New Roman"/>
                </w:rPr>
                <m:t>Total number of seeds sown</m:t>
              </m:r>
            </m:den>
          </m:f>
          <m:r>
            <w:rPr>
              <w:rFonts w:ascii="Cambria Math" w:hAnsi="Cambria Math" w:cs="Times New Roman"/>
            </w:rPr>
            <m:t>×100</m:t>
          </m:r>
          <m:r>
            <m:rPr>
              <m:sty m:val="p"/>
            </m:rPr>
            <w:rPr>
              <w:rFonts w:ascii="Times New Roman" w:hAnsi="Times New Roman" w:cs="Times New Roman"/>
            </w:rPr>
            <w:br/>
          </m:r>
        </m:oMath>
      </m:oMathPara>
    </w:p>
    <w:p w:rsidR="00A61898" w:rsidRDefault="00C27C27">
      <w:pPr>
        <w:jc w:val="both"/>
        <w:rPr>
          <w:rFonts w:ascii="Times New Roman" w:hAnsi="Times New Roman" w:cs="Times New Roman"/>
        </w:rPr>
      </w:pPr>
      <w:r>
        <w:rPr>
          <w:rFonts w:ascii="Times New Roman" w:hAnsi="Times New Roman" w:cs="Times New Roman"/>
        </w:rPr>
        <w:t>Root and shoot lengths were measured at the end of the test period by randomly selecting ten normal seedlings from each replication in every treatment. Root length was measured from the tip of the primary root to the base of the hypocotyl, while shoot length was measured from the tip of the primary leaf to the base of the hypocotyl. Mean root length and mean shoot length were expressed in centimeters. Seedling length (cm) was calculated by adding root length and shoot length.</w:t>
      </w:r>
    </w:p>
    <w:p w:rsidR="00A61898" w:rsidRDefault="00C27C27">
      <w:pPr>
        <w:jc w:val="both"/>
        <w:rPr>
          <w:rFonts w:ascii="Times New Roman" w:hAnsi="Times New Roman" w:cs="Times New Roman"/>
        </w:rPr>
      </w:pPr>
      <w:r>
        <w:rPr>
          <w:rFonts w:ascii="Times New Roman" w:hAnsi="Times New Roman" w:cs="Times New Roman"/>
        </w:rPr>
        <w:t>Seedling vigour index (SVI) was calculated using the formula proposed by Abdul-Baki and Anderson (1973) and expressed as a whole number:</w:t>
      </w:r>
    </w:p>
    <w:p w:rsidR="00A61898" w:rsidRDefault="00C27C27">
      <w:pPr>
        <w:jc w:val="both"/>
        <w:rPr>
          <w:rFonts w:ascii="Times New Roman" w:hAnsi="Times New Roman" w:cs="Times New Roman"/>
          <w:b/>
          <w:bCs/>
        </w:rPr>
      </w:pPr>
      <m:oMathPara>
        <m:oMath>
          <m:r>
            <m:rPr>
              <m:nor/>
            </m:rPr>
            <w:rPr>
              <w:rFonts w:ascii="Times New Roman" w:hAnsi="Times New Roman" w:cs="Times New Roman"/>
            </w:rPr>
            <m:t>Seedling Vigour Index</m:t>
          </m:r>
          <m:r>
            <w:rPr>
              <w:rFonts w:ascii="Cambria Math" w:hAnsi="Cambria Math" w:cs="Times New Roman"/>
            </w:rPr>
            <m:t>=</m:t>
          </m:r>
          <m:r>
            <m:rPr>
              <m:nor/>
            </m:rPr>
            <w:rPr>
              <w:rFonts w:ascii="Times New Roman" w:hAnsi="Times New Roman" w:cs="Times New Roman"/>
            </w:rPr>
            <m:t>Germination (%)</m:t>
          </m:r>
          <m:r>
            <w:rPr>
              <w:rFonts w:ascii="Cambria Math" w:hAnsi="Cambria Math" w:cs="Times New Roman"/>
            </w:rPr>
            <m:t>×</m:t>
          </m:r>
          <m:r>
            <m:rPr>
              <m:nor/>
            </m:rPr>
            <w:rPr>
              <w:rFonts w:ascii="Times New Roman" w:hAnsi="Times New Roman" w:cs="Times New Roman"/>
            </w:rPr>
            <m:t>Seedling length (cm)</m:t>
          </m:r>
          <m:r>
            <m:rPr>
              <m:sty m:val="p"/>
            </m:rPr>
            <w:rPr>
              <w:rFonts w:ascii="Times New Roman" w:hAnsi="Times New Roman" w:cs="Times New Roman"/>
            </w:rPr>
            <w:br/>
          </m:r>
        </m:oMath>
      </m:oMathPara>
    </w:p>
    <w:p w:rsidR="00A61898" w:rsidRDefault="00C27C27">
      <w:pPr>
        <w:shd w:val="clear" w:color="auto" w:fill="FFFFFF"/>
        <w:spacing w:line="240" w:lineRule="auto"/>
        <w:jc w:val="both"/>
        <w:rPr>
          <w:rFonts w:ascii="Times New Roman" w:eastAsia="Times New Roman" w:hAnsi="Times New Roman" w:cs="Times New Roman"/>
          <w:b/>
        </w:rPr>
      </w:pPr>
      <w:r>
        <w:rPr>
          <w:rFonts w:ascii="Times New Roman" w:eastAsia="Times New Roman" w:hAnsi="Times New Roman" w:cs="Times New Roman"/>
          <w:b/>
        </w:rPr>
        <w:t>Result and Discussion</w:t>
      </w:r>
    </w:p>
    <w:p w:rsidR="00A61898" w:rsidRDefault="00C27C27">
      <w:pPr>
        <w:shd w:val="clear" w:color="auto" w:fill="FFFFFF"/>
        <w:spacing w:before="240" w:line="240" w:lineRule="auto"/>
        <w:jc w:val="center"/>
        <w:rPr>
          <w:rFonts w:ascii="Times New Roman" w:eastAsia="Times New Roman" w:hAnsi="Times New Roman" w:cs="Times New Roman"/>
          <w:b/>
        </w:rPr>
      </w:pPr>
      <w:r>
        <w:rPr>
          <w:rFonts w:ascii="Times New Roman" w:eastAsia="Times New Roman" w:hAnsi="Times New Roman" w:cs="Times New Roman"/>
          <w:b/>
        </w:rPr>
        <w:t>Table 1: Effect of PEG on Seed morphological and developmental parameter</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88"/>
        <w:gridCol w:w="3118"/>
        <w:gridCol w:w="1559"/>
        <w:gridCol w:w="1134"/>
        <w:gridCol w:w="1276"/>
        <w:gridCol w:w="1275"/>
      </w:tblGrid>
      <w:tr w:rsidR="00A61898">
        <w:tc>
          <w:tcPr>
            <w:tcW w:w="988" w:type="dxa"/>
          </w:tcPr>
          <w:p w:rsidR="00A61898" w:rsidRDefault="00C27C27">
            <w:pPr>
              <w:jc w:val="center"/>
              <w:rPr>
                <w:rFonts w:ascii="Times New Roman" w:eastAsia="Times New Roman" w:hAnsi="Times New Roman" w:cs="Times New Roman"/>
                <w:b/>
              </w:rPr>
            </w:pPr>
            <w:r>
              <w:rPr>
                <w:rFonts w:ascii="Times New Roman" w:eastAsia="Times New Roman" w:hAnsi="Times New Roman" w:cs="Times New Roman"/>
                <w:b/>
              </w:rPr>
              <w:t>Sr. No.</w:t>
            </w:r>
          </w:p>
        </w:tc>
        <w:tc>
          <w:tcPr>
            <w:tcW w:w="3118"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Parameters</w:t>
            </w:r>
          </w:p>
        </w:tc>
        <w:tc>
          <w:tcPr>
            <w:tcW w:w="1559"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Control</w:t>
            </w:r>
          </w:p>
        </w:tc>
        <w:tc>
          <w:tcPr>
            <w:tcW w:w="1134"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2%PEG</w:t>
            </w:r>
          </w:p>
        </w:tc>
        <w:tc>
          <w:tcPr>
            <w:tcW w:w="1276"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4%PEG</w:t>
            </w:r>
          </w:p>
        </w:tc>
        <w:tc>
          <w:tcPr>
            <w:tcW w:w="1275"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6%PEG</w:t>
            </w:r>
          </w:p>
        </w:tc>
      </w:tr>
      <w:tr w:rsidR="00A61898">
        <w:tc>
          <w:tcPr>
            <w:tcW w:w="988" w:type="dxa"/>
          </w:tcPr>
          <w:p w:rsidR="00A61898" w:rsidRDefault="00C27C27">
            <w:pPr>
              <w:jc w:val="center"/>
              <w:rPr>
                <w:rFonts w:ascii="Times New Roman" w:eastAsia="Times New Roman" w:hAnsi="Times New Roman" w:cs="Times New Roman"/>
                <w:b/>
              </w:rPr>
            </w:pPr>
            <w:r>
              <w:rPr>
                <w:rFonts w:ascii="Times New Roman" w:eastAsia="Times New Roman" w:hAnsi="Times New Roman" w:cs="Times New Roman"/>
                <w:b/>
              </w:rPr>
              <w:t>1</w:t>
            </w:r>
          </w:p>
        </w:tc>
        <w:tc>
          <w:tcPr>
            <w:tcW w:w="3118"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Seedling germination %</w:t>
            </w:r>
          </w:p>
        </w:tc>
        <w:tc>
          <w:tcPr>
            <w:tcW w:w="1559"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100%</w:t>
            </w:r>
          </w:p>
        </w:tc>
        <w:tc>
          <w:tcPr>
            <w:tcW w:w="1134"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97%</w:t>
            </w:r>
          </w:p>
        </w:tc>
        <w:tc>
          <w:tcPr>
            <w:tcW w:w="1276"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92%</w:t>
            </w:r>
          </w:p>
        </w:tc>
        <w:tc>
          <w:tcPr>
            <w:tcW w:w="1275"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88%</w:t>
            </w:r>
          </w:p>
        </w:tc>
      </w:tr>
      <w:tr w:rsidR="00A61898">
        <w:tc>
          <w:tcPr>
            <w:tcW w:w="988" w:type="dxa"/>
          </w:tcPr>
          <w:p w:rsidR="00A61898" w:rsidRDefault="00C27C27">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3118"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Mean seedling length (cm)</w:t>
            </w:r>
          </w:p>
        </w:tc>
        <w:tc>
          <w:tcPr>
            <w:tcW w:w="1559"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22.65</w:t>
            </w:r>
          </w:p>
        </w:tc>
        <w:tc>
          <w:tcPr>
            <w:tcW w:w="1134"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20.2</w:t>
            </w:r>
          </w:p>
        </w:tc>
        <w:tc>
          <w:tcPr>
            <w:tcW w:w="1276"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16.54</w:t>
            </w:r>
          </w:p>
        </w:tc>
        <w:tc>
          <w:tcPr>
            <w:tcW w:w="1275"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11</w:t>
            </w:r>
          </w:p>
        </w:tc>
      </w:tr>
      <w:tr w:rsidR="00A61898">
        <w:tc>
          <w:tcPr>
            <w:tcW w:w="988" w:type="dxa"/>
          </w:tcPr>
          <w:p w:rsidR="00A61898" w:rsidRDefault="00C27C27">
            <w:pPr>
              <w:jc w:val="center"/>
              <w:rPr>
                <w:rFonts w:ascii="Times New Roman" w:eastAsia="Times New Roman" w:hAnsi="Times New Roman" w:cs="Times New Roman"/>
                <w:b/>
              </w:rPr>
            </w:pPr>
            <w:r>
              <w:rPr>
                <w:rFonts w:ascii="Times New Roman" w:eastAsia="Times New Roman" w:hAnsi="Times New Roman" w:cs="Times New Roman"/>
                <w:b/>
              </w:rPr>
              <w:t>3</w:t>
            </w:r>
          </w:p>
        </w:tc>
        <w:tc>
          <w:tcPr>
            <w:tcW w:w="3118"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Mean root length (cm)</w:t>
            </w:r>
          </w:p>
        </w:tc>
        <w:tc>
          <w:tcPr>
            <w:tcW w:w="1559"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11.5</w:t>
            </w:r>
          </w:p>
        </w:tc>
        <w:tc>
          <w:tcPr>
            <w:tcW w:w="1134"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8</w:t>
            </w:r>
          </w:p>
        </w:tc>
        <w:tc>
          <w:tcPr>
            <w:tcW w:w="1276"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7.94</w:t>
            </w:r>
          </w:p>
        </w:tc>
        <w:tc>
          <w:tcPr>
            <w:tcW w:w="1275"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5.8</w:t>
            </w:r>
          </w:p>
        </w:tc>
      </w:tr>
      <w:tr w:rsidR="00A61898">
        <w:tc>
          <w:tcPr>
            <w:tcW w:w="988" w:type="dxa"/>
          </w:tcPr>
          <w:p w:rsidR="00A61898" w:rsidRDefault="00C27C27">
            <w:pPr>
              <w:jc w:val="center"/>
              <w:rPr>
                <w:rFonts w:ascii="Times New Roman" w:eastAsia="Times New Roman" w:hAnsi="Times New Roman" w:cs="Times New Roman"/>
                <w:b/>
              </w:rPr>
            </w:pPr>
            <w:r>
              <w:rPr>
                <w:rFonts w:ascii="Times New Roman" w:eastAsia="Times New Roman" w:hAnsi="Times New Roman" w:cs="Times New Roman"/>
                <w:b/>
              </w:rPr>
              <w:t>4</w:t>
            </w:r>
          </w:p>
        </w:tc>
        <w:tc>
          <w:tcPr>
            <w:tcW w:w="3118"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Mean shoot length (cm)</w:t>
            </w:r>
          </w:p>
        </w:tc>
        <w:tc>
          <w:tcPr>
            <w:tcW w:w="1559"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11.15</w:t>
            </w:r>
          </w:p>
        </w:tc>
        <w:tc>
          <w:tcPr>
            <w:tcW w:w="1134"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12.2</w:t>
            </w:r>
          </w:p>
        </w:tc>
        <w:tc>
          <w:tcPr>
            <w:tcW w:w="1276"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8.6</w:t>
            </w:r>
          </w:p>
        </w:tc>
        <w:tc>
          <w:tcPr>
            <w:tcW w:w="1275"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5.25</w:t>
            </w:r>
          </w:p>
        </w:tc>
      </w:tr>
      <w:tr w:rsidR="00A61898">
        <w:tc>
          <w:tcPr>
            <w:tcW w:w="988" w:type="dxa"/>
          </w:tcPr>
          <w:p w:rsidR="00A61898" w:rsidRDefault="00C27C27">
            <w:pPr>
              <w:jc w:val="center"/>
              <w:rPr>
                <w:rFonts w:ascii="Times New Roman" w:eastAsia="Times New Roman" w:hAnsi="Times New Roman" w:cs="Times New Roman"/>
                <w:b/>
              </w:rPr>
            </w:pPr>
            <w:r>
              <w:rPr>
                <w:rFonts w:ascii="Times New Roman" w:eastAsia="Times New Roman" w:hAnsi="Times New Roman" w:cs="Times New Roman"/>
                <w:b/>
              </w:rPr>
              <w:t>5</w:t>
            </w:r>
          </w:p>
        </w:tc>
        <w:tc>
          <w:tcPr>
            <w:tcW w:w="3118"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Mean leaf number</w:t>
            </w:r>
          </w:p>
        </w:tc>
        <w:tc>
          <w:tcPr>
            <w:tcW w:w="1559"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3.66</w:t>
            </w:r>
          </w:p>
        </w:tc>
        <w:tc>
          <w:tcPr>
            <w:tcW w:w="1134"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3.25</w:t>
            </w:r>
          </w:p>
        </w:tc>
        <w:tc>
          <w:tcPr>
            <w:tcW w:w="1276"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2.41</w:t>
            </w:r>
          </w:p>
        </w:tc>
        <w:tc>
          <w:tcPr>
            <w:tcW w:w="1275"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2.1</w:t>
            </w:r>
          </w:p>
        </w:tc>
      </w:tr>
      <w:tr w:rsidR="00A61898">
        <w:tc>
          <w:tcPr>
            <w:tcW w:w="988" w:type="dxa"/>
          </w:tcPr>
          <w:p w:rsidR="00A61898" w:rsidRDefault="00C27C27">
            <w:pPr>
              <w:jc w:val="center"/>
              <w:rPr>
                <w:rFonts w:ascii="Times New Roman" w:eastAsia="Times New Roman" w:hAnsi="Times New Roman" w:cs="Times New Roman"/>
                <w:b/>
              </w:rPr>
            </w:pPr>
            <w:r>
              <w:rPr>
                <w:rFonts w:ascii="Times New Roman" w:eastAsia="Times New Roman" w:hAnsi="Times New Roman" w:cs="Times New Roman"/>
                <w:b/>
              </w:rPr>
              <w:t>6</w:t>
            </w:r>
          </w:p>
        </w:tc>
        <w:tc>
          <w:tcPr>
            <w:tcW w:w="3118"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SVI</w:t>
            </w:r>
          </w:p>
        </w:tc>
        <w:tc>
          <w:tcPr>
            <w:tcW w:w="1559"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22.65</w:t>
            </w:r>
          </w:p>
        </w:tc>
        <w:tc>
          <w:tcPr>
            <w:tcW w:w="1134"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19.59</w:t>
            </w:r>
          </w:p>
        </w:tc>
        <w:tc>
          <w:tcPr>
            <w:tcW w:w="1276"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15.21</w:t>
            </w:r>
          </w:p>
        </w:tc>
        <w:tc>
          <w:tcPr>
            <w:tcW w:w="1275"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9.68</w:t>
            </w:r>
          </w:p>
        </w:tc>
      </w:tr>
    </w:tbl>
    <w:p w:rsidR="00A61898" w:rsidRDefault="00A61898">
      <w:pPr>
        <w:shd w:val="clear" w:color="auto" w:fill="FFFFFF"/>
        <w:spacing w:before="240" w:line="240" w:lineRule="auto"/>
        <w:jc w:val="center"/>
        <w:rPr>
          <w:rFonts w:ascii="Times New Roman" w:eastAsia="Times New Roman" w:hAnsi="Times New Roman" w:cs="Times New Roman"/>
        </w:rPr>
      </w:pPr>
    </w:p>
    <w:p w:rsidR="00A61898" w:rsidRDefault="00C27C27">
      <w:pPr>
        <w:shd w:val="clear" w:color="auto" w:fill="FFFFFF"/>
        <w:spacing w:before="240" w:line="240" w:lineRule="auto"/>
        <w:jc w:val="center"/>
        <w:rPr>
          <w:rFonts w:ascii="Times New Roman" w:eastAsia="Times New Roman" w:hAnsi="Times New Roman" w:cs="Times New Roman"/>
          <w:b/>
        </w:rPr>
      </w:pPr>
      <w:r>
        <w:rPr>
          <w:rFonts w:ascii="Times New Roman" w:eastAsia="Times New Roman" w:hAnsi="Times New Roman" w:cs="Times New Roman"/>
          <w:b/>
        </w:rPr>
        <w:t>Table 2: Effect of PEG on Anti-oxidant Enzyme activity in different samples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96"/>
        <w:gridCol w:w="2978"/>
        <w:gridCol w:w="2338"/>
        <w:gridCol w:w="2338"/>
      </w:tblGrid>
      <w:tr w:rsidR="00A61898">
        <w:trPr>
          <w:trHeight w:val="578"/>
        </w:trPr>
        <w:tc>
          <w:tcPr>
            <w:tcW w:w="1696" w:type="dxa"/>
          </w:tcPr>
          <w:p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Sr. No.</w:t>
            </w:r>
          </w:p>
        </w:tc>
        <w:tc>
          <w:tcPr>
            <w:tcW w:w="2978" w:type="dxa"/>
          </w:tcPr>
          <w:p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Concentration of PEG</w:t>
            </w:r>
          </w:p>
        </w:tc>
        <w:tc>
          <w:tcPr>
            <w:tcW w:w="2338" w:type="dxa"/>
          </w:tcPr>
          <w:p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Peroxidase (mol/min/gm)</w:t>
            </w:r>
          </w:p>
        </w:tc>
        <w:tc>
          <w:tcPr>
            <w:tcW w:w="2338" w:type="dxa"/>
          </w:tcPr>
          <w:p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PPO (mol/min/gm)</w:t>
            </w:r>
          </w:p>
        </w:tc>
      </w:tr>
      <w:tr w:rsidR="00A61898">
        <w:tc>
          <w:tcPr>
            <w:tcW w:w="1696" w:type="dxa"/>
          </w:tcPr>
          <w:p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1</w:t>
            </w:r>
          </w:p>
        </w:tc>
        <w:tc>
          <w:tcPr>
            <w:tcW w:w="2978" w:type="dxa"/>
          </w:tcPr>
          <w:p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Control</w:t>
            </w:r>
          </w:p>
        </w:tc>
        <w:tc>
          <w:tcPr>
            <w:tcW w:w="2338"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0.408</w:t>
            </w:r>
          </w:p>
        </w:tc>
        <w:tc>
          <w:tcPr>
            <w:tcW w:w="2338"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0.044</w:t>
            </w:r>
          </w:p>
        </w:tc>
      </w:tr>
      <w:tr w:rsidR="00A61898">
        <w:tc>
          <w:tcPr>
            <w:tcW w:w="1696" w:type="dxa"/>
          </w:tcPr>
          <w:p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2</w:t>
            </w:r>
          </w:p>
        </w:tc>
        <w:tc>
          <w:tcPr>
            <w:tcW w:w="2978" w:type="dxa"/>
          </w:tcPr>
          <w:p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2%</w:t>
            </w:r>
          </w:p>
        </w:tc>
        <w:tc>
          <w:tcPr>
            <w:tcW w:w="2338"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0.496</w:t>
            </w:r>
          </w:p>
        </w:tc>
        <w:tc>
          <w:tcPr>
            <w:tcW w:w="2338"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0.076</w:t>
            </w:r>
          </w:p>
        </w:tc>
      </w:tr>
      <w:tr w:rsidR="00A61898">
        <w:tc>
          <w:tcPr>
            <w:tcW w:w="1696" w:type="dxa"/>
          </w:tcPr>
          <w:p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3</w:t>
            </w:r>
          </w:p>
        </w:tc>
        <w:tc>
          <w:tcPr>
            <w:tcW w:w="2978" w:type="dxa"/>
          </w:tcPr>
          <w:p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4%</w:t>
            </w:r>
          </w:p>
        </w:tc>
        <w:tc>
          <w:tcPr>
            <w:tcW w:w="2338"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0.5</w:t>
            </w:r>
          </w:p>
        </w:tc>
        <w:tc>
          <w:tcPr>
            <w:tcW w:w="2338"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0.096</w:t>
            </w:r>
          </w:p>
        </w:tc>
      </w:tr>
      <w:tr w:rsidR="00A61898">
        <w:tc>
          <w:tcPr>
            <w:tcW w:w="1696" w:type="dxa"/>
          </w:tcPr>
          <w:p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lastRenderedPageBreak/>
              <w:t>4</w:t>
            </w:r>
          </w:p>
        </w:tc>
        <w:tc>
          <w:tcPr>
            <w:tcW w:w="2978" w:type="dxa"/>
          </w:tcPr>
          <w:p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6%</w:t>
            </w:r>
          </w:p>
        </w:tc>
        <w:tc>
          <w:tcPr>
            <w:tcW w:w="2338"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0.904</w:t>
            </w:r>
          </w:p>
        </w:tc>
        <w:tc>
          <w:tcPr>
            <w:tcW w:w="2338" w:type="dxa"/>
          </w:tcPr>
          <w:p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0.112</w:t>
            </w:r>
          </w:p>
        </w:tc>
      </w:tr>
    </w:tbl>
    <w:p w:rsidR="00A61898" w:rsidRDefault="00A61898">
      <w:pPr>
        <w:jc w:val="both"/>
        <w:rPr>
          <w:rFonts w:ascii="Times New Roman" w:hAnsi="Times New Roman" w:cs="Times New Roman"/>
          <w:b/>
          <w:bCs/>
        </w:rPr>
      </w:pPr>
    </w:p>
    <w:p w:rsidR="00A61898" w:rsidRDefault="00C27C27">
      <w:pPr>
        <w:jc w:val="center"/>
        <w:rPr>
          <w:rFonts w:ascii="Times New Roman" w:hAnsi="Times New Roman" w:cs="Times New Roman"/>
          <w:b/>
          <w:bCs/>
        </w:rPr>
      </w:pPr>
      <w:r>
        <w:rPr>
          <w:rFonts w:ascii="Times New Roman" w:eastAsia="Times New Roman" w:hAnsi="Times New Roman" w:cs="Times New Roman"/>
          <w:noProof/>
          <w:lang w:bidi="hi-IN"/>
        </w:rPr>
        <w:drawing>
          <wp:inline distT="0" distB="0" distL="0" distR="0">
            <wp:extent cx="4584700" cy="2755900"/>
            <wp:effectExtent l="0" t="0" r="0" b="0"/>
            <wp:docPr id="1026"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8" cstate="print"/>
                    <a:srcRect/>
                    <a:stretch/>
                  </pic:blipFill>
                  <pic:spPr>
                    <a:xfrm>
                      <a:off x="0" y="0"/>
                      <a:ext cx="4584700" cy="2755900"/>
                    </a:xfrm>
                    <a:prstGeom prst="rect">
                      <a:avLst/>
                    </a:prstGeom>
                    <a:ln w="9525" cap="flat" cmpd="sng">
                      <a:solidFill>
                        <a:srgbClr val="000000"/>
                      </a:solidFill>
                      <a:prstDash val="solid"/>
                      <a:round/>
                      <a:headEnd type="none" w="med" len="med"/>
                      <a:tailEnd type="none" w="med" len="med"/>
                    </a:ln>
                  </pic:spPr>
                </pic:pic>
              </a:graphicData>
            </a:graphic>
          </wp:inline>
        </w:drawing>
      </w:r>
    </w:p>
    <w:p w:rsidR="00A61898" w:rsidRDefault="00C27C27">
      <w:pPr>
        <w:shd w:val="clear" w:color="auto" w:fill="FFFFFF"/>
        <w:spacing w:before="240" w:line="240" w:lineRule="auto"/>
        <w:jc w:val="center"/>
        <w:rPr>
          <w:rFonts w:ascii="Times New Roman" w:eastAsia="Times New Roman" w:hAnsi="Times New Roman" w:cs="Times New Roman"/>
          <w:b/>
        </w:rPr>
      </w:pPr>
      <w:r>
        <w:rPr>
          <w:rFonts w:ascii="Times New Roman" w:eastAsia="Times New Roman" w:hAnsi="Times New Roman" w:cs="Times New Roman"/>
          <w:b/>
        </w:rPr>
        <w:t>Figure 1: Effect of various PEG concentration on Seed germination %</w:t>
      </w:r>
    </w:p>
    <w:p w:rsidR="00A61898" w:rsidRDefault="00A61898">
      <w:pPr>
        <w:shd w:val="clear" w:color="auto" w:fill="FFFFFF"/>
        <w:spacing w:before="240" w:line="240" w:lineRule="auto"/>
        <w:jc w:val="center"/>
        <w:rPr>
          <w:rFonts w:ascii="Times New Roman" w:eastAsia="Times New Roman" w:hAnsi="Times New Roman" w:cs="Times New Roman"/>
        </w:rPr>
      </w:pPr>
    </w:p>
    <w:p w:rsidR="00A61898" w:rsidRDefault="00C27C27">
      <w:pPr>
        <w:shd w:val="clear" w:color="auto" w:fill="FFFFFF"/>
        <w:spacing w:before="240" w:line="240" w:lineRule="auto"/>
        <w:jc w:val="center"/>
        <w:rPr>
          <w:rFonts w:ascii="Times New Roman" w:eastAsia="Times New Roman" w:hAnsi="Times New Roman" w:cs="Times New Roman"/>
        </w:rPr>
      </w:pPr>
      <w:r>
        <w:rPr>
          <w:rFonts w:ascii="Times New Roman" w:eastAsia="Times New Roman" w:hAnsi="Times New Roman" w:cs="Times New Roman"/>
          <w:noProof/>
          <w:lang w:bidi="hi-IN"/>
        </w:rPr>
        <w:drawing>
          <wp:inline distT="0" distB="0" distL="0" distR="0">
            <wp:extent cx="4822190" cy="2786380"/>
            <wp:effectExtent l="0" t="0" r="0" b="0"/>
            <wp:docPr id="1027"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srcRect/>
                    <a:stretch/>
                  </pic:blipFill>
                  <pic:spPr>
                    <a:xfrm>
                      <a:off x="0" y="0"/>
                      <a:ext cx="4822190" cy="2786380"/>
                    </a:xfrm>
                    <a:prstGeom prst="rect">
                      <a:avLst/>
                    </a:prstGeom>
                    <a:ln w="9525" cap="flat" cmpd="sng">
                      <a:solidFill>
                        <a:srgbClr val="000000"/>
                      </a:solidFill>
                      <a:prstDash val="solid"/>
                      <a:round/>
                      <a:headEnd type="none" w="med" len="med"/>
                      <a:tailEnd type="none" w="med" len="med"/>
                    </a:ln>
                  </pic:spPr>
                </pic:pic>
              </a:graphicData>
            </a:graphic>
          </wp:inline>
        </w:drawing>
      </w:r>
    </w:p>
    <w:p w:rsidR="00A61898" w:rsidRDefault="00C27C27">
      <w:pPr>
        <w:shd w:val="clear" w:color="auto" w:fill="FFFFFF"/>
        <w:spacing w:before="240" w:line="240" w:lineRule="auto"/>
        <w:jc w:val="center"/>
        <w:rPr>
          <w:rFonts w:ascii="Times New Roman" w:eastAsia="Times New Roman" w:hAnsi="Times New Roman" w:cs="Times New Roman"/>
          <w:b/>
        </w:rPr>
      </w:pPr>
      <w:r>
        <w:rPr>
          <w:rFonts w:ascii="Times New Roman" w:eastAsia="Times New Roman" w:hAnsi="Times New Roman" w:cs="Times New Roman"/>
          <w:b/>
        </w:rPr>
        <w:t>Figure 2: Effect of various PEG concentrations on seed growth parameters</w:t>
      </w:r>
    </w:p>
    <w:p w:rsidR="00A61898" w:rsidRDefault="00A61898">
      <w:pPr>
        <w:shd w:val="clear" w:color="auto" w:fill="FFFFFF"/>
        <w:spacing w:before="240" w:line="240" w:lineRule="auto"/>
        <w:jc w:val="center"/>
        <w:rPr>
          <w:rFonts w:ascii="Times New Roman" w:eastAsia="Times New Roman" w:hAnsi="Times New Roman" w:cs="Times New Roman"/>
          <w:b/>
        </w:rPr>
      </w:pPr>
    </w:p>
    <w:p w:rsidR="00A61898" w:rsidRDefault="00A61898">
      <w:pPr>
        <w:shd w:val="clear" w:color="auto" w:fill="FFFFFF"/>
        <w:spacing w:before="240" w:line="240" w:lineRule="auto"/>
        <w:jc w:val="center"/>
        <w:rPr>
          <w:rFonts w:ascii="Times New Roman" w:eastAsia="Times New Roman" w:hAnsi="Times New Roman" w:cs="Times New Roman"/>
        </w:rPr>
      </w:pPr>
    </w:p>
    <w:p w:rsidR="00A61898" w:rsidRDefault="00C27C27">
      <w:pPr>
        <w:shd w:val="clear" w:color="auto" w:fill="FFFFFF"/>
        <w:spacing w:before="240" w:line="240" w:lineRule="auto"/>
        <w:jc w:val="center"/>
        <w:rPr>
          <w:rFonts w:ascii="Times New Roman" w:eastAsia="Times New Roman" w:hAnsi="Times New Roman" w:cs="Times New Roman"/>
        </w:rPr>
      </w:pPr>
      <w:r>
        <w:rPr>
          <w:rFonts w:ascii="Times New Roman" w:eastAsia="Times New Roman" w:hAnsi="Times New Roman" w:cs="Times New Roman"/>
          <w:noProof/>
          <w:lang w:bidi="hi-IN"/>
        </w:rPr>
        <w:lastRenderedPageBreak/>
        <w:drawing>
          <wp:inline distT="0" distB="0" distL="0" distR="0">
            <wp:extent cx="4584700" cy="2755900"/>
            <wp:effectExtent l="0" t="0" r="0" b="0"/>
            <wp:docPr id="1028" name="image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0" cstate="print"/>
                    <a:srcRect/>
                    <a:stretch/>
                  </pic:blipFill>
                  <pic:spPr>
                    <a:xfrm>
                      <a:off x="0" y="0"/>
                      <a:ext cx="4584700" cy="2755900"/>
                    </a:xfrm>
                    <a:prstGeom prst="rect">
                      <a:avLst/>
                    </a:prstGeom>
                    <a:ln w="9525" cap="flat" cmpd="sng">
                      <a:solidFill>
                        <a:srgbClr val="000000"/>
                      </a:solidFill>
                      <a:prstDash val="solid"/>
                      <a:round/>
                      <a:headEnd type="none" w="med" len="med"/>
                      <a:tailEnd type="none" w="med" len="med"/>
                    </a:ln>
                  </pic:spPr>
                </pic:pic>
              </a:graphicData>
            </a:graphic>
          </wp:inline>
        </w:drawing>
      </w:r>
    </w:p>
    <w:p w:rsidR="00A61898" w:rsidRDefault="00C27C27">
      <w:pPr>
        <w:shd w:val="clear" w:color="auto" w:fill="FFFFFF"/>
        <w:spacing w:before="240" w:line="240" w:lineRule="auto"/>
        <w:jc w:val="center"/>
        <w:rPr>
          <w:rFonts w:ascii="Times New Roman" w:eastAsia="Times New Roman" w:hAnsi="Times New Roman" w:cs="Times New Roman"/>
          <w:b/>
        </w:rPr>
      </w:pPr>
      <w:r>
        <w:rPr>
          <w:rFonts w:ascii="Times New Roman" w:eastAsia="Times New Roman" w:hAnsi="Times New Roman" w:cs="Times New Roman"/>
          <w:b/>
        </w:rPr>
        <w:t>Figure 3:  Effect of PEG on peroxidase</w:t>
      </w:r>
    </w:p>
    <w:p w:rsidR="00A61898" w:rsidRDefault="00C27C27">
      <w:pPr>
        <w:shd w:val="clear" w:color="auto" w:fill="FFFFFF"/>
        <w:spacing w:before="240" w:line="240" w:lineRule="auto"/>
        <w:jc w:val="center"/>
        <w:rPr>
          <w:rFonts w:ascii="Times New Roman" w:eastAsia="Times New Roman" w:hAnsi="Times New Roman" w:cs="Times New Roman"/>
        </w:rPr>
      </w:pPr>
      <w:r>
        <w:rPr>
          <w:rFonts w:ascii="Times New Roman" w:eastAsia="Times New Roman" w:hAnsi="Times New Roman" w:cs="Times New Roman"/>
          <w:noProof/>
          <w:lang w:bidi="hi-IN"/>
        </w:rPr>
        <w:drawing>
          <wp:inline distT="0" distB="0" distL="0" distR="0">
            <wp:extent cx="4249420" cy="2414270"/>
            <wp:effectExtent l="0" t="0" r="0" b="0"/>
            <wp:docPr id="1029"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r:embed="rId11" cstate="print"/>
                    <a:srcRect/>
                    <a:stretch/>
                  </pic:blipFill>
                  <pic:spPr>
                    <a:xfrm>
                      <a:off x="0" y="0"/>
                      <a:ext cx="4249420" cy="2414270"/>
                    </a:xfrm>
                    <a:prstGeom prst="rect">
                      <a:avLst/>
                    </a:prstGeom>
                    <a:ln w="9525" cap="flat" cmpd="sng">
                      <a:solidFill>
                        <a:srgbClr val="000000"/>
                      </a:solidFill>
                      <a:prstDash val="solid"/>
                      <a:round/>
                      <a:headEnd type="none" w="med" len="med"/>
                      <a:tailEnd type="none" w="med" len="med"/>
                    </a:ln>
                  </pic:spPr>
                </pic:pic>
              </a:graphicData>
            </a:graphic>
          </wp:inline>
        </w:drawing>
      </w:r>
    </w:p>
    <w:p w:rsidR="00A61898" w:rsidRDefault="00C27C27">
      <w:pPr>
        <w:shd w:val="clear" w:color="auto" w:fill="FFFFFF"/>
        <w:spacing w:before="240" w:line="240" w:lineRule="auto"/>
        <w:jc w:val="center"/>
        <w:rPr>
          <w:rFonts w:ascii="Times New Roman" w:eastAsia="Times New Roman" w:hAnsi="Times New Roman" w:cs="Times New Roman"/>
          <w:b/>
        </w:rPr>
      </w:pPr>
      <w:r>
        <w:rPr>
          <w:rFonts w:ascii="Times New Roman" w:eastAsia="Times New Roman" w:hAnsi="Times New Roman" w:cs="Times New Roman"/>
          <w:b/>
        </w:rPr>
        <w:t>Figure 4: Effect of PEG on Polyphenol oxidase (PPO)</w:t>
      </w:r>
    </w:p>
    <w:p w:rsidR="00A61898" w:rsidRDefault="00A61898">
      <w:pPr>
        <w:jc w:val="both"/>
        <w:rPr>
          <w:rFonts w:ascii="Times New Roman" w:hAnsi="Times New Roman" w:cs="Times New Roman"/>
          <w:b/>
          <w:bCs/>
        </w:rPr>
      </w:pPr>
    </w:p>
    <w:p w:rsidR="00A61898" w:rsidRDefault="00C27C27">
      <w:pPr>
        <w:jc w:val="both"/>
        <w:rPr>
          <w:rFonts w:ascii="Times New Roman" w:hAnsi="Times New Roman" w:cs="Times New Roman"/>
          <w:b/>
          <w:bCs/>
        </w:rPr>
      </w:pPr>
      <w:r>
        <w:rPr>
          <w:rFonts w:ascii="Times New Roman" w:hAnsi="Times New Roman" w:cs="Times New Roman"/>
          <w:b/>
          <w:bCs/>
        </w:rPr>
        <w:t>Seed Germination Percentage</w:t>
      </w:r>
    </w:p>
    <w:p w:rsidR="00A61898" w:rsidRDefault="00C27C27">
      <w:pPr>
        <w:jc w:val="both"/>
        <w:rPr>
          <w:rFonts w:ascii="Times New Roman" w:hAnsi="Times New Roman" w:cs="Times New Roman"/>
        </w:rPr>
      </w:pPr>
      <w:r>
        <w:rPr>
          <w:rFonts w:ascii="Times New Roman" w:hAnsi="Times New Roman" w:cs="Times New Roman"/>
        </w:rPr>
        <w:t>Seed germination is the most reliable indicator of seed viability. Drought stress poses a major constraint to agricultural productivity, particularly in arid and semi-arid regions, by adversely affecting seed germination and seedling establishment (Hossain et al., 2024). In the present study, 100% germination was observed under control conditions. However, with increasing PEG-induced drought stress, seed germination and early seedling establishment gradually declined from 100% to 88% (Table 1 and Figure 1).</w:t>
      </w:r>
    </w:p>
    <w:p w:rsidR="00A61898" w:rsidRDefault="00C27C27">
      <w:pPr>
        <w:jc w:val="both"/>
        <w:rPr>
          <w:rFonts w:ascii="Times New Roman" w:hAnsi="Times New Roman" w:cs="Times New Roman"/>
        </w:rPr>
      </w:pPr>
      <w:r>
        <w:rPr>
          <w:rFonts w:ascii="Times New Roman" w:hAnsi="Times New Roman" w:cs="Times New Roman"/>
        </w:rPr>
        <w:lastRenderedPageBreak/>
        <w:t xml:space="preserve">The reduction in germination under osmotic stress may be attributed to restricted water uptake, delayed metabolic activation, and hormonal imbalances, particularly increased abscisic acid (ABA) and decreased gibberellic acid (GA) activity. Reduced water availability hampers reserve mobilization, respiration, enzymatic and hormonal activities, and protoplasmic dilution required for embryonic growth (Li et al., 2021). Similar reductions in germination under osmotic stress have been reported earlier in lentil (Muscolo et al., 2014), tomato (Basha et al., 2015), wheat (Rana et al., 2017), alfalfa (Zhang et al., 2019), </w:t>
      </w:r>
      <w:r>
        <w:rPr>
          <w:rFonts w:ascii="Times New Roman" w:hAnsi="Times New Roman" w:cs="Times New Roman"/>
          <w:i/>
          <w:iCs/>
        </w:rPr>
        <w:t>Cicer</w:t>
      </w:r>
      <w:r>
        <w:rPr>
          <w:rFonts w:ascii="Times New Roman" w:hAnsi="Times New Roman" w:cs="Times New Roman"/>
        </w:rPr>
        <w:t xml:space="preserve"> (Koskosidis et al., 2020; Sari, 2023), </w:t>
      </w:r>
      <w:r>
        <w:rPr>
          <w:rFonts w:ascii="Times New Roman" w:hAnsi="Times New Roman" w:cs="Times New Roman"/>
          <w:i/>
          <w:iCs/>
        </w:rPr>
        <w:t>Glycyrrhiza</w:t>
      </w:r>
      <w:r>
        <w:rPr>
          <w:rFonts w:ascii="Times New Roman" w:hAnsi="Times New Roman" w:cs="Times New Roman"/>
        </w:rPr>
        <w:t xml:space="preserve"> (Hou and Ma, 2022), maize (Sajjad et al., 2023), Tartary buckwheat (Hossain et al., 2024), and </w:t>
      </w:r>
      <w:r>
        <w:rPr>
          <w:rFonts w:ascii="Times New Roman" w:hAnsi="Times New Roman" w:cs="Times New Roman"/>
          <w:i/>
          <w:iCs/>
        </w:rPr>
        <w:t>Coronilla varia</w:t>
      </w:r>
      <w:r>
        <w:rPr>
          <w:rFonts w:ascii="Times New Roman" w:hAnsi="Times New Roman" w:cs="Times New Roman"/>
        </w:rPr>
        <w:t xml:space="preserve"> L. (Ma et al., 2024).</w:t>
      </w:r>
    </w:p>
    <w:p w:rsidR="00A61898" w:rsidRDefault="00A61898">
      <w:pPr>
        <w:jc w:val="both"/>
        <w:rPr>
          <w:rFonts w:ascii="Times New Roman" w:hAnsi="Times New Roman" w:cs="Times New Roman"/>
        </w:rPr>
      </w:pPr>
    </w:p>
    <w:p w:rsidR="00A61898" w:rsidRDefault="00C27C27">
      <w:pPr>
        <w:jc w:val="both"/>
        <w:rPr>
          <w:rFonts w:ascii="Times New Roman" w:hAnsi="Times New Roman" w:cs="Times New Roman"/>
          <w:b/>
          <w:bCs/>
        </w:rPr>
      </w:pPr>
      <w:r>
        <w:rPr>
          <w:rFonts w:ascii="Times New Roman" w:hAnsi="Times New Roman" w:cs="Times New Roman"/>
          <w:b/>
          <w:bCs/>
        </w:rPr>
        <w:t>Shoot and Root Lengths</w:t>
      </w:r>
    </w:p>
    <w:p w:rsidR="00A61898" w:rsidRDefault="00C27C27">
      <w:pPr>
        <w:jc w:val="both"/>
        <w:rPr>
          <w:rFonts w:ascii="Times New Roman" w:hAnsi="Times New Roman" w:cs="Times New Roman"/>
        </w:rPr>
      </w:pPr>
      <w:r>
        <w:rPr>
          <w:rFonts w:ascii="Times New Roman" w:hAnsi="Times New Roman" w:cs="Times New Roman"/>
        </w:rPr>
        <w:t xml:space="preserve">Shoot and root lengths are important indicators of drought tolerance in plants. The results revealed a consistent decline in shoot length, root length, seedling length, and leaf number with increasing PEG concentration from 2% to 6% (Table 1 and Figure 2). This trend agrees with earlier findings reported in tomato (Basha et al., 2015), wheat (Rana et al., 2017), </w:t>
      </w:r>
      <w:r>
        <w:rPr>
          <w:rFonts w:ascii="Times New Roman" w:hAnsi="Times New Roman" w:cs="Times New Roman"/>
          <w:i/>
          <w:iCs/>
        </w:rPr>
        <w:t>Brassica</w:t>
      </w:r>
      <w:r>
        <w:rPr>
          <w:rFonts w:ascii="Times New Roman" w:hAnsi="Times New Roman" w:cs="Times New Roman"/>
        </w:rPr>
        <w:t xml:space="preserve"> (Buraniya et al., 2020; Elahi et al., 2023), maize (Sajjad et al., 2023), Tartary buckwheat (Hossain et al., 2024), and </w:t>
      </w:r>
      <w:r>
        <w:rPr>
          <w:rFonts w:ascii="Times New Roman" w:hAnsi="Times New Roman" w:cs="Times New Roman"/>
          <w:i/>
          <w:iCs/>
        </w:rPr>
        <w:t>Cicer</w:t>
      </w:r>
      <w:r>
        <w:rPr>
          <w:rFonts w:ascii="Times New Roman" w:hAnsi="Times New Roman" w:cs="Times New Roman"/>
        </w:rPr>
        <w:t xml:space="preserve"> (Keerthana et al., 2025; Indira et al., 2025).</w:t>
      </w:r>
    </w:p>
    <w:p w:rsidR="00A61898" w:rsidRDefault="00C27C27">
      <w:pPr>
        <w:jc w:val="both"/>
        <w:rPr>
          <w:rFonts w:ascii="Times New Roman" w:hAnsi="Times New Roman" w:cs="Times New Roman"/>
        </w:rPr>
      </w:pPr>
      <w:r>
        <w:rPr>
          <w:rFonts w:ascii="Times New Roman" w:hAnsi="Times New Roman" w:cs="Times New Roman"/>
        </w:rPr>
        <w:t>Polyethylene glycol induces water deficit conditions that reduce fresh and dry weights of shoots and roots, inhibit hypocotyl elongation, and suppress germination ability (Fathi et al., 2016; Farooq et al., 2016). Reduced plumule and radicle growth under osmotic stress has been previously reported in several plant species (Majid et al., 2022). This growth inhibition may be due to impaired nutrient transfer from seed storage tissues to the embryo and disruption of cell division and elongation in shoot and root meristems. Higher PEG concentrations impose severe stress, limiting both germination and seedling growth (Rana et al., 2017; Indira et al., 2025).</w:t>
      </w:r>
    </w:p>
    <w:p w:rsidR="00A61898" w:rsidRDefault="00A61898">
      <w:pPr>
        <w:jc w:val="both"/>
        <w:rPr>
          <w:rFonts w:ascii="Times New Roman" w:hAnsi="Times New Roman" w:cs="Times New Roman"/>
          <w:b/>
          <w:bCs/>
        </w:rPr>
      </w:pPr>
    </w:p>
    <w:p w:rsidR="00A61898" w:rsidRDefault="00C27C27">
      <w:pPr>
        <w:jc w:val="both"/>
        <w:rPr>
          <w:rFonts w:ascii="Times New Roman" w:hAnsi="Times New Roman" w:cs="Times New Roman"/>
          <w:b/>
          <w:bCs/>
        </w:rPr>
      </w:pPr>
      <w:r>
        <w:rPr>
          <w:rFonts w:ascii="Times New Roman" w:hAnsi="Times New Roman" w:cs="Times New Roman"/>
          <w:b/>
          <w:bCs/>
        </w:rPr>
        <w:t>Seedling Vigour Index (SVI)</w:t>
      </w:r>
    </w:p>
    <w:p w:rsidR="00A61898" w:rsidRDefault="00C27C27">
      <w:pPr>
        <w:jc w:val="both"/>
        <w:rPr>
          <w:rFonts w:ascii="Times New Roman" w:hAnsi="Times New Roman" w:cs="Times New Roman"/>
        </w:rPr>
      </w:pPr>
      <w:r>
        <w:rPr>
          <w:rFonts w:ascii="Times New Roman" w:hAnsi="Times New Roman" w:cs="Times New Roman"/>
        </w:rPr>
        <w:t>Seedling vigour index (SVI) is a reliable indicator of crop establishment potential and is widely used to classify genotypes based on drought tolerance (Koskosidis et al., 2020). In the present study, SVI was calculated as the product of germination percentage and seedling length. The highest SVI was recorded in seeds treated with 2% PEG, while the lowest SVI was observed at 6% PEG concentration (Table 1 and Figure 2).</w:t>
      </w:r>
    </w:p>
    <w:p w:rsidR="00A61898" w:rsidRDefault="00C27C27">
      <w:pPr>
        <w:jc w:val="both"/>
        <w:rPr>
          <w:rFonts w:ascii="Times New Roman" w:hAnsi="Times New Roman" w:cs="Times New Roman"/>
        </w:rPr>
      </w:pPr>
      <w:r>
        <w:rPr>
          <w:rFonts w:ascii="Times New Roman" w:hAnsi="Times New Roman" w:cs="Times New Roman"/>
        </w:rPr>
        <w:t xml:space="preserve">PEG priming significantly reduced SVI with increasing osmotic stress. These findings are consistent with previous studies in wheat (Rana et al., 2017), </w:t>
      </w:r>
      <w:r>
        <w:rPr>
          <w:rFonts w:ascii="Times New Roman" w:hAnsi="Times New Roman" w:cs="Times New Roman"/>
          <w:i/>
          <w:iCs/>
        </w:rPr>
        <w:t>Brassica</w:t>
      </w:r>
      <w:r>
        <w:rPr>
          <w:rFonts w:ascii="Times New Roman" w:hAnsi="Times New Roman" w:cs="Times New Roman"/>
        </w:rPr>
        <w:t xml:space="preserve"> (Buraniya et al., 2020), </w:t>
      </w:r>
      <w:r>
        <w:rPr>
          <w:rFonts w:ascii="Times New Roman" w:hAnsi="Times New Roman" w:cs="Times New Roman"/>
          <w:i/>
          <w:iCs/>
        </w:rPr>
        <w:t>Glycyrrhiza</w:t>
      </w:r>
      <w:r>
        <w:rPr>
          <w:rFonts w:ascii="Times New Roman" w:hAnsi="Times New Roman" w:cs="Times New Roman"/>
        </w:rPr>
        <w:t xml:space="preserve"> (Hou and Ma, 2022), and </w:t>
      </w:r>
      <w:r>
        <w:rPr>
          <w:rFonts w:ascii="Times New Roman" w:hAnsi="Times New Roman" w:cs="Times New Roman"/>
          <w:i/>
          <w:iCs/>
        </w:rPr>
        <w:t>Coronilla varia</w:t>
      </w:r>
      <w:r>
        <w:rPr>
          <w:rFonts w:ascii="Times New Roman" w:hAnsi="Times New Roman" w:cs="Times New Roman"/>
        </w:rPr>
        <w:t xml:space="preserve"> L. (Ma et al., 2024).</w:t>
      </w:r>
    </w:p>
    <w:p w:rsidR="00A61898" w:rsidRDefault="00A61898">
      <w:pPr>
        <w:jc w:val="both"/>
        <w:rPr>
          <w:rFonts w:ascii="Times New Roman" w:hAnsi="Times New Roman" w:cs="Times New Roman"/>
        </w:rPr>
      </w:pPr>
    </w:p>
    <w:p w:rsidR="00A61898" w:rsidRDefault="00C27C27">
      <w:pPr>
        <w:jc w:val="both"/>
        <w:rPr>
          <w:rFonts w:ascii="Times New Roman" w:hAnsi="Times New Roman" w:cs="Times New Roman"/>
          <w:b/>
          <w:bCs/>
        </w:rPr>
      </w:pPr>
      <w:r>
        <w:rPr>
          <w:rFonts w:ascii="Times New Roman" w:hAnsi="Times New Roman" w:cs="Times New Roman"/>
          <w:b/>
          <w:bCs/>
        </w:rPr>
        <w:lastRenderedPageBreak/>
        <w:t>Peroxidase Activity</w:t>
      </w:r>
    </w:p>
    <w:p w:rsidR="00A61898" w:rsidRDefault="00C27C27">
      <w:pPr>
        <w:jc w:val="both"/>
        <w:rPr>
          <w:rFonts w:ascii="Times New Roman" w:hAnsi="Times New Roman" w:cs="Times New Roman"/>
        </w:rPr>
      </w:pPr>
      <w:r>
        <w:rPr>
          <w:rFonts w:ascii="Times New Roman" w:hAnsi="Times New Roman" w:cs="Times New Roman"/>
        </w:rPr>
        <w:t xml:space="preserve">In the present investigation, peroxidase activity was highest in </w:t>
      </w:r>
      <w:r>
        <w:rPr>
          <w:rFonts w:ascii="Times New Roman" w:hAnsi="Times New Roman" w:cs="Times New Roman"/>
          <w:i/>
          <w:iCs/>
        </w:rPr>
        <w:t>Cicer</w:t>
      </w:r>
      <w:r>
        <w:rPr>
          <w:rFonts w:ascii="Times New Roman" w:hAnsi="Times New Roman" w:cs="Times New Roman"/>
        </w:rPr>
        <w:t xml:space="preserve"> seedlings treated with 6% PEG and lowest at 4% PEG concentration (Table 2 and Figure 3). These results corroborate earlier findings in rice (Hsu and Kao, 2003), </w:t>
      </w:r>
      <w:r>
        <w:rPr>
          <w:rFonts w:ascii="Times New Roman" w:hAnsi="Times New Roman" w:cs="Times New Roman"/>
          <w:i/>
          <w:iCs/>
        </w:rPr>
        <w:t>Glycine max</w:t>
      </w:r>
      <w:r>
        <w:rPr>
          <w:rFonts w:ascii="Times New Roman" w:hAnsi="Times New Roman" w:cs="Times New Roman"/>
        </w:rPr>
        <w:t xml:space="preserve"> (Weisany et al., 2012), </w:t>
      </w:r>
      <w:r>
        <w:rPr>
          <w:rFonts w:ascii="Times New Roman" w:hAnsi="Times New Roman" w:cs="Times New Roman"/>
          <w:i/>
          <w:iCs/>
        </w:rPr>
        <w:t>Hibiscus esculentus</w:t>
      </w:r>
      <w:r>
        <w:rPr>
          <w:rFonts w:ascii="Times New Roman" w:hAnsi="Times New Roman" w:cs="Times New Roman"/>
        </w:rPr>
        <w:t xml:space="preserve"> (Youssaf and Azooz, 2013), triticale (Kheirizadeh Arough et al., 2016), </w:t>
      </w:r>
      <w:r>
        <w:rPr>
          <w:rFonts w:ascii="Times New Roman" w:hAnsi="Times New Roman" w:cs="Times New Roman"/>
          <w:i/>
          <w:iCs/>
        </w:rPr>
        <w:t>Stevia rebaudiana</w:t>
      </w:r>
      <w:r>
        <w:rPr>
          <w:rFonts w:ascii="Times New Roman" w:hAnsi="Times New Roman" w:cs="Times New Roman"/>
        </w:rPr>
        <w:t xml:space="preserve"> (Hajihashemi and Sofo, 2018), Tartary buckwheat (Hossain et al., 2024), and </w:t>
      </w:r>
      <w:r>
        <w:rPr>
          <w:rFonts w:ascii="Times New Roman" w:hAnsi="Times New Roman" w:cs="Times New Roman"/>
          <w:i/>
          <w:iCs/>
        </w:rPr>
        <w:t>Coronilla varia</w:t>
      </w:r>
      <w:r>
        <w:rPr>
          <w:rFonts w:ascii="Times New Roman" w:hAnsi="Times New Roman" w:cs="Times New Roman"/>
        </w:rPr>
        <w:t xml:space="preserve"> L. (Ma et al., 2024).</w:t>
      </w:r>
    </w:p>
    <w:p w:rsidR="00A61898" w:rsidRDefault="00C27C27">
      <w:pPr>
        <w:jc w:val="both"/>
        <w:rPr>
          <w:rFonts w:ascii="Times New Roman" w:hAnsi="Times New Roman" w:cs="Times New Roman"/>
        </w:rPr>
      </w:pPr>
      <w:r>
        <w:rPr>
          <w:rFonts w:ascii="Times New Roman" w:hAnsi="Times New Roman" w:cs="Times New Roman"/>
        </w:rPr>
        <w:t>The progressive increase in peroxidase activity with increasing PEG concentration suggests activation of a secondary defense mechanism against oxidative stress. Enhanced peroxidase activity facilitates the utilization of hydrogen peroxide, thereby reducing lipid peroxidation and cellular damage caused by stress (Roychoudhary and Ghosh, 2013; Srivastava, 2022, 2023).</w:t>
      </w:r>
    </w:p>
    <w:p w:rsidR="00A61898" w:rsidRDefault="00A61898">
      <w:pPr>
        <w:jc w:val="both"/>
        <w:rPr>
          <w:rFonts w:ascii="Times New Roman" w:hAnsi="Times New Roman" w:cs="Times New Roman"/>
        </w:rPr>
      </w:pPr>
    </w:p>
    <w:p w:rsidR="00A61898" w:rsidRDefault="00C27C27">
      <w:pPr>
        <w:jc w:val="both"/>
        <w:rPr>
          <w:rFonts w:ascii="Times New Roman" w:hAnsi="Times New Roman" w:cs="Times New Roman"/>
          <w:b/>
          <w:bCs/>
        </w:rPr>
      </w:pPr>
      <w:r>
        <w:rPr>
          <w:rFonts w:ascii="Times New Roman" w:hAnsi="Times New Roman" w:cs="Times New Roman"/>
          <w:b/>
          <w:bCs/>
        </w:rPr>
        <w:t>Polyphenol Oxidase (PPO) Activity</w:t>
      </w:r>
    </w:p>
    <w:p w:rsidR="00A61898" w:rsidRDefault="00C27C27">
      <w:pPr>
        <w:jc w:val="both"/>
        <w:rPr>
          <w:rFonts w:ascii="Times New Roman" w:hAnsi="Times New Roman" w:cs="Times New Roman"/>
        </w:rPr>
      </w:pPr>
      <w:r>
        <w:rPr>
          <w:rFonts w:ascii="Times New Roman" w:hAnsi="Times New Roman" w:cs="Times New Roman"/>
        </w:rPr>
        <w:t xml:space="preserve">The highest PPO activity was recorded in </w:t>
      </w:r>
      <w:r>
        <w:rPr>
          <w:rFonts w:ascii="Times New Roman" w:hAnsi="Times New Roman" w:cs="Times New Roman"/>
          <w:i/>
          <w:iCs/>
        </w:rPr>
        <w:t>Cicer</w:t>
      </w:r>
      <w:r>
        <w:rPr>
          <w:rFonts w:ascii="Times New Roman" w:hAnsi="Times New Roman" w:cs="Times New Roman"/>
        </w:rPr>
        <w:t xml:space="preserve"> seedlings treated with 6% PEG, while the lowest activity was observed at 2% PEG concentration (Table 2 and Figure 4). Similar trends have been reported in </w:t>
      </w:r>
      <w:r>
        <w:rPr>
          <w:rFonts w:ascii="Times New Roman" w:hAnsi="Times New Roman" w:cs="Times New Roman"/>
          <w:i/>
          <w:iCs/>
        </w:rPr>
        <w:t>Glycine max</w:t>
      </w:r>
      <w:r>
        <w:rPr>
          <w:rFonts w:ascii="Times New Roman" w:hAnsi="Times New Roman" w:cs="Times New Roman"/>
        </w:rPr>
        <w:t xml:space="preserve"> (Weisany et al., 2012), triticale (Kheirizadeh Arough et al., 2016), </w:t>
      </w:r>
      <w:r>
        <w:rPr>
          <w:rFonts w:ascii="Times New Roman" w:hAnsi="Times New Roman" w:cs="Times New Roman"/>
          <w:i/>
          <w:iCs/>
        </w:rPr>
        <w:t>Stevia rebaudiana</w:t>
      </w:r>
      <w:r>
        <w:rPr>
          <w:rFonts w:ascii="Times New Roman" w:hAnsi="Times New Roman" w:cs="Times New Roman"/>
        </w:rPr>
        <w:t xml:space="preserve"> (Hajihashemi and Sofo, 2018), and Tartary buckwheat (Hossain et al., 2024).</w:t>
      </w:r>
    </w:p>
    <w:p w:rsidR="00A61898" w:rsidRDefault="00C27C27">
      <w:pPr>
        <w:jc w:val="both"/>
        <w:rPr>
          <w:rFonts w:ascii="Times New Roman" w:hAnsi="Times New Roman" w:cs="Times New Roman"/>
        </w:rPr>
      </w:pPr>
      <w:r>
        <w:rPr>
          <w:rFonts w:ascii="Times New Roman" w:hAnsi="Times New Roman" w:cs="Times New Roman"/>
        </w:rPr>
        <w:t>Plants possess both enzymatic (superoxide dismutase, catalase, peroxidases) and non-enzymatic (ascorbic acid, glutathione, tocopherols) antioxidant defense systems to mitigate reactive oxygen species (ROS)-induced damage. PPO plays a vital role in oxidizing phenolic compounds into quinones, thereby enhancing stress tolerance and maintaining oxidative balance (Pastori and Foyer, 2002; Hossain et al., 2024).</w:t>
      </w:r>
    </w:p>
    <w:p w:rsidR="00A61898" w:rsidRDefault="00A61898">
      <w:pPr>
        <w:jc w:val="both"/>
        <w:rPr>
          <w:rFonts w:ascii="Times New Roman" w:hAnsi="Times New Roman" w:cs="Times New Roman"/>
        </w:rPr>
      </w:pPr>
    </w:p>
    <w:p w:rsidR="00A61898" w:rsidRDefault="00C27C27">
      <w:pPr>
        <w:jc w:val="both"/>
        <w:rPr>
          <w:rFonts w:ascii="Times New Roman" w:hAnsi="Times New Roman" w:cs="Times New Roman"/>
          <w:b/>
          <w:bCs/>
        </w:rPr>
      </w:pPr>
      <w:r>
        <w:rPr>
          <w:rFonts w:ascii="Times New Roman" w:hAnsi="Times New Roman" w:cs="Times New Roman"/>
          <w:b/>
          <w:bCs/>
        </w:rPr>
        <w:t>Conclusion</w:t>
      </w:r>
    </w:p>
    <w:p w:rsidR="00A61898" w:rsidRDefault="00C27C27">
      <w:pPr>
        <w:jc w:val="both"/>
        <w:rPr>
          <w:rFonts w:ascii="Times New Roman" w:hAnsi="Times New Roman" w:cs="Times New Roman"/>
        </w:rPr>
      </w:pPr>
      <w:r>
        <w:rPr>
          <w:rFonts w:ascii="Times New Roman" w:hAnsi="Times New Roman" w:cs="Times New Roman"/>
        </w:rPr>
        <w:t xml:space="preserve">The present study investigated the effects of PEG-induced osmotic stress on seed germination, seedling growth, and antioxidant enzyme activities in </w:t>
      </w:r>
      <w:r>
        <w:rPr>
          <w:rFonts w:ascii="Times New Roman" w:hAnsi="Times New Roman" w:cs="Times New Roman"/>
          <w:i/>
          <w:iCs/>
        </w:rPr>
        <w:t>Cicer arietinum</w:t>
      </w:r>
      <w:r>
        <w:rPr>
          <w:rFonts w:ascii="Times New Roman" w:hAnsi="Times New Roman" w:cs="Times New Roman"/>
        </w:rPr>
        <w:t>. Increasing PEG concentration significantly reduced germination percentage, seedling growth, and seedling vigour index, indicating the detrimental effects of severe osmotic stress. However, lower PEG concentrations demonstrated relatively better morphological performance, suggesting their potential role in stress acclimation.</w:t>
      </w:r>
    </w:p>
    <w:p w:rsidR="00A61898" w:rsidRDefault="00C27C27">
      <w:pPr>
        <w:jc w:val="both"/>
        <w:rPr>
          <w:rFonts w:ascii="Times New Roman" w:hAnsi="Times New Roman" w:cs="Times New Roman"/>
        </w:rPr>
      </w:pPr>
      <w:r>
        <w:rPr>
          <w:rFonts w:ascii="Times New Roman" w:hAnsi="Times New Roman" w:cs="Times New Roman"/>
        </w:rPr>
        <w:t xml:space="preserve">PEG-induced osmotic stress altered the activity of key antioxidant enzymes such as peroxidase and polyphenol oxidase, reflecting the activation of plant defense mechanisms. Seed priming with PEG appears to initiate physiological adjustments that enhance stress tolerance by strengthening antioxidant defenses. Given the importance of chickpea as a major pulse crop, </w:t>
      </w:r>
      <w:r>
        <w:rPr>
          <w:rFonts w:ascii="Times New Roman" w:hAnsi="Times New Roman" w:cs="Times New Roman"/>
        </w:rPr>
        <w:lastRenderedPageBreak/>
        <w:t>understanding its response to osmotic stress provides valuable insights for improving drought tolerance and developing sustainable stress management strategies in agriculture.</w:t>
      </w:r>
    </w:p>
    <w:p w:rsidR="00DF257F" w:rsidRDefault="00DF257F">
      <w:pPr>
        <w:jc w:val="both"/>
        <w:rPr>
          <w:rFonts w:ascii="Times New Roman" w:hAnsi="Times New Roman" w:cs="Times New Roman"/>
        </w:rPr>
      </w:pPr>
    </w:p>
    <w:p w:rsidR="00A61898" w:rsidRDefault="00C27C27">
      <w:pPr>
        <w:jc w:val="both"/>
        <w:rPr>
          <w:rFonts w:ascii="Times New Roman" w:hAnsi="Times New Roman" w:cs="Times New Roman"/>
        </w:rPr>
      </w:pPr>
      <w:bookmarkStart w:id="3" w:name="_GoBack"/>
      <w:bookmarkEnd w:id="3"/>
      <w:r>
        <w:rPr>
          <w:rFonts w:ascii="Times New Roman" w:hAnsi="Times New Roman" w:cs="Times New Roman"/>
          <w:b/>
          <w:bCs/>
        </w:rPr>
        <w:t xml:space="preserve">References </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Abdul-Baki, A. A., &amp; Anderson, J. D. (1973). Vigor determination in soybean seed by multiple criteria. </w:t>
      </w:r>
      <w:r>
        <w:rPr>
          <w:rFonts w:ascii="Times New Roman" w:hAnsi="Times New Roman" w:cs="Times New Roman"/>
          <w:i/>
          <w:iCs/>
        </w:rPr>
        <w:t>Crop Science, 13</w:t>
      </w:r>
      <w:r>
        <w:rPr>
          <w:rFonts w:ascii="Times New Roman" w:hAnsi="Times New Roman" w:cs="Times New Roman"/>
        </w:rPr>
        <w:t>(6), 630–633. https</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Apel, K., &amp; Hirt, H. (2004). Reactive oxygen species: Metabolism, oxidative stress, and signal transduction. Annual Review of Plant Biology, 55, 373–399.://doi.org/10.2135/cropsci1973.0011183X001300060013x.</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Basha, P. O., Sudarsanam, G., &amp; Reddy, P. S. (2015). Effect of polyethylene glycol induced drought stress on seed germination and seedling growth of tomato (</w:t>
      </w:r>
      <w:r>
        <w:rPr>
          <w:rFonts w:ascii="Times New Roman" w:hAnsi="Times New Roman" w:cs="Times New Roman"/>
          <w:i/>
          <w:iCs/>
        </w:rPr>
        <w:t>Solanum lycopersicum</w:t>
      </w:r>
      <w:r>
        <w:rPr>
          <w:rFonts w:ascii="Times New Roman" w:hAnsi="Times New Roman" w:cs="Times New Roman"/>
        </w:rPr>
        <w:t xml:space="preserve"> L.). </w:t>
      </w:r>
      <w:r>
        <w:rPr>
          <w:rFonts w:ascii="Times New Roman" w:hAnsi="Times New Roman" w:cs="Times New Roman"/>
          <w:i/>
          <w:iCs/>
        </w:rPr>
        <w:t>International Journal of Applied Biology and Pharmaceutical Technology, 6</w:t>
      </w:r>
      <w:r>
        <w:rPr>
          <w:rFonts w:ascii="Times New Roman" w:hAnsi="Times New Roman" w:cs="Times New Roman"/>
        </w:rPr>
        <w:t>(3), 90–96.</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Buraniya, M. S., Singh, S., &amp; Meena, R. K. (2020). Effect of PEG induced drought stress on seed germination and seedling growth of </w:t>
      </w:r>
      <w:r>
        <w:rPr>
          <w:rFonts w:ascii="Times New Roman" w:hAnsi="Times New Roman" w:cs="Times New Roman"/>
          <w:i/>
          <w:iCs/>
        </w:rPr>
        <w:t>Brassica</w:t>
      </w:r>
      <w:r>
        <w:rPr>
          <w:rFonts w:ascii="Times New Roman" w:hAnsi="Times New Roman" w:cs="Times New Roman"/>
        </w:rPr>
        <w:t xml:space="preserve"> species. </w:t>
      </w:r>
      <w:r>
        <w:rPr>
          <w:rFonts w:ascii="Times New Roman" w:hAnsi="Times New Roman" w:cs="Times New Roman"/>
          <w:i/>
          <w:iCs/>
        </w:rPr>
        <w:t>Journal of Pharmacognosy and Phytochemistry, 9</w:t>
      </w:r>
      <w:r>
        <w:rPr>
          <w:rFonts w:ascii="Times New Roman" w:hAnsi="Times New Roman" w:cs="Times New Roman"/>
        </w:rPr>
        <w:t>(4), 1457–1461.</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Elahi, N., Khan, M. A., &amp; Ahmad, R. (2023). Drought stress responses during germination and early seedling growth in </w:t>
      </w:r>
      <w:r>
        <w:rPr>
          <w:rFonts w:ascii="Times New Roman" w:hAnsi="Times New Roman" w:cs="Times New Roman"/>
          <w:i/>
          <w:iCs/>
        </w:rPr>
        <w:t>Brassica</w:t>
      </w:r>
      <w:r>
        <w:rPr>
          <w:rFonts w:ascii="Times New Roman" w:hAnsi="Times New Roman" w:cs="Times New Roman"/>
        </w:rPr>
        <w:t xml:space="preserve"> species. </w:t>
      </w:r>
      <w:r>
        <w:rPr>
          <w:rFonts w:ascii="Times New Roman" w:hAnsi="Times New Roman" w:cs="Times New Roman"/>
          <w:i/>
          <w:iCs/>
        </w:rPr>
        <w:t>Journal of Plant Stress Physiology, 11</w:t>
      </w:r>
      <w:r>
        <w:rPr>
          <w:rFonts w:ascii="Times New Roman" w:hAnsi="Times New Roman" w:cs="Times New Roman"/>
        </w:rPr>
        <w:t>(2), 112–120.</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Farooq, M., Hussain, M., &amp; Siddique, K. H. M. (2016). Drought stress in wheat during flowering and grain-filling periods. </w:t>
      </w:r>
      <w:r>
        <w:rPr>
          <w:rFonts w:ascii="Times New Roman" w:hAnsi="Times New Roman" w:cs="Times New Roman"/>
          <w:i/>
          <w:iCs/>
        </w:rPr>
        <w:t>Critical Reviews in Plant Sciences, 33</w:t>
      </w:r>
      <w:r>
        <w:rPr>
          <w:rFonts w:ascii="Times New Roman" w:hAnsi="Times New Roman" w:cs="Times New Roman"/>
        </w:rPr>
        <w:t>(4), 331–349. https://doi.org/10.1080/07352689.2014.875291</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Fathi, A., Tari, D. B., &amp; Khavari-Nejad, R. A. (2016). Effect of drought stress on germination and seedling growth of wheat cultivars. </w:t>
      </w:r>
      <w:r>
        <w:rPr>
          <w:rFonts w:ascii="Times New Roman" w:hAnsi="Times New Roman" w:cs="Times New Roman"/>
          <w:i/>
          <w:iCs/>
        </w:rPr>
        <w:t>Journal of Agricultural Science and Technology, 18</w:t>
      </w:r>
      <w:r>
        <w:rPr>
          <w:rFonts w:ascii="Times New Roman" w:hAnsi="Times New Roman" w:cs="Times New Roman"/>
        </w:rPr>
        <w:t>(1), 225–236.</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Graham, P. H., &amp; Vance, C. P. (2003). Legumes: Importance and constraints to greater use. Plant Physiology, 131, 872–877.</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Gill, S. S., &amp; Tuteja, N. (2010). Reactive oxygen species and antioxidant machinery in abiotic stress tolerance in crop plants. Plant Physiology and Biochemistry, 48, 909–930.</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Hajihashemi, S., &amp; Sofo, A. (2018). The effect of polyethylene glycol-induced drought stress on antioxidant responses of </w:t>
      </w:r>
      <w:r>
        <w:rPr>
          <w:rFonts w:ascii="Times New Roman" w:hAnsi="Times New Roman" w:cs="Times New Roman"/>
          <w:i/>
          <w:iCs/>
        </w:rPr>
        <w:t>Stevia rebaudiana</w:t>
      </w:r>
      <w:r>
        <w:rPr>
          <w:rFonts w:ascii="Times New Roman" w:hAnsi="Times New Roman" w:cs="Times New Roman"/>
        </w:rPr>
        <w:t xml:space="preserve">. </w:t>
      </w:r>
      <w:r>
        <w:rPr>
          <w:rFonts w:ascii="Times New Roman" w:hAnsi="Times New Roman" w:cs="Times New Roman"/>
          <w:i/>
          <w:iCs/>
        </w:rPr>
        <w:t>Plant Physiology and Biochemistry, 132</w:t>
      </w:r>
      <w:r>
        <w:rPr>
          <w:rFonts w:ascii="Times New Roman" w:hAnsi="Times New Roman" w:cs="Times New Roman"/>
        </w:rPr>
        <w:t>, 504–511. https://doi.org/10.1016/j.plaphy.2018.09.028</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 Hirt, H. &amp; Shinozaki, K. (2003). Plant responses to abiotic stress. Berlin Heidelberg: Springer verlag.</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Hossain, M. A., Rahman, M. M., &amp; Islam, M. S. (2024). Germination behavior and antioxidant responses of Tartary buckwheat under PEG-induced drought stress. </w:t>
      </w:r>
      <w:r>
        <w:rPr>
          <w:rFonts w:ascii="Times New Roman" w:hAnsi="Times New Roman" w:cs="Times New Roman"/>
          <w:i/>
          <w:iCs/>
        </w:rPr>
        <w:t>Plant Stress, 8</w:t>
      </w:r>
      <w:r>
        <w:rPr>
          <w:rFonts w:ascii="Times New Roman" w:hAnsi="Times New Roman" w:cs="Times New Roman"/>
        </w:rPr>
        <w:t>, 100159. https://doi.org/10.1016/j.stress.2023.100159</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lastRenderedPageBreak/>
        <w:t xml:space="preserve">Hou, L., &amp; Ma, Y. (2022). Effects of osmotic stress on seed germination and antioxidant enzyme activity in </w:t>
      </w:r>
      <w:r>
        <w:rPr>
          <w:rFonts w:ascii="Times New Roman" w:hAnsi="Times New Roman" w:cs="Times New Roman"/>
          <w:i/>
          <w:iCs/>
        </w:rPr>
        <w:t>Glycyrrhiza uralensis</w:t>
      </w:r>
      <w:r>
        <w:rPr>
          <w:rFonts w:ascii="Times New Roman" w:hAnsi="Times New Roman" w:cs="Times New Roman"/>
        </w:rPr>
        <w:t xml:space="preserve">. </w:t>
      </w:r>
      <w:r>
        <w:rPr>
          <w:rFonts w:ascii="Times New Roman" w:hAnsi="Times New Roman" w:cs="Times New Roman"/>
          <w:i/>
          <w:iCs/>
        </w:rPr>
        <w:t>Journal of Plant Growth Regulation, 41</w:t>
      </w:r>
      <w:r>
        <w:rPr>
          <w:rFonts w:ascii="Times New Roman" w:hAnsi="Times New Roman" w:cs="Times New Roman"/>
        </w:rPr>
        <w:t>(3), 1025–1036. https://doi.org/10.1007/s00344-021-10345-7</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Hsu, S. Y., &amp; Kao, C. H. (2003). Differential effect of sorbitol and polyethylene glycol on antioxidant enzymes in rice leaves. </w:t>
      </w:r>
      <w:r>
        <w:rPr>
          <w:rFonts w:ascii="Times New Roman" w:hAnsi="Times New Roman" w:cs="Times New Roman"/>
          <w:i/>
          <w:iCs/>
        </w:rPr>
        <w:t>Plant Growth Regulation, 39</w:t>
      </w:r>
      <w:r>
        <w:rPr>
          <w:rFonts w:ascii="Times New Roman" w:hAnsi="Times New Roman" w:cs="Times New Roman"/>
        </w:rPr>
        <w:t>(1), 83–90. https://doi.org/10.1023/A:1021867506065</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Indira, S., Keerthana, R., &amp; Venkatesh, R. (2025). Physiological responses of chickpea (</w:t>
      </w:r>
      <w:r>
        <w:rPr>
          <w:rFonts w:ascii="Times New Roman" w:hAnsi="Times New Roman" w:cs="Times New Roman"/>
          <w:i/>
          <w:iCs/>
        </w:rPr>
        <w:t>Cicer arietinum</w:t>
      </w:r>
      <w:r>
        <w:rPr>
          <w:rFonts w:ascii="Times New Roman" w:hAnsi="Times New Roman" w:cs="Times New Roman"/>
        </w:rPr>
        <w:t xml:space="preserve"> L.) to PEG-induced drought stress. </w:t>
      </w:r>
      <w:r>
        <w:rPr>
          <w:rFonts w:ascii="Times New Roman" w:hAnsi="Times New Roman" w:cs="Times New Roman"/>
          <w:i/>
          <w:iCs/>
        </w:rPr>
        <w:t>Legume Research, 48</w:t>
      </w:r>
      <w:r>
        <w:rPr>
          <w:rFonts w:ascii="Times New Roman" w:hAnsi="Times New Roman" w:cs="Times New Roman"/>
        </w:rPr>
        <w:t>(1), 45–52.</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Jukanti, A. K., Gaur, P. M., Gowda, C. L., &amp; Chibbar, R. N. (2012). Nutritional quality and health benefits of chickpea. British Journal of Nutrition, 108(S1), S11–S26.</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Karo, M., &amp; Mishra, D. (1976). Catalase, peroxidase and polyphenol oxidase activities during rice leaf senescence. </w:t>
      </w:r>
      <w:r>
        <w:rPr>
          <w:rFonts w:ascii="Times New Roman" w:hAnsi="Times New Roman" w:cs="Times New Roman"/>
          <w:i/>
          <w:iCs/>
        </w:rPr>
        <w:t>Plant Physiology, 57</w:t>
      </w:r>
      <w:r>
        <w:rPr>
          <w:rFonts w:ascii="Times New Roman" w:hAnsi="Times New Roman" w:cs="Times New Roman"/>
        </w:rPr>
        <w:t>(2), 315–319. https://doi.org/10.1104/pp.57.2.315</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Kashiwagi, J., Krishnamurthy, L., Crouch, J. H., &amp; Serraj, R. (2006). Variability of root length density and its contributions to seed yield in chickpea under terminal drought stress. Field Crops Research, 95, 171–181.</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Keerthana, R., Indira, S., &amp; Kumar, S. (2025). Germination and seedling growth responses of chickpea under osmotic stress. </w:t>
      </w:r>
      <w:r>
        <w:rPr>
          <w:rFonts w:ascii="Times New Roman" w:hAnsi="Times New Roman" w:cs="Times New Roman"/>
          <w:i/>
          <w:iCs/>
        </w:rPr>
        <w:t>International Journal of Agriculture Sciences, 17</w:t>
      </w:r>
      <w:r>
        <w:rPr>
          <w:rFonts w:ascii="Times New Roman" w:hAnsi="Times New Roman" w:cs="Times New Roman"/>
        </w:rPr>
        <w:t>(2), 210–216.</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Kheirizadeh Arough, Y., Sharifi, R. S., &amp; Sedghi, M. (2016). Changes in antioxidant enzyme activities of triticale seedlings under drought stress. </w:t>
      </w:r>
      <w:r>
        <w:rPr>
          <w:rFonts w:ascii="Times New Roman" w:hAnsi="Times New Roman" w:cs="Times New Roman"/>
          <w:i/>
          <w:iCs/>
        </w:rPr>
        <w:t>Acta Physiologiae Plantarum, 38</w:t>
      </w:r>
      <w:r>
        <w:rPr>
          <w:rFonts w:ascii="Times New Roman" w:hAnsi="Times New Roman" w:cs="Times New Roman"/>
        </w:rPr>
        <w:t>, 191. https://doi.org/10.1007/s11738-016-2207-9</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Koskosidis, A., Mylonas, I., &amp; Papadopoulos, I. (2020). Evaluation of drought tolerance in chickpea using germination and seedling vigor indices. </w:t>
      </w:r>
      <w:r>
        <w:rPr>
          <w:rFonts w:ascii="Times New Roman" w:hAnsi="Times New Roman" w:cs="Times New Roman"/>
          <w:i/>
          <w:iCs/>
        </w:rPr>
        <w:t>Agronomy, 10</w:t>
      </w:r>
      <w:r>
        <w:rPr>
          <w:rFonts w:ascii="Times New Roman" w:hAnsi="Times New Roman" w:cs="Times New Roman"/>
        </w:rPr>
        <w:t>(8), 1172. https://doi.org/10.3390/agronomy10081172</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Li, X., Zhang, Z., &amp; Gao, S. (2021). Effects of drought stress on seed germination and physiological traits in plants. </w:t>
      </w:r>
      <w:r>
        <w:rPr>
          <w:rFonts w:ascii="Times New Roman" w:hAnsi="Times New Roman" w:cs="Times New Roman"/>
          <w:i/>
          <w:iCs/>
        </w:rPr>
        <w:t>Plant Physiology Reports, 26</w:t>
      </w:r>
      <w:r>
        <w:rPr>
          <w:rFonts w:ascii="Times New Roman" w:hAnsi="Times New Roman" w:cs="Times New Roman"/>
        </w:rPr>
        <w:t>(4), 595–604. https://doi.org/10.1007/s40502-021-00578-2</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Ma, Y., Liu, J., &amp; Hou, L. (2024). Osmotic stress effects on germination and antioxidant metabolism of </w:t>
      </w:r>
      <w:r>
        <w:rPr>
          <w:rFonts w:ascii="Times New Roman" w:hAnsi="Times New Roman" w:cs="Times New Roman"/>
          <w:i/>
          <w:iCs/>
        </w:rPr>
        <w:t>Coronilla varia</w:t>
      </w:r>
      <w:r>
        <w:rPr>
          <w:rFonts w:ascii="Times New Roman" w:hAnsi="Times New Roman" w:cs="Times New Roman"/>
        </w:rPr>
        <w:t xml:space="preserve"> L. </w:t>
      </w:r>
      <w:r>
        <w:rPr>
          <w:rFonts w:ascii="Times New Roman" w:hAnsi="Times New Roman" w:cs="Times New Roman"/>
          <w:i/>
          <w:iCs/>
        </w:rPr>
        <w:t>Plant Stress, 10</w:t>
      </w:r>
      <w:r>
        <w:rPr>
          <w:rFonts w:ascii="Times New Roman" w:hAnsi="Times New Roman" w:cs="Times New Roman"/>
        </w:rPr>
        <w:t>, 100205.</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Majid, A., Khan, M. A., &amp; Ullah, R. (2022). Impact of osmotic stress on seed germination and early seedling development in plants. </w:t>
      </w:r>
      <w:r>
        <w:rPr>
          <w:rFonts w:ascii="Times New Roman" w:hAnsi="Times New Roman" w:cs="Times New Roman"/>
          <w:i/>
          <w:iCs/>
        </w:rPr>
        <w:t>Journal of Plant Biology, 65</w:t>
      </w:r>
      <w:r>
        <w:rPr>
          <w:rFonts w:ascii="Times New Roman" w:hAnsi="Times New Roman" w:cs="Times New Roman"/>
        </w:rPr>
        <w:t>(3), 213–224. https://doi.org/10.1007/s12374-022-09235-6</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Mittler, R. (2002). Oxidative stress, antioxidants and stress tolerance. Trends in Plant Science, 7(9), 405–410.</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Muscolo, A., Sidari, M., &amp; Anastasi, U. (2014). PEG-induced drought stress effects on germination of lentil seeds. </w:t>
      </w:r>
      <w:r>
        <w:rPr>
          <w:rFonts w:ascii="Times New Roman" w:hAnsi="Times New Roman" w:cs="Times New Roman"/>
          <w:i/>
          <w:iCs/>
        </w:rPr>
        <w:t>Environmental and Experimental Botany, 103</w:t>
      </w:r>
      <w:r>
        <w:rPr>
          <w:rFonts w:ascii="Times New Roman" w:hAnsi="Times New Roman" w:cs="Times New Roman"/>
        </w:rPr>
        <w:t>, 85–91. https://doi.org/10.1016/j.envexpbot.2014.02.006</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lastRenderedPageBreak/>
        <w:t xml:space="preserve">Pastori, G. M., &amp;Foyer, C. H. (2002). Common components, networks, and pathways of cross-tolerance to stress. </w:t>
      </w:r>
      <w:r>
        <w:rPr>
          <w:rFonts w:ascii="Times New Roman" w:hAnsi="Times New Roman" w:cs="Times New Roman"/>
          <w:i/>
          <w:iCs/>
        </w:rPr>
        <w:t>Trends in Plant Science, 7</w:t>
      </w:r>
      <w:r>
        <w:rPr>
          <w:rFonts w:ascii="Times New Roman" w:hAnsi="Times New Roman" w:cs="Times New Roman"/>
        </w:rPr>
        <w:t>(8), 377–383. https://doi.org/10.1016/S1360-1385(02)02312-7</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Rana, V., Kumar, V., &amp; Suresh, B. (2017). Effect of PEG-induced drought stress on wheat germination and seedling growth. </w:t>
      </w:r>
      <w:r>
        <w:rPr>
          <w:rFonts w:ascii="Times New Roman" w:hAnsi="Times New Roman" w:cs="Times New Roman"/>
          <w:i/>
          <w:iCs/>
        </w:rPr>
        <w:t>Journal of Pharmacognosy and Phytochemistry, 6</w:t>
      </w:r>
      <w:r>
        <w:rPr>
          <w:rFonts w:ascii="Times New Roman" w:hAnsi="Times New Roman" w:cs="Times New Roman"/>
        </w:rPr>
        <w:t>(4), 132–136.</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Roychoudhary, A., &amp; Ghosh, S. (2013). Changes in antioxidant enzymes during drought stress in plants. </w:t>
      </w:r>
      <w:r>
        <w:rPr>
          <w:rFonts w:ascii="Times New Roman" w:hAnsi="Times New Roman" w:cs="Times New Roman"/>
          <w:i/>
          <w:iCs/>
        </w:rPr>
        <w:t>Plant Physiology and Biochemistry, 67</w:t>
      </w:r>
      <w:r>
        <w:rPr>
          <w:rFonts w:ascii="Times New Roman" w:hAnsi="Times New Roman" w:cs="Times New Roman"/>
        </w:rPr>
        <w:t>, 65–73. https://doi.org/10.1016/j.plaphy.2013.02.014</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Sajjad, M., Khan, A., &amp; Ali, S. (2023). PEG-induced drought stress effects on maize germination and antioxidant enzymes. </w:t>
      </w:r>
      <w:r>
        <w:rPr>
          <w:rFonts w:ascii="Times New Roman" w:hAnsi="Times New Roman" w:cs="Times New Roman"/>
          <w:i/>
          <w:iCs/>
        </w:rPr>
        <w:t>Pakistan Journal of Botany, 55</w:t>
      </w:r>
      <w:r>
        <w:rPr>
          <w:rFonts w:ascii="Times New Roman" w:hAnsi="Times New Roman" w:cs="Times New Roman"/>
        </w:rPr>
        <w:t>(1), 115–123.</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Sajjad, Z., Fatima, Z., Awais, M., Waheed, A., Ali, A., Hashmi, Q.A., Abbas, M. and Sufyan, A. (2023). Effect of polyethylene glycol (PEG) on germination and seedling parameters of Maize varieties. Asian Journal of Research in Crop Science. Vol 8(4): 410-420.</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Sari, S. (2023). Osmotic stress responses in chickpea and lentil during seed germination. </w:t>
      </w:r>
      <w:r>
        <w:rPr>
          <w:rFonts w:ascii="Times New Roman" w:hAnsi="Times New Roman" w:cs="Times New Roman"/>
          <w:i/>
          <w:iCs/>
        </w:rPr>
        <w:t>Journal of Crop Science and Biotechnology, 26</w:t>
      </w:r>
      <w:r>
        <w:rPr>
          <w:rFonts w:ascii="Times New Roman" w:hAnsi="Times New Roman" w:cs="Times New Roman"/>
        </w:rPr>
        <w:t>(2), 175–184. https://doi.org/10.1007/s12892-022-00145-9</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Srivastava, S. (2022). Role of antioxidant enzymes in drought tolerance of plants. </w:t>
      </w:r>
      <w:r>
        <w:rPr>
          <w:rFonts w:ascii="Times New Roman" w:hAnsi="Times New Roman" w:cs="Times New Roman"/>
          <w:i/>
          <w:iCs/>
        </w:rPr>
        <w:t>Plant Stress Biology, 5</w:t>
      </w:r>
      <w:r>
        <w:rPr>
          <w:rFonts w:ascii="Times New Roman" w:hAnsi="Times New Roman" w:cs="Times New Roman"/>
        </w:rPr>
        <w:t>(2), 89–97.</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Srivastava, S. (2023). Oxidative stress management in plants under drought conditions. </w:t>
      </w:r>
      <w:r>
        <w:rPr>
          <w:rFonts w:ascii="Times New Roman" w:hAnsi="Times New Roman" w:cs="Times New Roman"/>
          <w:i/>
          <w:iCs/>
        </w:rPr>
        <w:t>Plant Physiology Reports, 28</w:t>
      </w:r>
      <w:r>
        <w:rPr>
          <w:rFonts w:ascii="Times New Roman" w:hAnsi="Times New Roman" w:cs="Times New Roman"/>
        </w:rPr>
        <w:t>(1), 1–12.</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Szilagyi, L. (2003). Influence of drought on seed yield components in common bean. Bulgarian Journal of Plant Physiology. 320-330.</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Varshney, R. K., et al. (2013). Genetic dissection of drought tolerance in chickpea. The Plant Genome, 6(2).</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Varshney, R. K., Thudi, M., Roorkiwal, M., et al. (2021). Genomics-assisted breeding for crop improvement in chickpea. The Plant Genome, 14(2), e20138.</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Weisany, W., Sohrabi, Y., &amp; Heidari, G. (2012). Changes in antioxidant enzymes in soybean under drought stress. </w:t>
      </w:r>
      <w:r>
        <w:rPr>
          <w:rFonts w:ascii="Times New Roman" w:hAnsi="Times New Roman" w:cs="Times New Roman"/>
          <w:i/>
          <w:iCs/>
        </w:rPr>
        <w:t>Journal of Plant Physiology, 169</w:t>
      </w:r>
      <w:r>
        <w:rPr>
          <w:rFonts w:ascii="Times New Roman" w:hAnsi="Times New Roman" w:cs="Times New Roman"/>
        </w:rPr>
        <w:t>(15), 1572–1579. https://doi.org/10.1016/j.jplph.2012.06.001</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Youssaf, M. A., &amp; Azooz, M. M. (2013). Oxidative defense responses of okra under drought stress. </w:t>
      </w:r>
      <w:r>
        <w:rPr>
          <w:rFonts w:ascii="Times New Roman" w:hAnsi="Times New Roman" w:cs="Times New Roman"/>
          <w:i/>
          <w:iCs/>
        </w:rPr>
        <w:t>Journal of Plant Interactions, 8</w:t>
      </w:r>
      <w:r>
        <w:rPr>
          <w:rFonts w:ascii="Times New Roman" w:hAnsi="Times New Roman" w:cs="Times New Roman"/>
        </w:rPr>
        <w:t>(4), 319–329. https://doi.org/10.1080/17429145.2012.756008</w:t>
      </w:r>
    </w:p>
    <w:p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Zhang, L., Wang, X., &amp; Liu, J. (2019). Germination and seedling growth responses of alfalfa to osmotic stress. </w:t>
      </w:r>
      <w:r>
        <w:rPr>
          <w:rFonts w:ascii="Times New Roman" w:hAnsi="Times New Roman" w:cs="Times New Roman"/>
          <w:i/>
          <w:iCs/>
        </w:rPr>
        <w:t>Seed Science and Technology, 47</w:t>
      </w:r>
      <w:r>
        <w:rPr>
          <w:rFonts w:ascii="Times New Roman" w:hAnsi="Times New Roman" w:cs="Times New Roman"/>
        </w:rPr>
        <w:t>(1), 39–50. https://doi.org/10.15258/sst.2019.47.1.04</w:t>
      </w:r>
    </w:p>
    <w:p w:rsidR="00A61898" w:rsidRDefault="00A61898">
      <w:pPr>
        <w:jc w:val="both"/>
        <w:rPr>
          <w:rFonts w:ascii="Times New Roman" w:hAnsi="Times New Roman" w:cs="Times New Roman"/>
        </w:rPr>
      </w:pPr>
    </w:p>
    <w:sectPr w:rsidR="00A61898" w:rsidSect="00623A6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raj" w:date="2026-01-22T21:39:00Z" w:initials="r">
    <w:p w:rsidR="00974C6E" w:rsidRDefault="00974C6E">
      <w:pPr>
        <w:pStyle w:val="CommentText"/>
      </w:pPr>
      <w:r>
        <w:rPr>
          <w:rStyle w:val="CommentReference"/>
        </w:rPr>
        <w:annotationRef/>
      </w:r>
      <w:r>
        <w:t>abstract should be in brief and clear.. please summarize this regarding to your objective</w:t>
      </w:r>
    </w:p>
  </w:comment>
  <w:comment w:id="1" w:author="raj" w:date="2026-01-22T21:45:00Z" w:initials="r">
    <w:p w:rsidR="00061F9B" w:rsidRDefault="00061F9B">
      <w:pPr>
        <w:pStyle w:val="CommentText"/>
      </w:pPr>
      <w:r>
        <w:rPr>
          <w:rStyle w:val="CommentReference"/>
        </w:rPr>
        <w:annotationRef/>
      </w:r>
      <w:r>
        <w:t>Check overall grammar mistakes in this paper.</w:t>
      </w:r>
    </w:p>
  </w:comment>
  <w:comment w:id="2" w:author="raj" w:date="2026-01-22T21:40:00Z" w:initials="r">
    <w:p w:rsidR="00974C6E" w:rsidRDefault="00974C6E">
      <w:pPr>
        <w:pStyle w:val="CommentText"/>
      </w:pPr>
      <w:r>
        <w:rPr>
          <w:rStyle w:val="CommentReference"/>
        </w:rPr>
        <w:annotationRef/>
      </w:r>
      <w:r>
        <w:t>complete it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ACF" w:rsidRDefault="00551ACF" w:rsidP="00C95FB0">
      <w:pPr>
        <w:spacing w:after="0" w:line="240" w:lineRule="auto"/>
      </w:pPr>
      <w:r>
        <w:separator/>
      </w:r>
    </w:p>
  </w:endnote>
  <w:endnote w:type="continuationSeparator" w:id="1">
    <w:p w:rsidR="00551ACF" w:rsidRDefault="00551ACF" w:rsidP="00C95F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FB0" w:rsidRDefault="00C95F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FB0" w:rsidRDefault="00C95F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FB0" w:rsidRDefault="00C95F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ACF" w:rsidRDefault="00551ACF" w:rsidP="00C95FB0">
      <w:pPr>
        <w:spacing w:after="0" w:line="240" w:lineRule="auto"/>
      </w:pPr>
      <w:r>
        <w:separator/>
      </w:r>
    </w:p>
  </w:footnote>
  <w:footnote w:type="continuationSeparator" w:id="1">
    <w:p w:rsidR="00551ACF" w:rsidRDefault="00551ACF" w:rsidP="00C95F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FB0" w:rsidRDefault="004378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8687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FB0" w:rsidRDefault="004378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8687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FB0" w:rsidRDefault="004378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8687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F3A55"/>
    <w:multiLevelType w:val="hybridMultilevel"/>
    <w:tmpl w:val="A50A0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A61898"/>
    <w:rsid w:val="00061F9B"/>
    <w:rsid w:val="000806B2"/>
    <w:rsid w:val="00437860"/>
    <w:rsid w:val="004E739A"/>
    <w:rsid w:val="00551ACF"/>
    <w:rsid w:val="00623A6A"/>
    <w:rsid w:val="00694217"/>
    <w:rsid w:val="006E48F5"/>
    <w:rsid w:val="00843E40"/>
    <w:rsid w:val="00974C6E"/>
    <w:rsid w:val="00A61898"/>
    <w:rsid w:val="00C27C27"/>
    <w:rsid w:val="00C95FB0"/>
    <w:rsid w:val="00DF257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A6A"/>
  </w:style>
  <w:style w:type="paragraph" w:styleId="Heading1">
    <w:name w:val="heading 1"/>
    <w:basedOn w:val="Normal"/>
    <w:next w:val="Normal"/>
    <w:link w:val="Heading1Char"/>
    <w:uiPriority w:val="9"/>
    <w:qFormat/>
    <w:rsid w:val="00623A6A"/>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rsid w:val="00623A6A"/>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rsid w:val="00623A6A"/>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rsid w:val="00623A6A"/>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rsid w:val="00623A6A"/>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rsid w:val="00623A6A"/>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rsid w:val="00623A6A"/>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rsid w:val="00623A6A"/>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rsid w:val="00623A6A"/>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A6A"/>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sid w:val="00623A6A"/>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sid w:val="00623A6A"/>
    <w:rPr>
      <w:rFonts w:eastAsia="SimSun" w:cs="SimSun"/>
      <w:color w:val="2F5496"/>
      <w:sz w:val="28"/>
      <w:szCs w:val="28"/>
    </w:rPr>
  </w:style>
  <w:style w:type="character" w:customStyle="1" w:styleId="Heading4Char">
    <w:name w:val="Heading 4 Char"/>
    <w:basedOn w:val="DefaultParagraphFont"/>
    <w:link w:val="Heading4"/>
    <w:uiPriority w:val="9"/>
    <w:rsid w:val="00623A6A"/>
    <w:rPr>
      <w:rFonts w:eastAsia="SimSun" w:cs="SimSun"/>
      <w:i/>
      <w:iCs/>
      <w:color w:val="2F5496"/>
    </w:rPr>
  </w:style>
  <w:style w:type="character" w:customStyle="1" w:styleId="Heading5Char">
    <w:name w:val="Heading 5 Char"/>
    <w:basedOn w:val="DefaultParagraphFont"/>
    <w:link w:val="Heading5"/>
    <w:uiPriority w:val="9"/>
    <w:rsid w:val="00623A6A"/>
    <w:rPr>
      <w:rFonts w:eastAsia="SimSun" w:cs="SimSun"/>
      <w:color w:val="2F5496"/>
    </w:rPr>
  </w:style>
  <w:style w:type="character" w:customStyle="1" w:styleId="Heading6Char">
    <w:name w:val="Heading 6 Char"/>
    <w:basedOn w:val="DefaultParagraphFont"/>
    <w:link w:val="Heading6"/>
    <w:uiPriority w:val="9"/>
    <w:rsid w:val="00623A6A"/>
    <w:rPr>
      <w:rFonts w:eastAsia="SimSun" w:cs="SimSun"/>
      <w:i/>
      <w:iCs/>
      <w:color w:val="595959"/>
    </w:rPr>
  </w:style>
  <w:style w:type="character" w:customStyle="1" w:styleId="Heading7Char">
    <w:name w:val="Heading 7 Char"/>
    <w:basedOn w:val="DefaultParagraphFont"/>
    <w:link w:val="Heading7"/>
    <w:uiPriority w:val="9"/>
    <w:rsid w:val="00623A6A"/>
    <w:rPr>
      <w:rFonts w:eastAsia="SimSun" w:cs="SimSun"/>
      <w:color w:val="595959"/>
    </w:rPr>
  </w:style>
  <w:style w:type="character" w:customStyle="1" w:styleId="Heading8Char">
    <w:name w:val="Heading 8 Char"/>
    <w:basedOn w:val="DefaultParagraphFont"/>
    <w:link w:val="Heading8"/>
    <w:uiPriority w:val="9"/>
    <w:rsid w:val="00623A6A"/>
    <w:rPr>
      <w:rFonts w:eastAsia="SimSun" w:cs="SimSun"/>
      <w:i/>
      <w:iCs/>
      <w:color w:val="272727"/>
    </w:rPr>
  </w:style>
  <w:style w:type="character" w:customStyle="1" w:styleId="Heading9Char">
    <w:name w:val="Heading 9 Char"/>
    <w:basedOn w:val="DefaultParagraphFont"/>
    <w:link w:val="Heading9"/>
    <w:uiPriority w:val="9"/>
    <w:rsid w:val="00623A6A"/>
    <w:rPr>
      <w:rFonts w:eastAsia="SimSun" w:cs="SimSun"/>
      <w:color w:val="272727"/>
    </w:rPr>
  </w:style>
  <w:style w:type="paragraph" w:styleId="Title">
    <w:name w:val="Title"/>
    <w:basedOn w:val="Normal"/>
    <w:next w:val="Normal"/>
    <w:link w:val="TitleChar"/>
    <w:uiPriority w:val="10"/>
    <w:qFormat/>
    <w:rsid w:val="00623A6A"/>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sid w:val="00623A6A"/>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rsid w:val="00623A6A"/>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sid w:val="00623A6A"/>
    <w:rPr>
      <w:rFonts w:eastAsia="SimSun" w:cs="SimSun"/>
      <w:color w:val="595959"/>
      <w:spacing w:val="15"/>
      <w:sz w:val="28"/>
      <w:szCs w:val="28"/>
    </w:rPr>
  </w:style>
  <w:style w:type="paragraph" w:styleId="Quote">
    <w:name w:val="Quote"/>
    <w:basedOn w:val="Normal"/>
    <w:next w:val="Normal"/>
    <w:link w:val="QuoteChar"/>
    <w:uiPriority w:val="29"/>
    <w:qFormat/>
    <w:rsid w:val="00623A6A"/>
    <w:pPr>
      <w:spacing w:before="160"/>
      <w:jc w:val="center"/>
    </w:pPr>
    <w:rPr>
      <w:i/>
      <w:iCs/>
      <w:color w:val="404040"/>
    </w:rPr>
  </w:style>
  <w:style w:type="character" w:customStyle="1" w:styleId="QuoteChar">
    <w:name w:val="Quote Char"/>
    <w:basedOn w:val="DefaultParagraphFont"/>
    <w:link w:val="Quote"/>
    <w:uiPriority w:val="29"/>
    <w:rsid w:val="00623A6A"/>
    <w:rPr>
      <w:i/>
      <w:iCs/>
      <w:color w:val="404040"/>
    </w:rPr>
  </w:style>
  <w:style w:type="paragraph" w:styleId="ListParagraph">
    <w:name w:val="List Paragraph"/>
    <w:basedOn w:val="Normal"/>
    <w:uiPriority w:val="34"/>
    <w:qFormat/>
    <w:rsid w:val="00623A6A"/>
    <w:pPr>
      <w:ind w:left="720"/>
      <w:contextualSpacing/>
    </w:pPr>
  </w:style>
  <w:style w:type="character" w:styleId="IntenseEmphasis">
    <w:name w:val="Intense Emphasis"/>
    <w:basedOn w:val="DefaultParagraphFont"/>
    <w:uiPriority w:val="21"/>
    <w:qFormat/>
    <w:rsid w:val="00623A6A"/>
    <w:rPr>
      <w:i/>
      <w:iCs/>
      <w:color w:val="2F5496"/>
    </w:rPr>
  </w:style>
  <w:style w:type="paragraph" w:styleId="IntenseQuote">
    <w:name w:val="Intense Quote"/>
    <w:basedOn w:val="Normal"/>
    <w:next w:val="Normal"/>
    <w:link w:val="IntenseQuoteChar"/>
    <w:uiPriority w:val="30"/>
    <w:qFormat/>
    <w:rsid w:val="00623A6A"/>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623A6A"/>
    <w:rPr>
      <w:i/>
      <w:iCs/>
      <w:color w:val="2F5496"/>
    </w:rPr>
  </w:style>
  <w:style w:type="character" w:styleId="IntenseReference">
    <w:name w:val="Intense Reference"/>
    <w:basedOn w:val="DefaultParagraphFont"/>
    <w:uiPriority w:val="32"/>
    <w:qFormat/>
    <w:rsid w:val="00623A6A"/>
    <w:rPr>
      <w:b/>
      <w:bCs/>
      <w:smallCaps/>
      <w:color w:val="2F5496"/>
      <w:spacing w:val="5"/>
    </w:rPr>
  </w:style>
  <w:style w:type="character" w:styleId="Hyperlink">
    <w:name w:val="Hyperlink"/>
    <w:basedOn w:val="DefaultParagraphFont"/>
    <w:uiPriority w:val="99"/>
    <w:unhideWhenUsed/>
    <w:rsid w:val="00694217"/>
    <w:rPr>
      <w:color w:val="0000FF" w:themeColor="hyperlink"/>
      <w:u w:val="single"/>
    </w:rPr>
  </w:style>
  <w:style w:type="character" w:customStyle="1" w:styleId="UnresolvedMention">
    <w:name w:val="Unresolved Mention"/>
    <w:basedOn w:val="DefaultParagraphFont"/>
    <w:uiPriority w:val="99"/>
    <w:semiHidden/>
    <w:unhideWhenUsed/>
    <w:rsid w:val="00694217"/>
    <w:rPr>
      <w:color w:val="605E5C"/>
      <w:shd w:val="clear" w:color="auto" w:fill="E1DFDD"/>
    </w:rPr>
  </w:style>
  <w:style w:type="paragraph" w:styleId="Header">
    <w:name w:val="header"/>
    <w:basedOn w:val="Normal"/>
    <w:link w:val="HeaderChar"/>
    <w:uiPriority w:val="99"/>
    <w:unhideWhenUsed/>
    <w:rsid w:val="00C95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FB0"/>
  </w:style>
  <w:style w:type="paragraph" w:styleId="Footer">
    <w:name w:val="footer"/>
    <w:basedOn w:val="Normal"/>
    <w:link w:val="FooterChar"/>
    <w:uiPriority w:val="99"/>
    <w:unhideWhenUsed/>
    <w:rsid w:val="00C95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FB0"/>
  </w:style>
  <w:style w:type="paragraph" w:styleId="BalloonText">
    <w:name w:val="Balloon Text"/>
    <w:basedOn w:val="Normal"/>
    <w:link w:val="BalloonTextChar"/>
    <w:uiPriority w:val="99"/>
    <w:semiHidden/>
    <w:unhideWhenUsed/>
    <w:rsid w:val="00974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C6E"/>
    <w:rPr>
      <w:rFonts w:ascii="Tahoma" w:hAnsi="Tahoma" w:cs="Tahoma"/>
      <w:sz w:val="16"/>
      <w:szCs w:val="16"/>
    </w:rPr>
  </w:style>
  <w:style w:type="character" w:styleId="CommentReference">
    <w:name w:val="annotation reference"/>
    <w:basedOn w:val="DefaultParagraphFont"/>
    <w:uiPriority w:val="99"/>
    <w:semiHidden/>
    <w:unhideWhenUsed/>
    <w:rsid w:val="00974C6E"/>
    <w:rPr>
      <w:sz w:val="16"/>
      <w:szCs w:val="16"/>
    </w:rPr>
  </w:style>
  <w:style w:type="paragraph" w:styleId="CommentText">
    <w:name w:val="annotation text"/>
    <w:basedOn w:val="Normal"/>
    <w:link w:val="CommentTextChar"/>
    <w:uiPriority w:val="99"/>
    <w:semiHidden/>
    <w:unhideWhenUsed/>
    <w:rsid w:val="00974C6E"/>
    <w:pPr>
      <w:spacing w:line="240" w:lineRule="auto"/>
    </w:pPr>
    <w:rPr>
      <w:sz w:val="20"/>
      <w:szCs w:val="20"/>
    </w:rPr>
  </w:style>
  <w:style w:type="character" w:customStyle="1" w:styleId="CommentTextChar">
    <w:name w:val="Comment Text Char"/>
    <w:basedOn w:val="DefaultParagraphFont"/>
    <w:link w:val="CommentText"/>
    <w:uiPriority w:val="99"/>
    <w:semiHidden/>
    <w:rsid w:val="00974C6E"/>
    <w:rPr>
      <w:sz w:val="20"/>
      <w:szCs w:val="20"/>
    </w:rPr>
  </w:style>
  <w:style w:type="paragraph" w:styleId="CommentSubject">
    <w:name w:val="annotation subject"/>
    <w:basedOn w:val="CommentText"/>
    <w:next w:val="CommentText"/>
    <w:link w:val="CommentSubjectChar"/>
    <w:uiPriority w:val="99"/>
    <w:semiHidden/>
    <w:unhideWhenUsed/>
    <w:rsid w:val="00974C6E"/>
    <w:rPr>
      <w:b/>
      <w:bCs/>
    </w:rPr>
  </w:style>
  <w:style w:type="character" w:customStyle="1" w:styleId="CommentSubjectChar">
    <w:name w:val="Comment Subject Char"/>
    <w:basedOn w:val="CommentTextChar"/>
    <w:link w:val="CommentSubject"/>
    <w:uiPriority w:val="99"/>
    <w:semiHidden/>
    <w:rsid w:val="00974C6E"/>
    <w:rPr>
      <w:b/>
      <w:bCs/>
    </w:rPr>
  </w:style>
</w:styles>
</file>

<file path=word/webSettings.xml><?xml version="1.0" encoding="utf-8"?>
<w:webSettings xmlns:r="http://schemas.openxmlformats.org/officeDocument/2006/relationships" xmlns:w="http://schemas.openxmlformats.org/wordprocessingml/2006/main">
  <w:divs>
    <w:div w:id="172839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NUL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NUL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3078</Words>
  <Characters>17547</Characters>
  <Application>Microsoft Office Word</Application>
  <DocSecurity>0</DocSecurity>
  <Lines>146</Lines>
  <Paragraphs>41</Paragraphs>
  <ScaleCrop>false</ScaleCrop>
  <Company/>
  <LinksUpToDate>false</LinksUpToDate>
  <CharactersWithSpaces>20584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 User6</dc:creator>
  <cp:lastModifiedBy>raj</cp:lastModifiedBy>
  <cp:revision>17</cp:revision>
  <dcterms:created xsi:type="dcterms:W3CDTF">2026-01-21T06:16:00Z</dcterms:created>
  <dcterms:modified xsi:type="dcterms:W3CDTF">2026-01-22T16:15:00Z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bdb172d1b07b4e66b2513ef44f6f55c6</vt:lpwstr>
  </property>
</Properties>
</file>