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343C" w14:textId="77777777" w:rsidR="003454B0" w:rsidRPr="00F06601" w:rsidRDefault="003454B0" w:rsidP="00BB7B86">
      <w:pPr>
        <w:spacing w:line="276" w:lineRule="auto"/>
        <w:jc w:val="center"/>
        <w:rPr>
          <w:rFonts w:ascii="Arial" w:hAnsi="Arial" w:cs="Arial"/>
          <w:b/>
          <w:bCs/>
          <w:sz w:val="28"/>
          <w:szCs w:val="28"/>
        </w:rPr>
      </w:pPr>
      <w:commentRangeStart w:id="0"/>
      <w:r w:rsidRPr="00F06601">
        <w:rPr>
          <w:rFonts w:ascii="Arial" w:hAnsi="Arial" w:cs="Arial"/>
          <w:b/>
          <w:bCs/>
          <w:sz w:val="28"/>
          <w:szCs w:val="28"/>
        </w:rPr>
        <w:t xml:space="preserve">Post-Translational Modifications of α-Synuclein: Drivers of Aggregation and </w:t>
      </w:r>
      <w:proofErr w:type="spellStart"/>
      <w:r w:rsidRPr="00F06601">
        <w:rPr>
          <w:rFonts w:ascii="Arial" w:hAnsi="Arial" w:cs="Arial"/>
          <w:b/>
          <w:bCs/>
          <w:sz w:val="28"/>
          <w:szCs w:val="28"/>
        </w:rPr>
        <w:t>Synucleinopathy</w:t>
      </w:r>
      <w:proofErr w:type="spellEnd"/>
      <w:r w:rsidRPr="00F06601">
        <w:rPr>
          <w:rFonts w:ascii="Arial" w:hAnsi="Arial" w:cs="Arial"/>
          <w:b/>
          <w:bCs/>
          <w:sz w:val="28"/>
          <w:szCs w:val="28"/>
        </w:rPr>
        <w:t xml:space="preserve"> Pathogenesis</w:t>
      </w:r>
      <w:commentRangeEnd w:id="0"/>
      <w:r w:rsidR="00CC5594">
        <w:rPr>
          <w:rStyle w:val="CommentReference"/>
          <w:rtl/>
        </w:rPr>
        <w:commentReference w:id="0"/>
      </w:r>
    </w:p>
    <w:p w14:paraId="488A8168" w14:textId="77777777" w:rsidR="00FC5EB0" w:rsidRDefault="00FC5EB0" w:rsidP="00FC5EB0">
      <w:pPr>
        <w:spacing w:line="276" w:lineRule="auto"/>
        <w:jc w:val="center"/>
        <w:rPr>
          <w:rFonts w:ascii="Arial" w:hAnsi="Arial" w:cs="Arial"/>
        </w:rPr>
      </w:pPr>
    </w:p>
    <w:p w14:paraId="29BC75F7" w14:textId="77777777" w:rsidR="00BB7B86" w:rsidRPr="00F06601" w:rsidRDefault="00BB7B86" w:rsidP="00BB7B86">
      <w:pPr>
        <w:rPr>
          <w:rFonts w:ascii="Arial" w:hAnsi="Arial" w:cs="Arial"/>
        </w:rPr>
      </w:pPr>
    </w:p>
    <w:p w14:paraId="71F04FFD" w14:textId="1BAC3E45" w:rsidR="00AC4D18" w:rsidRPr="00F06601" w:rsidRDefault="00F06601" w:rsidP="00AC4D18">
      <w:pPr>
        <w:pStyle w:val="NormalWeb"/>
        <w:spacing w:line="360" w:lineRule="auto"/>
        <w:jc w:val="both"/>
        <w:rPr>
          <w:rFonts w:ascii="Arial" w:hAnsi="Arial" w:cs="Arial"/>
          <w:b/>
          <w:bCs/>
          <w:sz w:val="22"/>
          <w:szCs w:val="22"/>
        </w:rPr>
      </w:pPr>
      <w:r w:rsidRPr="00F06601">
        <w:rPr>
          <w:rFonts w:ascii="Arial" w:hAnsi="Arial" w:cs="Arial"/>
          <w:b/>
          <w:bCs/>
          <w:sz w:val="22"/>
          <w:szCs w:val="22"/>
        </w:rPr>
        <w:t xml:space="preserve">ABSTRACT: </w:t>
      </w:r>
    </w:p>
    <w:p w14:paraId="0E511F97" w14:textId="77777777" w:rsidR="00622F3B" w:rsidRPr="008226A0" w:rsidRDefault="0088344C" w:rsidP="00BB0BB7">
      <w:pPr>
        <w:pStyle w:val="NoSpacing"/>
        <w:spacing w:line="360" w:lineRule="auto"/>
        <w:jc w:val="both"/>
        <w:rPr>
          <w:rFonts w:ascii="Arial" w:hAnsi="Arial" w:cs="Arial"/>
          <w:sz w:val="22"/>
          <w:szCs w:val="22"/>
        </w:rPr>
      </w:pPr>
      <w:r w:rsidRPr="008226A0">
        <w:rPr>
          <w:rFonts w:ascii="Arial" w:hAnsi="Arial" w:cs="Arial"/>
          <w:b/>
          <w:bCs/>
          <w:sz w:val="22"/>
          <w:szCs w:val="22"/>
        </w:rPr>
        <w:t>Aims</w:t>
      </w:r>
      <w:r w:rsidR="004B5B00" w:rsidRPr="008226A0">
        <w:rPr>
          <w:rFonts w:ascii="Arial" w:hAnsi="Arial" w:cs="Arial"/>
          <w:b/>
          <w:bCs/>
          <w:sz w:val="22"/>
          <w:szCs w:val="22"/>
        </w:rPr>
        <w:t xml:space="preserve">: </w:t>
      </w:r>
      <w:r w:rsidRPr="008226A0">
        <w:rPr>
          <w:rFonts w:ascii="Arial" w:hAnsi="Arial" w:cs="Arial"/>
          <w:sz w:val="22"/>
          <w:szCs w:val="22"/>
        </w:rPr>
        <w:t>This mini-review aimed to critically evaluate the influence of post-translational modifications (PTMs) on α-synuclein structure, aggregation, and toxicity, and to clarify their relevance to the pathogenesis of Parkinson’s disease, dementia with Lewy bodies, and multiple system atrophy.</w:t>
      </w:r>
    </w:p>
    <w:p w14:paraId="6C4043F9" w14:textId="3EB963B5" w:rsidR="00622F3B"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Methodology</w:t>
      </w:r>
      <w:r w:rsidR="00622F3B" w:rsidRPr="008226A0">
        <w:rPr>
          <w:rFonts w:ascii="Arial" w:hAnsi="Arial" w:cs="Arial"/>
          <w:b/>
          <w:bCs/>
          <w:sz w:val="22"/>
          <w:szCs w:val="22"/>
        </w:rPr>
        <w:t xml:space="preserve">: </w:t>
      </w:r>
      <w:r w:rsidRPr="008226A0">
        <w:rPr>
          <w:rFonts w:ascii="Arial" w:hAnsi="Arial" w:cs="Arial"/>
          <w:sz w:val="22"/>
          <w:szCs w:val="22"/>
        </w:rPr>
        <w:t xml:space="preserve">Relevant peer-reviewed literature was systematically examined to assess the effects of major α-synuclein PTMs—including phosphorylation, ubiquitination, nitration, acetylation, SUMOylation, truncation, and oxidative modifications—on protein folding, solubility, aggregation </w:t>
      </w:r>
      <w:proofErr w:type="spellStart"/>
      <w:r w:rsidRPr="008226A0">
        <w:rPr>
          <w:rFonts w:ascii="Arial" w:hAnsi="Arial" w:cs="Arial"/>
          <w:sz w:val="22"/>
          <w:szCs w:val="22"/>
        </w:rPr>
        <w:t>behavior</w:t>
      </w:r>
      <w:proofErr w:type="spellEnd"/>
      <w:r w:rsidRPr="008226A0">
        <w:rPr>
          <w:rFonts w:ascii="Arial" w:hAnsi="Arial" w:cs="Arial"/>
          <w:sz w:val="22"/>
          <w:szCs w:val="22"/>
        </w:rPr>
        <w:t>, neurotoxicity, and clearance mechanisms involving autophagy and the proteasome.</w:t>
      </w:r>
    </w:p>
    <w:p w14:paraId="773B7846" w14:textId="120CB9AD" w:rsidR="0088344C"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Results</w:t>
      </w:r>
      <w:r w:rsidR="008226A0" w:rsidRPr="008226A0">
        <w:rPr>
          <w:rFonts w:ascii="Arial" w:hAnsi="Arial" w:cs="Arial"/>
          <w:b/>
          <w:bCs/>
          <w:sz w:val="22"/>
          <w:szCs w:val="22"/>
        </w:rPr>
        <w:t xml:space="preserve">: </w:t>
      </w:r>
      <w:r w:rsidRPr="008226A0">
        <w:rPr>
          <w:rFonts w:ascii="Arial" w:hAnsi="Arial" w:cs="Arial"/>
          <w:sz w:val="22"/>
          <w:szCs w:val="22"/>
        </w:rPr>
        <w:t xml:space="preserve">Phosphorylation at Ser129 was identified as the most prevalent pathological modification, showing marked enrichment in aggregated α-synuclein within diseased brain tissue. In contrast, phosphorylation at Ser87 and N-terminal acetylation were commonly associated with delayed fibril formation and reduced aggregation propensity. Modifications such as C-terminal truncation and tyrosine nitration significantly enhanced fibrillization and promoted the formation of highly neurotoxic oligomeric species. Multiple studies also demonstrated PTM crosstalk, wherein combinations of modifications either exacerbated or mitigated aggregation and influenced degradation pathways. PTM-specific α-synuclein species, particularly phosphorylated and truncated forms, showed promise as biomarkers for early diagnosis, disease staging, and differentiation among </w:t>
      </w:r>
      <w:proofErr w:type="spellStart"/>
      <w:r w:rsidRPr="008226A0">
        <w:rPr>
          <w:rFonts w:ascii="Arial" w:hAnsi="Arial" w:cs="Arial"/>
          <w:sz w:val="22"/>
          <w:szCs w:val="22"/>
        </w:rPr>
        <w:t>synucleinopathies</w:t>
      </w:r>
      <w:proofErr w:type="spellEnd"/>
      <w:r w:rsidRPr="008226A0">
        <w:rPr>
          <w:rFonts w:ascii="Arial" w:hAnsi="Arial" w:cs="Arial"/>
          <w:sz w:val="22"/>
          <w:szCs w:val="22"/>
        </w:rPr>
        <w:t>.</w:t>
      </w:r>
    </w:p>
    <w:p w14:paraId="3E5A3DD1" w14:textId="00CC3DF3" w:rsidR="00AC4D18"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Conclusion</w:t>
      </w:r>
      <w:r w:rsidR="008226A0" w:rsidRPr="008226A0">
        <w:rPr>
          <w:rFonts w:ascii="Arial" w:hAnsi="Arial" w:cs="Arial"/>
          <w:b/>
          <w:bCs/>
          <w:sz w:val="22"/>
          <w:szCs w:val="22"/>
        </w:rPr>
        <w:t>:</w:t>
      </w:r>
      <w:r w:rsidR="008226A0">
        <w:rPr>
          <w:rFonts w:ascii="Arial" w:hAnsi="Arial" w:cs="Arial"/>
          <w:b/>
          <w:bCs/>
          <w:sz w:val="22"/>
          <w:szCs w:val="22"/>
        </w:rPr>
        <w:t xml:space="preserve"> </w:t>
      </w:r>
      <w:r w:rsidRPr="008226A0">
        <w:rPr>
          <w:rFonts w:ascii="Arial" w:hAnsi="Arial" w:cs="Arial"/>
          <w:sz w:val="22"/>
          <w:szCs w:val="22"/>
        </w:rPr>
        <w:t>Collectively, the findings indicate that α-synuclein aggregation and associated neurotoxicity result from a complex interplay of multiple post-translational modifications rather than a single pathogenic event. Elucidating this PTM network provides critical insights into disease mechanisms and supports the development of refined diagnostic approaches and targeted therapeutic interventions.</w:t>
      </w:r>
    </w:p>
    <w:p w14:paraId="79E509CC" w14:textId="5C413288" w:rsidR="00FB5408" w:rsidRPr="00A35BF9" w:rsidRDefault="006F600C" w:rsidP="00A35BF9">
      <w:pPr>
        <w:jc w:val="both"/>
        <w:rPr>
          <w:rFonts w:ascii="Arial" w:hAnsi="Arial" w:cs="Arial"/>
          <w:i/>
          <w:iCs/>
          <w:sz w:val="20"/>
          <w:szCs w:val="20"/>
        </w:rPr>
      </w:pPr>
      <w:commentRangeStart w:id="1"/>
      <w:r w:rsidRPr="00A35BF9">
        <w:rPr>
          <w:rFonts w:ascii="Arial" w:hAnsi="Arial" w:cs="Arial"/>
          <w:b/>
          <w:bCs/>
          <w:i/>
          <w:iCs/>
          <w:sz w:val="22"/>
          <w:szCs w:val="22"/>
        </w:rPr>
        <w:t>Keywords</w:t>
      </w:r>
      <w:commentRangeEnd w:id="1"/>
      <w:r w:rsidR="00CC5594">
        <w:rPr>
          <w:rStyle w:val="CommentReference"/>
        </w:rPr>
        <w:commentReference w:id="1"/>
      </w:r>
      <w:r w:rsidRPr="00A35BF9">
        <w:rPr>
          <w:rFonts w:ascii="Arial" w:hAnsi="Arial" w:cs="Arial"/>
          <w:b/>
          <w:bCs/>
          <w:i/>
          <w:iCs/>
          <w:sz w:val="22"/>
          <w:szCs w:val="22"/>
        </w:rPr>
        <w:t>:</w:t>
      </w:r>
      <w:r w:rsidRPr="008226A0">
        <w:rPr>
          <w:rFonts w:ascii="Arial" w:hAnsi="Arial" w:cs="Arial"/>
          <w:b/>
          <w:bCs/>
          <w:sz w:val="22"/>
          <w:szCs w:val="22"/>
        </w:rPr>
        <w:t xml:space="preserve"> </w:t>
      </w:r>
      <w:r w:rsidRPr="00A35BF9">
        <w:rPr>
          <w:rFonts w:ascii="Arial" w:hAnsi="Arial" w:cs="Arial"/>
          <w:i/>
          <w:iCs/>
          <w:sz w:val="20"/>
          <w:szCs w:val="20"/>
        </w:rPr>
        <w:t xml:space="preserve">PTM; Alpha Synuclein; </w:t>
      </w:r>
      <w:proofErr w:type="spellStart"/>
      <w:r w:rsidRPr="00A35BF9">
        <w:rPr>
          <w:rFonts w:ascii="Arial" w:hAnsi="Arial" w:cs="Arial"/>
          <w:i/>
          <w:iCs/>
          <w:sz w:val="20"/>
          <w:szCs w:val="20"/>
        </w:rPr>
        <w:t>Proteinopathies</w:t>
      </w:r>
      <w:proofErr w:type="spellEnd"/>
      <w:r w:rsidRPr="00A35BF9">
        <w:rPr>
          <w:rFonts w:ascii="Arial" w:hAnsi="Arial" w:cs="Arial"/>
          <w:i/>
          <w:iCs/>
          <w:sz w:val="20"/>
          <w:szCs w:val="20"/>
        </w:rPr>
        <w:t>; Parkinson’s Disease; Therapeutics</w:t>
      </w:r>
    </w:p>
    <w:p w14:paraId="44584FCF" w14:textId="77777777" w:rsidR="006F600C" w:rsidRPr="00F06601" w:rsidRDefault="006F600C" w:rsidP="00FB5408">
      <w:pPr>
        <w:rPr>
          <w:rFonts w:ascii="Arial" w:hAnsi="Arial" w:cs="Arial"/>
          <w:b/>
          <w:bCs/>
          <w:sz w:val="28"/>
          <w:szCs w:val="28"/>
        </w:rPr>
      </w:pPr>
    </w:p>
    <w:p w14:paraId="62B5BDD6" w14:textId="77777777" w:rsidR="00FB5408" w:rsidRPr="00B85615" w:rsidRDefault="00FB5408" w:rsidP="00FB5408">
      <w:pPr>
        <w:rPr>
          <w:rFonts w:ascii="Arial" w:hAnsi="Arial" w:cs="Arial"/>
          <w:b/>
          <w:bCs/>
          <w:sz w:val="22"/>
          <w:szCs w:val="22"/>
        </w:rPr>
      </w:pPr>
      <w:r w:rsidRPr="00B85615">
        <w:rPr>
          <w:rFonts w:ascii="Arial" w:hAnsi="Arial" w:cs="Arial"/>
          <w:b/>
          <w:bCs/>
          <w:sz w:val="22"/>
          <w:szCs w:val="22"/>
        </w:rPr>
        <w:lastRenderedPageBreak/>
        <w:t>1. Introduction</w:t>
      </w:r>
    </w:p>
    <w:p w14:paraId="714095C7" w14:textId="5FF5EA62"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Parkinson’s disease (PD) and related </w:t>
      </w:r>
      <w:proofErr w:type="spellStart"/>
      <w:r w:rsidRPr="00B85615">
        <w:rPr>
          <w:rFonts w:ascii="Arial" w:hAnsi="Arial" w:cs="Arial"/>
          <w:sz w:val="20"/>
          <w:szCs w:val="20"/>
        </w:rPr>
        <w:t>synucleinopathies</w:t>
      </w:r>
      <w:proofErr w:type="spellEnd"/>
      <w:r w:rsidRPr="00B85615">
        <w:rPr>
          <w:rFonts w:ascii="Arial" w:hAnsi="Arial" w:cs="Arial"/>
          <w:sz w:val="20"/>
          <w:szCs w:val="20"/>
        </w:rPr>
        <w:t>—such as dementia with Lewy bodies (DLB) and multiple system atrophy (MSA)—are marked by the pathological accumulation of α-synuclein (</w:t>
      </w:r>
      <w:proofErr w:type="spellStart"/>
      <w:r w:rsidRPr="00B85615">
        <w:rPr>
          <w:rFonts w:ascii="Arial" w:hAnsi="Arial" w:cs="Arial"/>
          <w:sz w:val="20"/>
          <w:szCs w:val="20"/>
        </w:rPr>
        <w:t>aSyn</w:t>
      </w:r>
      <w:proofErr w:type="spellEnd"/>
      <w:r w:rsidRPr="00B85615">
        <w:rPr>
          <w:rFonts w:ascii="Arial" w:hAnsi="Arial" w:cs="Arial"/>
          <w:sz w:val="20"/>
          <w:szCs w:val="20"/>
        </w:rPr>
        <w:t>) aggregates within neurons and glial cells. α-Synuclein is a 140–amino acid, intrinsically disordered protein encoded by the SNCA gene, primarily located at presynaptic terminals where it plays a key role in synaptic vesicle trafficking and neurotransmitter regulation</w:t>
      </w:r>
      <w:r w:rsidR="00427318" w:rsidRPr="00B85615">
        <w:rPr>
          <w:rFonts w:ascii="Arial" w:hAnsi="Arial" w:cs="Arial"/>
          <w:sz w:val="20"/>
          <w:szCs w:val="20"/>
          <w:vertAlign w:val="superscript"/>
        </w:rPr>
        <w:t>1</w:t>
      </w:r>
      <w:r w:rsidR="000200C0" w:rsidRPr="00B85615">
        <w:rPr>
          <w:rFonts w:ascii="Arial" w:hAnsi="Arial" w:cs="Arial"/>
          <w:sz w:val="20"/>
          <w:szCs w:val="20"/>
          <w:vertAlign w:val="superscript"/>
        </w:rPr>
        <w:t>,2</w:t>
      </w:r>
      <w:r w:rsidRPr="00B85615">
        <w:rPr>
          <w:rFonts w:ascii="Arial" w:hAnsi="Arial" w:cs="Arial"/>
          <w:sz w:val="20"/>
          <w:szCs w:val="20"/>
        </w:rPr>
        <w:t>.</w:t>
      </w:r>
    </w:p>
    <w:p w14:paraId="55BEE7BB" w14:textId="0AE2EAD5"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Under physiological conditions, </w:t>
      </w:r>
      <w:proofErr w:type="spellStart"/>
      <w:r w:rsidRPr="00B85615">
        <w:rPr>
          <w:rFonts w:ascii="Arial" w:hAnsi="Arial" w:cs="Arial"/>
          <w:sz w:val="20"/>
          <w:szCs w:val="20"/>
        </w:rPr>
        <w:t>aSyn</w:t>
      </w:r>
      <w:proofErr w:type="spellEnd"/>
      <w:r w:rsidRPr="00B85615">
        <w:rPr>
          <w:rFonts w:ascii="Arial" w:hAnsi="Arial" w:cs="Arial"/>
          <w:sz w:val="20"/>
          <w:szCs w:val="20"/>
        </w:rPr>
        <w:t xml:space="preserve"> fluctuates between an unfolded monomeric state and membrane-bound α-helical tetramers</w:t>
      </w:r>
      <w:r w:rsidR="00414967" w:rsidRPr="00B85615">
        <w:rPr>
          <w:rFonts w:ascii="Arial" w:hAnsi="Arial" w:cs="Arial"/>
          <w:sz w:val="20"/>
          <w:szCs w:val="20"/>
          <w:vertAlign w:val="superscript"/>
        </w:rPr>
        <w:t>3,4</w:t>
      </w:r>
      <w:r w:rsidRPr="00B85615">
        <w:rPr>
          <w:rFonts w:ascii="Arial" w:hAnsi="Arial" w:cs="Arial"/>
          <w:sz w:val="20"/>
          <w:szCs w:val="20"/>
        </w:rPr>
        <w:t>. In contrast, during disease progression, it misfolds into β-sheet-rich oligomers and fibrils—the principal components of Lewy bodies. These inclusions trigger oxidative damage, mitochondrial failure, and synaptic dysfunction, ultimately leading to neuronal loss</w:t>
      </w:r>
      <w:r w:rsidR="00414967" w:rsidRPr="00B85615">
        <w:rPr>
          <w:rFonts w:ascii="Arial" w:hAnsi="Arial" w:cs="Arial"/>
          <w:sz w:val="20"/>
          <w:szCs w:val="20"/>
          <w:vertAlign w:val="superscript"/>
        </w:rPr>
        <w:t>5,6</w:t>
      </w:r>
      <w:r w:rsidRPr="00B85615">
        <w:rPr>
          <w:rFonts w:ascii="Arial" w:hAnsi="Arial" w:cs="Arial"/>
          <w:sz w:val="20"/>
          <w:szCs w:val="20"/>
        </w:rPr>
        <w:t>.</w:t>
      </w:r>
    </w:p>
    <w:p w14:paraId="17CCD544" w14:textId="24C7AB34"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Although familial PD-linked mutations such as A53T, A30P, and E46K accelerate </w:t>
      </w:r>
      <w:proofErr w:type="spellStart"/>
      <w:r w:rsidRPr="00B85615">
        <w:rPr>
          <w:rFonts w:ascii="Arial" w:hAnsi="Arial" w:cs="Arial"/>
          <w:sz w:val="20"/>
          <w:szCs w:val="20"/>
        </w:rPr>
        <w:t>aSyn</w:t>
      </w:r>
      <w:proofErr w:type="spellEnd"/>
      <w:r w:rsidRPr="00B85615">
        <w:rPr>
          <w:rFonts w:ascii="Arial" w:hAnsi="Arial" w:cs="Arial"/>
          <w:sz w:val="20"/>
          <w:szCs w:val="20"/>
        </w:rPr>
        <w:t xml:space="preserve"> aggregation</w:t>
      </w:r>
      <w:r w:rsidR="00031494" w:rsidRPr="00B85615">
        <w:rPr>
          <w:rFonts w:ascii="Arial" w:hAnsi="Arial" w:cs="Arial"/>
          <w:sz w:val="20"/>
          <w:szCs w:val="20"/>
          <w:vertAlign w:val="superscript"/>
        </w:rPr>
        <w:t>7,8</w:t>
      </w:r>
      <w:r w:rsidRPr="00B85615">
        <w:rPr>
          <w:rFonts w:ascii="Arial" w:hAnsi="Arial" w:cs="Arial"/>
          <w:sz w:val="20"/>
          <w:szCs w:val="20"/>
        </w:rPr>
        <w:t xml:space="preserve">, growing evidence indicates that post-translational modifications (PTMs)—chemical modifications that occur after translation—play an equally pivotal role in shaping </w:t>
      </w:r>
      <w:proofErr w:type="spellStart"/>
      <w:r w:rsidRPr="00B85615">
        <w:rPr>
          <w:rFonts w:ascii="Arial" w:hAnsi="Arial" w:cs="Arial"/>
          <w:sz w:val="20"/>
          <w:szCs w:val="20"/>
        </w:rPr>
        <w:t>aSyn’s</w:t>
      </w:r>
      <w:proofErr w:type="spellEnd"/>
      <w:r w:rsidRPr="00B85615">
        <w:rPr>
          <w:rFonts w:ascii="Arial" w:hAnsi="Arial" w:cs="Arial"/>
          <w:sz w:val="20"/>
          <w:szCs w:val="20"/>
        </w:rPr>
        <w:t xml:space="preserve"> folding, solubility, and aggregation potential</w:t>
      </w:r>
      <w:r w:rsidR="00E87E8A" w:rsidRPr="00B85615">
        <w:rPr>
          <w:rFonts w:ascii="Arial" w:hAnsi="Arial" w:cs="Arial"/>
          <w:sz w:val="20"/>
          <w:szCs w:val="20"/>
          <w:vertAlign w:val="superscript"/>
        </w:rPr>
        <w:t>9</w:t>
      </w:r>
      <w:r w:rsidRPr="00B85615">
        <w:rPr>
          <w:rFonts w:ascii="Arial" w:hAnsi="Arial" w:cs="Arial"/>
          <w:sz w:val="20"/>
          <w:szCs w:val="20"/>
        </w:rPr>
        <w:t>. These PTMs, including phosphorylation, ubiquitination, nitration, acetylation, SUMOylation, truncation, and oxidation, can either enhance or inhibit aggregation, depending on the modified residue, degree of modification, and the local cellular environment</w:t>
      </w:r>
      <w:r w:rsidR="00D25888" w:rsidRPr="00B85615">
        <w:rPr>
          <w:rFonts w:ascii="Arial" w:hAnsi="Arial" w:cs="Arial"/>
          <w:sz w:val="20"/>
          <w:szCs w:val="20"/>
          <w:vertAlign w:val="superscript"/>
        </w:rPr>
        <w:t>10,11</w:t>
      </w:r>
      <w:r w:rsidRPr="00B85615">
        <w:rPr>
          <w:rFonts w:ascii="Arial" w:hAnsi="Arial" w:cs="Arial"/>
          <w:sz w:val="20"/>
          <w:szCs w:val="20"/>
        </w:rPr>
        <w:t>.</w:t>
      </w:r>
    </w:p>
    <w:p w14:paraId="281E4D7F" w14:textId="77777777" w:rsidR="00463A00" w:rsidRPr="00B85615" w:rsidRDefault="00463A00" w:rsidP="00FB5408">
      <w:pPr>
        <w:spacing w:line="360" w:lineRule="auto"/>
        <w:jc w:val="both"/>
        <w:rPr>
          <w:rFonts w:ascii="Arial" w:hAnsi="Arial" w:cs="Arial"/>
          <w:sz w:val="20"/>
          <w:szCs w:val="20"/>
        </w:rPr>
      </w:pPr>
      <w:r w:rsidRPr="00B85615">
        <w:rPr>
          <w:rFonts w:ascii="Arial" w:hAnsi="Arial" w:cs="Arial"/>
          <w:sz w:val="20"/>
          <w:szCs w:val="20"/>
        </w:rPr>
        <w:t xml:space="preserve">This mini-review provides a systematic overview of α-synuclein post-translational modifications (PTMs) and their role in modulating aggregation, offering a residue-specific and mechanistic perspective that builds on existing literature. It examines how modifications—phosphorylation, ubiquitination, nitration, acetylation, SUMOylation, truncation, and oxidation—affect α-synuclein structure and toxicity, and how interactions between PTMs create a complex regulatory “code.” By integrating biochemical, cellular, and translational findings, the review highlights the potential of PTM-specific α-synuclein species as diagnostic biomarkers and therapeutic targets, providing a roadmap for precision interventions in Parkinson’s disease and related </w:t>
      </w:r>
      <w:proofErr w:type="spellStart"/>
      <w:r w:rsidRPr="00B85615">
        <w:rPr>
          <w:rFonts w:ascii="Arial" w:hAnsi="Arial" w:cs="Arial"/>
          <w:sz w:val="20"/>
          <w:szCs w:val="20"/>
        </w:rPr>
        <w:t>synucleinopathies</w:t>
      </w:r>
      <w:proofErr w:type="spellEnd"/>
      <w:r w:rsidRPr="00B85615">
        <w:rPr>
          <w:rFonts w:ascii="Arial" w:hAnsi="Arial" w:cs="Arial"/>
          <w:sz w:val="20"/>
          <w:szCs w:val="20"/>
        </w:rPr>
        <w:t>.</w:t>
      </w:r>
    </w:p>
    <w:p w14:paraId="2D8FD907" w14:textId="77777777" w:rsidR="00FB5408" w:rsidRPr="00EB4FDA" w:rsidRDefault="00FB5408" w:rsidP="00FB5408">
      <w:pPr>
        <w:spacing w:line="360" w:lineRule="auto"/>
        <w:jc w:val="both"/>
        <w:rPr>
          <w:rFonts w:ascii="Arial" w:hAnsi="Arial" w:cs="Arial"/>
          <w:b/>
          <w:bCs/>
          <w:sz w:val="22"/>
          <w:szCs w:val="22"/>
        </w:rPr>
      </w:pPr>
      <w:r w:rsidRPr="00EB4FDA">
        <w:rPr>
          <w:rFonts w:ascii="Arial" w:hAnsi="Arial" w:cs="Arial"/>
          <w:b/>
          <w:bCs/>
          <w:sz w:val="22"/>
          <w:szCs w:val="22"/>
        </w:rPr>
        <w:t>2. Methodology</w:t>
      </w:r>
    </w:p>
    <w:p w14:paraId="0285BDDC" w14:textId="77777777" w:rsidR="00FB5408" w:rsidRPr="00EB4FDA" w:rsidRDefault="00FB5408" w:rsidP="00FB5408">
      <w:pPr>
        <w:spacing w:line="360" w:lineRule="auto"/>
        <w:jc w:val="both"/>
        <w:rPr>
          <w:rFonts w:ascii="Arial" w:hAnsi="Arial" w:cs="Arial"/>
          <w:sz w:val="20"/>
          <w:szCs w:val="20"/>
        </w:rPr>
      </w:pPr>
      <w:r w:rsidRPr="00EB4FDA">
        <w:rPr>
          <w:rFonts w:ascii="Arial" w:hAnsi="Arial" w:cs="Arial"/>
          <w:sz w:val="20"/>
          <w:szCs w:val="20"/>
        </w:rPr>
        <w:t xml:space="preserve">A comprehensive literature search was conducted across PubMed, Scopus, and Web of Science databases, covering publications from January 2010 to June 2024. The search employed combinations of keywords such as </w:t>
      </w:r>
      <w:r w:rsidRPr="00EB4FDA">
        <w:rPr>
          <w:rFonts w:ascii="Arial" w:hAnsi="Arial" w:cs="Arial"/>
          <w:i/>
          <w:iCs/>
          <w:sz w:val="20"/>
          <w:szCs w:val="20"/>
        </w:rPr>
        <w:t>“alpha-synuclein,” “post-translational modification,” “phosphorylation,” “aggregation,”</w:t>
      </w:r>
      <w:r w:rsidRPr="00EB4FDA">
        <w:rPr>
          <w:rFonts w:ascii="Arial" w:hAnsi="Arial" w:cs="Arial"/>
          <w:sz w:val="20"/>
          <w:szCs w:val="20"/>
        </w:rPr>
        <w:t xml:space="preserve"> and </w:t>
      </w:r>
      <w:r w:rsidRPr="00EB4FDA">
        <w:rPr>
          <w:rFonts w:ascii="Arial" w:hAnsi="Arial" w:cs="Arial"/>
          <w:i/>
          <w:iCs/>
          <w:sz w:val="20"/>
          <w:szCs w:val="20"/>
        </w:rPr>
        <w:t>“Parkinson’s disease.”</w:t>
      </w:r>
      <w:r w:rsidRPr="00EB4FDA">
        <w:rPr>
          <w:rFonts w:ascii="Arial" w:hAnsi="Arial" w:cs="Arial"/>
          <w:sz w:val="20"/>
          <w:szCs w:val="20"/>
        </w:rPr>
        <w:t xml:space="preserve"> Only peer-reviewed original research articles and reviews that reported biochemical or cellular effects of clearly defined post-translational modifications (PTMs) on α-synuclein aggregation were considered eligible. Both in vitro and in vivo studies were included, while computational </w:t>
      </w:r>
      <w:r w:rsidR="00280C74" w:rsidRPr="00EB4FDA">
        <w:rPr>
          <w:rFonts w:ascii="Arial" w:hAnsi="Arial" w:cs="Arial"/>
          <w:sz w:val="20"/>
          <w:szCs w:val="20"/>
        </w:rPr>
        <w:t>modelling</w:t>
      </w:r>
      <w:r w:rsidRPr="00EB4FDA">
        <w:rPr>
          <w:rFonts w:ascii="Arial" w:hAnsi="Arial" w:cs="Arial"/>
          <w:sz w:val="20"/>
          <w:szCs w:val="20"/>
        </w:rPr>
        <w:t xml:space="preserve"> studies were considered only if they were supported by experimental data.</w:t>
      </w:r>
    </w:p>
    <w:p w14:paraId="5FD14C01" w14:textId="77777777" w:rsidR="00FB5408" w:rsidRPr="00EB4FDA" w:rsidRDefault="00FB5408" w:rsidP="00FB5408">
      <w:pPr>
        <w:spacing w:line="360" w:lineRule="auto"/>
        <w:jc w:val="both"/>
        <w:rPr>
          <w:rFonts w:ascii="Arial" w:hAnsi="Arial" w:cs="Arial"/>
          <w:sz w:val="20"/>
          <w:szCs w:val="20"/>
        </w:rPr>
      </w:pPr>
      <w:r w:rsidRPr="00EB4FDA">
        <w:rPr>
          <w:rFonts w:ascii="Arial" w:hAnsi="Arial" w:cs="Arial"/>
          <w:sz w:val="20"/>
          <w:szCs w:val="20"/>
        </w:rPr>
        <w:t>The selected publications were organized according to modification type, modified residue site, and impact on aggregation (either promoting or inhibitory). Whenever possible, associated mechanistic explanations and structural implications were summarized.</w:t>
      </w:r>
    </w:p>
    <w:p w14:paraId="0149B9D7" w14:textId="2D516DE5" w:rsidR="00796BC1" w:rsidRPr="00EB4FDA" w:rsidRDefault="00E1252A" w:rsidP="00E1252A">
      <w:pPr>
        <w:spacing w:line="360" w:lineRule="auto"/>
        <w:jc w:val="both"/>
        <w:rPr>
          <w:rFonts w:ascii="Arial" w:hAnsi="Arial" w:cs="Arial"/>
          <w:sz w:val="20"/>
          <w:szCs w:val="20"/>
        </w:rPr>
      </w:pPr>
      <w:r w:rsidRPr="00EB4FDA">
        <w:rPr>
          <w:rFonts w:ascii="Arial" w:hAnsi="Arial" w:cs="Arial"/>
          <w:sz w:val="20"/>
          <w:szCs w:val="20"/>
        </w:rPr>
        <w:lastRenderedPageBreak/>
        <w:t xml:space="preserve">This review adhered to PRISMA 2020 standards for systematic reporting. Literature screening and selection were performed using controlled vocabulary and Boolean search operators: (“α-synuclein” AND “post-translational modification” AND “aggregation”). Articles published between 2010 and June 2024 underwent title, abstract, and full-text evaluation. Eligible studies included those that experimentally investigated one or more PTMs of α-synuclein and measured aggregation </w:t>
      </w:r>
      <w:proofErr w:type="spellStart"/>
      <w:r w:rsidRPr="00EB4FDA">
        <w:rPr>
          <w:rFonts w:ascii="Arial" w:hAnsi="Arial" w:cs="Arial"/>
          <w:sz w:val="20"/>
          <w:szCs w:val="20"/>
        </w:rPr>
        <w:t>behavior</w:t>
      </w:r>
      <w:proofErr w:type="spellEnd"/>
      <w:r w:rsidRPr="00EB4FDA">
        <w:rPr>
          <w:rFonts w:ascii="Arial" w:hAnsi="Arial" w:cs="Arial"/>
          <w:sz w:val="20"/>
          <w:szCs w:val="20"/>
        </w:rPr>
        <w:t xml:space="preserve"> through biochemical, biophysical, or cellular assays. Review papers, conference abstracts, and computational-only analyses were excluded. Out of 495 initially identified records, 44 studies met the inclusion criteria and were incorporated into the qualitative synthesis.</w:t>
      </w:r>
    </w:p>
    <w:p w14:paraId="53CAE235" w14:textId="77777777" w:rsidR="00E1252A" w:rsidRPr="00552A27" w:rsidRDefault="00E1252A" w:rsidP="00E1252A">
      <w:pPr>
        <w:spacing w:line="360" w:lineRule="auto"/>
        <w:rPr>
          <w:rFonts w:ascii="Arial" w:hAnsi="Arial" w:cs="Arial"/>
          <w:b/>
          <w:bCs/>
          <w:sz w:val="22"/>
          <w:szCs w:val="22"/>
        </w:rPr>
      </w:pPr>
      <w:r w:rsidRPr="00552A27">
        <w:rPr>
          <w:rFonts w:ascii="Arial" w:hAnsi="Arial" w:cs="Arial"/>
          <w:b/>
          <w:bCs/>
          <w:sz w:val="22"/>
          <w:szCs w:val="22"/>
        </w:rPr>
        <w:t xml:space="preserve">3. Structure and Aggregation </w:t>
      </w:r>
      <w:proofErr w:type="spellStart"/>
      <w:r w:rsidRPr="00552A27">
        <w:rPr>
          <w:rFonts w:ascii="Arial" w:hAnsi="Arial" w:cs="Arial"/>
          <w:b/>
          <w:bCs/>
          <w:sz w:val="22"/>
          <w:szCs w:val="22"/>
        </w:rPr>
        <w:t>Behavior</w:t>
      </w:r>
      <w:proofErr w:type="spellEnd"/>
      <w:r w:rsidRPr="00552A27">
        <w:rPr>
          <w:rFonts w:ascii="Arial" w:hAnsi="Arial" w:cs="Arial"/>
          <w:b/>
          <w:bCs/>
          <w:sz w:val="22"/>
          <w:szCs w:val="22"/>
        </w:rPr>
        <w:t xml:space="preserve"> of α-Synuclein</w:t>
      </w:r>
    </w:p>
    <w:p w14:paraId="2954F32E" w14:textId="47008D39" w:rsidR="00E1252A" w:rsidRPr="00552A27" w:rsidRDefault="00E1252A" w:rsidP="00E1252A">
      <w:pPr>
        <w:spacing w:line="360" w:lineRule="auto"/>
        <w:rPr>
          <w:rFonts w:ascii="Arial" w:hAnsi="Arial" w:cs="Arial"/>
          <w:sz w:val="20"/>
          <w:szCs w:val="20"/>
          <w:vertAlign w:val="superscript"/>
        </w:rPr>
      </w:pPr>
      <w:r w:rsidRPr="00552A27">
        <w:rPr>
          <w:rFonts w:ascii="Arial" w:hAnsi="Arial" w:cs="Arial"/>
          <w:sz w:val="20"/>
          <w:szCs w:val="20"/>
        </w:rPr>
        <w:t>α-Synuclein (</w:t>
      </w:r>
      <w:proofErr w:type="spellStart"/>
      <w:r w:rsidRPr="00552A27">
        <w:rPr>
          <w:rFonts w:ascii="Arial" w:hAnsi="Arial" w:cs="Arial"/>
          <w:sz w:val="20"/>
          <w:szCs w:val="20"/>
        </w:rPr>
        <w:t>aSyn</w:t>
      </w:r>
      <w:proofErr w:type="spellEnd"/>
      <w:r w:rsidRPr="00552A27">
        <w:rPr>
          <w:rFonts w:ascii="Arial" w:hAnsi="Arial" w:cs="Arial"/>
          <w:sz w:val="20"/>
          <w:szCs w:val="20"/>
        </w:rPr>
        <w:t xml:space="preserve">) is composed of three structurally and functionally distinct regions, each contributing differently to its biochemical </w:t>
      </w:r>
      <w:proofErr w:type="spellStart"/>
      <w:r w:rsidRPr="00552A27">
        <w:rPr>
          <w:rFonts w:ascii="Arial" w:hAnsi="Arial" w:cs="Arial"/>
          <w:sz w:val="20"/>
          <w:szCs w:val="20"/>
        </w:rPr>
        <w:t>behavior</w:t>
      </w:r>
      <w:proofErr w:type="spellEnd"/>
      <w:r w:rsidRPr="00552A27">
        <w:rPr>
          <w:rFonts w:ascii="Arial" w:hAnsi="Arial" w:cs="Arial"/>
          <w:sz w:val="20"/>
          <w:szCs w:val="20"/>
        </w:rPr>
        <w:t xml:space="preserve"> and aggregation potential</w:t>
      </w:r>
      <w:r w:rsidR="00796BC1" w:rsidRPr="00552A27">
        <w:rPr>
          <w:rFonts w:ascii="Arial" w:hAnsi="Arial" w:cs="Arial"/>
          <w:sz w:val="20"/>
          <w:szCs w:val="20"/>
          <w:vertAlign w:val="superscript"/>
        </w:rPr>
        <w:t>12,</w:t>
      </w:r>
      <w:proofErr w:type="gramStart"/>
      <w:r w:rsidR="00796BC1" w:rsidRPr="00552A27">
        <w:rPr>
          <w:rFonts w:ascii="Arial" w:hAnsi="Arial" w:cs="Arial"/>
          <w:sz w:val="20"/>
          <w:szCs w:val="20"/>
          <w:vertAlign w:val="superscript"/>
        </w:rPr>
        <w:t>13</w:t>
      </w:r>
      <w:r w:rsidR="00E67C20" w:rsidRPr="00552A27">
        <w:rPr>
          <w:rFonts w:ascii="Arial" w:hAnsi="Arial" w:cs="Arial"/>
          <w:sz w:val="20"/>
          <w:szCs w:val="20"/>
          <w:vertAlign w:val="superscript"/>
        </w:rPr>
        <w:t xml:space="preserve"> </w:t>
      </w:r>
      <w:r w:rsidRPr="00552A27">
        <w:rPr>
          <w:rFonts w:ascii="Arial" w:hAnsi="Arial" w:cs="Arial"/>
          <w:sz w:val="20"/>
          <w:szCs w:val="20"/>
        </w:rPr>
        <w:t>:</w:t>
      </w:r>
      <w:proofErr w:type="gramEnd"/>
    </w:p>
    <w:p w14:paraId="3B020314"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N-terminal region (residues 1–60):</w:t>
      </w:r>
      <w:r w:rsidRPr="00552A27">
        <w:rPr>
          <w:rFonts w:ascii="Arial" w:hAnsi="Arial" w:cs="Arial"/>
          <w:sz w:val="20"/>
          <w:szCs w:val="20"/>
        </w:rPr>
        <w:br/>
        <w:t xml:space="preserve">This segment is rich in amphipathic KTKEGV repeat motifs that facilitate reversible binding to lipid membranes. Notably, several familial Parkinson’s disease (PD) mutations—including </w:t>
      </w:r>
      <w:r w:rsidRPr="00552A27">
        <w:rPr>
          <w:rFonts w:ascii="Arial" w:hAnsi="Arial" w:cs="Arial"/>
          <w:i/>
          <w:iCs/>
          <w:sz w:val="20"/>
          <w:szCs w:val="20"/>
        </w:rPr>
        <w:t>A30P, E46K, H50Q, G51D,</w:t>
      </w:r>
      <w:r w:rsidRPr="00552A27">
        <w:rPr>
          <w:rFonts w:ascii="Arial" w:hAnsi="Arial" w:cs="Arial"/>
          <w:sz w:val="20"/>
          <w:szCs w:val="20"/>
        </w:rPr>
        <w:t xml:space="preserve"> and </w:t>
      </w:r>
      <w:r w:rsidRPr="00552A27">
        <w:rPr>
          <w:rFonts w:ascii="Arial" w:hAnsi="Arial" w:cs="Arial"/>
          <w:i/>
          <w:iCs/>
          <w:sz w:val="20"/>
          <w:szCs w:val="20"/>
        </w:rPr>
        <w:t>A53T</w:t>
      </w:r>
      <w:r w:rsidRPr="00552A27">
        <w:rPr>
          <w:rFonts w:ascii="Arial" w:hAnsi="Arial" w:cs="Arial"/>
          <w:sz w:val="20"/>
          <w:szCs w:val="20"/>
        </w:rPr>
        <w:t>—are located within this domain, altering its affinity for membranes and disrupting normal lipid–protein interactions.</w:t>
      </w:r>
    </w:p>
    <w:p w14:paraId="573CE829"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NAC region (residues 61–95):</w:t>
      </w:r>
      <w:r w:rsidRPr="00552A27">
        <w:rPr>
          <w:rFonts w:ascii="Arial" w:hAnsi="Arial" w:cs="Arial"/>
          <w:sz w:val="20"/>
          <w:szCs w:val="20"/>
        </w:rPr>
        <w:br/>
        <w:t xml:space="preserve">Known as the non-amyloid-β component (NAC), this central region is highly hydrophobic and serves as the core driver of amyloid fibril nucleation and elongation. It is critically involved in the conversion of monomeric </w:t>
      </w:r>
      <w:proofErr w:type="spellStart"/>
      <w:r w:rsidRPr="00552A27">
        <w:rPr>
          <w:rFonts w:ascii="Arial" w:hAnsi="Arial" w:cs="Arial"/>
          <w:sz w:val="20"/>
          <w:szCs w:val="20"/>
        </w:rPr>
        <w:t>aSyn</w:t>
      </w:r>
      <w:proofErr w:type="spellEnd"/>
      <w:r w:rsidRPr="00552A27">
        <w:rPr>
          <w:rFonts w:ascii="Arial" w:hAnsi="Arial" w:cs="Arial"/>
          <w:sz w:val="20"/>
          <w:szCs w:val="20"/>
        </w:rPr>
        <w:t xml:space="preserve"> into β-sheet-rich aggregates.</w:t>
      </w:r>
    </w:p>
    <w:p w14:paraId="56A35B30"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C-terminal region (residues 96–140):</w:t>
      </w:r>
      <w:r w:rsidRPr="00552A27">
        <w:rPr>
          <w:rFonts w:ascii="Arial" w:hAnsi="Arial" w:cs="Arial"/>
          <w:sz w:val="20"/>
          <w:szCs w:val="20"/>
        </w:rPr>
        <w:br/>
        <w:t xml:space="preserve">This acidic and proline-rich domain is largely unstructured and </w:t>
      </w:r>
      <w:proofErr w:type="spellStart"/>
      <w:r w:rsidRPr="00552A27">
        <w:rPr>
          <w:rFonts w:ascii="Arial" w:hAnsi="Arial" w:cs="Arial"/>
          <w:sz w:val="20"/>
          <w:szCs w:val="20"/>
        </w:rPr>
        <w:t>harbors</w:t>
      </w:r>
      <w:proofErr w:type="spellEnd"/>
      <w:r w:rsidRPr="00552A27">
        <w:rPr>
          <w:rFonts w:ascii="Arial" w:hAnsi="Arial" w:cs="Arial"/>
          <w:sz w:val="20"/>
          <w:szCs w:val="20"/>
        </w:rPr>
        <w:t xml:space="preserve"> multiple sites for post-translational modifications such as phosphorylation, nitration, and truncation. It plays a regulatory role in maintaining solubility, interacting with chaperones, and modulating aggregation.</w:t>
      </w:r>
    </w:p>
    <w:p w14:paraId="37F604A1" w14:textId="19D520FB" w:rsidR="00AA59E6" w:rsidRPr="00552A27" w:rsidRDefault="00E1252A" w:rsidP="00E1252A">
      <w:pPr>
        <w:spacing w:line="360" w:lineRule="auto"/>
        <w:jc w:val="both"/>
        <w:rPr>
          <w:rFonts w:ascii="Arial" w:hAnsi="Arial" w:cs="Arial"/>
          <w:sz w:val="20"/>
          <w:szCs w:val="20"/>
        </w:rPr>
      </w:pPr>
      <w:r w:rsidRPr="00552A27">
        <w:rPr>
          <w:rFonts w:ascii="Arial" w:hAnsi="Arial" w:cs="Arial"/>
          <w:sz w:val="20"/>
          <w:szCs w:val="20"/>
        </w:rPr>
        <w:t xml:space="preserve">Under normal physiological conditions, the intrinsic flexibility of </w:t>
      </w:r>
      <w:proofErr w:type="spellStart"/>
      <w:r w:rsidRPr="00552A27">
        <w:rPr>
          <w:rFonts w:ascii="Arial" w:hAnsi="Arial" w:cs="Arial"/>
          <w:sz w:val="20"/>
          <w:szCs w:val="20"/>
        </w:rPr>
        <w:t>aSyn</w:t>
      </w:r>
      <w:proofErr w:type="spellEnd"/>
      <w:r w:rsidRPr="00552A27">
        <w:rPr>
          <w:rFonts w:ascii="Arial" w:hAnsi="Arial" w:cs="Arial"/>
          <w:sz w:val="20"/>
          <w:szCs w:val="20"/>
        </w:rPr>
        <w:t xml:space="preserve"> enables it to participate effectively in synaptic vesicle trafficking and neurotransmitter release. However, alterations in charge balance or hydrophobic character—for instance, due to specific PTMs—can destabilize its native conformational ensemble and promote the conversion of soluble species into aggregation-prone oligomers and amyloid fibrils</w:t>
      </w:r>
      <w:r w:rsidR="00705F1A" w:rsidRPr="00552A27">
        <w:rPr>
          <w:rFonts w:ascii="Arial" w:hAnsi="Arial" w:cs="Arial"/>
          <w:sz w:val="20"/>
          <w:szCs w:val="20"/>
          <w:vertAlign w:val="superscript"/>
        </w:rPr>
        <w:t>14</w:t>
      </w:r>
      <w:r w:rsidR="00BB2F81" w:rsidRPr="00552A27">
        <w:rPr>
          <w:rFonts w:ascii="Arial" w:hAnsi="Arial" w:cs="Arial"/>
          <w:sz w:val="20"/>
          <w:szCs w:val="20"/>
        </w:rPr>
        <w:t>.</w:t>
      </w:r>
    </w:p>
    <w:p w14:paraId="741C5DFD" w14:textId="77777777" w:rsidR="00E1252A" w:rsidRPr="00681D63" w:rsidRDefault="00E1252A" w:rsidP="00E1252A">
      <w:pPr>
        <w:spacing w:line="360" w:lineRule="auto"/>
        <w:jc w:val="both"/>
        <w:rPr>
          <w:rFonts w:ascii="Arial" w:hAnsi="Arial" w:cs="Arial"/>
          <w:b/>
          <w:bCs/>
          <w:sz w:val="22"/>
          <w:szCs w:val="22"/>
        </w:rPr>
      </w:pPr>
      <w:r w:rsidRPr="00681D63">
        <w:rPr>
          <w:rFonts w:ascii="Arial" w:hAnsi="Arial" w:cs="Arial"/>
          <w:b/>
          <w:bCs/>
          <w:sz w:val="22"/>
          <w:szCs w:val="22"/>
        </w:rPr>
        <w:t>4. Post-Translational Modifications and Their Impact on Aggregation</w:t>
      </w:r>
    </w:p>
    <w:p w14:paraId="7F4EBA61" w14:textId="77777777" w:rsidR="00E1252A" w:rsidRPr="00681D63" w:rsidRDefault="00E1252A" w:rsidP="00E1252A">
      <w:pPr>
        <w:spacing w:line="360" w:lineRule="auto"/>
        <w:jc w:val="both"/>
        <w:rPr>
          <w:rFonts w:ascii="Arial" w:hAnsi="Arial" w:cs="Arial"/>
          <w:b/>
          <w:bCs/>
          <w:sz w:val="22"/>
          <w:szCs w:val="22"/>
        </w:rPr>
      </w:pPr>
      <w:r w:rsidRPr="00681D63">
        <w:rPr>
          <w:rFonts w:ascii="Arial" w:hAnsi="Arial" w:cs="Arial"/>
          <w:b/>
          <w:bCs/>
          <w:sz w:val="22"/>
          <w:szCs w:val="22"/>
        </w:rPr>
        <w:t>4.1 Phosphorylation</w:t>
      </w:r>
    </w:p>
    <w:p w14:paraId="0A5104AA" w14:textId="25A8C50E"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Phosphorylation represents the most extensively studied post-translational modification (PTM) of α-synuclein (</w:t>
      </w:r>
      <w:proofErr w:type="spellStart"/>
      <w:r w:rsidRPr="00681D63">
        <w:rPr>
          <w:rFonts w:ascii="Arial" w:hAnsi="Arial" w:cs="Arial"/>
          <w:sz w:val="20"/>
          <w:szCs w:val="20"/>
        </w:rPr>
        <w:t>aSyn</w:t>
      </w:r>
      <w:proofErr w:type="spellEnd"/>
      <w:r w:rsidRPr="00681D63">
        <w:rPr>
          <w:rFonts w:ascii="Arial" w:hAnsi="Arial" w:cs="Arial"/>
          <w:sz w:val="20"/>
          <w:szCs w:val="20"/>
        </w:rPr>
        <w:t>), profoundly influencing its conformation, solubility, and aggregation dynamics. Multiple phosphorylation sites have been identified, including Ser87, Ser129, Tyr125, Tyr133, Tyr136, and Thr81</w:t>
      </w:r>
      <w:r w:rsidR="00691126" w:rsidRPr="00681D63">
        <w:rPr>
          <w:rFonts w:ascii="Arial" w:hAnsi="Arial" w:cs="Arial"/>
          <w:sz w:val="20"/>
          <w:szCs w:val="20"/>
          <w:vertAlign w:val="superscript"/>
        </w:rPr>
        <w:t>15,16</w:t>
      </w:r>
      <w:r w:rsidR="00C80B6F" w:rsidRPr="00681D63">
        <w:rPr>
          <w:rFonts w:ascii="Arial" w:hAnsi="Arial" w:cs="Arial"/>
          <w:sz w:val="20"/>
          <w:szCs w:val="20"/>
        </w:rPr>
        <w:t>.</w:t>
      </w:r>
    </w:p>
    <w:p w14:paraId="612CB71C" w14:textId="77777777" w:rsidR="00E1252A" w:rsidRPr="00681D63" w:rsidRDefault="00E1252A" w:rsidP="00E1252A">
      <w:pPr>
        <w:spacing w:line="360" w:lineRule="auto"/>
        <w:rPr>
          <w:rFonts w:ascii="Arial" w:hAnsi="Arial" w:cs="Arial"/>
          <w:b/>
          <w:bCs/>
          <w:sz w:val="22"/>
          <w:szCs w:val="22"/>
        </w:rPr>
      </w:pPr>
      <w:r w:rsidRPr="00681D63">
        <w:rPr>
          <w:rFonts w:ascii="Arial" w:hAnsi="Arial" w:cs="Arial"/>
          <w:b/>
          <w:bCs/>
          <w:sz w:val="22"/>
          <w:szCs w:val="22"/>
        </w:rPr>
        <w:lastRenderedPageBreak/>
        <w:t>4.1.1 Phosphorylation at Ser129</w:t>
      </w:r>
    </w:p>
    <w:p w14:paraId="0B79A6B6" w14:textId="0907728F"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More than ninety percent of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in Lewy bodies is phosphorylated at Ser129 (pS129), in contrast to less than five percent in soluble fractions of healthy brains</w:t>
      </w:r>
      <w:r w:rsidR="00C80B6F" w:rsidRPr="00681D63">
        <w:rPr>
          <w:rFonts w:ascii="Arial" w:hAnsi="Arial" w:cs="Arial"/>
          <w:sz w:val="20"/>
          <w:szCs w:val="20"/>
          <w:vertAlign w:val="superscript"/>
        </w:rPr>
        <w:t>15</w:t>
      </w:r>
      <w:r w:rsidRPr="00681D63">
        <w:rPr>
          <w:rFonts w:ascii="Arial" w:hAnsi="Arial" w:cs="Arial"/>
          <w:sz w:val="20"/>
          <w:szCs w:val="20"/>
        </w:rPr>
        <w:t>. This residue is phosphorylated by kinases such as PLK2, CK1, and GRK2 and dephosphorylated by PP2A</w:t>
      </w:r>
      <w:r w:rsidR="00972EF0" w:rsidRPr="00681D63">
        <w:rPr>
          <w:rFonts w:ascii="Arial" w:hAnsi="Arial" w:cs="Arial"/>
          <w:sz w:val="20"/>
          <w:szCs w:val="20"/>
          <w:vertAlign w:val="superscript"/>
        </w:rPr>
        <w:t>17,</w:t>
      </w:r>
      <w:proofErr w:type="gramStart"/>
      <w:r w:rsidR="00972EF0" w:rsidRPr="00681D63">
        <w:rPr>
          <w:rFonts w:ascii="Arial" w:hAnsi="Arial" w:cs="Arial"/>
          <w:sz w:val="20"/>
          <w:szCs w:val="20"/>
          <w:vertAlign w:val="superscript"/>
        </w:rPr>
        <w:t>18</w:t>
      </w:r>
      <w:r w:rsidRPr="00681D63">
        <w:rPr>
          <w:rFonts w:ascii="Arial" w:hAnsi="Arial" w:cs="Arial"/>
          <w:sz w:val="20"/>
          <w:szCs w:val="20"/>
        </w:rPr>
        <w:t xml:space="preserve"> </w:t>
      </w:r>
      <w:r w:rsidR="00972EF0" w:rsidRPr="00681D63">
        <w:rPr>
          <w:rFonts w:ascii="Arial" w:hAnsi="Arial" w:cs="Arial"/>
          <w:sz w:val="20"/>
          <w:szCs w:val="20"/>
        </w:rPr>
        <w:t>.</w:t>
      </w:r>
      <w:r w:rsidRPr="00681D63">
        <w:rPr>
          <w:rFonts w:ascii="Arial" w:hAnsi="Arial" w:cs="Arial"/>
          <w:sz w:val="20"/>
          <w:szCs w:val="20"/>
        </w:rPr>
        <w:t>Although</w:t>
      </w:r>
      <w:proofErr w:type="gramEnd"/>
      <w:r w:rsidRPr="00681D63">
        <w:rPr>
          <w:rFonts w:ascii="Arial" w:hAnsi="Arial" w:cs="Arial"/>
          <w:sz w:val="20"/>
          <w:szCs w:val="20"/>
        </w:rPr>
        <w:t xml:space="preserve"> pS129 serves as a well-established pathological hallmark, its exact functional significance remains contentious. Some </w:t>
      </w:r>
      <w:r w:rsidRPr="00681D63">
        <w:rPr>
          <w:rFonts w:ascii="Arial" w:hAnsi="Arial" w:cs="Arial"/>
          <w:i/>
          <w:iCs/>
          <w:sz w:val="20"/>
          <w:szCs w:val="20"/>
        </w:rPr>
        <w:t>in vitro</w:t>
      </w:r>
      <w:r w:rsidRPr="00681D63">
        <w:rPr>
          <w:rFonts w:ascii="Arial" w:hAnsi="Arial" w:cs="Arial"/>
          <w:sz w:val="20"/>
          <w:szCs w:val="20"/>
        </w:rPr>
        <w:t xml:space="preserve"> experiments report that the addition of negative charge via phosphorylation at Ser129 enhances solubility and suppresses fibrillation</w:t>
      </w:r>
      <w:r w:rsidR="00C42F5B" w:rsidRPr="00681D63">
        <w:rPr>
          <w:rFonts w:ascii="Arial" w:hAnsi="Arial" w:cs="Arial"/>
          <w:sz w:val="20"/>
          <w:szCs w:val="20"/>
          <w:vertAlign w:val="superscript"/>
        </w:rPr>
        <w:t>19</w:t>
      </w:r>
      <w:r w:rsidRPr="00681D63">
        <w:rPr>
          <w:rFonts w:ascii="Arial" w:hAnsi="Arial" w:cs="Arial"/>
          <w:sz w:val="20"/>
          <w:szCs w:val="20"/>
        </w:rPr>
        <w:t xml:space="preserve">. Conversely, </w:t>
      </w:r>
      <w:r w:rsidRPr="00681D63">
        <w:rPr>
          <w:rFonts w:ascii="Arial" w:hAnsi="Arial" w:cs="Arial"/>
          <w:i/>
          <w:iCs/>
          <w:sz w:val="20"/>
          <w:szCs w:val="20"/>
        </w:rPr>
        <w:t>in vivo</w:t>
      </w:r>
      <w:r w:rsidRPr="00681D63">
        <w:rPr>
          <w:rFonts w:ascii="Arial" w:hAnsi="Arial" w:cs="Arial"/>
          <w:sz w:val="20"/>
          <w:szCs w:val="20"/>
        </w:rPr>
        <w:t xml:space="preserve"> models indicate that excessive pS129 accumulation correlates with increased aggregation and neurotoxicity, suggesting it may arise as a secondary event following aggregation</w:t>
      </w:r>
      <w:r w:rsidR="00BC7CB1" w:rsidRPr="00681D63">
        <w:rPr>
          <w:rFonts w:ascii="Arial" w:hAnsi="Arial" w:cs="Arial"/>
          <w:sz w:val="20"/>
          <w:szCs w:val="20"/>
          <w:vertAlign w:val="superscript"/>
        </w:rPr>
        <w:t>20</w:t>
      </w:r>
      <w:r w:rsidRPr="00681D63">
        <w:rPr>
          <w:rFonts w:ascii="Arial" w:hAnsi="Arial" w:cs="Arial"/>
          <w:sz w:val="20"/>
          <w:szCs w:val="20"/>
        </w:rPr>
        <w:t>. Overall, Ser129 phosphorylation likely represents a downstream marker of aggregation rather than its initiating cause.</w:t>
      </w:r>
    </w:p>
    <w:p w14:paraId="54FD390E" w14:textId="77777777" w:rsidR="00E1252A" w:rsidRPr="00681D63" w:rsidRDefault="00E1252A" w:rsidP="00E1252A">
      <w:pPr>
        <w:spacing w:line="360" w:lineRule="auto"/>
        <w:jc w:val="both"/>
        <w:rPr>
          <w:rFonts w:ascii="Arial" w:hAnsi="Arial" w:cs="Arial"/>
          <w:sz w:val="22"/>
          <w:szCs w:val="22"/>
        </w:rPr>
      </w:pPr>
      <w:r w:rsidRPr="00681D63">
        <w:rPr>
          <w:rFonts w:ascii="Arial" w:hAnsi="Arial" w:cs="Arial"/>
          <w:b/>
          <w:bCs/>
          <w:sz w:val="22"/>
          <w:szCs w:val="22"/>
        </w:rPr>
        <w:t>4.1.2 Phosphorylation at Ser87</w:t>
      </w:r>
    </w:p>
    <w:p w14:paraId="1182BCFC" w14:textId="2D9D915D"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Located within the hydrophobic NAC domain, phosphorylation at Ser87 directly interferes with β-sheet assembly. Studies employing </w:t>
      </w:r>
      <w:proofErr w:type="spellStart"/>
      <w:r w:rsidRPr="00681D63">
        <w:rPr>
          <w:rFonts w:ascii="Arial" w:hAnsi="Arial" w:cs="Arial"/>
          <w:sz w:val="20"/>
          <w:szCs w:val="20"/>
        </w:rPr>
        <w:t>phosphomimetic</w:t>
      </w:r>
      <w:proofErr w:type="spellEnd"/>
      <w:r w:rsidRPr="00681D63">
        <w:rPr>
          <w:rFonts w:ascii="Arial" w:hAnsi="Arial" w:cs="Arial"/>
          <w:sz w:val="20"/>
          <w:szCs w:val="20"/>
        </w:rPr>
        <w:t xml:space="preserve"> mutants (S87D/E) demonstrate suppressed fibrillation and altered conformational behavior</w:t>
      </w:r>
      <w:r w:rsidR="00E7228F" w:rsidRPr="00681D63">
        <w:rPr>
          <w:rFonts w:ascii="Arial" w:hAnsi="Arial" w:cs="Arial"/>
          <w:sz w:val="20"/>
          <w:szCs w:val="20"/>
          <w:vertAlign w:val="superscript"/>
        </w:rPr>
        <w:t>15,21</w:t>
      </w:r>
      <w:r w:rsidRPr="00681D63">
        <w:rPr>
          <w:rFonts w:ascii="Arial" w:hAnsi="Arial" w:cs="Arial"/>
          <w:sz w:val="20"/>
          <w:szCs w:val="20"/>
        </w:rPr>
        <w:t>. Thus, pS87 is generally considered a protective modification that counteracts amyloid formation.</w:t>
      </w:r>
    </w:p>
    <w:p w14:paraId="5F98BC6D" w14:textId="77777777" w:rsidR="00E1252A" w:rsidRPr="00681D63" w:rsidRDefault="00E1252A" w:rsidP="00E1252A">
      <w:pPr>
        <w:spacing w:line="360" w:lineRule="auto"/>
        <w:rPr>
          <w:rFonts w:ascii="Arial" w:hAnsi="Arial" w:cs="Arial"/>
          <w:b/>
          <w:bCs/>
          <w:sz w:val="22"/>
          <w:szCs w:val="22"/>
        </w:rPr>
      </w:pPr>
      <w:r w:rsidRPr="00681D63">
        <w:rPr>
          <w:rFonts w:ascii="Arial" w:hAnsi="Arial" w:cs="Arial"/>
          <w:b/>
          <w:bCs/>
          <w:sz w:val="22"/>
          <w:szCs w:val="22"/>
        </w:rPr>
        <w:t>4.1.3 Tyrosine Phosphorylation (Y125, Y133, Y136)</w:t>
      </w:r>
    </w:p>
    <w:p w14:paraId="01819A3D" w14:textId="22CC057C" w:rsidR="00E1252A" w:rsidRPr="00681D63" w:rsidRDefault="00E1252A" w:rsidP="005A4ED5">
      <w:pPr>
        <w:spacing w:line="360" w:lineRule="auto"/>
        <w:rPr>
          <w:rFonts w:ascii="Arial" w:hAnsi="Arial" w:cs="Arial"/>
          <w:sz w:val="20"/>
          <w:szCs w:val="20"/>
        </w:rPr>
      </w:pPr>
      <w:r w:rsidRPr="00681D63">
        <w:rPr>
          <w:rFonts w:ascii="Arial" w:hAnsi="Arial" w:cs="Arial"/>
          <w:sz w:val="20"/>
          <w:szCs w:val="20"/>
        </w:rPr>
        <w:t>Tyrosine residues in the C-terminal domain—phosphorylated by kinases such as c-</w:t>
      </w:r>
      <w:proofErr w:type="spellStart"/>
      <w:r w:rsidRPr="00681D63">
        <w:rPr>
          <w:rFonts w:ascii="Arial" w:hAnsi="Arial" w:cs="Arial"/>
          <w:sz w:val="20"/>
          <w:szCs w:val="20"/>
        </w:rPr>
        <w:t>Abl</w:t>
      </w:r>
      <w:proofErr w:type="spellEnd"/>
      <w:r w:rsidRPr="00681D63">
        <w:rPr>
          <w:rFonts w:ascii="Arial" w:hAnsi="Arial" w:cs="Arial"/>
          <w:sz w:val="20"/>
          <w:szCs w:val="20"/>
        </w:rPr>
        <w:t xml:space="preserve"> and </w:t>
      </w:r>
      <w:proofErr w:type="spellStart"/>
      <w:r w:rsidRPr="00681D63">
        <w:rPr>
          <w:rFonts w:ascii="Arial" w:hAnsi="Arial" w:cs="Arial"/>
          <w:sz w:val="20"/>
          <w:szCs w:val="20"/>
        </w:rPr>
        <w:t>Src</w:t>
      </w:r>
      <w:proofErr w:type="spellEnd"/>
      <w:r w:rsidRPr="00681D63">
        <w:rPr>
          <w:rFonts w:ascii="Arial" w:hAnsi="Arial" w:cs="Arial"/>
          <w:sz w:val="20"/>
          <w:szCs w:val="20"/>
        </w:rPr>
        <w:t xml:space="preserve"> family members—also influence </w:t>
      </w:r>
      <w:proofErr w:type="spellStart"/>
      <w:r w:rsidRPr="00681D63">
        <w:rPr>
          <w:rFonts w:ascii="Arial" w:hAnsi="Arial" w:cs="Arial"/>
          <w:sz w:val="20"/>
          <w:szCs w:val="20"/>
        </w:rPr>
        <w:t>aSyn’s</w:t>
      </w:r>
      <w:proofErr w:type="spellEnd"/>
      <w:r w:rsidRPr="00681D63">
        <w:rPr>
          <w:rFonts w:ascii="Arial" w:hAnsi="Arial" w:cs="Arial"/>
          <w:sz w:val="20"/>
          <w:szCs w:val="20"/>
        </w:rPr>
        <w:t xml:space="preserve"> structural stability and degradation</w:t>
      </w:r>
      <w:r w:rsidR="005A4ED5" w:rsidRPr="00681D63">
        <w:rPr>
          <w:rFonts w:ascii="Arial" w:hAnsi="Arial" w:cs="Arial"/>
          <w:sz w:val="20"/>
          <w:szCs w:val="20"/>
          <w:vertAlign w:val="superscript"/>
        </w:rPr>
        <w:t>22</w:t>
      </w:r>
      <w:r w:rsidRPr="00681D63">
        <w:rPr>
          <w:rFonts w:ascii="Arial" w:hAnsi="Arial" w:cs="Arial"/>
          <w:sz w:val="20"/>
          <w:szCs w:val="20"/>
        </w:rPr>
        <w:t>. Phosphorylation at Y125 promotes proteasomal degradation, thereby lowering aggregation levels</w:t>
      </w:r>
      <w:proofErr w:type="gramStart"/>
      <w:r w:rsidR="005A4ED5" w:rsidRPr="00681D63">
        <w:rPr>
          <w:rFonts w:ascii="Arial" w:hAnsi="Arial" w:cs="Arial"/>
          <w:sz w:val="20"/>
          <w:szCs w:val="20"/>
          <w:vertAlign w:val="superscript"/>
        </w:rPr>
        <w:t>23</w:t>
      </w:r>
      <w:r w:rsidRPr="00681D63">
        <w:rPr>
          <w:rFonts w:ascii="Arial" w:hAnsi="Arial" w:cs="Arial"/>
          <w:sz w:val="20"/>
          <w:szCs w:val="20"/>
        </w:rPr>
        <w:t xml:space="preserve"> .</w:t>
      </w:r>
      <w:proofErr w:type="gramEnd"/>
      <w:r w:rsidRPr="00681D63">
        <w:rPr>
          <w:rFonts w:ascii="Arial" w:hAnsi="Arial" w:cs="Arial"/>
          <w:sz w:val="20"/>
          <w:szCs w:val="20"/>
        </w:rPr>
        <w:t xml:space="preserve"> However, under oxidative stress, concurrent phosphorylation of multiple tyrosine residues can </w:t>
      </w:r>
      <w:proofErr w:type="spellStart"/>
      <w:r w:rsidRPr="00681D63">
        <w:rPr>
          <w:rFonts w:ascii="Arial" w:hAnsi="Arial" w:cs="Arial"/>
          <w:sz w:val="20"/>
          <w:szCs w:val="20"/>
        </w:rPr>
        <w:t>favor</w:t>
      </w:r>
      <w:proofErr w:type="spellEnd"/>
      <w:r w:rsidRPr="00681D63">
        <w:rPr>
          <w:rFonts w:ascii="Arial" w:hAnsi="Arial" w:cs="Arial"/>
          <w:sz w:val="20"/>
          <w:szCs w:val="20"/>
        </w:rPr>
        <w:t xml:space="preserve"> oligomer stabilization.</w:t>
      </w:r>
    </w:p>
    <w:p w14:paraId="6406B434" w14:textId="77777777" w:rsidR="00E1252A" w:rsidRPr="00681D63" w:rsidRDefault="00E1252A" w:rsidP="00E1252A">
      <w:pPr>
        <w:rPr>
          <w:rFonts w:ascii="Arial" w:hAnsi="Arial" w:cs="Arial"/>
          <w:b/>
          <w:bCs/>
          <w:sz w:val="20"/>
          <w:szCs w:val="20"/>
        </w:rPr>
      </w:pPr>
      <w:r w:rsidRPr="00681D63">
        <w:rPr>
          <w:rFonts w:ascii="Arial" w:hAnsi="Arial" w:cs="Arial"/>
          <w:b/>
          <w:bCs/>
          <w:sz w:val="20"/>
          <w:szCs w:val="20"/>
        </w:rPr>
        <w:t>4.2 Ubiquitination</w:t>
      </w:r>
    </w:p>
    <w:p w14:paraId="703C28DF" w14:textId="63DE937E"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Ubiquitination, the covalent linkage of ubiquitin to lysine residues, governs protein degradation and trafficking.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is ubiquitinated at several </w:t>
      </w:r>
      <w:proofErr w:type="spellStart"/>
      <w:r w:rsidRPr="00681D63">
        <w:rPr>
          <w:rFonts w:ascii="Arial" w:hAnsi="Arial" w:cs="Arial"/>
          <w:sz w:val="20"/>
          <w:szCs w:val="20"/>
        </w:rPr>
        <w:t>lysines</w:t>
      </w:r>
      <w:proofErr w:type="spellEnd"/>
      <w:r w:rsidRPr="00681D63">
        <w:rPr>
          <w:rFonts w:ascii="Arial" w:hAnsi="Arial" w:cs="Arial"/>
          <w:sz w:val="20"/>
          <w:szCs w:val="20"/>
        </w:rPr>
        <w:t xml:space="preserve"> (K6, K10, K12, K21, K23, K32, K96, K102)</w:t>
      </w:r>
      <w:r w:rsidR="0055471B" w:rsidRPr="00681D63">
        <w:rPr>
          <w:rFonts w:ascii="Arial" w:hAnsi="Arial" w:cs="Arial"/>
          <w:sz w:val="20"/>
          <w:szCs w:val="20"/>
          <w:vertAlign w:val="superscript"/>
        </w:rPr>
        <w:t>24</w:t>
      </w:r>
      <w:r w:rsidRPr="00681D63">
        <w:rPr>
          <w:rFonts w:ascii="Arial" w:hAnsi="Arial" w:cs="Arial"/>
          <w:sz w:val="20"/>
          <w:szCs w:val="20"/>
        </w:rPr>
        <w:t xml:space="preserve">. Lewy body inclusions often contain mono- and di-ubiquitinated </w:t>
      </w:r>
      <w:proofErr w:type="spellStart"/>
      <w:r w:rsidRPr="00681D63">
        <w:rPr>
          <w:rFonts w:ascii="Arial" w:hAnsi="Arial" w:cs="Arial"/>
          <w:sz w:val="20"/>
          <w:szCs w:val="20"/>
        </w:rPr>
        <w:t>aSyn</w:t>
      </w:r>
      <w:proofErr w:type="spellEnd"/>
      <w:r w:rsidRPr="00681D63">
        <w:rPr>
          <w:rFonts w:ascii="Arial" w:hAnsi="Arial" w:cs="Arial"/>
          <w:sz w:val="20"/>
          <w:szCs w:val="20"/>
        </w:rPr>
        <w:t>, consistent with impaired proteasomal clearance</w:t>
      </w:r>
      <w:r w:rsidR="0055471B" w:rsidRPr="00681D63">
        <w:rPr>
          <w:rFonts w:ascii="Arial" w:hAnsi="Arial" w:cs="Arial"/>
          <w:sz w:val="20"/>
          <w:szCs w:val="20"/>
          <w:vertAlign w:val="superscript"/>
        </w:rPr>
        <w:t>25</w:t>
      </w:r>
      <w:r w:rsidRPr="00681D63">
        <w:rPr>
          <w:rFonts w:ascii="Arial" w:hAnsi="Arial" w:cs="Arial"/>
          <w:sz w:val="20"/>
          <w:szCs w:val="20"/>
        </w:rPr>
        <w:t xml:space="preserve">. The E3 ligase Parkin, mutated in familial PD, ubiquitinates misfolded </w:t>
      </w:r>
      <w:proofErr w:type="spellStart"/>
      <w:r w:rsidRPr="00681D63">
        <w:rPr>
          <w:rFonts w:ascii="Arial" w:hAnsi="Arial" w:cs="Arial"/>
          <w:sz w:val="20"/>
          <w:szCs w:val="20"/>
        </w:rPr>
        <w:t>aSyn</w:t>
      </w:r>
      <w:proofErr w:type="spellEnd"/>
      <w:r w:rsidRPr="00681D63">
        <w:rPr>
          <w:rFonts w:ascii="Arial" w:hAnsi="Arial" w:cs="Arial"/>
          <w:sz w:val="20"/>
          <w:szCs w:val="20"/>
        </w:rPr>
        <w:t>, enhancing its degradation. Conversely, ubiquitination mediated by SIAH-1/2 can stabilize aggregates</w:t>
      </w:r>
      <w:r w:rsidR="0055471B" w:rsidRPr="00681D63">
        <w:rPr>
          <w:rFonts w:ascii="Arial" w:hAnsi="Arial" w:cs="Arial"/>
          <w:sz w:val="20"/>
          <w:szCs w:val="20"/>
          <w:vertAlign w:val="superscript"/>
        </w:rPr>
        <w:t>26</w:t>
      </w:r>
      <w:r w:rsidRPr="00681D63">
        <w:rPr>
          <w:rFonts w:ascii="Arial" w:hAnsi="Arial" w:cs="Arial"/>
          <w:sz w:val="20"/>
          <w:szCs w:val="20"/>
        </w:rPr>
        <w:t xml:space="preserve">. Therefore, ubiquitination serves a context-dependent function—facilitating clearance under normal conditions but promoting pathological inclusions when </w:t>
      </w:r>
      <w:proofErr w:type="spellStart"/>
      <w:r w:rsidRPr="00681D63">
        <w:rPr>
          <w:rFonts w:ascii="Arial" w:hAnsi="Arial" w:cs="Arial"/>
          <w:sz w:val="20"/>
          <w:szCs w:val="20"/>
        </w:rPr>
        <w:t>proteostasis</w:t>
      </w:r>
      <w:proofErr w:type="spellEnd"/>
      <w:r w:rsidRPr="00681D63">
        <w:rPr>
          <w:rFonts w:ascii="Arial" w:hAnsi="Arial" w:cs="Arial"/>
          <w:sz w:val="20"/>
          <w:szCs w:val="20"/>
        </w:rPr>
        <w:t xml:space="preserve"> is compromised.</w:t>
      </w:r>
    </w:p>
    <w:p w14:paraId="4EF8F397" w14:textId="77777777" w:rsidR="00E1252A" w:rsidRPr="00681D63" w:rsidRDefault="00E1252A" w:rsidP="00E1252A">
      <w:pPr>
        <w:rPr>
          <w:rFonts w:ascii="Arial" w:hAnsi="Arial" w:cs="Arial"/>
          <w:b/>
          <w:bCs/>
          <w:sz w:val="22"/>
          <w:szCs w:val="22"/>
        </w:rPr>
      </w:pPr>
      <w:r w:rsidRPr="00681D63">
        <w:rPr>
          <w:rFonts w:ascii="Arial" w:hAnsi="Arial" w:cs="Arial"/>
          <w:b/>
          <w:bCs/>
          <w:sz w:val="22"/>
          <w:szCs w:val="22"/>
        </w:rPr>
        <w:t>4.3 Nitration</w:t>
      </w:r>
    </w:p>
    <w:p w14:paraId="50B0169F" w14:textId="77777777" w:rsidR="00476178" w:rsidRPr="00681D63" w:rsidRDefault="00E1252A" w:rsidP="00476178">
      <w:pPr>
        <w:spacing w:line="360" w:lineRule="auto"/>
        <w:rPr>
          <w:rFonts w:ascii="Arial" w:hAnsi="Arial" w:cs="Arial"/>
          <w:sz w:val="20"/>
          <w:szCs w:val="20"/>
        </w:rPr>
      </w:pPr>
      <w:r w:rsidRPr="00681D63">
        <w:rPr>
          <w:rFonts w:ascii="Arial" w:hAnsi="Arial" w:cs="Arial"/>
          <w:sz w:val="20"/>
          <w:szCs w:val="20"/>
        </w:rPr>
        <w:t xml:space="preserve">Oxidative stress can induce nitration of tyrosine residues through </w:t>
      </w:r>
      <w:proofErr w:type="spellStart"/>
      <w:r w:rsidRPr="00681D63">
        <w:rPr>
          <w:rFonts w:ascii="Arial" w:hAnsi="Arial" w:cs="Arial"/>
          <w:sz w:val="20"/>
          <w:szCs w:val="20"/>
        </w:rPr>
        <w:t>peroxynitrite</w:t>
      </w:r>
      <w:proofErr w:type="spellEnd"/>
      <w:r w:rsidRPr="00681D63">
        <w:rPr>
          <w:rFonts w:ascii="Arial" w:hAnsi="Arial" w:cs="Arial"/>
          <w:sz w:val="20"/>
          <w:szCs w:val="20"/>
        </w:rPr>
        <w:t xml:space="preserve">-mediated reactions, forming </w:t>
      </w:r>
      <w:proofErr w:type="spellStart"/>
      <w:r w:rsidRPr="00681D63">
        <w:rPr>
          <w:rFonts w:ascii="Arial" w:hAnsi="Arial" w:cs="Arial"/>
          <w:sz w:val="20"/>
          <w:szCs w:val="20"/>
        </w:rPr>
        <w:t>dityrosine</w:t>
      </w:r>
      <w:proofErr w:type="spellEnd"/>
      <w:r w:rsidRPr="00681D63">
        <w:rPr>
          <w:rFonts w:ascii="Arial" w:hAnsi="Arial" w:cs="Arial"/>
          <w:sz w:val="20"/>
          <w:szCs w:val="20"/>
        </w:rPr>
        <w:t xml:space="preserve"> crosslinks at Y39, Y125, Y133, and Y136</w:t>
      </w:r>
      <w:r w:rsidR="00476178" w:rsidRPr="00681D63">
        <w:rPr>
          <w:rFonts w:ascii="Arial" w:hAnsi="Arial" w:cs="Arial"/>
          <w:sz w:val="20"/>
          <w:szCs w:val="20"/>
          <w:vertAlign w:val="superscript"/>
        </w:rPr>
        <w:t>27</w:t>
      </w:r>
      <w:r w:rsidRPr="00681D63">
        <w:rPr>
          <w:rFonts w:ascii="Arial" w:hAnsi="Arial" w:cs="Arial"/>
          <w:sz w:val="20"/>
          <w:szCs w:val="20"/>
        </w:rPr>
        <w:t>.</w:t>
      </w:r>
      <w:r w:rsidR="00476178" w:rsidRPr="00681D63">
        <w:rPr>
          <w:rFonts w:ascii="Arial" w:hAnsi="Arial" w:cs="Arial"/>
          <w:sz w:val="20"/>
          <w:szCs w:val="20"/>
        </w:rPr>
        <w:t xml:space="preserve"> </w:t>
      </w:r>
    </w:p>
    <w:p w14:paraId="3FA5B602" w14:textId="379423BA" w:rsidR="00E1252A" w:rsidRPr="00681D63" w:rsidRDefault="00E1252A" w:rsidP="00476178">
      <w:pPr>
        <w:spacing w:line="360" w:lineRule="auto"/>
        <w:rPr>
          <w:rFonts w:ascii="Arial" w:hAnsi="Arial" w:cs="Arial"/>
          <w:sz w:val="20"/>
          <w:szCs w:val="20"/>
        </w:rPr>
      </w:pPr>
      <w:r w:rsidRPr="00681D63">
        <w:rPr>
          <w:rFonts w:ascii="Arial" w:hAnsi="Arial" w:cs="Arial"/>
          <w:sz w:val="20"/>
          <w:szCs w:val="20"/>
        </w:rPr>
        <w:t xml:space="preserve">Nitrated </w:t>
      </w:r>
      <w:proofErr w:type="spellStart"/>
      <w:r w:rsidRPr="00681D63">
        <w:rPr>
          <w:rFonts w:ascii="Arial" w:hAnsi="Arial" w:cs="Arial"/>
          <w:sz w:val="20"/>
          <w:szCs w:val="20"/>
        </w:rPr>
        <w:t>aSyn</w:t>
      </w:r>
      <w:proofErr w:type="spellEnd"/>
      <w:r w:rsidRPr="00681D63">
        <w:rPr>
          <w:rFonts w:ascii="Arial" w:hAnsi="Arial" w:cs="Arial"/>
          <w:sz w:val="20"/>
          <w:szCs w:val="20"/>
        </w:rPr>
        <w:t xml:space="preserve"> tends to form stable, soluble oligomers rather than mature fibrils, but these oligomers are highly neurotoxic</w:t>
      </w:r>
      <w:r w:rsidR="00FC1FA5" w:rsidRPr="00681D63">
        <w:rPr>
          <w:rFonts w:ascii="Arial" w:hAnsi="Arial" w:cs="Arial"/>
          <w:sz w:val="20"/>
          <w:szCs w:val="20"/>
          <w:vertAlign w:val="superscript"/>
        </w:rPr>
        <w:t>28</w:t>
      </w:r>
      <w:r w:rsidRPr="00681D63">
        <w:rPr>
          <w:rFonts w:ascii="Arial" w:hAnsi="Arial" w:cs="Arial"/>
          <w:sz w:val="20"/>
          <w:szCs w:val="20"/>
        </w:rPr>
        <w:t>. Such species resist proteolytic degradation and interfere with mitochondrial complex I activity</w:t>
      </w:r>
      <w:r w:rsidR="00FC1FA5" w:rsidRPr="00681D63">
        <w:rPr>
          <w:rFonts w:ascii="Arial" w:hAnsi="Arial" w:cs="Arial"/>
          <w:sz w:val="20"/>
          <w:szCs w:val="20"/>
          <w:vertAlign w:val="superscript"/>
        </w:rPr>
        <w:t>29</w:t>
      </w:r>
      <w:r w:rsidRPr="00681D63">
        <w:rPr>
          <w:rFonts w:ascii="Arial" w:hAnsi="Arial" w:cs="Arial"/>
          <w:sz w:val="20"/>
          <w:szCs w:val="20"/>
        </w:rPr>
        <w:t xml:space="preserve">. Immunohistochemical studies have confirmed the presence of nitrated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in the substantia nigra of PD patients,</w:t>
      </w:r>
      <w:r w:rsidR="00476178" w:rsidRPr="00681D63">
        <w:rPr>
          <w:rFonts w:ascii="Arial" w:hAnsi="Arial" w:cs="Arial"/>
          <w:sz w:val="20"/>
          <w:szCs w:val="20"/>
        </w:rPr>
        <w:t xml:space="preserve"> </w:t>
      </w:r>
      <w:r w:rsidRPr="00681D63">
        <w:rPr>
          <w:rFonts w:ascii="Arial" w:hAnsi="Arial" w:cs="Arial"/>
          <w:sz w:val="20"/>
          <w:szCs w:val="20"/>
        </w:rPr>
        <w:t>indicating its association with oxidative damage and early pathogenic events</w:t>
      </w:r>
      <w:r w:rsidR="00607F17" w:rsidRPr="00681D63">
        <w:rPr>
          <w:rFonts w:ascii="Arial" w:hAnsi="Arial" w:cs="Arial"/>
          <w:sz w:val="20"/>
          <w:szCs w:val="20"/>
          <w:vertAlign w:val="superscript"/>
        </w:rPr>
        <w:t>28,30</w:t>
      </w:r>
      <w:r w:rsidRPr="00681D63">
        <w:rPr>
          <w:rFonts w:ascii="Arial" w:hAnsi="Arial" w:cs="Arial"/>
          <w:sz w:val="20"/>
          <w:szCs w:val="20"/>
        </w:rPr>
        <w:t>.</w:t>
      </w:r>
    </w:p>
    <w:p w14:paraId="53442F83" w14:textId="77777777" w:rsidR="00E1252A" w:rsidRPr="00681D63" w:rsidRDefault="00E1252A" w:rsidP="00E1252A">
      <w:pPr>
        <w:rPr>
          <w:rFonts w:ascii="Arial" w:hAnsi="Arial" w:cs="Arial"/>
          <w:b/>
          <w:bCs/>
          <w:sz w:val="22"/>
          <w:szCs w:val="22"/>
        </w:rPr>
      </w:pPr>
      <w:r w:rsidRPr="00681D63">
        <w:rPr>
          <w:rFonts w:ascii="Arial" w:hAnsi="Arial" w:cs="Arial"/>
          <w:b/>
          <w:bCs/>
          <w:sz w:val="22"/>
          <w:szCs w:val="22"/>
        </w:rPr>
        <w:lastRenderedPageBreak/>
        <w:t>4.4 Acetylation</w:t>
      </w:r>
    </w:p>
    <w:p w14:paraId="0EF23473" w14:textId="754D6A62" w:rsidR="00AA59E6" w:rsidRPr="00681D63" w:rsidRDefault="00E1252A" w:rsidP="00552C3D">
      <w:pPr>
        <w:spacing w:line="360" w:lineRule="auto"/>
        <w:jc w:val="both"/>
        <w:rPr>
          <w:rFonts w:ascii="Arial" w:hAnsi="Arial" w:cs="Arial"/>
          <w:sz w:val="20"/>
          <w:szCs w:val="20"/>
        </w:rPr>
      </w:pPr>
      <w:proofErr w:type="spellStart"/>
      <w:r w:rsidRPr="00681D63">
        <w:rPr>
          <w:rFonts w:ascii="Arial" w:hAnsi="Arial" w:cs="Arial"/>
          <w:sz w:val="20"/>
          <w:szCs w:val="20"/>
        </w:rPr>
        <w:t>aSyn</w:t>
      </w:r>
      <w:proofErr w:type="spellEnd"/>
      <w:r w:rsidRPr="00681D63">
        <w:rPr>
          <w:rFonts w:ascii="Arial" w:hAnsi="Arial" w:cs="Arial"/>
          <w:sz w:val="20"/>
          <w:szCs w:val="20"/>
        </w:rPr>
        <w:t xml:space="preserve"> undergoes N-terminal acetylation during translation, </w:t>
      </w:r>
      <w:proofErr w:type="spellStart"/>
      <w:r w:rsidRPr="00681D63">
        <w:rPr>
          <w:rFonts w:ascii="Arial" w:hAnsi="Arial" w:cs="Arial"/>
          <w:sz w:val="20"/>
          <w:szCs w:val="20"/>
        </w:rPr>
        <w:t>catalyzed</w:t>
      </w:r>
      <w:proofErr w:type="spellEnd"/>
      <w:r w:rsidRPr="00681D63">
        <w:rPr>
          <w:rFonts w:ascii="Arial" w:hAnsi="Arial" w:cs="Arial"/>
          <w:sz w:val="20"/>
          <w:szCs w:val="20"/>
        </w:rPr>
        <w:t xml:space="preserve"> by N-terminal acetyltransferase (NAT) complexes</w:t>
      </w:r>
      <w:r w:rsidR="005337EE" w:rsidRPr="00681D63">
        <w:rPr>
          <w:rFonts w:ascii="Arial" w:hAnsi="Arial" w:cs="Arial"/>
          <w:sz w:val="20"/>
          <w:szCs w:val="20"/>
          <w:vertAlign w:val="superscript"/>
        </w:rPr>
        <w:t>31</w:t>
      </w:r>
      <w:r w:rsidRPr="00681D63">
        <w:rPr>
          <w:rFonts w:ascii="Arial" w:hAnsi="Arial" w:cs="Arial"/>
          <w:sz w:val="20"/>
          <w:szCs w:val="20"/>
        </w:rPr>
        <w:t>. This modification promotes α-helical formation upon membrane binding, enhancing structural stability and reducing aggregation</w:t>
      </w:r>
      <w:r w:rsidR="005337EE" w:rsidRPr="00681D63">
        <w:rPr>
          <w:rFonts w:ascii="Arial" w:hAnsi="Arial" w:cs="Arial"/>
          <w:sz w:val="20"/>
          <w:szCs w:val="20"/>
          <w:vertAlign w:val="superscript"/>
        </w:rPr>
        <w:t>32</w:t>
      </w:r>
      <w:r w:rsidRPr="00681D63">
        <w:rPr>
          <w:rFonts w:ascii="Arial" w:hAnsi="Arial" w:cs="Arial"/>
          <w:sz w:val="20"/>
          <w:szCs w:val="20"/>
        </w:rPr>
        <w:t>. In contrast, lysine acetylation at residues such as K6, K10, and K12 may alter charge distribution and protein–protein interactions. Reports vary: some studies suggest acetylation decreases repulsion between monomers and thus enhances aggregation, while others describe improved solubility</w:t>
      </w:r>
      <w:r w:rsidR="00A24AF5" w:rsidRPr="00681D63">
        <w:rPr>
          <w:rFonts w:ascii="Arial" w:hAnsi="Arial" w:cs="Arial"/>
          <w:sz w:val="20"/>
          <w:szCs w:val="20"/>
          <w:vertAlign w:val="superscript"/>
        </w:rPr>
        <w:t>33</w:t>
      </w:r>
      <w:r w:rsidRPr="00681D63">
        <w:rPr>
          <w:rFonts w:ascii="Arial" w:hAnsi="Arial" w:cs="Arial"/>
          <w:sz w:val="20"/>
          <w:szCs w:val="20"/>
        </w:rPr>
        <w:t>. Collectively, N-terminal acetylation is viewed as protective, whereas lysine acetylation exerts context-dependent outcomes.</w:t>
      </w:r>
    </w:p>
    <w:p w14:paraId="7CD2D174" w14:textId="77777777" w:rsidR="00E1252A" w:rsidRPr="00057985" w:rsidRDefault="00E1252A" w:rsidP="00E1252A">
      <w:pPr>
        <w:rPr>
          <w:rFonts w:ascii="Arial" w:hAnsi="Arial" w:cs="Arial"/>
          <w:b/>
          <w:bCs/>
          <w:sz w:val="22"/>
          <w:szCs w:val="22"/>
        </w:rPr>
      </w:pPr>
      <w:r w:rsidRPr="00057985">
        <w:rPr>
          <w:rFonts w:ascii="Arial" w:hAnsi="Arial" w:cs="Arial"/>
          <w:b/>
          <w:bCs/>
          <w:sz w:val="22"/>
          <w:szCs w:val="22"/>
        </w:rPr>
        <w:t>4.5 SUMOylation</w:t>
      </w:r>
    </w:p>
    <w:p w14:paraId="3EBA3964" w14:textId="49685570"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 xml:space="preserve">SUMOylation—the conjugation of small ubiquitin-like modifier (SUMO) proteins—modulates </w:t>
      </w:r>
      <w:proofErr w:type="spellStart"/>
      <w:r w:rsidRPr="00057985">
        <w:rPr>
          <w:rFonts w:ascii="Arial" w:hAnsi="Arial" w:cs="Arial"/>
          <w:sz w:val="20"/>
          <w:szCs w:val="20"/>
        </w:rPr>
        <w:t>aSyn’s</w:t>
      </w:r>
      <w:proofErr w:type="spellEnd"/>
      <w:r w:rsidRPr="00057985">
        <w:rPr>
          <w:rFonts w:ascii="Arial" w:hAnsi="Arial" w:cs="Arial"/>
          <w:sz w:val="20"/>
          <w:szCs w:val="20"/>
        </w:rPr>
        <w:t xml:space="preserve"> turnover and cellular localization. </w:t>
      </w:r>
      <w:proofErr w:type="spellStart"/>
      <w:r w:rsidRPr="00057985">
        <w:rPr>
          <w:rFonts w:ascii="Arial" w:hAnsi="Arial" w:cs="Arial"/>
          <w:sz w:val="20"/>
          <w:szCs w:val="20"/>
        </w:rPr>
        <w:t>aSyn</w:t>
      </w:r>
      <w:proofErr w:type="spellEnd"/>
      <w:r w:rsidRPr="00057985">
        <w:rPr>
          <w:rFonts w:ascii="Arial" w:hAnsi="Arial" w:cs="Arial"/>
          <w:sz w:val="20"/>
          <w:szCs w:val="20"/>
        </w:rPr>
        <w:t xml:space="preserve"> is SUMOylated at K96 and K102, primarily by SUMO-1</w:t>
      </w:r>
      <w:r w:rsidR="00056E4E" w:rsidRPr="00057985">
        <w:rPr>
          <w:rFonts w:ascii="Arial" w:hAnsi="Arial" w:cs="Arial"/>
          <w:sz w:val="20"/>
          <w:szCs w:val="20"/>
          <w:vertAlign w:val="superscript"/>
        </w:rPr>
        <w:t>34</w:t>
      </w:r>
      <w:r w:rsidRPr="00057985">
        <w:rPr>
          <w:rFonts w:ascii="Arial" w:hAnsi="Arial" w:cs="Arial"/>
          <w:sz w:val="20"/>
          <w:szCs w:val="20"/>
        </w:rPr>
        <w:t xml:space="preserve">. This modification can prevent fibril formation by competing with ubiquitination at shared lysine residues, thereby extending </w:t>
      </w:r>
      <w:proofErr w:type="spellStart"/>
      <w:r w:rsidRPr="00057985">
        <w:rPr>
          <w:rFonts w:ascii="Arial" w:hAnsi="Arial" w:cs="Arial"/>
          <w:sz w:val="20"/>
          <w:szCs w:val="20"/>
        </w:rPr>
        <w:t>aSyn’s</w:t>
      </w:r>
      <w:proofErr w:type="spellEnd"/>
      <w:r w:rsidRPr="00057985">
        <w:rPr>
          <w:rFonts w:ascii="Arial" w:hAnsi="Arial" w:cs="Arial"/>
          <w:sz w:val="20"/>
          <w:szCs w:val="20"/>
        </w:rPr>
        <w:t xml:space="preserve"> half-life</w:t>
      </w:r>
      <w:r w:rsidR="00056E4E" w:rsidRPr="00057985">
        <w:rPr>
          <w:rFonts w:ascii="Arial" w:hAnsi="Arial" w:cs="Arial"/>
          <w:sz w:val="20"/>
          <w:szCs w:val="20"/>
          <w:vertAlign w:val="superscript"/>
        </w:rPr>
        <w:t>35</w:t>
      </w:r>
      <w:r w:rsidRPr="00057985">
        <w:rPr>
          <w:rFonts w:ascii="Arial" w:hAnsi="Arial" w:cs="Arial"/>
          <w:sz w:val="20"/>
          <w:szCs w:val="20"/>
        </w:rPr>
        <w:t>. However, under prolonged stress, SUMOylated species can accumulate and co-localize with inclusions, transforming a protective mechanism into a pathogenic one.</w:t>
      </w:r>
    </w:p>
    <w:p w14:paraId="09387AB0" w14:textId="77777777" w:rsidR="00E1252A" w:rsidRPr="00057985" w:rsidRDefault="00E1252A" w:rsidP="00E1252A">
      <w:pPr>
        <w:rPr>
          <w:rFonts w:ascii="Arial" w:hAnsi="Arial" w:cs="Arial"/>
          <w:b/>
          <w:bCs/>
          <w:sz w:val="22"/>
          <w:szCs w:val="22"/>
        </w:rPr>
      </w:pPr>
      <w:r w:rsidRPr="00057985">
        <w:rPr>
          <w:rFonts w:ascii="Arial" w:hAnsi="Arial" w:cs="Arial"/>
          <w:b/>
          <w:bCs/>
          <w:sz w:val="22"/>
          <w:szCs w:val="22"/>
        </w:rPr>
        <w:t>4.6 C-terminal Truncation</w:t>
      </w:r>
    </w:p>
    <w:p w14:paraId="56C75EBE" w14:textId="328A7291"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 xml:space="preserve">C-terminal truncation is among the most aggregation-promoting PTMs of </w:t>
      </w:r>
      <w:proofErr w:type="spellStart"/>
      <w:r w:rsidRPr="00057985">
        <w:rPr>
          <w:rFonts w:ascii="Arial" w:hAnsi="Arial" w:cs="Arial"/>
          <w:sz w:val="20"/>
          <w:szCs w:val="20"/>
        </w:rPr>
        <w:t>aSyn</w:t>
      </w:r>
      <w:proofErr w:type="spellEnd"/>
      <w:r w:rsidRPr="00057985">
        <w:rPr>
          <w:rFonts w:ascii="Arial" w:hAnsi="Arial" w:cs="Arial"/>
          <w:sz w:val="20"/>
          <w:szCs w:val="20"/>
        </w:rPr>
        <w:t xml:space="preserve">. Proteolytic enzymes such as calpain-1, </w:t>
      </w:r>
      <w:proofErr w:type="spellStart"/>
      <w:r w:rsidRPr="00057985">
        <w:rPr>
          <w:rFonts w:ascii="Arial" w:hAnsi="Arial" w:cs="Arial"/>
          <w:sz w:val="20"/>
          <w:szCs w:val="20"/>
        </w:rPr>
        <w:t>neurosin</w:t>
      </w:r>
      <w:proofErr w:type="spellEnd"/>
      <w:r w:rsidRPr="00057985">
        <w:rPr>
          <w:rFonts w:ascii="Arial" w:hAnsi="Arial" w:cs="Arial"/>
          <w:sz w:val="20"/>
          <w:szCs w:val="20"/>
        </w:rPr>
        <w:t>, and cathepsins cleave the C-terminal acidic tail, generating truncated variants (e.g., ΔC-103, ΔC-120, ΔC-130) that lose solubilizing capacity</w:t>
      </w:r>
      <w:r w:rsidR="00BE1F96" w:rsidRPr="00057985">
        <w:rPr>
          <w:rFonts w:ascii="Arial" w:hAnsi="Arial" w:cs="Arial"/>
          <w:sz w:val="20"/>
          <w:szCs w:val="20"/>
          <w:vertAlign w:val="superscript"/>
        </w:rPr>
        <w:t>36</w:t>
      </w:r>
      <w:r w:rsidRPr="00057985">
        <w:rPr>
          <w:rFonts w:ascii="Arial" w:hAnsi="Arial" w:cs="Arial"/>
          <w:sz w:val="20"/>
          <w:szCs w:val="20"/>
        </w:rPr>
        <w:t xml:space="preserve">. These truncated forms aggregate rapidly, seed full-length </w:t>
      </w:r>
      <w:proofErr w:type="spellStart"/>
      <w:r w:rsidRPr="00057985">
        <w:rPr>
          <w:rFonts w:ascii="Arial" w:hAnsi="Arial" w:cs="Arial"/>
          <w:sz w:val="20"/>
          <w:szCs w:val="20"/>
        </w:rPr>
        <w:t>aSyn</w:t>
      </w:r>
      <w:proofErr w:type="spellEnd"/>
      <w:r w:rsidRPr="00057985">
        <w:rPr>
          <w:rFonts w:ascii="Arial" w:hAnsi="Arial" w:cs="Arial"/>
          <w:sz w:val="20"/>
          <w:szCs w:val="20"/>
        </w:rPr>
        <w:t xml:space="preserve"> fibrils, and enhance toxicity in neuronal cultures</w:t>
      </w:r>
      <w:r w:rsidR="00252B1A" w:rsidRPr="00057985">
        <w:rPr>
          <w:rFonts w:ascii="Arial" w:hAnsi="Arial" w:cs="Arial"/>
          <w:sz w:val="20"/>
          <w:szCs w:val="20"/>
          <w:vertAlign w:val="superscript"/>
        </w:rPr>
        <w:t>37,38</w:t>
      </w:r>
      <w:r w:rsidRPr="00057985">
        <w:rPr>
          <w:rFonts w:ascii="Arial" w:hAnsi="Arial" w:cs="Arial"/>
          <w:sz w:val="20"/>
          <w:szCs w:val="20"/>
        </w:rPr>
        <w:t>. Such truncated species have been consistently detected in PD and multiple system atrophy (MSA) brain tissues</w:t>
      </w:r>
      <w:r w:rsidR="00252B1A" w:rsidRPr="00057985">
        <w:rPr>
          <w:rFonts w:ascii="Arial" w:hAnsi="Arial" w:cs="Arial"/>
          <w:sz w:val="20"/>
          <w:szCs w:val="20"/>
          <w:vertAlign w:val="superscript"/>
        </w:rPr>
        <w:t>39</w:t>
      </w:r>
      <w:r w:rsidRPr="00057985">
        <w:rPr>
          <w:rFonts w:ascii="Arial" w:hAnsi="Arial" w:cs="Arial"/>
          <w:sz w:val="20"/>
          <w:szCs w:val="20"/>
        </w:rPr>
        <w:t>. Because the C-terminal domain contains key regulatory sites for phosphorylation and chaperone binding, its removal disrupts structural control, accelerating aggregation cascades.</w:t>
      </w:r>
    </w:p>
    <w:p w14:paraId="398A90B1" w14:textId="77777777" w:rsidR="00E1252A" w:rsidRPr="00057985" w:rsidRDefault="00E1252A" w:rsidP="00E1252A">
      <w:pPr>
        <w:spacing w:line="360" w:lineRule="auto"/>
        <w:rPr>
          <w:rFonts w:ascii="Arial" w:hAnsi="Arial" w:cs="Arial"/>
          <w:b/>
          <w:bCs/>
          <w:sz w:val="22"/>
          <w:szCs w:val="22"/>
        </w:rPr>
      </w:pPr>
      <w:r w:rsidRPr="00057985">
        <w:rPr>
          <w:rFonts w:ascii="Arial" w:hAnsi="Arial" w:cs="Arial"/>
          <w:b/>
          <w:bCs/>
          <w:sz w:val="22"/>
          <w:szCs w:val="22"/>
        </w:rPr>
        <w:t xml:space="preserve">4.7 Oxidation and Methionine </w:t>
      </w:r>
      <w:proofErr w:type="spellStart"/>
      <w:r w:rsidRPr="00057985">
        <w:rPr>
          <w:rFonts w:ascii="Arial" w:hAnsi="Arial" w:cs="Arial"/>
          <w:b/>
          <w:bCs/>
          <w:sz w:val="22"/>
          <w:szCs w:val="22"/>
        </w:rPr>
        <w:t>Sulfoxidation</w:t>
      </w:r>
      <w:proofErr w:type="spellEnd"/>
    </w:p>
    <w:p w14:paraId="13DD9ED6" w14:textId="40FED932"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Reactive oxygen species oxidize methionine residues (Met1, Met5, Met116, Met127) to methionine sulfoxide. Partial oxidation can inhibit β-sheet nucleation and delay fibrillation, whereas extensive oxidation produces dysfunctional oligomers that resist degradation</w:t>
      </w:r>
      <w:r w:rsidR="000B1B3B" w:rsidRPr="00057985">
        <w:rPr>
          <w:rFonts w:ascii="Arial" w:hAnsi="Arial" w:cs="Arial"/>
          <w:sz w:val="20"/>
          <w:szCs w:val="20"/>
          <w:vertAlign w:val="superscript"/>
        </w:rPr>
        <w:t>40</w:t>
      </w:r>
      <w:r w:rsidRPr="00057985">
        <w:rPr>
          <w:rFonts w:ascii="Arial" w:hAnsi="Arial" w:cs="Arial"/>
          <w:sz w:val="20"/>
          <w:szCs w:val="20"/>
        </w:rPr>
        <w:t>. Given that oxidative stress is a defining feature of PD, methionine oxidation likely contributes to both aggregate formation and mitochondrial impairment</w:t>
      </w:r>
      <w:r w:rsidR="00C96523" w:rsidRPr="00057985">
        <w:rPr>
          <w:rFonts w:ascii="Arial" w:hAnsi="Arial" w:cs="Arial"/>
          <w:sz w:val="20"/>
          <w:szCs w:val="20"/>
          <w:vertAlign w:val="superscript"/>
        </w:rPr>
        <w:t>41</w:t>
      </w:r>
      <w:r w:rsidRPr="00057985">
        <w:rPr>
          <w:rFonts w:ascii="Arial" w:hAnsi="Arial" w:cs="Arial"/>
          <w:sz w:val="20"/>
          <w:szCs w:val="20"/>
        </w:rPr>
        <w:t>.</w:t>
      </w:r>
    </w:p>
    <w:p w14:paraId="2303AA35" w14:textId="2F1735E2" w:rsidR="00443E29" w:rsidRPr="00057985" w:rsidRDefault="00443E29" w:rsidP="00443E29">
      <w:pPr>
        <w:pStyle w:val="NormalWeb"/>
        <w:rPr>
          <w:rFonts w:ascii="Arial" w:hAnsi="Arial" w:cs="Arial"/>
          <w:b/>
          <w:bCs/>
          <w:sz w:val="22"/>
          <w:szCs w:val="22"/>
        </w:rPr>
      </w:pPr>
      <w:r w:rsidRPr="00057985">
        <w:rPr>
          <w:rFonts w:ascii="Arial" w:hAnsi="Arial" w:cs="Arial"/>
          <w:b/>
          <w:bCs/>
          <w:sz w:val="22"/>
          <w:szCs w:val="22"/>
        </w:rPr>
        <w:t>5. Results and Discussion:</w:t>
      </w:r>
    </w:p>
    <w:p w14:paraId="27149D40" w14:textId="04AAAEE1"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Analysis of the 44 included studies shows that PTMs exert strong residue-dependent and context-specific effects on α-synuclein </w:t>
      </w:r>
      <w:proofErr w:type="spellStart"/>
      <w:r w:rsidRPr="00057985">
        <w:rPr>
          <w:rFonts w:ascii="Arial" w:hAnsi="Arial" w:cs="Arial"/>
          <w:sz w:val="20"/>
          <w:szCs w:val="20"/>
        </w:rPr>
        <w:t>behavior</w:t>
      </w:r>
      <w:proofErr w:type="spellEnd"/>
      <w:r w:rsidRPr="00057985">
        <w:rPr>
          <w:rFonts w:ascii="Arial" w:hAnsi="Arial" w:cs="Arial"/>
          <w:sz w:val="20"/>
          <w:szCs w:val="20"/>
        </w:rPr>
        <w:t xml:space="preserve">. While some modifications reliably enhance aggregation and toxicity, others promote structural stability and reduce fibrillation. Collectively, these findings point to a combinatorial “PTM signature” that determines whether </w:t>
      </w:r>
      <w:proofErr w:type="spellStart"/>
      <w:r w:rsidRPr="00057985">
        <w:rPr>
          <w:rFonts w:ascii="Arial" w:hAnsi="Arial" w:cs="Arial"/>
          <w:sz w:val="20"/>
          <w:szCs w:val="20"/>
        </w:rPr>
        <w:t>aSyn</w:t>
      </w:r>
      <w:proofErr w:type="spellEnd"/>
      <w:r w:rsidRPr="00057985">
        <w:rPr>
          <w:rFonts w:ascii="Arial" w:hAnsi="Arial" w:cs="Arial"/>
          <w:sz w:val="20"/>
          <w:szCs w:val="20"/>
        </w:rPr>
        <w:t xml:space="preserve"> remains functional or converts into pathogenic species.</w:t>
      </w:r>
    </w:p>
    <w:p w14:paraId="5CE15FCA"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lastRenderedPageBreak/>
        <w:t>Phosphorylation was the most frequently investigated PTM. Ser129 phosphorylation, abundant in Lewy bodies, appeared to act mainly as a downstream marker of pathology, as most experimental studies showed reduced fibrillation in vitro. In contrast, Ser87 phosphorylation consistently interfered with β-sheet formation and exhibited protective effects. Tyrosine phosphorylation showed variable outcomes influenced by oxidative stress and degradation pathway efficiency.</w:t>
      </w:r>
    </w:p>
    <w:p w14:paraId="4D24A36C" w14:textId="77777777" w:rsidR="00443E29" w:rsidRPr="00057985" w:rsidRDefault="00443E29" w:rsidP="00443E29">
      <w:pPr>
        <w:pStyle w:val="NormalWeb"/>
        <w:spacing w:line="360" w:lineRule="auto"/>
        <w:jc w:val="both"/>
        <w:rPr>
          <w:rFonts w:ascii="Arial" w:hAnsi="Arial" w:cs="Arial"/>
          <w:sz w:val="20"/>
          <w:szCs w:val="20"/>
        </w:rPr>
      </w:pPr>
      <w:proofErr w:type="spellStart"/>
      <w:r w:rsidRPr="00057985">
        <w:rPr>
          <w:rFonts w:ascii="Arial" w:hAnsi="Arial" w:cs="Arial"/>
          <w:sz w:val="20"/>
          <w:szCs w:val="20"/>
        </w:rPr>
        <w:t>Proteostasis</w:t>
      </w:r>
      <w:proofErr w:type="spellEnd"/>
      <w:r w:rsidRPr="00057985">
        <w:rPr>
          <w:rFonts w:ascii="Cambria Math" w:hAnsi="Cambria Math" w:cs="Cambria Math"/>
          <w:sz w:val="20"/>
          <w:szCs w:val="20"/>
        </w:rPr>
        <w:t>‐</w:t>
      </w:r>
      <w:r w:rsidRPr="00057985">
        <w:rPr>
          <w:rFonts w:ascii="Arial" w:hAnsi="Arial" w:cs="Arial"/>
          <w:sz w:val="20"/>
          <w:szCs w:val="20"/>
        </w:rPr>
        <w:t xml:space="preserve">related modifications also contributed significantly to </w:t>
      </w:r>
      <w:proofErr w:type="spellStart"/>
      <w:r w:rsidRPr="00057985">
        <w:rPr>
          <w:rFonts w:ascii="Arial" w:hAnsi="Arial" w:cs="Arial"/>
          <w:sz w:val="20"/>
          <w:szCs w:val="20"/>
        </w:rPr>
        <w:t>aSyn</w:t>
      </w:r>
      <w:proofErr w:type="spellEnd"/>
      <w:r w:rsidRPr="00057985">
        <w:rPr>
          <w:rFonts w:ascii="Arial" w:hAnsi="Arial" w:cs="Arial"/>
          <w:sz w:val="20"/>
          <w:szCs w:val="20"/>
        </w:rPr>
        <w:t xml:space="preserve"> handling. Ubiquitination promoted degradation when mediated by Parkin but facilitated aggregate accumulation when </w:t>
      </w:r>
      <w:proofErr w:type="spellStart"/>
      <w:r w:rsidRPr="00057985">
        <w:rPr>
          <w:rFonts w:ascii="Arial" w:hAnsi="Arial" w:cs="Arial"/>
          <w:sz w:val="20"/>
          <w:szCs w:val="20"/>
        </w:rPr>
        <w:t>catalyzed</w:t>
      </w:r>
      <w:proofErr w:type="spellEnd"/>
      <w:r w:rsidRPr="00057985">
        <w:rPr>
          <w:rFonts w:ascii="Arial" w:hAnsi="Arial" w:cs="Arial"/>
          <w:sz w:val="20"/>
          <w:szCs w:val="20"/>
        </w:rPr>
        <w:t xml:space="preserve"> by SIAH ligases, particularly under impaired proteasomal conditions. SUMOylation initially inhibited fibril formation but accumulated under chronic stress, gradually shifting toward a pathogenic role.</w:t>
      </w:r>
    </w:p>
    <w:p w14:paraId="119E3450"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Oxidative stress–driven PTMs had some of the strongest aggregation-promoting effects. Nitration of tyrosine residues produced stable, toxic oligomers resistant to proteolysis and capable of impairing mitochondrial activity. Methionine oxidation showed dose-dependent outcomes, where extensive oxidation yielded protease-resistant species with high toxicity.</w:t>
      </w:r>
    </w:p>
    <w:p w14:paraId="7D499EE0"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Among all modifications, C-terminal truncation stood out as the most aggressive driver of aggregation. Loss of the acidic tail eliminated regulatory and solubility elements, resulting in rapid fibril nucleation, efficient seeding of full-length </w:t>
      </w:r>
      <w:proofErr w:type="spellStart"/>
      <w:r w:rsidRPr="00057985">
        <w:rPr>
          <w:rFonts w:ascii="Arial" w:hAnsi="Arial" w:cs="Arial"/>
          <w:sz w:val="20"/>
          <w:szCs w:val="20"/>
        </w:rPr>
        <w:t>aSyn</w:t>
      </w:r>
      <w:proofErr w:type="spellEnd"/>
      <w:r w:rsidRPr="00057985">
        <w:rPr>
          <w:rFonts w:ascii="Arial" w:hAnsi="Arial" w:cs="Arial"/>
          <w:sz w:val="20"/>
          <w:szCs w:val="20"/>
        </w:rPr>
        <w:t>, and increased neuronal toxicity.</w:t>
      </w:r>
    </w:p>
    <w:p w14:paraId="0C60F1F6"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Importantly, many studies highlighted interactions between PTMs—such as competition between ubiquitination and phosphorylation, nitration preventing tyrosine phosphorylation, and truncation eliminating key PTM sites—which collectively shape aggregation pathways. This crosstalk likely explains why different brain regions and </w:t>
      </w:r>
      <w:proofErr w:type="spellStart"/>
      <w:r w:rsidRPr="00057985">
        <w:rPr>
          <w:rFonts w:ascii="Arial" w:hAnsi="Arial" w:cs="Arial"/>
          <w:sz w:val="20"/>
          <w:szCs w:val="20"/>
        </w:rPr>
        <w:t>synucleinopathy</w:t>
      </w:r>
      <w:proofErr w:type="spellEnd"/>
      <w:r w:rsidRPr="00057985">
        <w:rPr>
          <w:rFonts w:ascii="Arial" w:hAnsi="Arial" w:cs="Arial"/>
          <w:sz w:val="20"/>
          <w:szCs w:val="20"/>
        </w:rPr>
        <w:t xml:space="preserve"> subtypes display distinct aggregation profiles.</w:t>
      </w:r>
    </w:p>
    <w:p w14:paraId="7E2F2422"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Clinically, PTM-defined </w:t>
      </w:r>
      <w:proofErr w:type="spellStart"/>
      <w:r w:rsidRPr="00057985">
        <w:rPr>
          <w:rFonts w:ascii="Arial" w:hAnsi="Arial" w:cs="Arial"/>
          <w:sz w:val="20"/>
          <w:szCs w:val="20"/>
        </w:rPr>
        <w:t>aSyn</w:t>
      </w:r>
      <w:proofErr w:type="spellEnd"/>
      <w:r w:rsidRPr="00057985">
        <w:rPr>
          <w:rFonts w:ascii="Arial" w:hAnsi="Arial" w:cs="Arial"/>
          <w:sz w:val="20"/>
          <w:szCs w:val="20"/>
        </w:rPr>
        <w:t xml:space="preserve"> species—including phosphorylated, truncated, and nitrated variants—show promise as biomarkers in cerebrospinal fluid, saliva, and blood-derived exosomes. Therapeutically, targeting PTM-regulating enzymes or selectively clearing modified toxic species offers promising strategies for disease modification.</w:t>
      </w:r>
    </w:p>
    <w:p w14:paraId="2F67659E" w14:textId="2CB21DF0" w:rsidR="003F51C2"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Overall, the evidence suggests that α-synuclein aggregation and toxicity arise not from a single modification but from the interplay of multiple PTMs. Understanding this integrated PTM landscape is essential for advancing precision diagnostics and designing targeted therapeutic interventions for Parkinson’s disease and related </w:t>
      </w:r>
      <w:proofErr w:type="spellStart"/>
      <w:r w:rsidRPr="00057985">
        <w:rPr>
          <w:rFonts w:ascii="Arial" w:hAnsi="Arial" w:cs="Arial"/>
          <w:sz w:val="20"/>
          <w:szCs w:val="20"/>
        </w:rPr>
        <w:t>synucleinopathies</w:t>
      </w:r>
      <w:proofErr w:type="spellEnd"/>
      <w:r w:rsidRPr="00057985">
        <w:rPr>
          <w:rFonts w:ascii="Arial" w:hAnsi="Arial" w:cs="Arial"/>
          <w:sz w:val="20"/>
          <w:szCs w:val="20"/>
        </w:rPr>
        <w:t>.</w:t>
      </w:r>
    </w:p>
    <w:p w14:paraId="62CD652E" w14:textId="77777777" w:rsidR="00E70E39" w:rsidRPr="00057985" w:rsidRDefault="00E70E39" w:rsidP="00E70E39">
      <w:pPr>
        <w:spacing w:before="100" w:beforeAutospacing="1" w:after="100" w:afterAutospacing="1" w:line="360" w:lineRule="auto"/>
        <w:jc w:val="both"/>
        <w:rPr>
          <w:rFonts w:ascii="Arial" w:eastAsia="Times New Roman" w:hAnsi="Arial" w:cs="Arial"/>
          <w:kern w:val="0"/>
          <w:sz w:val="22"/>
          <w:szCs w:val="22"/>
          <w:lang w:eastAsia="en-IN"/>
          <w14:ligatures w14:val="none"/>
        </w:rPr>
      </w:pPr>
      <w:r w:rsidRPr="00057985">
        <w:rPr>
          <w:rFonts w:ascii="Arial" w:eastAsia="Times New Roman" w:hAnsi="Arial" w:cs="Arial"/>
          <w:b/>
          <w:bCs/>
          <w:kern w:val="0"/>
          <w:sz w:val="22"/>
          <w:szCs w:val="22"/>
          <w:lang w:eastAsia="en-IN"/>
          <w14:ligatures w14:val="none"/>
        </w:rPr>
        <w:t>6. Clinical and Therapeutic Implications</w:t>
      </w:r>
    </w:p>
    <w:p w14:paraId="7CAF9443" w14:textId="77777777" w:rsidR="00E70E39" w:rsidRPr="00057985"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057985">
        <w:rPr>
          <w:rFonts w:ascii="Arial" w:eastAsia="Times New Roman" w:hAnsi="Arial" w:cs="Arial"/>
          <w:b/>
          <w:bCs/>
          <w:kern w:val="0"/>
          <w:sz w:val="22"/>
          <w:szCs w:val="22"/>
          <w:lang w:eastAsia="en-IN"/>
          <w14:ligatures w14:val="none"/>
        </w:rPr>
        <w:t>6.1 Biomarker Potential</w:t>
      </w:r>
    </w:p>
    <w:p w14:paraId="76D7C686"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lastRenderedPageBreak/>
        <w:t xml:space="preserve">Distinct PTM variants of α-synuclein have emerged as promising biomarkers for the early detection and monitoring of Parkinson’s disease (PD) and related </w:t>
      </w:r>
      <w:proofErr w:type="spellStart"/>
      <w:r w:rsidRPr="00057985">
        <w:rPr>
          <w:rFonts w:ascii="Arial" w:eastAsia="Times New Roman" w:hAnsi="Arial" w:cs="Arial"/>
          <w:kern w:val="0"/>
          <w:sz w:val="20"/>
          <w:szCs w:val="20"/>
          <w:lang w:eastAsia="en-IN"/>
          <w14:ligatures w14:val="none"/>
        </w:rPr>
        <w:t>synucleinopathies</w:t>
      </w:r>
      <w:proofErr w:type="spellEnd"/>
      <w:r w:rsidRPr="00057985">
        <w:rPr>
          <w:rFonts w:ascii="Arial" w:eastAsia="Times New Roman" w:hAnsi="Arial" w:cs="Arial"/>
          <w:kern w:val="0"/>
          <w:sz w:val="20"/>
          <w:szCs w:val="20"/>
          <w:lang w:eastAsia="en-IN"/>
          <w14:ligatures w14:val="none"/>
        </w:rPr>
        <w:t>.</w:t>
      </w:r>
    </w:p>
    <w:p w14:paraId="4EE7EA01" w14:textId="4D417821"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 xml:space="preserve">Elevated </w:t>
      </w:r>
      <w:r w:rsidRPr="00057985">
        <w:rPr>
          <w:rFonts w:ascii="Arial" w:eastAsia="Times New Roman" w:hAnsi="Arial" w:cs="Arial"/>
          <w:b/>
          <w:bCs/>
          <w:kern w:val="0"/>
          <w:sz w:val="20"/>
          <w:szCs w:val="20"/>
          <w:lang w:eastAsia="en-IN"/>
          <w14:ligatures w14:val="none"/>
        </w:rPr>
        <w:t xml:space="preserve">phosphorylated Ser129 </w:t>
      </w:r>
      <w:proofErr w:type="spellStart"/>
      <w:r w:rsidRPr="00057985">
        <w:rPr>
          <w:rFonts w:ascii="Arial" w:eastAsia="Times New Roman" w:hAnsi="Arial" w:cs="Arial"/>
          <w:b/>
          <w:bCs/>
          <w:kern w:val="0"/>
          <w:sz w:val="20"/>
          <w:szCs w:val="20"/>
          <w:lang w:eastAsia="en-IN"/>
          <w14:ligatures w14:val="none"/>
        </w:rPr>
        <w:t>aSyn</w:t>
      </w:r>
      <w:proofErr w:type="spellEnd"/>
      <w:r w:rsidRPr="00057985">
        <w:rPr>
          <w:rFonts w:ascii="Arial" w:eastAsia="Times New Roman" w:hAnsi="Arial" w:cs="Arial"/>
          <w:b/>
          <w:bCs/>
          <w:kern w:val="0"/>
          <w:sz w:val="20"/>
          <w:szCs w:val="20"/>
          <w:lang w:eastAsia="en-IN"/>
          <w14:ligatures w14:val="none"/>
        </w:rPr>
        <w:t xml:space="preserve"> (pS129-aSyn)</w:t>
      </w:r>
      <w:r w:rsidRPr="00057985">
        <w:rPr>
          <w:rFonts w:ascii="Arial" w:eastAsia="Times New Roman" w:hAnsi="Arial" w:cs="Arial"/>
          <w:kern w:val="0"/>
          <w:sz w:val="20"/>
          <w:szCs w:val="20"/>
          <w:lang w:eastAsia="en-IN"/>
          <w14:ligatures w14:val="none"/>
        </w:rPr>
        <w:t xml:space="preserve"> levels in cerebrospinal fluid (CSF) and plasma-derived exosomes show strong correlation with disease severity and progression</w:t>
      </w:r>
      <w:r w:rsidR="00C96523" w:rsidRPr="00057985">
        <w:rPr>
          <w:rFonts w:ascii="Arial" w:eastAsia="Times New Roman" w:hAnsi="Arial" w:cs="Arial"/>
          <w:kern w:val="0"/>
          <w:sz w:val="20"/>
          <w:szCs w:val="20"/>
          <w:vertAlign w:val="superscript"/>
          <w:lang w:eastAsia="en-IN"/>
          <w14:ligatures w14:val="none"/>
        </w:rPr>
        <w:t>42</w:t>
      </w:r>
      <w:r w:rsidRPr="00057985">
        <w:rPr>
          <w:rFonts w:ascii="Arial" w:eastAsia="Times New Roman" w:hAnsi="Arial" w:cs="Arial"/>
          <w:kern w:val="0"/>
          <w:sz w:val="20"/>
          <w:szCs w:val="20"/>
          <w:lang w:eastAsia="en-IN"/>
          <w14:ligatures w14:val="none"/>
        </w:rPr>
        <w:t>.</w:t>
      </w:r>
    </w:p>
    <w:p w14:paraId="320914C9" w14:textId="355A97B9"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 xml:space="preserve">C-terminally truncated </w:t>
      </w:r>
      <w:proofErr w:type="spellStart"/>
      <w:r w:rsidRPr="00057985">
        <w:rPr>
          <w:rFonts w:ascii="Arial" w:eastAsia="Times New Roman" w:hAnsi="Arial" w:cs="Arial"/>
          <w:b/>
          <w:bCs/>
          <w:kern w:val="0"/>
          <w:sz w:val="20"/>
          <w:szCs w:val="20"/>
          <w:lang w:eastAsia="en-IN"/>
          <w14:ligatures w14:val="none"/>
        </w:rPr>
        <w:t>aSyn</w:t>
      </w:r>
      <w:proofErr w:type="spellEnd"/>
      <w:r w:rsidRPr="00057985">
        <w:rPr>
          <w:rFonts w:ascii="Arial" w:eastAsia="Times New Roman" w:hAnsi="Arial" w:cs="Arial"/>
          <w:kern w:val="0"/>
          <w:sz w:val="20"/>
          <w:szCs w:val="20"/>
          <w:lang w:eastAsia="en-IN"/>
          <w14:ligatures w14:val="none"/>
        </w:rPr>
        <w:t xml:space="preserve"> species have been identified in saliva and olfactory mucosa, suggesting non-invasive diagnostic potential</w:t>
      </w:r>
      <w:r w:rsidR="00B64F9B" w:rsidRPr="00057985">
        <w:rPr>
          <w:rFonts w:ascii="Arial" w:eastAsia="Times New Roman" w:hAnsi="Arial" w:cs="Arial"/>
          <w:kern w:val="0"/>
          <w:sz w:val="20"/>
          <w:szCs w:val="20"/>
          <w:vertAlign w:val="superscript"/>
          <w:lang w:eastAsia="en-IN"/>
          <w14:ligatures w14:val="none"/>
        </w:rPr>
        <w:t>43</w:t>
      </w:r>
      <w:r w:rsidRPr="00057985">
        <w:rPr>
          <w:rFonts w:ascii="Arial" w:eastAsia="Times New Roman" w:hAnsi="Arial" w:cs="Arial"/>
          <w:kern w:val="0"/>
          <w:sz w:val="20"/>
          <w:szCs w:val="20"/>
          <w:lang w:eastAsia="en-IN"/>
          <w14:ligatures w14:val="none"/>
        </w:rPr>
        <w:t>.</w:t>
      </w:r>
    </w:p>
    <w:p w14:paraId="216F367E" w14:textId="403A6445"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 xml:space="preserve">Specific PTM signatures may help </w:t>
      </w:r>
      <w:r w:rsidRPr="00057985">
        <w:rPr>
          <w:rFonts w:ascii="Arial" w:eastAsia="Times New Roman" w:hAnsi="Arial" w:cs="Arial"/>
          <w:b/>
          <w:bCs/>
          <w:kern w:val="0"/>
          <w:sz w:val="20"/>
          <w:szCs w:val="20"/>
          <w:lang w:eastAsia="en-IN"/>
          <w14:ligatures w14:val="none"/>
        </w:rPr>
        <w:t>differentiate PD from atypical parkinsonian disorders</w:t>
      </w:r>
      <w:r w:rsidRPr="00057985">
        <w:rPr>
          <w:rFonts w:ascii="Arial" w:eastAsia="Times New Roman" w:hAnsi="Arial" w:cs="Arial"/>
          <w:kern w:val="0"/>
          <w:sz w:val="20"/>
          <w:szCs w:val="20"/>
          <w:lang w:eastAsia="en-IN"/>
          <w14:ligatures w14:val="none"/>
        </w:rPr>
        <w:t>, improving clinical classification accuracy</w:t>
      </w:r>
      <w:r w:rsidR="00B64F9B" w:rsidRPr="00057985">
        <w:rPr>
          <w:rFonts w:ascii="Arial" w:eastAsia="Times New Roman" w:hAnsi="Arial" w:cs="Arial"/>
          <w:kern w:val="0"/>
          <w:sz w:val="20"/>
          <w:szCs w:val="20"/>
          <w:vertAlign w:val="superscript"/>
          <w:lang w:eastAsia="en-IN"/>
          <w14:ligatures w14:val="none"/>
        </w:rPr>
        <w:t>44</w:t>
      </w:r>
      <w:r w:rsidRPr="00057985">
        <w:rPr>
          <w:rFonts w:ascii="Arial" w:eastAsia="Times New Roman" w:hAnsi="Arial" w:cs="Arial"/>
          <w:kern w:val="0"/>
          <w:sz w:val="20"/>
          <w:szCs w:val="20"/>
          <w:lang w:eastAsia="en-IN"/>
          <w14:ligatures w14:val="none"/>
        </w:rPr>
        <w:t>.</w:t>
      </w:r>
    </w:p>
    <w:p w14:paraId="4CDC98E7" w14:textId="2C843C80" w:rsidR="005E3D20" w:rsidRPr="00057985" w:rsidRDefault="00E70E39" w:rsidP="00552C3D">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Consequently, the development of sensitive, PTM-specific immunoassays or biosensors could enable early diagnosis and disease stratification based on molecular profiles.</w:t>
      </w:r>
    </w:p>
    <w:p w14:paraId="45E2AAA9" w14:textId="77777777" w:rsidR="00E70E39" w:rsidRPr="00057985"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057985">
        <w:rPr>
          <w:rFonts w:ascii="Arial" w:eastAsia="Times New Roman" w:hAnsi="Arial" w:cs="Arial"/>
          <w:b/>
          <w:bCs/>
          <w:kern w:val="0"/>
          <w:sz w:val="22"/>
          <w:szCs w:val="22"/>
          <w:lang w:eastAsia="en-IN"/>
          <w14:ligatures w14:val="none"/>
        </w:rPr>
        <w:t>6.2 Therapeutic Strategies</w:t>
      </w:r>
    </w:p>
    <w:p w14:paraId="23B9FFF2"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Targeting PTMs presents novel therapeutic opportunities to mitigate α-synuclein pathology:</w:t>
      </w:r>
    </w:p>
    <w:p w14:paraId="319CA5A1" w14:textId="52291E1E"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Kinase inhibition:</w:t>
      </w:r>
      <w:r w:rsidRPr="00057985">
        <w:rPr>
          <w:rFonts w:ascii="Arial" w:eastAsia="Times New Roman" w:hAnsi="Arial" w:cs="Arial"/>
          <w:kern w:val="0"/>
          <w:sz w:val="20"/>
          <w:szCs w:val="20"/>
          <w:lang w:eastAsia="en-IN"/>
          <w14:ligatures w14:val="none"/>
        </w:rPr>
        <w:t xml:space="preserve"> Compounds that inhibit kinases such as PLK2 or c-Abl can suppress pathological phosphorylation and aggregation</w:t>
      </w:r>
      <w:r w:rsidR="009A0660" w:rsidRPr="00057985">
        <w:rPr>
          <w:rFonts w:ascii="Arial" w:eastAsia="Times New Roman" w:hAnsi="Arial" w:cs="Arial"/>
          <w:kern w:val="0"/>
          <w:sz w:val="20"/>
          <w:szCs w:val="20"/>
          <w:vertAlign w:val="superscript"/>
          <w:lang w:eastAsia="en-IN"/>
          <w14:ligatures w14:val="none"/>
        </w:rPr>
        <w:t>10</w:t>
      </w:r>
      <w:r w:rsidRPr="00057985">
        <w:rPr>
          <w:rFonts w:ascii="Arial" w:eastAsia="Times New Roman" w:hAnsi="Arial" w:cs="Arial"/>
          <w:kern w:val="0"/>
          <w:sz w:val="20"/>
          <w:szCs w:val="20"/>
          <w:lang w:eastAsia="en-IN"/>
          <w14:ligatures w14:val="none"/>
        </w:rPr>
        <w:t>.</w:t>
      </w:r>
    </w:p>
    <w:p w14:paraId="618AEC99" w14:textId="77777777"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Modulation of stabilizing PTMs:</w:t>
      </w:r>
      <w:r w:rsidRPr="00057985">
        <w:rPr>
          <w:rFonts w:ascii="Arial" w:eastAsia="Times New Roman" w:hAnsi="Arial" w:cs="Arial"/>
          <w:kern w:val="0"/>
          <w:sz w:val="20"/>
          <w:szCs w:val="20"/>
          <w:lang w:eastAsia="en-IN"/>
          <w14:ligatures w14:val="none"/>
        </w:rPr>
        <w:t xml:space="preserve"> Enhancing N-terminal acetylation or preventing C-terminal truncation can help maintain α-synuclein in its non-aggregating, functional form.</w:t>
      </w:r>
    </w:p>
    <w:p w14:paraId="29A3A4FE" w14:textId="77777777"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proofErr w:type="spellStart"/>
      <w:r w:rsidRPr="00057985">
        <w:rPr>
          <w:rFonts w:ascii="Arial" w:eastAsia="Times New Roman" w:hAnsi="Arial" w:cs="Arial"/>
          <w:b/>
          <w:bCs/>
          <w:kern w:val="0"/>
          <w:sz w:val="20"/>
          <w:szCs w:val="20"/>
          <w:lang w:eastAsia="en-IN"/>
          <w14:ligatures w14:val="none"/>
        </w:rPr>
        <w:t>Proteostasis</w:t>
      </w:r>
      <w:proofErr w:type="spellEnd"/>
      <w:r w:rsidRPr="00057985">
        <w:rPr>
          <w:rFonts w:ascii="Arial" w:eastAsia="Times New Roman" w:hAnsi="Arial" w:cs="Arial"/>
          <w:b/>
          <w:bCs/>
          <w:kern w:val="0"/>
          <w:sz w:val="20"/>
          <w:szCs w:val="20"/>
          <w:lang w:eastAsia="en-IN"/>
          <w14:ligatures w14:val="none"/>
        </w:rPr>
        <w:t xml:space="preserve"> enhancement:</w:t>
      </w:r>
      <w:r w:rsidRPr="00057985">
        <w:rPr>
          <w:rFonts w:ascii="Arial" w:eastAsia="Times New Roman" w:hAnsi="Arial" w:cs="Arial"/>
          <w:kern w:val="0"/>
          <w:sz w:val="20"/>
          <w:szCs w:val="20"/>
          <w:lang w:eastAsia="en-IN"/>
          <w14:ligatures w14:val="none"/>
        </w:rPr>
        <w:t xml:space="preserve"> Activators of proteasomal or lysosomal pathways may accelerate the clearance of ubiquitinated or SUMOylated species.</w:t>
      </w:r>
    </w:p>
    <w:p w14:paraId="05FD5DF9" w14:textId="1EAD50C9"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Immunotherapy:</w:t>
      </w:r>
      <w:r w:rsidRPr="00057985">
        <w:rPr>
          <w:rFonts w:ascii="Arial" w:eastAsia="Times New Roman" w:hAnsi="Arial" w:cs="Arial"/>
          <w:kern w:val="0"/>
          <w:sz w:val="20"/>
          <w:szCs w:val="20"/>
          <w:lang w:eastAsia="en-IN"/>
          <w14:ligatures w14:val="none"/>
        </w:rPr>
        <w:t xml:space="preserve"> PTM-specific antibodies—such as those targeting pS129—are being developed for passive immunotherapy to selectively neutralize pathogenic </w:t>
      </w:r>
      <w:proofErr w:type="spellStart"/>
      <w:r w:rsidRPr="00057985">
        <w:rPr>
          <w:rFonts w:ascii="Arial" w:eastAsia="Times New Roman" w:hAnsi="Arial" w:cs="Arial"/>
          <w:kern w:val="0"/>
          <w:sz w:val="20"/>
          <w:szCs w:val="20"/>
          <w:lang w:eastAsia="en-IN"/>
          <w14:ligatures w14:val="none"/>
        </w:rPr>
        <w:t>aSyn</w:t>
      </w:r>
      <w:proofErr w:type="spellEnd"/>
      <w:r w:rsidRPr="00057985">
        <w:rPr>
          <w:rFonts w:ascii="Arial" w:eastAsia="Times New Roman" w:hAnsi="Arial" w:cs="Arial"/>
          <w:kern w:val="0"/>
          <w:sz w:val="20"/>
          <w:szCs w:val="20"/>
          <w:lang w:eastAsia="en-IN"/>
          <w14:ligatures w14:val="none"/>
        </w:rPr>
        <w:t xml:space="preserve"> conformers</w:t>
      </w:r>
      <w:r w:rsidR="00602A48" w:rsidRPr="00057985">
        <w:rPr>
          <w:rFonts w:ascii="Arial" w:eastAsia="Times New Roman" w:hAnsi="Arial" w:cs="Arial"/>
          <w:kern w:val="0"/>
          <w:sz w:val="20"/>
          <w:szCs w:val="20"/>
          <w:vertAlign w:val="superscript"/>
          <w:lang w:eastAsia="en-IN"/>
          <w14:ligatures w14:val="none"/>
        </w:rPr>
        <w:t>45</w:t>
      </w:r>
      <w:r w:rsidRPr="00057985">
        <w:rPr>
          <w:rFonts w:ascii="Arial" w:eastAsia="Times New Roman" w:hAnsi="Arial" w:cs="Arial"/>
          <w:kern w:val="0"/>
          <w:sz w:val="20"/>
          <w:szCs w:val="20"/>
          <w:lang w:eastAsia="en-IN"/>
          <w14:ligatures w14:val="none"/>
        </w:rPr>
        <w:t>.</w:t>
      </w:r>
    </w:p>
    <w:p w14:paraId="640AC7B0"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Together, these strategies highlight the translational relevance of PTM biology, bridging molecular mechanisms with therapeutic intervention.</w:t>
      </w:r>
    </w:p>
    <w:p w14:paraId="0C9B878D" w14:textId="77777777" w:rsidR="00E70E39" w:rsidRPr="006A6989" w:rsidRDefault="00E70E39" w:rsidP="00E70E39">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6A6989">
        <w:rPr>
          <w:rFonts w:ascii="Arial" w:eastAsia="Times New Roman" w:hAnsi="Arial" w:cs="Arial"/>
          <w:b/>
          <w:bCs/>
          <w:kern w:val="0"/>
          <w:sz w:val="22"/>
          <w:szCs w:val="22"/>
          <w:lang w:eastAsia="en-IN"/>
          <w14:ligatures w14:val="none"/>
        </w:rPr>
        <w:t>7. Challenges and Future Perspectives</w:t>
      </w:r>
    </w:p>
    <w:p w14:paraId="45ABF32E" w14:textId="77777777" w:rsidR="00E70E39" w:rsidRPr="006A6989"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Despite significant progress in defining α-synuclein’s post-translational landscape, several challenges remain:</w:t>
      </w:r>
    </w:p>
    <w:p w14:paraId="709D0612"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PTM heterogeneity:</w:t>
      </w:r>
      <w:r w:rsidRPr="006A6989">
        <w:rPr>
          <w:rFonts w:ascii="Arial" w:eastAsia="Times New Roman" w:hAnsi="Arial" w:cs="Arial"/>
          <w:kern w:val="0"/>
          <w:sz w:val="20"/>
          <w:szCs w:val="20"/>
          <w:lang w:eastAsia="en-IN"/>
          <w14:ligatures w14:val="none"/>
        </w:rPr>
        <w:t xml:space="preserve"> The pattern and abundance of PTMs differ across brain regions, cell types, and disease stages, complicating the interpretation of their functional significance.</w:t>
      </w:r>
    </w:p>
    <w:p w14:paraId="52FEE2FD"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Temporal uncertainty:</w:t>
      </w:r>
      <w:r w:rsidRPr="006A6989">
        <w:rPr>
          <w:rFonts w:ascii="Arial" w:eastAsia="Times New Roman" w:hAnsi="Arial" w:cs="Arial"/>
          <w:kern w:val="0"/>
          <w:sz w:val="20"/>
          <w:szCs w:val="20"/>
          <w:lang w:eastAsia="en-IN"/>
          <w14:ligatures w14:val="none"/>
        </w:rPr>
        <w:t xml:space="preserve"> Many modifications appear to occur after aggregation initiation, making it difficult to distinguish cause from consequence.</w:t>
      </w:r>
    </w:p>
    <w:p w14:paraId="1756E6E5"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Model limitations:</w:t>
      </w:r>
      <w:r w:rsidRPr="006A6989">
        <w:rPr>
          <w:rFonts w:ascii="Arial" w:eastAsia="Times New Roman" w:hAnsi="Arial" w:cs="Arial"/>
          <w:kern w:val="0"/>
          <w:sz w:val="20"/>
          <w:szCs w:val="20"/>
          <w:lang w:eastAsia="en-IN"/>
          <w14:ligatures w14:val="none"/>
        </w:rPr>
        <w:t xml:space="preserve"> Simplified </w:t>
      </w:r>
      <w:r w:rsidRPr="006A6989">
        <w:rPr>
          <w:rFonts w:ascii="Arial" w:eastAsia="Times New Roman" w:hAnsi="Arial" w:cs="Arial"/>
          <w:i/>
          <w:iCs/>
          <w:kern w:val="0"/>
          <w:sz w:val="20"/>
          <w:szCs w:val="20"/>
          <w:lang w:eastAsia="en-IN"/>
          <w14:ligatures w14:val="none"/>
        </w:rPr>
        <w:t>in vitro</w:t>
      </w:r>
      <w:r w:rsidRPr="006A6989">
        <w:rPr>
          <w:rFonts w:ascii="Arial" w:eastAsia="Times New Roman" w:hAnsi="Arial" w:cs="Arial"/>
          <w:kern w:val="0"/>
          <w:sz w:val="20"/>
          <w:szCs w:val="20"/>
          <w:lang w:eastAsia="en-IN"/>
          <w14:ligatures w14:val="none"/>
        </w:rPr>
        <w:t xml:space="preserve"> systems fail to replicate the complex, combinatorial PTM environment observed in neurons.</w:t>
      </w:r>
    </w:p>
    <w:p w14:paraId="7BE490A4"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lastRenderedPageBreak/>
        <w:t>Quantitative mapping:</w:t>
      </w:r>
      <w:r w:rsidRPr="006A6989">
        <w:rPr>
          <w:rFonts w:ascii="Arial" w:eastAsia="Times New Roman" w:hAnsi="Arial" w:cs="Arial"/>
          <w:kern w:val="0"/>
          <w:sz w:val="20"/>
          <w:szCs w:val="20"/>
          <w:lang w:eastAsia="en-IN"/>
          <w14:ligatures w14:val="none"/>
        </w:rPr>
        <w:t xml:space="preserve"> High-resolution analytical methods, including advanced mass spectrometry and single-molecule fluorescence assays, are needed to profile PTM combinations at the residue level.</w:t>
      </w:r>
    </w:p>
    <w:p w14:paraId="0A8DDF4A"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Integration with genetics:</w:t>
      </w:r>
      <w:r w:rsidRPr="006A6989">
        <w:rPr>
          <w:rFonts w:ascii="Arial" w:eastAsia="Times New Roman" w:hAnsi="Arial" w:cs="Arial"/>
          <w:kern w:val="0"/>
          <w:sz w:val="20"/>
          <w:szCs w:val="20"/>
          <w:lang w:eastAsia="en-IN"/>
          <w14:ligatures w14:val="none"/>
        </w:rPr>
        <w:t xml:space="preserve"> The impact of PTMs may vary depending on underlying </w:t>
      </w:r>
      <w:r w:rsidRPr="006A6989">
        <w:rPr>
          <w:rFonts w:ascii="Arial" w:eastAsia="Times New Roman" w:hAnsi="Arial" w:cs="Arial"/>
          <w:i/>
          <w:iCs/>
          <w:kern w:val="0"/>
          <w:sz w:val="20"/>
          <w:szCs w:val="20"/>
          <w:lang w:eastAsia="en-IN"/>
          <w14:ligatures w14:val="none"/>
        </w:rPr>
        <w:t>SNCA</w:t>
      </w:r>
      <w:r w:rsidRPr="006A6989">
        <w:rPr>
          <w:rFonts w:ascii="Arial" w:eastAsia="Times New Roman" w:hAnsi="Arial" w:cs="Arial"/>
          <w:kern w:val="0"/>
          <w:sz w:val="20"/>
          <w:szCs w:val="20"/>
          <w:lang w:eastAsia="en-IN"/>
          <w14:ligatures w14:val="none"/>
        </w:rPr>
        <w:t xml:space="preserve"> mutations or genetic background, contributing to disease heterogeneity.</w:t>
      </w:r>
    </w:p>
    <w:p w14:paraId="7FBBC929" w14:textId="590D3261" w:rsidR="00E70E39" w:rsidRPr="006A6989" w:rsidRDefault="003F51C2" w:rsidP="007F780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 xml:space="preserve">Collectively, these observations highlight the limitations of studying post-translational modifications in isolation and emphasize the importance of a holistic perspective. Future research integrating multi-omics proteomics, computational structural </w:t>
      </w:r>
      <w:proofErr w:type="spellStart"/>
      <w:r w:rsidRPr="006A6989">
        <w:rPr>
          <w:rFonts w:ascii="Arial" w:eastAsia="Times New Roman" w:hAnsi="Arial" w:cs="Arial"/>
          <w:kern w:val="0"/>
          <w:sz w:val="20"/>
          <w:szCs w:val="20"/>
          <w:lang w:eastAsia="en-IN"/>
          <w14:ligatures w14:val="none"/>
        </w:rPr>
        <w:t>modeling</w:t>
      </w:r>
      <w:proofErr w:type="spellEnd"/>
      <w:r w:rsidRPr="006A6989">
        <w:rPr>
          <w:rFonts w:ascii="Arial" w:eastAsia="Times New Roman" w:hAnsi="Arial" w:cs="Arial"/>
          <w:kern w:val="0"/>
          <w:sz w:val="20"/>
          <w:szCs w:val="20"/>
          <w:lang w:eastAsia="en-IN"/>
          <w14:ligatures w14:val="none"/>
        </w:rPr>
        <w:t>, and cell-type–specific PTM mapping will be crucial to decode how combinatorial PTMs regulate α-synuclein misfolding and propagation. Ultimately, identifying a reproducible “PTM signature” could enable early disease prediction and personalized therapeutic design. Adopting such an integrated framework will deepen mechanistic insight into α-synuclein–mediated neurodegeneration and facilitate the development of precision diagnostics and targeted disease-modifying interventions</w:t>
      </w:r>
      <w:r w:rsidR="00E70E39" w:rsidRPr="006A6989">
        <w:rPr>
          <w:rFonts w:ascii="Arial" w:eastAsia="Times New Roman" w:hAnsi="Arial" w:cs="Arial"/>
          <w:kern w:val="0"/>
          <w:sz w:val="20"/>
          <w:szCs w:val="20"/>
          <w:lang w:eastAsia="en-IN"/>
          <w14:ligatures w14:val="none"/>
        </w:rPr>
        <w:t>.</w:t>
      </w:r>
    </w:p>
    <w:p w14:paraId="5D4186D9" w14:textId="4E201339" w:rsidR="00E70E39" w:rsidRPr="006A6989" w:rsidRDefault="00E70E39" w:rsidP="00552C3D">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MS Gothic" w:hAnsi="Arial" w:cs="Arial"/>
          <w:b/>
          <w:bCs/>
          <w:color w:val="000000" w:themeColor="text1"/>
          <w:kern w:val="0"/>
          <w:sz w:val="22"/>
          <w:szCs w:val="22"/>
          <w:lang w:val="en-US"/>
          <w14:ligatures w14:val="none"/>
        </w:rPr>
        <w:t xml:space="preserve">PICO and </w:t>
      </w:r>
      <w:bookmarkStart w:id="2" w:name="_Hlk220430118"/>
      <w:r w:rsidRPr="006A6989">
        <w:rPr>
          <w:rFonts w:ascii="Arial" w:eastAsia="MS Gothic" w:hAnsi="Arial" w:cs="Arial"/>
          <w:b/>
          <w:bCs/>
          <w:color w:val="000000" w:themeColor="text1"/>
          <w:kern w:val="0"/>
          <w:sz w:val="22"/>
          <w:szCs w:val="22"/>
          <w:lang w:val="en-US"/>
          <w14:ligatures w14:val="none"/>
        </w:rPr>
        <w:t xml:space="preserve">PRISMA Framework </w:t>
      </w:r>
      <w:bookmarkEnd w:id="2"/>
    </w:p>
    <w:p w14:paraId="35DF28EC" w14:textId="3BE527D5" w:rsidR="00E70E39" w:rsidRPr="006A6989" w:rsidRDefault="00827009" w:rsidP="00E70E39">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Pr>
          <w:rFonts w:ascii="Arial" w:eastAsia="MS Gothic" w:hAnsi="Arial" w:cs="Arial"/>
          <w:b/>
          <w:bCs/>
          <w:color w:val="000000" w:themeColor="text1"/>
          <w:kern w:val="0"/>
          <w:sz w:val="22"/>
          <w:szCs w:val="22"/>
          <w:lang w:val="en-US"/>
          <w14:ligatures w14:val="none"/>
        </w:rPr>
        <w:t xml:space="preserve">TABLE </w:t>
      </w:r>
      <w:r w:rsidR="00E70E39" w:rsidRPr="006A6989">
        <w:rPr>
          <w:rFonts w:ascii="Arial" w:eastAsia="MS Gothic" w:hAnsi="Arial" w:cs="Arial"/>
          <w:b/>
          <w:bCs/>
          <w:color w:val="000000" w:themeColor="text1"/>
          <w:kern w:val="0"/>
          <w:sz w:val="22"/>
          <w:szCs w:val="22"/>
          <w:lang w:val="en-US"/>
          <w14:ligatures w14:val="none"/>
        </w:rPr>
        <w:t xml:space="preserve"> </w:t>
      </w:r>
      <w:r>
        <w:rPr>
          <w:rFonts w:ascii="Arial" w:eastAsia="MS Gothic" w:hAnsi="Arial" w:cs="Arial"/>
          <w:b/>
          <w:bCs/>
          <w:color w:val="000000" w:themeColor="text1"/>
          <w:kern w:val="0"/>
          <w:sz w:val="22"/>
          <w:szCs w:val="22"/>
          <w:lang w:val="en-US"/>
          <w14:ligatures w14:val="none"/>
        </w:rPr>
        <w:t xml:space="preserve">1. </w:t>
      </w:r>
      <w:r w:rsidR="00E70E39" w:rsidRPr="006A6989">
        <w:rPr>
          <w:rFonts w:ascii="Arial" w:eastAsia="MS Gothic" w:hAnsi="Arial" w:cs="Arial"/>
          <w:b/>
          <w:bCs/>
          <w:color w:val="000000" w:themeColor="text1"/>
          <w:kern w:val="0"/>
          <w:sz w:val="22"/>
          <w:szCs w:val="22"/>
          <w:lang w:val="en-US"/>
          <w14:ligatures w14:val="none"/>
        </w:rPr>
        <w:t>PICO Framework</w:t>
      </w:r>
    </w:p>
    <w:tbl>
      <w:tblPr>
        <w:tblStyle w:val="TableGridLight1"/>
        <w:tblW w:w="8784" w:type="dxa"/>
        <w:tblLook w:val="04A0" w:firstRow="1" w:lastRow="0" w:firstColumn="1" w:lastColumn="0" w:noHBand="0" w:noVBand="1"/>
      </w:tblPr>
      <w:tblGrid>
        <w:gridCol w:w="2547"/>
        <w:gridCol w:w="6237"/>
      </w:tblGrid>
      <w:tr w:rsidR="00E70E39" w:rsidRPr="00F06601" w14:paraId="0294F768" w14:textId="77777777" w:rsidTr="00FE1689">
        <w:trPr>
          <w:trHeight w:val="350"/>
        </w:trPr>
        <w:tc>
          <w:tcPr>
            <w:tcW w:w="2547" w:type="dxa"/>
          </w:tcPr>
          <w:p w14:paraId="4D31A366" w14:textId="77777777" w:rsidR="00E70E39" w:rsidRPr="006A6989" w:rsidRDefault="00E70E39" w:rsidP="00FE1689">
            <w:pPr>
              <w:spacing w:after="200" w:line="276" w:lineRule="auto"/>
              <w:jc w:val="center"/>
              <w:rPr>
                <w:rFonts w:ascii="Arial" w:eastAsia="MS Mincho" w:hAnsi="Arial" w:cs="Arial"/>
                <w:b/>
                <w:bCs/>
                <w:kern w:val="0"/>
                <w:sz w:val="22"/>
                <w:szCs w:val="22"/>
                <w:lang w:val="en-US"/>
                <w14:ligatures w14:val="none"/>
              </w:rPr>
            </w:pPr>
            <w:r w:rsidRPr="006A6989">
              <w:rPr>
                <w:rFonts w:ascii="Arial" w:eastAsia="MS Mincho" w:hAnsi="Arial" w:cs="Arial"/>
                <w:b/>
                <w:bCs/>
                <w:kern w:val="0"/>
                <w:sz w:val="22"/>
                <w:szCs w:val="22"/>
                <w:lang w:val="en-US"/>
                <w14:ligatures w14:val="none"/>
              </w:rPr>
              <w:t>Element</w:t>
            </w:r>
          </w:p>
        </w:tc>
        <w:tc>
          <w:tcPr>
            <w:tcW w:w="6237" w:type="dxa"/>
          </w:tcPr>
          <w:p w14:paraId="04566CB4" w14:textId="77777777" w:rsidR="00E70E39" w:rsidRPr="006A6989" w:rsidRDefault="00E70E39" w:rsidP="00FE1689">
            <w:pPr>
              <w:spacing w:after="200" w:line="276" w:lineRule="auto"/>
              <w:jc w:val="center"/>
              <w:rPr>
                <w:rFonts w:ascii="Arial" w:eastAsia="MS Mincho" w:hAnsi="Arial" w:cs="Arial"/>
                <w:b/>
                <w:bCs/>
                <w:kern w:val="0"/>
                <w:sz w:val="22"/>
                <w:szCs w:val="22"/>
                <w:lang w:val="en-US"/>
                <w14:ligatures w14:val="none"/>
              </w:rPr>
            </w:pPr>
            <w:r w:rsidRPr="006A6989">
              <w:rPr>
                <w:rFonts w:ascii="Arial" w:eastAsia="MS Mincho" w:hAnsi="Arial" w:cs="Arial"/>
                <w:b/>
                <w:bCs/>
                <w:kern w:val="0"/>
                <w:sz w:val="22"/>
                <w:szCs w:val="22"/>
                <w:lang w:val="en-US"/>
                <w14:ligatures w14:val="none"/>
              </w:rPr>
              <w:t>Description</w:t>
            </w:r>
          </w:p>
        </w:tc>
      </w:tr>
      <w:tr w:rsidR="00E70E39" w:rsidRPr="00F06601" w14:paraId="0FD21647" w14:textId="77777777" w:rsidTr="00FE1689">
        <w:trPr>
          <w:trHeight w:val="1654"/>
        </w:trPr>
        <w:tc>
          <w:tcPr>
            <w:tcW w:w="2547" w:type="dxa"/>
          </w:tcPr>
          <w:p w14:paraId="27E4053C"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P (Population / Problem)</w:t>
            </w:r>
          </w:p>
        </w:tc>
        <w:tc>
          <w:tcPr>
            <w:tcW w:w="6237" w:type="dxa"/>
          </w:tcPr>
          <w:p w14:paraId="71A987F8"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α-Synuclein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protein in human and mammalian cellular or animal models related to Parkinson’s disease (PD), dementia with Lewy bodies (DLB), and multiple system atrophy (MSA). The focus is on molecular mechanisms of aggregation and misfolding.</w:t>
            </w:r>
          </w:p>
        </w:tc>
      </w:tr>
      <w:tr w:rsidR="00E70E39" w:rsidRPr="00F06601" w14:paraId="756C5C07" w14:textId="77777777" w:rsidTr="00FE1689">
        <w:trPr>
          <w:trHeight w:val="1433"/>
        </w:trPr>
        <w:tc>
          <w:tcPr>
            <w:tcW w:w="2547" w:type="dxa"/>
          </w:tcPr>
          <w:p w14:paraId="09AD6BE7"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 (Intervention / Exposure)</w:t>
            </w:r>
          </w:p>
        </w:tc>
        <w:tc>
          <w:tcPr>
            <w:tcW w:w="6237" w:type="dxa"/>
          </w:tcPr>
          <w:p w14:paraId="5D1122A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Post-translational modifications (PTMs) of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xml:space="preserve"> including phosphorylation, ubiquitination, nitration, acetylation, SUMOylation, oxidation, and truncation, either naturally occurring or experimentally induced.</w:t>
            </w:r>
          </w:p>
        </w:tc>
      </w:tr>
      <w:tr w:rsidR="00E70E39" w:rsidRPr="00F06601" w14:paraId="00013F60" w14:textId="77777777" w:rsidTr="00FE1689">
        <w:trPr>
          <w:trHeight w:val="1219"/>
        </w:trPr>
        <w:tc>
          <w:tcPr>
            <w:tcW w:w="2547" w:type="dxa"/>
          </w:tcPr>
          <w:p w14:paraId="59136B2F"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C (Comparison)</w:t>
            </w:r>
          </w:p>
        </w:tc>
        <w:tc>
          <w:tcPr>
            <w:tcW w:w="6237" w:type="dxa"/>
          </w:tcPr>
          <w:p w14:paraId="5903C09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Unmodified or wild-type α-synuclein under identical experimental or physiological conditions. In comparative studies: mutant vs. PTM-modified forms, or treated vs. untreated samples.</w:t>
            </w:r>
          </w:p>
        </w:tc>
      </w:tr>
      <w:tr w:rsidR="00E70E39" w:rsidRPr="00F06601" w14:paraId="0ED5705E" w14:textId="77777777" w:rsidTr="00FE1689">
        <w:trPr>
          <w:trHeight w:val="1433"/>
        </w:trPr>
        <w:tc>
          <w:tcPr>
            <w:tcW w:w="2547" w:type="dxa"/>
          </w:tcPr>
          <w:p w14:paraId="4AE8EE69"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O (Outcome)</w:t>
            </w:r>
          </w:p>
        </w:tc>
        <w:tc>
          <w:tcPr>
            <w:tcW w:w="6237" w:type="dxa"/>
          </w:tcPr>
          <w:p w14:paraId="650F1640"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Effects of PTMs on aggregation propensity, fibril formation kinetics, oligomerization, toxicity, and cellular localization. Secondary outcomes include biomarker potential and therapeutic relevance.</w:t>
            </w:r>
          </w:p>
        </w:tc>
      </w:tr>
      <w:tr w:rsidR="00E70E39" w:rsidRPr="00F06601" w14:paraId="3B28B27F" w14:textId="77777777" w:rsidTr="00FE1689">
        <w:trPr>
          <w:trHeight w:val="1654"/>
        </w:trPr>
        <w:tc>
          <w:tcPr>
            <w:tcW w:w="2547" w:type="dxa"/>
          </w:tcPr>
          <w:p w14:paraId="2D4474D5"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lastRenderedPageBreak/>
              <w:t>Study Types Included</w:t>
            </w:r>
          </w:p>
        </w:tc>
        <w:tc>
          <w:tcPr>
            <w:tcW w:w="6237" w:type="dxa"/>
          </w:tcPr>
          <w:p w14:paraId="3642C91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 vitro biochemical and biophysical assays, cell culture models, transgenic animal models, and human post-mortem tissue studies (2010–2024). Review papers and proteomics datasets providing residue-level PTM data were also consulted for synthesis.</w:t>
            </w:r>
          </w:p>
        </w:tc>
      </w:tr>
    </w:tbl>
    <w:p w14:paraId="23548EC0" w14:textId="77777777" w:rsidR="00E70E39" w:rsidRPr="006A6989" w:rsidRDefault="00E70E39" w:rsidP="00E70E39">
      <w:pPr>
        <w:spacing w:after="200" w:line="276" w:lineRule="auto"/>
        <w:rPr>
          <w:rFonts w:ascii="Arial" w:eastAsia="MS Mincho" w:hAnsi="Arial" w:cs="Arial"/>
          <w:kern w:val="0"/>
          <w:sz w:val="20"/>
          <w:szCs w:val="20"/>
          <w:lang w:val="en-US"/>
          <w14:ligatures w14:val="none"/>
        </w:rPr>
      </w:pPr>
    </w:p>
    <w:p w14:paraId="4041541E" w14:textId="4D2AF070" w:rsidR="005E3D20" w:rsidRPr="006A6989" w:rsidRDefault="00E70E39" w:rsidP="00110A93">
      <w:pPr>
        <w:spacing w:after="200" w:line="360" w:lineRule="auto"/>
        <w:jc w:val="both"/>
        <w:rPr>
          <w:rFonts w:ascii="Arial" w:eastAsia="MS Mincho" w:hAnsi="Arial" w:cs="Arial"/>
          <w:kern w:val="0"/>
          <w:sz w:val="22"/>
          <w:szCs w:val="22"/>
          <w:lang w:val="en-US"/>
          <w14:ligatures w14:val="none"/>
        </w:rPr>
      </w:pPr>
      <w:r w:rsidRPr="006A6989">
        <w:rPr>
          <w:rFonts w:ascii="Arial" w:eastAsia="MS Mincho" w:hAnsi="Arial" w:cs="Arial"/>
          <w:kern w:val="0"/>
          <w:sz w:val="22"/>
          <w:szCs w:val="22"/>
          <w:lang w:val="en-US"/>
          <w14:ligatures w14:val="none"/>
        </w:rPr>
        <w:t xml:space="preserve">PICO summary statement: In models of Parkinson’s disease and related </w:t>
      </w:r>
      <w:proofErr w:type="spellStart"/>
      <w:r w:rsidRPr="006A6989">
        <w:rPr>
          <w:rFonts w:ascii="Arial" w:eastAsia="MS Mincho" w:hAnsi="Arial" w:cs="Arial"/>
          <w:kern w:val="0"/>
          <w:sz w:val="22"/>
          <w:szCs w:val="22"/>
          <w:lang w:val="en-US"/>
          <w14:ligatures w14:val="none"/>
        </w:rPr>
        <w:t>synucleinopathies</w:t>
      </w:r>
      <w:proofErr w:type="spellEnd"/>
      <w:r w:rsidRPr="006A6989">
        <w:rPr>
          <w:rFonts w:ascii="Arial" w:eastAsia="MS Mincho" w:hAnsi="Arial" w:cs="Arial"/>
          <w:kern w:val="0"/>
          <w:sz w:val="22"/>
          <w:szCs w:val="22"/>
          <w:lang w:val="en-US"/>
          <w14:ligatures w14:val="none"/>
        </w:rPr>
        <w:t xml:space="preserve"> (Population), how do different post-translational modifications of α-synuclein (Intervention), compared to unmodified α-synuclein (Comparison), influence its aggregation, structural transitions, and neurotoxicity (Outcome)</w:t>
      </w:r>
    </w:p>
    <w:p w14:paraId="2544DF23" w14:textId="77777777" w:rsidR="00E70E39" w:rsidRPr="006A6989" w:rsidRDefault="00E70E39" w:rsidP="00E70E39">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sidRPr="006A6989">
        <w:rPr>
          <w:rFonts w:ascii="Arial" w:eastAsia="MS Gothic" w:hAnsi="Arial" w:cs="Arial"/>
          <w:b/>
          <w:bCs/>
          <w:color w:val="000000" w:themeColor="text1"/>
          <w:kern w:val="0"/>
          <w:sz w:val="22"/>
          <w:szCs w:val="22"/>
          <w:lang w:val="en-US"/>
          <w14:ligatures w14:val="none"/>
        </w:rPr>
        <w:t>2. PRISMA 2020 Flow Summary</w:t>
      </w:r>
    </w:p>
    <w:p w14:paraId="5E310C31" w14:textId="77777777" w:rsidR="00E70E39" w:rsidRDefault="00E70E39" w:rsidP="00E70E39">
      <w:pPr>
        <w:spacing w:after="200" w:line="360" w:lineRule="auto"/>
        <w:jc w:val="both"/>
        <w:rPr>
          <w:rFonts w:ascii="Arial" w:eastAsia="MS Mincho" w:hAnsi="Arial" w:cs="Arial"/>
          <w:kern w:val="0"/>
          <w:sz w:val="20"/>
          <w:szCs w:val="20"/>
          <w:lang w:val="en-US"/>
          <w14:ligatures w14:val="none"/>
        </w:rPr>
      </w:pPr>
      <w:r w:rsidRPr="006A6989">
        <w:rPr>
          <w:rFonts w:ascii="Arial" w:eastAsia="MS Mincho" w:hAnsi="Arial" w:cs="Arial"/>
          <w:kern w:val="0"/>
          <w:sz w:val="20"/>
          <w:szCs w:val="20"/>
          <w:lang w:val="en-US"/>
          <w14:ligatures w14:val="none"/>
        </w:rPr>
        <w:t>A total of 495 records were identified through database searches and reference lists. After duplicate removal, 374 unique titles were screened. Ninety-eight full-text studies were evaluated for eligibility, resulting in 44 articles included for detailed synthesis. The included studies covered seven major PTM categories—phosphorylation, ubiquitination, nitration, acetylation, SUMOylation, oxidation, and truncation—examined across cell-free, cellular, and animal models between 2010 and 2024.</w:t>
      </w:r>
    </w:p>
    <w:p w14:paraId="12465232" w14:textId="50A00C52" w:rsidR="00827009" w:rsidRPr="00E0608A" w:rsidRDefault="00827009" w:rsidP="00E70E39">
      <w:pPr>
        <w:spacing w:after="200" w:line="360" w:lineRule="auto"/>
        <w:jc w:val="both"/>
        <w:rPr>
          <w:rFonts w:ascii="Arial" w:eastAsia="MS Mincho" w:hAnsi="Arial" w:cs="Arial"/>
          <w:b/>
          <w:bCs/>
          <w:kern w:val="0"/>
          <w:sz w:val="20"/>
          <w:szCs w:val="20"/>
          <w:lang w:val="en-US"/>
          <w14:ligatures w14:val="none"/>
        </w:rPr>
      </w:pPr>
      <w:r w:rsidRPr="00E0608A">
        <w:rPr>
          <w:rFonts w:ascii="Arial" w:eastAsia="MS Mincho" w:hAnsi="Arial" w:cs="Arial"/>
          <w:b/>
          <w:bCs/>
          <w:kern w:val="0"/>
          <w:sz w:val="20"/>
          <w:szCs w:val="20"/>
          <w:lang w:val="en-US"/>
          <w14:ligatures w14:val="none"/>
        </w:rPr>
        <w:t>TABLE 2.</w:t>
      </w:r>
      <w:r w:rsidR="003E625B" w:rsidRPr="00E0608A">
        <w:rPr>
          <w:rFonts w:ascii="Arial" w:eastAsia="MS Mincho" w:hAnsi="Arial" w:cs="Arial"/>
          <w:b/>
          <w:bCs/>
          <w:kern w:val="0"/>
          <w:sz w:val="20"/>
          <w:szCs w:val="20"/>
          <w:lang w:val="en-US"/>
          <w14:ligatures w14:val="none"/>
        </w:rPr>
        <w:t xml:space="preserve"> PRISMA Framework </w:t>
      </w:r>
    </w:p>
    <w:p w14:paraId="63555CA1" w14:textId="77777777" w:rsidR="00FD0BC9" w:rsidRDefault="00FD0BC9" w:rsidP="00E70E39">
      <w:pPr>
        <w:spacing w:after="200" w:line="360" w:lineRule="auto"/>
        <w:jc w:val="both"/>
        <w:rPr>
          <w:rFonts w:ascii="Arial" w:eastAsia="MS Mincho" w:hAnsi="Arial" w:cs="Arial"/>
          <w:kern w:val="0"/>
          <w:sz w:val="20"/>
          <w:szCs w:val="20"/>
          <w:lang w:val="en-US"/>
          <w14:ligatures w14:val="none"/>
        </w:rPr>
      </w:pPr>
    </w:p>
    <w:p w14:paraId="2063BED7" w14:textId="77777777" w:rsidR="00FD0BC9" w:rsidRPr="006A6989" w:rsidRDefault="00FD0BC9" w:rsidP="00E70E39">
      <w:pPr>
        <w:spacing w:after="200" w:line="360" w:lineRule="auto"/>
        <w:jc w:val="both"/>
        <w:rPr>
          <w:rFonts w:ascii="Arial" w:eastAsia="MS Mincho" w:hAnsi="Arial" w:cs="Arial"/>
          <w:kern w:val="0"/>
          <w:sz w:val="20"/>
          <w:szCs w:val="20"/>
          <w:lang w:val="en-US"/>
          <w14:ligatures w14:val="none"/>
        </w:rPr>
      </w:pPr>
    </w:p>
    <w:tbl>
      <w:tblPr>
        <w:tblStyle w:val="TableGridLight1"/>
        <w:tblW w:w="9166" w:type="dxa"/>
        <w:tblLook w:val="04A0" w:firstRow="1" w:lastRow="0" w:firstColumn="1" w:lastColumn="0" w:noHBand="0" w:noVBand="1"/>
      </w:tblPr>
      <w:tblGrid>
        <w:gridCol w:w="2943"/>
        <w:gridCol w:w="6223"/>
      </w:tblGrid>
      <w:tr w:rsidR="00E70E39" w:rsidRPr="00F06601" w14:paraId="44977BCE" w14:textId="77777777" w:rsidTr="00B4786F">
        <w:trPr>
          <w:trHeight w:val="503"/>
        </w:trPr>
        <w:tc>
          <w:tcPr>
            <w:tcW w:w="2943" w:type="dxa"/>
          </w:tcPr>
          <w:p w14:paraId="1AADA2C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Stage</w:t>
            </w:r>
          </w:p>
        </w:tc>
        <w:tc>
          <w:tcPr>
            <w:tcW w:w="6223" w:type="dxa"/>
          </w:tcPr>
          <w:p w14:paraId="124A39C8"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Description and Numbers</w:t>
            </w:r>
          </w:p>
        </w:tc>
      </w:tr>
      <w:tr w:rsidR="00E70E39" w:rsidRPr="00F06601" w14:paraId="2E2A3974" w14:textId="77777777" w:rsidTr="00B4786F">
        <w:trPr>
          <w:trHeight w:val="1744"/>
        </w:trPr>
        <w:tc>
          <w:tcPr>
            <w:tcW w:w="2943" w:type="dxa"/>
          </w:tcPr>
          <w:p w14:paraId="027578FD"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Identification</w:t>
            </w:r>
          </w:p>
        </w:tc>
        <w:tc>
          <w:tcPr>
            <w:tcW w:w="6223" w:type="dxa"/>
          </w:tcPr>
          <w:p w14:paraId="6FAF2BA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Records identified through database searching (PubMed, Scopus, Web of Science): n = 458</w:t>
            </w:r>
            <w:r w:rsidRPr="00F06601">
              <w:rPr>
                <w:rFonts w:ascii="Arial" w:eastAsia="MS Mincho" w:hAnsi="Arial" w:cs="Arial"/>
                <w:kern w:val="0"/>
                <w:lang w:val="en-US"/>
                <w14:ligatures w14:val="none"/>
              </w:rPr>
              <w:br/>
              <w:t>Additional records identified through cross-references and manual searching: n = 37</w:t>
            </w:r>
            <w:r w:rsidRPr="00F06601">
              <w:rPr>
                <w:rFonts w:ascii="Arial" w:eastAsia="MS Mincho" w:hAnsi="Arial" w:cs="Arial"/>
                <w:kern w:val="0"/>
                <w:lang w:val="en-US"/>
                <w14:ligatures w14:val="none"/>
              </w:rPr>
              <w:br/>
              <w:t>Total identified: n = 495</w:t>
            </w:r>
          </w:p>
        </w:tc>
      </w:tr>
      <w:tr w:rsidR="00E70E39" w:rsidRPr="00F06601" w14:paraId="41C3C1E1" w14:textId="77777777" w:rsidTr="00B4786F">
        <w:trPr>
          <w:trHeight w:val="1428"/>
        </w:trPr>
        <w:tc>
          <w:tcPr>
            <w:tcW w:w="2943" w:type="dxa"/>
          </w:tcPr>
          <w:p w14:paraId="24EADFE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Screening</w:t>
            </w:r>
          </w:p>
        </w:tc>
        <w:tc>
          <w:tcPr>
            <w:tcW w:w="6223" w:type="dxa"/>
          </w:tcPr>
          <w:p w14:paraId="619C3C5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Duplicates removed: n = 121</w:t>
            </w:r>
            <w:r w:rsidRPr="00F06601">
              <w:rPr>
                <w:rFonts w:ascii="Arial" w:eastAsia="MS Mincho" w:hAnsi="Arial" w:cs="Arial"/>
                <w:kern w:val="0"/>
                <w:lang w:val="en-US"/>
                <w14:ligatures w14:val="none"/>
              </w:rPr>
              <w:br/>
              <w:t>Titles and abstracts screened: n = 374</w:t>
            </w:r>
            <w:r w:rsidRPr="00F06601">
              <w:rPr>
                <w:rFonts w:ascii="Arial" w:eastAsia="MS Mincho" w:hAnsi="Arial" w:cs="Arial"/>
                <w:kern w:val="0"/>
                <w:lang w:val="en-US"/>
                <w14:ligatures w14:val="none"/>
              </w:rPr>
              <w:br/>
              <w:t>Records excluded (not related to α-synuclein or PTMs): n = 276</w:t>
            </w:r>
          </w:p>
        </w:tc>
      </w:tr>
      <w:tr w:rsidR="00E70E39" w:rsidRPr="00F06601" w14:paraId="1E5BCAB6" w14:textId="77777777" w:rsidTr="00B4786F">
        <w:trPr>
          <w:trHeight w:val="1124"/>
        </w:trPr>
        <w:tc>
          <w:tcPr>
            <w:tcW w:w="2943" w:type="dxa"/>
          </w:tcPr>
          <w:p w14:paraId="0DF19A4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Eligibility</w:t>
            </w:r>
          </w:p>
        </w:tc>
        <w:tc>
          <w:tcPr>
            <w:tcW w:w="6223" w:type="dxa"/>
          </w:tcPr>
          <w:p w14:paraId="08B8387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Full-text articles assessed for eligibility: n = 98</w:t>
            </w:r>
            <w:r w:rsidRPr="00F06601">
              <w:rPr>
                <w:rFonts w:ascii="Arial" w:eastAsia="MS Mincho" w:hAnsi="Arial" w:cs="Arial"/>
                <w:kern w:val="0"/>
                <w:lang w:val="en-US"/>
                <w14:ligatures w14:val="none"/>
              </w:rPr>
              <w:br/>
              <w:t>Excluded with reasons (no aggregation data, review only, or unclear modification site): n = 54</w:t>
            </w:r>
          </w:p>
        </w:tc>
      </w:tr>
      <w:tr w:rsidR="00E70E39" w:rsidRPr="00F06601" w14:paraId="5AA67060" w14:textId="77777777" w:rsidTr="00B4786F">
        <w:trPr>
          <w:trHeight w:val="1428"/>
        </w:trPr>
        <w:tc>
          <w:tcPr>
            <w:tcW w:w="2943" w:type="dxa"/>
          </w:tcPr>
          <w:p w14:paraId="427C5D8B"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lastRenderedPageBreak/>
              <w:t>Included</w:t>
            </w:r>
          </w:p>
        </w:tc>
        <w:tc>
          <w:tcPr>
            <w:tcW w:w="6223" w:type="dxa"/>
          </w:tcPr>
          <w:p w14:paraId="381D648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Studies included in qualitative synthesis (systematic mini-review): n = 44</w:t>
            </w:r>
            <w:r w:rsidRPr="00F06601">
              <w:rPr>
                <w:rFonts w:ascii="Arial" w:eastAsia="MS Mincho" w:hAnsi="Arial" w:cs="Arial"/>
                <w:kern w:val="0"/>
                <w:lang w:val="en-US"/>
                <w14:ligatures w14:val="none"/>
              </w:rPr>
              <w:br/>
              <w:t>Quantitative synthesis (meta-analysis): Not applicable (mechanistic synthesis only)</w:t>
            </w:r>
          </w:p>
        </w:tc>
      </w:tr>
    </w:tbl>
    <w:p w14:paraId="3AC3EF4B" w14:textId="77777777" w:rsidR="006A6989" w:rsidRPr="00F06601" w:rsidRDefault="006A6989" w:rsidP="00E70E39">
      <w:pPr>
        <w:keepNext/>
        <w:keepLines/>
        <w:spacing w:before="200" w:after="0" w:line="276" w:lineRule="auto"/>
        <w:outlineLvl w:val="1"/>
        <w:rPr>
          <w:rFonts w:ascii="Arial" w:eastAsia="MS Gothic" w:hAnsi="Arial" w:cs="Arial"/>
          <w:b/>
          <w:bCs/>
          <w:color w:val="1F3864" w:themeColor="accent1" w:themeShade="80"/>
          <w:kern w:val="0"/>
          <w:lang w:val="en-US"/>
          <w14:ligatures w14:val="none"/>
        </w:rPr>
      </w:pPr>
    </w:p>
    <w:p w14:paraId="1C0B1D63" w14:textId="0062357F" w:rsidR="00B4786F" w:rsidRDefault="00827009" w:rsidP="00364816">
      <w:pPr>
        <w:keepNext/>
        <w:keepLines/>
        <w:spacing w:before="200" w:after="0" w:line="276" w:lineRule="auto"/>
        <w:ind w:left="360"/>
        <w:outlineLvl w:val="1"/>
        <w:rPr>
          <w:rFonts w:ascii="Arial" w:eastAsia="MS Gothic" w:hAnsi="Arial" w:cs="Arial"/>
          <w:b/>
          <w:bCs/>
          <w:kern w:val="0"/>
          <w:lang w:val="en-US"/>
          <w14:ligatures w14:val="none"/>
        </w:rPr>
      </w:pPr>
      <w:r>
        <w:rPr>
          <w:rFonts w:ascii="Arial" w:eastAsia="MS Gothic" w:hAnsi="Arial" w:cs="Arial"/>
          <w:b/>
          <w:bCs/>
          <w:kern w:val="0"/>
          <w:lang w:val="en-US"/>
          <w14:ligatures w14:val="none"/>
        </w:rPr>
        <w:t xml:space="preserve">TABLE 3. </w:t>
      </w:r>
      <w:r w:rsidR="00E70E39" w:rsidRPr="00F06601">
        <w:rPr>
          <w:rFonts w:ascii="Arial" w:eastAsia="MS Gothic" w:hAnsi="Arial" w:cs="Arial"/>
          <w:b/>
          <w:bCs/>
          <w:kern w:val="0"/>
          <w:lang w:val="en-US"/>
          <w14:ligatures w14:val="none"/>
        </w:rPr>
        <w:t>PRISMA Components Table (Detailed Summary)</w:t>
      </w:r>
    </w:p>
    <w:p w14:paraId="71732C4A" w14:textId="77777777" w:rsidR="00B4786F" w:rsidRPr="00F06601" w:rsidRDefault="00B4786F" w:rsidP="00B4786F">
      <w:pPr>
        <w:keepNext/>
        <w:keepLines/>
        <w:spacing w:before="200" w:after="0" w:line="276" w:lineRule="auto"/>
        <w:outlineLvl w:val="1"/>
        <w:rPr>
          <w:rFonts w:ascii="Arial" w:eastAsia="MS Gothic" w:hAnsi="Arial" w:cs="Arial"/>
          <w:b/>
          <w:bCs/>
          <w:color w:val="1F3864" w:themeColor="accent1" w:themeShade="80"/>
          <w:kern w:val="0"/>
          <w:lang w:val="en-US"/>
          <w14:ligatures w14:val="none"/>
        </w:rPr>
      </w:pPr>
    </w:p>
    <w:tbl>
      <w:tblPr>
        <w:tblStyle w:val="TableGridLight1"/>
        <w:tblpPr w:leftFromText="180" w:rightFromText="180" w:vertAnchor="text" w:horzAnchor="margin" w:tblpY="233"/>
        <w:tblW w:w="9251" w:type="dxa"/>
        <w:tblLook w:val="04A0" w:firstRow="1" w:lastRow="0" w:firstColumn="1" w:lastColumn="0" w:noHBand="0" w:noVBand="1"/>
      </w:tblPr>
      <w:tblGrid>
        <w:gridCol w:w="2972"/>
        <w:gridCol w:w="6279"/>
      </w:tblGrid>
      <w:tr w:rsidR="00E70E39" w:rsidRPr="00F06601" w14:paraId="64D2D5A1" w14:textId="77777777" w:rsidTr="00B4786F">
        <w:trPr>
          <w:trHeight w:val="466"/>
        </w:trPr>
        <w:tc>
          <w:tcPr>
            <w:tcW w:w="2972" w:type="dxa"/>
          </w:tcPr>
          <w:p w14:paraId="6A76FE1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Section</w:t>
            </w:r>
          </w:p>
        </w:tc>
        <w:tc>
          <w:tcPr>
            <w:tcW w:w="6279" w:type="dxa"/>
          </w:tcPr>
          <w:p w14:paraId="71FF28F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Details</w:t>
            </w:r>
          </w:p>
        </w:tc>
      </w:tr>
      <w:tr w:rsidR="00E70E39" w:rsidRPr="00F06601" w14:paraId="21E545B9" w14:textId="77777777" w:rsidTr="00B4786F">
        <w:trPr>
          <w:trHeight w:val="1334"/>
        </w:trPr>
        <w:tc>
          <w:tcPr>
            <w:tcW w:w="2972" w:type="dxa"/>
          </w:tcPr>
          <w:p w14:paraId="075A7C4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Title</w:t>
            </w:r>
          </w:p>
        </w:tc>
        <w:tc>
          <w:tcPr>
            <w:tcW w:w="6279" w:type="dxa"/>
          </w:tcPr>
          <w:p w14:paraId="355F3E49"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Post-Translational Modifications of α-Synuclein and Their Impact on Aggregation Propensity: A Systematic Mini-Review</w:t>
            </w:r>
          </w:p>
        </w:tc>
      </w:tr>
      <w:tr w:rsidR="00E70E39" w:rsidRPr="00F06601" w14:paraId="5DEF30AD" w14:textId="77777777" w:rsidTr="00B4786F">
        <w:trPr>
          <w:trHeight w:val="563"/>
        </w:trPr>
        <w:tc>
          <w:tcPr>
            <w:tcW w:w="2972" w:type="dxa"/>
          </w:tcPr>
          <w:p w14:paraId="73B07D7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Objective</w:t>
            </w:r>
          </w:p>
        </w:tc>
        <w:tc>
          <w:tcPr>
            <w:tcW w:w="6279" w:type="dxa"/>
          </w:tcPr>
          <w:p w14:paraId="54C9D4A2"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To synthesize evidence on how specific PTMs modulate α-synuclein’s aggregation kinetics and conformational stability in Parkinson’s disease and related disorders.</w:t>
            </w:r>
          </w:p>
        </w:tc>
      </w:tr>
      <w:tr w:rsidR="00E70E39" w:rsidRPr="00F06601" w14:paraId="1A185B81" w14:textId="77777777" w:rsidTr="00B4786F">
        <w:trPr>
          <w:trHeight w:val="129"/>
        </w:trPr>
        <w:tc>
          <w:tcPr>
            <w:tcW w:w="2972" w:type="dxa"/>
          </w:tcPr>
          <w:p w14:paraId="3C2B5748"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Eligibility Criteria</w:t>
            </w:r>
          </w:p>
        </w:tc>
        <w:tc>
          <w:tcPr>
            <w:tcW w:w="6279" w:type="dxa"/>
          </w:tcPr>
          <w:p w14:paraId="65C0375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Experimental studies reporting PTMs of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xml:space="preserve"> with measurable aggregation or solubility outcomes; English language; published 2010–2024.</w:t>
            </w:r>
          </w:p>
        </w:tc>
      </w:tr>
      <w:tr w:rsidR="00E70E39" w:rsidRPr="00F06601" w14:paraId="2EEA863F" w14:textId="77777777" w:rsidTr="00B4786F">
        <w:trPr>
          <w:trHeight w:val="129"/>
        </w:trPr>
        <w:tc>
          <w:tcPr>
            <w:tcW w:w="2972" w:type="dxa"/>
          </w:tcPr>
          <w:p w14:paraId="337B153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Information Sources</w:t>
            </w:r>
          </w:p>
        </w:tc>
        <w:tc>
          <w:tcPr>
            <w:tcW w:w="6279" w:type="dxa"/>
          </w:tcPr>
          <w:p w14:paraId="13EAB9E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PubMed, Scopus, Web of Science (final search June 2024); manual searches of cited references.</w:t>
            </w:r>
          </w:p>
        </w:tc>
      </w:tr>
      <w:tr w:rsidR="00E70E39" w:rsidRPr="00F06601" w14:paraId="7467233D" w14:textId="77777777" w:rsidTr="00B4786F">
        <w:trPr>
          <w:trHeight w:val="129"/>
        </w:trPr>
        <w:tc>
          <w:tcPr>
            <w:tcW w:w="2972" w:type="dxa"/>
          </w:tcPr>
          <w:p w14:paraId="762CE29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Search Strategy</w:t>
            </w:r>
          </w:p>
        </w:tc>
        <w:tc>
          <w:tcPr>
            <w:tcW w:w="6279" w:type="dxa"/>
          </w:tcPr>
          <w:p w14:paraId="32FECF6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('α-synuclein' OR 'alpha-synuclein') AND ('post-translational modification' OR 'phosphorylation' OR 'ubiquitination' OR 'acetylation' OR 'nitration' OR 'SUMOylation' OR 'truncation') AND ('aggregation' OR 'fibrillation' OR 'Parkinson’s disease').</w:t>
            </w:r>
          </w:p>
        </w:tc>
      </w:tr>
      <w:tr w:rsidR="00E70E39" w:rsidRPr="00F06601" w14:paraId="298DC7BF" w14:textId="77777777" w:rsidTr="00B4786F">
        <w:trPr>
          <w:trHeight w:val="129"/>
        </w:trPr>
        <w:tc>
          <w:tcPr>
            <w:tcW w:w="2972" w:type="dxa"/>
          </w:tcPr>
          <w:p w14:paraId="33BFDB4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Selection Process</w:t>
            </w:r>
          </w:p>
        </w:tc>
        <w:tc>
          <w:tcPr>
            <w:tcW w:w="6279" w:type="dxa"/>
          </w:tcPr>
          <w:p w14:paraId="624C70BC"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Independent screening of abstracts and full-texts; disagreements resolved by consensus.</w:t>
            </w:r>
          </w:p>
        </w:tc>
      </w:tr>
      <w:tr w:rsidR="00E70E39" w:rsidRPr="00F06601" w14:paraId="2623C1F0" w14:textId="77777777" w:rsidTr="00B4786F">
        <w:trPr>
          <w:trHeight w:val="129"/>
        </w:trPr>
        <w:tc>
          <w:tcPr>
            <w:tcW w:w="2972" w:type="dxa"/>
          </w:tcPr>
          <w:p w14:paraId="3F34AFFF"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Data Collection Process</w:t>
            </w:r>
          </w:p>
        </w:tc>
        <w:tc>
          <w:tcPr>
            <w:tcW w:w="6279" w:type="dxa"/>
          </w:tcPr>
          <w:p w14:paraId="635099A9"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Extraction of PTM site, modification enzyme, experimental model, aggregation outcome, and interpretation (inhibitory, neutral, or promoting).</w:t>
            </w:r>
          </w:p>
        </w:tc>
      </w:tr>
      <w:tr w:rsidR="00E70E39" w:rsidRPr="00F06601" w14:paraId="5EE1A5F6" w14:textId="77777777" w:rsidTr="00B4786F">
        <w:trPr>
          <w:trHeight w:val="129"/>
        </w:trPr>
        <w:tc>
          <w:tcPr>
            <w:tcW w:w="2972" w:type="dxa"/>
          </w:tcPr>
          <w:p w14:paraId="44D3C9FC"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Synthesis Method</w:t>
            </w:r>
          </w:p>
        </w:tc>
        <w:tc>
          <w:tcPr>
            <w:tcW w:w="6279" w:type="dxa"/>
          </w:tcPr>
          <w:p w14:paraId="0BF8B26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Qualitative descriptive synthesis; comparative trend analysis between PTM types; no quantitative meta-analysis due to methodological heterogeneity.</w:t>
            </w:r>
          </w:p>
        </w:tc>
      </w:tr>
      <w:tr w:rsidR="00E70E39" w:rsidRPr="00F06601" w14:paraId="3FFABF7D" w14:textId="77777777" w:rsidTr="00B4786F">
        <w:trPr>
          <w:trHeight w:val="129"/>
        </w:trPr>
        <w:tc>
          <w:tcPr>
            <w:tcW w:w="2972" w:type="dxa"/>
          </w:tcPr>
          <w:p w14:paraId="11A8A836"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Results Summary</w:t>
            </w:r>
          </w:p>
        </w:tc>
        <w:tc>
          <w:tcPr>
            <w:tcW w:w="6279" w:type="dxa"/>
          </w:tcPr>
          <w:p w14:paraId="0E49CAE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44 studies met inclusion criteria. Phosphorylation (esp. S129) was the most frequently studied PTM, generally </w:t>
            </w:r>
            <w:r w:rsidRPr="00F06601">
              <w:rPr>
                <w:rFonts w:ascii="Arial" w:eastAsia="MS Mincho" w:hAnsi="Arial" w:cs="Arial"/>
                <w:kern w:val="0"/>
                <w:lang w:val="en-US"/>
                <w14:ligatures w14:val="none"/>
              </w:rPr>
              <w:lastRenderedPageBreak/>
              <w:t>associated with inhibited fibrillation in vitro but enhanced pathology in vivo. Truncation and nitration consistently promoted aggregation.</w:t>
            </w:r>
          </w:p>
        </w:tc>
      </w:tr>
      <w:tr w:rsidR="00E70E39" w:rsidRPr="00F06601" w14:paraId="5B0C9A12" w14:textId="77777777" w:rsidTr="00B4786F">
        <w:trPr>
          <w:trHeight w:val="1040"/>
        </w:trPr>
        <w:tc>
          <w:tcPr>
            <w:tcW w:w="2972" w:type="dxa"/>
          </w:tcPr>
          <w:p w14:paraId="1190ECA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lastRenderedPageBreak/>
              <w:t>Limitations</w:t>
            </w:r>
          </w:p>
        </w:tc>
        <w:tc>
          <w:tcPr>
            <w:tcW w:w="6279" w:type="dxa"/>
          </w:tcPr>
          <w:p w14:paraId="7FD2F4F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Lack of standardized assays, incomplete structural data for multi-PTM species, limited in vivo validation.</w:t>
            </w:r>
          </w:p>
        </w:tc>
      </w:tr>
      <w:tr w:rsidR="00E70E39" w:rsidRPr="00F06601" w14:paraId="1903198A" w14:textId="77777777" w:rsidTr="00B4786F">
        <w:trPr>
          <w:trHeight w:val="1323"/>
        </w:trPr>
        <w:tc>
          <w:tcPr>
            <w:tcW w:w="2972" w:type="dxa"/>
          </w:tcPr>
          <w:p w14:paraId="0D7F859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Conclusions</w:t>
            </w:r>
          </w:p>
        </w:tc>
        <w:tc>
          <w:tcPr>
            <w:tcW w:w="6279" w:type="dxa"/>
          </w:tcPr>
          <w:p w14:paraId="7034147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PTMs define α-synuclein’s structural ensemble and disease behavior; targeting these modifications offers diagnostic and therapeutic potential.</w:t>
            </w:r>
          </w:p>
        </w:tc>
      </w:tr>
    </w:tbl>
    <w:p w14:paraId="26F78F09" w14:textId="77777777" w:rsidR="00E70E39" w:rsidRPr="00F06601" w:rsidRDefault="00E70E39" w:rsidP="00E70E39">
      <w:pPr>
        <w:rPr>
          <w:rFonts w:ascii="Arial" w:hAnsi="Arial" w:cs="Arial"/>
        </w:rPr>
      </w:pPr>
    </w:p>
    <w:p w14:paraId="46936D06" w14:textId="77777777" w:rsidR="004F24FA" w:rsidRPr="006A6989" w:rsidRDefault="004F24FA" w:rsidP="004F24FA">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6A6989">
        <w:rPr>
          <w:rFonts w:ascii="Arial" w:eastAsia="Times New Roman" w:hAnsi="Arial" w:cs="Arial"/>
          <w:b/>
          <w:bCs/>
          <w:kern w:val="0"/>
          <w:sz w:val="22"/>
          <w:szCs w:val="22"/>
          <w:lang w:eastAsia="en-IN"/>
          <w14:ligatures w14:val="none"/>
        </w:rPr>
        <w:t xml:space="preserve">8. </w:t>
      </w:r>
      <w:bookmarkStart w:id="3" w:name="_GoBack"/>
      <w:r w:rsidRPr="006A6989">
        <w:rPr>
          <w:rFonts w:ascii="Arial" w:eastAsia="Times New Roman" w:hAnsi="Arial" w:cs="Arial"/>
          <w:b/>
          <w:bCs/>
          <w:kern w:val="0"/>
          <w:sz w:val="22"/>
          <w:szCs w:val="22"/>
          <w:lang w:eastAsia="en-IN"/>
          <w14:ligatures w14:val="none"/>
        </w:rPr>
        <w:t>Conclusion</w:t>
      </w:r>
      <w:bookmarkEnd w:id="3"/>
    </w:p>
    <w:p w14:paraId="20CA47CA" w14:textId="77777777" w:rsidR="004F24FA" w:rsidRPr="006A6989"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Post-translational modifications act as critical molecular regulators that determine α-synuclein’s folding state, aggregation kinetics, and cytotoxic potential. Modifications such as phosphorylation, ubiquitination, nitration, acetylation, SUMOylation, truncation, and oxidation each exert unique structural and functional effects—either preserving solubility or promoting pathogenic aggregation.</w:t>
      </w:r>
    </w:p>
    <w:p w14:paraId="0B30C43D" w14:textId="77777777" w:rsidR="004F24FA" w:rsidRPr="006A6989"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 xml:space="preserve">Deciphering how these modifications interact and influence one another provides a framework for precision diagnostics and targeted therapeutic development in Parkinson’s disease and related </w:t>
      </w:r>
      <w:proofErr w:type="spellStart"/>
      <w:r w:rsidRPr="006A6989">
        <w:rPr>
          <w:rFonts w:ascii="Arial" w:eastAsia="Times New Roman" w:hAnsi="Arial" w:cs="Arial"/>
          <w:kern w:val="0"/>
          <w:sz w:val="20"/>
          <w:szCs w:val="20"/>
          <w:lang w:eastAsia="en-IN"/>
          <w14:ligatures w14:val="none"/>
        </w:rPr>
        <w:t>synucleinopathies</w:t>
      </w:r>
      <w:proofErr w:type="spellEnd"/>
      <w:r w:rsidRPr="006A6989">
        <w:rPr>
          <w:rFonts w:ascii="Arial" w:eastAsia="Times New Roman" w:hAnsi="Arial" w:cs="Arial"/>
          <w:kern w:val="0"/>
          <w:sz w:val="20"/>
          <w:szCs w:val="20"/>
          <w:lang w:eastAsia="en-IN"/>
          <w14:ligatures w14:val="none"/>
        </w:rPr>
        <w:t>. A comprehensive understanding of the α-synuclein PTM network will not only elucidate disease mechanisms but also open new avenues for biomarker discovery and intervention strategies aimed at halting or reversing neurodegeneration.</w:t>
      </w:r>
    </w:p>
    <w:p w14:paraId="30E8F49C" w14:textId="7831C335" w:rsidR="00C27AC5" w:rsidRPr="004B3AC8" w:rsidRDefault="004F24FA" w:rsidP="004B3AC8">
      <w:pPr>
        <w:spacing w:line="360" w:lineRule="auto"/>
        <w:jc w:val="both"/>
        <w:rPr>
          <w:rFonts w:ascii="Arial" w:hAnsi="Arial" w:cs="Arial"/>
          <w:sz w:val="20"/>
          <w:szCs w:val="20"/>
        </w:rPr>
      </w:pPr>
      <w:r w:rsidRPr="006A6989">
        <w:rPr>
          <w:rFonts w:ascii="Arial" w:hAnsi="Arial" w:cs="Arial"/>
          <w:sz w:val="20"/>
          <w:szCs w:val="20"/>
        </w:rPr>
        <w:t xml:space="preserve">Notably, the review consolidates evidence from multiple experimental paradigms to propose a cohesive model in which α-synuclein–driven pathology emerges from dynamic and context-specific interactions among PTMs rather than from singular molecular alterations. By bridging residue-level mechanistic insights with translational and clinical observations, the study elucidates the functional significance of PTM diversity in disease onset and progression. This integrative approach enhances conceptual clarity, highlights existing knowledge gaps, and outlines key priorities required to advance PTM-based biomarkers and targeted therapeutic strategies for </w:t>
      </w:r>
      <w:proofErr w:type="spellStart"/>
      <w:r w:rsidRPr="006A6989">
        <w:rPr>
          <w:rFonts w:ascii="Arial" w:hAnsi="Arial" w:cs="Arial"/>
          <w:sz w:val="20"/>
          <w:szCs w:val="20"/>
        </w:rPr>
        <w:t>synucleinopathies</w:t>
      </w:r>
      <w:proofErr w:type="spellEnd"/>
      <w:r w:rsidRPr="006A6989">
        <w:rPr>
          <w:rFonts w:ascii="Arial" w:hAnsi="Arial" w:cs="Arial"/>
          <w:sz w:val="20"/>
          <w:szCs w:val="20"/>
        </w:rPr>
        <w:t>.</w:t>
      </w:r>
    </w:p>
    <w:p w14:paraId="57D47DB7" w14:textId="77777777" w:rsidR="007C469B" w:rsidRPr="004B3AC8" w:rsidRDefault="007C469B" w:rsidP="007C469B">
      <w:pPr>
        <w:pStyle w:val="ListParagraph"/>
        <w:rPr>
          <w:rFonts w:ascii="Arial" w:hAnsi="Arial" w:cs="Arial"/>
          <w:b/>
          <w:bCs/>
          <w:sz w:val="22"/>
          <w:szCs w:val="22"/>
        </w:rPr>
      </w:pPr>
    </w:p>
    <w:p w14:paraId="52AC0979" w14:textId="77777777" w:rsidR="004B3AC8" w:rsidRDefault="004B3AC8" w:rsidP="004B3AC8">
      <w:pPr>
        <w:rPr>
          <w:rFonts w:ascii="Times New Roman" w:hAnsi="Times New Roman" w:cs="Times New Roman"/>
          <w:b/>
          <w:bCs/>
          <w:sz w:val="28"/>
          <w:szCs w:val="28"/>
        </w:rPr>
      </w:pPr>
    </w:p>
    <w:p w14:paraId="325AF8CA" w14:textId="77777777" w:rsidR="004B3AC8" w:rsidRDefault="004B3AC8" w:rsidP="004B3AC8">
      <w:pPr>
        <w:rPr>
          <w:rFonts w:ascii="Times New Roman" w:hAnsi="Times New Roman" w:cs="Times New Roman"/>
          <w:b/>
          <w:bCs/>
          <w:sz w:val="28"/>
          <w:szCs w:val="28"/>
        </w:rPr>
      </w:pPr>
    </w:p>
    <w:p w14:paraId="17B577E7" w14:textId="77777777" w:rsidR="00CE398A" w:rsidRPr="004B3AC8" w:rsidRDefault="00CE398A" w:rsidP="00CE398A">
      <w:pPr>
        <w:rPr>
          <w:rFonts w:ascii="Arial" w:hAnsi="Arial" w:cs="Arial"/>
          <w:b/>
          <w:bCs/>
          <w:sz w:val="22"/>
          <w:szCs w:val="22"/>
        </w:rPr>
      </w:pPr>
      <w:commentRangeStart w:id="4"/>
      <w:r w:rsidRPr="004B3AC8">
        <w:rPr>
          <w:rFonts w:ascii="Arial" w:hAnsi="Arial" w:cs="Arial"/>
          <w:b/>
          <w:bCs/>
          <w:sz w:val="22"/>
          <w:szCs w:val="22"/>
        </w:rPr>
        <w:t>References</w:t>
      </w:r>
      <w:commentRangeEnd w:id="4"/>
      <w:r w:rsidR="00CC5594">
        <w:rPr>
          <w:rStyle w:val="CommentReference"/>
          <w:rtl/>
        </w:rPr>
        <w:commentReference w:id="4"/>
      </w:r>
    </w:p>
    <w:p w14:paraId="27C592EA"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Lashuel</w:t>
      </w:r>
      <w:proofErr w:type="spellEnd"/>
      <w:r w:rsidRPr="004B3AC8">
        <w:rPr>
          <w:rFonts w:ascii="Arial" w:hAnsi="Arial" w:cs="Arial"/>
          <w:sz w:val="22"/>
          <w:szCs w:val="22"/>
        </w:rPr>
        <w:t xml:space="preserve"> HA, </w:t>
      </w:r>
      <w:proofErr w:type="spellStart"/>
      <w:r w:rsidRPr="004B3AC8">
        <w:rPr>
          <w:rFonts w:ascii="Arial" w:hAnsi="Arial" w:cs="Arial"/>
          <w:sz w:val="22"/>
          <w:szCs w:val="22"/>
        </w:rPr>
        <w:t>Overk</w:t>
      </w:r>
      <w:proofErr w:type="spellEnd"/>
      <w:r w:rsidRPr="004B3AC8">
        <w:rPr>
          <w:rFonts w:ascii="Arial" w:hAnsi="Arial" w:cs="Arial"/>
          <w:sz w:val="22"/>
          <w:szCs w:val="22"/>
        </w:rPr>
        <w:t xml:space="preserve"> CR, </w:t>
      </w:r>
      <w:proofErr w:type="spellStart"/>
      <w:r w:rsidRPr="004B3AC8">
        <w:rPr>
          <w:rFonts w:ascii="Arial" w:hAnsi="Arial" w:cs="Arial"/>
          <w:sz w:val="22"/>
          <w:szCs w:val="22"/>
        </w:rPr>
        <w:t>Oueslati</w:t>
      </w:r>
      <w:proofErr w:type="spellEnd"/>
      <w:r w:rsidRPr="004B3AC8">
        <w:rPr>
          <w:rFonts w:ascii="Arial" w:hAnsi="Arial" w:cs="Arial"/>
          <w:sz w:val="22"/>
          <w:szCs w:val="22"/>
        </w:rPr>
        <w:t xml:space="preserve"> A, </w:t>
      </w:r>
      <w:proofErr w:type="spellStart"/>
      <w:r w:rsidRPr="004B3AC8">
        <w:rPr>
          <w:rFonts w:ascii="Arial" w:hAnsi="Arial" w:cs="Arial"/>
          <w:sz w:val="22"/>
          <w:szCs w:val="22"/>
        </w:rPr>
        <w:t>Masliah</w:t>
      </w:r>
      <w:proofErr w:type="spellEnd"/>
      <w:r w:rsidRPr="004B3AC8">
        <w:rPr>
          <w:rFonts w:ascii="Arial" w:hAnsi="Arial" w:cs="Arial"/>
          <w:sz w:val="22"/>
          <w:szCs w:val="22"/>
        </w:rPr>
        <w:t xml:space="preserve"> E. The many faces of α-synuclein: From structure and toxicity to therapeutic target. Nat Rev </w:t>
      </w:r>
      <w:proofErr w:type="spellStart"/>
      <w:r w:rsidRPr="004B3AC8">
        <w:rPr>
          <w:rFonts w:ascii="Arial" w:hAnsi="Arial" w:cs="Arial"/>
          <w:sz w:val="22"/>
          <w:szCs w:val="22"/>
        </w:rPr>
        <w:t>Neurosci</w:t>
      </w:r>
      <w:proofErr w:type="spellEnd"/>
      <w:r w:rsidRPr="004B3AC8">
        <w:rPr>
          <w:rFonts w:ascii="Arial" w:hAnsi="Arial" w:cs="Arial"/>
          <w:sz w:val="22"/>
          <w:szCs w:val="22"/>
        </w:rPr>
        <w:t xml:space="preserve">. </w:t>
      </w:r>
      <w:proofErr w:type="gramStart"/>
      <w:r w:rsidRPr="004B3AC8">
        <w:rPr>
          <w:rFonts w:ascii="Arial" w:hAnsi="Arial" w:cs="Arial"/>
          <w:sz w:val="22"/>
          <w:szCs w:val="22"/>
        </w:rPr>
        <w:t>2013;14:38</w:t>
      </w:r>
      <w:proofErr w:type="gramEnd"/>
      <w:r w:rsidRPr="004B3AC8">
        <w:rPr>
          <w:rFonts w:ascii="Arial" w:hAnsi="Arial" w:cs="Arial"/>
          <w:sz w:val="22"/>
          <w:szCs w:val="22"/>
        </w:rPr>
        <w:t>–48.</w:t>
      </w:r>
    </w:p>
    <w:p w14:paraId="61A1E51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lastRenderedPageBreak/>
        <w:t>Bendor JT, Logan TP, Edwards RH. The function of α-synuclein. Neuron. 2013;79(6):1044–66.</w:t>
      </w:r>
    </w:p>
    <w:p w14:paraId="1ADF55A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Bartels T, Choi JG, </w:t>
      </w:r>
      <w:proofErr w:type="spellStart"/>
      <w:r w:rsidRPr="004B3AC8">
        <w:rPr>
          <w:rFonts w:ascii="Arial" w:hAnsi="Arial" w:cs="Arial"/>
          <w:sz w:val="22"/>
          <w:szCs w:val="22"/>
        </w:rPr>
        <w:t>Selkoe</w:t>
      </w:r>
      <w:proofErr w:type="spellEnd"/>
      <w:r w:rsidRPr="004B3AC8">
        <w:rPr>
          <w:rFonts w:ascii="Arial" w:hAnsi="Arial" w:cs="Arial"/>
          <w:sz w:val="22"/>
          <w:szCs w:val="22"/>
        </w:rPr>
        <w:t xml:space="preserve"> DJ. α-Synuclein occurs physiologically as a helically folded tetramer that resists aggregation. Nature. </w:t>
      </w:r>
      <w:proofErr w:type="gramStart"/>
      <w:r w:rsidRPr="004B3AC8">
        <w:rPr>
          <w:rFonts w:ascii="Arial" w:hAnsi="Arial" w:cs="Arial"/>
          <w:sz w:val="22"/>
          <w:szCs w:val="22"/>
        </w:rPr>
        <w:t>2011;477:107</w:t>
      </w:r>
      <w:proofErr w:type="gramEnd"/>
      <w:r w:rsidRPr="004B3AC8">
        <w:rPr>
          <w:rFonts w:ascii="Arial" w:hAnsi="Arial" w:cs="Arial"/>
          <w:sz w:val="22"/>
          <w:szCs w:val="22"/>
        </w:rPr>
        <w:t>–10.</w:t>
      </w:r>
    </w:p>
    <w:p w14:paraId="04E6233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Wang W, Perovic I, </w:t>
      </w:r>
      <w:proofErr w:type="spellStart"/>
      <w:r w:rsidRPr="004B3AC8">
        <w:rPr>
          <w:rFonts w:ascii="Arial" w:hAnsi="Arial" w:cs="Arial"/>
          <w:sz w:val="22"/>
          <w:szCs w:val="22"/>
        </w:rPr>
        <w:t>Chittuluru</w:t>
      </w:r>
      <w:proofErr w:type="spellEnd"/>
      <w:r w:rsidRPr="004B3AC8">
        <w:rPr>
          <w:rFonts w:ascii="Arial" w:hAnsi="Arial" w:cs="Arial"/>
          <w:sz w:val="22"/>
          <w:szCs w:val="22"/>
        </w:rPr>
        <w:t xml:space="preserve"> J, et al. A soluble α-synuclein construct forms a dynamic tetramer.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2011;108(43):17797–802.</w:t>
      </w:r>
    </w:p>
    <w:p w14:paraId="0BE1C143"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Conway KA, Harper JD, Lansbury PT Jr. Fibrils formed in vitro from α-synuclein and two mutant forms linked to Parkinson’s disease are typical amyloid. Biochemistry. 2000;39(10):2552–62.</w:t>
      </w:r>
    </w:p>
    <w:p w14:paraId="6EBFD75E"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Spillantini</w:t>
      </w:r>
      <w:proofErr w:type="spellEnd"/>
      <w:r w:rsidRPr="004B3AC8">
        <w:rPr>
          <w:rFonts w:ascii="Arial" w:hAnsi="Arial" w:cs="Arial"/>
          <w:sz w:val="22"/>
          <w:szCs w:val="22"/>
        </w:rPr>
        <w:t xml:space="preserve"> MG, Schmidt ML, Lee VM-Y, et al. α-Synuclein in Lewy bodies. Nature. </w:t>
      </w:r>
      <w:proofErr w:type="gramStart"/>
      <w:r w:rsidRPr="004B3AC8">
        <w:rPr>
          <w:rFonts w:ascii="Arial" w:hAnsi="Arial" w:cs="Arial"/>
          <w:sz w:val="22"/>
          <w:szCs w:val="22"/>
        </w:rPr>
        <w:t>1997;388:839</w:t>
      </w:r>
      <w:proofErr w:type="gramEnd"/>
      <w:r w:rsidRPr="004B3AC8">
        <w:rPr>
          <w:rFonts w:ascii="Arial" w:hAnsi="Arial" w:cs="Arial"/>
          <w:sz w:val="22"/>
          <w:szCs w:val="22"/>
        </w:rPr>
        <w:t>–40.</w:t>
      </w:r>
    </w:p>
    <w:p w14:paraId="50B61B8C"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Polymeropoulos</w:t>
      </w:r>
      <w:proofErr w:type="spellEnd"/>
      <w:r w:rsidRPr="003E625B">
        <w:rPr>
          <w:rFonts w:ascii="Arial" w:hAnsi="Arial" w:cs="Arial"/>
          <w:sz w:val="22"/>
          <w:szCs w:val="22"/>
          <w:lang w:val="es-US"/>
        </w:rPr>
        <w:t xml:space="preserve"> MH, </w:t>
      </w:r>
      <w:proofErr w:type="spellStart"/>
      <w:r w:rsidRPr="003E625B">
        <w:rPr>
          <w:rFonts w:ascii="Arial" w:hAnsi="Arial" w:cs="Arial"/>
          <w:sz w:val="22"/>
          <w:szCs w:val="22"/>
          <w:lang w:val="es-US"/>
        </w:rPr>
        <w:t>Lavedan</w:t>
      </w:r>
      <w:proofErr w:type="spellEnd"/>
      <w:r w:rsidRPr="003E625B">
        <w:rPr>
          <w:rFonts w:ascii="Arial" w:hAnsi="Arial" w:cs="Arial"/>
          <w:sz w:val="22"/>
          <w:szCs w:val="22"/>
          <w:lang w:val="es-US"/>
        </w:rPr>
        <w:t xml:space="preserve"> C, Leroy E, et al. </w:t>
      </w:r>
      <w:r w:rsidRPr="004B3AC8">
        <w:rPr>
          <w:rFonts w:ascii="Arial" w:hAnsi="Arial" w:cs="Arial"/>
          <w:sz w:val="22"/>
          <w:szCs w:val="22"/>
        </w:rPr>
        <w:t xml:space="preserve">Mutation in the α-synuclein gene identified in families with Parkinson’s disease. Science. </w:t>
      </w:r>
      <w:proofErr w:type="gramStart"/>
      <w:r w:rsidRPr="004B3AC8">
        <w:rPr>
          <w:rFonts w:ascii="Arial" w:hAnsi="Arial" w:cs="Arial"/>
          <w:sz w:val="22"/>
          <w:szCs w:val="22"/>
        </w:rPr>
        <w:t>1997;276:2045</w:t>
      </w:r>
      <w:proofErr w:type="gramEnd"/>
      <w:r w:rsidRPr="004B3AC8">
        <w:rPr>
          <w:rFonts w:ascii="Arial" w:hAnsi="Arial" w:cs="Arial"/>
          <w:sz w:val="22"/>
          <w:szCs w:val="22"/>
        </w:rPr>
        <w:t>–7.</w:t>
      </w:r>
    </w:p>
    <w:p w14:paraId="754BA10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Zarranz JJ, Alegre J, Gómez-Esteban JC, et al. </w:t>
      </w:r>
      <w:r w:rsidRPr="004B3AC8">
        <w:rPr>
          <w:rFonts w:ascii="Arial" w:hAnsi="Arial" w:cs="Arial"/>
          <w:sz w:val="22"/>
          <w:szCs w:val="22"/>
        </w:rPr>
        <w:t xml:space="preserve">The new mutation, E46K, of alpha-synuclein causes Parkinson and Lewy body dementia. Ann Neurol. </w:t>
      </w:r>
      <w:proofErr w:type="gramStart"/>
      <w:r w:rsidRPr="004B3AC8">
        <w:rPr>
          <w:rFonts w:ascii="Arial" w:hAnsi="Arial" w:cs="Arial"/>
          <w:sz w:val="22"/>
          <w:szCs w:val="22"/>
        </w:rPr>
        <w:t>2004;55:164</w:t>
      </w:r>
      <w:proofErr w:type="gramEnd"/>
      <w:r w:rsidRPr="004B3AC8">
        <w:rPr>
          <w:rFonts w:ascii="Arial" w:hAnsi="Arial" w:cs="Arial"/>
          <w:sz w:val="22"/>
          <w:szCs w:val="22"/>
        </w:rPr>
        <w:t>–73.</w:t>
      </w:r>
    </w:p>
    <w:p w14:paraId="716C605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Beyer K, Ariza A. Alpha-synuclein posttranslational modification and alternative splicing as a trigger for neurodegeneration. Mol </w:t>
      </w:r>
      <w:proofErr w:type="spellStart"/>
      <w:r w:rsidRPr="004B3AC8">
        <w:rPr>
          <w:rFonts w:ascii="Arial" w:hAnsi="Arial" w:cs="Arial"/>
          <w:sz w:val="22"/>
          <w:szCs w:val="22"/>
        </w:rPr>
        <w:t>Neurobiol</w:t>
      </w:r>
      <w:proofErr w:type="spellEnd"/>
      <w:r w:rsidRPr="004B3AC8">
        <w:rPr>
          <w:rFonts w:ascii="Arial" w:hAnsi="Arial" w:cs="Arial"/>
          <w:sz w:val="22"/>
          <w:szCs w:val="22"/>
        </w:rPr>
        <w:t xml:space="preserve">. </w:t>
      </w:r>
      <w:proofErr w:type="gramStart"/>
      <w:r w:rsidRPr="004B3AC8">
        <w:rPr>
          <w:rFonts w:ascii="Arial" w:hAnsi="Arial" w:cs="Arial"/>
          <w:sz w:val="22"/>
          <w:szCs w:val="22"/>
        </w:rPr>
        <w:t>2013;47:509</w:t>
      </w:r>
      <w:proofErr w:type="gramEnd"/>
      <w:r w:rsidRPr="004B3AC8">
        <w:rPr>
          <w:rFonts w:ascii="Arial" w:hAnsi="Arial" w:cs="Arial"/>
          <w:sz w:val="22"/>
          <w:szCs w:val="22"/>
        </w:rPr>
        <w:t>–24.</w:t>
      </w:r>
    </w:p>
    <w:p w14:paraId="65B9578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Oueslati A. Implication of alpha-synuclein phosphorylation at S129 in </w:t>
      </w:r>
      <w:proofErr w:type="spellStart"/>
      <w:r w:rsidRPr="004B3AC8">
        <w:rPr>
          <w:rFonts w:ascii="Arial" w:hAnsi="Arial" w:cs="Arial"/>
          <w:sz w:val="22"/>
          <w:szCs w:val="22"/>
        </w:rPr>
        <w:t>synucleinopathies</w:t>
      </w:r>
      <w:proofErr w:type="spellEnd"/>
      <w:r w:rsidRPr="004B3AC8">
        <w:rPr>
          <w:rFonts w:ascii="Arial" w:hAnsi="Arial" w:cs="Arial"/>
          <w:sz w:val="22"/>
          <w:szCs w:val="22"/>
        </w:rPr>
        <w:t xml:space="preserve">: What have we learned in the last decade? J Parkinsons Dis. </w:t>
      </w:r>
      <w:proofErr w:type="gramStart"/>
      <w:r w:rsidRPr="004B3AC8">
        <w:rPr>
          <w:rFonts w:ascii="Arial" w:hAnsi="Arial" w:cs="Arial"/>
          <w:sz w:val="22"/>
          <w:szCs w:val="22"/>
        </w:rPr>
        <w:t>2016;6:39</w:t>
      </w:r>
      <w:proofErr w:type="gramEnd"/>
      <w:r w:rsidRPr="004B3AC8">
        <w:rPr>
          <w:rFonts w:ascii="Arial" w:hAnsi="Arial" w:cs="Arial"/>
          <w:sz w:val="22"/>
          <w:szCs w:val="22"/>
        </w:rPr>
        <w:t>–51.</w:t>
      </w:r>
    </w:p>
    <w:p w14:paraId="125EBE9E"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Burmann</w:t>
      </w:r>
      <w:proofErr w:type="spellEnd"/>
      <w:r w:rsidRPr="004B3AC8">
        <w:rPr>
          <w:rFonts w:ascii="Arial" w:hAnsi="Arial" w:cs="Arial"/>
          <w:sz w:val="22"/>
          <w:szCs w:val="22"/>
        </w:rPr>
        <w:t xml:space="preserve"> BM, </w:t>
      </w:r>
      <w:proofErr w:type="spellStart"/>
      <w:r w:rsidRPr="004B3AC8">
        <w:rPr>
          <w:rFonts w:ascii="Arial" w:hAnsi="Arial" w:cs="Arial"/>
          <w:sz w:val="22"/>
          <w:szCs w:val="22"/>
        </w:rPr>
        <w:t>Zweckstetter</w:t>
      </w:r>
      <w:proofErr w:type="spellEnd"/>
      <w:r w:rsidRPr="004B3AC8">
        <w:rPr>
          <w:rFonts w:ascii="Arial" w:hAnsi="Arial" w:cs="Arial"/>
          <w:sz w:val="22"/>
          <w:szCs w:val="22"/>
        </w:rPr>
        <w:t xml:space="preserve"> M. Alpha-synuclein structure and Parkinson’s disease—What we know and what we need to know. J </w:t>
      </w:r>
      <w:proofErr w:type="spellStart"/>
      <w:r w:rsidRPr="004B3AC8">
        <w:rPr>
          <w:rFonts w:ascii="Arial" w:hAnsi="Arial" w:cs="Arial"/>
          <w:sz w:val="22"/>
          <w:szCs w:val="22"/>
        </w:rPr>
        <w:t>Neurochem</w:t>
      </w:r>
      <w:proofErr w:type="spellEnd"/>
      <w:r w:rsidRPr="004B3AC8">
        <w:rPr>
          <w:rFonts w:ascii="Arial" w:hAnsi="Arial" w:cs="Arial"/>
          <w:sz w:val="22"/>
          <w:szCs w:val="22"/>
        </w:rPr>
        <w:t>. 2018;150(5):569–88.</w:t>
      </w:r>
    </w:p>
    <w:p w14:paraId="57C36334"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Ulmer TS, Bax A, Cole NB, Nussbaum RL. Structure and dynamics of micelle-bound human alpha-synuclein.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2005;280:9595</w:t>
      </w:r>
      <w:proofErr w:type="gramEnd"/>
      <w:r w:rsidRPr="004B3AC8">
        <w:rPr>
          <w:rFonts w:ascii="Arial" w:hAnsi="Arial" w:cs="Arial"/>
          <w:sz w:val="22"/>
          <w:szCs w:val="22"/>
        </w:rPr>
        <w:t>–603.</w:t>
      </w:r>
    </w:p>
    <w:p w14:paraId="7DC19761"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Fauvet</w:t>
      </w:r>
      <w:proofErr w:type="spellEnd"/>
      <w:r w:rsidRPr="004B3AC8">
        <w:rPr>
          <w:rFonts w:ascii="Arial" w:hAnsi="Arial" w:cs="Arial"/>
          <w:sz w:val="22"/>
          <w:szCs w:val="22"/>
        </w:rPr>
        <w:t xml:space="preserve"> B, </w:t>
      </w:r>
      <w:proofErr w:type="spellStart"/>
      <w:r w:rsidRPr="004B3AC8">
        <w:rPr>
          <w:rFonts w:ascii="Arial" w:hAnsi="Arial" w:cs="Arial"/>
          <w:sz w:val="22"/>
          <w:szCs w:val="22"/>
        </w:rPr>
        <w:t>Mbefo</w:t>
      </w:r>
      <w:proofErr w:type="spellEnd"/>
      <w:r w:rsidRPr="004B3AC8">
        <w:rPr>
          <w:rFonts w:ascii="Arial" w:hAnsi="Arial" w:cs="Arial"/>
          <w:sz w:val="22"/>
          <w:szCs w:val="22"/>
        </w:rPr>
        <w:t xml:space="preserve"> MK, Fares MB, et al. α-Synuclein exists predominantly as disordered monomer in mammalian cells and E. coli.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2012;287(19):15345–54.</w:t>
      </w:r>
    </w:p>
    <w:p w14:paraId="06D96E1C" w14:textId="77777777" w:rsidR="00CE398A" w:rsidRPr="004B3AC8" w:rsidRDefault="00CE398A" w:rsidP="00CE398A">
      <w:pPr>
        <w:pStyle w:val="ListParagraph"/>
        <w:numPr>
          <w:ilvl w:val="0"/>
          <w:numId w:val="7"/>
        </w:numPr>
        <w:rPr>
          <w:rFonts w:ascii="Arial" w:hAnsi="Arial" w:cs="Arial"/>
          <w:sz w:val="22"/>
          <w:szCs w:val="22"/>
        </w:rPr>
      </w:pPr>
      <w:proofErr w:type="spellStart"/>
      <w:r w:rsidRPr="004B3AC8">
        <w:rPr>
          <w:rFonts w:ascii="Arial" w:hAnsi="Arial" w:cs="Arial"/>
          <w:sz w:val="22"/>
          <w:szCs w:val="22"/>
        </w:rPr>
        <w:t>Burré</w:t>
      </w:r>
      <w:proofErr w:type="spellEnd"/>
      <w:r w:rsidRPr="004B3AC8">
        <w:rPr>
          <w:rFonts w:ascii="Arial" w:hAnsi="Arial" w:cs="Arial"/>
          <w:sz w:val="22"/>
          <w:szCs w:val="22"/>
        </w:rPr>
        <w:t xml:space="preserve">, J., Sharma, M., &amp; </w:t>
      </w:r>
      <w:proofErr w:type="spellStart"/>
      <w:r w:rsidRPr="004B3AC8">
        <w:rPr>
          <w:rFonts w:ascii="Arial" w:hAnsi="Arial" w:cs="Arial"/>
          <w:sz w:val="22"/>
          <w:szCs w:val="22"/>
        </w:rPr>
        <w:t>Südhof</w:t>
      </w:r>
      <w:proofErr w:type="spellEnd"/>
      <w:r w:rsidRPr="004B3AC8">
        <w:rPr>
          <w:rFonts w:ascii="Arial" w:hAnsi="Arial" w:cs="Arial"/>
          <w:sz w:val="22"/>
          <w:szCs w:val="22"/>
        </w:rPr>
        <w:t>, T. C. (2015). Definition of a molecular pathway mediating α-synuclein neurotoxicity. Science, 349(6251), 324–328.</w:t>
      </w:r>
    </w:p>
    <w:p w14:paraId="5E61E40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Fujiwara H, Hasegawa M, </w:t>
      </w:r>
      <w:proofErr w:type="spellStart"/>
      <w:r w:rsidRPr="004B3AC8">
        <w:rPr>
          <w:rFonts w:ascii="Arial" w:hAnsi="Arial" w:cs="Arial"/>
          <w:sz w:val="22"/>
          <w:szCs w:val="22"/>
        </w:rPr>
        <w:t>Dohmae</w:t>
      </w:r>
      <w:proofErr w:type="spellEnd"/>
      <w:r w:rsidRPr="004B3AC8">
        <w:rPr>
          <w:rFonts w:ascii="Arial" w:hAnsi="Arial" w:cs="Arial"/>
          <w:sz w:val="22"/>
          <w:szCs w:val="22"/>
        </w:rPr>
        <w:t xml:space="preserve"> N, et al. α-Synuclein is phosphorylated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Nat Cell Biol. </w:t>
      </w:r>
      <w:proofErr w:type="gramStart"/>
      <w:r w:rsidRPr="004B3AC8">
        <w:rPr>
          <w:rFonts w:ascii="Arial" w:hAnsi="Arial" w:cs="Arial"/>
          <w:sz w:val="22"/>
          <w:szCs w:val="22"/>
        </w:rPr>
        <w:t>2002;4:160</w:t>
      </w:r>
      <w:proofErr w:type="gramEnd"/>
      <w:r w:rsidRPr="004B3AC8">
        <w:rPr>
          <w:rFonts w:ascii="Arial" w:hAnsi="Arial" w:cs="Arial"/>
          <w:sz w:val="22"/>
          <w:szCs w:val="22"/>
        </w:rPr>
        <w:t>–4.</w:t>
      </w:r>
    </w:p>
    <w:p w14:paraId="6C76327D"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Anderson JP, Walker DE, Goldstein JM, et al. Phosphorylation of Ser-129 is the dominant pathological modification in Lewy body disease.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2006;281(40):29739–52.</w:t>
      </w:r>
    </w:p>
    <w:p w14:paraId="0D7BE3F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Okochi M, Walter J, Koyama A, et al. Constitutive phosphorylation of Parkinson’s disease–associated α-synuclein.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2000;275:390</w:t>
      </w:r>
      <w:proofErr w:type="gramEnd"/>
      <w:r w:rsidRPr="004B3AC8">
        <w:rPr>
          <w:rFonts w:ascii="Arial" w:hAnsi="Arial" w:cs="Arial"/>
          <w:sz w:val="22"/>
          <w:szCs w:val="22"/>
        </w:rPr>
        <w:t>–7.</w:t>
      </w:r>
    </w:p>
    <w:p w14:paraId="64E54CA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Inglis KJ, </w:t>
      </w:r>
      <w:proofErr w:type="spellStart"/>
      <w:r w:rsidRPr="004B3AC8">
        <w:rPr>
          <w:rFonts w:ascii="Arial" w:hAnsi="Arial" w:cs="Arial"/>
          <w:sz w:val="22"/>
          <w:szCs w:val="22"/>
        </w:rPr>
        <w:t>Chereau</w:t>
      </w:r>
      <w:proofErr w:type="spellEnd"/>
      <w:r w:rsidRPr="004B3AC8">
        <w:rPr>
          <w:rFonts w:ascii="Arial" w:hAnsi="Arial" w:cs="Arial"/>
          <w:sz w:val="22"/>
          <w:szCs w:val="22"/>
        </w:rPr>
        <w:t xml:space="preserve"> D, Brigham EF, et al. Polo-like kinase 2 phosphorylates α-synuclein and targets it for proteasomal degradation.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2009;284(38):25980–8.</w:t>
      </w:r>
    </w:p>
    <w:p w14:paraId="4BB9846B"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Paleologou</w:t>
      </w:r>
      <w:proofErr w:type="spellEnd"/>
      <w:r w:rsidRPr="004B3AC8">
        <w:rPr>
          <w:rFonts w:ascii="Arial" w:hAnsi="Arial" w:cs="Arial"/>
          <w:sz w:val="22"/>
          <w:szCs w:val="22"/>
        </w:rPr>
        <w:t xml:space="preserve"> KE, </w:t>
      </w:r>
      <w:proofErr w:type="spellStart"/>
      <w:r w:rsidRPr="004B3AC8">
        <w:rPr>
          <w:rFonts w:ascii="Arial" w:hAnsi="Arial" w:cs="Arial"/>
          <w:sz w:val="22"/>
          <w:szCs w:val="22"/>
        </w:rPr>
        <w:t>Oueslati</w:t>
      </w:r>
      <w:proofErr w:type="spellEnd"/>
      <w:r w:rsidRPr="004B3AC8">
        <w:rPr>
          <w:rFonts w:ascii="Arial" w:hAnsi="Arial" w:cs="Arial"/>
          <w:sz w:val="22"/>
          <w:szCs w:val="22"/>
        </w:rPr>
        <w:t xml:space="preserve"> A, </w:t>
      </w:r>
      <w:proofErr w:type="spellStart"/>
      <w:r w:rsidRPr="004B3AC8">
        <w:rPr>
          <w:rFonts w:ascii="Arial" w:hAnsi="Arial" w:cs="Arial"/>
          <w:sz w:val="22"/>
          <w:szCs w:val="22"/>
        </w:rPr>
        <w:t>Shakked</w:t>
      </w:r>
      <w:proofErr w:type="spellEnd"/>
      <w:r w:rsidRPr="004B3AC8">
        <w:rPr>
          <w:rFonts w:ascii="Arial" w:hAnsi="Arial" w:cs="Arial"/>
          <w:sz w:val="22"/>
          <w:szCs w:val="22"/>
        </w:rPr>
        <w:t xml:space="preserve"> G, et al. Phosphorylation at S87 inhibits α-synuclein aggregation and toxicity.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2010;285(7):419–30.</w:t>
      </w:r>
    </w:p>
    <w:p w14:paraId="2719E519" w14:textId="77777777" w:rsidR="00CE398A" w:rsidRPr="004B3AC8" w:rsidRDefault="00CE398A" w:rsidP="00CE398A">
      <w:pPr>
        <w:pStyle w:val="ListParagraph"/>
        <w:numPr>
          <w:ilvl w:val="0"/>
          <w:numId w:val="7"/>
        </w:numPr>
        <w:rPr>
          <w:rFonts w:ascii="Arial" w:hAnsi="Arial" w:cs="Arial"/>
          <w:sz w:val="22"/>
          <w:szCs w:val="22"/>
        </w:rPr>
      </w:pPr>
      <w:r w:rsidRPr="004B3AC8">
        <w:rPr>
          <w:rFonts w:ascii="Arial" w:hAnsi="Arial" w:cs="Arial"/>
          <w:sz w:val="22"/>
          <w:szCs w:val="22"/>
        </w:rPr>
        <w:t xml:space="preserve">Karampetsou, M., </w:t>
      </w:r>
      <w:proofErr w:type="spellStart"/>
      <w:r w:rsidRPr="004B3AC8">
        <w:rPr>
          <w:rFonts w:ascii="Arial" w:hAnsi="Arial" w:cs="Arial"/>
          <w:sz w:val="22"/>
          <w:szCs w:val="22"/>
        </w:rPr>
        <w:t>Ardah</w:t>
      </w:r>
      <w:proofErr w:type="spellEnd"/>
      <w:r w:rsidRPr="004B3AC8">
        <w:rPr>
          <w:rFonts w:ascii="Arial" w:hAnsi="Arial" w:cs="Arial"/>
          <w:sz w:val="22"/>
          <w:szCs w:val="22"/>
        </w:rPr>
        <w:t xml:space="preserve">, M. T., </w:t>
      </w:r>
      <w:proofErr w:type="spellStart"/>
      <w:r w:rsidRPr="004B3AC8">
        <w:rPr>
          <w:rFonts w:ascii="Arial" w:hAnsi="Arial" w:cs="Arial"/>
          <w:sz w:val="22"/>
          <w:szCs w:val="22"/>
        </w:rPr>
        <w:t>Semitekolou</w:t>
      </w:r>
      <w:proofErr w:type="spellEnd"/>
      <w:r w:rsidRPr="004B3AC8">
        <w:rPr>
          <w:rFonts w:ascii="Arial" w:hAnsi="Arial" w:cs="Arial"/>
          <w:sz w:val="22"/>
          <w:szCs w:val="22"/>
        </w:rPr>
        <w:t xml:space="preserve">, M., Politis, P. K., Akinosoglou, K., </w:t>
      </w:r>
      <w:proofErr w:type="spellStart"/>
      <w:r w:rsidRPr="004B3AC8">
        <w:rPr>
          <w:rFonts w:ascii="Arial" w:hAnsi="Arial" w:cs="Arial"/>
          <w:sz w:val="22"/>
          <w:szCs w:val="22"/>
        </w:rPr>
        <w:t>Vekrellis</w:t>
      </w:r>
      <w:proofErr w:type="spellEnd"/>
      <w:r w:rsidRPr="004B3AC8">
        <w:rPr>
          <w:rFonts w:ascii="Arial" w:hAnsi="Arial" w:cs="Arial"/>
          <w:sz w:val="22"/>
          <w:szCs w:val="22"/>
        </w:rPr>
        <w:t xml:space="preserve">, K., &amp; Stefanis, L. (2017). Phosphorylated alpha-synuclein levels in blood and their relation to Parkinson’s disease. </w:t>
      </w:r>
      <w:proofErr w:type="spellStart"/>
      <w:r w:rsidRPr="004B3AC8">
        <w:rPr>
          <w:rFonts w:ascii="Arial" w:hAnsi="Arial" w:cs="Arial"/>
          <w:sz w:val="22"/>
          <w:szCs w:val="22"/>
        </w:rPr>
        <w:t>PLoS</w:t>
      </w:r>
      <w:proofErr w:type="spellEnd"/>
      <w:r w:rsidRPr="004B3AC8">
        <w:rPr>
          <w:rFonts w:ascii="Arial" w:hAnsi="Arial" w:cs="Arial"/>
          <w:sz w:val="22"/>
          <w:szCs w:val="22"/>
        </w:rPr>
        <w:t xml:space="preserve"> ONE, 12(1), e0171080.</w:t>
      </w:r>
    </w:p>
    <w:p w14:paraId="2776BCF6"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Oueslati A, Fournier M, </w:t>
      </w:r>
      <w:proofErr w:type="spellStart"/>
      <w:r w:rsidRPr="004B3AC8">
        <w:rPr>
          <w:rFonts w:ascii="Arial" w:hAnsi="Arial" w:cs="Arial"/>
          <w:sz w:val="22"/>
          <w:szCs w:val="22"/>
        </w:rPr>
        <w:t>Lashuel</w:t>
      </w:r>
      <w:proofErr w:type="spellEnd"/>
      <w:r w:rsidRPr="004B3AC8">
        <w:rPr>
          <w:rFonts w:ascii="Arial" w:hAnsi="Arial" w:cs="Arial"/>
          <w:sz w:val="22"/>
          <w:szCs w:val="22"/>
        </w:rPr>
        <w:t xml:space="preserve"> HA. The role of PTMs in modulating α-synuclein structure, function, and toxicity. </w:t>
      </w:r>
      <w:proofErr w:type="spellStart"/>
      <w:r w:rsidRPr="004B3AC8">
        <w:rPr>
          <w:rFonts w:ascii="Arial" w:hAnsi="Arial" w:cs="Arial"/>
          <w:sz w:val="22"/>
          <w:szCs w:val="22"/>
        </w:rPr>
        <w:t>Biochim</w:t>
      </w:r>
      <w:proofErr w:type="spellEnd"/>
      <w:r w:rsidRPr="004B3AC8">
        <w:rPr>
          <w:rFonts w:ascii="Arial" w:hAnsi="Arial" w:cs="Arial"/>
          <w:sz w:val="22"/>
          <w:szCs w:val="22"/>
        </w:rPr>
        <w:t xml:space="preserve"> </w:t>
      </w:r>
      <w:proofErr w:type="spellStart"/>
      <w:r w:rsidRPr="004B3AC8">
        <w:rPr>
          <w:rFonts w:ascii="Arial" w:hAnsi="Arial" w:cs="Arial"/>
          <w:sz w:val="22"/>
          <w:szCs w:val="22"/>
        </w:rPr>
        <w:t>Biophys</w:t>
      </w:r>
      <w:proofErr w:type="spellEnd"/>
      <w:r w:rsidRPr="004B3AC8">
        <w:rPr>
          <w:rFonts w:ascii="Arial" w:hAnsi="Arial" w:cs="Arial"/>
          <w:sz w:val="22"/>
          <w:szCs w:val="22"/>
        </w:rPr>
        <w:t xml:space="preserve"> Acta. </w:t>
      </w:r>
      <w:proofErr w:type="gramStart"/>
      <w:r w:rsidRPr="004B3AC8">
        <w:rPr>
          <w:rFonts w:ascii="Arial" w:hAnsi="Arial" w:cs="Arial"/>
          <w:sz w:val="22"/>
          <w:szCs w:val="22"/>
        </w:rPr>
        <w:t>2012;1822:930</w:t>
      </w:r>
      <w:proofErr w:type="gramEnd"/>
      <w:r w:rsidRPr="004B3AC8">
        <w:rPr>
          <w:rFonts w:ascii="Arial" w:hAnsi="Arial" w:cs="Arial"/>
          <w:sz w:val="22"/>
          <w:szCs w:val="22"/>
        </w:rPr>
        <w:t>–8.</w:t>
      </w:r>
    </w:p>
    <w:p w14:paraId="113BEAC8"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lastRenderedPageBreak/>
        <w:t>Mahul-Mellier</w:t>
      </w:r>
      <w:proofErr w:type="spellEnd"/>
      <w:r w:rsidRPr="004B3AC8">
        <w:rPr>
          <w:rFonts w:ascii="Arial" w:hAnsi="Arial" w:cs="Arial"/>
          <w:sz w:val="22"/>
          <w:szCs w:val="22"/>
        </w:rPr>
        <w:t xml:space="preserve"> AL, </w:t>
      </w:r>
      <w:proofErr w:type="spellStart"/>
      <w:r w:rsidRPr="004B3AC8">
        <w:rPr>
          <w:rFonts w:ascii="Arial" w:hAnsi="Arial" w:cs="Arial"/>
          <w:sz w:val="22"/>
          <w:szCs w:val="22"/>
        </w:rPr>
        <w:t>Fauvet</w:t>
      </w:r>
      <w:proofErr w:type="spellEnd"/>
      <w:r w:rsidRPr="004B3AC8">
        <w:rPr>
          <w:rFonts w:ascii="Arial" w:hAnsi="Arial" w:cs="Arial"/>
          <w:sz w:val="22"/>
          <w:szCs w:val="22"/>
        </w:rPr>
        <w:t xml:space="preserve"> B, Gysbers A, et al. c-Abl phosphorylates α-synuclein and regulates its degradation.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2014;111(23):8701–6.</w:t>
      </w:r>
    </w:p>
    <w:p w14:paraId="42AAC416"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Ellis CE, Murphy EJ, Mitchell DC, et al. Mitochondrial lipid abnormality in mice lacking α-synuclein. Mol Cell Biol. </w:t>
      </w:r>
      <w:proofErr w:type="gramStart"/>
      <w:r w:rsidRPr="004B3AC8">
        <w:rPr>
          <w:rFonts w:ascii="Arial" w:hAnsi="Arial" w:cs="Arial"/>
          <w:sz w:val="22"/>
          <w:szCs w:val="22"/>
        </w:rPr>
        <w:t>2001;21:282</w:t>
      </w:r>
      <w:proofErr w:type="gramEnd"/>
      <w:r w:rsidRPr="004B3AC8">
        <w:rPr>
          <w:rFonts w:ascii="Arial" w:hAnsi="Arial" w:cs="Arial"/>
          <w:sz w:val="22"/>
          <w:szCs w:val="22"/>
        </w:rPr>
        <w:t>–90.</w:t>
      </w:r>
    </w:p>
    <w:p w14:paraId="2C315A22"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Hasegawa M, Fujiwara H, Nonaka T, et al. Phosphorylated α-synuclein is ubiquitinated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2002;277:49071</w:t>
      </w:r>
      <w:proofErr w:type="gramEnd"/>
      <w:r w:rsidRPr="004B3AC8">
        <w:rPr>
          <w:rFonts w:ascii="Arial" w:hAnsi="Arial" w:cs="Arial"/>
          <w:sz w:val="22"/>
          <w:szCs w:val="22"/>
        </w:rPr>
        <w:t>–6.</w:t>
      </w:r>
    </w:p>
    <w:p w14:paraId="7C5B9188"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Tofaris</w:t>
      </w:r>
      <w:proofErr w:type="spellEnd"/>
      <w:r w:rsidRPr="004B3AC8">
        <w:rPr>
          <w:rFonts w:ascii="Arial" w:hAnsi="Arial" w:cs="Arial"/>
          <w:sz w:val="22"/>
          <w:szCs w:val="22"/>
        </w:rPr>
        <w:t xml:space="preserve"> GK, </w:t>
      </w:r>
      <w:proofErr w:type="spellStart"/>
      <w:r w:rsidRPr="004B3AC8">
        <w:rPr>
          <w:rFonts w:ascii="Arial" w:hAnsi="Arial" w:cs="Arial"/>
          <w:sz w:val="22"/>
          <w:szCs w:val="22"/>
        </w:rPr>
        <w:t>Layfield</w:t>
      </w:r>
      <w:proofErr w:type="spellEnd"/>
      <w:r w:rsidRPr="004B3AC8">
        <w:rPr>
          <w:rFonts w:ascii="Arial" w:hAnsi="Arial" w:cs="Arial"/>
          <w:sz w:val="22"/>
          <w:szCs w:val="22"/>
        </w:rPr>
        <w:t xml:space="preserve"> R, </w:t>
      </w:r>
      <w:proofErr w:type="spellStart"/>
      <w:r w:rsidRPr="004B3AC8">
        <w:rPr>
          <w:rFonts w:ascii="Arial" w:hAnsi="Arial" w:cs="Arial"/>
          <w:sz w:val="22"/>
          <w:szCs w:val="22"/>
        </w:rPr>
        <w:t>Spillantini</w:t>
      </w:r>
      <w:proofErr w:type="spellEnd"/>
      <w:r w:rsidRPr="004B3AC8">
        <w:rPr>
          <w:rFonts w:ascii="Arial" w:hAnsi="Arial" w:cs="Arial"/>
          <w:sz w:val="22"/>
          <w:szCs w:val="22"/>
        </w:rPr>
        <w:t xml:space="preserve"> MG. α-Synuclein metabolism and aggregation linked to ubiquitin-independent proteasomal degradation. FEBS Lett. </w:t>
      </w:r>
      <w:proofErr w:type="gramStart"/>
      <w:r w:rsidRPr="004B3AC8">
        <w:rPr>
          <w:rFonts w:ascii="Arial" w:hAnsi="Arial" w:cs="Arial"/>
          <w:sz w:val="22"/>
          <w:szCs w:val="22"/>
        </w:rPr>
        <w:t>2001;509:22</w:t>
      </w:r>
      <w:proofErr w:type="gramEnd"/>
      <w:r w:rsidRPr="004B3AC8">
        <w:rPr>
          <w:rFonts w:ascii="Arial" w:hAnsi="Arial" w:cs="Arial"/>
          <w:sz w:val="22"/>
          <w:szCs w:val="22"/>
        </w:rPr>
        <w:t>–6.</w:t>
      </w:r>
    </w:p>
    <w:p w14:paraId="5FEAFDA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Liani E, Eyal A, Avraham E, et al. </w:t>
      </w:r>
      <w:r w:rsidRPr="004B3AC8">
        <w:rPr>
          <w:rFonts w:ascii="Arial" w:hAnsi="Arial" w:cs="Arial"/>
          <w:sz w:val="22"/>
          <w:szCs w:val="22"/>
        </w:rPr>
        <w:t xml:space="preserve">SIAH-1 promotes α-synuclein aggregation and toxicity.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2004;101(15):5500–5.</w:t>
      </w:r>
    </w:p>
    <w:p w14:paraId="5512A5A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Souza JM, Giasson BI, Chen Q, et al. </w:t>
      </w:r>
      <w:proofErr w:type="spellStart"/>
      <w:r w:rsidRPr="004B3AC8">
        <w:rPr>
          <w:rFonts w:ascii="Arial" w:hAnsi="Arial" w:cs="Arial"/>
          <w:sz w:val="22"/>
          <w:szCs w:val="22"/>
        </w:rPr>
        <w:t>Dityrosine</w:t>
      </w:r>
      <w:proofErr w:type="spellEnd"/>
      <w:r w:rsidRPr="004B3AC8">
        <w:rPr>
          <w:rFonts w:ascii="Arial" w:hAnsi="Arial" w:cs="Arial"/>
          <w:sz w:val="22"/>
          <w:szCs w:val="22"/>
        </w:rPr>
        <w:t xml:space="preserve"> cross-linking promotes stable α-synuclein polymers.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2000;275:18344</w:t>
      </w:r>
      <w:proofErr w:type="gramEnd"/>
      <w:r w:rsidRPr="004B3AC8">
        <w:rPr>
          <w:rFonts w:ascii="Arial" w:hAnsi="Arial" w:cs="Arial"/>
          <w:sz w:val="22"/>
          <w:szCs w:val="22"/>
        </w:rPr>
        <w:t>–50.</w:t>
      </w:r>
    </w:p>
    <w:p w14:paraId="476995F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Giasson BI, Duda JE, Murray IVJ, et al. Selective nitration of α-synuclein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Science. </w:t>
      </w:r>
      <w:proofErr w:type="gramStart"/>
      <w:r w:rsidRPr="004B3AC8">
        <w:rPr>
          <w:rFonts w:ascii="Arial" w:hAnsi="Arial" w:cs="Arial"/>
          <w:sz w:val="22"/>
          <w:szCs w:val="22"/>
        </w:rPr>
        <w:t>2000;290:985</w:t>
      </w:r>
      <w:proofErr w:type="gramEnd"/>
      <w:r w:rsidRPr="004B3AC8">
        <w:rPr>
          <w:rFonts w:ascii="Arial" w:hAnsi="Arial" w:cs="Arial"/>
          <w:sz w:val="22"/>
          <w:szCs w:val="22"/>
        </w:rPr>
        <w:t>–9.</w:t>
      </w:r>
    </w:p>
    <w:p w14:paraId="38AA00B7"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Hodara</w:t>
      </w:r>
      <w:proofErr w:type="spellEnd"/>
      <w:r w:rsidRPr="004B3AC8">
        <w:rPr>
          <w:rFonts w:ascii="Arial" w:hAnsi="Arial" w:cs="Arial"/>
          <w:sz w:val="22"/>
          <w:szCs w:val="22"/>
        </w:rPr>
        <w:t xml:space="preserve"> R, Norris EH, Giasson BI, et al. Consequences of α-synuclein nitration: diminished membrane binding and increased fibrils.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2004;279(46):47746–53.</w:t>
      </w:r>
    </w:p>
    <w:p w14:paraId="6CEA2EDD"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Danielson SR, Held JM, Schilling B, et al. Increased nitration of α-synuclein at Tyr39 in oxidative stress.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2009;106(19):7604–9.</w:t>
      </w:r>
    </w:p>
    <w:p w14:paraId="6F14D1F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Kang L, Moriarty GM, Woods LA, et al. N-terminal acetylation increases α-helical propensity and decreases aggregation.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2012;109(11):4483–8.</w:t>
      </w:r>
    </w:p>
    <w:p w14:paraId="0CC6D58F"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Trexler AJ, Rhoades E. N-terminal acetylation is critical for α-synuclein oligomerization. Biochemistry. 2012;51(27):5199–207.</w:t>
      </w:r>
    </w:p>
    <w:p w14:paraId="42FB7BAE"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Oliveira R, Vicente Miranda H, Francelle L, et al. </w:t>
      </w:r>
      <w:r w:rsidRPr="004B3AC8">
        <w:rPr>
          <w:rFonts w:ascii="Arial" w:hAnsi="Arial" w:cs="Arial"/>
          <w:sz w:val="22"/>
          <w:szCs w:val="22"/>
        </w:rPr>
        <w:t>Mechanism of sirtuin-2 mediated exacerbation of α-</w:t>
      </w:r>
      <w:proofErr w:type="spellStart"/>
      <w:r w:rsidRPr="004B3AC8">
        <w:rPr>
          <w:rFonts w:ascii="Arial" w:hAnsi="Arial" w:cs="Arial"/>
          <w:sz w:val="22"/>
          <w:szCs w:val="22"/>
        </w:rPr>
        <w:t>syn</w:t>
      </w:r>
      <w:proofErr w:type="spellEnd"/>
      <w:r w:rsidRPr="004B3AC8">
        <w:rPr>
          <w:rFonts w:ascii="Arial" w:hAnsi="Arial" w:cs="Arial"/>
          <w:sz w:val="22"/>
          <w:szCs w:val="22"/>
        </w:rPr>
        <w:t xml:space="preserve"> toxicity. </w:t>
      </w:r>
      <w:proofErr w:type="spellStart"/>
      <w:r w:rsidRPr="004B3AC8">
        <w:rPr>
          <w:rFonts w:ascii="Arial" w:hAnsi="Arial" w:cs="Arial"/>
          <w:sz w:val="22"/>
          <w:szCs w:val="22"/>
        </w:rPr>
        <w:t>PLoS</w:t>
      </w:r>
      <w:proofErr w:type="spellEnd"/>
      <w:r w:rsidRPr="004B3AC8">
        <w:rPr>
          <w:rFonts w:ascii="Arial" w:hAnsi="Arial" w:cs="Arial"/>
          <w:sz w:val="22"/>
          <w:szCs w:val="22"/>
        </w:rPr>
        <w:t xml:space="preserve"> Biol. 2017;</w:t>
      </w:r>
      <w:proofErr w:type="gramStart"/>
      <w:r w:rsidRPr="004B3AC8">
        <w:rPr>
          <w:rFonts w:ascii="Arial" w:hAnsi="Arial" w:cs="Arial"/>
          <w:sz w:val="22"/>
          <w:szCs w:val="22"/>
        </w:rPr>
        <w:t>15:e</w:t>
      </w:r>
      <w:proofErr w:type="gramEnd"/>
      <w:r w:rsidRPr="004B3AC8">
        <w:rPr>
          <w:rFonts w:ascii="Arial" w:hAnsi="Arial" w:cs="Arial"/>
          <w:sz w:val="22"/>
          <w:szCs w:val="22"/>
        </w:rPr>
        <w:t>2000374.</w:t>
      </w:r>
    </w:p>
    <w:p w14:paraId="44C4ACE9"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Dorval V, Fraser PE. SUMO and neurodegeneration. BBA Mol Basis Dis. 2006;1762(4):385–98.</w:t>
      </w:r>
    </w:p>
    <w:p w14:paraId="482A334C"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Krumova</w:t>
      </w:r>
      <w:proofErr w:type="spellEnd"/>
      <w:r w:rsidRPr="003E625B">
        <w:rPr>
          <w:rFonts w:ascii="Arial" w:hAnsi="Arial" w:cs="Arial"/>
          <w:sz w:val="22"/>
          <w:szCs w:val="22"/>
          <w:lang w:val="es-US"/>
        </w:rPr>
        <w:t xml:space="preserve"> P, </w:t>
      </w:r>
      <w:proofErr w:type="spellStart"/>
      <w:r w:rsidRPr="003E625B">
        <w:rPr>
          <w:rFonts w:ascii="Arial" w:hAnsi="Arial" w:cs="Arial"/>
          <w:sz w:val="22"/>
          <w:szCs w:val="22"/>
          <w:lang w:val="es-US"/>
        </w:rPr>
        <w:t>Meulmeester</w:t>
      </w:r>
      <w:proofErr w:type="spellEnd"/>
      <w:r w:rsidRPr="003E625B">
        <w:rPr>
          <w:rFonts w:ascii="Arial" w:hAnsi="Arial" w:cs="Arial"/>
          <w:sz w:val="22"/>
          <w:szCs w:val="22"/>
          <w:lang w:val="es-US"/>
        </w:rPr>
        <w:t xml:space="preserve"> E, Garrido M, et al. </w:t>
      </w:r>
      <w:proofErr w:type="spellStart"/>
      <w:r w:rsidRPr="004B3AC8">
        <w:rPr>
          <w:rFonts w:ascii="Arial" w:hAnsi="Arial" w:cs="Arial"/>
          <w:sz w:val="22"/>
          <w:szCs w:val="22"/>
        </w:rPr>
        <w:t>Sumoylation</w:t>
      </w:r>
      <w:proofErr w:type="spellEnd"/>
      <w:r w:rsidRPr="004B3AC8">
        <w:rPr>
          <w:rFonts w:ascii="Arial" w:hAnsi="Arial" w:cs="Arial"/>
          <w:sz w:val="22"/>
          <w:szCs w:val="22"/>
        </w:rPr>
        <w:t xml:space="preserve"> inhibits α-synuclein aggregation and toxicity. J Cell Biol. 2011;194(1):49–60.</w:t>
      </w:r>
    </w:p>
    <w:p w14:paraId="15FEBD7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Li W, West N, Colla E, et al. Aggregation-promoting C-terminal truncation of α-synuclein is a normal process enhanced by PD mutations.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2005;102(6):2162–7.</w:t>
      </w:r>
    </w:p>
    <w:p w14:paraId="68B7ED79"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Murray IVJ, Giasson BI, Quinn SM, et al. Role of α-synuclein C-terminus in fibril formation. Biochemistry. </w:t>
      </w:r>
      <w:proofErr w:type="gramStart"/>
      <w:r w:rsidRPr="004B3AC8">
        <w:rPr>
          <w:rFonts w:ascii="Arial" w:hAnsi="Arial" w:cs="Arial"/>
          <w:sz w:val="22"/>
          <w:szCs w:val="22"/>
        </w:rPr>
        <w:t>2003;42:8530</w:t>
      </w:r>
      <w:proofErr w:type="gramEnd"/>
      <w:r w:rsidRPr="004B3AC8">
        <w:rPr>
          <w:rFonts w:ascii="Arial" w:hAnsi="Arial" w:cs="Arial"/>
          <w:sz w:val="22"/>
          <w:szCs w:val="22"/>
        </w:rPr>
        <w:t>–40.</w:t>
      </w:r>
    </w:p>
    <w:p w14:paraId="731E3A5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Dufty BM, Warner LR, Hou ST, et al. Calpain-cleavage links α-synuclein truncation to aggregation. Am J </w:t>
      </w:r>
      <w:proofErr w:type="spellStart"/>
      <w:r w:rsidRPr="004B3AC8">
        <w:rPr>
          <w:rFonts w:ascii="Arial" w:hAnsi="Arial" w:cs="Arial"/>
          <w:sz w:val="22"/>
          <w:szCs w:val="22"/>
        </w:rPr>
        <w:t>Pathol</w:t>
      </w:r>
      <w:proofErr w:type="spellEnd"/>
      <w:r w:rsidRPr="004B3AC8">
        <w:rPr>
          <w:rFonts w:ascii="Arial" w:hAnsi="Arial" w:cs="Arial"/>
          <w:sz w:val="22"/>
          <w:szCs w:val="22"/>
        </w:rPr>
        <w:t>. 2007;170(5):1725–38.</w:t>
      </w:r>
    </w:p>
    <w:p w14:paraId="69B0C6FD"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Iwatsubo</w:t>
      </w:r>
      <w:proofErr w:type="spellEnd"/>
      <w:r w:rsidRPr="003E625B">
        <w:rPr>
          <w:rFonts w:ascii="Arial" w:hAnsi="Arial" w:cs="Arial"/>
          <w:sz w:val="22"/>
          <w:szCs w:val="22"/>
          <w:lang w:val="es-US"/>
        </w:rPr>
        <w:t xml:space="preserve"> T, Yamaguchi H, </w:t>
      </w:r>
      <w:proofErr w:type="spellStart"/>
      <w:r w:rsidRPr="003E625B">
        <w:rPr>
          <w:rFonts w:ascii="Arial" w:hAnsi="Arial" w:cs="Arial"/>
          <w:sz w:val="22"/>
          <w:szCs w:val="22"/>
          <w:lang w:val="es-US"/>
        </w:rPr>
        <w:t>Fujimuro</w:t>
      </w:r>
      <w:proofErr w:type="spellEnd"/>
      <w:r w:rsidRPr="003E625B">
        <w:rPr>
          <w:rFonts w:ascii="Arial" w:hAnsi="Arial" w:cs="Arial"/>
          <w:sz w:val="22"/>
          <w:szCs w:val="22"/>
          <w:lang w:val="es-US"/>
        </w:rPr>
        <w:t xml:space="preserve"> M, et al. </w:t>
      </w:r>
      <w:r w:rsidRPr="004B3AC8">
        <w:rPr>
          <w:rFonts w:ascii="Arial" w:hAnsi="Arial" w:cs="Arial"/>
          <w:sz w:val="22"/>
          <w:szCs w:val="22"/>
        </w:rPr>
        <w:t xml:space="preserve">Purification and characterization of Lewy bodies. Am J </w:t>
      </w:r>
      <w:proofErr w:type="spellStart"/>
      <w:r w:rsidRPr="004B3AC8">
        <w:rPr>
          <w:rFonts w:ascii="Arial" w:hAnsi="Arial" w:cs="Arial"/>
          <w:sz w:val="22"/>
          <w:szCs w:val="22"/>
        </w:rPr>
        <w:t>Pathol</w:t>
      </w:r>
      <w:proofErr w:type="spellEnd"/>
      <w:r w:rsidRPr="004B3AC8">
        <w:rPr>
          <w:rFonts w:ascii="Arial" w:hAnsi="Arial" w:cs="Arial"/>
          <w:sz w:val="22"/>
          <w:szCs w:val="22"/>
        </w:rPr>
        <w:t xml:space="preserve">. </w:t>
      </w:r>
      <w:proofErr w:type="gramStart"/>
      <w:r w:rsidRPr="004B3AC8">
        <w:rPr>
          <w:rFonts w:ascii="Arial" w:hAnsi="Arial" w:cs="Arial"/>
          <w:sz w:val="22"/>
          <w:szCs w:val="22"/>
        </w:rPr>
        <w:t>1996;148:1517</w:t>
      </w:r>
      <w:proofErr w:type="gramEnd"/>
      <w:r w:rsidRPr="004B3AC8">
        <w:rPr>
          <w:rFonts w:ascii="Arial" w:hAnsi="Arial" w:cs="Arial"/>
          <w:sz w:val="22"/>
          <w:szCs w:val="22"/>
        </w:rPr>
        <w:t>–29.</w:t>
      </w:r>
    </w:p>
    <w:p w14:paraId="3DCEB85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Glaser CB, Yamin G, Uversky VN, Fink AL. Methionine oxidation and α-synuclein. BBA. </w:t>
      </w:r>
      <w:proofErr w:type="gramStart"/>
      <w:r w:rsidRPr="004B3AC8">
        <w:rPr>
          <w:rFonts w:ascii="Arial" w:hAnsi="Arial" w:cs="Arial"/>
          <w:sz w:val="22"/>
          <w:szCs w:val="22"/>
        </w:rPr>
        <w:t>2005;1703:157</w:t>
      </w:r>
      <w:proofErr w:type="gramEnd"/>
      <w:r w:rsidRPr="004B3AC8">
        <w:rPr>
          <w:rFonts w:ascii="Arial" w:hAnsi="Arial" w:cs="Arial"/>
          <w:sz w:val="22"/>
          <w:szCs w:val="22"/>
        </w:rPr>
        <w:t>–69.</w:t>
      </w:r>
    </w:p>
    <w:p w14:paraId="3E82D90B"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Iyer A, Claessens MMAE. Disruptive membrane interactions of α-synuclein aggregates. BBA Proteins Proteomics. 2019;1867(5):468–82.</w:t>
      </w:r>
    </w:p>
    <w:p w14:paraId="3CCD4301"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Wang Y, Shi M, Chung KA, et al. Phosphorylated α-synuclein in Parkinson’s disease. Sci </w:t>
      </w:r>
      <w:proofErr w:type="spellStart"/>
      <w:r w:rsidRPr="004B3AC8">
        <w:rPr>
          <w:rFonts w:ascii="Arial" w:hAnsi="Arial" w:cs="Arial"/>
          <w:sz w:val="22"/>
          <w:szCs w:val="22"/>
        </w:rPr>
        <w:t>Transl</w:t>
      </w:r>
      <w:proofErr w:type="spellEnd"/>
      <w:r w:rsidRPr="004B3AC8">
        <w:rPr>
          <w:rFonts w:ascii="Arial" w:hAnsi="Arial" w:cs="Arial"/>
          <w:sz w:val="22"/>
          <w:szCs w:val="22"/>
        </w:rPr>
        <w:t xml:space="preserve"> Med. 2012;4(121):121ra20.</w:t>
      </w:r>
    </w:p>
    <w:p w14:paraId="29904632"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Vivacqua G, Latorre A, Suppa A, et al. </w:t>
      </w:r>
      <w:r w:rsidRPr="004B3AC8">
        <w:rPr>
          <w:rFonts w:ascii="Arial" w:hAnsi="Arial" w:cs="Arial"/>
          <w:sz w:val="22"/>
          <w:szCs w:val="22"/>
        </w:rPr>
        <w:t xml:space="preserve">Abnormal salivary α-synuclein in PD and MSA. Mov </w:t>
      </w:r>
      <w:proofErr w:type="spellStart"/>
      <w:r w:rsidRPr="004B3AC8">
        <w:rPr>
          <w:rFonts w:ascii="Arial" w:hAnsi="Arial" w:cs="Arial"/>
          <w:sz w:val="22"/>
          <w:szCs w:val="22"/>
        </w:rPr>
        <w:t>Disord</w:t>
      </w:r>
      <w:proofErr w:type="spellEnd"/>
      <w:r w:rsidRPr="004B3AC8">
        <w:rPr>
          <w:rFonts w:ascii="Arial" w:hAnsi="Arial" w:cs="Arial"/>
          <w:sz w:val="22"/>
          <w:szCs w:val="22"/>
        </w:rPr>
        <w:t>. 2019;34(4):525–8.</w:t>
      </w:r>
    </w:p>
    <w:p w14:paraId="1EE1B4EC"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lastRenderedPageBreak/>
        <w:t>Eusebi</w:t>
      </w:r>
      <w:proofErr w:type="spellEnd"/>
      <w:r w:rsidRPr="004B3AC8">
        <w:rPr>
          <w:rFonts w:ascii="Arial" w:hAnsi="Arial" w:cs="Arial"/>
          <w:sz w:val="22"/>
          <w:szCs w:val="22"/>
        </w:rPr>
        <w:t xml:space="preserve"> P, </w:t>
      </w:r>
      <w:proofErr w:type="spellStart"/>
      <w:r w:rsidRPr="004B3AC8">
        <w:rPr>
          <w:rFonts w:ascii="Arial" w:hAnsi="Arial" w:cs="Arial"/>
          <w:sz w:val="22"/>
          <w:szCs w:val="22"/>
        </w:rPr>
        <w:t>Giannandrea</w:t>
      </w:r>
      <w:proofErr w:type="spellEnd"/>
      <w:r w:rsidRPr="004B3AC8">
        <w:rPr>
          <w:rFonts w:ascii="Arial" w:hAnsi="Arial" w:cs="Arial"/>
          <w:sz w:val="22"/>
          <w:szCs w:val="22"/>
        </w:rPr>
        <w:t xml:space="preserve"> D, </w:t>
      </w:r>
      <w:proofErr w:type="spellStart"/>
      <w:r w:rsidRPr="004B3AC8">
        <w:rPr>
          <w:rFonts w:ascii="Arial" w:hAnsi="Arial" w:cs="Arial"/>
          <w:sz w:val="22"/>
          <w:szCs w:val="22"/>
        </w:rPr>
        <w:t>Biscetti</w:t>
      </w:r>
      <w:proofErr w:type="spellEnd"/>
      <w:r w:rsidRPr="004B3AC8">
        <w:rPr>
          <w:rFonts w:ascii="Arial" w:hAnsi="Arial" w:cs="Arial"/>
          <w:sz w:val="22"/>
          <w:szCs w:val="22"/>
        </w:rPr>
        <w:t xml:space="preserve"> L, et al. Diagnostic utility of CSF α-synuclein in PD: A meta-analysis. Mov </w:t>
      </w:r>
      <w:proofErr w:type="spellStart"/>
      <w:r w:rsidRPr="004B3AC8">
        <w:rPr>
          <w:rFonts w:ascii="Arial" w:hAnsi="Arial" w:cs="Arial"/>
          <w:sz w:val="22"/>
          <w:szCs w:val="22"/>
        </w:rPr>
        <w:t>Disord</w:t>
      </w:r>
      <w:proofErr w:type="spellEnd"/>
      <w:r w:rsidRPr="004B3AC8">
        <w:rPr>
          <w:rFonts w:ascii="Arial" w:hAnsi="Arial" w:cs="Arial"/>
          <w:sz w:val="22"/>
          <w:szCs w:val="22"/>
        </w:rPr>
        <w:t>. 2017;32(10):1389–400.</w:t>
      </w:r>
    </w:p>
    <w:p w14:paraId="53E6838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Games D, Valera E, Spencer B, et al. Reducing C-terminal-truncated α-synuclein via immunotherapy attenuates pathology. J Neurosci. 2014;34(28):9441–54.</w:t>
      </w:r>
    </w:p>
    <w:p w14:paraId="22227364" w14:textId="77777777" w:rsidR="00CE398A" w:rsidRPr="004B3AC8" w:rsidRDefault="00CE398A" w:rsidP="00CE398A">
      <w:pPr>
        <w:spacing w:line="360" w:lineRule="auto"/>
        <w:jc w:val="both"/>
        <w:rPr>
          <w:rFonts w:ascii="Arial" w:hAnsi="Arial" w:cs="Arial"/>
          <w:sz w:val="22"/>
          <w:szCs w:val="22"/>
        </w:rPr>
      </w:pPr>
    </w:p>
    <w:p w14:paraId="1EB18C63" w14:textId="77777777" w:rsidR="00CE398A" w:rsidRPr="004B3AC8" w:rsidRDefault="00CE398A" w:rsidP="00CE398A">
      <w:pPr>
        <w:rPr>
          <w:rFonts w:ascii="Arial" w:hAnsi="Arial" w:cs="Arial"/>
          <w:b/>
          <w:bCs/>
          <w:sz w:val="22"/>
          <w:szCs w:val="22"/>
        </w:rPr>
      </w:pPr>
    </w:p>
    <w:p w14:paraId="1C636944" w14:textId="77777777" w:rsidR="00CE398A" w:rsidRPr="004B3AC8" w:rsidRDefault="00CE398A" w:rsidP="00CE398A">
      <w:pPr>
        <w:rPr>
          <w:rFonts w:ascii="Arial" w:hAnsi="Arial" w:cs="Arial"/>
          <w:b/>
          <w:bCs/>
          <w:sz w:val="22"/>
          <w:szCs w:val="22"/>
        </w:rPr>
      </w:pPr>
    </w:p>
    <w:p w14:paraId="2CCA0B21" w14:textId="77777777" w:rsidR="00CE398A" w:rsidRPr="004B3AC8" w:rsidRDefault="00CE398A" w:rsidP="00CE398A">
      <w:pPr>
        <w:rPr>
          <w:rFonts w:ascii="Arial" w:hAnsi="Arial" w:cs="Arial"/>
          <w:b/>
          <w:bCs/>
          <w:sz w:val="22"/>
          <w:szCs w:val="22"/>
        </w:rPr>
      </w:pPr>
    </w:p>
    <w:p w14:paraId="5E19B805" w14:textId="77777777" w:rsidR="00CE398A" w:rsidRPr="004B3AC8" w:rsidRDefault="00CE398A" w:rsidP="00CE398A">
      <w:pPr>
        <w:rPr>
          <w:rFonts w:ascii="Arial" w:hAnsi="Arial" w:cs="Arial"/>
          <w:b/>
          <w:bCs/>
          <w:sz w:val="22"/>
          <w:szCs w:val="22"/>
        </w:rPr>
      </w:pPr>
    </w:p>
    <w:p w14:paraId="1BB57927" w14:textId="77777777" w:rsidR="00CE398A" w:rsidRPr="004B3AC8" w:rsidRDefault="00CE398A" w:rsidP="00CE398A">
      <w:pPr>
        <w:rPr>
          <w:rFonts w:ascii="Arial" w:hAnsi="Arial" w:cs="Arial"/>
          <w:b/>
          <w:bCs/>
          <w:sz w:val="22"/>
          <w:szCs w:val="22"/>
        </w:rPr>
      </w:pPr>
    </w:p>
    <w:p w14:paraId="1BF57EC6" w14:textId="77777777" w:rsidR="00CE398A" w:rsidRPr="004B3AC8" w:rsidRDefault="00CE398A" w:rsidP="00CE398A">
      <w:pPr>
        <w:rPr>
          <w:rFonts w:ascii="Arial" w:hAnsi="Arial" w:cs="Arial"/>
          <w:b/>
          <w:bCs/>
          <w:sz w:val="22"/>
          <w:szCs w:val="22"/>
        </w:rPr>
      </w:pPr>
    </w:p>
    <w:p w14:paraId="340D2ED9" w14:textId="77777777" w:rsidR="00CE398A" w:rsidRPr="004B3AC8" w:rsidRDefault="00CE398A" w:rsidP="00CE398A">
      <w:pPr>
        <w:rPr>
          <w:rFonts w:ascii="Arial" w:hAnsi="Arial" w:cs="Arial"/>
          <w:b/>
          <w:bCs/>
          <w:sz w:val="22"/>
          <w:szCs w:val="22"/>
        </w:rPr>
      </w:pPr>
    </w:p>
    <w:p w14:paraId="78CB0828" w14:textId="77777777" w:rsidR="00CE398A" w:rsidRPr="004B3AC8" w:rsidRDefault="00CE398A" w:rsidP="00CE398A">
      <w:pPr>
        <w:rPr>
          <w:rFonts w:ascii="Arial" w:hAnsi="Arial" w:cs="Arial"/>
          <w:sz w:val="22"/>
          <w:szCs w:val="22"/>
        </w:rPr>
      </w:pPr>
    </w:p>
    <w:p w14:paraId="68B5245C" w14:textId="77777777" w:rsidR="002E0312" w:rsidRPr="004B3AC8" w:rsidRDefault="002E0312">
      <w:pPr>
        <w:rPr>
          <w:rFonts w:ascii="Arial" w:hAnsi="Arial" w:cs="Arial"/>
          <w:b/>
          <w:bCs/>
          <w:sz w:val="22"/>
          <w:szCs w:val="22"/>
        </w:rPr>
      </w:pPr>
    </w:p>
    <w:p w14:paraId="3750052A" w14:textId="77777777" w:rsidR="002E0312" w:rsidRPr="00F06601" w:rsidRDefault="002E0312">
      <w:pPr>
        <w:rPr>
          <w:rFonts w:ascii="Arial" w:hAnsi="Arial" w:cs="Arial"/>
          <w:b/>
          <w:bCs/>
          <w:sz w:val="28"/>
          <w:szCs w:val="28"/>
        </w:rPr>
      </w:pPr>
    </w:p>
    <w:p w14:paraId="05F963E5" w14:textId="77777777" w:rsidR="002E0312" w:rsidRPr="00F06601" w:rsidRDefault="002E0312">
      <w:pPr>
        <w:rPr>
          <w:rFonts w:ascii="Arial" w:hAnsi="Arial" w:cs="Arial"/>
          <w:b/>
          <w:bCs/>
          <w:sz w:val="28"/>
          <w:szCs w:val="28"/>
        </w:rPr>
      </w:pPr>
    </w:p>
    <w:sectPr w:rsidR="002E0312" w:rsidRPr="00F0660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2025" w:date="2026-01-30T18:15:00Z" w:initials="MF">
    <w:p w14:paraId="5CD92BE3" w14:textId="11A5F561" w:rsidR="00CC5594" w:rsidRDefault="00CC5594">
      <w:pPr>
        <w:pStyle w:val="CommentText"/>
      </w:pPr>
      <w:r>
        <w:rPr>
          <w:rStyle w:val="CommentReference"/>
        </w:rPr>
        <w:annotationRef/>
      </w:r>
      <w:r w:rsidRPr="00CC5594">
        <w:t>You need to specify the type of manuscript.</w:t>
      </w:r>
    </w:p>
  </w:comment>
  <w:comment w:id="1" w:author="2025" w:date="2026-01-30T18:13:00Z" w:initials="MF">
    <w:p w14:paraId="61004609" w14:textId="1DE189A0" w:rsidR="00CC5594" w:rsidRDefault="00CC5594">
      <w:pPr>
        <w:pStyle w:val="CommentText"/>
        <w:rPr>
          <w:rtl/>
          <w:lang w:bidi="ar-IQ"/>
        </w:rPr>
      </w:pPr>
      <w:r>
        <w:rPr>
          <w:rStyle w:val="CommentReference"/>
        </w:rPr>
        <w:annotationRef/>
      </w:r>
      <w:r w:rsidRPr="00CC5594">
        <w:rPr>
          <w:lang w:bidi="ar-IQ"/>
        </w:rPr>
        <w:t>The alphabetical order</w:t>
      </w:r>
    </w:p>
  </w:comment>
  <w:comment w:id="4" w:author="2025" w:date="2026-01-30T18:16:00Z" w:initials="MF">
    <w:p w14:paraId="26C33639" w14:textId="49273A05" w:rsidR="00CC5594" w:rsidRDefault="00CC5594">
      <w:pPr>
        <w:pStyle w:val="CommentText"/>
      </w:pPr>
      <w:r>
        <w:rPr>
          <w:rStyle w:val="CommentReference"/>
        </w:rPr>
        <w:annotationRef/>
      </w:r>
      <w:r w:rsidRPr="00CC5594">
        <w:t>References need to be written in a consistent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92BE3" w15:done="0"/>
  <w15:commentEx w15:paraId="61004609" w15:done="0"/>
  <w15:commentEx w15:paraId="26C33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92BE3" w16cid:durableId="2D286089"/>
  <w16cid:commentId w16cid:paraId="61004609" w16cid:durableId="2D28608B"/>
  <w16cid:commentId w16cid:paraId="26C33639" w16cid:durableId="2D286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3207" w14:textId="77777777" w:rsidR="004C0464" w:rsidRDefault="004C0464" w:rsidP="00E97271">
      <w:pPr>
        <w:spacing w:after="0" w:line="240" w:lineRule="auto"/>
      </w:pPr>
      <w:r>
        <w:separator/>
      </w:r>
    </w:p>
  </w:endnote>
  <w:endnote w:type="continuationSeparator" w:id="0">
    <w:p w14:paraId="16790AC1" w14:textId="77777777" w:rsidR="004C0464" w:rsidRDefault="004C0464" w:rsidP="00E9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EBA4" w14:textId="77777777" w:rsidR="00E97271" w:rsidRDefault="00E9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6B91" w14:textId="77777777" w:rsidR="00E97271" w:rsidRDefault="00E97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A07F" w14:textId="77777777" w:rsidR="00E97271" w:rsidRDefault="00E9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032D" w14:textId="77777777" w:rsidR="004C0464" w:rsidRDefault="004C0464" w:rsidP="00E97271">
      <w:pPr>
        <w:spacing w:after="0" w:line="240" w:lineRule="auto"/>
      </w:pPr>
      <w:r>
        <w:separator/>
      </w:r>
    </w:p>
  </w:footnote>
  <w:footnote w:type="continuationSeparator" w:id="0">
    <w:p w14:paraId="0933CE0A" w14:textId="77777777" w:rsidR="004C0464" w:rsidRDefault="004C0464" w:rsidP="00E9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55F3" w14:textId="3B67F13F" w:rsidR="00E97271" w:rsidRDefault="004C0464">
    <w:pPr>
      <w:pStyle w:val="Header"/>
    </w:pPr>
    <w:r>
      <w:rPr>
        <w:noProof/>
      </w:rPr>
      <w:pict w14:anchorId="11FD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91DD" w14:textId="1CCBA3F0" w:rsidR="00E97271" w:rsidRDefault="004C0464">
    <w:pPr>
      <w:pStyle w:val="Header"/>
    </w:pPr>
    <w:r>
      <w:rPr>
        <w:noProof/>
      </w:rPr>
      <w:pict w14:anchorId="239E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5E8E" w14:textId="38511BE5" w:rsidR="00E97271" w:rsidRDefault="004C0464">
    <w:pPr>
      <w:pStyle w:val="Header"/>
    </w:pPr>
    <w:r>
      <w:rPr>
        <w:noProof/>
      </w:rPr>
      <w:pict w14:anchorId="20F6D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6FF"/>
    <w:multiLevelType w:val="multilevel"/>
    <w:tmpl w:val="DE6C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E77CD"/>
    <w:multiLevelType w:val="hybridMultilevel"/>
    <w:tmpl w:val="7CDC7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467A1D"/>
    <w:multiLevelType w:val="multilevel"/>
    <w:tmpl w:val="02B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45CE2"/>
    <w:multiLevelType w:val="hybridMultilevel"/>
    <w:tmpl w:val="28CA2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AE3BA1"/>
    <w:multiLevelType w:val="hybridMultilevel"/>
    <w:tmpl w:val="0A084D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250E14"/>
    <w:multiLevelType w:val="multilevel"/>
    <w:tmpl w:val="A30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C6256"/>
    <w:multiLevelType w:val="multilevel"/>
    <w:tmpl w:val="A62A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A6EC2"/>
    <w:multiLevelType w:val="hybridMultilevel"/>
    <w:tmpl w:val="ACC44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B07D96"/>
    <w:multiLevelType w:val="multilevel"/>
    <w:tmpl w:val="5F5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5"/>
  </w:num>
  <w:num w:numId="5">
    <w:abstractNumId w:val="0"/>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DQxNDUysjC3MDBQ0lEKTi0uzszPAykwrAUAG6TqDiwAAAA="/>
  </w:docVars>
  <w:rsids>
    <w:rsidRoot w:val="00FB5408"/>
    <w:rsid w:val="00006ADB"/>
    <w:rsid w:val="000200C0"/>
    <w:rsid w:val="00031494"/>
    <w:rsid w:val="00045250"/>
    <w:rsid w:val="00056E4E"/>
    <w:rsid w:val="00057985"/>
    <w:rsid w:val="00076EA0"/>
    <w:rsid w:val="000B1B3B"/>
    <w:rsid w:val="000B4ADA"/>
    <w:rsid w:val="000C6D9B"/>
    <w:rsid w:val="000E07A0"/>
    <w:rsid w:val="000E314A"/>
    <w:rsid w:val="00110A93"/>
    <w:rsid w:val="00133E9C"/>
    <w:rsid w:val="00151380"/>
    <w:rsid w:val="001B26CD"/>
    <w:rsid w:val="001B6A88"/>
    <w:rsid w:val="001E063B"/>
    <w:rsid w:val="00252B1A"/>
    <w:rsid w:val="00280C74"/>
    <w:rsid w:val="002E0312"/>
    <w:rsid w:val="002E2612"/>
    <w:rsid w:val="003036F3"/>
    <w:rsid w:val="003454B0"/>
    <w:rsid w:val="003538B0"/>
    <w:rsid w:val="00364816"/>
    <w:rsid w:val="003A4659"/>
    <w:rsid w:val="003B16D4"/>
    <w:rsid w:val="003E24B0"/>
    <w:rsid w:val="003E341E"/>
    <w:rsid w:val="003E625B"/>
    <w:rsid w:val="003F51C2"/>
    <w:rsid w:val="00414967"/>
    <w:rsid w:val="00420F55"/>
    <w:rsid w:val="0042128A"/>
    <w:rsid w:val="00421A7D"/>
    <w:rsid w:val="00427318"/>
    <w:rsid w:val="00443E29"/>
    <w:rsid w:val="00446BA8"/>
    <w:rsid w:val="004476B9"/>
    <w:rsid w:val="00453345"/>
    <w:rsid w:val="00461700"/>
    <w:rsid w:val="00463A00"/>
    <w:rsid w:val="00476178"/>
    <w:rsid w:val="00486941"/>
    <w:rsid w:val="00497215"/>
    <w:rsid w:val="004A1937"/>
    <w:rsid w:val="004B3AC8"/>
    <w:rsid w:val="004B5B00"/>
    <w:rsid w:val="004B74AE"/>
    <w:rsid w:val="004C0464"/>
    <w:rsid w:val="004C4D75"/>
    <w:rsid w:val="004D7B32"/>
    <w:rsid w:val="004E7A7C"/>
    <w:rsid w:val="004F24FA"/>
    <w:rsid w:val="00510721"/>
    <w:rsid w:val="00531DDE"/>
    <w:rsid w:val="005337EE"/>
    <w:rsid w:val="00546201"/>
    <w:rsid w:val="00552A27"/>
    <w:rsid w:val="00552C3D"/>
    <w:rsid w:val="0055471B"/>
    <w:rsid w:val="005A4ED5"/>
    <w:rsid w:val="005E3D20"/>
    <w:rsid w:val="005F661E"/>
    <w:rsid w:val="00602A48"/>
    <w:rsid w:val="006043CF"/>
    <w:rsid w:val="006066A6"/>
    <w:rsid w:val="00607F17"/>
    <w:rsid w:val="006170A4"/>
    <w:rsid w:val="00622F3B"/>
    <w:rsid w:val="006248B0"/>
    <w:rsid w:val="00625370"/>
    <w:rsid w:val="00681D63"/>
    <w:rsid w:val="00691126"/>
    <w:rsid w:val="006A6989"/>
    <w:rsid w:val="006C1DFC"/>
    <w:rsid w:val="006F600C"/>
    <w:rsid w:val="00705F1A"/>
    <w:rsid w:val="00726F75"/>
    <w:rsid w:val="0075261E"/>
    <w:rsid w:val="00796BC1"/>
    <w:rsid w:val="007B6199"/>
    <w:rsid w:val="007C469B"/>
    <w:rsid w:val="007F7800"/>
    <w:rsid w:val="0080685C"/>
    <w:rsid w:val="008226A0"/>
    <w:rsid w:val="00827009"/>
    <w:rsid w:val="00842F6B"/>
    <w:rsid w:val="00856D0A"/>
    <w:rsid w:val="00873B3F"/>
    <w:rsid w:val="00880563"/>
    <w:rsid w:val="0088344C"/>
    <w:rsid w:val="00894274"/>
    <w:rsid w:val="008A32F1"/>
    <w:rsid w:val="008E189A"/>
    <w:rsid w:val="008F725B"/>
    <w:rsid w:val="00902052"/>
    <w:rsid w:val="00904A5F"/>
    <w:rsid w:val="009251A8"/>
    <w:rsid w:val="00933535"/>
    <w:rsid w:val="009362C6"/>
    <w:rsid w:val="0094060D"/>
    <w:rsid w:val="00943700"/>
    <w:rsid w:val="00972EF0"/>
    <w:rsid w:val="009A0660"/>
    <w:rsid w:val="009D542A"/>
    <w:rsid w:val="00A24AF5"/>
    <w:rsid w:val="00A35BF9"/>
    <w:rsid w:val="00AA59E6"/>
    <w:rsid w:val="00AB54B1"/>
    <w:rsid w:val="00AC4D18"/>
    <w:rsid w:val="00AD177C"/>
    <w:rsid w:val="00AF2BDB"/>
    <w:rsid w:val="00B059C0"/>
    <w:rsid w:val="00B30AE0"/>
    <w:rsid w:val="00B3721A"/>
    <w:rsid w:val="00B4662D"/>
    <w:rsid w:val="00B4786F"/>
    <w:rsid w:val="00B47A14"/>
    <w:rsid w:val="00B54708"/>
    <w:rsid w:val="00B60B7D"/>
    <w:rsid w:val="00B64F9B"/>
    <w:rsid w:val="00B80275"/>
    <w:rsid w:val="00B85615"/>
    <w:rsid w:val="00B937AD"/>
    <w:rsid w:val="00B93FC4"/>
    <w:rsid w:val="00BA3D45"/>
    <w:rsid w:val="00BB0BB7"/>
    <w:rsid w:val="00BB2F81"/>
    <w:rsid w:val="00BB7B86"/>
    <w:rsid w:val="00BC7CB1"/>
    <w:rsid w:val="00BE1F96"/>
    <w:rsid w:val="00C27AC5"/>
    <w:rsid w:val="00C42F5B"/>
    <w:rsid w:val="00C63AC7"/>
    <w:rsid w:val="00C63C96"/>
    <w:rsid w:val="00C65574"/>
    <w:rsid w:val="00C80B6F"/>
    <w:rsid w:val="00C9311C"/>
    <w:rsid w:val="00C96523"/>
    <w:rsid w:val="00CA70BF"/>
    <w:rsid w:val="00CC093E"/>
    <w:rsid w:val="00CC190C"/>
    <w:rsid w:val="00CC5594"/>
    <w:rsid w:val="00CD3A50"/>
    <w:rsid w:val="00CE398A"/>
    <w:rsid w:val="00CF4C65"/>
    <w:rsid w:val="00D25888"/>
    <w:rsid w:val="00D316B1"/>
    <w:rsid w:val="00D840AC"/>
    <w:rsid w:val="00DE1177"/>
    <w:rsid w:val="00E05D70"/>
    <w:rsid w:val="00E0608A"/>
    <w:rsid w:val="00E1252A"/>
    <w:rsid w:val="00E67C20"/>
    <w:rsid w:val="00E70E39"/>
    <w:rsid w:val="00E7228F"/>
    <w:rsid w:val="00E85DC2"/>
    <w:rsid w:val="00E87E8A"/>
    <w:rsid w:val="00E90E79"/>
    <w:rsid w:val="00E93338"/>
    <w:rsid w:val="00E97271"/>
    <w:rsid w:val="00EB43F7"/>
    <w:rsid w:val="00EB4FDA"/>
    <w:rsid w:val="00EE1950"/>
    <w:rsid w:val="00EE5DC9"/>
    <w:rsid w:val="00F06601"/>
    <w:rsid w:val="00F35172"/>
    <w:rsid w:val="00F62AEC"/>
    <w:rsid w:val="00F76639"/>
    <w:rsid w:val="00FB5408"/>
    <w:rsid w:val="00FC1FA5"/>
    <w:rsid w:val="00FC4105"/>
    <w:rsid w:val="00FC5EB0"/>
    <w:rsid w:val="00FD0BC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3DAA1"/>
  <w15:docId w15:val="{7F5B8312-EF2E-4632-AF22-EB3F4A8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408"/>
  </w:style>
  <w:style w:type="paragraph" w:styleId="Heading1">
    <w:name w:val="heading 1"/>
    <w:basedOn w:val="Normal"/>
    <w:next w:val="Normal"/>
    <w:link w:val="Heading1Char"/>
    <w:uiPriority w:val="9"/>
    <w:qFormat/>
    <w:rsid w:val="00FB5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08"/>
    <w:rPr>
      <w:rFonts w:eastAsiaTheme="majorEastAsia" w:cstheme="majorBidi"/>
      <w:color w:val="272727" w:themeColor="text1" w:themeTint="D8"/>
    </w:rPr>
  </w:style>
  <w:style w:type="paragraph" w:styleId="Title">
    <w:name w:val="Title"/>
    <w:basedOn w:val="Normal"/>
    <w:next w:val="Normal"/>
    <w:link w:val="TitleChar"/>
    <w:uiPriority w:val="10"/>
    <w:qFormat/>
    <w:rsid w:val="00FB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08"/>
    <w:pPr>
      <w:spacing w:before="160"/>
      <w:jc w:val="center"/>
    </w:pPr>
    <w:rPr>
      <w:i/>
      <w:iCs/>
      <w:color w:val="404040" w:themeColor="text1" w:themeTint="BF"/>
    </w:rPr>
  </w:style>
  <w:style w:type="character" w:customStyle="1" w:styleId="QuoteChar">
    <w:name w:val="Quote Char"/>
    <w:basedOn w:val="DefaultParagraphFont"/>
    <w:link w:val="Quote"/>
    <w:uiPriority w:val="29"/>
    <w:rsid w:val="00FB5408"/>
    <w:rPr>
      <w:i/>
      <w:iCs/>
      <w:color w:val="404040" w:themeColor="text1" w:themeTint="BF"/>
    </w:rPr>
  </w:style>
  <w:style w:type="paragraph" w:styleId="ListParagraph">
    <w:name w:val="List Paragraph"/>
    <w:basedOn w:val="Normal"/>
    <w:uiPriority w:val="34"/>
    <w:qFormat/>
    <w:rsid w:val="00FB5408"/>
    <w:pPr>
      <w:ind w:left="720"/>
      <w:contextualSpacing/>
    </w:pPr>
  </w:style>
  <w:style w:type="character" w:styleId="IntenseEmphasis">
    <w:name w:val="Intense Emphasis"/>
    <w:basedOn w:val="DefaultParagraphFont"/>
    <w:uiPriority w:val="21"/>
    <w:qFormat/>
    <w:rsid w:val="00FB5408"/>
    <w:rPr>
      <w:i/>
      <w:iCs/>
      <w:color w:val="2F5496" w:themeColor="accent1" w:themeShade="BF"/>
    </w:rPr>
  </w:style>
  <w:style w:type="paragraph" w:styleId="IntenseQuote">
    <w:name w:val="Intense Quote"/>
    <w:basedOn w:val="Normal"/>
    <w:next w:val="Normal"/>
    <w:link w:val="IntenseQuoteChar"/>
    <w:uiPriority w:val="30"/>
    <w:qFormat/>
    <w:rsid w:val="00FB5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408"/>
    <w:rPr>
      <w:i/>
      <w:iCs/>
      <w:color w:val="2F5496" w:themeColor="accent1" w:themeShade="BF"/>
    </w:rPr>
  </w:style>
  <w:style w:type="character" w:styleId="IntenseReference">
    <w:name w:val="Intense Reference"/>
    <w:basedOn w:val="DefaultParagraphFont"/>
    <w:uiPriority w:val="32"/>
    <w:qFormat/>
    <w:rsid w:val="00FB5408"/>
    <w:rPr>
      <w:b/>
      <w:bCs/>
      <w:smallCaps/>
      <w:color w:val="2F5496" w:themeColor="accent1" w:themeShade="BF"/>
      <w:spacing w:val="5"/>
    </w:rPr>
  </w:style>
  <w:style w:type="paragraph" w:styleId="NoSpacing">
    <w:name w:val="No Spacing"/>
    <w:uiPriority w:val="1"/>
    <w:qFormat/>
    <w:rsid w:val="0042128A"/>
    <w:pPr>
      <w:spacing w:after="0" w:line="240" w:lineRule="auto"/>
    </w:pPr>
  </w:style>
  <w:style w:type="table" w:customStyle="1" w:styleId="TableGridLight1">
    <w:name w:val="Table Grid Light1"/>
    <w:basedOn w:val="TableNormal"/>
    <w:uiPriority w:val="40"/>
    <w:rsid w:val="00E70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C4D1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0E314A"/>
    <w:rPr>
      <w:color w:val="0563C1" w:themeColor="hyperlink"/>
      <w:u w:val="single"/>
    </w:rPr>
  </w:style>
  <w:style w:type="character" w:customStyle="1" w:styleId="UnresolvedMention1">
    <w:name w:val="Unresolved Mention1"/>
    <w:basedOn w:val="DefaultParagraphFont"/>
    <w:uiPriority w:val="99"/>
    <w:semiHidden/>
    <w:unhideWhenUsed/>
    <w:rsid w:val="000E314A"/>
    <w:rPr>
      <w:color w:val="605E5C"/>
      <w:shd w:val="clear" w:color="auto" w:fill="E1DFDD"/>
    </w:rPr>
  </w:style>
  <w:style w:type="paragraph" w:styleId="Header">
    <w:name w:val="header"/>
    <w:basedOn w:val="Normal"/>
    <w:link w:val="HeaderChar"/>
    <w:uiPriority w:val="99"/>
    <w:unhideWhenUsed/>
    <w:rsid w:val="00E9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1"/>
  </w:style>
  <w:style w:type="paragraph" w:styleId="Footer">
    <w:name w:val="footer"/>
    <w:basedOn w:val="Normal"/>
    <w:link w:val="FooterChar"/>
    <w:uiPriority w:val="99"/>
    <w:unhideWhenUsed/>
    <w:rsid w:val="00E9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1"/>
  </w:style>
  <w:style w:type="character" w:styleId="CommentReference">
    <w:name w:val="annotation reference"/>
    <w:basedOn w:val="DefaultParagraphFont"/>
    <w:uiPriority w:val="99"/>
    <w:semiHidden/>
    <w:unhideWhenUsed/>
    <w:rsid w:val="00CC5594"/>
    <w:rPr>
      <w:sz w:val="16"/>
      <w:szCs w:val="16"/>
    </w:rPr>
  </w:style>
  <w:style w:type="paragraph" w:styleId="CommentText">
    <w:name w:val="annotation text"/>
    <w:basedOn w:val="Normal"/>
    <w:link w:val="CommentTextChar"/>
    <w:uiPriority w:val="99"/>
    <w:semiHidden/>
    <w:unhideWhenUsed/>
    <w:rsid w:val="00CC5594"/>
    <w:pPr>
      <w:spacing w:line="240" w:lineRule="auto"/>
    </w:pPr>
    <w:rPr>
      <w:sz w:val="20"/>
      <w:szCs w:val="20"/>
    </w:rPr>
  </w:style>
  <w:style w:type="character" w:customStyle="1" w:styleId="CommentTextChar">
    <w:name w:val="Comment Text Char"/>
    <w:basedOn w:val="DefaultParagraphFont"/>
    <w:link w:val="CommentText"/>
    <w:uiPriority w:val="99"/>
    <w:semiHidden/>
    <w:rsid w:val="00CC5594"/>
    <w:rPr>
      <w:sz w:val="20"/>
      <w:szCs w:val="20"/>
    </w:rPr>
  </w:style>
  <w:style w:type="paragraph" w:styleId="CommentSubject">
    <w:name w:val="annotation subject"/>
    <w:basedOn w:val="CommentText"/>
    <w:next w:val="CommentText"/>
    <w:link w:val="CommentSubjectChar"/>
    <w:uiPriority w:val="99"/>
    <w:semiHidden/>
    <w:unhideWhenUsed/>
    <w:rsid w:val="00CC5594"/>
    <w:rPr>
      <w:b/>
      <w:bCs/>
    </w:rPr>
  </w:style>
  <w:style w:type="character" w:customStyle="1" w:styleId="CommentSubjectChar">
    <w:name w:val="Comment Subject Char"/>
    <w:basedOn w:val="CommentTextChar"/>
    <w:link w:val="CommentSubject"/>
    <w:uiPriority w:val="99"/>
    <w:semiHidden/>
    <w:rsid w:val="00CC5594"/>
    <w:rPr>
      <w:b/>
      <w:bCs/>
      <w:sz w:val="20"/>
      <w:szCs w:val="20"/>
    </w:rPr>
  </w:style>
  <w:style w:type="paragraph" w:styleId="BalloonText">
    <w:name w:val="Balloon Text"/>
    <w:basedOn w:val="Normal"/>
    <w:link w:val="BalloonTextChar"/>
    <w:uiPriority w:val="99"/>
    <w:semiHidden/>
    <w:unhideWhenUsed/>
    <w:rsid w:val="00CC5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14</Pages>
  <Words>4881</Words>
  <Characters>27826</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Sarkar</dc:creator>
  <cp:keywords/>
  <dc:description/>
  <cp:lastModifiedBy>SDI 1067</cp:lastModifiedBy>
  <cp:revision>161</cp:revision>
  <dcterms:created xsi:type="dcterms:W3CDTF">2025-11-07T07:24:00Z</dcterms:created>
  <dcterms:modified xsi:type="dcterms:W3CDTF">2026-01-31T05:36:00Z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692812d4-85a3-4394-9ef0-124aae571ce0</vt:lpwstr>
  </property>
</Properties>
</file>