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DDE3" w14:textId="11F162A9" w:rsidR="00147FA0" w:rsidRPr="00F204C3" w:rsidRDefault="00147FA0" w:rsidP="00233384">
      <w:pPr>
        <w:spacing w:line="240" w:lineRule="auto"/>
        <w:ind w:right="1170"/>
        <w:jc w:val="right"/>
        <w:rPr>
          <w:rStyle w:val="Pa3Char"/>
          <w:rFonts w:ascii="Arial" w:hAnsi="Arial" w:cs="Arial"/>
          <w:b/>
          <w:sz w:val="36"/>
          <w:szCs w:val="36"/>
        </w:rPr>
      </w:pPr>
      <w:r w:rsidRPr="00F204C3">
        <w:rPr>
          <w:rStyle w:val="Pa3Char"/>
          <w:rFonts w:ascii="Arial" w:hAnsi="Arial" w:cs="Arial"/>
          <w:b/>
          <w:sz w:val="36"/>
          <w:szCs w:val="36"/>
        </w:rPr>
        <w:t xml:space="preserve">Effect of </w:t>
      </w:r>
      <w:r w:rsidR="001E5205" w:rsidRPr="00F204C3">
        <w:rPr>
          <w:rStyle w:val="Pa3Char"/>
          <w:rFonts w:ascii="Arial" w:hAnsi="Arial" w:cs="Arial"/>
          <w:b/>
          <w:sz w:val="36"/>
          <w:szCs w:val="36"/>
        </w:rPr>
        <w:t xml:space="preserve">Oral Administration </w:t>
      </w:r>
      <w:r w:rsidRPr="00F204C3">
        <w:rPr>
          <w:rStyle w:val="Pa3Char"/>
          <w:rFonts w:ascii="Arial" w:hAnsi="Arial" w:cs="Arial"/>
          <w:b/>
          <w:sz w:val="36"/>
          <w:szCs w:val="36"/>
        </w:rPr>
        <w:t xml:space="preserve">of </w:t>
      </w:r>
      <w:r w:rsidR="001E5205" w:rsidRPr="00F204C3">
        <w:rPr>
          <w:rStyle w:val="Pa3Char"/>
          <w:rFonts w:ascii="Arial" w:hAnsi="Arial" w:cs="Arial"/>
          <w:b/>
          <w:sz w:val="36"/>
          <w:szCs w:val="36"/>
        </w:rPr>
        <w:t xml:space="preserve">Ethyl </w:t>
      </w:r>
      <w:r w:rsidR="00F37C21" w:rsidRPr="00F204C3">
        <w:rPr>
          <w:rStyle w:val="Pa3Char"/>
          <w:rFonts w:ascii="Arial" w:hAnsi="Arial" w:cs="Arial"/>
          <w:b/>
          <w:sz w:val="36"/>
          <w:szCs w:val="36"/>
        </w:rPr>
        <w:t xml:space="preserve">Acetate </w:t>
      </w:r>
      <w:r w:rsidR="001E5205" w:rsidRPr="00F204C3">
        <w:rPr>
          <w:rStyle w:val="Pa3Char"/>
          <w:rFonts w:ascii="Arial" w:hAnsi="Arial" w:cs="Arial"/>
          <w:b/>
          <w:sz w:val="36"/>
          <w:szCs w:val="36"/>
        </w:rPr>
        <w:t xml:space="preserve">Leaf Extract </w:t>
      </w:r>
      <w:r w:rsidRPr="00F204C3">
        <w:rPr>
          <w:rStyle w:val="Pa3Char"/>
          <w:rFonts w:ascii="Arial" w:hAnsi="Arial" w:cs="Arial"/>
          <w:b/>
          <w:sz w:val="36"/>
          <w:szCs w:val="36"/>
        </w:rPr>
        <w:t xml:space="preserve">of </w:t>
      </w:r>
      <w:r w:rsidR="00B60E27" w:rsidRPr="00F204C3">
        <w:rPr>
          <w:rStyle w:val="Pa3Char"/>
          <w:rFonts w:ascii="Arial" w:hAnsi="Arial" w:cs="Arial"/>
          <w:b/>
          <w:i/>
          <w:sz w:val="36"/>
          <w:szCs w:val="36"/>
        </w:rPr>
        <w:t xml:space="preserve">Gliricidia </w:t>
      </w:r>
      <w:proofErr w:type="spellStart"/>
      <w:r w:rsidR="00B60E27" w:rsidRPr="00F204C3">
        <w:rPr>
          <w:rStyle w:val="Pa3Char"/>
          <w:rFonts w:ascii="Arial" w:hAnsi="Arial" w:cs="Arial"/>
          <w:b/>
          <w:i/>
          <w:sz w:val="36"/>
          <w:szCs w:val="36"/>
        </w:rPr>
        <w:t>sepium</w:t>
      </w:r>
      <w:proofErr w:type="spellEnd"/>
      <w:r w:rsidR="00B60E27" w:rsidRPr="00F204C3">
        <w:rPr>
          <w:rStyle w:val="Pa3Char"/>
          <w:rFonts w:ascii="Arial" w:hAnsi="Arial" w:cs="Arial"/>
          <w:b/>
          <w:sz w:val="36"/>
          <w:szCs w:val="36"/>
        </w:rPr>
        <w:t xml:space="preserve"> on </w:t>
      </w:r>
      <w:r w:rsidR="002F52E2">
        <w:rPr>
          <w:rStyle w:val="Pa3Char"/>
          <w:rFonts w:ascii="Arial" w:hAnsi="Arial" w:cs="Arial"/>
          <w:b/>
          <w:sz w:val="36"/>
          <w:szCs w:val="36"/>
        </w:rPr>
        <w:t xml:space="preserve">Blood </w:t>
      </w:r>
      <w:r w:rsidR="001E5205" w:rsidRPr="00F204C3">
        <w:rPr>
          <w:rStyle w:val="Pa3Char"/>
          <w:rFonts w:ascii="Arial" w:hAnsi="Arial" w:cs="Arial"/>
          <w:b/>
          <w:sz w:val="36"/>
          <w:szCs w:val="36"/>
        </w:rPr>
        <w:t xml:space="preserve">Glucose </w:t>
      </w:r>
      <w:r w:rsidR="00F37C21" w:rsidRPr="00F204C3">
        <w:rPr>
          <w:rStyle w:val="Pa3Char"/>
          <w:rFonts w:ascii="Arial" w:hAnsi="Arial" w:cs="Arial"/>
          <w:b/>
          <w:sz w:val="36"/>
          <w:szCs w:val="36"/>
        </w:rPr>
        <w:t xml:space="preserve">and </w:t>
      </w:r>
      <w:r w:rsidR="001E5205" w:rsidRPr="00F204C3">
        <w:rPr>
          <w:rStyle w:val="Pa3Char"/>
          <w:rFonts w:ascii="Arial" w:hAnsi="Arial" w:cs="Arial"/>
          <w:b/>
          <w:sz w:val="36"/>
          <w:szCs w:val="36"/>
        </w:rPr>
        <w:t xml:space="preserve">Liver Function Parameters </w:t>
      </w:r>
      <w:r w:rsidR="00B60E27" w:rsidRPr="00F204C3">
        <w:rPr>
          <w:rStyle w:val="Pa3Char"/>
          <w:rFonts w:ascii="Arial" w:hAnsi="Arial" w:cs="Arial"/>
          <w:b/>
          <w:sz w:val="36"/>
          <w:szCs w:val="36"/>
        </w:rPr>
        <w:t xml:space="preserve">in Wistar </w:t>
      </w:r>
      <w:r w:rsidR="001E5205" w:rsidRPr="00F204C3">
        <w:rPr>
          <w:rStyle w:val="Pa3Char"/>
          <w:rFonts w:ascii="Arial" w:hAnsi="Arial" w:cs="Arial"/>
          <w:b/>
          <w:sz w:val="36"/>
          <w:szCs w:val="36"/>
        </w:rPr>
        <w:t>Rats</w:t>
      </w:r>
    </w:p>
    <w:p w14:paraId="6EC37E9A" w14:textId="77777777" w:rsidR="00630EBF" w:rsidRDefault="00630EBF" w:rsidP="0059239B">
      <w:pPr>
        <w:spacing w:line="240" w:lineRule="auto"/>
        <w:ind w:right="1170"/>
        <w:jc w:val="both"/>
        <w:rPr>
          <w:rFonts w:ascii="Arial" w:hAnsi="Arial" w:cs="Arial"/>
          <w:b/>
        </w:rPr>
      </w:pPr>
    </w:p>
    <w:p w14:paraId="09ADEF0C" w14:textId="16A90F7A" w:rsidR="0059239B" w:rsidRPr="00F204C3" w:rsidRDefault="0059239B" w:rsidP="0059239B">
      <w:pPr>
        <w:spacing w:line="240" w:lineRule="auto"/>
        <w:ind w:right="1170"/>
        <w:jc w:val="both"/>
        <w:rPr>
          <w:rFonts w:ascii="Arial" w:hAnsi="Arial" w:cs="Arial"/>
          <w:b/>
        </w:rPr>
      </w:pPr>
      <w:commentRangeStart w:id="0"/>
      <w:r w:rsidRPr="00325885">
        <w:rPr>
          <w:rFonts w:ascii="Arial" w:hAnsi="Arial" w:cs="Arial"/>
          <w:b/>
          <w:highlight w:val="yellow"/>
        </w:rPr>
        <w:t>ABSTRACT</w:t>
      </w:r>
      <w:commentRangeEnd w:id="0"/>
      <w:r w:rsidR="00325885">
        <w:rPr>
          <w:rStyle w:val="CommentReference"/>
        </w:rPr>
        <w:commentReference w:id="0"/>
      </w:r>
      <w:r w:rsidRPr="00F204C3">
        <w:rPr>
          <w:rFonts w:ascii="Arial" w:hAnsi="Arial" w:cs="Arial"/>
          <w:b/>
        </w:rPr>
        <w:t xml:space="preserve"> </w:t>
      </w:r>
    </w:p>
    <w:p w14:paraId="70B860FE" w14:textId="77777777" w:rsidR="00F37C21" w:rsidRPr="00F204C3" w:rsidRDefault="00F37C21" w:rsidP="004C10AC">
      <w:pPr>
        <w:spacing w:line="480" w:lineRule="auto"/>
        <w:ind w:right="1170"/>
        <w:jc w:val="both"/>
        <w:rPr>
          <w:rStyle w:val="Pa3Char"/>
          <w:rFonts w:ascii="Arial" w:hAnsi="Arial" w:cs="Arial"/>
          <w:i/>
        </w:rPr>
      </w:pPr>
      <w:r w:rsidRPr="00F204C3">
        <w:rPr>
          <w:rFonts w:ascii="Arial" w:hAnsi="Arial" w:cs="Arial"/>
          <w:i/>
          <w:noProof/>
          <w:sz w:val="24"/>
          <w:szCs w:val="24"/>
          <w:lang w:val="en-GB" w:eastAsia="en-GB"/>
        </w:rPr>
        <mc:AlternateContent>
          <mc:Choice Requires="wps">
            <w:drawing>
              <wp:anchor distT="0" distB="0" distL="114300" distR="114300" simplePos="0" relativeHeight="251659264" behindDoc="0" locked="0" layoutInCell="1" allowOverlap="1" wp14:anchorId="300745E8" wp14:editId="22119C9D">
                <wp:simplePos x="0" y="0"/>
                <wp:positionH relativeFrom="column">
                  <wp:posOffset>8792</wp:posOffset>
                </wp:positionH>
                <wp:positionV relativeFrom="paragraph">
                  <wp:posOffset>28086</wp:posOffset>
                </wp:positionV>
                <wp:extent cx="914400" cy="4378569"/>
                <wp:effectExtent l="0" t="0" r="15240" b="22225"/>
                <wp:wrapNone/>
                <wp:docPr id="1" name="Text Box 1"/>
                <wp:cNvGraphicFramePr/>
                <a:graphic xmlns:a="http://schemas.openxmlformats.org/drawingml/2006/main">
                  <a:graphicData uri="http://schemas.microsoft.com/office/word/2010/wordprocessingShape">
                    <wps:wsp>
                      <wps:cNvSpPr txBox="1"/>
                      <wps:spPr>
                        <a:xfrm>
                          <a:off x="0" y="0"/>
                          <a:ext cx="914400" cy="43785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BBDA5B" w14:textId="77777777" w:rsidR="004C10AC" w:rsidRPr="0059239B" w:rsidRDefault="004C10AC" w:rsidP="005F2938">
                            <w:pPr>
                              <w:spacing w:line="240" w:lineRule="auto"/>
                              <w:ind w:right="1170"/>
                              <w:jc w:val="both"/>
                              <w:rPr>
                                <w:rStyle w:val="Pa3Char"/>
                                <w:rFonts w:ascii="Arial" w:hAnsi="Arial" w:cs="Arial"/>
                                <w:sz w:val="20"/>
                                <w:szCs w:val="20"/>
                              </w:rPr>
                            </w:pPr>
                            <w:r w:rsidRPr="0059239B">
                              <w:rPr>
                                <w:rFonts w:ascii="Arial" w:hAnsi="Arial" w:cs="Arial"/>
                                <w:b/>
                                <w:sz w:val="20"/>
                                <w:szCs w:val="20"/>
                              </w:rPr>
                              <w:t>Aim:</w:t>
                            </w:r>
                            <w:r w:rsidRPr="0059239B">
                              <w:rPr>
                                <w:rStyle w:val="Pa3Char"/>
                                <w:rFonts w:ascii="Arial" w:hAnsi="Arial" w:cs="Arial"/>
                                <w:b/>
                                <w:sz w:val="20"/>
                                <w:szCs w:val="20"/>
                              </w:rPr>
                              <w:t xml:space="preserve"> </w:t>
                            </w:r>
                            <w:r w:rsidR="002F52E2" w:rsidRPr="002F52E2">
                              <w:rPr>
                                <w:rStyle w:val="Pa3Char"/>
                                <w:rFonts w:ascii="Arial" w:hAnsi="Arial" w:cs="Arial"/>
                                <w:sz w:val="20"/>
                                <w:szCs w:val="20"/>
                              </w:rPr>
                              <w:t xml:space="preserve">This study was designed to evaluate the effect </w:t>
                            </w:r>
                            <w:r w:rsidR="002F52E2">
                              <w:rPr>
                                <w:rStyle w:val="Pa3Char"/>
                                <w:rFonts w:ascii="Arial" w:hAnsi="Arial" w:cs="Arial"/>
                                <w:sz w:val="20"/>
                                <w:szCs w:val="20"/>
                              </w:rPr>
                              <w:t xml:space="preserve">of oral administration of ethyl </w:t>
                            </w:r>
                            <w:r w:rsidR="002F52E2" w:rsidRPr="002F52E2">
                              <w:rPr>
                                <w:rStyle w:val="Pa3Char"/>
                                <w:rFonts w:ascii="Arial" w:hAnsi="Arial" w:cs="Arial"/>
                                <w:sz w:val="20"/>
                                <w:szCs w:val="20"/>
                              </w:rPr>
                              <w:t xml:space="preserve">acetate leaf extract of </w:t>
                            </w:r>
                            <w:r w:rsidR="002F52E2" w:rsidRPr="002A471C">
                              <w:rPr>
                                <w:rStyle w:val="Pa3Char"/>
                                <w:rFonts w:ascii="Arial" w:hAnsi="Arial" w:cs="Arial"/>
                                <w:sz w:val="20"/>
                                <w:szCs w:val="20"/>
                                <w:highlight w:val="yellow"/>
                              </w:rPr>
                              <w:t xml:space="preserve">Gliricidia </w:t>
                            </w:r>
                            <w:proofErr w:type="spellStart"/>
                            <w:r w:rsidR="002F52E2" w:rsidRPr="002A471C">
                              <w:rPr>
                                <w:rStyle w:val="Pa3Char"/>
                                <w:rFonts w:ascii="Arial" w:hAnsi="Arial" w:cs="Arial"/>
                                <w:sz w:val="20"/>
                                <w:szCs w:val="20"/>
                                <w:highlight w:val="yellow"/>
                              </w:rPr>
                              <w:t>sepium</w:t>
                            </w:r>
                            <w:proofErr w:type="spellEnd"/>
                            <w:r w:rsidR="002F52E2" w:rsidRPr="002F52E2">
                              <w:rPr>
                                <w:rStyle w:val="Pa3Char"/>
                                <w:rFonts w:ascii="Arial" w:hAnsi="Arial" w:cs="Arial"/>
                                <w:sz w:val="20"/>
                                <w:szCs w:val="20"/>
                              </w:rPr>
                              <w:t xml:space="preserve"> on blood glucose and liver function parameters in Wistar rats.</w:t>
                            </w:r>
                          </w:p>
                          <w:p w14:paraId="0DB4AD8D" w14:textId="77777777" w:rsidR="002F52E2" w:rsidRPr="002F52E2" w:rsidRDefault="00D6303C" w:rsidP="002F52E2">
                            <w:pPr>
                              <w:rPr>
                                <w:rStyle w:val="Pa3Char"/>
                                <w:rFonts w:ascii="Arial" w:hAnsi="Arial" w:cs="Arial"/>
                                <w:sz w:val="20"/>
                                <w:szCs w:val="20"/>
                              </w:rPr>
                            </w:pPr>
                            <w:r w:rsidRPr="0059239B">
                              <w:rPr>
                                <w:rStyle w:val="Pa3Char"/>
                                <w:rFonts w:ascii="Arial" w:hAnsi="Arial" w:cs="Arial"/>
                                <w:b/>
                                <w:sz w:val="20"/>
                                <w:szCs w:val="20"/>
                              </w:rPr>
                              <w:t xml:space="preserve">Study </w:t>
                            </w:r>
                            <w:r w:rsidR="005F2938" w:rsidRPr="0059239B">
                              <w:rPr>
                                <w:rStyle w:val="Pa3Char"/>
                                <w:rFonts w:ascii="Arial" w:hAnsi="Arial" w:cs="Arial"/>
                                <w:b/>
                                <w:sz w:val="20"/>
                                <w:szCs w:val="20"/>
                              </w:rPr>
                              <w:t>Design:</w:t>
                            </w:r>
                            <w:r w:rsidR="005F2938" w:rsidRPr="0059239B">
                              <w:rPr>
                                <w:rStyle w:val="Pa3Char"/>
                                <w:rFonts w:ascii="Arial" w:hAnsi="Arial" w:cs="Arial"/>
                                <w:sz w:val="20"/>
                                <w:szCs w:val="20"/>
                              </w:rPr>
                              <w:t xml:space="preserve"> </w:t>
                            </w:r>
                            <w:r w:rsidR="002F52E2" w:rsidRPr="002F52E2">
                              <w:rPr>
                                <w:rStyle w:val="Pa3Char"/>
                                <w:rFonts w:ascii="Arial" w:hAnsi="Arial" w:cs="Arial"/>
                                <w:sz w:val="20"/>
                                <w:szCs w:val="20"/>
                              </w:rPr>
                              <w:t>Completely randomized controlled experimental study.</w:t>
                            </w:r>
                          </w:p>
                          <w:p w14:paraId="6772C18D" w14:textId="77777777" w:rsidR="00D6303C" w:rsidRPr="0059239B" w:rsidRDefault="00D6303C" w:rsidP="005F2938">
                            <w:pPr>
                              <w:spacing w:line="240" w:lineRule="auto"/>
                              <w:ind w:right="1170"/>
                              <w:jc w:val="both"/>
                              <w:rPr>
                                <w:rStyle w:val="Pa3Char"/>
                                <w:rFonts w:ascii="Arial" w:hAnsi="Arial" w:cs="Arial"/>
                                <w:sz w:val="20"/>
                                <w:szCs w:val="20"/>
                              </w:rPr>
                            </w:pPr>
                          </w:p>
                          <w:p w14:paraId="38783B6E" w14:textId="77777777" w:rsidR="005F2938" w:rsidRPr="0059239B" w:rsidRDefault="005F2938" w:rsidP="005F2938">
                            <w:pPr>
                              <w:pStyle w:val="Body"/>
                              <w:spacing w:after="0"/>
                              <w:rPr>
                                <w:rFonts w:ascii="Arial" w:eastAsia="Calibri" w:hAnsi="Arial" w:cs="Arial"/>
                              </w:rPr>
                            </w:pPr>
                            <w:r w:rsidRPr="0059239B">
                              <w:rPr>
                                <w:rFonts w:ascii="Arial" w:eastAsia="Calibri" w:hAnsi="Arial" w:cs="Arial"/>
                                <w:b/>
                              </w:rPr>
                              <w:t>Place and Duration of Study:</w:t>
                            </w:r>
                            <w:r w:rsidRPr="0059239B">
                              <w:rPr>
                                <w:rFonts w:ascii="Arial" w:eastAsia="Calibri" w:hAnsi="Arial" w:cs="Arial"/>
                              </w:rPr>
                              <w:t xml:space="preserve"> </w:t>
                            </w:r>
                            <w:r w:rsidR="002F52E2" w:rsidRPr="002F52E2">
                              <w:rPr>
                                <w:rFonts w:ascii="Arial" w:eastAsia="Calibri" w:hAnsi="Arial" w:cs="Arial"/>
                              </w:rPr>
                              <w:t xml:space="preserve">The study was conducted at the Animal House of the Faculty of Pharmaceutical Sciences and the Chemical Pathology Laboratory of the School of Medical Laboratory Science, </w:t>
                            </w:r>
                            <w:proofErr w:type="spellStart"/>
                            <w:r w:rsidR="002F52E2" w:rsidRPr="002F52E2">
                              <w:rPr>
                                <w:rFonts w:ascii="Arial" w:eastAsia="Calibri" w:hAnsi="Arial" w:cs="Arial"/>
                              </w:rPr>
                              <w:t>Usmanu</w:t>
                            </w:r>
                            <w:proofErr w:type="spellEnd"/>
                            <w:r w:rsidR="002F52E2" w:rsidRPr="002F52E2">
                              <w:rPr>
                                <w:rFonts w:ascii="Arial" w:eastAsia="Calibri" w:hAnsi="Arial" w:cs="Arial"/>
                              </w:rPr>
                              <w:t xml:space="preserve"> </w:t>
                            </w:r>
                            <w:proofErr w:type="spellStart"/>
                            <w:r w:rsidR="002F52E2" w:rsidRPr="002F52E2">
                              <w:rPr>
                                <w:rFonts w:ascii="Arial" w:eastAsia="Calibri" w:hAnsi="Arial" w:cs="Arial"/>
                              </w:rPr>
                              <w:t>Danfodiyo</w:t>
                            </w:r>
                            <w:proofErr w:type="spellEnd"/>
                            <w:r w:rsidR="002F52E2" w:rsidRPr="002F52E2">
                              <w:rPr>
                                <w:rFonts w:ascii="Arial" w:eastAsia="Calibri" w:hAnsi="Arial" w:cs="Arial"/>
                              </w:rPr>
                              <w:t xml:space="preserve"> University, Sokoto, between May 2024 and October 2025.</w:t>
                            </w:r>
                          </w:p>
                          <w:p w14:paraId="778CB271" w14:textId="77777777" w:rsidR="005F2938" w:rsidRPr="0059239B" w:rsidRDefault="005F2938" w:rsidP="005F2938">
                            <w:pPr>
                              <w:pStyle w:val="Body"/>
                              <w:spacing w:after="0"/>
                              <w:rPr>
                                <w:rFonts w:ascii="Arial" w:eastAsia="Calibri" w:hAnsi="Arial" w:cs="Arial"/>
                              </w:rPr>
                            </w:pPr>
                            <w:r w:rsidRPr="0059239B">
                              <w:rPr>
                                <w:rFonts w:ascii="Arial" w:eastAsia="Calibri" w:hAnsi="Arial" w:cs="Arial"/>
                                <w:b/>
                                <w:bCs/>
                              </w:rPr>
                              <w:t>Methodology</w:t>
                            </w:r>
                            <w:r w:rsidR="00A8003D" w:rsidRPr="0059239B">
                              <w:rPr>
                                <w:rFonts w:ascii="Arial" w:eastAsia="Calibri" w:hAnsi="Arial" w:cs="Arial"/>
                                <w:b/>
                                <w:bCs/>
                              </w:rPr>
                              <w:t>:</w:t>
                            </w:r>
                            <w:r w:rsidR="00E46E80" w:rsidRPr="0059239B">
                              <w:rPr>
                                <w:rFonts w:ascii="Arial" w:eastAsia="Calibri" w:hAnsi="Arial" w:cs="Arial"/>
                              </w:rPr>
                              <w:t xml:space="preserve"> </w:t>
                            </w:r>
                            <w:r w:rsidR="002F52E2" w:rsidRPr="002F52E2">
                              <w:rPr>
                                <w:rFonts w:ascii="Arial" w:eastAsia="Calibri" w:hAnsi="Arial" w:cs="Arial"/>
                              </w:rPr>
                              <w:t xml:space="preserve">Acute oral toxicity was assessed using </w:t>
                            </w:r>
                            <w:proofErr w:type="spellStart"/>
                            <w:r w:rsidR="002F52E2" w:rsidRPr="002F52E2">
                              <w:rPr>
                                <w:rFonts w:ascii="Arial" w:eastAsia="Calibri" w:hAnsi="Arial" w:cs="Arial"/>
                              </w:rPr>
                              <w:t>Lorke’s</w:t>
                            </w:r>
                            <w:proofErr w:type="spellEnd"/>
                            <w:r w:rsidR="002F52E2" w:rsidRPr="002F52E2">
                              <w:rPr>
                                <w:rFonts w:ascii="Arial" w:eastAsia="Calibri" w:hAnsi="Arial" w:cs="Arial"/>
                              </w:rPr>
                              <w:t xml:space="preserve"> method. Twelve (12) male Wistar rats were randomly divided into four groups of three rats each. In phase one, groups I, II, and III received 10, 100, and 1000 mg/kg body weight of the extract, respectively, while group IV served as control. In phase two, three rats received single oral doses of 1600, 2900, and 5000 </w:t>
                            </w:r>
                            <w:r w:rsidR="002F52E2">
                              <w:rPr>
                                <w:rFonts w:ascii="Arial" w:eastAsia="Calibri" w:hAnsi="Arial" w:cs="Arial"/>
                              </w:rPr>
                              <w:t>mg/kg body weight, respectively</w:t>
                            </w:r>
                            <w:r w:rsidR="009D08B8">
                              <w:rPr>
                                <w:rFonts w:ascii="Arial" w:eastAsia="Calibri" w:hAnsi="Arial" w:cs="Arial"/>
                              </w:rPr>
                              <w:t>.</w:t>
                            </w:r>
                            <w:r w:rsidR="0063111B">
                              <w:rPr>
                                <w:rFonts w:ascii="Arial" w:eastAsia="Calibri" w:hAnsi="Arial" w:cs="Arial"/>
                              </w:rPr>
                              <w:t xml:space="preserve"> </w:t>
                            </w:r>
                            <w:r w:rsidR="002F52E2" w:rsidRPr="002F52E2">
                              <w:rPr>
                                <w:rFonts w:ascii="Arial" w:eastAsia="Calibri" w:hAnsi="Arial" w:cs="Arial"/>
                              </w:rPr>
                              <w:t>For the sub-chronic toxicity study, forty-eight (48) adult Wistar rats (24 males and 24 females) were randomly assigned into four groups of twelve rats each (6 males and 6 females). Group I received 1 mL of normal saline, while Groups II, III, and IV received 500, 1000, and 1500 mg/kg body weight of the extract, respectively, for 28 consecutive days. After treatment, rats were fasted overnight, anesthetized, and blood samples were collected for analysis of blood glucose and liver function parameters.</w:t>
                            </w:r>
                          </w:p>
                          <w:p w14:paraId="6BA67DD4" w14:textId="77777777" w:rsidR="008E3A71" w:rsidRPr="0059239B" w:rsidRDefault="005F2938" w:rsidP="008E3A71">
                            <w:pPr>
                              <w:spacing w:line="240" w:lineRule="auto"/>
                              <w:jc w:val="both"/>
                              <w:rPr>
                                <w:rFonts w:ascii="Arial" w:hAnsi="Arial" w:cs="Arial"/>
                                <w:color w:val="000000"/>
                                <w:sz w:val="20"/>
                                <w:szCs w:val="20"/>
                              </w:rPr>
                            </w:pPr>
                            <w:r w:rsidRPr="0059239B">
                              <w:rPr>
                                <w:rFonts w:ascii="Arial" w:eastAsia="Calibri" w:hAnsi="Arial" w:cs="Arial"/>
                                <w:b/>
                                <w:bCs/>
                                <w:sz w:val="20"/>
                                <w:szCs w:val="20"/>
                              </w:rPr>
                              <w:t>Results:</w:t>
                            </w:r>
                            <w:r w:rsidRPr="0059239B">
                              <w:rPr>
                                <w:rFonts w:ascii="Arial" w:eastAsia="Calibri" w:hAnsi="Arial" w:cs="Arial"/>
                                <w:sz w:val="20"/>
                                <w:szCs w:val="20"/>
                              </w:rPr>
                              <w:t xml:space="preserve"> </w:t>
                            </w:r>
                            <w:r w:rsidR="002F52E2" w:rsidRPr="002F52E2">
                              <w:rPr>
                                <w:rFonts w:ascii="Arial" w:eastAsia="Calibri" w:hAnsi="Arial" w:cs="Arial"/>
                                <w:sz w:val="20"/>
                                <w:szCs w:val="20"/>
                              </w:rPr>
                              <w:t>The acute toxicity study revealed that the oral LD</w:t>
                            </w:r>
                            <w:r w:rsidR="002F52E2" w:rsidRPr="002F52E2">
                              <w:rPr>
                                <w:rFonts w:ascii="Cambria Math" w:eastAsia="Calibri" w:hAnsi="Cambria Math" w:cs="Cambria Math"/>
                                <w:sz w:val="20"/>
                                <w:szCs w:val="20"/>
                              </w:rPr>
                              <w:t>₅₀</w:t>
                            </w:r>
                            <w:r w:rsidR="002F52E2" w:rsidRPr="002F52E2">
                              <w:rPr>
                                <w:rFonts w:ascii="Arial" w:eastAsia="Calibri" w:hAnsi="Arial" w:cs="Arial"/>
                                <w:sz w:val="20"/>
                                <w:szCs w:val="20"/>
                              </w:rPr>
                              <w:t xml:space="preserve"> of the extract was greater than 5000 mg/kg body weight. Sub-chronic administration of the extract did not produce any significant changes (p &gt; 0.05) in blood glucose, AST, ALT, ALP, total protein, total bilirubin, conjugated bilirubin, or GGT levels in treated groups </w:t>
                            </w:r>
                            <w:r w:rsidR="002F52E2">
                              <w:rPr>
                                <w:rFonts w:ascii="Arial" w:eastAsia="Calibri" w:hAnsi="Arial" w:cs="Arial"/>
                                <w:sz w:val="20"/>
                                <w:szCs w:val="20"/>
                              </w:rPr>
                              <w:t>compared with the control group</w:t>
                            </w:r>
                            <w:r w:rsidR="008E3A71" w:rsidRPr="0059239B">
                              <w:rPr>
                                <w:rFonts w:ascii="Arial" w:hAnsi="Arial" w:cs="Arial"/>
                                <w:sz w:val="20"/>
                                <w:szCs w:val="20"/>
                              </w:rPr>
                              <w:t>.</w:t>
                            </w:r>
                          </w:p>
                          <w:p w14:paraId="6D3613B1" w14:textId="77777777" w:rsidR="004C10AC" w:rsidRPr="0059239B" w:rsidRDefault="005F2938" w:rsidP="00B45B38">
                            <w:pPr>
                              <w:jc w:val="both"/>
                              <w:rPr>
                                <w:rFonts w:ascii="Arial" w:hAnsi="Arial" w:cs="Arial"/>
                                <w:sz w:val="20"/>
                                <w:szCs w:val="20"/>
                              </w:rPr>
                            </w:pPr>
                            <w:r w:rsidRPr="0059239B">
                              <w:rPr>
                                <w:rFonts w:ascii="Arial" w:eastAsia="Calibri" w:hAnsi="Arial" w:cs="Arial"/>
                                <w:b/>
                                <w:bCs/>
                                <w:sz w:val="20"/>
                                <w:szCs w:val="20"/>
                              </w:rPr>
                              <w:t>Conclusion:</w:t>
                            </w:r>
                            <w:r w:rsidRPr="0059239B">
                              <w:rPr>
                                <w:rFonts w:ascii="Arial" w:eastAsia="Calibri" w:hAnsi="Arial" w:cs="Arial"/>
                                <w:sz w:val="20"/>
                                <w:szCs w:val="20"/>
                              </w:rPr>
                              <w:t xml:space="preserve"> </w:t>
                            </w:r>
                            <w:r w:rsidR="002F52E2" w:rsidRPr="002F52E2">
                              <w:rPr>
                                <w:rStyle w:val="fontstyle01"/>
                                <w:rFonts w:ascii="Arial" w:hAnsi="Arial" w:cs="Arial"/>
                                <w:sz w:val="20"/>
                                <w:szCs w:val="20"/>
                              </w:rPr>
                              <w:t xml:space="preserve">The findings suggest that oral administration of ethyl acetate leaf extract of Gliricidia </w:t>
                            </w:r>
                            <w:proofErr w:type="spellStart"/>
                            <w:r w:rsidR="002F52E2" w:rsidRPr="002F52E2">
                              <w:rPr>
                                <w:rStyle w:val="fontstyle01"/>
                                <w:rFonts w:ascii="Arial" w:hAnsi="Arial" w:cs="Arial"/>
                                <w:sz w:val="20"/>
                                <w:szCs w:val="20"/>
                              </w:rPr>
                              <w:t>sepium</w:t>
                            </w:r>
                            <w:proofErr w:type="spellEnd"/>
                            <w:r w:rsidR="002F52E2" w:rsidRPr="002F52E2">
                              <w:rPr>
                                <w:rStyle w:val="fontstyle01"/>
                                <w:rFonts w:ascii="Arial" w:hAnsi="Arial" w:cs="Arial"/>
                                <w:sz w:val="20"/>
                                <w:szCs w:val="20"/>
                              </w:rPr>
                              <w:t xml:space="preserve"> at normal therapeutic doses is relatively safe and does not induce hepatotoxicity or alter gl</w:t>
                            </w:r>
                            <w:r w:rsidR="002F52E2">
                              <w:rPr>
                                <w:rStyle w:val="fontstyle01"/>
                                <w:rFonts w:ascii="Arial" w:hAnsi="Arial" w:cs="Arial"/>
                                <w:sz w:val="20"/>
                                <w:szCs w:val="20"/>
                              </w:rPr>
                              <w:t>ucose metabolism in Wistar rats</w:t>
                            </w:r>
                            <w:r w:rsidR="009866D1" w:rsidRPr="0059239B">
                              <w:rPr>
                                <w:rStyle w:val="fontstyle01"/>
                                <w:rFonts w:ascii="Arial" w:hAnsi="Arial" w:cs="Arial"/>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0745E8" id="_x0000_t202" coordsize="21600,21600" o:spt="202" path="m,l,21600r21600,l21600,xe">
                <v:stroke joinstyle="miter"/>
                <v:path gradientshapeok="t" o:connecttype="rect"/>
              </v:shapetype>
              <v:shape id="Text Box 1" o:spid="_x0000_s1026" type="#_x0000_t202" style="position:absolute;left:0;text-align:left;margin-left:.7pt;margin-top:2.2pt;width:1in;height:344.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" fillcolor="white [3201]" strokeweight=".5pt">
                <v:textbox>
                  <w:txbxContent>
                    <w:p w14:paraId="3CBBDA5B" w14:textId="77777777" w:rsidR="004C10AC" w:rsidRPr="0059239B" w:rsidRDefault="004C10AC" w:rsidP="005F2938">
                      <w:pPr>
                        <w:spacing w:line="240" w:lineRule="auto"/>
                        <w:ind w:right="1170"/>
                        <w:jc w:val="both"/>
                        <w:rPr>
                          <w:rStyle w:val="Pa3Char"/>
                          <w:rFonts w:ascii="Arial" w:hAnsi="Arial" w:cs="Arial"/>
                          <w:sz w:val="20"/>
                          <w:szCs w:val="20"/>
                        </w:rPr>
                      </w:pPr>
                      <w:r w:rsidRPr="0059239B">
                        <w:rPr>
                          <w:rFonts w:ascii="Arial" w:hAnsi="Arial" w:cs="Arial"/>
                          <w:b/>
                          <w:sz w:val="20"/>
                          <w:szCs w:val="20"/>
                        </w:rPr>
                        <w:t>Aim:</w:t>
                      </w:r>
                      <w:r w:rsidRPr="0059239B">
                        <w:rPr>
                          <w:rStyle w:val="Pa3Char"/>
                          <w:rFonts w:ascii="Arial" w:hAnsi="Arial" w:cs="Arial"/>
                          <w:b/>
                          <w:sz w:val="20"/>
                          <w:szCs w:val="20"/>
                        </w:rPr>
                        <w:t xml:space="preserve"> </w:t>
                      </w:r>
                      <w:r w:rsidR="002F52E2" w:rsidRPr="002F52E2">
                        <w:rPr>
                          <w:rStyle w:val="Pa3Char"/>
                          <w:rFonts w:ascii="Arial" w:hAnsi="Arial" w:cs="Arial"/>
                          <w:sz w:val="20"/>
                          <w:szCs w:val="20"/>
                        </w:rPr>
                        <w:t xml:space="preserve">This study was designed to evaluate the effect </w:t>
                      </w:r>
                      <w:r w:rsidR="002F52E2">
                        <w:rPr>
                          <w:rStyle w:val="Pa3Char"/>
                          <w:rFonts w:ascii="Arial" w:hAnsi="Arial" w:cs="Arial"/>
                          <w:sz w:val="20"/>
                          <w:szCs w:val="20"/>
                        </w:rPr>
                        <w:t xml:space="preserve">of oral administration of ethyl </w:t>
                      </w:r>
                      <w:r w:rsidR="002F52E2" w:rsidRPr="002F52E2">
                        <w:rPr>
                          <w:rStyle w:val="Pa3Char"/>
                          <w:rFonts w:ascii="Arial" w:hAnsi="Arial" w:cs="Arial"/>
                          <w:sz w:val="20"/>
                          <w:szCs w:val="20"/>
                        </w:rPr>
                        <w:t xml:space="preserve">acetate leaf extract of </w:t>
                      </w:r>
                      <w:r w:rsidR="002F52E2" w:rsidRPr="002A471C">
                        <w:rPr>
                          <w:rStyle w:val="Pa3Char"/>
                          <w:rFonts w:ascii="Arial" w:hAnsi="Arial" w:cs="Arial"/>
                          <w:sz w:val="20"/>
                          <w:szCs w:val="20"/>
                          <w:highlight w:val="yellow"/>
                        </w:rPr>
                        <w:t xml:space="preserve">Gliricidia </w:t>
                      </w:r>
                      <w:proofErr w:type="spellStart"/>
                      <w:r w:rsidR="002F52E2" w:rsidRPr="002A471C">
                        <w:rPr>
                          <w:rStyle w:val="Pa3Char"/>
                          <w:rFonts w:ascii="Arial" w:hAnsi="Arial" w:cs="Arial"/>
                          <w:sz w:val="20"/>
                          <w:szCs w:val="20"/>
                          <w:highlight w:val="yellow"/>
                        </w:rPr>
                        <w:t>sepium</w:t>
                      </w:r>
                      <w:proofErr w:type="spellEnd"/>
                      <w:r w:rsidR="002F52E2" w:rsidRPr="002F52E2">
                        <w:rPr>
                          <w:rStyle w:val="Pa3Char"/>
                          <w:rFonts w:ascii="Arial" w:hAnsi="Arial" w:cs="Arial"/>
                          <w:sz w:val="20"/>
                          <w:szCs w:val="20"/>
                        </w:rPr>
                        <w:t xml:space="preserve"> on blood glucose and liver function parameters in Wistar rats.</w:t>
                      </w:r>
                    </w:p>
                    <w:p w14:paraId="0DB4AD8D" w14:textId="77777777" w:rsidR="002F52E2" w:rsidRPr="002F52E2" w:rsidRDefault="00D6303C" w:rsidP="002F52E2">
                      <w:pPr>
                        <w:rPr>
                          <w:rStyle w:val="Pa3Char"/>
                          <w:rFonts w:ascii="Arial" w:hAnsi="Arial" w:cs="Arial"/>
                          <w:sz w:val="20"/>
                          <w:szCs w:val="20"/>
                        </w:rPr>
                      </w:pPr>
                      <w:r w:rsidRPr="0059239B">
                        <w:rPr>
                          <w:rStyle w:val="Pa3Char"/>
                          <w:rFonts w:ascii="Arial" w:hAnsi="Arial" w:cs="Arial"/>
                          <w:b/>
                          <w:sz w:val="20"/>
                          <w:szCs w:val="20"/>
                        </w:rPr>
                        <w:t xml:space="preserve">Study </w:t>
                      </w:r>
                      <w:r w:rsidR="005F2938" w:rsidRPr="0059239B">
                        <w:rPr>
                          <w:rStyle w:val="Pa3Char"/>
                          <w:rFonts w:ascii="Arial" w:hAnsi="Arial" w:cs="Arial"/>
                          <w:b/>
                          <w:sz w:val="20"/>
                          <w:szCs w:val="20"/>
                        </w:rPr>
                        <w:t>Design:</w:t>
                      </w:r>
                      <w:r w:rsidR="005F2938" w:rsidRPr="0059239B">
                        <w:rPr>
                          <w:rStyle w:val="Pa3Char"/>
                          <w:rFonts w:ascii="Arial" w:hAnsi="Arial" w:cs="Arial"/>
                          <w:sz w:val="20"/>
                          <w:szCs w:val="20"/>
                        </w:rPr>
                        <w:t xml:space="preserve"> </w:t>
                      </w:r>
                      <w:r w:rsidR="002F52E2" w:rsidRPr="002F52E2">
                        <w:rPr>
                          <w:rStyle w:val="Pa3Char"/>
                          <w:rFonts w:ascii="Arial" w:hAnsi="Arial" w:cs="Arial"/>
                          <w:sz w:val="20"/>
                          <w:szCs w:val="20"/>
                        </w:rPr>
                        <w:t>Completely randomized controlled experimental study.</w:t>
                      </w:r>
                    </w:p>
                    <w:p w14:paraId="6772C18D" w14:textId="77777777" w:rsidR="00D6303C" w:rsidRPr="0059239B" w:rsidRDefault="00D6303C" w:rsidP="005F2938">
                      <w:pPr>
                        <w:spacing w:line="240" w:lineRule="auto"/>
                        <w:ind w:right="1170"/>
                        <w:jc w:val="both"/>
                        <w:rPr>
                          <w:rStyle w:val="Pa3Char"/>
                          <w:rFonts w:ascii="Arial" w:hAnsi="Arial" w:cs="Arial"/>
                          <w:sz w:val="20"/>
                          <w:szCs w:val="20"/>
                        </w:rPr>
                      </w:pPr>
                    </w:p>
                    <w:p w14:paraId="38783B6E" w14:textId="77777777" w:rsidR="005F2938" w:rsidRPr="0059239B" w:rsidRDefault="005F2938" w:rsidP="005F2938">
                      <w:pPr>
                        <w:pStyle w:val="Body"/>
                        <w:spacing w:after="0"/>
                        <w:rPr>
                          <w:rFonts w:ascii="Arial" w:eastAsia="Calibri" w:hAnsi="Arial" w:cs="Arial"/>
                        </w:rPr>
                      </w:pPr>
                      <w:r w:rsidRPr="0059239B">
                        <w:rPr>
                          <w:rFonts w:ascii="Arial" w:eastAsia="Calibri" w:hAnsi="Arial" w:cs="Arial"/>
                          <w:b/>
                        </w:rPr>
                        <w:t>Place and Duration of Study:</w:t>
                      </w:r>
                      <w:r w:rsidRPr="0059239B">
                        <w:rPr>
                          <w:rFonts w:ascii="Arial" w:eastAsia="Calibri" w:hAnsi="Arial" w:cs="Arial"/>
                        </w:rPr>
                        <w:t xml:space="preserve"> </w:t>
                      </w:r>
                      <w:r w:rsidR="002F52E2" w:rsidRPr="002F52E2">
                        <w:rPr>
                          <w:rFonts w:ascii="Arial" w:eastAsia="Calibri" w:hAnsi="Arial" w:cs="Arial"/>
                        </w:rPr>
                        <w:t xml:space="preserve">The study was conducted at the Animal House of the Faculty of Pharmaceutical Sciences and the Chemical Pathology Laboratory of the School of Medical Laboratory Science, </w:t>
                      </w:r>
                      <w:proofErr w:type="spellStart"/>
                      <w:r w:rsidR="002F52E2" w:rsidRPr="002F52E2">
                        <w:rPr>
                          <w:rFonts w:ascii="Arial" w:eastAsia="Calibri" w:hAnsi="Arial" w:cs="Arial"/>
                        </w:rPr>
                        <w:t>Usmanu</w:t>
                      </w:r>
                      <w:proofErr w:type="spellEnd"/>
                      <w:r w:rsidR="002F52E2" w:rsidRPr="002F52E2">
                        <w:rPr>
                          <w:rFonts w:ascii="Arial" w:eastAsia="Calibri" w:hAnsi="Arial" w:cs="Arial"/>
                        </w:rPr>
                        <w:t xml:space="preserve"> </w:t>
                      </w:r>
                      <w:proofErr w:type="spellStart"/>
                      <w:r w:rsidR="002F52E2" w:rsidRPr="002F52E2">
                        <w:rPr>
                          <w:rFonts w:ascii="Arial" w:eastAsia="Calibri" w:hAnsi="Arial" w:cs="Arial"/>
                        </w:rPr>
                        <w:t>Danfodiyo</w:t>
                      </w:r>
                      <w:proofErr w:type="spellEnd"/>
                      <w:r w:rsidR="002F52E2" w:rsidRPr="002F52E2">
                        <w:rPr>
                          <w:rFonts w:ascii="Arial" w:eastAsia="Calibri" w:hAnsi="Arial" w:cs="Arial"/>
                        </w:rPr>
                        <w:t xml:space="preserve"> University, Sokoto, between May 2024 and October 2025.</w:t>
                      </w:r>
                    </w:p>
                    <w:p w14:paraId="778CB271" w14:textId="77777777" w:rsidR="005F2938" w:rsidRPr="0059239B" w:rsidRDefault="005F2938" w:rsidP="005F2938">
                      <w:pPr>
                        <w:pStyle w:val="Body"/>
                        <w:spacing w:after="0"/>
                        <w:rPr>
                          <w:rFonts w:ascii="Arial" w:eastAsia="Calibri" w:hAnsi="Arial" w:cs="Arial"/>
                        </w:rPr>
                      </w:pPr>
                      <w:r w:rsidRPr="0059239B">
                        <w:rPr>
                          <w:rFonts w:ascii="Arial" w:eastAsia="Calibri" w:hAnsi="Arial" w:cs="Arial"/>
                          <w:b/>
                          <w:bCs/>
                        </w:rPr>
                        <w:t>Methodology</w:t>
                      </w:r>
                      <w:r w:rsidR="00A8003D" w:rsidRPr="0059239B">
                        <w:rPr>
                          <w:rFonts w:ascii="Arial" w:eastAsia="Calibri" w:hAnsi="Arial" w:cs="Arial"/>
                          <w:b/>
                          <w:bCs/>
                        </w:rPr>
                        <w:t>:</w:t>
                      </w:r>
                      <w:r w:rsidR="00E46E80" w:rsidRPr="0059239B">
                        <w:rPr>
                          <w:rFonts w:ascii="Arial" w:eastAsia="Calibri" w:hAnsi="Arial" w:cs="Arial"/>
                        </w:rPr>
                        <w:t xml:space="preserve"> </w:t>
                      </w:r>
                      <w:r w:rsidR="002F52E2" w:rsidRPr="002F52E2">
                        <w:rPr>
                          <w:rFonts w:ascii="Arial" w:eastAsia="Calibri" w:hAnsi="Arial" w:cs="Arial"/>
                        </w:rPr>
                        <w:t xml:space="preserve">Acute oral toxicity was assessed using </w:t>
                      </w:r>
                      <w:proofErr w:type="spellStart"/>
                      <w:r w:rsidR="002F52E2" w:rsidRPr="002F52E2">
                        <w:rPr>
                          <w:rFonts w:ascii="Arial" w:eastAsia="Calibri" w:hAnsi="Arial" w:cs="Arial"/>
                        </w:rPr>
                        <w:t>Lorke’s</w:t>
                      </w:r>
                      <w:proofErr w:type="spellEnd"/>
                      <w:r w:rsidR="002F52E2" w:rsidRPr="002F52E2">
                        <w:rPr>
                          <w:rFonts w:ascii="Arial" w:eastAsia="Calibri" w:hAnsi="Arial" w:cs="Arial"/>
                        </w:rPr>
                        <w:t xml:space="preserve"> method. Twelve (12) male Wistar rats were randomly divided into four groups of three rats each. In phase one, groups I, II, and III received 10, 100, and 1000 mg/kg body weight of the extract, respectively, while group IV served as control. In phase two, three rats received single oral doses of 1600, 2900, and 5000 </w:t>
                      </w:r>
                      <w:r w:rsidR="002F52E2">
                        <w:rPr>
                          <w:rFonts w:ascii="Arial" w:eastAsia="Calibri" w:hAnsi="Arial" w:cs="Arial"/>
                        </w:rPr>
                        <w:t>mg/kg body weight, respectively</w:t>
                      </w:r>
                      <w:r w:rsidR="009D08B8">
                        <w:rPr>
                          <w:rFonts w:ascii="Arial" w:eastAsia="Calibri" w:hAnsi="Arial" w:cs="Arial"/>
                        </w:rPr>
                        <w:t>.</w:t>
                      </w:r>
                      <w:r w:rsidR="0063111B">
                        <w:rPr>
                          <w:rFonts w:ascii="Arial" w:eastAsia="Calibri" w:hAnsi="Arial" w:cs="Arial"/>
                        </w:rPr>
                        <w:t xml:space="preserve"> </w:t>
                      </w:r>
                      <w:r w:rsidR="002F52E2" w:rsidRPr="002F52E2">
                        <w:rPr>
                          <w:rFonts w:ascii="Arial" w:eastAsia="Calibri" w:hAnsi="Arial" w:cs="Arial"/>
                        </w:rPr>
                        <w:t>For the sub-chronic toxicity study, forty-eight (48) adult Wistar rats (24 males and 24 females) were randomly assigned into four groups of twelve rats each (6 males and 6 females). Group I received 1 mL of normal saline, while Groups II, III, and IV received 500, 1000, and 1500 mg/kg body weight of the extract, respectively, for 28 consecutive days. After treatment, rats were fasted overnight, anesthetized, and blood samples were collected for analysis of blood glucose and liver function parameters.</w:t>
                      </w:r>
                    </w:p>
                    <w:p w14:paraId="6BA67DD4" w14:textId="77777777" w:rsidR="008E3A71" w:rsidRPr="0059239B" w:rsidRDefault="005F2938" w:rsidP="008E3A71">
                      <w:pPr>
                        <w:spacing w:line="240" w:lineRule="auto"/>
                        <w:jc w:val="both"/>
                        <w:rPr>
                          <w:rFonts w:ascii="Arial" w:hAnsi="Arial" w:cs="Arial"/>
                          <w:color w:val="000000"/>
                          <w:sz w:val="20"/>
                          <w:szCs w:val="20"/>
                        </w:rPr>
                      </w:pPr>
                      <w:r w:rsidRPr="0059239B">
                        <w:rPr>
                          <w:rFonts w:ascii="Arial" w:eastAsia="Calibri" w:hAnsi="Arial" w:cs="Arial"/>
                          <w:b/>
                          <w:bCs/>
                          <w:sz w:val="20"/>
                          <w:szCs w:val="20"/>
                        </w:rPr>
                        <w:t>Results:</w:t>
                      </w:r>
                      <w:r w:rsidRPr="0059239B">
                        <w:rPr>
                          <w:rFonts w:ascii="Arial" w:eastAsia="Calibri" w:hAnsi="Arial" w:cs="Arial"/>
                          <w:sz w:val="20"/>
                          <w:szCs w:val="20"/>
                        </w:rPr>
                        <w:t xml:space="preserve"> </w:t>
                      </w:r>
                      <w:r w:rsidR="002F52E2" w:rsidRPr="002F52E2">
                        <w:rPr>
                          <w:rFonts w:ascii="Arial" w:eastAsia="Calibri" w:hAnsi="Arial" w:cs="Arial"/>
                          <w:sz w:val="20"/>
                          <w:szCs w:val="20"/>
                        </w:rPr>
                        <w:t>The acute toxicity study revealed that the oral LD</w:t>
                      </w:r>
                      <w:r w:rsidR="002F52E2" w:rsidRPr="002F52E2">
                        <w:rPr>
                          <w:rFonts w:ascii="Cambria Math" w:eastAsia="Calibri" w:hAnsi="Cambria Math" w:cs="Cambria Math"/>
                          <w:sz w:val="20"/>
                          <w:szCs w:val="20"/>
                        </w:rPr>
                        <w:t>₅₀</w:t>
                      </w:r>
                      <w:r w:rsidR="002F52E2" w:rsidRPr="002F52E2">
                        <w:rPr>
                          <w:rFonts w:ascii="Arial" w:eastAsia="Calibri" w:hAnsi="Arial" w:cs="Arial"/>
                          <w:sz w:val="20"/>
                          <w:szCs w:val="20"/>
                        </w:rPr>
                        <w:t xml:space="preserve"> of the extract was greater than 5000 mg/kg body weight. Sub-chronic administration of the extract did not produce any significant changes (p &gt; 0.05) in blood glucose, AST, ALT, ALP, total protein, total bilirubin, conjugated bilirubin, or GGT levels in treated groups </w:t>
                      </w:r>
                      <w:r w:rsidR="002F52E2">
                        <w:rPr>
                          <w:rFonts w:ascii="Arial" w:eastAsia="Calibri" w:hAnsi="Arial" w:cs="Arial"/>
                          <w:sz w:val="20"/>
                          <w:szCs w:val="20"/>
                        </w:rPr>
                        <w:t>compared with the control group</w:t>
                      </w:r>
                      <w:r w:rsidR="008E3A71" w:rsidRPr="0059239B">
                        <w:rPr>
                          <w:rFonts w:ascii="Arial" w:hAnsi="Arial" w:cs="Arial"/>
                          <w:sz w:val="20"/>
                          <w:szCs w:val="20"/>
                        </w:rPr>
                        <w:t>.</w:t>
                      </w:r>
                    </w:p>
                    <w:p w14:paraId="6D3613B1" w14:textId="77777777" w:rsidR="004C10AC" w:rsidRPr="0059239B" w:rsidRDefault="005F2938" w:rsidP="00B45B38">
                      <w:pPr>
                        <w:jc w:val="both"/>
                        <w:rPr>
                          <w:rFonts w:ascii="Arial" w:hAnsi="Arial" w:cs="Arial"/>
                          <w:sz w:val="20"/>
                          <w:szCs w:val="20"/>
                        </w:rPr>
                      </w:pPr>
                      <w:r w:rsidRPr="0059239B">
                        <w:rPr>
                          <w:rFonts w:ascii="Arial" w:eastAsia="Calibri" w:hAnsi="Arial" w:cs="Arial"/>
                          <w:b/>
                          <w:bCs/>
                          <w:sz w:val="20"/>
                          <w:szCs w:val="20"/>
                        </w:rPr>
                        <w:t>Conclusion:</w:t>
                      </w:r>
                      <w:r w:rsidRPr="0059239B">
                        <w:rPr>
                          <w:rFonts w:ascii="Arial" w:eastAsia="Calibri" w:hAnsi="Arial" w:cs="Arial"/>
                          <w:sz w:val="20"/>
                          <w:szCs w:val="20"/>
                        </w:rPr>
                        <w:t xml:space="preserve"> </w:t>
                      </w:r>
                      <w:r w:rsidR="002F52E2" w:rsidRPr="002F52E2">
                        <w:rPr>
                          <w:rStyle w:val="fontstyle01"/>
                          <w:rFonts w:ascii="Arial" w:hAnsi="Arial" w:cs="Arial"/>
                          <w:sz w:val="20"/>
                          <w:szCs w:val="20"/>
                        </w:rPr>
                        <w:t xml:space="preserve">The findings suggest that oral administration of ethyl acetate leaf extract of Gliricidia </w:t>
                      </w:r>
                      <w:proofErr w:type="spellStart"/>
                      <w:r w:rsidR="002F52E2" w:rsidRPr="002F52E2">
                        <w:rPr>
                          <w:rStyle w:val="fontstyle01"/>
                          <w:rFonts w:ascii="Arial" w:hAnsi="Arial" w:cs="Arial"/>
                          <w:sz w:val="20"/>
                          <w:szCs w:val="20"/>
                        </w:rPr>
                        <w:t>sepium</w:t>
                      </w:r>
                      <w:proofErr w:type="spellEnd"/>
                      <w:r w:rsidR="002F52E2" w:rsidRPr="002F52E2">
                        <w:rPr>
                          <w:rStyle w:val="fontstyle01"/>
                          <w:rFonts w:ascii="Arial" w:hAnsi="Arial" w:cs="Arial"/>
                          <w:sz w:val="20"/>
                          <w:szCs w:val="20"/>
                        </w:rPr>
                        <w:t xml:space="preserve"> at normal therapeutic doses is relatively safe and does not induce hepatotoxicity or alter gl</w:t>
                      </w:r>
                      <w:r w:rsidR="002F52E2">
                        <w:rPr>
                          <w:rStyle w:val="fontstyle01"/>
                          <w:rFonts w:ascii="Arial" w:hAnsi="Arial" w:cs="Arial"/>
                          <w:sz w:val="20"/>
                          <w:szCs w:val="20"/>
                        </w:rPr>
                        <w:t>ucose metabolism in Wistar rats</w:t>
                      </w:r>
                      <w:r w:rsidR="009866D1" w:rsidRPr="0059239B">
                        <w:rPr>
                          <w:rStyle w:val="fontstyle01"/>
                          <w:rFonts w:ascii="Arial" w:hAnsi="Arial" w:cs="Arial"/>
                          <w:sz w:val="20"/>
                          <w:szCs w:val="20"/>
                        </w:rPr>
                        <w:t>.</w:t>
                      </w:r>
                    </w:p>
                  </w:txbxContent>
                </v:textbox>
              </v:shape>
            </w:pict>
          </mc:Fallback>
        </mc:AlternateContent>
      </w:r>
    </w:p>
    <w:p w14:paraId="6C6DF4F8" w14:textId="77777777" w:rsidR="00F37C21" w:rsidRPr="00F204C3" w:rsidRDefault="002A471C" w:rsidP="004C10AC">
      <w:pPr>
        <w:spacing w:line="480" w:lineRule="auto"/>
        <w:ind w:right="1170"/>
        <w:jc w:val="both"/>
        <w:rPr>
          <w:rStyle w:val="Pa3Char"/>
          <w:rFonts w:ascii="Arial" w:hAnsi="Arial" w:cs="Arial"/>
          <w:i/>
        </w:rPr>
      </w:pPr>
      <w:commentRangeStart w:id="1"/>
      <w:commentRangeEnd w:id="1"/>
      <w:r>
        <w:rPr>
          <w:rStyle w:val="CommentReference"/>
        </w:rPr>
        <w:commentReference w:id="1"/>
      </w:r>
    </w:p>
    <w:p w14:paraId="515BC24F" w14:textId="77777777" w:rsidR="004C10AC" w:rsidRPr="00F204C3" w:rsidRDefault="00147FA0" w:rsidP="004C10AC">
      <w:pPr>
        <w:spacing w:line="480" w:lineRule="auto"/>
        <w:ind w:right="1170"/>
        <w:jc w:val="both"/>
        <w:rPr>
          <w:rStyle w:val="Pa3Char"/>
          <w:rFonts w:ascii="Arial" w:hAnsi="Arial" w:cs="Arial"/>
          <w:i/>
        </w:rPr>
      </w:pPr>
      <w:r w:rsidRPr="00F204C3">
        <w:rPr>
          <w:rStyle w:val="Pa3Char"/>
          <w:rFonts w:ascii="Arial" w:hAnsi="Arial" w:cs="Arial"/>
          <w:i/>
          <w:vertAlign w:val="superscript"/>
        </w:rPr>
        <w:t>2</w:t>
      </w:r>
      <w:r w:rsidRPr="00F204C3">
        <w:rPr>
          <w:rStyle w:val="Pa3Char"/>
          <w:rFonts w:ascii="Arial" w:hAnsi="Arial" w:cs="Arial"/>
          <w:i/>
        </w:rPr>
        <w:t>Department of Pha</w:t>
      </w:r>
      <w:r w:rsidR="00FD1985" w:rsidRPr="00F204C3">
        <w:rPr>
          <w:rStyle w:val="Pa3Char"/>
          <w:rFonts w:ascii="Arial" w:hAnsi="Arial" w:cs="Arial"/>
          <w:i/>
        </w:rPr>
        <w:t>r</w:t>
      </w:r>
      <w:r w:rsidRPr="00F204C3">
        <w:rPr>
          <w:rStyle w:val="Pa3Char"/>
          <w:rFonts w:ascii="Arial" w:hAnsi="Arial" w:cs="Arial"/>
          <w:i/>
        </w:rPr>
        <w:t xml:space="preserve">macognosy, Faculty of Biochemistry, </w:t>
      </w:r>
      <w:proofErr w:type="spellStart"/>
      <w:r w:rsidRPr="00F204C3">
        <w:rPr>
          <w:rStyle w:val="Pa3Char"/>
          <w:rFonts w:ascii="Arial" w:hAnsi="Arial" w:cs="Arial"/>
          <w:i/>
        </w:rPr>
        <w:t>Usmanu</w:t>
      </w:r>
      <w:proofErr w:type="spellEnd"/>
      <w:r w:rsidRPr="00F204C3">
        <w:rPr>
          <w:rStyle w:val="Pa3Char"/>
          <w:rFonts w:ascii="Arial" w:hAnsi="Arial" w:cs="Arial"/>
          <w:i/>
        </w:rPr>
        <w:t xml:space="preserve"> </w:t>
      </w:r>
      <w:proofErr w:type="spellStart"/>
      <w:r w:rsidRPr="00F204C3">
        <w:rPr>
          <w:rStyle w:val="Pa3Char"/>
          <w:rFonts w:ascii="Arial" w:hAnsi="Arial" w:cs="Arial"/>
          <w:i/>
        </w:rPr>
        <w:t>Danfodiyo</w:t>
      </w:r>
      <w:proofErr w:type="spellEnd"/>
      <w:r w:rsidRPr="00F204C3">
        <w:rPr>
          <w:rStyle w:val="Pa3Char"/>
          <w:rFonts w:ascii="Arial" w:hAnsi="Arial" w:cs="Arial"/>
          <w:i/>
        </w:rPr>
        <w:t xml:space="preserve"> University, PMB 2346, Sokoto, Nigeria</w:t>
      </w:r>
    </w:p>
    <w:p w14:paraId="483A200C" w14:textId="77777777" w:rsidR="004C10AC" w:rsidRPr="00F204C3" w:rsidRDefault="004C10AC" w:rsidP="004C10AC">
      <w:pPr>
        <w:spacing w:line="480" w:lineRule="auto"/>
        <w:ind w:right="1170"/>
        <w:jc w:val="both"/>
        <w:rPr>
          <w:rStyle w:val="Pa3Char"/>
          <w:rFonts w:ascii="Arial" w:hAnsi="Arial" w:cs="Arial"/>
          <w:i/>
        </w:rPr>
      </w:pPr>
    </w:p>
    <w:p w14:paraId="78EC53E8" w14:textId="77777777" w:rsidR="00147FA0" w:rsidRPr="00F204C3" w:rsidRDefault="00147FA0" w:rsidP="004C10AC">
      <w:pPr>
        <w:spacing w:line="480" w:lineRule="auto"/>
        <w:ind w:right="1170"/>
        <w:jc w:val="both"/>
        <w:rPr>
          <w:rStyle w:val="Pa3Char"/>
          <w:rFonts w:ascii="Arial" w:hAnsi="Arial" w:cs="Arial"/>
          <w:i/>
        </w:rPr>
      </w:pPr>
    </w:p>
    <w:p w14:paraId="1D5BEC89" w14:textId="77777777" w:rsidR="004C10AC" w:rsidRPr="00F204C3" w:rsidRDefault="004C10AC" w:rsidP="004C10AC">
      <w:pPr>
        <w:spacing w:line="480" w:lineRule="auto"/>
        <w:ind w:right="1170"/>
        <w:jc w:val="both"/>
        <w:rPr>
          <w:rFonts w:ascii="Arial" w:hAnsi="Arial" w:cs="Arial"/>
          <w:i/>
          <w:sz w:val="24"/>
          <w:szCs w:val="24"/>
        </w:rPr>
      </w:pPr>
    </w:p>
    <w:p w14:paraId="6A8E03FB" w14:textId="77777777" w:rsidR="00A8003D" w:rsidRPr="00F204C3" w:rsidRDefault="00A8003D" w:rsidP="004C10AC">
      <w:pPr>
        <w:spacing w:line="480" w:lineRule="auto"/>
        <w:ind w:right="1170"/>
        <w:jc w:val="both"/>
        <w:rPr>
          <w:rFonts w:ascii="Arial" w:hAnsi="Arial" w:cs="Arial"/>
          <w:i/>
          <w:sz w:val="24"/>
          <w:szCs w:val="24"/>
        </w:rPr>
      </w:pPr>
    </w:p>
    <w:p w14:paraId="653BA792" w14:textId="77777777" w:rsidR="006F614E" w:rsidRPr="00F204C3" w:rsidRDefault="006F614E" w:rsidP="008E0006">
      <w:pPr>
        <w:spacing w:line="480" w:lineRule="auto"/>
        <w:ind w:right="1170"/>
        <w:jc w:val="both"/>
        <w:rPr>
          <w:rFonts w:ascii="Arial" w:hAnsi="Arial" w:cs="Arial"/>
          <w:i/>
          <w:sz w:val="20"/>
          <w:szCs w:val="20"/>
        </w:rPr>
      </w:pPr>
      <w:r w:rsidRPr="00F204C3">
        <w:rPr>
          <w:rFonts w:ascii="Arial" w:hAnsi="Arial" w:cs="Arial"/>
          <w:i/>
          <w:sz w:val="20"/>
          <w:szCs w:val="20"/>
        </w:rPr>
        <w:t xml:space="preserve">Key words: Gliricidia </w:t>
      </w:r>
      <w:proofErr w:type="spellStart"/>
      <w:r w:rsidRPr="00F204C3">
        <w:rPr>
          <w:rFonts w:ascii="Arial" w:hAnsi="Arial" w:cs="Arial"/>
          <w:i/>
          <w:sz w:val="20"/>
          <w:szCs w:val="20"/>
        </w:rPr>
        <w:t>sepium</w:t>
      </w:r>
      <w:proofErr w:type="spellEnd"/>
      <w:r w:rsidRPr="00F204C3">
        <w:rPr>
          <w:rFonts w:ascii="Arial" w:hAnsi="Arial" w:cs="Arial"/>
          <w:i/>
          <w:sz w:val="20"/>
          <w:szCs w:val="20"/>
        </w:rPr>
        <w:t>, glucose, liver, Wistar rat</w:t>
      </w:r>
    </w:p>
    <w:p w14:paraId="3C9881C0" w14:textId="77777777" w:rsidR="006F614E" w:rsidRPr="00F204C3" w:rsidRDefault="006F614E" w:rsidP="008E0006">
      <w:pPr>
        <w:spacing w:line="480" w:lineRule="auto"/>
        <w:ind w:right="1170"/>
        <w:jc w:val="both"/>
        <w:rPr>
          <w:rFonts w:ascii="Arial" w:hAnsi="Arial" w:cs="Arial"/>
          <w:sz w:val="24"/>
          <w:szCs w:val="24"/>
        </w:rPr>
      </w:pPr>
    </w:p>
    <w:p w14:paraId="41B68A4D" w14:textId="77777777" w:rsidR="0059239B" w:rsidRDefault="0059239B" w:rsidP="008E0006">
      <w:pPr>
        <w:spacing w:line="480" w:lineRule="auto"/>
        <w:ind w:right="1170"/>
        <w:jc w:val="both"/>
        <w:rPr>
          <w:rFonts w:ascii="Arial" w:hAnsi="Arial" w:cs="Arial"/>
          <w:sz w:val="24"/>
          <w:szCs w:val="24"/>
        </w:rPr>
      </w:pPr>
    </w:p>
    <w:p w14:paraId="12E486DD" w14:textId="77777777" w:rsidR="00BE65C4" w:rsidRPr="00F204C3" w:rsidRDefault="00BE65C4" w:rsidP="008E0006">
      <w:pPr>
        <w:spacing w:line="480" w:lineRule="auto"/>
        <w:ind w:right="1170"/>
        <w:jc w:val="both"/>
        <w:rPr>
          <w:rFonts w:ascii="Arial" w:hAnsi="Arial" w:cs="Arial"/>
          <w:sz w:val="24"/>
          <w:szCs w:val="24"/>
        </w:rPr>
      </w:pPr>
    </w:p>
    <w:p w14:paraId="64168C6C" w14:textId="5CDCDE7E" w:rsidR="0059239B" w:rsidRDefault="0059239B" w:rsidP="008E0006">
      <w:pPr>
        <w:spacing w:line="480" w:lineRule="auto"/>
        <w:ind w:right="1170"/>
        <w:jc w:val="both"/>
        <w:rPr>
          <w:rFonts w:ascii="Arial" w:hAnsi="Arial" w:cs="Arial"/>
          <w:sz w:val="24"/>
          <w:szCs w:val="24"/>
        </w:rPr>
      </w:pPr>
    </w:p>
    <w:p w14:paraId="20506E0E" w14:textId="489AC03D" w:rsidR="00630EBF" w:rsidRDefault="00630EBF" w:rsidP="008E0006">
      <w:pPr>
        <w:spacing w:line="480" w:lineRule="auto"/>
        <w:ind w:right="1170"/>
        <w:jc w:val="both"/>
        <w:rPr>
          <w:rFonts w:ascii="Arial" w:hAnsi="Arial" w:cs="Arial"/>
          <w:sz w:val="24"/>
          <w:szCs w:val="24"/>
        </w:rPr>
      </w:pPr>
    </w:p>
    <w:p w14:paraId="73CDC3FE" w14:textId="37E4CD54" w:rsidR="00630EBF" w:rsidRDefault="00630EBF" w:rsidP="008E0006">
      <w:pPr>
        <w:spacing w:line="480" w:lineRule="auto"/>
        <w:ind w:right="1170"/>
        <w:jc w:val="both"/>
        <w:rPr>
          <w:rFonts w:ascii="Arial" w:hAnsi="Arial" w:cs="Arial"/>
          <w:sz w:val="24"/>
          <w:szCs w:val="24"/>
        </w:rPr>
      </w:pPr>
    </w:p>
    <w:p w14:paraId="5FA5D246" w14:textId="7780C18F" w:rsidR="00630EBF" w:rsidRDefault="00630EBF" w:rsidP="008E0006">
      <w:pPr>
        <w:spacing w:line="480" w:lineRule="auto"/>
        <w:ind w:right="1170"/>
        <w:jc w:val="both"/>
        <w:rPr>
          <w:rFonts w:ascii="Arial" w:hAnsi="Arial" w:cs="Arial"/>
          <w:sz w:val="24"/>
          <w:szCs w:val="24"/>
        </w:rPr>
      </w:pPr>
    </w:p>
    <w:p w14:paraId="218E8E00" w14:textId="77777777" w:rsidR="00630EBF" w:rsidRPr="00F204C3" w:rsidRDefault="00630EBF" w:rsidP="008E0006">
      <w:pPr>
        <w:spacing w:line="480" w:lineRule="auto"/>
        <w:ind w:right="1170"/>
        <w:jc w:val="both"/>
        <w:rPr>
          <w:rFonts w:ascii="Arial" w:hAnsi="Arial" w:cs="Arial"/>
          <w:sz w:val="24"/>
          <w:szCs w:val="24"/>
        </w:rPr>
      </w:pPr>
    </w:p>
    <w:p w14:paraId="5015F7A8" w14:textId="77777777" w:rsidR="0059239B" w:rsidRPr="00F204C3" w:rsidRDefault="0059239B" w:rsidP="008E0006">
      <w:pPr>
        <w:spacing w:line="480" w:lineRule="auto"/>
        <w:ind w:right="1170"/>
        <w:jc w:val="both"/>
        <w:rPr>
          <w:rFonts w:ascii="Arial" w:hAnsi="Arial" w:cs="Arial"/>
          <w:sz w:val="24"/>
          <w:szCs w:val="24"/>
        </w:rPr>
      </w:pPr>
    </w:p>
    <w:p w14:paraId="75CABB80" w14:textId="77777777" w:rsidR="00241D68" w:rsidRPr="00F204C3" w:rsidRDefault="008E0006" w:rsidP="00654581">
      <w:pPr>
        <w:spacing w:line="240" w:lineRule="auto"/>
        <w:ind w:right="1170"/>
        <w:jc w:val="both"/>
        <w:rPr>
          <w:rFonts w:ascii="Arial" w:hAnsi="Arial" w:cs="Arial"/>
          <w:b/>
          <w:sz w:val="24"/>
          <w:szCs w:val="24"/>
        </w:rPr>
      </w:pPr>
      <w:r w:rsidRPr="00F204C3">
        <w:rPr>
          <w:rFonts w:ascii="Arial" w:hAnsi="Arial" w:cs="Arial"/>
          <w:sz w:val="24"/>
          <w:szCs w:val="24"/>
        </w:rPr>
        <w:t>1</w:t>
      </w:r>
      <w:r w:rsidRPr="00F204C3">
        <w:rPr>
          <w:rFonts w:ascii="Arial" w:hAnsi="Arial" w:cs="Arial"/>
          <w:b/>
        </w:rPr>
        <w:t>. INTRODUCTION</w:t>
      </w:r>
    </w:p>
    <w:p w14:paraId="7D8804AC" w14:textId="77777777" w:rsidR="002F52E2" w:rsidRPr="002F52E2" w:rsidRDefault="002F52E2" w:rsidP="002F52E2">
      <w:pPr>
        <w:pStyle w:val="NormalWeb"/>
        <w:spacing w:line="480" w:lineRule="auto"/>
        <w:jc w:val="both"/>
        <w:rPr>
          <w:rFonts w:ascii="Arial" w:hAnsi="Arial" w:cs="Arial"/>
          <w:sz w:val="20"/>
          <w:szCs w:val="20"/>
        </w:rPr>
      </w:pPr>
      <w:r w:rsidRPr="002F52E2">
        <w:rPr>
          <w:rFonts w:ascii="Arial" w:hAnsi="Arial" w:cs="Arial"/>
          <w:sz w:val="20"/>
          <w:szCs w:val="20"/>
        </w:rPr>
        <w:t>Herbal medicine plays a significant role in the health care of millions of people worldwide through both direct use and as a foundation for the development of conventional medicines (1). Available literature indicates that approximately 60% of the world’s population relies on traditional medicine, while about 80% of people in developing countries depend largely on herbal remedies for their primary health care needs (2). The continued patronage of herbal medicine has been attributed to factors such as affordability, ease of access, cultural acceptability, low cost, limited access to conventional health care in some regions, and the perception that herbal remedies have few or no side effects (3).</w:t>
      </w:r>
    </w:p>
    <w:p w14:paraId="66283F55" w14:textId="77777777" w:rsidR="002F52E2" w:rsidRPr="002F52E2" w:rsidRDefault="002F52E2" w:rsidP="002F52E2">
      <w:pPr>
        <w:pStyle w:val="NormalWeb"/>
        <w:spacing w:line="480" w:lineRule="auto"/>
        <w:jc w:val="both"/>
        <w:rPr>
          <w:rFonts w:ascii="Arial" w:hAnsi="Arial" w:cs="Arial"/>
          <w:sz w:val="20"/>
          <w:szCs w:val="20"/>
        </w:rPr>
      </w:pPr>
      <w:r w:rsidRPr="002F52E2">
        <w:rPr>
          <w:rFonts w:ascii="Arial" w:hAnsi="Arial" w:cs="Arial"/>
          <w:sz w:val="20"/>
          <w:szCs w:val="20"/>
        </w:rPr>
        <w:t xml:space="preserve">Despite their widespread use, there is limited scientific evidence supporting the safety and efficacy of many herbal medicines, which raises concerns among researchers and regulatory authorities (4). </w:t>
      </w:r>
      <w:r w:rsidRPr="00B84499">
        <w:rPr>
          <w:rFonts w:ascii="Arial" w:hAnsi="Arial" w:cs="Arial"/>
          <w:sz w:val="20"/>
          <w:szCs w:val="20"/>
          <w:highlight w:val="yellow"/>
        </w:rPr>
        <w:t xml:space="preserve">Gliricidia </w:t>
      </w:r>
      <w:proofErr w:type="spellStart"/>
      <w:r w:rsidRPr="00B84499">
        <w:rPr>
          <w:rFonts w:ascii="Arial" w:hAnsi="Arial" w:cs="Arial"/>
          <w:sz w:val="20"/>
          <w:szCs w:val="20"/>
          <w:highlight w:val="yellow"/>
        </w:rPr>
        <w:t>sepium</w:t>
      </w:r>
      <w:proofErr w:type="spellEnd"/>
      <w:r w:rsidRPr="00B84499">
        <w:rPr>
          <w:rFonts w:ascii="Arial" w:hAnsi="Arial" w:cs="Arial"/>
          <w:sz w:val="20"/>
          <w:szCs w:val="20"/>
          <w:highlight w:val="yellow"/>
        </w:rPr>
        <w:t>,</w:t>
      </w:r>
      <w:r w:rsidRPr="002F52E2">
        <w:rPr>
          <w:rFonts w:ascii="Arial" w:hAnsi="Arial" w:cs="Arial"/>
          <w:sz w:val="20"/>
          <w:szCs w:val="20"/>
        </w:rPr>
        <w:t xml:space="preserve"> a member of the Fabaceae family, is among the commonly used medicinal plants reported to be employed in the management of various ailments by local communities in Nigeria (5).</w:t>
      </w:r>
    </w:p>
    <w:p w14:paraId="31127BAB" w14:textId="77777777" w:rsidR="002F52E2" w:rsidRPr="002F52E2" w:rsidRDefault="002F52E2" w:rsidP="002F52E2">
      <w:pPr>
        <w:pStyle w:val="NormalWeb"/>
        <w:spacing w:line="480" w:lineRule="auto"/>
        <w:jc w:val="both"/>
        <w:rPr>
          <w:rFonts w:ascii="Arial" w:hAnsi="Arial" w:cs="Arial"/>
          <w:sz w:val="20"/>
          <w:szCs w:val="20"/>
        </w:rPr>
      </w:pPr>
      <w:commentRangeStart w:id="2"/>
      <w:r w:rsidRPr="00B84499">
        <w:rPr>
          <w:rFonts w:ascii="Arial" w:hAnsi="Arial" w:cs="Arial"/>
          <w:sz w:val="20"/>
          <w:szCs w:val="20"/>
          <w:highlight w:val="yellow"/>
        </w:rPr>
        <w:t>Gliricidia</w:t>
      </w:r>
      <w:commentRangeEnd w:id="2"/>
      <w:r w:rsidR="00B84499">
        <w:rPr>
          <w:rStyle w:val="CommentReference"/>
          <w:rFonts w:asciiTheme="minorHAnsi" w:eastAsiaTheme="minorHAnsi" w:hAnsiTheme="minorHAnsi" w:cstheme="minorBidi"/>
        </w:rPr>
        <w:commentReference w:id="2"/>
      </w:r>
      <w:r w:rsidRPr="00B84499">
        <w:rPr>
          <w:rFonts w:ascii="Arial" w:hAnsi="Arial" w:cs="Arial"/>
          <w:sz w:val="20"/>
          <w:szCs w:val="20"/>
          <w:highlight w:val="yellow"/>
        </w:rPr>
        <w:t xml:space="preserve"> </w:t>
      </w:r>
      <w:proofErr w:type="spellStart"/>
      <w:r w:rsidRPr="00B84499">
        <w:rPr>
          <w:rFonts w:ascii="Arial" w:hAnsi="Arial" w:cs="Arial"/>
          <w:sz w:val="20"/>
          <w:szCs w:val="20"/>
          <w:highlight w:val="yellow"/>
        </w:rPr>
        <w:t>sepium</w:t>
      </w:r>
      <w:proofErr w:type="spellEnd"/>
      <w:r w:rsidRPr="002F52E2">
        <w:rPr>
          <w:rFonts w:ascii="Arial" w:hAnsi="Arial" w:cs="Arial"/>
          <w:sz w:val="20"/>
          <w:szCs w:val="20"/>
        </w:rPr>
        <w:t xml:space="preserve"> is a multipurpose leguminous plant of considerable commercial and medicinal importance. It belongs to the Fabaceae family, one of the largest families of flowering plants, which comprises over 700 genera and approximately 20,000 species, making it the third largest plant family after </w:t>
      </w:r>
      <w:proofErr w:type="spellStart"/>
      <w:r w:rsidRPr="002F52E2">
        <w:rPr>
          <w:rFonts w:ascii="Arial" w:hAnsi="Arial" w:cs="Arial"/>
          <w:sz w:val="20"/>
          <w:szCs w:val="20"/>
        </w:rPr>
        <w:t>Orchidaceae</w:t>
      </w:r>
      <w:proofErr w:type="spellEnd"/>
      <w:r w:rsidRPr="002F52E2">
        <w:rPr>
          <w:rFonts w:ascii="Arial" w:hAnsi="Arial" w:cs="Arial"/>
          <w:sz w:val="20"/>
          <w:szCs w:val="20"/>
        </w:rPr>
        <w:t xml:space="preserve"> and Asteraceae (6). The plant is commonly known as “mother of cocoa,” while its Yoruba name in southwestern Nigeria is </w:t>
      </w:r>
      <w:proofErr w:type="spellStart"/>
      <w:r w:rsidRPr="002F52E2">
        <w:rPr>
          <w:rFonts w:ascii="Arial" w:hAnsi="Arial" w:cs="Arial"/>
          <w:sz w:val="20"/>
          <w:szCs w:val="20"/>
        </w:rPr>
        <w:t>Agunmaniye</w:t>
      </w:r>
      <w:proofErr w:type="spellEnd"/>
      <w:r w:rsidRPr="002F52E2">
        <w:rPr>
          <w:rFonts w:ascii="Arial" w:hAnsi="Arial" w:cs="Arial"/>
          <w:sz w:val="20"/>
          <w:szCs w:val="20"/>
        </w:rPr>
        <w:t xml:space="preserve"> (7). It is native to dry regions of Central America and is now widely distributed across the tropics between latitudes 6°S and 19°N of the equator, as well as in many tropical and subtropical regions worldwide (8).</w:t>
      </w:r>
    </w:p>
    <w:p w14:paraId="2D1F1628" w14:textId="77777777" w:rsidR="002F52E2" w:rsidRPr="002F52E2" w:rsidRDefault="002F52E2" w:rsidP="002F52E2">
      <w:pPr>
        <w:pStyle w:val="NormalWeb"/>
        <w:spacing w:line="480" w:lineRule="auto"/>
        <w:jc w:val="both"/>
        <w:rPr>
          <w:rFonts w:ascii="Arial" w:hAnsi="Arial" w:cs="Arial"/>
          <w:sz w:val="20"/>
          <w:szCs w:val="20"/>
        </w:rPr>
      </w:pPr>
      <w:r w:rsidRPr="002F52E2">
        <w:rPr>
          <w:rFonts w:ascii="Arial" w:hAnsi="Arial" w:cs="Arial"/>
          <w:sz w:val="20"/>
          <w:szCs w:val="20"/>
        </w:rPr>
        <w:t xml:space="preserve">G. </w:t>
      </w:r>
      <w:proofErr w:type="spellStart"/>
      <w:r w:rsidRPr="002F52E2">
        <w:rPr>
          <w:rFonts w:ascii="Arial" w:hAnsi="Arial" w:cs="Arial"/>
          <w:sz w:val="20"/>
          <w:szCs w:val="20"/>
        </w:rPr>
        <w:t>sepium</w:t>
      </w:r>
      <w:proofErr w:type="spellEnd"/>
      <w:r w:rsidRPr="002F52E2">
        <w:rPr>
          <w:rFonts w:ascii="Arial" w:hAnsi="Arial" w:cs="Arial"/>
          <w:sz w:val="20"/>
          <w:szCs w:val="20"/>
        </w:rPr>
        <w:t xml:space="preserve"> grows well from sea level up to an altitude of 1600 m in areas with mean temperatures ranging from 20°C to 29°C and annual rainfall between 900 mm and 1500 mm, including regions with a dry period of up to five months. It does not tolerate frost or night temperatures below 15°C but is tolerant of waterlogging and can thrive in a wide range of poorly fertile soils (8).</w:t>
      </w:r>
    </w:p>
    <w:p w14:paraId="1CA1B781" w14:textId="77777777" w:rsidR="002F52E2" w:rsidRDefault="002F52E2" w:rsidP="002F52E2">
      <w:pPr>
        <w:pStyle w:val="NormalWeb"/>
        <w:spacing w:line="480" w:lineRule="auto"/>
        <w:jc w:val="both"/>
        <w:rPr>
          <w:rFonts w:ascii="Arial" w:hAnsi="Arial" w:cs="Arial"/>
          <w:b/>
          <w:sz w:val="22"/>
          <w:szCs w:val="22"/>
        </w:rPr>
      </w:pPr>
      <w:r w:rsidRPr="002F52E2">
        <w:rPr>
          <w:rFonts w:ascii="Arial" w:hAnsi="Arial" w:cs="Arial"/>
          <w:sz w:val="20"/>
          <w:szCs w:val="20"/>
        </w:rPr>
        <w:t xml:space="preserve">Several studies have reported that G. </w:t>
      </w:r>
      <w:proofErr w:type="spellStart"/>
      <w:r w:rsidRPr="002F52E2">
        <w:rPr>
          <w:rFonts w:ascii="Arial" w:hAnsi="Arial" w:cs="Arial"/>
          <w:sz w:val="20"/>
          <w:szCs w:val="20"/>
        </w:rPr>
        <w:t>sepium</w:t>
      </w:r>
      <w:proofErr w:type="spellEnd"/>
      <w:r w:rsidRPr="002F52E2">
        <w:rPr>
          <w:rFonts w:ascii="Arial" w:hAnsi="Arial" w:cs="Arial"/>
          <w:sz w:val="20"/>
          <w:szCs w:val="20"/>
        </w:rPr>
        <w:t xml:space="preserve"> leaves possess anti-inflammatory properties, particularly due to their flavonoid content, which can help reduce pain and bleeding. Other studies have </w:t>
      </w:r>
      <w:r w:rsidRPr="002F52E2">
        <w:rPr>
          <w:rFonts w:ascii="Arial" w:hAnsi="Arial" w:cs="Arial"/>
          <w:sz w:val="20"/>
          <w:szCs w:val="20"/>
        </w:rPr>
        <w:lastRenderedPageBreak/>
        <w:t xml:space="preserve">demonstrated their antibacterial and antioxidant activities (8). However, there is limited scientific information on the possible toxicological effects of G. </w:t>
      </w:r>
      <w:proofErr w:type="spellStart"/>
      <w:r w:rsidRPr="002F52E2">
        <w:rPr>
          <w:rFonts w:ascii="Arial" w:hAnsi="Arial" w:cs="Arial"/>
          <w:sz w:val="20"/>
          <w:szCs w:val="20"/>
        </w:rPr>
        <w:t>sepium</w:t>
      </w:r>
      <w:proofErr w:type="spellEnd"/>
      <w:r w:rsidRPr="002F52E2">
        <w:rPr>
          <w:rFonts w:ascii="Arial" w:hAnsi="Arial" w:cs="Arial"/>
          <w:sz w:val="20"/>
          <w:szCs w:val="20"/>
        </w:rPr>
        <w:t xml:space="preserve">, especially on metabolic and hepatic functions. Therefore, this study aims to provide data on the potential effects of ethyl acetate leaf extract of G. </w:t>
      </w:r>
      <w:proofErr w:type="spellStart"/>
      <w:r w:rsidRPr="002F52E2">
        <w:rPr>
          <w:rFonts w:ascii="Arial" w:hAnsi="Arial" w:cs="Arial"/>
          <w:sz w:val="20"/>
          <w:szCs w:val="20"/>
        </w:rPr>
        <w:t>sepium</w:t>
      </w:r>
      <w:proofErr w:type="spellEnd"/>
      <w:r w:rsidRPr="002F52E2">
        <w:rPr>
          <w:rFonts w:ascii="Arial" w:hAnsi="Arial" w:cs="Arial"/>
          <w:sz w:val="20"/>
          <w:szCs w:val="20"/>
        </w:rPr>
        <w:t xml:space="preserve"> on blood glucose and liver function parameters in both male and female Wistar rats.</w:t>
      </w:r>
      <w:r w:rsidR="00C13F47" w:rsidRPr="00B84499">
        <w:rPr>
          <w:rFonts w:ascii="Arial" w:hAnsi="Arial" w:cs="Arial"/>
          <w:b/>
          <w:sz w:val="22"/>
          <w:szCs w:val="22"/>
          <w:highlight w:val="yellow"/>
        </w:rPr>
        <w:t>2.</w:t>
      </w:r>
      <w:r w:rsidR="00C13F47" w:rsidRPr="004B2E95">
        <w:rPr>
          <w:rFonts w:ascii="Arial" w:hAnsi="Arial" w:cs="Arial"/>
          <w:b/>
          <w:sz w:val="22"/>
          <w:szCs w:val="22"/>
        </w:rPr>
        <w:t xml:space="preserve"> </w:t>
      </w:r>
    </w:p>
    <w:p w14:paraId="03098178" w14:textId="77777777" w:rsidR="00C13F47" w:rsidRPr="004B2E95" w:rsidRDefault="00C13F47" w:rsidP="002F52E2">
      <w:pPr>
        <w:pStyle w:val="NormalWeb"/>
        <w:spacing w:line="480" w:lineRule="auto"/>
        <w:jc w:val="both"/>
        <w:rPr>
          <w:rFonts w:ascii="Arial" w:hAnsi="Arial" w:cs="Arial"/>
          <w:b/>
          <w:sz w:val="22"/>
          <w:szCs w:val="22"/>
        </w:rPr>
      </w:pPr>
      <w:r w:rsidRPr="004B2E95">
        <w:rPr>
          <w:rFonts w:ascii="Arial" w:hAnsi="Arial" w:cs="Arial"/>
          <w:b/>
          <w:sz w:val="22"/>
          <w:szCs w:val="22"/>
        </w:rPr>
        <w:t>MATERIAL AND METHODS</w:t>
      </w:r>
    </w:p>
    <w:p w14:paraId="1EB89583" w14:textId="77777777" w:rsidR="00C13F47" w:rsidRPr="004B2E95" w:rsidRDefault="00C13F47" w:rsidP="004B2E95">
      <w:pPr>
        <w:pStyle w:val="NormalWeb"/>
        <w:spacing w:line="480" w:lineRule="auto"/>
        <w:jc w:val="both"/>
        <w:rPr>
          <w:rFonts w:ascii="Arial" w:hAnsi="Arial" w:cs="Arial"/>
          <w:b/>
          <w:sz w:val="22"/>
          <w:szCs w:val="22"/>
        </w:rPr>
      </w:pPr>
      <w:r w:rsidRPr="004B2E95">
        <w:rPr>
          <w:rFonts w:ascii="Arial" w:hAnsi="Arial" w:cs="Arial"/>
          <w:b/>
          <w:sz w:val="22"/>
          <w:szCs w:val="22"/>
        </w:rPr>
        <w:t>2.1 Plant Collection and Identification</w:t>
      </w:r>
    </w:p>
    <w:p w14:paraId="2A4C8FEB" w14:textId="77777777" w:rsidR="00C13F47" w:rsidRPr="004B2E95" w:rsidRDefault="00C13F47" w:rsidP="004B2E95">
      <w:pPr>
        <w:pStyle w:val="NormalWeb"/>
        <w:spacing w:line="480" w:lineRule="auto"/>
        <w:jc w:val="both"/>
        <w:rPr>
          <w:rFonts w:ascii="Arial" w:hAnsi="Arial" w:cs="Arial"/>
          <w:sz w:val="22"/>
          <w:szCs w:val="22"/>
        </w:rPr>
      </w:pPr>
      <w:commentRangeStart w:id="3"/>
      <w:r w:rsidRPr="004B2E95">
        <w:rPr>
          <w:rFonts w:ascii="Arial" w:hAnsi="Arial" w:cs="Arial"/>
          <w:sz w:val="22"/>
          <w:szCs w:val="22"/>
        </w:rPr>
        <w:t xml:space="preserve">The leaves of G. </w:t>
      </w:r>
      <w:proofErr w:type="spellStart"/>
      <w:r w:rsidRPr="004B2E95">
        <w:rPr>
          <w:rFonts w:ascii="Arial" w:hAnsi="Arial" w:cs="Arial"/>
          <w:sz w:val="22"/>
          <w:szCs w:val="22"/>
        </w:rPr>
        <w:t>sepium</w:t>
      </w:r>
      <w:commentRangeStart w:id="4"/>
      <w:proofErr w:type="spellEnd"/>
      <w:r w:rsidRPr="004B2E95">
        <w:rPr>
          <w:rFonts w:ascii="Arial" w:hAnsi="Arial" w:cs="Arial"/>
          <w:sz w:val="22"/>
          <w:szCs w:val="22"/>
        </w:rPr>
        <w:t xml:space="preserve">     </w:t>
      </w:r>
      <w:commentRangeEnd w:id="4"/>
      <w:r w:rsidR="00B84499">
        <w:rPr>
          <w:rStyle w:val="CommentReference"/>
          <w:rFonts w:asciiTheme="minorHAnsi" w:eastAsiaTheme="minorHAnsi" w:hAnsiTheme="minorHAnsi" w:cstheme="minorBidi"/>
        </w:rPr>
        <w:commentReference w:id="4"/>
      </w:r>
      <w:r w:rsidRPr="004B2E95">
        <w:rPr>
          <w:rFonts w:ascii="Arial" w:hAnsi="Arial" w:cs="Arial"/>
          <w:sz w:val="22"/>
          <w:szCs w:val="22"/>
        </w:rPr>
        <w:t>were collected from Osogbo metropolis, Osun State, Nigeria. The plant was identified and authenticated at the Herbarium unit, Department of Botany, Obafemi Awolowo University, Ile-Ife, by comparing with an established Herbarium specimen with Voucher number: IFE/17460, reference number which was kept at the Herbarium (</w:t>
      </w:r>
      <w:r w:rsidR="004739E3">
        <w:rPr>
          <w:rFonts w:ascii="Arial" w:hAnsi="Arial" w:cs="Arial"/>
          <w:sz w:val="22"/>
          <w:szCs w:val="22"/>
        </w:rPr>
        <w:t>5</w:t>
      </w:r>
      <w:r w:rsidRPr="004B2E95">
        <w:rPr>
          <w:rFonts w:ascii="Arial" w:hAnsi="Arial" w:cs="Arial"/>
          <w:sz w:val="22"/>
          <w:szCs w:val="22"/>
        </w:rPr>
        <w:t>).</w:t>
      </w:r>
      <w:commentRangeEnd w:id="3"/>
      <w:r w:rsidR="00B84499">
        <w:rPr>
          <w:rStyle w:val="CommentReference"/>
          <w:rFonts w:asciiTheme="minorHAnsi" w:eastAsiaTheme="minorHAnsi" w:hAnsiTheme="minorHAnsi" w:cstheme="minorBidi"/>
        </w:rPr>
        <w:commentReference w:id="3"/>
      </w:r>
    </w:p>
    <w:p w14:paraId="563A063B" w14:textId="77777777" w:rsidR="00C13F47" w:rsidRPr="004B2E95" w:rsidRDefault="00C13F47" w:rsidP="004B2E95">
      <w:pPr>
        <w:pStyle w:val="NormalWeb"/>
        <w:tabs>
          <w:tab w:val="left" w:pos="2310"/>
        </w:tabs>
        <w:spacing w:line="480" w:lineRule="auto"/>
        <w:jc w:val="both"/>
        <w:rPr>
          <w:rFonts w:ascii="Arial" w:hAnsi="Arial" w:cs="Arial"/>
          <w:b/>
          <w:sz w:val="22"/>
          <w:szCs w:val="22"/>
        </w:rPr>
      </w:pPr>
      <w:r w:rsidRPr="004B2E95">
        <w:rPr>
          <w:rFonts w:ascii="Arial" w:hAnsi="Arial" w:cs="Arial"/>
          <w:b/>
          <w:sz w:val="22"/>
          <w:szCs w:val="22"/>
        </w:rPr>
        <w:t>2.2 Plant Extraction</w:t>
      </w:r>
      <w:r w:rsidRPr="004B2E95">
        <w:rPr>
          <w:rFonts w:ascii="Arial" w:hAnsi="Arial" w:cs="Arial"/>
          <w:b/>
          <w:sz w:val="22"/>
          <w:szCs w:val="22"/>
        </w:rPr>
        <w:tab/>
      </w:r>
    </w:p>
    <w:p w14:paraId="0B0DF9CD" w14:textId="77777777" w:rsidR="00397112" w:rsidRPr="008D01F8" w:rsidRDefault="00C13F47" w:rsidP="004B2E95">
      <w:pPr>
        <w:pStyle w:val="NormalWeb"/>
        <w:spacing w:line="480" w:lineRule="auto"/>
        <w:jc w:val="both"/>
        <w:rPr>
          <w:rFonts w:ascii="Arial" w:hAnsi="Arial" w:cs="Arial"/>
          <w:sz w:val="20"/>
          <w:szCs w:val="20"/>
        </w:rPr>
      </w:pPr>
      <w:r w:rsidRPr="004B2E95">
        <w:rPr>
          <w:rFonts w:ascii="Arial" w:hAnsi="Arial" w:cs="Arial"/>
          <w:sz w:val="20"/>
          <w:szCs w:val="20"/>
        </w:rPr>
        <w:t xml:space="preserve">The leaves of G. </w:t>
      </w:r>
      <w:proofErr w:type="spellStart"/>
      <w:r w:rsidRPr="004B2E95">
        <w:rPr>
          <w:rFonts w:ascii="Arial" w:hAnsi="Arial" w:cs="Arial"/>
          <w:sz w:val="20"/>
          <w:szCs w:val="20"/>
        </w:rPr>
        <w:t>sepium</w:t>
      </w:r>
      <w:commentRangeStart w:id="5"/>
      <w:proofErr w:type="spellEnd"/>
      <w:r w:rsidRPr="004B2E95">
        <w:rPr>
          <w:rFonts w:ascii="Arial" w:hAnsi="Arial" w:cs="Arial"/>
          <w:sz w:val="20"/>
          <w:szCs w:val="20"/>
        </w:rPr>
        <w:t xml:space="preserve">     </w:t>
      </w:r>
      <w:commentRangeEnd w:id="5"/>
      <w:r w:rsidR="00B84499">
        <w:rPr>
          <w:rStyle w:val="CommentReference"/>
          <w:rFonts w:asciiTheme="minorHAnsi" w:eastAsiaTheme="minorHAnsi" w:hAnsiTheme="minorHAnsi" w:cstheme="minorBidi"/>
        </w:rPr>
        <w:commentReference w:id="5"/>
      </w:r>
      <w:r w:rsidRPr="004B2E95">
        <w:rPr>
          <w:rFonts w:ascii="Arial" w:hAnsi="Arial" w:cs="Arial"/>
          <w:sz w:val="20"/>
          <w:szCs w:val="20"/>
        </w:rPr>
        <w:t xml:space="preserve">were shade-dried at room temperature over a period of 6 weeks. Then it was pulverized manually using a mortar and pestle into powder, labelled, and stored at room temperature for use. The powdered leaves of a 1000 g portion were weighed and extracted with 5 L of 90% methanol using the maceration method for 48 hours. This was followed by periodic stirring. The resulting crude extract was filtered using Whatman number one filter paper, and the filtrate was concentrated using a dry oven at 40°C for 72 hours to dryness. Some part of crude methanol extract (200 g) was dissolved in distilled water, filtered, and partitioned successively with n-hexane (2 L x 0.5 L), ethyl acetate (3 L x 0.5L), and n-butanol (3 L x 0.5 L). To obtain n-hexane fraction (15.0 g), ethyl acetate fraction (13.0 g), n-butanol fraction (30.0 g), and the residual aqueous fraction (45.0 g), respectively. </w:t>
      </w:r>
    </w:p>
    <w:p w14:paraId="3234E452" w14:textId="77777777" w:rsidR="00397112" w:rsidRPr="004B2E95" w:rsidRDefault="008D01F8" w:rsidP="004B2E95">
      <w:pPr>
        <w:spacing w:before="240" w:after="240" w:line="480" w:lineRule="auto"/>
        <w:jc w:val="both"/>
        <w:rPr>
          <w:rFonts w:ascii="Arial" w:hAnsi="Arial" w:cs="Arial"/>
          <w:b/>
          <w:lang w:val="en-GB"/>
        </w:rPr>
      </w:pPr>
      <w:r>
        <w:rPr>
          <w:rFonts w:ascii="Arial" w:hAnsi="Arial" w:cs="Arial"/>
          <w:b/>
          <w:lang w:val="en-GB"/>
        </w:rPr>
        <w:t>2.3</w:t>
      </w:r>
      <w:r w:rsidR="00397112" w:rsidRPr="004B2E95">
        <w:rPr>
          <w:rFonts w:ascii="Arial" w:hAnsi="Arial" w:cs="Arial"/>
          <w:b/>
          <w:lang w:val="en-GB"/>
        </w:rPr>
        <w:t xml:space="preserve"> Experimental Animals </w:t>
      </w:r>
    </w:p>
    <w:p w14:paraId="3227F621" w14:textId="77777777" w:rsidR="002F52E2" w:rsidRDefault="002F52E2" w:rsidP="002F52E2">
      <w:pPr>
        <w:pStyle w:val="NormalWeb"/>
        <w:tabs>
          <w:tab w:val="left" w:pos="5552"/>
        </w:tabs>
        <w:spacing w:line="480" w:lineRule="auto"/>
        <w:jc w:val="both"/>
        <w:rPr>
          <w:rFonts w:ascii="Arial" w:hAnsi="Arial" w:cs="Arial"/>
          <w:sz w:val="20"/>
          <w:szCs w:val="20"/>
        </w:rPr>
      </w:pPr>
      <w:r w:rsidRPr="002F52E2">
        <w:rPr>
          <w:rFonts w:ascii="Arial" w:hAnsi="Arial" w:cs="Arial"/>
          <w:sz w:val="20"/>
          <w:szCs w:val="20"/>
        </w:rPr>
        <w:t xml:space="preserve">Healthy male and female Wistar rats aged 8–12 weeks (weighing 120–140 g) were obtained from the Animal House, Faculty of Pharmaceutical Sciences, </w:t>
      </w:r>
      <w:proofErr w:type="spellStart"/>
      <w:r w:rsidRPr="002F52E2">
        <w:rPr>
          <w:rFonts w:ascii="Arial" w:hAnsi="Arial" w:cs="Arial"/>
          <w:sz w:val="20"/>
          <w:szCs w:val="20"/>
        </w:rPr>
        <w:t>Usmanu</w:t>
      </w:r>
      <w:proofErr w:type="spellEnd"/>
      <w:r w:rsidRPr="002F52E2">
        <w:rPr>
          <w:rFonts w:ascii="Arial" w:hAnsi="Arial" w:cs="Arial"/>
          <w:sz w:val="20"/>
          <w:szCs w:val="20"/>
        </w:rPr>
        <w:t xml:space="preserve"> </w:t>
      </w:r>
      <w:proofErr w:type="spellStart"/>
      <w:r w:rsidRPr="002F52E2">
        <w:rPr>
          <w:rFonts w:ascii="Arial" w:hAnsi="Arial" w:cs="Arial"/>
          <w:sz w:val="20"/>
          <w:szCs w:val="20"/>
        </w:rPr>
        <w:t>Danfodiyo</w:t>
      </w:r>
      <w:proofErr w:type="spellEnd"/>
      <w:r w:rsidRPr="002F52E2">
        <w:rPr>
          <w:rFonts w:ascii="Arial" w:hAnsi="Arial" w:cs="Arial"/>
          <w:sz w:val="20"/>
          <w:szCs w:val="20"/>
        </w:rPr>
        <w:t xml:space="preserve"> University, Sokoto. The animals were housed separately by sex in metal cages and maintained under standard laboratory </w:t>
      </w:r>
      <w:r w:rsidRPr="002F52E2">
        <w:rPr>
          <w:rFonts w:ascii="Arial" w:hAnsi="Arial" w:cs="Arial"/>
          <w:sz w:val="20"/>
          <w:szCs w:val="20"/>
        </w:rPr>
        <w:lastRenderedPageBreak/>
        <w:t>conditions at a temperature of 25 ± 2 °C with a 12-hour natural light/dark cycle. The rats were allowed to acclimatize for seven (7) days with free access to standard pellet feed and clean drinking water ad libitum. All animal handling and experimental procedures were conducted in accordance with international guidelines for the care and use of laboratory animals (9).</w:t>
      </w:r>
    </w:p>
    <w:p w14:paraId="421A2FBF" w14:textId="77777777" w:rsidR="00397112" w:rsidRPr="004B2E95" w:rsidRDefault="008D01F8" w:rsidP="002F52E2">
      <w:pPr>
        <w:pStyle w:val="NormalWeb"/>
        <w:tabs>
          <w:tab w:val="left" w:pos="5552"/>
        </w:tabs>
        <w:spacing w:line="480" w:lineRule="auto"/>
        <w:jc w:val="both"/>
        <w:rPr>
          <w:rFonts w:ascii="Arial" w:hAnsi="Arial" w:cs="Arial"/>
          <w:b/>
          <w:sz w:val="22"/>
          <w:szCs w:val="22"/>
        </w:rPr>
      </w:pPr>
      <w:r>
        <w:rPr>
          <w:rFonts w:ascii="Arial" w:hAnsi="Arial" w:cs="Arial"/>
          <w:b/>
          <w:sz w:val="22"/>
          <w:szCs w:val="22"/>
        </w:rPr>
        <w:t>2.4</w:t>
      </w:r>
      <w:r w:rsidR="00397112" w:rsidRPr="004B2E95">
        <w:rPr>
          <w:rFonts w:ascii="Arial" w:hAnsi="Arial" w:cs="Arial"/>
          <w:b/>
          <w:sz w:val="22"/>
          <w:szCs w:val="22"/>
        </w:rPr>
        <w:t xml:space="preserve"> Research Design</w:t>
      </w:r>
      <w:r w:rsidR="002F52E2">
        <w:rPr>
          <w:rFonts w:ascii="Arial" w:hAnsi="Arial" w:cs="Arial"/>
          <w:b/>
          <w:sz w:val="22"/>
          <w:szCs w:val="22"/>
        </w:rPr>
        <w:tab/>
      </w:r>
    </w:p>
    <w:p w14:paraId="01A6917A" w14:textId="77777777" w:rsidR="00397112" w:rsidRPr="004B2E95" w:rsidRDefault="008D01F8" w:rsidP="004B2E95">
      <w:pPr>
        <w:pStyle w:val="NormalWeb"/>
        <w:spacing w:line="480" w:lineRule="auto"/>
        <w:jc w:val="both"/>
        <w:rPr>
          <w:rFonts w:ascii="Arial" w:hAnsi="Arial" w:cs="Arial"/>
          <w:b/>
          <w:sz w:val="20"/>
          <w:szCs w:val="20"/>
          <w:u w:val="single"/>
        </w:rPr>
      </w:pPr>
      <w:r>
        <w:rPr>
          <w:rFonts w:ascii="Arial" w:hAnsi="Arial" w:cs="Arial"/>
          <w:b/>
          <w:sz w:val="20"/>
          <w:szCs w:val="20"/>
          <w:u w:val="single"/>
        </w:rPr>
        <w:t>2.4</w:t>
      </w:r>
      <w:r w:rsidR="00397112" w:rsidRPr="004B2E95">
        <w:rPr>
          <w:rFonts w:ascii="Arial" w:hAnsi="Arial" w:cs="Arial"/>
          <w:b/>
          <w:sz w:val="20"/>
          <w:szCs w:val="20"/>
          <w:u w:val="single"/>
        </w:rPr>
        <w:t>.1 Acute Oral Toxicity Test</w:t>
      </w:r>
    </w:p>
    <w:p w14:paraId="6E2795B0" w14:textId="77777777" w:rsidR="00A11F1A" w:rsidRDefault="00A11F1A" w:rsidP="004B2E95">
      <w:pPr>
        <w:pStyle w:val="NormalWeb"/>
        <w:spacing w:line="480" w:lineRule="auto"/>
        <w:jc w:val="both"/>
        <w:rPr>
          <w:rFonts w:ascii="Arial" w:hAnsi="Arial" w:cs="Arial"/>
          <w:sz w:val="20"/>
          <w:szCs w:val="20"/>
        </w:rPr>
      </w:pPr>
      <w:r w:rsidRPr="00A11F1A">
        <w:rPr>
          <w:rFonts w:ascii="Arial" w:hAnsi="Arial" w:cs="Arial"/>
          <w:sz w:val="20"/>
          <w:szCs w:val="20"/>
        </w:rPr>
        <w:t xml:space="preserve">The acute oral toxicity study was conducted using </w:t>
      </w:r>
      <w:proofErr w:type="spellStart"/>
      <w:r w:rsidRPr="00A11F1A">
        <w:rPr>
          <w:rFonts w:ascii="Arial" w:hAnsi="Arial" w:cs="Arial"/>
          <w:sz w:val="20"/>
          <w:szCs w:val="20"/>
        </w:rPr>
        <w:t>Lorke’s</w:t>
      </w:r>
      <w:proofErr w:type="spellEnd"/>
      <w:r w:rsidRPr="00A11F1A">
        <w:rPr>
          <w:rFonts w:ascii="Arial" w:hAnsi="Arial" w:cs="Arial"/>
          <w:sz w:val="20"/>
          <w:szCs w:val="20"/>
        </w:rPr>
        <w:t xml:space="preserve"> method (10). Nine (9) male Wistar rats were randomly divided into three groups (I, II, and III) of three rats each. Rats in groups I, II, and III received single oral doses of 10 mg/kg, 100 mg/kg, and 1000 mg/kg body weight of the extract, respectively, via intragastric gavage using an oral cannula. The animals were observed for 24 hours for any signs of toxicity.</w:t>
      </w:r>
      <w:r>
        <w:rPr>
          <w:rFonts w:ascii="Arial" w:hAnsi="Arial" w:cs="Arial"/>
          <w:sz w:val="20"/>
          <w:szCs w:val="20"/>
        </w:rPr>
        <w:t xml:space="preserve"> </w:t>
      </w:r>
    </w:p>
    <w:p w14:paraId="7FA66CC2" w14:textId="77777777" w:rsidR="00397112" w:rsidRPr="004B2E95" w:rsidRDefault="00A11F1A" w:rsidP="004B2E95">
      <w:pPr>
        <w:pStyle w:val="NormalWeb"/>
        <w:spacing w:line="480" w:lineRule="auto"/>
        <w:jc w:val="both"/>
        <w:rPr>
          <w:rFonts w:ascii="Arial" w:hAnsi="Arial" w:cs="Arial"/>
        </w:rPr>
      </w:pPr>
      <w:r w:rsidRPr="00A11F1A">
        <w:rPr>
          <w:rFonts w:ascii="Arial" w:hAnsi="Arial" w:cs="Arial"/>
          <w:sz w:val="20"/>
          <w:szCs w:val="20"/>
        </w:rPr>
        <w:t>Following the absence of toxic effects in phase one, phase two was conducted using three (3) male Wistar rats randomly assigned into three groups (I, II, and III) of one rat each. Single oral doses of 1600 mg/kg, 2900 mg/kg, and 5000 mg/kg body weight of the extract were administered to rats in groups I, II, and III, respectively, via intragastric gavage. The animals were observed continuously for the first 30 minutes post-administration, then hourly for 4 hours, and subsequently once daily for 48 hours for signs of toxicity, including changes in body weight, salivation, tremors, convulsions, diarrhea, skin, fur, eyes, mucous membranes, or mortality (11).</w:t>
      </w:r>
    </w:p>
    <w:p w14:paraId="2EA7428B" w14:textId="77777777" w:rsidR="001F37F6" w:rsidRPr="004B2E95" w:rsidRDefault="008D01F8" w:rsidP="004B2E95">
      <w:pPr>
        <w:pStyle w:val="NormalWeb"/>
        <w:spacing w:line="480" w:lineRule="auto"/>
        <w:jc w:val="both"/>
        <w:rPr>
          <w:rFonts w:ascii="Arial" w:hAnsi="Arial" w:cs="Arial"/>
          <w:b/>
          <w:sz w:val="20"/>
          <w:szCs w:val="20"/>
          <w:u w:val="single"/>
        </w:rPr>
      </w:pPr>
      <w:r>
        <w:rPr>
          <w:rFonts w:ascii="Arial" w:hAnsi="Arial" w:cs="Arial"/>
          <w:b/>
          <w:sz w:val="20"/>
          <w:szCs w:val="20"/>
          <w:u w:val="single"/>
        </w:rPr>
        <w:t>2.4</w:t>
      </w:r>
      <w:r w:rsidR="001F37F6" w:rsidRPr="004B2E95">
        <w:rPr>
          <w:rFonts w:ascii="Arial" w:hAnsi="Arial" w:cs="Arial"/>
          <w:b/>
          <w:sz w:val="20"/>
          <w:szCs w:val="20"/>
          <w:u w:val="single"/>
        </w:rPr>
        <w:t>.2 Sub-chronic Oral Toxicity Test</w:t>
      </w:r>
    </w:p>
    <w:p w14:paraId="61B08FE8" w14:textId="77777777" w:rsidR="00F15B3C" w:rsidRPr="00F15B3C" w:rsidRDefault="00F15B3C" w:rsidP="00F15B3C">
      <w:pPr>
        <w:pStyle w:val="NormalWeb"/>
        <w:spacing w:line="480" w:lineRule="auto"/>
        <w:jc w:val="both"/>
        <w:rPr>
          <w:rFonts w:ascii="Arial" w:hAnsi="Arial" w:cs="Arial"/>
          <w:sz w:val="20"/>
          <w:szCs w:val="20"/>
        </w:rPr>
      </w:pPr>
      <w:r w:rsidRPr="00F15B3C">
        <w:rPr>
          <w:rFonts w:ascii="Arial" w:hAnsi="Arial" w:cs="Arial"/>
          <w:sz w:val="20"/>
          <w:szCs w:val="20"/>
        </w:rPr>
        <w:t>The sub-chronic oral toxicity study was conducted using the 28-day repeated-dose toxicity method in accordance with the Organization for Economic Co-operation and Development (OECD) guidelines (9). Forty-eight (48) adult Wistar rats of both sexes were used for the study and randomly assigned into four (4) groups of twelve (12) rats each (6 males and 6 females per group).</w:t>
      </w:r>
    </w:p>
    <w:p w14:paraId="4D8DA713" w14:textId="77777777" w:rsidR="00F15B3C" w:rsidRDefault="00F15B3C" w:rsidP="00F15B3C">
      <w:pPr>
        <w:pStyle w:val="NormalWeb"/>
        <w:spacing w:line="480" w:lineRule="auto"/>
        <w:jc w:val="both"/>
        <w:rPr>
          <w:rFonts w:ascii="Arial" w:hAnsi="Arial" w:cs="Arial"/>
          <w:sz w:val="20"/>
          <w:szCs w:val="20"/>
        </w:rPr>
      </w:pPr>
      <w:r w:rsidRPr="00F15B3C">
        <w:rPr>
          <w:rFonts w:ascii="Arial" w:hAnsi="Arial" w:cs="Arial"/>
          <w:sz w:val="20"/>
          <w:szCs w:val="20"/>
        </w:rPr>
        <w:t xml:space="preserve">Group I received 1 mL of normal saline, while Groups II, III, and IV received oral doses of 500, 1000, and 1500 mg/kg body weight of the extract, respectively. All treatments were administered once daily </w:t>
      </w:r>
      <w:r w:rsidRPr="00F15B3C">
        <w:rPr>
          <w:rFonts w:ascii="Arial" w:hAnsi="Arial" w:cs="Arial"/>
          <w:sz w:val="20"/>
          <w:szCs w:val="20"/>
        </w:rPr>
        <w:lastRenderedPageBreak/>
        <w:t>for 28 consecutive days via oral gavage using an oral cannula. Body weights were recorded weekly, and the animals were observed daily for any physiological or behavioral changes.</w:t>
      </w:r>
    </w:p>
    <w:p w14:paraId="4E4F5E0A" w14:textId="77777777" w:rsidR="001F37F6" w:rsidRPr="004B2E95" w:rsidRDefault="008D01F8" w:rsidP="00F15B3C">
      <w:pPr>
        <w:pStyle w:val="NormalWeb"/>
        <w:spacing w:line="480" w:lineRule="auto"/>
        <w:jc w:val="both"/>
        <w:rPr>
          <w:rFonts w:ascii="Arial" w:hAnsi="Arial" w:cs="Arial"/>
          <w:b/>
          <w:i/>
          <w:sz w:val="20"/>
          <w:szCs w:val="20"/>
        </w:rPr>
      </w:pPr>
      <w:r>
        <w:rPr>
          <w:rFonts w:ascii="Arial" w:hAnsi="Arial" w:cs="Arial"/>
          <w:b/>
          <w:i/>
          <w:sz w:val="20"/>
          <w:szCs w:val="20"/>
        </w:rPr>
        <w:t>2.4</w:t>
      </w:r>
      <w:r w:rsidR="001F37F6" w:rsidRPr="004B2E95">
        <w:rPr>
          <w:rFonts w:ascii="Arial" w:hAnsi="Arial" w:cs="Arial"/>
          <w:b/>
          <w:i/>
          <w:sz w:val="20"/>
          <w:szCs w:val="20"/>
        </w:rPr>
        <w:t>.2.1 Sample Collection and Processing</w:t>
      </w:r>
    </w:p>
    <w:p w14:paraId="55D7932D" w14:textId="77777777" w:rsidR="00F15B3C" w:rsidRPr="00F15B3C" w:rsidRDefault="00F15B3C" w:rsidP="00F15B3C">
      <w:pPr>
        <w:pStyle w:val="NormalWeb"/>
        <w:spacing w:line="480" w:lineRule="auto"/>
        <w:jc w:val="both"/>
        <w:rPr>
          <w:rFonts w:ascii="Arial" w:hAnsi="Arial" w:cs="Arial"/>
          <w:sz w:val="20"/>
          <w:szCs w:val="20"/>
        </w:rPr>
      </w:pPr>
      <w:r w:rsidRPr="00F15B3C">
        <w:rPr>
          <w:rFonts w:ascii="Arial" w:hAnsi="Arial" w:cs="Arial"/>
          <w:sz w:val="20"/>
          <w:szCs w:val="20"/>
        </w:rPr>
        <w:t>At the end of the 28-day treatment period, the rats were fasted overnight with free access to water. They were then anesthetized using a ketamine–xylazine combination (50:10 mg/kg, respectively). Blood samples were collected by cardiac puncture into fluoride oxalate and lithium heparin bottles for the estimation of blood glucose and liver function parameters.</w:t>
      </w:r>
    </w:p>
    <w:p w14:paraId="4A36149E" w14:textId="77777777" w:rsidR="00397112" w:rsidRPr="004B2E95" w:rsidRDefault="00F15B3C" w:rsidP="00F15B3C">
      <w:pPr>
        <w:pStyle w:val="NormalWeb"/>
        <w:spacing w:line="480" w:lineRule="auto"/>
        <w:jc w:val="both"/>
        <w:rPr>
          <w:rFonts w:ascii="Arial" w:hAnsi="Arial" w:cs="Arial"/>
          <w:sz w:val="20"/>
          <w:szCs w:val="20"/>
        </w:rPr>
      </w:pPr>
      <w:r w:rsidRPr="00F15B3C">
        <w:rPr>
          <w:rFonts w:ascii="Arial" w:hAnsi="Arial" w:cs="Arial"/>
          <w:sz w:val="20"/>
          <w:szCs w:val="20"/>
        </w:rPr>
        <w:t>Following blood collection, the rats were sacrificed by lumbar dislocation. The liver was carefully excised, rinsed with distilled water, blotted dry, weighed, and fixed in 10% formal saline for macroscopic examination of any gross pathological changes.</w:t>
      </w:r>
    </w:p>
    <w:p w14:paraId="17C1C120" w14:textId="77777777" w:rsidR="00397112" w:rsidRPr="004B2E95" w:rsidRDefault="008D01F8" w:rsidP="004B2E95">
      <w:pPr>
        <w:pStyle w:val="NormalWeb"/>
        <w:spacing w:line="480" w:lineRule="auto"/>
        <w:jc w:val="both"/>
        <w:rPr>
          <w:rFonts w:ascii="Arial" w:hAnsi="Arial" w:cs="Arial"/>
          <w:b/>
          <w:sz w:val="22"/>
          <w:szCs w:val="22"/>
        </w:rPr>
      </w:pPr>
      <w:r>
        <w:rPr>
          <w:rFonts w:ascii="Arial" w:hAnsi="Arial" w:cs="Arial"/>
          <w:b/>
          <w:sz w:val="22"/>
          <w:szCs w:val="22"/>
        </w:rPr>
        <w:t>2.5</w:t>
      </w:r>
      <w:r w:rsidR="00EB5F28" w:rsidRPr="004B2E95">
        <w:rPr>
          <w:rFonts w:ascii="Arial" w:hAnsi="Arial" w:cs="Arial"/>
          <w:b/>
          <w:sz w:val="22"/>
          <w:szCs w:val="22"/>
        </w:rPr>
        <w:t xml:space="preserve"> Analytical Method</w:t>
      </w:r>
    </w:p>
    <w:p w14:paraId="7F1AA64A" w14:textId="77777777" w:rsidR="00BC1E2E" w:rsidRPr="00BC1E2E" w:rsidRDefault="00BC1E2E" w:rsidP="00BC1E2E">
      <w:pPr>
        <w:pStyle w:val="NormalWeb"/>
        <w:spacing w:line="480" w:lineRule="auto"/>
        <w:jc w:val="both"/>
        <w:rPr>
          <w:rFonts w:ascii="Arial" w:hAnsi="Arial" w:cs="Arial"/>
          <w:sz w:val="20"/>
          <w:szCs w:val="20"/>
        </w:rPr>
      </w:pPr>
      <w:r w:rsidRPr="00BC1E2E">
        <w:rPr>
          <w:rFonts w:ascii="Arial" w:hAnsi="Arial" w:cs="Arial"/>
          <w:sz w:val="20"/>
          <w:szCs w:val="20"/>
        </w:rPr>
        <w:t>Plasma glucose was measured using the enzymatic colorimetric method described by Trinder (12) with a commercially available reagent kit (Agappe Diagnostics Ltd., India). Plasma aspartate aminotransferase (AST) and alanine aminotransferase (ALT) activities were determined using the method of Reitman and Frankel (13) with reagent kits obtained from Agappe Diagnostics Ltd., India.</w:t>
      </w:r>
    </w:p>
    <w:p w14:paraId="3C6A5188" w14:textId="77777777" w:rsidR="00BC1E2E" w:rsidRPr="00BC1E2E" w:rsidRDefault="00BC1E2E" w:rsidP="00BC1E2E">
      <w:pPr>
        <w:pStyle w:val="NormalWeb"/>
        <w:spacing w:line="480" w:lineRule="auto"/>
        <w:jc w:val="both"/>
        <w:rPr>
          <w:rFonts w:ascii="Arial" w:hAnsi="Arial" w:cs="Arial"/>
          <w:sz w:val="20"/>
          <w:szCs w:val="20"/>
        </w:rPr>
      </w:pPr>
      <w:r w:rsidRPr="00BC1E2E">
        <w:rPr>
          <w:rFonts w:ascii="Arial" w:hAnsi="Arial" w:cs="Arial"/>
          <w:sz w:val="20"/>
          <w:szCs w:val="20"/>
        </w:rPr>
        <w:t>Alkaline phosphatase (ALP) activity was estimated based on the method recommended by the German Society for Clinical Chemistry and the Scandinavian Committee on Enzymes (DGKC-SCE) (14) using a reagent kit (Agappe Diagnostics Ltd., India). Plasma gamma-glutamyl transferase (GGT) activity was determined using a kinetic method as described by Reitman and Frankel (13) with a reagent kit (A</w:t>
      </w:r>
      <w:r>
        <w:rPr>
          <w:rFonts w:ascii="Arial" w:hAnsi="Arial" w:cs="Arial"/>
          <w:sz w:val="20"/>
          <w:szCs w:val="20"/>
        </w:rPr>
        <w:t>gappe Diagnostics Ltd., India).</w:t>
      </w:r>
    </w:p>
    <w:p w14:paraId="55C69091" w14:textId="77777777" w:rsidR="00BC1E2E" w:rsidRDefault="00BC1E2E" w:rsidP="00BC1E2E">
      <w:pPr>
        <w:pStyle w:val="NormalWeb"/>
        <w:spacing w:line="480" w:lineRule="auto"/>
        <w:jc w:val="both"/>
        <w:rPr>
          <w:rFonts w:ascii="Arial" w:hAnsi="Arial" w:cs="Arial"/>
          <w:sz w:val="20"/>
          <w:szCs w:val="20"/>
        </w:rPr>
      </w:pPr>
      <w:r w:rsidRPr="00BC1E2E">
        <w:rPr>
          <w:rFonts w:ascii="Arial" w:hAnsi="Arial" w:cs="Arial"/>
          <w:sz w:val="20"/>
          <w:szCs w:val="20"/>
        </w:rPr>
        <w:t>Plasma albumin concentration was estimated using the bromocresol green method (15) with a reagent kit (Agappe Diagnostics Ltd., India), while total protein concentration was determined by the biuret method (16) using the same manufacturer’s kit. Total and conjugated bilirubin concentrations were estimated using the Malloy–Evelyn method (17) with a reagent kit (Agappe Diagnostics Ltd., India).</w:t>
      </w:r>
    </w:p>
    <w:p w14:paraId="3DA4F36D" w14:textId="77777777" w:rsidR="00BC1E2E" w:rsidRPr="00BC1E2E" w:rsidRDefault="00BC1E2E" w:rsidP="00BC1E2E">
      <w:pPr>
        <w:pStyle w:val="NormalWeb"/>
        <w:spacing w:line="480" w:lineRule="auto"/>
        <w:jc w:val="both"/>
        <w:rPr>
          <w:rFonts w:ascii="Arial" w:hAnsi="Arial" w:cs="Arial"/>
          <w:b/>
          <w:sz w:val="22"/>
          <w:szCs w:val="22"/>
        </w:rPr>
      </w:pPr>
      <w:r>
        <w:rPr>
          <w:rFonts w:ascii="Arial" w:hAnsi="Arial" w:cs="Arial"/>
          <w:b/>
          <w:sz w:val="22"/>
          <w:szCs w:val="22"/>
        </w:rPr>
        <w:t xml:space="preserve">2.6 </w:t>
      </w:r>
      <w:r w:rsidRPr="00BC1E2E">
        <w:rPr>
          <w:rFonts w:ascii="Arial" w:hAnsi="Arial" w:cs="Arial"/>
          <w:b/>
          <w:sz w:val="22"/>
          <w:szCs w:val="22"/>
        </w:rPr>
        <w:t>Statistical Analysis</w:t>
      </w:r>
    </w:p>
    <w:p w14:paraId="7C1B73E3" w14:textId="77777777" w:rsidR="00BC1E2E" w:rsidRDefault="00BC1E2E" w:rsidP="00BC1E2E">
      <w:pPr>
        <w:pStyle w:val="NormalWeb"/>
        <w:spacing w:line="480" w:lineRule="auto"/>
        <w:jc w:val="both"/>
        <w:rPr>
          <w:rFonts w:ascii="Arial" w:hAnsi="Arial" w:cs="Arial"/>
          <w:b/>
          <w:sz w:val="22"/>
          <w:szCs w:val="22"/>
        </w:rPr>
      </w:pPr>
      <w:r w:rsidRPr="00BC1E2E">
        <w:rPr>
          <w:rFonts w:ascii="Arial" w:hAnsi="Arial" w:cs="Arial"/>
          <w:sz w:val="20"/>
          <w:szCs w:val="20"/>
        </w:rPr>
        <w:lastRenderedPageBreak/>
        <w:t>Data obtained from the study were analyzed using the Statistical Package for Social Sciences (SPSS) for Windows, version 23.0 (SPSS Inc., Chicago, IL, USA). Results were expressed as mean ± standard error of the mean (SEM). The Shapiro–Wilk test was used to assess data normality. Group comparisons were performed using two-way analysis of variance (ANOVA), and significant differences were further analyzed using the least significant difference (LSD) post hoc test. Differences were considered statistically significant at p ≤ 0.05 with a 95% confidence interval</w:t>
      </w:r>
      <w:r w:rsidRPr="00BC1E2E">
        <w:rPr>
          <w:rFonts w:ascii="Arial" w:hAnsi="Arial" w:cs="Arial"/>
          <w:b/>
          <w:sz w:val="22"/>
          <w:szCs w:val="22"/>
        </w:rPr>
        <w:t>.</w:t>
      </w:r>
    </w:p>
    <w:p w14:paraId="4439BCC2" w14:textId="77777777" w:rsidR="00BC1E2E" w:rsidRDefault="00BC1E2E" w:rsidP="00BC1E2E">
      <w:pPr>
        <w:pStyle w:val="NormalWeb"/>
        <w:spacing w:line="480" w:lineRule="auto"/>
        <w:jc w:val="both"/>
        <w:rPr>
          <w:rFonts w:ascii="Arial" w:hAnsi="Arial" w:cs="Arial"/>
          <w:b/>
          <w:sz w:val="22"/>
          <w:szCs w:val="22"/>
        </w:rPr>
      </w:pPr>
    </w:p>
    <w:p w14:paraId="760B2A87" w14:textId="77777777" w:rsidR="00DC164C" w:rsidRPr="004B2E95" w:rsidRDefault="00BC1E2E" w:rsidP="00BC1E2E">
      <w:pPr>
        <w:pStyle w:val="NormalWeb"/>
        <w:spacing w:line="480" w:lineRule="auto"/>
        <w:jc w:val="both"/>
        <w:rPr>
          <w:rFonts w:ascii="Arial" w:hAnsi="Arial" w:cs="Arial"/>
          <w:b/>
          <w:sz w:val="22"/>
          <w:szCs w:val="22"/>
        </w:rPr>
      </w:pPr>
      <w:r>
        <w:rPr>
          <w:rFonts w:ascii="Arial" w:hAnsi="Arial" w:cs="Arial"/>
          <w:b/>
          <w:sz w:val="22"/>
          <w:szCs w:val="22"/>
        </w:rPr>
        <w:t xml:space="preserve">2.7 </w:t>
      </w:r>
      <w:r w:rsidR="00DC164C" w:rsidRPr="004B2E95">
        <w:rPr>
          <w:rFonts w:ascii="Arial" w:hAnsi="Arial" w:cs="Arial"/>
          <w:b/>
          <w:sz w:val="22"/>
          <w:szCs w:val="22"/>
        </w:rPr>
        <w:t>RESULTS AND DISCUSSION</w:t>
      </w:r>
    </w:p>
    <w:p w14:paraId="256B64E5" w14:textId="77777777" w:rsidR="003709B6" w:rsidRPr="003709B6" w:rsidRDefault="003709B6" w:rsidP="003709B6">
      <w:pPr>
        <w:spacing w:line="480" w:lineRule="auto"/>
        <w:jc w:val="both"/>
        <w:rPr>
          <w:rFonts w:ascii="Arial" w:eastAsia="Times New Roman" w:hAnsi="Arial" w:cs="Arial"/>
          <w:sz w:val="20"/>
          <w:szCs w:val="20"/>
        </w:rPr>
      </w:pPr>
      <w:bookmarkStart w:id="6" w:name="_Toc218007206"/>
      <w:r w:rsidRPr="003709B6">
        <w:rPr>
          <w:rFonts w:ascii="Arial" w:eastAsia="Times New Roman" w:hAnsi="Arial" w:cs="Arial"/>
          <w:sz w:val="20"/>
          <w:szCs w:val="20"/>
        </w:rPr>
        <w:t>Table 1 presents the grouping of male Wistar rats used in phases I and II for the determination of the median lethal dose (LD</w:t>
      </w:r>
      <w:r w:rsidRPr="003709B6">
        <w:rPr>
          <w:rFonts w:ascii="Cambria Math" w:eastAsia="Times New Roman" w:hAnsi="Cambria Math" w:cs="Cambria Math"/>
          <w:sz w:val="20"/>
          <w:szCs w:val="20"/>
        </w:rPr>
        <w:t>₅₀</w:t>
      </w:r>
      <w:r w:rsidRPr="003709B6">
        <w:rPr>
          <w:rFonts w:ascii="Arial" w:eastAsia="Times New Roman" w:hAnsi="Arial" w:cs="Arial"/>
          <w:sz w:val="20"/>
          <w:szCs w:val="20"/>
        </w:rPr>
        <w:t xml:space="preserve">) of the ethyl acetate leaf extract of </w:t>
      </w:r>
      <w:r w:rsidRPr="007272F5">
        <w:rPr>
          <w:rFonts w:ascii="Arial" w:eastAsia="Times New Roman" w:hAnsi="Arial" w:cs="Arial"/>
          <w:sz w:val="20"/>
          <w:szCs w:val="20"/>
          <w:highlight w:val="yellow"/>
        </w:rPr>
        <w:t xml:space="preserve">Gliricidia </w:t>
      </w:r>
      <w:proofErr w:type="spellStart"/>
      <w:r w:rsidRPr="007272F5">
        <w:rPr>
          <w:rFonts w:ascii="Arial" w:eastAsia="Times New Roman" w:hAnsi="Arial" w:cs="Arial"/>
          <w:sz w:val="20"/>
          <w:szCs w:val="20"/>
          <w:highlight w:val="yellow"/>
        </w:rPr>
        <w:t>sepium</w:t>
      </w:r>
      <w:proofErr w:type="spellEnd"/>
      <w:r w:rsidRPr="003709B6">
        <w:rPr>
          <w:rFonts w:ascii="Arial" w:eastAsia="Times New Roman" w:hAnsi="Arial" w:cs="Arial"/>
          <w:sz w:val="20"/>
          <w:szCs w:val="20"/>
        </w:rPr>
        <w:t xml:space="preserve">. The results showed that neither mortality nor abnormal </w:t>
      </w:r>
      <w:proofErr w:type="spellStart"/>
      <w:r w:rsidRPr="003709B6">
        <w:rPr>
          <w:rFonts w:ascii="Arial" w:eastAsia="Times New Roman" w:hAnsi="Arial" w:cs="Arial"/>
          <w:sz w:val="20"/>
          <w:szCs w:val="20"/>
        </w:rPr>
        <w:t>behaviour</w:t>
      </w:r>
      <w:proofErr w:type="spellEnd"/>
      <w:r w:rsidRPr="003709B6">
        <w:rPr>
          <w:rFonts w:ascii="Arial" w:eastAsia="Times New Roman" w:hAnsi="Arial" w:cs="Arial"/>
          <w:sz w:val="20"/>
          <w:szCs w:val="20"/>
        </w:rPr>
        <w:t xml:space="preserve"> was observed in any of the rats during both phases after 24 hours of observation. This finding indicates that the LD</w:t>
      </w:r>
      <w:r w:rsidRPr="003709B6">
        <w:rPr>
          <w:rFonts w:ascii="Cambria Math" w:eastAsia="Times New Roman" w:hAnsi="Cambria Math" w:cs="Cambria Math"/>
          <w:sz w:val="20"/>
          <w:szCs w:val="20"/>
        </w:rPr>
        <w:t>₅₀</w:t>
      </w:r>
      <w:r w:rsidRPr="003709B6">
        <w:rPr>
          <w:rFonts w:ascii="Arial" w:eastAsia="Times New Roman" w:hAnsi="Arial" w:cs="Arial"/>
          <w:sz w:val="20"/>
          <w:szCs w:val="20"/>
        </w:rPr>
        <w:t xml:space="preserve"> of the extract is greater than 5000 mg/kg body weight.</w:t>
      </w:r>
    </w:p>
    <w:p w14:paraId="240A75BE" w14:textId="77777777"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Acute toxicity studies are conducted to estimate the median lethal dose (LD</w:t>
      </w:r>
      <w:r w:rsidRPr="003709B6">
        <w:rPr>
          <w:rFonts w:ascii="Cambria Math" w:eastAsia="Times New Roman" w:hAnsi="Cambria Math" w:cs="Cambria Math"/>
          <w:sz w:val="20"/>
          <w:szCs w:val="20"/>
        </w:rPr>
        <w:t>₅₀</w:t>
      </w:r>
      <w:r w:rsidRPr="003709B6">
        <w:rPr>
          <w:rFonts w:ascii="Arial" w:eastAsia="Times New Roman" w:hAnsi="Arial" w:cs="Arial"/>
          <w:sz w:val="20"/>
          <w:szCs w:val="20"/>
        </w:rPr>
        <w:t xml:space="preserve">), which is a fundamental parameter in toxicological evaluation of plant extracts. In this study, oral administration of a single dose of the ethyl acetate leaf extract of G. </w:t>
      </w:r>
      <w:proofErr w:type="spellStart"/>
      <w:r w:rsidRPr="003709B6">
        <w:rPr>
          <w:rFonts w:ascii="Arial" w:eastAsia="Times New Roman" w:hAnsi="Arial" w:cs="Arial"/>
          <w:sz w:val="20"/>
          <w:szCs w:val="20"/>
        </w:rPr>
        <w:t>sepium</w:t>
      </w:r>
      <w:proofErr w:type="spellEnd"/>
      <w:r w:rsidRPr="003709B6">
        <w:rPr>
          <w:rFonts w:ascii="Arial" w:eastAsia="Times New Roman" w:hAnsi="Arial" w:cs="Arial"/>
          <w:sz w:val="20"/>
          <w:szCs w:val="20"/>
        </w:rPr>
        <w:t xml:space="preserve"> at concentrations up to 5000 mg/kg body weight did not result in mortality or observable </w:t>
      </w:r>
      <w:proofErr w:type="spellStart"/>
      <w:r w:rsidRPr="003709B6">
        <w:rPr>
          <w:rFonts w:ascii="Arial" w:eastAsia="Times New Roman" w:hAnsi="Arial" w:cs="Arial"/>
          <w:sz w:val="20"/>
          <w:szCs w:val="20"/>
        </w:rPr>
        <w:t>behavioural</w:t>
      </w:r>
      <w:proofErr w:type="spellEnd"/>
      <w:r w:rsidRPr="003709B6">
        <w:rPr>
          <w:rFonts w:ascii="Arial" w:eastAsia="Times New Roman" w:hAnsi="Arial" w:cs="Arial"/>
          <w:sz w:val="20"/>
          <w:szCs w:val="20"/>
        </w:rPr>
        <w:t xml:space="preserve"> changes. According to the Globally Harmonized System (GHS) for the classification of chemicals, this places the extract in Category 5, indicating relatively low acute toxicity (18, 7, 19).</w:t>
      </w:r>
    </w:p>
    <w:p w14:paraId="4053B79D" w14:textId="77777777"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 xml:space="preserve">A sub-chronic toxicity study was also conducted to assess the effects of repeated exposure. Throughout the experimental period, all rats remained active and responsive to external stimuli. No mortality or clinical signs of local or systemic toxicity were observed. Daily </w:t>
      </w:r>
      <w:proofErr w:type="spellStart"/>
      <w:r w:rsidRPr="003709B6">
        <w:rPr>
          <w:rFonts w:ascii="Arial" w:eastAsia="Times New Roman" w:hAnsi="Arial" w:cs="Arial"/>
          <w:sz w:val="20"/>
          <w:szCs w:val="20"/>
        </w:rPr>
        <w:t>behavioural</w:t>
      </w:r>
      <w:proofErr w:type="spellEnd"/>
      <w:r w:rsidRPr="003709B6">
        <w:rPr>
          <w:rFonts w:ascii="Arial" w:eastAsia="Times New Roman" w:hAnsi="Arial" w:cs="Arial"/>
          <w:sz w:val="20"/>
          <w:szCs w:val="20"/>
        </w:rPr>
        <w:t xml:space="preserve"> assessments revealed no abnormalities, and animals in both treated and control groups exhibited normal </w:t>
      </w:r>
      <w:proofErr w:type="spellStart"/>
      <w:r w:rsidRPr="003709B6">
        <w:rPr>
          <w:rFonts w:ascii="Arial" w:eastAsia="Times New Roman" w:hAnsi="Arial" w:cs="Arial"/>
          <w:sz w:val="20"/>
          <w:szCs w:val="20"/>
        </w:rPr>
        <w:t>behaviour</w:t>
      </w:r>
      <w:proofErr w:type="spellEnd"/>
      <w:r w:rsidRPr="003709B6">
        <w:rPr>
          <w:rFonts w:ascii="Arial" w:eastAsia="Times New Roman" w:hAnsi="Arial" w:cs="Arial"/>
          <w:sz w:val="20"/>
          <w:szCs w:val="20"/>
        </w:rPr>
        <w:t>. Repeated-dose toxicity studies are essential for identifying potential target organs and alterations in physiological and biochemical parameters. Such studies are required by regulatory agencies to adequately characterize the toxicological profile of test substances (20).</w:t>
      </w:r>
    </w:p>
    <w:p w14:paraId="66B7E7B6" w14:textId="77777777"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lastRenderedPageBreak/>
        <w:t xml:space="preserve">Figure 1 illustrates the changes in fasting plasma glucose levels in male and female Wistar rats administered ethyl acetate leaf extract of G. </w:t>
      </w:r>
      <w:proofErr w:type="spellStart"/>
      <w:r w:rsidRPr="003709B6">
        <w:rPr>
          <w:rFonts w:ascii="Arial" w:eastAsia="Times New Roman" w:hAnsi="Arial" w:cs="Arial"/>
          <w:sz w:val="20"/>
          <w:szCs w:val="20"/>
        </w:rPr>
        <w:t>sepium</w:t>
      </w:r>
      <w:proofErr w:type="spellEnd"/>
      <w:r w:rsidRPr="003709B6">
        <w:rPr>
          <w:rFonts w:ascii="Arial" w:eastAsia="Times New Roman" w:hAnsi="Arial" w:cs="Arial"/>
          <w:sz w:val="20"/>
          <w:szCs w:val="20"/>
        </w:rPr>
        <w:t xml:space="preserve"> at daily doses of 500 mg/kg, 1000 mg/kg, and 1500 mg/kg for groups II, III, and IV, respectively, for 28 days. The results showed no statistically significant differences in plasma glucose levels among the treated groups when compared with the control group. The absence of significant changes in glucose levels suggests that the extract did not interfere with glucose homeostasis or carbohydrate metabolism. The liver plays a central role in glucose metabolism, particularly in gluconeogenesis and glycogenolysis, which are essential for maintaining normal blood glucose levels (21).</w:t>
      </w:r>
    </w:p>
    <w:p w14:paraId="38411D9D" w14:textId="77777777"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 xml:space="preserve">Table 2 presents the liver function parameters of male and female Wistar rats administered ethyl acetate leaf extract of G. </w:t>
      </w:r>
      <w:proofErr w:type="spellStart"/>
      <w:r w:rsidRPr="003709B6">
        <w:rPr>
          <w:rFonts w:ascii="Arial" w:eastAsia="Times New Roman" w:hAnsi="Arial" w:cs="Arial"/>
          <w:sz w:val="20"/>
          <w:szCs w:val="20"/>
        </w:rPr>
        <w:t>sepium</w:t>
      </w:r>
      <w:proofErr w:type="spellEnd"/>
      <w:r w:rsidRPr="003709B6">
        <w:rPr>
          <w:rFonts w:ascii="Arial" w:eastAsia="Times New Roman" w:hAnsi="Arial" w:cs="Arial"/>
          <w:sz w:val="20"/>
          <w:szCs w:val="20"/>
        </w:rPr>
        <w:t xml:space="preserve"> for 28 days. The mean values of AST, ALT, ALP, total protein, albumin, total bilirubin, conjugated bilirubin, and GGT in groups II, III, and IV were not significantly different from those of the control group. No significant sex-related differences were observed. These findings are consistent with the report of Oduola et al. (7), who observed no hepatotoxic effects following administration of G. </w:t>
      </w:r>
      <w:proofErr w:type="spellStart"/>
      <w:r w:rsidRPr="003709B6">
        <w:rPr>
          <w:rFonts w:ascii="Arial" w:eastAsia="Times New Roman" w:hAnsi="Arial" w:cs="Arial"/>
          <w:sz w:val="20"/>
          <w:szCs w:val="20"/>
        </w:rPr>
        <w:t>sepium</w:t>
      </w:r>
      <w:proofErr w:type="spellEnd"/>
      <w:r w:rsidRPr="003709B6">
        <w:rPr>
          <w:rFonts w:ascii="Arial" w:eastAsia="Times New Roman" w:hAnsi="Arial" w:cs="Arial"/>
          <w:sz w:val="20"/>
          <w:szCs w:val="20"/>
        </w:rPr>
        <w:t xml:space="preserve"> extract.</w:t>
      </w:r>
    </w:p>
    <w:p w14:paraId="3519EA79" w14:textId="77777777"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Liver function parameters are vital in toxicological evaluations because the liver is responsible for the metabolism and detoxification of xenobiotics and endogenous compounds essential for organismal survival (21). As the primary site of drug metabolism and albumin synthesis, liver enzymes such as ALT, AST, and ALP are commonly used biomarkers for detecting hepatic injury in toxicity studies (22).</w:t>
      </w:r>
    </w:p>
    <w:p w14:paraId="3E450703" w14:textId="77777777"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 xml:space="preserve">Plate 1 shows the liver histology of Wistar rats administered ethyl acetate leaf extract of G. </w:t>
      </w:r>
      <w:proofErr w:type="spellStart"/>
      <w:r w:rsidRPr="003709B6">
        <w:rPr>
          <w:rFonts w:ascii="Arial" w:eastAsia="Times New Roman" w:hAnsi="Arial" w:cs="Arial"/>
          <w:sz w:val="20"/>
          <w:szCs w:val="20"/>
        </w:rPr>
        <w:t>sepium</w:t>
      </w:r>
      <w:proofErr w:type="spellEnd"/>
      <w:r w:rsidRPr="003709B6">
        <w:rPr>
          <w:rFonts w:ascii="Arial" w:eastAsia="Times New Roman" w:hAnsi="Arial" w:cs="Arial"/>
          <w:sz w:val="20"/>
          <w:szCs w:val="20"/>
        </w:rPr>
        <w:t xml:space="preserve"> in the sub-chronic toxicity study. The liver sections from all groups revealed normal hepatic architecture with a well-defined central vein, preserved hepatocyte arrangement, and intact lobular structure. Gross (macroscopic) examination of the liver in both treated and control rats revealed no observable changes in colour, size, or texture. Histopathological examination showed no evidence of cellular injury, cholestasis, or necrosis. These histological findings corroborate the biochemical results and indicate that oral administration of the ethyl acetate leaf extract of G. </w:t>
      </w:r>
      <w:proofErr w:type="spellStart"/>
      <w:r w:rsidRPr="003709B6">
        <w:rPr>
          <w:rFonts w:ascii="Arial" w:eastAsia="Times New Roman" w:hAnsi="Arial" w:cs="Arial"/>
          <w:sz w:val="20"/>
          <w:szCs w:val="20"/>
        </w:rPr>
        <w:t>sepium</w:t>
      </w:r>
      <w:proofErr w:type="spellEnd"/>
      <w:r w:rsidRPr="003709B6">
        <w:rPr>
          <w:rFonts w:ascii="Arial" w:eastAsia="Times New Roman" w:hAnsi="Arial" w:cs="Arial"/>
          <w:sz w:val="20"/>
          <w:szCs w:val="20"/>
        </w:rPr>
        <w:t xml:space="preserve"> did not induce significant toxicological or morphological alterations in the liver.</w:t>
      </w:r>
    </w:p>
    <w:p w14:paraId="792ADCDF" w14:textId="77777777" w:rsidR="00EC2A68" w:rsidRPr="004B2E95" w:rsidRDefault="003709B6" w:rsidP="003709B6">
      <w:pPr>
        <w:spacing w:line="480" w:lineRule="auto"/>
        <w:jc w:val="both"/>
        <w:rPr>
          <w:rFonts w:ascii="Arial" w:hAnsi="Arial" w:cs="Arial"/>
          <w:b/>
        </w:rPr>
      </w:pPr>
      <w:proofErr w:type="gramStart"/>
      <w:r w:rsidRPr="003709B6">
        <w:rPr>
          <w:rFonts w:ascii="Arial" w:eastAsia="Times New Roman" w:hAnsi="Arial" w:cs="Arial"/>
          <w:sz w:val="20"/>
          <w:szCs w:val="20"/>
        </w:rPr>
        <w:t>.</w:t>
      </w:r>
      <w:r w:rsidR="00EC2A68" w:rsidRPr="004B2E95">
        <w:rPr>
          <w:rFonts w:ascii="Arial" w:hAnsi="Arial" w:cs="Arial"/>
          <w:b/>
        </w:rPr>
        <w:t>Conclusion</w:t>
      </w:r>
      <w:bookmarkEnd w:id="6"/>
      <w:proofErr w:type="gramEnd"/>
      <w:r w:rsidR="00EC2A68" w:rsidRPr="004B2E95">
        <w:rPr>
          <w:rFonts w:ascii="Arial" w:hAnsi="Arial" w:cs="Arial"/>
          <w:b/>
        </w:rPr>
        <w:t xml:space="preserve"> </w:t>
      </w:r>
    </w:p>
    <w:p w14:paraId="7C684E98" w14:textId="77777777" w:rsidR="00EC2A68" w:rsidRPr="004B2E95" w:rsidRDefault="003709B6" w:rsidP="004B2E95">
      <w:pPr>
        <w:spacing w:line="480" w:lineRule="auto"/>
        <w:rPr>
          <w:rFonts w:ascii="Arial" w:hAnsi="Arial" w:cs="Arial"/>
          <w:sz w:val="20"/>
          <w:szCs w:val="20"/>
        </w:rPr>
      </w:pPr>
      <w:r w:rsidRPr="003709B6">
        <w:rPr>
          <w:rFonts w:ascii="Arial" w:hAnsi="Arial" w:cs="Arial"/>
          <w:sz w:val="20"/>
          <w:szCs w:val="20"/>
        </w:rPr>
        <w:lastRenderedPageBreak/>
        <w:t>The median lethal dose (LD</w:t>
      </w:r>
      <w:r w:rsidRPr="003709B6">
        <w:rPr>
          <w:rFonts w:ascii="Cambria Math" w:hAnsi="Cambria Math" w:cs="Cambria Math"/>
          <w:sz w:val="20"/>
          <w:szCs w:val="20"/>
        </w:rPr>
        <w:t>₅₀</w:t>
      </w:r>
      <w:r w:rsidRPr="003709B6">
        <w:rPr>
          <w:rFonts w:ascii="Arial" w:hAnsi="Arial" w:cs="Arial"/>
          <w:sz w:val="20"/>
          <w:szCs w:val="20"/>
        </w:rPr>
        <w:t xml:space="preserve">) of the ethyl acetate leaf extract of </w:t>
      </w:r>
      <w:r w:rsidRPr="00F24E58">
        <w:rPr>
          <w:rFonts w:ascii="Arial" w:hAnsi="Arial" w:cs="Arial"/>
          <w:sz w:val="20"/>
          <w:szCs w:val="20"/>
          <w:highlight w:val="yellow"/>
        </w:rPr>
        <w:t xml:space="preserve">Gliricidia </w:t>
      </w:r>
      <w:proofErr w:type="spellStart"/>
      <w:r w:rsidRPr="00F24E58">
        <w:rPr>
          <w:rFonts w:ascii="Arial" w:hAnsi="Arial" w:cs="Arial"/>
          <w:sz w:val="20"/>
          <w:szCs w:val="20"/>
          <w:highlight w:val="yellow"/>
        </w:rPr>
        <w:t>sepium</w:t>
      </w:r>
      <w:proofErr w:type="spellEnd"/>
      <w:r w:rsidRPr="003709B6">
        <w:rPr>
          <w:rFonts w:ascii="Arial" w:hAnsi="Arial" w:cs="Arial"/>
          <w:sz w:val="20"/>
          <w:szCs w:val="20"/>
        </w:rPr>
        <w:t xml:space="preserve"> was found to be greater than 5000 mg/kg body weight in Wistar rats, indicating that the extract possesses relatively low acute toxicity. Sub-chronic oral administration of the extract at doses of 500, 1000, and 1500 mg/kg for 28 days did not produce adverse effects on blood glucose levels or liver function indices in both male and female Wistar rats. Furthermore, histopathological evaluation revealed no adverse morphological changes in the liver. These findings suggest that the ethyl acetate leaf extract of G. </w:t>
      </w:r>
      <w:proofErr w:type="spellStart"/>
      <w:r w:rsidRPr="003709B6">
        <w:rPr>
          <w:rFonts w:ascii="Arial" w:hAnsi="Arial" w:cs="Arial"/>
          <w:sz w:val="20"/>
          <w:szCs w:val="20"/>
        </w:rPr>
        <w:t>sepium</w:t>
      </w:r>
      <w:proofErr w:type="spellEnd"/>
      <w:r w:rsidRPr="003709B6">
        <w:rPr>
          <w:rFonts w:ascii="Arial" w:hAnsi="Arial" w:cs="Arial"/>
          <w:sz w:val="20"/>
          <w:szCs w:val="20"/>
        </w:rPr>
        <w:t xml:space="preserve"> is relatively safe at the tested doses and duration</w:t>
      </w:r>
    </w:p>
    <w:p w14:paraId="489C1986" w14:textId="77777777" w:rsidR="00654581" w:rsidRPr="00F204C3" w:rsidRDefault="00654581" w:rsidP="00EC2A68">
      <w:pPr>
        <w:pStyle w:val="NormalWeb"/>
        <w:jc w:val="both"/>
        <w:rPr>
          <w:rFonts w:ascii="Arial" w:hAnsi="Arial" w:cs="Arial"/>
          <w:sz w:val="20"/>
          <w:szCs w:val="20"/>
        </w:rPr>
      </w:pPr>
    </w:p>
    <w:p w14:paraId="278C10B5" w14:textId="77777777" w:rsidR="001B2B12" w:rsidRPr="00F204C3" w:rsidRDefault="00071500" w:rsidP="00A76E0C">
      <w:pPr>
        <w:spacing w:line="480" w:lineRule="auto"/>
        <w:rPr>
          <w:rFonts w:ascii="Arial" w:hAnsi="Arial" w:cs="Arial"/>
          <w:b/>
        </w:rPr>
      </w:pPr>
      <w:r w:rsidRPr="00F204C3">
        <w:rPr>
          <w:rFonts w:ascii="Arial" w:hAnsi="Arial" w:cs="Arial"/>
          <w:b/>
        </w:rPr>
        <w:t>Table 1</w:t>
      </w:r>
      <w:r w:rsidR="001B2B12" w:rsidRPr="00F204C3">
        <w:rPr>
          <w:rFonts w:ascii="Arial" w:hAnsi="Arial" w:cs="Arial"/>
          <w:b/>
        </w:rPr>
        <w:t>: Acute toxicity profile (LD</w:t>
      </w:r>
      <w:r w:rsidR="001B2B12" w:rsidRPr="00F204C3">
        <w:rPr>
          <w:rFonts w:ascii="Arial" w:hAnsi="Arial" w:cs="Arial"/>
          <w:b/>
          <w:vertAlign w:val="subscript"/>
        </w:rPr>
        <w:t>50</w:t>
      </w:r>
      <w:r w:rsidR="001B2B12" w:rsidRPr="00F204C3">
        <w:rPr>
          <w:rFonts w:ascii="Arial" w:hAnsi="Arial" w:cs="Arial"/>
          <w:b/>
        </w:rPr>
        <w:t xml:space="preserve">) of </w:t>
      </w:r>
      <w:r w:rsidR="001B2B12" w:rsidRPr="00F204C3">
        <w:rPr>
          <w:rFonts w:ascii="Arial" w:hAnsi="Arial" w:cs="Arial"/>
          <w:b/>
          <w:i/>
        </w:rPr>
        <w:t xml:space="preserve">G. </w:t>
      </w:r>
      <w:proofErr w:type="spellStart"/>
      <w:r w:rsidR="001B2B12" w:rsidRPr="00F204C3">
        <w:rPr>
          <w:rFonts w:ascii="Arial" w:hAnsi="Arial" w:cs="Arial"/>
          <w:b/>
          <w:i/>
        </w:rPr>
        <w:t>sepium</w:t>
      </w:r>
      <w:proofErr w:type="spellEnd"/>
      <w:r w:rsidR="001B2B12" w:rsidRPr="00F204C3">
        <w:rPr>
          <w:rFonts w:ascii="Arial" w:hAnsi="Arial" w:cs="Arial"/>
          <w:b/>
          <w:i/>
        </w:rPr>
        <w:t xml:space="preserve">    </w:t>
      </w:r>
      <w:r w:rsidR="001B2B12" w:rsidRPr="00F204C3">
        <w:rPr>
          <w:rFonts w:ascii="Arial" w:hAnsi="Arial" w:cs="Arial"/>
          <w:b/>
        </w:rPr>
        <w:t xml:space="preserve"> ethyl acetate leaves extract in male Wistar rats.</w:t>
      </w:r>
    </w:p>
    <w:tbl>
      <w:tblPr>
        <w:tblW w:w="0" w:type="auto"/>
        <w:tblBorders>
          <w:top w:val="single" w:sz="4" w:space="0" w:color="auto"/>
          <w:bottom w:val="single" w:sz="4" w:space="0" w:color="auto"/>
        </w:tblBorders>
        <w:tblLook w:val="04A0" w:firstRow="1" w:lastRow="0" w:firstColumn="1" w:lastColumn="0" w:noHBand="0" w:noVBand="1"/>
      </w:tblPr>
      <w:tblGrid>
        <w:gridCol w:w="1721"/>
        <w:gridCol w:w="1737"/>
        <w:gridCol w:w="1922"/>
        <w:gridCol w:w="1837"/>
        <w:gridCol w:w="1809"/>
      </w:tblGrid>
      <w:tr w:rsidR="001B2B12" w:rsidRPr="00F204C3" w14:paraId="39B88B92" w14:textId="77777777" w:rsidTr="001B2B12">
        <w:tc>
          <w:tcPr>
            <w:tcW w:w="1721" w:type="dxa"/>
            <w:tcBorders>
              <w:bottom w:val="single" w:sz="4" w:space="0" w:color="auto"/>
            </w:tcBorders>
          </w:tcPr>
          <w:p w14:paraId="4369C03A" w14:textId="77777777" w:rsidR="001B2B12" w:rsidRPr="00F204C3" w:rsidRDefault="001B2B12" w:rsidP="00A76E0C">
            <w:pPr>
              <w:spacing w:line="480" w:lineRule="auto"/>
              <w:rPr>
                <w:rFonts w:ascii="Arial" w:hAnsi="Arial" w:cs="Arial"/>
                <w:b/>
              </w:rPr>
            </w:pPr>
            <w:r w:rsidRPr="00F204C3">
              <w:rPr>
                <w:rFonts w:ascii="Arial" w:hAnsi="Arial" w:cs="Arial"/>
                <w:b/>
              </w:rPr>
              <w:t>Dose (mg/kg)</w:t>
            </w:r>
          </w:p>
        </w:tc>
        <w:tc>
          <w:tcPr>
            <w:tcW w:w="1737" w:type="dxa"/>
            <w:tcBorders>
              <w:bottom w:val="single" w:sz="4" w:space="0" w:color="auto"/>
            </w:tcBorders>
          </w:tcPr>
          <w:p w14:paraId="4B004E0E" w14:textId="77777777" w:rsidR="001B2B12" w:rsidRPr="00F204C3" w:rsidRDefault="001B2B12" w:rsidP="00A76E0C">
            <w:pPr>
              <w:spacing w:line="480" w:lineRule="auto"/>
              <w:rPr>
                <w:rFonts w:ascii="Arial" w:hAnsi="Arial" w:cs="Arial"/>
                <w:b/>
              </w:rPr>
            </w:pPr>
            <w:r w:rsidRPr="00F204C3">
              <w:rPr>
                <w:rFonts w:ascii="Arial" w:hAnsi="Arial" w:cs="Arial"/>
                <w:b/>
              </w:rPr>
              <w:t>Number of rats used</w:t>
            </w:r>
          </w:p>
        </w:tc>
        <w:tc>
          <w:tcPr>
            <w:tcW w:w="1922" w:type="dxa"/>
            <w:tcBorders>
              <w:bottom w:val="single" w:sz="4" w:space="0" w:color="auto"/>
            </w:tcBorders>
          </w:tcPr>
          <w:p w14:paraId="65BF58E2" w14:textId="77777777" w:rsidR="001B2B12" w:rsidRPr="00F204C3" w:rsidRDefault="001B2B12" w:rsidP="00A76E0C">
            <w:pPr>
              <w:spacing w:line="480" w:lineRule="auto"/>
              <w:rPr>
                <w:rFonts w:ascii="Arial" w:hAnsi="Arial" w:cs="Arial"/>
                <w:b/>
              </w:rPr>
            </w:pPr>
            <w:r w:rsidRPr="00F204C3">
              <w:rPr>
                <w:rFonts w:ascii="Arial" w:hAnsi="Arial" w:cs="Arial"/>
                <w:b/>
              </w:rPr>
              <w:t>Observation period</w:t>
            </w:r>
          </w:p>
        </w:tc>
        <w:tc>
          <w:tcPr>
            <w:tcW w:w="1837" w:type="dxa"/>
            <w:tcBorders>
              <w:bottom w:val="single" w:sz="4" w:space="0" w:color="auto"/>
            </w:tcBorders>
          </w:tcPr>
          <w:p w14:paraId="78C1C238" w14:textId="77777777" w:rsidR="001B2B12" w:rsidRPr="00F204C3" w:rsidRDefault="001B2B12" w:rsidP="00A76E0C">
            <w:pPr>
              <w:spacing w:line="480" w:lineRule="auto"/>
              <w:rPr>
                <w:rFonts w:ascii="Arial" w:hAnsi="Arial" w:cs="Arial"/>
                <w:b/>
                <w:lang w:val="en-GB"/>
              </w:rPr>
            </w:pPr>
            <w:r w:rsidRPr="00F204C3">
              <w:rPr>
                <w:rFonts w:ascii="Arial" w:hAnsi="Arial" w:cs="Arial"/>
                <w:b/>
                <w:bCs/>
              </w:rPr>
              <w:t xml:space="preserve">Behavioral changes </w:t>
            </w:r>
          </w:p>
        </w:tc>
        <w:tc>
          <w:tcPr>
            <w:tcW w:w="1809" w:type="dxa"/>
            <w:tcBorders>
              <w:bottom w:val="single" w:sz="4" w:space="0" w:color="auto"/>
            </w:tcBorders>
          </w:tcPr>
          <w:p w14:paraId="3C44E2AB" w14:textId="77777777" w:rsidR="001B2B12" w:rsidRPr="00F204C3" w:rsidRDefault="001B2B12" w:rsidP="00A76E0C">
            <w:pPr>
              <w:spacing w:line="480" w:lineRule="auto"/>
              <w:rPr>
                <w:rFonts w:ascii="Arial" w:hAnsi="Arial" w:cs="Arial"/>
                <w:b/>
              </w:rPr>
            </w:pPr>
            <w:r w:rsidRPr="00F204C3">
              <w:rPr>
                <w:rFonts w:ascii="Arial" w:hAnsi="Arial" w:cs="Arial"/>
                <w:b/>
              </w:rPr>
              <w:t>Mortality</w:t>
            </w:r>
          </w:p>
        </w:tc>
      </w:tr>
      <w:tr w:rsidR="001B2B12" w:rsidRPr="00F204C3" w14:paraId="2B94C5C1" w14:textId="77777777" w:rsidTr="001B2B12">
        <w:tc>
          <w:tcPr>
            <w:tcW w:w="1721" w:type="dxa"/>
            <w:tcBorders>
              <w:top w:val="single" w:sz="4" w:space="0" w:color="auto"/>
              <w:bottom w:val="nil"/>
            </w:tcBorders>
          </w:tcPr>
          <w:p w14:paraId="77CF2485" w14:textId="77777777" w:rsidR="001B2B12" w:rsidRPr="00F204C3" w:rsidRDefault="001B2B12" w:rsidP="00C81546">
            <w:pPr>
              <w:rPr>
                <w:rFonts w:ascii="Arial" w:hAnsi="Arial" w:cs="Arial"/>
                <w:b/>
              </w:rPr>
            </w:pPr>
          </w:p>
          <w:p w14:paraId="60B90344" w14:textId="77777777" w:rsidR="001B2B12" w:rsidRPr="00F204C3" w:rsidRDefault="001B2B12" w:rsidP="00C81546">
            <w:pPr>
              <w:rPr>
                <w:rFonts w:ascii="Arial" w:hAnsi="Arial" w:cs="Arial"/>
                <w:b/>
              </w:rPr>
            </w:pPr>
            <w:r w:rsidRPr="00F204C3">
              <w:rPr>
                <w:rFonts w:ascii="Arial" w:hAnsi="Arial" w:cs="Arial"/>
                <w:b/>
              </w:rPr>
              <w:t>10</w:t>
            </w:r>
          </w:p>
          <w:p w14:paraId="34BF38C5" w14:textId="77777777" w:rsidR="001B2B12" w:rsidRPr="00F204C3" w:rsidRDefault="001B2B12" w:rsidP="00C81546">
            <w:pPr>
              <w:rPr>
                <w:rFonts w:ascii="Arial" w:hAnsi="Arial" w:cs="Arial"/>
                <w:b/>
              </w:rPr>
            </w:pPr>
          </w:p>
        </w:tc>
        <w:tc>
          <w:tcPr>
            <w:tcW w:w="1737" w:type="dxa"/>
            <w:tcBorders>
              <w:top w:val="single" w:sz="4" w:space="0" w:color="auto"/>
              <w:bottom w:val="nil"/>
            </w:tcBorders>
          </w:tcPr>
          <w:p w14:paraId="26F1BB14" w14:textId="77777777" w:rsidR="001B2B12" w:rsidRPr="00F204C3" w:rsidRDefault="001B2B12" w:rsidP="00C81546">
            <w:pPr>
              <w:rPr>
                <w:rFonts w:ascii="Arial" w:hAnsi="Arial" w:cs="Arial"/>
              </w:rPr>
            </w:pPr>
          </w:p>
          <w:p w14:paraId="22A2BC1E" w14:textId="77777777" w:rsidR="001B2B12" w:rsidRPr="00F204C3" w:rsidRDefault="001B2B12" w:rsidP="00C81546">
            <w:pPr>
              <w:rPr>
                <w:rFonts w:ascii="Arial" w:hAnsi="Arial" w:cs="Arial"/>
              </w:rPr>
            </w:pPr>
            <w:r w:rsidRPr="00F204C3">
              <w:rPr>
                <w:rFonts w:ascii="Arial" w:hAnsi="Arial" w:cs="Arial"/>
              </w:rPr>
              <w:t>3</w:t>
            </w:r>
          </w:p>
        </w:tc>
        <w:tc>
          <w:tcPr>
            <w:tcW w:w="1922" w:type="dxa"/>
            <w:tcBorders>
              <w:top w:val="single" w:sz="4" w:space="0" w:color="auto"/>
              <w:bottom w:val="nil"/>
            </w:tcBorders>
          </w:tcPr>
          <w:p w14:paraId="58179A2C" w14:textId="77777777" w:rsidR="001B2B12" w:rsidRPr="00F204C3" w:rsidRDefault="001B2B12" w:rsidP="00C81546">
            <w:pPr>
              <w:rPr>
                <w:rFonts w:ascii="Arial" w:hAnsi="Arial" w:cs="Arial"/>
                <w:lang w:val="en-GB"/>
              </w:rPr>
            </w:pPr>
          </w:p>
          <w:p w14:paraId="1C826A92"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523F1BAF" w14:textId="77777777" w:rsidR="001B2B12" w:rsidRPr="00F204C3" w:rsidRDefault="001B2B12" w:rsidP="00C81546">
            <w:pPr>
              <w:rPr>
                <w:rFonts w:ascii="Arial" w:hAnsi="Arial" w:cs="Arial"/>
              </w:rPr>
            </w:pPr>
          </w:p>
        </w:tc>
        <w:tc>
          <w:tcPr>
            <w:tcW w:w="1837" w:type="dxa"/>
            <w:tcBorders>
              <w:top w:val="single" w:sz="4" w:space="0" w:color="auto"/>
              <w:bottom w:val="nil"/>
            </w:tcBorders>
          </w:tcPr>
          <w:p w14:paraId="5A15EEB3" w14:textId="77777777" w:rsidR="001B2B12" w:rsidRPr="00F204C3" w:rsidRDefault="001B2B12" w:rsidP="00C81546">
            <w:pPr>
              <w:rPr>
                <w:rFonts w:ascii="Arial" w:hAnsi="Arial" w:cs="Arial"/>
              </w:rPr>
            </w:pPr>
          </w:p>
          <w:p w14:paraId="167338F9" w14:textId="77777777" w:rsidR="001B2B12" w:rsidRPr="00F204C3" w:rsidRDefault="001B2B12" w:rsidP="00C81546">
            <w:pPr>
              <w:rPr>
                <w:rFonts w:ascii="Arial" w:hAnsi="Arial" w:cs="Arial"/>
              </w:rPr>
            </w:pPr>
            <w:r w:rsidRPr="00F204C3">
              <w:rPr>
                <w:rFonts w:ascii="Arial" w:hAnsi="Arial" w:cs="Arial"/>
              </w:rPr>
              <w:t xml:space="preserve">None </w:t>
            </w:r>
          </w:p>
        </w:tc>
        <w:tc>
          <w:tcPr>
            <w:tcW w:w="1809" w:type="dxa"/>
            <w:tcBorders>
              <w:top w:val="single" w:sz="4" w:space="0" w:color="auto"/>
              <w:bottom w:val="nil"/>
            </w:tcBorders>
          </w:tcPr>
          <w:p w14:paraId="5D5D6A2B" w14:textId="77777777" w:rsidR="001B2B12" w:rsidRPr="00F204C3" w:rsidRDefault="001B2B12" w:rsidP="00C81546">
            <w:pPr>
              <w:rPr>
                <w:rFonts w:ascii="Arial" w:hAnsi="Arial" w:cs="Arial"/>
              </w:rPr>
            </w:pPr>
          </w:p>
          <w:p w14:paraId="63BED8EC" w14:textId="77777777" w:rsidR="001B2B12" w:rsidRPr="00F204C3" w:rsidRDefault="001B2B12" w:rsidP="00C81546">
            <w:pPr>
              <w:rPr>
                <w:rFonts w:ascii="Arial" w:hAnsi="Arial" w:cs="Arial"/>
              </w:rPr>
            </w:pPr>
            <w:r w:rsidRPr="00F204C3">
              <w:rPr>
                <w:rFonts w:ascii="Arial" w:hAnsi="Arial" w:cs="Arial"/>
              </w:rPr>
              <w:t>0/3</w:t>
            </w:r>
          </w:p>
        </w:tc>
      </w:tr>
      <w:tr w:rsidR="001B2B12" w:rsidRPr="00F204C3" w14:paraId="6DF0E2B3" w14:textId="77777777" w:rsidTr="001B2B12">
        <w:tc>
          <w:tcPr>
            <w:tcW w:w="1721" w:type="dxa"/>
            <w:tcBorders>
              <w:top w:val="nil"/>
              <w:bottom w:val="nil"/>
            </w:tcBorders>
          </w:tcPr>
          <w:p w14:paraId="057345CC" w14:textId="77777777" w:rsidR="001B2B12" w:rsidRPr="00F204C3" w:rsidRDefault="001B2B12" w:rsidP="00C81546">
            <w:pPr>
              <w:rPr>
                <w:rFonts w:ascii="Arial" w:hAnsi="Arial" w:cs="Arial"/>
                <w:b/>
              </w:rPr>
            </w:pPr>
            <w:r w:rsidRPr="00F204C3">
              <w:rPr>
                <w:rFonts w:ascii="Arial" w:hAnsi="Arial" w:cs="Arial"/>
                <w:b/>
              </w:rPr>
              <w:t>100</w:t>
            </w:r>
          </w:p>
        </w:tc>
        <w:tc>
          <w:tcPr>
            <w:tcW w:w="1737" w:type="dxa"/>
            <w:tcBorders>
              <w:top w:val="nil"/>
              <w:bottom w:val="nil"/>
            </w:tcBorders>
          </w:tcPr>
          <w:p w14:paraId="32495DEE" w14:textId="77777777" w:rsidR="001B2B12" w:rsidRPr="00F204C3" w:rsidRDefault="001B2B12" w:rsidP="00C81546">
            <w:pPr>
              <w:rPr>
                <w:rFonts w:ascii="Arial" w:hAnsi="Arial" w:cs="Arial"/>
              </w:rPr>
            </w:pPr>
            <w:r w:rsidRPr="00F204C3">
              <w:rPr>
                <w:rFonts w:ascii="Arial" w:hAnsi="Arial" w:cs="Arial"/>
              </w:rPr>
              <w:t>3</w:t>
            </w:r>
          </w:p>
        </w:tc>
        <w:tc>
          <w:tcPr>
            <w:tcW w:w="1922" w:type="dxa"/>
            <w:tcBorders>
              <w:top w:val="nil"/>
              <w:bottom w:val="nil"/>
            </w:tcBorders>
          </w:tcPr>
          <w:p w14:paraId="43A53D7D"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3534CFEF" w14:textId="77777777" w:rsidR="001B2B12" w:rsidRPr="00F204C3" w:rsidRDefault="001B2B12" w:rsidP="00C81546">
            <w:pPr>
              <w:rPr>
                <w:rFonts w:ascii="Arial" w:hAnsi="Arial" w:cs="Arial"/>
              </w:rPr>
            </w:pPr>
          </w:p>
        </w:tc>
        <w:tc>
          <w:tcPr>
            <w:tcW w:w="1837" w:type="dxa"/>
            <w:tcBorders>
              <w:top w:val="nil"/>
              <w:bottom w:val="nil"/>
            </w:tcBorders>
          </w:tcPr>
          <w:p w14:paraId="4619D067" w14:textId="77777777" w:rsidR="001B2B12" w:rsidRPr="00F204C3" w:rsidRDefault="001B2B12" w:rsidP="00C81546">
            <w:pPr>
              <w:rPr>
                <w:rFonts w:ascii="Arial" w:hAnsi="Arial" w:cs="Arial"/>
              </w:rPr>
            </w:pPr>
            <w:r w:rsidRPr="00F204C3">
              <w:rPr>
                <w:rFonts w:ascii="Arial" w:hAnsi="Arial" w:cs="Arial"/>
              </w:rPr>
              <w:t>None</w:t>
            </w:r>
          </w:p>
        </w:tc>
        <w:tc>
          <w:tcPr>
            <w:tcW w:w="1809" w:type="dxa"/>
            <w:tcBorders>
              <w:top w:val="nil"/>
              <w:bottom w:val="nil"/>
            </w:tcBorders>
          </w:tcPr>
          <w:p w14:paraId="675CCB51" w14:textId="77777777" w:rsidR="001B2B12" w:rsidRPr="00F204C3" w:rsidRDefault="001B2B12" w:rsidP="00C81546">
            <w:pPr>
              <w:rPr>
                <w:rFonts w:ascii="Arial" w:hAnsi="Arial" w:cs="Arial"/>
              </w:rPr>
            </w:pPr>
            <w:r w:rsidRPr="00F204C3">
              <w:rPr>
                <w:rFonts w:ascii="Arial" w:hAnsi="Arial" w:cs="Arial"/>
              </w:rPr>
              <w:t>0/3</w:t>
            </w:r>
          </w:p>
        </w:tc>
      </w:tr>
      <w:tr w:rsidR="001B2B12" w:rsidRPr="00F204C3" w14:paraId="61986371" w14:textId="77777777" w:rsidTr="001B2B12">
        <w:tc>
          <w:tcPr>
            <w:tcW w:w="1721" w:type="dxa"/>
            <w:tcBorders>
              <w:top w:val="nil"/>
              <w:bottom w:val="nil"/>
            </w:tcBorders>
          </w:tcPr>
          <w:p w14:paraId="4D35EC08" w14:textId="77777777" w:rsidR="001B2B12" w:rsidRPr="00F204C3" w:rsidRDefault="001B2B12" w:rsidP="00C81546">
            <w:pPr>
              <w:rPr>
                <w:rFonts w:ascii="Arial" w:hAnsi="Arial" w:cs="Arial"/>
                <w:b/>
              </w:rPr>
            </w:pPr>
            <w:r w:rsidRPr="00F204C3">
              <w:rPr>
                <w:rFonts w:ascii="Arial" w:hAnsi="Arial" w:cs="Arial"/>
                <w:b/>
              </w:rPr>
              <w:t>1000</w:t>
            </w:r>
          </w:p>
        </w:tc>
        <w:tc>
          <w:tcPr>
            <w:tcW w:w="1737" w:type="dxa"/>
            <w:tcBorders>
              <w:top w:val="nil"/>
              <w:bottom w:val="nil"/>
            </w:tcBorders>
          </w:tcPr>
          <w:p w14:paraId="28ACC440" w14:textId="77777777" w:rsidR="001B2B12" w:rsidRPr="00F204C3" w:rsidRDefault="001B2B12" w:rsidP="00C81546">
            <w:pPr>
              <w:rPr>
                <w:rFonts w:ascii="Arial" w:hAnsi="Arial" w:cs="Arial"/>
              </w:rPr>
            </w:pPr>
            <w:r w:rsidRPr="00F204C3">
              <w:rPr>
                <w:rFonts w:ascii="Arial" w:hAnsi="Arial" w:cs="Arial"/>
              </w:rPr>
              <w:t>3</w:t>
            </w:r>
          </w:p>
        </w:tc>
        <w:tc>
          <w:tcPr>
            <w:tcW w:w="1922" w:type="dxa"/>
            <w:tcBorders>
              <w:top w:val="nil"/>
              <w:bottom w:val="nil"/>
            </w:tcBorders>
          </w:tcPr>
          <w:p w14:paraId="06F1A0D2"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7EB35C65" w14:textId="77777777" w:rsidR="001B2B12" w:rsidRPr="00F204C3" w:rsidRDefault="001B2B12" w:rsidP="00C81546">
            <w:pPr>
              <w:rPr>
                <w:rFonts w:ascii="Arial" w:hAnsi="Arial" w:cs="Arial"/>
              </w:rPr>
            </w:pPr>
          </w:p>
        </w:tc>
        <w:tc>
          <w:tcPr>
            <w:tcW w:w="1837" w:type="dxa"/>
            <w:tcBorders>
              <w:top w:val="nil"/>
              <w:bottom w:val="nil"/>
            </w:tcBorders>
          </w:tcPr>
          <w:p w14:paraId="41EC932A" w14:textId="77777777" w:rsidR="001B2B12" w:rsidRPr="00F204C3" w:rsidRDefault="001B2B12" w:rsidP="00C81546">
            <w:pPr>
              <w:rPr>
                <w:rFonts w:ascii="Arial" w:hAnsi="Arial" w:cs="Arial"/>
              </w:rPr>
            </w:pPr>
            <w:r w:rsidRPr="00F204C3">
              <w:rPr>
                <w:rFonts w:ascii="Arial" w:hAnsi="Arial" w:cs="Arial"/>
              </w:rPr>
              <w:t>None</w:t>
            </w:r>
          </w:p>
        </w:tc>
        <w:tc>
          <w:tcPr>
            <w:tcW w:w="1809" w:type="dxa"/>
            <w:tcBorders>
              <w:top w:val="nil"/>
              <w:bottom w:val="nil"/>
            </w:tcBorders>
          </w:tcPr>
          <w:p w14:paraId="2BD6917E" w14:textId="77777777" w:rsidR="001B2B12" w:rsidRPr="00F204C3" w:rsidRDefault="001B2B12" w:rsidP="00C81546">
            <w:pPr>
              <w:rPr>
                <w:rFonts w:ascii="Arial" w:hAnsi="Arial" w:cs="Arial"/>
              </w:rPr>
            </w:pPr>
            <w:r w:rsidRPr="00F204C3">
              <w:rPr>
                <w:rFonts w:ascii="Arial" w:hAnsi="Arial" w:cs="Arial"/>
              </w:rPr>
              <w:t>0/3</w:t>
            </w:r>
          </w:p>
        </w:tc>
      </w:tr>
      <w:tr w:rsidR="001B2B12" w:rsidRPr="00F204C3" w14:paraId="1F7211E4" w14:textId="77777777" w:rsidTr="001B2B12">
        <w:tc>
          <w:tcPr>
            <w:tcW w:w="1721" w:type="dxa"/>
            <w:tcBorders>
              <w:top w:val="nil"/>
            </w:tcBorders>
          </w:tcPr>
          <w:p w14:paraId="2E2BC9A2" w14:textId="77777777" w:rsidR="001B2B12" w:rsidRPr="00F204C3" w:rsidRDefault="001B2B12" w:rsidP="00C81546">
            <w:pPr>
              <w:rPr>
                <w:rFonts w:ascii="Arial" w:hAnsi="Arial" w:cs="Arial"/>
                <w:b/>
              </w:rPr>
            </w:pPr>
            <w:r w:rsidRPr="00F204C3">
              <w:rPr>
                <w:rFonts w:ascii="Arial" w:hAnsi="Arial" w:cs="Arial"/>
                <w:b/>
              </w:rPr>
              <w:t>1600</w:t>
            </w:r>
          </w:p>
        </w:tc>
        <w:tc>
          <w:tcPr>
            <w:tcW w:w="1737" w:type="dxa"/>
            <w:tcBorders>
              <w:top w:val="nil"/>
            </w:tcBorders>
          </w:tcPr>
          <w:p w14:paraId="60E30EB0" w14:textId="77777777" w:rsidR="001B2B12" w:rsidRPr="00F204C3" w:rsidRDefault="001B2B12" w:rsidP="00C81546">
            <w:pPr>
              <w:rPr>
                <w:rFonts w:ascii="Arial" w:hAnsi="Arial" w:cs="Arial"/>
              </w:rPr>
            </w:pPr>
            <w:r w:rsidRPr="00F204C3">
              <w:rPr>
                <w:rFonts w:ascii="Arial" w:hAnsi="Arial" w:cs="Arial"/>
              </w:rPr>
              <w:t>2</w:t>
            </w:r>
          </w:p>
        </w:tc>
        <w:tc>
          <w:tcPr>
            <w:tcW w:w="1922" w:type="dxa"/>
            <w:tcBorders>
              <w:top w:val="nil"/>
            </w:tcBorders>
          </w:tcPr>
          <w:p w14:paraId="01B750AE"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709ED569" w14:textId="77777777" w:rsidR="001B2B12" w:rsidRPr="00F204C3" w:rsidRDefault="001B2B12" w:rsidP="00C81546">
            <w:pPr>
              <w:rPr>
                <w:rFonts w:ascii="Arial" w:hAnsi="Arial" w:cs="Arial"/>
              </w:rPr>
            </w:pPr>
          </w:p>
        </w:tc>
        <w:tc>
          <w:tcPr>
            <w:tcW w:w="1837" w:type="dxa"/>
            <w:tcBorders>
              <w:top w:val="nil"/>
            </w:tcBorders>
          </w:tcPr>
          <w:p w14:paraId="186E11D0" w14:textId="77777777" w:rsidR="001B2B12" w:rsidRPr="00F204C3" w:rsidRDefault="001B2B12" w:rsidP="00C81546">
            <w:pPr>
              <w:rPr>
                <w:rFonts w:ascii="Arial" w:hAnsi="Arial" w:cs="Arial"/>
              </w:rPr>
            </w:pPr>
            <w:r w:rsidRPr="00F204C3">
              <w:rPr>
                <w:rFonts w:ascii="Arial" w:hAnsi="Arial" w:cs="Arial"/>
              </w:rPr>
              <w:t>None</w:t>
            </w:r>
          </w:p>
        </w:tc>
        <w:tc>
          <w:tcPr>
            <w:tcW w:w="1809" w:type="dxa"/>
            <w:tcBorders>
              <w:top w:val="nil"/>
            </w:tcBorders>
          </w:tcPr>
          <w:p w14:paraId="51AE1BEC" w14:textId="77777777" w:rsidR="001B2B12" w:rsidRPr="00F204C3" w:rsidRDefault="001B2B12" w:rsidP="00C81546">
            <w:pPr>
              <w:rPr>
                <w:rFonts w:ascii="Arial" w:hAnsi="Arial" w:cs="Arial"/>
              </w:rPr>
            </w:pPr>
            <w:r w:rsidRPr="00F204C3">
              <w:rPr>
                <w:rFonts w:ascii="Arial" w:hAnsi="Arial" w:cs="Arial"/>
              </w:rPr>
              <w:t>0/2</w:t>
            </w:r>
          </w:p>
        </w:tc>
      </w:tr>
      <w:tr w:rsidR="001B2B12" w:rsidRPr="00F204C3" w14:paraId="3913F3B9" w14:textId="77777777" w:rsidTr="001B2B12">
        <w:tc>
          <w:tcPr>
            <w:tcW w:w="1721" w:type="dxa"/>
          </w:tcPr>
          <w:p w14:paraId="7625138B" w14:textId="77777777" w:rsidR="001B2B12" w:rsidRPr="00F204C3" w:rsidRDefault="001B2B12" w:rsidP="00C81546">
            <w:pPr>
              <w:rPr>
                <w:rFonts w:ascii="Arial" w:hAnsi="Arial" w:cs="Arial"/>
                <w:b/>
              </w:rPr>
            </w:pPr>
            <w:r w:rsidRPr="00F204C3">
              <w:rPr>
                <w:rFonts w:ascii="Arial" w:hAnsi="Arial" w:cs="Arial"/>
                <w:b/>
              </w:rPr>
              <w:t>2900</w:t>
            </w:r>
          </w:p>
        </w:tc>
        <w:tc>
          <w:tcPr>
            <w:tcW w:w="1737" w:type="dxa"/>
          </w:tcPr>
          <w:p w14:paraId="076BB2C9" w14:textId="77777777" w:rsidR="001B2B12" w:rsidRPr="00F204C3" w:rsidRDefault="001B2B12" w:rsidP="00C81546">
            <w:pPr>
              <w:rPr>
                <w:rFonts w:ascii="Arial" w:hAnsi="Arial" w:cs="Arial"/>
              </w:rPr>
            </w:pPr>
            <w:r w:rsidRPr="00F204C3">
              <w:rPr>
                <w:rFonts w:ascii="Arial" w:hAnsi="Arial" w:cs="Arial"/>
              </w:rPr>
              <w:t>2</w:t>
            </w:r>
          </w:p>
        </w:tc>
        <w:tc>
          <w:tcPr>
            <w:tcW w:w="1922" w:type="dxa"/>
          </w:tcPr>
          <w:p w14:paraId="49B68317"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79CFDA6D" w14:textId="77777777" w:rsidR="001B2B12" w:rsidRPr="00F204C3" w:rsidRDefault="001B2B12" w:rsidP="00C81546">
            <w:pPr>
              <w:rPr>
                <w:rFonts w:ascii="Arial" w:hAnsi="Arial" w:cs="Arial"/>
              </w:rPr>
            </w:pPr>
          </w:p>
        </w:tc>
        <w:tc>
          <w:tcPr>
            <w:tcW w:w="1837" w:type="dxa"/>
          </w:tcPr>
          <w:p w14:paraId="35FB75F8" w14:textId="77777777" w:rsidR="001B2B12" w:rsidRPr="00F204C3" w:rsidRDefault="001B2B12" w:rsidP="00C81546">
            <w:pPr>
              <w:rPr>
                <w:rFonts w:ascii="Arial" w:hAnsi="Arial" w:cs="Arial"/>
              </w:rPr>
            </w:pPr>
            <w:r w:rsidRPr="00F204C3">
              <w:rPr>
                <w:rFonts w:ascii="Arial" w:hAnsi="Arial" w:cs="Arial"/>
              </w:rPr>
              <w:t>None</w:t>
            </w:r>
          </w:p>
        </w:tc>
        <w:tc>
          <w:tcPr>
            <w:tcW w:w="1809" w:type="dxa"/>
          </w:tcPr>
          <w:p w14:paraId="0AE97401" w14:textId="77777777" w:rsidR="001B2B12" w:rsidRPr="00F204C3" w:rsidRDefault="001B2B12" w:rsidP="00C81546">
            <w:pPr>
              <w:rPr>
                <w:rFonts w:ascii="Arial" w:hAnsi="Arial" w:cs="Arial"/>
              </w:rPr>
            </w:pPr>
            <w:r w:rsidRPr="00F204C3">
              <w:rPr>
                <w:rFonts w:ascii="Arial" w:hAnsi="Arial" w:cs="Arial"/>
              </w:rPr>
              <w:t>0/2</w:t>
            </w:r>
          </w:p>
        </w:tc>
      </w:tr>
      <w:tr w:rsidR="001B2B12" w:rsidRPr="00F204C3" w14:paraId="7925286C" w14:textId="77777777" w:rsidTr="001B2B12">
        <w:tc>
          <w:tcPr>
            <w:tcW w:w="1721" w:type="dxa"/>
          </w:tcPr>
          <w:p w14:paraId="4D79E43C" w14:textId="77777777" w:rsidR="001B2B12" w:rsidRPr="00F204C3" w:rsidRDefault="001B2B12" w:rsidP="00C81546">
            <w:pPr>
              <w:rPr>
                <w:rFonts w:ascii="Arial" w:hAnsi="Arial" w:cs="Arial"/>
                <w:b/>
              </w:rPr>
            </w:pPr>
            <w:r w:rsidRPr="00F204C3">
              <w:rPr>
                <w:rFonts w:ascii="Arial" w:hAnsi="Arial" w:cs="Arial"/>
                <w:b/>
              </w:rPr>
              <w:t>5000</w:t>
            </w:r>
          </w:p>
        </w:tc>
        <w:tc>
          <w:tcPr>
            <w:tcW w:w="1737" w:type="dxa"/>
          </w:tcPr>
          <w:p w14:paraId="5835BE71" w14:textId="77777777" w:rsidR="001B2B12" w:rsidRPr="00F204C3" w:rsidRDefault="001B2B12" w:rsidP="00C81546">
            <w:pPr>
              <w:rPr>
                <w:rFonts w:ascii="Arial" w:hAnsi="Arial" w:cs="Arial"/>
              </w:rPr>
            </w:pPr>
            <w:r w:rsidRPr="00F204C3">
              <w:rPr>
                <w:rFonts w:ascii="Arial" w:hAnsi="Arial" w:cs="Arial"/>
              </w:rPr>
              <w:t>2</w:t>
            </w:r>
          </w:p>
        </w:tc>
        <w:tc>
          <w:tcPr>
            <w:tcW w:w="1922" w:type="dxa"/>
          </w:tcPr>
          <w:p w14:paraId="20D7DD6E"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1456796A" w14:textId="77777777" w:rsidR="001B2B12" w:rsidRPr="00F204C3" w:rsidRDefault="001B2B12" w:rsidP="00C81546">
            <w:pPr>
              <w:rPr>
                <w:rFonts w:ascii="Arial" w:hAnsi="Arial" w:cs="Arial"/>
              </w:rPr>
            </w:pPr>
          </w:p>
        </w:tc>
        <w:tc>
          <w:tcPr>
            <w:tcW w:w="1837" w:type="dxa"/>
          </w:tcPr>
          <w:p w14:paraId="547C90AD" w14:textId="77777777" w:rsidR="001B2B12" w:rsidRPr="00F204C3" w:rsidRDefault="001B2B12" w:rsidP="00C81546">
            <w:pPr>
              <w:rPr>
                <w:rFonts w:ascii="Arial" w:hAnsi="Arial" w:cs="Arial"/>
              </w:rPr>
            </w:pPr>
            <w:r w:rsidRPr="00F204C3">
              <w:rPr>
                <w:rFonts w:ascii="Arial" w:hAnsi="Arial" w:cs="Arial"/>
              </w:rPr>
              <w:t>None</w:t>
            </w:r>
          </w:p>
        </w:tc>
        <w:tc>
          <w:tcPr>
            <w:tcW w:w="1809" w:type="dxa"/>
          </w:tcPr>
          <w:p w14:paraId="49C72D64" w14:textId="77777777" w:rsidR="001B2B12" w:rsidRPr="00F204C3" w:rsidRDefault="001B2B12" w:rsidP="00C81546">
            <w:pPr>
              <w:rPr>
                <w:rFonts w:ascii="Arial" w:hAnsi="Arial" w:cs="Arial"/>
              </w:rPr>
            </w:pPr>
            <w:r w:rsidRPr="00F204C3">
              <w:rPr>
                <w:rFonts w:ascii="Arial" w:hAnsi="Arial" w:cs="Arial"/>
              </w:rPr>
              <w:t>0/2</w:t>
            </w:r>
          </w:p>
        </w:tc>
      </w:tr>
    </w:tbl>
    <w:p w14:paraId="218CA1EF" w14:textId="77777777" w:rsidR="001B2B12" w:rsidRPr="00F204C3" w:rsidRDefault="001B2B12" w:rsidP="00A76E0C">
      <w:pPr>
        <w:spacing w:line="480" w:lineRule="auto"/>
        <w:rPr>
          <w:rFonts w:ascii="Arial" w:hAnsi="Arial" w:cs="Arial"/>
          <w:sz w:val="20"/>
          <w:szCs w:val="20"/>
        </w:rPr>
      </w:pPr>
      <w:proofErr w:type="gramStart"/>
      <w:r w:rsidRPr="00F204C3">
        <w:rPr>
          <w:rFonts w:ascii="Arial" w:hAnsi="Arial" w:cs="Arial"/>
          <w:sz w:val="20"/>
          <w:szCs w:val="20"/>
        </w:rPr>
        <w:t>Therefore</w:t>
      </w:r>
      <w:proofErr w:type="gramEnd"/>
      <w:r w:rsidRPr="00F204C3">
        <w:rPr>
          <w:rFonts w:ascii="Arial" w:hAnsi="Arial" w:cs="Arial"/>
          <w:sz w:val="20"/>
          <w:szCs w:val="20"/>
        </w:rPr>
        <w:t xml:space="preserve"> the LD</w:t>
      </w:r>
      <w:r w:rsidRPr="00F204C3">
        <w:rPr>
          <w:rFonts w:ascii="Arial" w:hAnsi="Arial" w:cs="Arial"/>
          <w:sz w:val="20"/>
          <w:szCs w:val="20"/>
          <w:vertAlign w:val="subscript"/>
        </w:rPr>
        <w:t>50 is</w:t>
      </w:r>
      <w:r w:rsidRPr="00F204C3">
        <w:rPr>
          <w:rFonts w:ascii="Arial" w:hAnsi="Arial" w:cs="Arial"/>
          <w:sz w:val="20"/>
          <w:szCs w:val="20"/>
        </w:rPr>
        <w:t xml:space="preserve"> </w:t>
      </w:r>
      <w:r w:rsidRPr="00F204C3">
        <w:rPr>
          <w:rFonts w:ascii="Arial" w:hAnsi="Arial" w:cs="Arial"/>
          <w:sz w:val="20"/>
          <w:szCs w:val="20"/>
          <w:vertAlign w:val="subscript"/>
        </w:rPr>
        <w:t>˃</w:t>
      </w:r>
      <w:r w:rsidRPr="00F204C3">
        <w:rPr>
          <w:rFonts w:ascii="Arial" w:hAnsi="Arial" w:cs="Arial"/>
          <w:sz w:val="20"/>
          <w:szCs w:val="20"/>
        </w:rPr>
        <w:t>5000 mg/kg body weight</w:t>
      </w:r>
    </w:p>
    <w:p w14:paraId="2B2D1A7A" w14:textId="77777777" w:rsidR="00397112" w:rsidRPr="00F204C3" w:rsidRDefault="00397112" w:rsidP="00A76E0C">
      <w:pPr>
        <w:pStyle w:val="NormalWeb"/>
        <w:spacing w:line="480" w:lineRule="auto"/>
        <w:jc w:val="both"/>
        <w:rPr>
          <w:rFonts w:ascii="Arial" w:hAnsi="Arial" w:cs="Arial"/>
        </w:rPr>
      </w:pPr>
    </w:p>
    <w:p w14:paraId="7C5D8D30" w14:textId="77777777" w:rsidR="00397112" w:rsidRPr="00F204C3" w:rsidRDefault="00397112" w:rsidP="00397112">
      <w:pPr>
        <w:pStyle w:val="NormalWeb"/>
        <w:spacing w:line="480" w:lineRule="auto"/>
        <w:jc w:val="both"/>
        <w:rPr>
          <w:rFonts w:ascii="Arial" w:hAnsi="Arial" w:cs="Arial"/>
        </w:rPr>
      </w:pPr>
    </w:p>
    <w:p w14:paraId="2BFE6698" w14:textId="77777777" w:rsidR="00C13F47" w:rsidRPr="00F204C3" w:rsidRDefault="00C13F47" w:rsidP="00C13F47">
      <w:pPr>
        <w:pStyle w:val="NormalWeb"/>
        <w:spacing w:line="480" w:lineRule="auto"/>
        <w:jc w:val="both"/>
        <w:rPr>
          <w:rFonts w:ascii="Arial" w:hAnsi="Arial" w:cs="Arial"/>
        </w:rPr>
      </w:pPr>
    </w:p>
    <w:p w14:paraId="59B2AE4F" w14:textId="77777777" w:rsidR="00C13F47" w:rsidRPr="00F204C3" w:rsidRDefault="00C13F47" w:rsidP="00241D68">
      <w:pPr>
        <w:pStyle w:val="NormalWeb"/>
        <w:spacing w:line="480" w:lineRule="auto"/>
        <w:jc w:val="both"/>
        <w:rPr>
          <w:rFonts w:ascii="Arial" w:hAnsi="Arial" w:cs="Arial"/>
        </w:rPr>
      </w:pPr>
    </w:p>
    <w:p w14:paraId="36D5E56A" w14:textId="77777777" w:rsidR="00400F67" w:rsidRPr="00F204C3" w:rsidRDefault="00400F67" w:rsidP="00400F67">
      <w:pPr>
        <w:autoSpaceDE w:val="0"/>
        <w:autoSpaceDN w:val="0"/>
        <w:adjustRightInd w:val="0"/>
        <w:spacing w:after="0" w:line="400" w:lineRule="atLeast"/>
        <w:rPr>
          <w:rFonts w:ascii="Arial" w:hAnsi="Arial" w:cs="Arial"/>
          <w:sz w:val="24"/>
          <w:szCs w:val="24"/>
          <w:lang w:val="en-GB"/>
        </w:rPr>
      </w:pPr>
    </w:p>
    <w:p w14:paraId="46CEEFBF" w14:textId="77777777" w:rsidR="00400F67" w:rsidRPr="00F204C3" w:rsidRDefault="00400F67" w:rsidP="004C10AC">
      <w:pPr>
        <w:spacing w:line="480" w:lineRule="auto"/>
        <w:ind w:right="1170"/>
        <w:jc w:val="both"/>
        <w:rPr>
          <w:rFonts w:ascii="Arial" w:hAnsi="Arial" w:cs="Arial"/>
          <w:i/>
          <w:sz w:val="24"/>
          <w:szCs w:val="24"/>
        </w:rPr>
      </w:pPr>
      <w:r w:rsidRPr="00F204C3">
        <w:rPr>
          <w:rFonts w:ascii="Arial" w:hAnsi="Arial" w:cs="Arial"/>
          <w:noProof/>
          <w:sz w:val="24"/>
          <w:szCs w:val="24"/>
          <w:lang w:val="en-GB" w:eastAsia="en-GB"/>
        </w:rPr>
        <w:drawing>
          <wp:inline distT="0" distB="0" distL="0" distR="0" wp14:anchorId="18B209E1" wp14:editId="0131C439">
            <wp:extent cx="5731510" cy="4578985"/>
            <wp:effectExtent l="0" t="0" r="254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578985"/>
                    </a:xfrm>
                    <a:prstGeom prst="rect">
                      <a:avLst/>
                    </a:prstGeom>
                    <a:noFill/>
                    <a:ln>
                      <a:noFill/>
                    </a:ln>
                  </pic:spPr>
                </pic:pic>
              </a:graphicData>
            </a:graphic>
          </wp:inline>
        </w:drawing>
      </w:r>
    </w:p>
    <w:p w14:paraId="0BD03CDE" w14:textId="77777777" w:rsidR="00400F67" w:rsidRPr="00F204C3" w:rsidRDefault="00071500" w:rsidP="00A97016">
      <w:pPr>
        <w:spacing w:line="480" w:lineRule="auto"/>
        <w:jc w:val="both"/>
        <w:rPr>
          <w:rFonts w:ascii="Arial" w:hAnsi="Arial" w:cs="Arial"/>
          <w:sz w:val="20"/>
          <w:szCs w:val="20"/>
        </w:rPr>
      </w:pPr>
      <w:r w:rsidRPr="00F204C3">
        <w:rPr>
          <w:rFonts w:ascii="Arial" w:hAnsi="Arial" w:cs="Arial"/>
          <w:b/>
          <w:sz w:val="20"/>
          <w:szCs w:val="20"/>
        </w:rPr>
        <w:t>Fig. 1</w:t>
      </w:r>
      <w:r w:rsidR="00400F67" w:rsidRPr="00F204C3">
        <w:rPr>
          <w:rFonts w:ascii="Arial" w:hAnsi="Arial" w:cs="Arial"/>
          <w:b/>
          <w:sz w:val="20"/>
          <w:szCs w:val="20"/>
        </w:rPr>
        <w:t xml:space="preserve">: </w:t>
      </w:r>
      <w:r w:rsidR="00400F67" w:rsidRPr="00F204C3">
        <w:rPr>
          <w:rFonts w:ascii="Arial" w:hAnsi="Arial" w:cs="Arial"/>
          <w:sz w:val="20"/>
          <w:szCs w:val="20"/>
        </w:rPr>
        <w:t xml:space="preserve">Glucose Value in mmol/L of Wistar Rats Exposed to </w:t>
      </w:r>
      <w:r w:rsidR="00400F67" w:rsidRPr="00F204C3">
        <w:rPr>
          <w:rFonts w:ascii="Arial" w:hAnsi="Arial" w:cs="Arial"/>
          <w:i/>
          <w:sz w:val="20"/>
          <w:szCs w:val="20"/>
        </w:rPr>
        <w:t xml:space="preserve">G. </w:t>
      </w:r>
      <w:proofErr w:type="spellStart"/>
      <w:r w:rsidR="00400F67" w:rsidRPr="00F204C3">
        <w:rPr>
          <w:rFonts w:ascii="Arial" w:hAnsi="Arial" w:cs="Arial"/>
          <w:i/>
          <w:sz w:val="20"/>
          <w:szCs w:val="20"/>
        </w:rPr>
        <w:t>sepium</w:t>
      </w:r>
      <w:proofErr w:type="spellEnd"/>
      <w:r w:rsidR="00400F67" w:rsidRPr="00F204C3">
        <w:rPr>
          <w:rFonts w:ascii="Arial" w:hAnsi="Arial" w:cs="Arial"/>
          <w:i/>
          <w:sz w:val="20"/>
          <w:szCs w:val="20"/>
        </w:rPr>
        <w:t xml:space="preserve"> </w:t>
      </w:r>
      <w:r w:rsidR="00400F67" w:rsidRPr="00F204C3">
        <w:rPr>
          <w:rFonts w:ascii="Arial" w:hAnsi="Arial" w:cs="Arial"/>
          <w:sz w:val="20"/>
          <w:szCs w:val="20"/>
        </w:rPr>
        <w:t>Ethyl Acetate Leaf Extract in Sub-chronic Oral Toxicity Study</w:t>
      </w:r>
    </w:p>
    <w:p w14:paraId="4EBBD941" w14:textId="77777777" w:rsidR="00400F67" w:rsidRPr="00F204C3" w:rsidRDefault="00400F67" w:rsidP="00A97016">
      <w:pPr>
        <w:autoSpaceDE w:val="0"/>
        <w:autoSpaceDN w:val="0"/>
        <w:adjustRightInd w:val="0"/>
        <w:spacing w:after="0" w:line="480" w:lineRule="auto"/>
        <w:rPr>
          <w:rFonts w:ascii="Arial" w:hAnsi="Arial" w:cs="Arial"/>
          <w:sz w:val="16"/>
          <w:szCs w:val="16"/>
          <w:lang w:val="en-GB"/>
        </w:rPr>
      </w:pPr>
      <w:r w:rsidRPr="00F204C3">
        <w:rPr>
          <w:rFonts w:ascii="Arial" w:hAnsi="Arial" w:cs="Arial"/>
          <w:b/>
          <w:sz w:val="16"/>
          <w:szCs w:val="16"/>
        </w:rPr>
        <w:t xml:space="preserve">Key: </w:t>
      </w:r>
      <w:r w:rsidRPr="00F204C3">
        <w:rPr>
          <w:rFonts w:ascii="Arial" w:hAnsi="Arial" w:cs="Arial"/>
          <w:sz w:val="16"/>
          <w:szCs w:val="16"/>
        </w:rPr>
        <w:t xml:space="preserve">Bars represent mean ± SEM, </w:t>
      </w:r>
      <w:proofErr w:type="spellStart"/>
      <w:r w:rsidRPr="00F204C3">
        <w:rPr>
          <w:rFonts w:ascii="Arial" w:hAnsi="Arial" w:cs="Arial"/>
          <w:b/>
          <w:sz w:val="16"/>
          <w:szCs w:val="16"/>
        </w:rPr>
        <w:t>glc</w:t>
      </w:r>
      <w:proofErr w:type="spellEnd"/>
      <w:r w:rsidRPr="00F204C3">
        <w:rPr>
          <w:rFonts w:ascii="Arial" w:hAnsi="Arial" w:cs="Arial"/>
          <w:sz w:val="16"/>
          <w:szCs w:val="16"/>
        </w:rPr>
        <w:t>= glucose, control=group I, 500 mg/kg=group II, 1000 mg/kg= group III, 1500 mg/kg= group IV</w:t>
      </w:r>
    </w:p>
    <w:p w14:paraId="178A6CD4" w14:textId="77777777" w:rsidR="00400F67" w:rsidRPr="00F204C3" w:rsidRDefault="00400F67" w:rsidP="00A97016">
      <w:pPr>
        <w:autoSpaceDE w:val="0"/>
        <w:adjustRightInd w:val="0"/>
        <w:spacing w:after="0" w:line="480" w:lineRule="auto"/>
        <w:jc w:val="both"/>
        <w:rPr>
          <w:rFonts w:ascii="Arial" w:hAnsi="Arial" w:cs="Arial"/>
          <w:sz w:val="20"/>
          <w:szCs w:val="20"/>
        </w:rPr>
      </w:pPr>
    </w:p>
    <w:p w14:paraId="347DCF2B" w14:textId="77777777" w:rsidR="004700F2" w:rsidRPr="00F204C3" w:rsidRDefault="004700F2" w:rsidP="00400F67">
      <w:pPr>
        <w:autoSpaceDE w:val="0"/>
        <w:adjustRightInd w:val="0"/>
        <w:spacing w:after="0" w:line="480" w:lineRule="auto"/>
        <w:jc w:val="both"/>
        <w:rPr>
          <w:rFonts w:ascii="Arial" w:hAnsi="Arial" w:cs="Arial"/>
          <w:sz w:val="24"/>
          <w:szCs w:val="24"/>
        </w:rPr>
      </w:pPr>
    </w:p>
    <w:p w14:paraId="59816967" w14:textId="77777777" w:rsidR="004700F2" w:rsidRPr="00F204C3" w:rsidRDefault="004700F2" w:rsidP="00400F67">
      <w:pPr>
        <w:autoSpaceDE w:val="0"/>
        <w:adjustRightInd w:val="0"/>
        <w:spacing w:after="0" w:line="480" w:lineRule="auto"/>
        <w:jc w:val="both"/>
        <w:rPr>
          <w:rFonts w:ascii="Arial" w:hAnsi="Arial" w:cs="Arial"/>
          <w:sz w:val="24"/>
          <w:szCs w:val="24"/>
        </w:rPr>
      </w:pPr>
    </w:p>
    <w:p w14:paraId="54B58AE1" w14:textId="77777777" w:rsidR="00F204C3" w:rsidRDefault="00F204C3" w:rsidP="00400F67">
      <w:pPr>
        <w:autoSpaceDE w:val="0"/>
        <w:adjustRightInd w:val="0"/>
        <w:spacing w:after="0" w:line="480" w:lineRule="auto"/>
        <w:jc w:val="both"/>
        <w:rPr>
          <w:rFonts w:ascii="Arial" w:hAnsi="Arial" w:cs="Arial"/>
          <w:sz w:val="24"/>
          <w:szCs w:val="24"/>
        </w:rPr>
      </w:pPr>
    </w:p>
    <w:p w14:paraId="539DBA3F" w14:textId="77777777" w:rsidR="003709B6" w:rsidRDefault="003709B6" w:rsidP="00400F67">
      <w:pPr>
        <w:autoSpaceDE w:val="0"/>
        <w:adjustRightInd w:val="0"/>
        <w:spacing w:after="0" w:line="480" w:lineRule="auto"/>
        <w:jc w:val="both"/>
        <w:rPr>
          <w:rFonts w:ascii="Arial" w:hAnsi="Arial" w:cs="Arial"/>
          <w:sz w:val="24"/>
          <w:szCs w:val="24"/>
        </w:rPr>
      </w:pPr>
    </w:p>
    <w:p w14:paraId="64FEDAED" w14:textId="77777777" w:rsidR="003709B6" w:rsidRPr="00F204C3" w:rsidRDefault="003709B6" w:rsidP="00400F67">
      <w:pPr>
        <w:autoSpaceDE w:val="0"/>
        <w:adjustRightInd w:val="0"/>
        <w:spacing w:after="0" w:line="480" w:lineRule="auto"/>
        <w:jc w:val="both"/>
        <w:rPr>
          <w:rFonts w:ascii="Arial" w:hAnsi="Arial" w:cs="Arial"/>
          <w:sz w:val="24"/>
          <w:szCs w:val="24"/>
        </w:rPr>
      </w:pPr>
    </w:p>
    <w:p w14:paraId="2021A059" w14:textId="77777777" w:rsidR="004700F2" w:rsidRPr="00F204C3" w:rsidRDefault="004700F2" w:rsidP="00400F67">
      <w:pPr>
        <w:autoSpaceDE w:val="0"/>
        <w:adjustRightInd w:val="0"/>
        <w:spacing w:after="0" w:line="480" w:lineRule="auto"/>
        <w:jc w:val="both"/>
        <w:rPr>
          <w:rFonts w:ascii="Arial" w:hAnsi="Arial" w:cs="Arial"/>
          <w:sz w:val="24"/>
          <w:szCs w:val="24"/>
        </w:rPr>
      </w:pPr>
    </w:p>
    <w:p w14:paraId="45113F89" w14:textId="77777777" w:rsidR="00400F67" w:rsidRPr="00F204C3" w:rsidRDefault="00071500" w:rsidP="00F204C3">
      <w:pPr>
        <w:spacing w:line="480" w:lineRule="auto"/>
        <w:jc w:val="both"/>
        <w:rPr>
          <w:rFonts w:ascii="Arial" w:hAnsi="Arial" w:cs="Arial"/>
          <w:b/>
        </w:rPr>
      </w:pPr>
      <w:r w:rsidRPr="00F204C3">
        <w:rPr>
          <w:rFonts w:ascii="Arial" w:hAnsi="Arial" w:cs="Arial"/>
          <w:b/>
        </w:rPr>
        <w:t>Table 2</w:t>
      </w:r>
      <w:r w:rsidR="00400F67" w:rsidRPr="00F204C3">
        <w:rPr>
          <w:rFonts w:ascii="Arial" w:hAnsi="Arial" w:cs="Arial"/>
          <w:b/>
        </w:rPr>
        <w:t xml:space="preserve">: Liver Function Parameters in Wistar Rats Exposed to </w:t>
      </w:r>
      <w:r w:rsidR="00400F67" w:rsidRPr="00F204C3">
        <w:rPr>
          <w:rFonts w:ascii="Arial" w:hAnsi="Arial" w:cs="Arial"/>
          <w:b/>
          <w:i/>
        </w:rPr>
        <w:t xml:space="preserve">G. </w:t>
      </w:r>
      <w:proofErr w:type="spellStart"/>
      <w:r w:rsidR="00400F67" w:rsidRPr="00F204C3">
        <w:rPr>
          <w:rFonts w:ascii="Arial" w:hAnsi="Arial" w:cs="Arial"/>
          <w:b/>
          <w:i/>
        </w:rPr>
        <w:t>sepium</w:t>
      </w:r>
      <w:proofErr w:type="spellEnd"/>
      <w:r w:rsidR="00400F67" w:rsidRPr="00F204C3">
        <w:rPr>
          <w:rFonts w:ascii="Arial" w:hAnsi="Arial" w:cs="Arial"/>
          <w:b/>
          <w:i/>
        </w:rPr>
        <w:t xml:space="preserve"> </w:t>
      </w:r>
      <w:r w:rsidR="00400F67" w:rsidRPr="00F204C3">
        <w:rPr>
          <w:rFonts w:ascii="Arial" w:hAnsi="Arial" w:cs="Arial"/>
          <w:b/>
        </w:rPr>
        <w:t>Ethyl Acetate Leaf Extract in sub-chronic Oral Toxicity Study</w:t>
      </w:r>
    </w:p>
    <w:p w14:paraId="41BF565E" w14:textId="77777777" w:rsidR="00400F67" w:rsidRPr="00F204C3" w:rsidRDefault="00400F67" w:rsidP="00400F67">
      <w:pPr>
        <w:spacing w:after="0" w:line="240" w:lineRule="auto"/>
        <w:jc w:val="both"/>
        <w:rPr>
          <w:rFonts w:ascii="Arial" w:hAnsi="Arial" w:cs="Arial"/>
          <w:b/>
          <w:sz w:val="24"/>
          <w:szCs w:val="24"/>
        </w:rPr>
      </w:pPr>
    </w:p>
    <w:tbl>
      <w:tblPr>
        <w:tblStyle w:val="TableGrid"/>
        <w:tblW w:w="5000" w:type="pct"/>
        <w:tblLook w:val="04A0" w:firstRow="1" w:lastRow="0" w:firstColumn="1" w:lastColumn="0" w:noHBand="0" w:noVBand="1"/>
      </w:tblPr>
      <w:tblGrid>
        <w:gridCol w:w="698"/>
        <w:gridCol w:w="689"/>
        <w:gridCol w:w="314"/>
        <w:gridCol w:w="1117"/>
        <w:gridCol w:w="891"/>
        <w:gridCol w:w="891"/>
        <w:gridCol w:w="894"/>
        <w:gridCol w:w="816"/>
        <w:gridCol w:w="966"/>
        <w:gridCol w:w="870"/>
        <w:gridCol w:w="870"/>
      </w:tblGrid>
      <w:tr w:rsidR="00400F67" w:rsidRPr="00F204C3" w14:paraId="147E4BA4" w14:textId="77777777" w:rsidTr="00DA13FA">
        <w:tc>
          <w:tcPr>
            <w:tcW w:w="360" w:type="pct"/>
          </w:tcPr>
          <w:p w14:paraId="646127B1" w14:textId="77777777" w:rsidR="00400F67" w:rsidRPr="00F204C3" w:rsidRDefault="00400F67" w:rsidP="00F204C3">
            <w:pPr>
              <w:spacing w:line="480" w:lineRule="auto"/>
              <w:jc w:val="both"/>
              <w:rPr>
                <w:rFonts w:ascii="Arial" w:hAnsi="Arial" w:cs="Arial"/>
                <w:b/>
              </w:rPr>
            </w:pPr>
            <w:r w:rsidRPr="00F204C3">
              <w:rPr>
                <w:rFonts w:ascii="Arial" w:hAnsi="Arial" w:cs="Arial"/>
                <w:b/>
              </w:rPr>
              <w:t xml:space="preserve">Groups </w:t>
            </w:r>
          </w:p>
        </w:tc>
        <w:tc>
          <w:tcPr>
            <w:tcW w:w="356" w:type="pct"/>
          </w:tcPr>
          <w:p w14:paraId="7E3C9F71" w14:textId="77777777" w:rsidR="00400F67" w:rsidRPr="00F204C3" w:rsidRDefault="00400F67" w:rsidP="00F204C3">
            <w:pPr>
              <w:spacing w:line="480" w:lineRule="auto"/>
              <w:jc w:val="both"/>
              <w:rPr>
                <w:rFonts w:ascii="Arial" w:hAnsi="Arial" w:cs="Arial"/>
                <w:b/>
              </w:rPr>
            </w:pPr>
            <w:r w:rsidRPr="00F204C3">
              <w:rPr>
                <w:rFonts w:ascii="Arial" w:hAnsi="Arial" w:cs="Arial"/>
                <w:b/>
              </w:rPr>
              <w:t xml:space="preserve">Gender </w:t>
            </w:r>
          </w:p>
        </w:tc>
        <w:tc>
          <w:tcPr>
            <w:tcW w:w="153" w:type="pct"/>
          </w:tcPr>
          <w:p w14:paraId="76BDB2B3" w14:textId="77777777" w:rsidR="00400F67" w:rsidRPr="00F204C3" w:rsidRDefault="00400F67" w:rsidP="00F204C3">
            <w:pPr>
              <w:spacing w:line="480" w:lineRule="auto"/>
              <w:jc w:val="both"/>
              <w:rPr>
                <w:rFonts w:ascii="Arial" w:hAnsi="Arial" w:cs="Arial"/>
                <w:b/>
              </w:rPr>
            </w:pPr>
            <w:r w:rsidRPr="00F204C3">
              <w:rPr>
                <w:rFonts w:ascii="Arial" w:hAnsi="Arial" w:cs="Arial"/>
                <w:b/>
              </w:rPr>
              <w:t>N</w:t>
            </w:r>
          </w:p>
        </w:tc>
        <w:tc>
          <w:tcPr>
            <w:tcW w:w="612" w:type="pct"/>
          </w:tcPr>
          <w:p w14:paraId="667D7895" w14:textId="77777777" w:rsidR="00400F67" w:rsidRPr="00F204C3" w:rsidRDefault="00400F67" w:rsidP="00F204C3">
            <w:pPr>
              <w:spacing w:line="480" w:lineRule="auto"/>
              <w:jc w:val="both"/>
              <w:rPr>
                <w:rFonts w:ascii="Arial" w:hAnsi="Arial" w:cs="Arial"/>
                <w:b/>
                <w:color w:val="000000"/>
                <w:lang w:val="en-GB"/>
              </w:rPr>
            </w:pPr>
            <w:r w:rsidRPr="00F204C3">
              <w:rPr>
                <w:rFonts w:ascii="Arial" w:hAnsi="Arial" w:cs="Arial"/>
                <w:b/>
                <w:color w:val="000000"/>
              </w:rPr>
              <w:t>AST (U/L)</w:t>
            </w:r>
          </w:p>
        </w:tc>
        <w:tc>
          <w:tcPr>
            <w:tcW w:w="474" w:type="pct"/>
          </w:tcPr>
          <w:p w14:paraId="7687DA32" w14:textId="77777777" w:rsidR="00400F67" w:rsidRPr="00F204C3" w:rsidRDefault="00400F67" w:rsidP="00F204C3">
            <w:pPr>
              <w:spacing w:line="480" w:lineRule="auto"/>
              <w:jc w:val="both"/>
              <w:rPr>
                <w:rFonts w:ascii="Arial" w:hAnsi="Arial" w:cs="Arial"/>
                <w:b/>
              </w:rPr>
            </w:pPr>
            <w:r w:rsidRPr="00F204C3">
              <w:rPr>
                <w:rFonts w:ascii="Arial" w:hAnsi="Arial" w:cs="Arial"/>
                <w:b/>
                <w:color w:val="000000"/>
              </w:rPr>
              <w:t>ALT (U/L)</w:t>
            </w:r>
          </w:p>
        </w:tc>
        <w:tc>
          <w:tcPr>
            <w:tcW w:w="474" w:type="pct"/>
          </w:tcPr>
          <w:p w14:paraId="54CAA9D9" w14:textId="77777777" w:rsidR="00400F67" w:rsidRPr="00F204C3" w:rsidRDefault="00400F67" w:rsidP="00F204C3">
            <w:pPr>
              <w:spacing w:line="480" w:lineRule="auto"/>
              <w:jc w:val="both"/>
              <w:rPr>
                <w:rFonts w:ascii="Arial" w:hAnsi="Arial" w:cs="Arial"/>
                <w:b/>
              </w:rPr>
            </w:pPr>
            <w:r w:rsidRPr="00F204C3">
              <w:rPr>
                <w:rFonts w:ascii="Arial" w:hAnsi="Arial" w:cs="Arial"/>
                <w:b/>
                <w:color w:val="000000"/>
              </w:rPr>
              <w:t>ALP (U/L)</w:t>
            </w:r>
          </w:p>
        </w:tc>
        <w:tc>
          <w:tcPr>
            <w:tcW w:w="436" w:type="pct"/>
          </w:tcPr>
          <w:p w14:paraId="7DE2C311" w14:textId="77777777" w:rsidR="00400F67" w:rsidRPr="00F204C3" w:rsidRDefault="00400F67" w:rsidP="00F204C3">
            <w:pPr>
              <w:spacing w:line="480" w:lineRule="auto"/>
              <w:jc w:val="both"/>
              <w:rPr>
                <w:rFonts w:ascii="Arial" w:hAnsi="Arial" w:cs="Arial"/>
                <w:b/>
              </w:rPr>
            </w:pPr>
            <w:r w:rsidRPr="00F204C3">
              <w:rPr>
                <w:rFonts w:ascii="Arial" w:hAnsi="Arial" w:cs="Arial"/>
                <w:b/>
                <w:color w:val="000000"/>
              </w:rPr>
              <w:t xml:space="preserve">TP </w:t>
            </w:r>
            <w:commentRangeStart w:id="7"/>
            <w:r w:rsidRPr="00F24E58">
              <w:rPr>
                <w:rFonts w:ascii="Arial" w:hAnsi="Arial" w:cs="Arial"/>
                <w:b/>
                <w:color w:val="000000"/>
                <w:highlight w:val="yellow"/>
              </w:rPr>
              <w:t>(</w:t>
            </w:r>
            <w:proofErr w:type="spellStart"/>
            <w:r w:rsidRPr="00F24E58">
              <w:rPr>
                <w:rFonts w:ascii="Arial" w:hAnsi="Arial" w:cs="Arial"/>
                <w:b/>
                <w:color w:val="000000"/>
                <w:highlight w:val="yellow"/>
              </w:rPr>
              <w:t>gldl</w:t>
            </w:r>
            <w:proofErr w:type="spellEnd"/>
            <w:r w:rsidRPr="00F24E58">
              <w:rPr>
                <w:rFonts w:ascii="Arial" w:hAnsi="Arial" w:cs="Arial"/>
                <w:b/>
                <w:color w:val="000000"/>
                <w:highlight w:val="yellow"/>
              </w:rPr>
              <w:t>)</w:t>
            </w:r>
            <w:commentRangeEnd w:id="7"/>
            <w:r w:rsidR="00F24E58" w:rsidRPr="00F24E58">
              <w:rPr>
                <w:rStyle w:val="CommentReference"/>
                <w:highlight w:val="yellow"/>
              </w:rPr>
              <w:commentReference w:id="7"/>
            </w:r>
          </w:p>
        </w:tc>
        <w:tc>
          <w:tcPr>
            <w:tcW w:w="459" w:type="pct"/>
          </w:tcPr>
          <w:p w14:paraId="7F627030" w14:textId="77777777" w:rsidR="00400F67" w:rsidRPr="00F204C3" w:rsidRDefault="00400F67" w:rsidP="00F204C3">
            <w:pPr>
              <w:spacing w:line="480" w:lineRule="auto"/>
              <w:jc w:val="both"/>
              <w:rPr>
                <w:rFonts w:ascii="Arial" w:hAnsi="Arial" w:cs="Arial"/>
                <w:b/>
              </w:rPr>
            </w:pPr>
            <w:r w:rsidRPr="00F204C3">
              <w:rPr>
                <w:rFonts w:ascii="Arial" w:hAnsi="Arial" w:cs="Arial"/>
                <w:b/>
                <w:color w:val="000000"/>
              </w:rPr>
              <w:t>AB (g/dl)</w:t>
            </w:r>
          </w:p>
        </w:tc>
        <w:tc>
          <w:tcPr>
            <w:tcW w:w="701" w:type="pct"/>
          </w:tcPr>
          <w:p w14:paraId="7E76DBF1" w14:textId="77777777" w:rsidR="00400F67" w:rsidRPr="00F204C3" w:rsidRDefault="00400F67" w:rsidP="00F204C3">
            <w:pPr>
              <w:spacing w:line="480" w:lineRule="auto"/>
              <w:jc w:val="both"/>
              <w:rPr>
                <w:rFonts w:ascii="Arial" w:hAnsi="Arial" w:cs="Arial"/>
                <w:b/>
              </w:rPr>
            </w:pPr>
            <w:r w:rsidRPr="00F204C3">
              <w:rPr>
                <w:rFonts w:ascii="Arial" w:hAnsi="Arial" w:cs="Arial"/>
                <w:b/>
                <w:color w:val="000000"/>
              </w:rPr>
              <w:t>TB (mg/dl)</w:t>
            </w:r>
          </w:p>
        </w:tc>
        <w:tc>
          <w:tcPr>
            <w:tcW w:w="488" w:type="pct"/>
          </w:tcPr>
          <w:p w14:paraId="30E0AC28" w14:textId="77777777" w:rsidR="00400F67" w:rsidRPr="00F204C3" w:rsidRDefault="00400F67" w:rsidP="00C81546">
            <w:pPr>
              <w:jc w:val="both"/>
              <w:rPr>
                <w:rFonts w:ascii="Arial" w:hAnsi="Arial" w:cs="Arial"/>
                <w:b/>
                <w:color w:val="000000"/>
                <w:sz w:val="24"/>
                <w:szCs w:val="24"/>
                <w:lang w:val="en-GB"/>
              </w:rPr>
            </w:pPr>
            <w:r w:rsidRPr="00F204C3">
              <w:rPr>
                <w:rFonts w:ascii="Arial" w:hAnsi="Arial" w:cs="Arial"/>
                <w:b/>
                <w:color w:val="000000"/>
                <w:sz w:val="24"/>
                <w:szCs w:val="24"/>
              </w:rPr>
              <w:t>CB (mg/dl)</w:t>
            </w:r>
          </w:p>
          <w:p w14:paraId="36393AE5" w14:textId="77777777" w:rsidR="00400F67" w:rsidRPr="00F204C3" w:rsidRDefault="00400F67" w:rsidP="00C81546">
            <w:pPr>
              <w:jc w:val="both"/>
              <w:rPr>
                <w:rFonts w:ascii="Arial" w:hAnsi="Arial" w:cs="Arial"/>
                <w:b/>
                <w:sz w:val="24"/>
                <w:szCs w:val="24"/>
              </w:rPr>
            </w:pPr>
          </w:p>
        </w:tc>
        <w:tc>
          <w:tcPr>
            <w:tcW w:w="488" w:type="pct"/>
          </w:tcPr>
          <w:p w14:paraId="4C953E27" w14:textId="77777777" w:rsidR="00400F67" w:rsidRPr="00F204C3" w:rsidRDefault="00400F67" w:rsidP="00C81546">
            <w:pPr>
              <w:jc w:val="both"/>
              <w:rPr>
                <w:rFonts w:ascii="Arial" w:hAnsi="Arial" w:cs="Arial"/>
                <w:b/>
                <w:color w:val="000000"/>
                <w:sz w:val="24"/>
                <w:szCs w:val="24"/>
              </w:rPr>
            </w:pPr>
            <w:r w:rsidRPr="00F204C3">
              <w:rPr>
                <w:rFonts w:ascii="Arial" w:hAnsi="Arial" w:cs="Arial"/>
                <w:b/>
                <w:color w:val="000000"/>
                <w:sz w:val="24"/>
                <w:szCs w:val="24"/>
              </w:rPr>
              <w:t>GGT U/L</w:t>
            </w:r>
          </w:p>
        </w:tc>
      </w:tr>
      <w:tr w:rsidR="00400F67" w:rsidRPr="00F204C3" w14:paraId="0105026D" w14:textId="77777777" w:rsidTr="00DA13FA">
        <w:tc>
          <w:tcPr>
            <w:tcW w:w="360" w:type="pct"/>
          </w:tcPr>
          <w:p w14:paraId="4C289484" w14:textId="77777777" w:rsidR="00400F67" w:rsidRPr="00F204C3" w:rsidRDefault="00400F67" w:rsidP="00F204C3">
            <w:pPr>
              <w:spacing w:line="480" w:lineRule="auto"/>
              <w:jc w:val="both"/>
              <w:rPr>
                <w:rFonts w:ascii="Arial" w:hAnsi="Arial" w:cs="Arial"/>
              </w:rPr>
            </w:pPr>
            <w:r w:rsidRPr="00F204C3">
              <w:rPr>
                <w:rFonts w:ascii="Arial" w:hAnsi="Arial" w:cs="Arial"/>
              </w:rPr>
              <w:t>I</w:t>
            </w:r>
          </w:p>
        </w:tc>
        <w:tc>
          <w:tcPr>
            <w:tcW w:w="356" w:type="pct"/>
          </w:tcPr>
          <w:p w14:paraId="4BD65FCC" w14:textId="77777777" w:rsidR="00400F67" w:rsidRPr="00F204C3" w:rsidRDefault="00400F67" w:rsidP="00F204C3">
            <w:pPr>
              <w:spacing w:line="480" w:lineRule="auto"/>
              <w:jc w:val="both"/>
              <w:rPr>
                <w:rFonts w:ascii="Arial" w:hAnsi="Arial" w:cs="Arial"/>
              </w:rPr>
            </w:pPr>
            <w:r w:rsidRPr="00F204C3">
              <w:rPr>
                <w:rFonts w:ascii="Arial" w:hAnsi="Arial" w:cs="Arial"/>
              </w:rPr>
              <w:t>Male</w:t>
            </w:r>
          </w:p>
        </w:tc>
        <w:tc>
          <w:tcPr>
            <w:tcW w:w="153" w:type="pct"/>
          </w:tcPr>
          <w:p w14:paraId="7A25F8C3"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1DC54103" w14:textId="77777777" w:rsidR="00400F67" w:rsidRPr="00F204C3" w:rsidRDefault="00400F67" w:rsidP="00F204C3">
            <w:pPr>
              <w:spacing w:line="480" w:lineRule="auto"/>
              <w:jc w:val="both"/>
              <w:rPr>
                <w:rFonts w:ascii="Arial" w:hAnsi="Arial" w:cs="Arial"/>
                <w:b/>
              </w:rPr>
            </w:pPr>
            <w:r w:rsidRPr="00F204C3">
              <w:rPr>
                <w:rFonts w:ascii="Arial" w:hAnsi="Arial" w:cs="Arial"/>
              </w:rPr>
              <w:t>25.00±0.73</w:t>
            </w:r>
          </w:p>
        </w:tc>
        <w:tc>
          <w:tcPr>
            <w:tcW w:w="474" w:type="pct"/>
          </w:tcPr>
          <w:p w14:paraId="335BC06B" w14:textId="77777777" w:rsidR="00400F67" w:rsidRPr="00F204C3" w:rsidRDefault="00400F67" w:rsidP="00F204C3">
            <w:pPr>
              <w:spacing w:line="480" w:lineRule="auto"/>
              <w:jc w:val="both"/>
              <w:rPr>
                <w:rFonts w:ascii="Arial" w:hAnsi="Arial" w:cs="Arial"/>
                <w:b/>
              </w:rPr>
            </w:pPr>
            <w:r w:rsidRPr="00F204C3">
              <w:rPr>
                <w:rFonts w:ascii="Arial" w:hAnsi="Arial" w:cs="Arial"/>
              </w:rPr>
              <w:t>14.33±0.49</w:t>
            </w:r>
          </w:p>
        </w:tc>
        <w:tc>
          <w:tcPr>
            <w:tcW w:w="474" w:type="pct"/>
          </w:tcPr>
          <w:p w14:paraId="61F1A8C7" w14:textId="77777777" w:rsidR="00400F67" w:rsidRPr="00F204C3" w:rsidRDefault="00400F67" w:rsidP="00F204C3">
            <w:pPr>
              <w:spacing w:line="480" w:lineRule="auto"/>
              <w:jc w:val="both"/>
              <w:rPr>
                <w:rFonts w:ascii="Arial" w:hAnsi="Arial" w:cs="Arial"/>
                <w:b/>
              </w:rPr>
            </w:pPr>
            <w:r w:rsidRPr="00F204C3">
              <w:rPr>
                <w:rFonts w:ascii="Arial" w:hAnsi="Arial" w:cs="Arial"/>
              </w:rPr>
              <w:t>59.00±3.18</w:t>
            </w:r>
          </w:p>
        </w:tc>
        <w:tc>
          <w:tcPr>
            <w:tcW w:w="436" w:type="pct"/>
          </w:tcPr>
          <w:p w14:paraId="0EE4C751" w14:textId="77777777" w:rsidR="00400F67" w:rsidRPr="00F204C3" w:rsidRDefault="00400F67" w:rsidP="00F204C3">
            <w:pPr>
              <w:spacing w:line="480" w:lineRule="auto"/>
              <w:jc w:val="both"/>
              <w:rPr>
                <w:rFonts w:ascii="Arial" w:hAnsi="Arial" w:cs="Arial"/>
                <w:b/>
              </w:rPr>
            </w:pPr>
            <w:r w:rsidRPr="00F204C3">
              <w:rPr>
                <w:rFonts w:ascii="Arial" w:hAnsi="Arial" w:cs="Arial"/>
              </w:rPr>
              <w:t>6.45±0.48</w:t>
            </w:r>
          </w:p>
        </w:tc>
        <w:tc>
          <w:tcPr>
            <w:tcW w:w="459" w:type="pct"/>
          </w:tcPr>
          <w:p w14:paraId="79BF2CEA" w14:textId="77777777" w:rsidR="00400F67" w:rsidRPr="00F204C3" w:rsidRDefault="00400F67" w:rsidP="00F204C3">
            <w:pPr>
              <w:spacing w:line="480" w:lineRule="auto"/>
              <w:jc w:val="both"/>
              <w:rPr>
                <w:rFonts w:ascii="Arial" w:hAnsi="Arial" w:cs="Arial"/>
                <w:b/>
              </w:rPr>
            </w:pPr>
            <w:r w:rsidRPr="00F204C3">
              <w:rPr>
                <w:rFonts w:ascii="Arial" w:hAnsi="Arial" w:cs="Arial"/>
              </w:rPr>
              <w:t>3.05±0.17</w:t>
            </w:r>
          </w:p>
        </w:tc>
        <w:tc>
          <w:tcPr>
            <w:tcW w:w="701" w:type="pct"/>
          </w:tcPr>
          <w:p w14:paraId="362AF994" w14:textId="77777777" w:rsidR="00400F67" w:rsidRPr="00F204C3" w:rsidRDefault="00400F67" w:rsidP="00F204C3">
            <w:pPr>
              <w:spacing w:line="480" w:lineRule="auto"/>
              <w:jc w:val="both"/>
              <w:rPr>
                <w:rFonts w:ascii="Arial" w:hAnsi="Arial" w:cs="Arial"/>
                <w:b/>
              </w:rPr>
            </w:pPr>
            <w:r w:rsidRPr="00F204C3">
              <w:rPr>
                <w:rFonts w:ascii="Arial" w:hAnsi="Arial" w:cs="Arial"/>
              </w:rPr>
              <w:t>0.59±0.04</w:t>
            </w:r>
          </w:p>
        </w:tc>
        <w:tc>
          <w:tcPr>
            <w:tcW w:w="488" w:type="pct"/>
          </w:tcPr>
          <w:p w14:paraId="29B58440"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0.05±0.01</w:t>
            </w:r>
          </w:p>
        </w:tc>
        <w:tc>
          <w:tcPr>
            <w:tcW w:w="488" w:type="pct"/>
          </w:tcPr>
          <w:p w14:paraId="339F4ACA"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2.22±0.16</w:t>
            </w:r>
          </w:p>
        </w:tc>
      </w:tr>
      <w:tr w:rsidR="00400F67" w:rsidRPr="00F204C3" w14:paraId="3AEBEBF4" w14:textId="77777777" w:rsidTr="00DA13FA">
        <w:tc>
          <w:tcPr>
            <w:tcW w:w="360" w:type="pct"/>
          </w:tcPr>
          <w:p w14:paraId="383AB74F" w14:textId="77777777" w:rsidR="00400F67" w:rsidRPr="00F204C3" w:rsidRDefault="00400F67" w:rsidP="00F204C3">
            <w:pPr>
              <w:spacing w:line="480" w:lineRule="auto"/>
              <w:jc w:val="both"/>
              <w:rPr>
                <w:rFonts w:ascii="Arial" w:hAnsi="Arial" w:cs="Arial"/>
              </w:rPr>
            </w:pPr>
          </w:p>
        </w:tc>
        <w:tc>
          <w:tcPr>
            <w:tcW w:w="356" w:type="pct"/>
          </w:tcPr>
          <w:p w14:paraId="3F9735E1" w14:textId="77777777" w:rsidR="00400F67" w:rsidRPr="00F204C3" w:rsidRDefault="00400F67" w:rsidP="00F204C3">
            <w:pPr>
              <w:spacing w:line="480" w:lineRule="auto"/>
              <w:jc w:val="both"/>
              <w:rPr>
                <w:rFonts w:ascii="Arial" w:hAnsi="Arial" w:cs="Arial"/>
              </w:rPr>
            </w:pPr>
            <w:r w:rsidRPr="00F204C3">
              <w:rPr>
                <w:rFonts w:ascii="Arial" w:hAnsi="Arial" w:cs="Arial"/>
              </w:rPr>
              <w:t>Female</w:t>
            </w:r>
          </w:p>
        </w:tc>
        <w:tc>
          <w:tcPr>
            <w:tcW w:w="153" w:type="pct"/>
          </w:tcPr>
          <w:p w14:paraId="26FAD86C"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004D7F5B" w14:textId="77777777" w:rsidR="00400F67" w:rsidRPr="00F204C3" w:rsidRDefault="00400F67" w:rsidP="00F204C3">
            <w:pPr>
              <w:spacing w:line="480" w:lineRule="auto"/>
              <w:jc w:val="both"/>
              <w:rPr>
                <w:rFonts w:ascii="Arial" w:hAnsi="Arial" w:cs="Arial"/>
                <w:b/>
              </w:rPr>
            </w:pPr>
            <w:r w:rsidRPr="00F204C3">
              <w:rPr>
                <w:rFonts w:ascii="Arial" w:hAnsi="Arial" w:cs="Arial"/>
              </w:rPr>
              <w:t>24.50±0.67</w:t>
            </w:r>
          </w:p>
        </w:tc>
        <w:tc>
          <w:tcPr>
            <w:tcW w:w="474" w:type="pct"/>
          </w:tcPr>
          <w:p w14:paraId="381B6A8D" w14:textId="77777777" w:rsidR="00400F67" w:rsidRPr="00F204C3" w:rsidRDefault="00400F67" w:rsidP="00F204C3">
            <w:pPr>
              <w:spacing w:line="480" w:lineRule="auto"/>
              <w:jc w:val="both"/>
              <w:rPr>
                <w:rFonts w:ascii="Arial" w:hAnsi="Arial" w:cs="Arial"/>
                <w:b/>
              </w:rPr>
            </w:pPr>
            <w:r w:rsidRPr="00F204C3">
              <w:rPr>
                <w:rFonts w:ascii="Arial" w:hAnsi="Arial" w:cs="Arial"/>
              </w:rPr>
              <w:t>13.67±0.42</w:t>
            </w:r>
          </w:p>
        </w:tc>
        <w:tc>
          <w:tcPr>
            <w:tcW w:w="474" w:type="pct"/>
          </w:tcPr>
          <w:p w14:paraId="0ED36850" w14:textId="77777777" w:rsidR="00400F67" w:rsidRPr="00F204C3" w:rsidRDefault="00400F67" w:rsidP="00F204C3">
            <w:pPr>
              <w:spacing w:line="480" w:lineRule="auto"/>
              <w:jc w:val="both"/>
              <w:rPr>
                <w:rFonts w:ascii="Arial" w:hAnsi="Arial" w:cs="Arial"/>
                <w:b/>
              </w:rPr>
            </w:pPr>
            <w:r w:rsidRPr="00F204C3">
              <w:rPr>
                <w:rFonts w:ascii="Arial" w:hAnsi="Arial" w:cs="Arial"/>
              </w:rPr>
              <w:t>57.17±1.79</w:t>
            </w:r>
          </w:p>
        </w:tc>
        <w:tc>
          <w:tcPr>
            <w:tcW w:w="436" w:type="pct"/>
          </w:tcPr>
          <w:p w14:paraId="5F5572B1" w14:textId="77777777" w:rsidR="00400F67" w:rsidRPr="00F204C3" w:rsidRDefault="00400F67" w:rsidP="00F204C3">
            <w:pPr>
              <w:spacing w:line="480" w:lineRule="auto"/>
              <w:jc w:val="both"/>
              <w:rPr>
                <w:rFonts w:ascii="Arial" w:hAnsi="Arial" w:cs="Arial"/>
                <w:b/>
              </w:rPr>
            </w:pPr>
            <w:r w:rsidRPr="00F204C3">
              <w:rPr>
                <w:rFonts w:ascii="Arial" w:hAnsi="Arial" w:cs="Arial"/>
              </w:rPr>
              <w:t>6.77±0.25</w:t>
            </w:r>
          </w:p>
        </w:tc>
        <w:tc>
          <w:tcPr>
            <w:tcW w:w="459" w:type="pct"/>
          </w:tcPr>
          <w:p w14:paraId="6C1DE1E4" w14:textId="77777777" w:rsidR="00400F67" w:rsidRPr="00F204C3" w:rsidRDefault="00400F67" w:rsidP="00F204C3">
            <w:pPr>
              <w:spacing w:line="480" w:lineRule="auto"/>
              <w:jc w:val="both"/>
              <w:rPr>
                <w:rFonts w:ascii="Arial" w:hAnsi="Arial" w:cs="Arial"/>
                <w:b/>
              </w:rPr>
            </w:pPr>
            <w:r w:rsidRPr="00F204C3">
              <w:rPr>
                <w:rFonts w:ascii="Arial" w:hAnsi="Arial" w:cs="Arial"/>
              </w:rPr>
              <w:t>3.17±0.09</w:t>
            </w:r>
          </w:p>
        </w:tc>
        <w:tc>
          <w:tcPr>
            <w:tcW w:w="701" w:type="pct"/>
          </w:tcPr>
          <w:p w14:paraId="516FCFC1" w14:textId="77777777" w:rsidR="00400F67" w:rsidRPr="00F204C3" w:rsidRDefault="00400F67" w:rsidP="00F204C3">
            <w:pPr>
              <w:spacing w:line="480" w:lineRule="auto"/>
              <w:jc w:val="both"/>
              <w:rPr>
                <w:rFonts w:ascii="Arial" w:hAnsi="Arial" w:cs="Arial"/>
                <w:b/>
              </w:rPr>
            </w:pPr>
            <w:r w:rsidRPr="00F204C3">
              <w:rPr>
                <w:rFonts w:ascii="Arial" w:hAnsi="Arial" w:cs="Arial"/>
              </w:rPr>
              <w:t>0.61±0.04</w:t>
            </w:r>
          </w:p>
        </w:tc>
        <w:tc>
          <w:tcPr>
            <w:tcW w:w="488" w:type="pct"/>
          </w:tcPr>
          <w:p w14:paraId="4981F68E"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0.06±0.01</w:t>
            </w:r>
          </w:p>
        </w:tc>
        <w:tc>
          <w:tcPr>
            <w:tcW w:w="488" w:type="pct"/>
          </w:tcPr>
          <w:p w14:paraId="19DC7E74"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1.65±0.14</w:t>
            </w:r>
          </w:p>
        </w:tc>
      </w:tr>
      <w:tr w:rsidR="00400F67" w:rsidRPr="00F204C3" w14:paraId="1D43E198" w14:textId="77777777" w:rsidTr="00DA13FA">
        <w:tc>
          <w:tcPr>
            <w:tcW w:w="360" w:type="pct"/>
          </w:tcPr>
          <w:p w14:paraId="07C7B1E2" w14:textId="77777777" w:rsidR="00400F67" w:rsidRPr="00F204C3" w:rsidRDefault="00400F67" w:rsidP="00F204C3">
            <w:pPr>
              <w:spacing w:line="480" w:lineRule="auto"/>
              <w:jc w:val="both"/>
              <w:rPr>
                <w:rFonts w:ascii="Arial" w:hAnsi="Arial" w:cs="Arial"/>
              </w:rPr>
            </w:pPr>
            <w:r w:rsidRPr="00F204C3">
              <w:rPr>
                <w:rFonts w:ascii="Arial" w:hAnsi="Arial" w:cs="Arial"/>
              </w:rPr>
              <w:t>II</w:t>
            </w:r>
          </w:p>
        </w:tc>
        <w:tc>
          <w:tcPr>
            <w:tcW w:w="356" w:type="pct"/>
          </w:tcPr>
          <w:p w14:paraId="12FFCE19" w14:textId="77777777" w:rsidR="00400F67" w:rsidRPr="00F204C3" w:rsidRDefault="00400F67" w:rsidP="00F204C3">
            <w:pPr>
              <w:spacing w:line="480" w:lineRule="auto"/>
              <w:jc w:val="both"/>
              <w:rPr>
                <w:rFonts w:ascii="Arial" w:hAnsi="Arial" w:cs="Arial"/>
              </w:rPr>
            </w:pPr>
            <w:r w:rsidRPr="00F204C3">
              <w:rPr>
                <w:rFonts w:ascii="Arial" w:hAnsi="Arial" w:cs="Arial"/>
              </w:rPr>
              <w:t>Male</w:t>
            </w:r>
          </w:p>
        </w:tc>
        <w:tc>
          <w:tcPr>
            <w:tcW w:w="153" w:type="pct"/>
          </w:tcPr>
          <w:p w14:paraId="7A9241E3"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57F69321"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25.33±0.76</w:t>
            </w:r>
          </w:p>
        </w:tc>
        <w:tc>
          <w:tcPr>
            <w:tcW w:w="474" w:type="pct"/>
          </w:tcPr>
          <w:p w14:paraId="297747F5" w14:textId="77777777" w:rsidR="00400F67" w:rsidRPr="00F204C3" w:rsidRDefault="00400F67" w:rsidP="00F204C3">
            <w:pPr>
              <w:spacing w:line="480" w:lineRule="auto"/>
              <w:jc w:val="both"/>
              <w:rPr>
                <w:rFonts w:ascii="Arial" w:hAnsi="Arial" w:cs="Arial"/>
              </w:rPr>
            </w:pPr>
            <w:r w:rsidRPr="00F204C3">
              <w:rPr>
                <w:rFonts w:ascii="Arial" w:hAnsi="Arial" w:cs="Arial"/>
              </w:rPr>
              <w:t>14.50±0.43</w:t>
            </w:r>
          </w:p>
        </w:tc>
        <w:tc>
          <w:tcPr>
            <w:tcW w:w="474" w:type="pct"/>
          </w:tcPr>
          <w:p w14:paraId="60105C37" w14:textId="77777777" w:rsidR="00400F67" w:rsidRPr="00F204C3" w:rsidRDefault="00400F67" w:rsidP="00F204C3">
            <w:pPr>
              <w:spacing w:line="480" w:lineRule="auto"/>
              <w:jc w:val="both"/>
              <w:rPr>
                <w:rFonts w:ascii="Arial" w:hAnsi="Arial" w:cs="Arial"/>
              </w:rPr>
            </w:pPr>
            <w:r w:rsidRPr="00F204C3">
              <w:rPr>
                <w:rFonts w:ascii="Arial" w:hAnsi="Arial" w:cs="Arial"/>
              </w:rPr>
              <w:t>58.00±2.89</w:t>
            </w:r>
          </w:p>
        </w:tc>
        <w:tc>
          <w:tcPr>
            <w:tcW w:w="436" w:type="pct"/>
          </w:tcPr>
          <w:p w14:paraId="6EAE9E7E" w14:textId="77777777" w:rsidR="00400F67" w:rsidRPr="00F204C3" w:rsidRDefault="00400F67" w:rsidP="00F204C3">
            <w:pPr>
              <w:spacing w:line="480" w:lineRule="auto"/>
              <w:jc w:val="both"/>
              <w:rPr>
                <w:rFonts w:ascii="Arial" w:hAnsi="Arial" w:cs="Arial"/>
              </w:rPr>
            </w:pPr>
            <w:r w:rsidRPr="00F204C3">
              <w:rPr>
                <w:rFonts w:ascii="Arial" w:hAnsi="Arial" w:cs="Arial"/>
              </w:rPr>
              <w:t>6.50±0.12</w:t>
            </w:r>
          </w:p>
        </w:tc>
        <w:tc>
          <w:tcPr>
            <w:tcW w:w="459" w:type="pct"/>
          </w:tcPr>
          <w:p w14:paraId="3C0332EC" w14:textId="77777777" w:rsidR="00400F67" w:rsidRPr="00F204C3" w:rsidRDefault="00400F67" w:rsidP="00F204C3">
            <w:pPr>
              <w:spacing w:line="480" w:lineRule="auto"/>
              <w:jc w:val="both"/>
              <w:rPr>
                <w:rFonts w:ascii="Arial" w:hAnsi="Arial" w:cs="Arial"/>
              </w:rPr>
            </w:pPr>
            <w:r w:rsidRPr="00F204C3">
              <w:rPr>
                <w:rFonts w:ascii="Arial" w:hAnsi="Arial" w:cs="Arial"/>
              </w:rPr>
              <w:t>3.17±0.07</w:t>
            </w:r>
          </w:p>
        </w:tc>
        <w:tc>
          <w:tcPr>
            <w:tcW w:w="701" w:type="pct"/>
          </w:tcPr>
          <w:p w14:paraId="61C557FB" w14:textId="77777777" w:rsidR="00400F67" w:rsidRPr="00F204C3" w:rsidRDefault="00400F67" w:rsidP="00F204C3">
            <w:pPr>
              <w:spacing w:line="480" w:lineRule="auto"/>
              <w:jc w:val="both"/>
              <w:rPr>
                <w:rFonts w:ascii="Arial" w:hAnsi="Arial" w:cs="Arial"/>
              </w:rPr>
            </w:pPr>
            <w:r w:rsidRPr="00F204C3">
              <w:rPr>
                <w:rFonts w:ascii="Arial" w:hAnsi="Arial" w:cs="Arial"/>
              </w:rPr>
              <w:t>0.60±0.03</w:t>
            </w:r>
          </w:p>
        </w:tc>
        <w:tc>
          <w:tcPr>
            <w:tcW w:w="488" w:type="pct"/>
          </w:tcPr>
          <w:p w14:paraId="6ACD26A0"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0.06±0.01</w:t>
            </w:r>
          </w:p>
        </w:tc>
        <w:tc>
          <w:tcPr>
            <w:tcW w:w="488" w:type="pct"/>
          </w:tcPr>
          <w:p w14:paraId="5B4FBE49"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2.07±0.21</w:t>
            </w:r>
          </w:p>
        </w:tc>
      </w:tr>
      <w:tr w:rsidR="00400F67" w:rsidRPr="00F204C3" w14:paraId="294902EB" w14:textId="77777777" w:rsidTr="00DA13FA">
        <w:tc>
          <w:tcPr>
            <w:tcW w:w="360" w:type="pct"/>
          </w:tcPr>
          <w:p w14:paraId="50324D59" w14:textId="77777777" w:rsidR="00400F67" w:rsidRPr="00F204C3" w:rsidRDefault="00400F67" w:rsidP="00F204C3">
            <w:pPr>
              <w:spacing w:line="480" w:lineRule="auto"/>
              <w:jc w:val="both"/>
              <w:rPr>
                <w:rFonts w:ascii="Arial" w:hAnsi="Arial" w:cs="Arial"/>
              </w:rPr>
            </w:pPr>
          </w:p>
        </w:tc>
        <w:tc>
          <w:tcPr>
            <w:tcW w:w="356" w:type="pct"/>
          </w:tcPr>
          <w:p w14:paraId="34CE33F6" w14:textId="77777777" w:rsidR="00400F67" w:rsidRPr="00F204C3" w:rsidRDefault="00400F67" w:rsidP="00F204C3">
            <w:pPr>
              <w:spacing w:line="480" w:lineRule="auto"/>
              <w:jc w:val="both"/>
              <w:rPr>
                <w:rFonts w:ascii="Arial" w:hAnsi="Arial" w:cs="Arial"/>
              </w:rPr>
            </w:pPr>
            <w:r w:rsidRPr="00F204C3">
              <w:rPr>
                <w:rFonts w:ascii="Arial" w:hAnsi="Arial" w:cs="Arial"/>
              </w:rPr>
              <w:t>Female</w:t>
            </w:r>
          </w:p>
        </w:tc>
        <w:tc>
          <w:tcPr>
            <w:tcW w:w="153" w:type="pct"/>
          </w:tcPr>
          <w:p w14:paraId="65AC3C08"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1B87ECAE"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24.50±0.43</w:t>
            </w:r>
          </w:p>
        </w:tc>
        <w:tc>
          <w:tcPr>
            <w:tcW w:w="474" w:type="pct"/>
          </w:tcPr>
          <w:p w14:paraId="488F86A8" w14:textId="77777777" w:rsidR="00400F67" w:rsidRPr="00F204C3" w:rsidRDefault="00400F67" w:rsidP="00F204C3">
            <w:pPr>
              <w:spacing w:line="480" w:lineRule="auto"/>
              <w:jc w:val="both"/>
              <w:rPr>
                <w:rFonts w:ascii="Arial" w:hAnsi="Arial" w:cs="Arial"/>
              </w:rPr>
            </w:pPr>
            <w:r w:rsidRPr="00F204C3">
              <w:rPr>
                <w:rFonts w:ascii="Arial" w:hAnsi="Arial" w:cs="Arial"/>
              </w:rPr>
              <w:t>14.00±0.6</w:t>
            </w:r>
          </w:p>
        </w:tc>
        <w:tc>
          <w:tcPr>
            <w:tcW w:w="474" w:type="pct"/>
          </w:tcPr>
          <w:p w14:paraId="452DC4C1" w14:textId="77777777" w:rsidR="00400F67" w:rsidRPr="00F204C3" w:rsidRDefault="00400F67" w:rsidP="00F204C3">
            <w:pPr>
              <w:spacing w:line="480" w:lineRule="auto"/>
              <w:jc w:val="both"/>
              <w:rPr>
                <w:rFonts w:ascii="Arial" w:hAnsi="Arial" w:cs="Arial"/>
              </w:rPr>
            </w:pPr>
            <w:r w:rsidRPr="00F204C3">
              <w:rPr>
                <w:rFonts w:ascii="Arial" w:hAnsi="Arial" w:cs="Arial"/>
              </w:rPr>
              <w:t>55.33±2.24</w:t>
            </w:r>
          </w:p>
        </w:tc>
        <w:tc>
          <w:tcPr>
            <w:tcW w:w="436" w:type="pct"/>
          </w:tcPr>
          <w:p w14:paraId="07E20545" w14:textId="77777777" w:rsidR="00400F67" w:rsidRPr="00F204C3" w:rsidRDefault="00400F67" w:rsidP="00F204C3">
            <w:pPr>
              <w:spacing w:line="480" w:lineRule="auto"/>
              <w:jc w:val="both"/>
              <w:rPr>
                <w:rFonts w:ascii="Arial" w:hAnsi="Arial" w:cs="Arial"/>
              </w:rPr>
            </w:pPr>
            <w:r w:rsidRPr="00F204C3">
              <w:rPr>
                <w:rFonts w:ascii="Arial" w:hAnsi="Arial" w:cs="Arial"/>
              </w:rPr>
              <w:t>7.13±0.31</w:t>
            </w:r>
          </w:p>
        </w:tc>
        <w:tc>
          <w:tcPr>
            <w:tcW w:w="459" w:type="pct"/>
          </w:tcPr>
          <w:p w14:paraId="04F0E3CA" w14:textId="77777777" w:rsidR="00400F67" w:rsidRPr="00F204C3" w:rsidRDefault="00400F67" w:rsidP="00F204C3">
            <w:pPr>
              <w:spacing w:line="480" w:lineRule="auto"/>
              <w:jc w:val="both"/>
              <w:rPr>
                <w:rFonts w:ascii="Arial" w:hAnsi="Arial" w:cs="Arial"/>
              </w:rPr>
            </w:pPr>
            <w:r w:rsidRPr="00F204C3">
              <w:rPr>
                <w:rFonts w:ascii="Arial" w:hAnsi="Arial" w:cs="Arial"/>
              </w:rPr>
              <w:t>3.15±0.08</w:t>
            </w:r>
          </w:p>
        </w:tc>
        <w:tc>
          <w:tcPr>
            <w:tcW w:w="701" w:type="pct"/>
          </w:tcPr>
          <w:p w14:paraId="285F66F2" w14:textId="77777777" w:rsidR="00400F67" w:rsidRPr="00F204C3" w:rsidRDefault="00400F67" w:rsidP="00F204C3">
            <w:pPr>
              <w:spacing w:line="480" w:lineRule="auto"/>
              <w:jc w:val="both"/>
              <w:rPr>
                <w:rFonts w:ascii="Arial" w:hAnsi="Arial" w:cs="Arial"/>
              </w:rPr>
            </w:pPr>
            <w:r w:rsidRPr="00F204C3">
              <w:rPr>
                <w:rFonts w:ascii="Arial" w:hAnsi="Arial" w:cs="Arial"/>
              </w:rPr>
              <w:t>0.65±0.06</w:t>
            </w:r>
          </w:p>
        </w:tc>
        <w:tc>
          <w:tcPr>
            <w:tcW w:w="488" w:type="pct"/>
          </w:tcPr>
          <w:p w14:paraId="6EFD0BFB"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0.05±0.01</w:t>
            </w:r>
          </w:p>
        </w:tc>
        <w:tc>
          <w:tcPr>
            <w:tcW w:w="488" w:type="pct"/>
          </w:tcPr>
          <w:p w14:paraId="7CC1939E"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2.13±0.09</w:t>
            </w:r>
          </w:p>
        </w:tc>
      </w:tr>
      <w:tr w:rsidR="00400F67" w:rsidRPr="00F204C3" w14:paraId="736AD5FA" w14:textId="77777777" w:rsidTr="00DA13FA">
        <w:tc>
          <w:tcPr>
            <w:tcW w:w="360" w:type="pct"/>
          </w:tcPr>
          <w:p w14:paraId="7101C836" w14:textId="77777777" w:rsidR="00400F67" w:rsidRPr="00F204C3" w:rsidRDefault="00400F67" w:rsidP="00F204C3">
            <w:pPr>
              <w:spacing w:line="480" w:lineRule="auto"/>
              <w:jc w:val="both"/>
              <w:rPr>
                <w:rFonts w:ascii="Arial" w:hAnsi="Arial" w:cs="Arial"/>
              </w:rPr>
            </w:pPr>
            <w:r w:rsidRPr="00F204C3">
              <w:rPr>
                <w:rFonts w:ascii="Arial" w:hAnsi="Arial" w:cs="Arial"/>
              </w:rPr>
              <w:t>III</w:t>
            </w:r>
          </w:p>
        </w:tc>
        <w:tc>
          <w:tcPr>
            <w:tcW w:w="356" w:type="pct"/>
          </w:tcPr>
          <w:p w14:paraId="6C6AAD76" w14:textId="77777777" w:rsidR="00400F67" w:rsidRPr="00F204C3" w:rsidRDefault="00400F67" w:rsidP="00F204C3">
            <w:pPr>
              <w:spacing w:line="480" w:lineRule="auto"/>
              <w:jc w:val="both"/>
              <w:rPr>
                <w:rFonts w:ascii="Arial" w:hAnsi="Arial" w:cs="Arial"/>
              </w:rPr>
            </w:pPr>
            <w:r w:rsidRPr="00F204C3">
              <w:rPr>
                <w:rFonts w:ascii="Arial" w:hAnsi="Arial" w:cs="Arial"/>
              </w:rPr>
              <w:t>Male</w:t>
            </w:r>
          </w:p>
        </w:tc>
        <w:tc>
          <w:tcPr>
            <w:tcW w:w="153" w:type="pct"/>
          </w:tcPr>
          <w:p w14:paraId="538D6CCB"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73939B5C"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25.33±0.56</w:t>
            </w:r>
          </w:p>
        </w:tc>
        <w:tc>
          <w:tcPr>
            <w:tcW w:w="474" w:type="pct"/>
          </w:tcPr>
          <w:p w14:paraId="00BBFCAE" w14:textId="77777777" w:rsidR="00400F67" w:rsidRPr="00F204C3" w:rsidRDefault="00400F67" w:rsidP="00F204C3">
            <w:pPr>
              <w:spacing w:line="480" w:lineRule="auto"/>
              <w:jc w:val="both"/>
              <w:rPr>
                <w:rFonts w:ascii="Arial" w:hAnsi="Arial" w:cs="Arial"/>
              </w:rPr>
            </w:pPr>
            <w:r w:rsidRPr="00F204C3">
              <w:rPr>
                <w:rFonts w:ascii="Arial" w:hAnsi="Arial" w:cs="Arial"/>
              </w:rPr>
              <w:t>14.50±0.53</w:t>
            </w:r>
          </w:p>
        </w:tc>
        <w:tc>
          <w:tcPr>
            <w:tcW w:w="474" w:type="pct"/>
          </w:tcPr>
          <w:p w14:paraId="46D9542F" w14:textId="77777777" w:rsidR="00400F67" w:rsidRPr="00F204C3" w:rsidRDefault="00400F67" w:rsidP="00F204C3">
            <w:pPr>
              <w:spacing w:line="480" w:lineRule="auto"/>
              <w:jc w:val="both"/>
              <w:rPr>
                <w:rFonts w:ascii="Arial" w:hAnsi="Arial" w:cs="Arial"/>
              </w:rPr>
            </w:pPr>
            <w:r w:rsidRPr="00F204C3">
              <w:rPr>
                <w:rFonts w:ascii="Arial" w:hAnsi="Arial" w:cs="Arial"/>
              </w:rPr>
              <w:t>58.33±2.17</w:t>
            </w:r>
          </w:p>
        </w:tc>
        <w:tc>
          <w:tcPr>
            <w:tcW w:w="436" w:type="pct"/>
          </w:tcPr>
          <w:p w14:paraId="1A7F7907" w14:textId="77777777" w:rsidR="00400F67" w:rsidRPr="00F204C3" w:rsidRDefault="00400F67" w:rsidP="00F204C3">
            <w:pPr>
              <w:spacing w:line="480" w:lineRule="auto"/>
              <w:jc w:val="both"/>
              <w:rPr>
                <w:rFonts w:ascii="Arial" w:hAnsi="Arial" w:cs="Arial"/>
              </w:rPr>
            </w:pPr>
            <w:r w:rsidRPr="00F204C3">
              <w:rPr>
                <w:rFonts w:ascii="Arial" w:hAnsi="Arial" w:cs="Arial"/>
              </w:rPr>
              <w:t>7.52±0.49</w:t>
            </w:r>
          </w:p>
        </w:tc>
        <w:tc>
          <w:tcPr>
            <w:tcW w:w="459" w:type="pct"/>
          </w:tcPr>
          <w:p w14:paraId="2752BA57" w14:textId="77777777" w:rsidR="00400F67" w:rsidRPr="00F204C3" w:rsidRDefault="00400F67" w:rsidP="00F204C3">
            <w:pPr>
              <w:spacing w:line="480" w:lineRule="auto"/>
              <w:jc w:val="both"/>
              <w:rPr>
                <w:rFonts w:ascii="Arial" w:hAnsi="Arial" w:cs="Arial"/>
              </w:rPr>
            </w:pPr>
            <w:r w:rsidRPr="00F204C3">
              <w:rPr>
                <w:rFonts w:ascii="Arial" w:hAnsi="Arial" w:cs="Arial"/>
              </w:rPr>
              <w:t>3.20±0.14</w:t>
            </w:r>
          </w:p>
        </w:tc>
        <w:tc>
          <w:tcPr>
            <w:tcW w:w="701" w:type="pct"/>
          </w:tcPr>
          <w:p w14:paraId="2BC3694F" w14:textId="77777777" w:rsidR="00400F67" w:rsidRPr="00F204C3" w:rsidRDefault="00400F67" w:rsidP="00F204C3">
            <w:pPr>
              <w:spacing w:line="480" w:lineRule="auto"/>
              <w:jc w:val="both"/>
              <w:rPr>
                <w:rFonts w:ascii="Arial" w:hAnsi="Arial" w:cs="Arial"/>
              </w:rPr>
            </w:pPr>
            <w:r w:rsidRPr="00F204C3">
              <w:rPr>
                <w:rFonts w:ascii="Arial" w:hAnsi="Arial" w:cs="Arial"/>
              </w:rPr>
              <w:t>0.56±0.05</w:t>
            </w:r>
          </w:p>
        </w:tc>
        <w:tc>
          <w:tcPr>
            <w:tcW w:w="488" w:type="pct"/>
          </w:tcPr>
          <w:p w14:paraId="02ABBD0A"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0.04±0.00</w:t>
            </w:r>
          </w:p>
        </w:tc>
        <w:tc>
          <w:tcPr>
            <w:tcW w:w="488" w:type="pct"/>
          </w:tcPr>
          <w:p w14:paraId="117FEB19"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1.95±0.13</w:t>
            </w:r>
          </w:p>
        </w:tc>
      </w:tr>
      <w:tr w:rsidR="00400F67" w:rsidRPr="00F204C3" w14:paraId="75812AB7" w14:textId="77777777" w:rsidTr="00DA13FA">
        <w:tc>
          <w:tcPr>
            <w:tcW w:w="360" w:type="pct"/>
          </w:tcPr>
          <w:p w14:paraId="649FDBFE" w14:textId="77777777" w:rsidR="00400F67" w:rsidRPr="00F204C3" w:rsidRDefault="00400F67" w:rsidP="00F204C3">
            <w:pPr>
              <w:spacing w:line="480" w:lineRule="auto"/>
              <w:jc w:val="both"/>
              <w:rPr>
                <w:rFonts w:ascii="Arial" w:hAnsi="Arial" w:cs="Arial"/>
              </w:rPr>
            </w:pPr>
          </w:p>
        </w:tc>
        <w:tc>
          <w:tcPr>
            <w:tcW w:w="356" w:type="pct"/>
          </w:tcPr>
          <w:p w14:paraId="63C788FF" w14:textId="77777777" w:rsidR="00400F67" w:rsidRPr="00F204C3" w:rsidRDefault="00400F67" w:rsidP="00F204C3">
            <w:pPr>
              <w:spacing w:line="480" w:lineRule="auto"/>
              <w:jc w:val="both"/>
              <w:rPr>
                <w:rFonts w:ascii="Arial" w:hAnsi="Arial" w:cs="Arial"/>
              </w:rPr>
            </w:pPr>
            <w:r w:rsidRPr="00F204C3">
              <w:rPr>
                <w:rFonts w:ascii="Arial" w:hAnsi="Arial" w:cs="Arial"/>
              </w:rPr>
              <w:t>Female</w:t>
            </w:r>
          </w:p>
        </w:tc>
        <w:tc>
          <w:tcPr>
            <w:tcW w:w="153" w:type="pct"/>
          </w:tcPr>
          <w:p w14:paraId="78DF83C9"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31CFBE77"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24.50±0.76376</w:t>
            </w:r>
          </w:p>
        </w:tc>
        <w:tc>
          <w:tcPr>
            <w:tcW w:w="474" w:type="pct"/>
          </w:tcPr>
          <w:p w14:paraId="09CAAC3B" w14:textId="77777777" w:rsidR="00400F67" w:rsidRPr="00F204C3" w:rsidRDefault="00400F67" w:rsidP="00F204C3">
            <w:pPr>
              <w:spacing w:line="480" w:lineRule="auto"/>
              <w:jc w:val="both"/>
              <w:rPr>
                <w:rFonts w:ascii="Arial" w:hAnsi="Arial" w:cs="Arial"/>
              </w:rPr>
            </w:pPr>
            <w:r w:rsidRPr="00F204C3">
              <w:rPr>
                <w:rFonts w:ascii="Arial" w:hAnsi="Arial" w:cs="Arial"/>
              </w:rPr>
              <w:t>14.00±0.36</w:t>
            </w:r>
          </w:p>
        </w:tc>
        <w:tc>
          <w:tcPr>
            <w:tcW w:w="474" w:type="pct"/>
          </w:tcPr>
          <w:p w14:paraId="3F3E1479" w14:textId="77777777" w:rsidR="00400F67" w:rsidRPr="00F204C3" w:rsidRDefault="00400F67" w:rsidP="00F204C3">
            <w:pPr>
              <w:spacing w:line="480" w:lineRule="auto"/>
              <w:jc w:val="both"/>
              <w:rPr>
                <w:rFonts w:ascii="Arial" w:hAnsi="Arial" w:cs="Arial"/>
              </w:rPr>
            </w:pPr>
            <w:r w:rsidRPr="00F204C3">
              <w:rPr>
                <w:rFonts w:ascii="Arial" w:hAnsi="Arial" w:cs="Arial"/>
              </w:rPr>
              <w:t>54.83±1.85</w:t>
            </w:r>
          </w:p>
        </w:tc>
        <w:tc>
          <w:tcPr>
            <w:tcW w:w="436" w:type="pct"/>
          </w:tcPr>
          <w:p w14:paraId="4BA432E8" w14:textId="77777777" w:rsidR="00400F67" w:rsidRPr="00F204C3" w:rsidRDefault="00400F67" w:rsidP="00F204C3">
            <w:pPr>
              <w:spacing w:line="480" w:lineRule="auto"/>
              <w:jc w:val="both"/>
              <w:rPr>
                <w:rFonts w:ascii="Arial" w:hAnsi="Arial" w:cs="Arial"/>
              </w:rPr>
            </w:pPr>
            <w:r w:rsidRPr="00F204C3">
              <w:rPr>
                <w:rFonts w:ascii="Arial" w:hAnsi="Arial" w:cs="Arial"/>
              </w:rPr>
              <w:t>6.68±0.42</w:t>
            </w:r>
          </w:p>
        </w:tc>
        <w:tc>
          <w:tcPr>
            <w:tcW w:w="459" w:type="pct"/>
          </w:tcPr>
          <w:p w14:paraId="7541DD06" w14:textId="77777777" w:rsidR="00400F67" w:rsidRPr="00F204C3" w:rsidRDefault="00400F67" w:rsidP="00F204C3">
            <w:pPr>
              <w:spacing w:line="480" w:lineRule="auto"/>
              <w:jc w:val="both"/>
              <w:rPr>
                <w:rFonts w:ascii="Arial" w:hAnsi="Arial" w:cs="Arial"/>
              </w:rPr>
            </w:pPr>
            <w:r w:rsidRPr="00F204C3">
              <w:rPr>
                <w:rFonts w:ascii="Arial" w:hAnsi="Arial" w:cs="Arial"/>
              </w:rPr>
              <w:t>2.95±0.09</w:t>
            </w:r>
          </w:p>
        </w:tc>
        <w:tc>
          <w:tcPr>
            <w:tcW w:w="701" w:type="pct"/>
          </w:tcPr>
          <w:p w14:paraId="7AC91AD9" w14:textId="77777777" w:rsidR="00400F67" w:rsidRPr="00F204C3" w:rsidRDefault="00400F67" w:rsidP="00F204C3">
            <w:pPr>
              <w:spacing w:line="480" w:lineRule="auto"/>
              <w:jc w:val="both"/>
              <w:rPr>
                <w:rFonts w:ascii="Arial" w:hAnsi="Arial" w:cs="Arial"/>
              </w:rPr>
            </w:pPr>
            <w:r w:rsidRPr="00F204C3">
              <w:rPr>
                <w:rFonts w:ascii="Arial" w:hAnsi="Arial" w:cs="Arial"/>
              </w:rPr>
              <w:t>0.62±0.10</w:t>
            </w:r>
          </w:p>
        </w:tc>
        <w:tc>
          <w:tcPr>
            <w:tcW w:w="488" w:type="pct"/>
          </w:tcPr>
          <w:p w14:paraId="1017F7C9"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0.05±0.01</w:t>
            </w:r>
          </w:p>
        </w:tc>
        <w:tc>
          <w:tcPr>
            <w:tcW w:w="488" w:type="pct"/>
          </w:tcPr>
          <w:p w14:paraId="0289A4BA"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1.88±0.07</w:t>
            </w:r>
          </w:p>
        </w:tc>
      </w:tr>
      <w:tr w:rsidR="00400F67" w:rsidRPr="00F204C3" w14:paraId="65D8095E" w14:textId="77777777" w:rsidTr="00DA13FA">
        <w:tc>
          <w:tcPr>
            <w:tcW w:w="360" w:type="pct"/>
          </w:tcPr>
          <w:p w14:paraId="7750A2B2" w14:textId="77777777" w:rsidR="00400F67" w:rsidRPr="00F204C3" w:rsidRDefault="00400F67" w:rsidP="00F204C3">
            <w:pPr>
              <w:spacing w:line="480" w:lineRule="auto"/>
              <w:jc w:val="both"/>
              <w:rPr>
                <w:rFonts w:ascii="Arial" w:hAnsi="Arial" w:cs="Arial"/>
              </w:rPr>
            </w:pPr>
            <w:r w:rsidRPr="00F204C3">
              <w:rPr>
                <w:rFonts w:ascii="Arial" w:hAnsi="Arial" w:cs="Arial"/>
              </w:rPr>
              <w:t>IV</w:t>
            </w:r>
          </w:p>
        </w:tc>
        <w:tc>
          <w:tcPr>
            <w:tcW w:w="356" w:type="pct"/>
          </w:tcPr>
          <w:p w14:paraId="6B7E6CF0" w14:textId="77777777" w:rsidR="00400F67" w:rsidRPr="00F204C3" w:rsidRDefault="00400F67" w:rsidP="00F204C3">
            <w:pPr>
              <w:spacing w:line="480" w:lineRule="auto"/>
              <w:jc w:val="both"/>
              <w:rPr>
                <w:rFonts w:ascii="Arial" w:hAnsi="Arial" w:cs="Arial"/>
              </w:rPr>
            </w:pPr>
            <w:r w:rsidRPr="00F204C3">
              <w:rPr>
                <w:rFonts w:ascii="Arial" w:hAnsi="Arial" w:cs="Arial"/>
              </w:rPr>
              <w:t>Male</w:t>
            </w:r>
          </w:p>
        </w:tc>
        <w:tc>
          <w:tcPr>
            <w:tcW w:w="153" w:type="pct"/>
          </w:tcPr>
          <w:p w14:paraId="6C263124"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103818F5"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24.00±0.58</w:t>
            </w:r>
          </w:p>
        </w:tc>
        <w:tc>
          <w:tcPr>
            <w:tcW w:w="474" w:type="pct"/>
          </w:tcPr>
          <w:p w14:paraId="5322319D" w14:textId="77777777" w:rsidR="00400F67" w:rsidRPr="00F204C3" w:rsidRDefault="00400F67" w:rsidP="00F204C3">
            <w:pPr>
              <w:spacing w:line="480" w:lineRule="auto"/>
              <w:jc w:val="both"/>
              <w:rPr>
                <w:rFonts w:ascii="Arial" w:hAnsi="Arial" w:cs="Arial"/>
              </w:rPr>
            </w:pPr>
            <w:r w:rsidRPr="00F204C3">
              <w:rPr>
                <w:rFonts w:ascii="Arial" w:hAnsi="Arial" w:cs="Arial"/>
              </w:rPr>
              <w:t>14.17±0.42</w:t>
            </w:r>
          </w:p>
        </w:tc>
        <w:tc>
          <w:tcPr>
            <w:tcW w:w="474" w:type="pct"/>
          </w:tcPr>
          <w:p w14:paraId="61D6403B" w14:textId="77777777" w:rsidR="00400F67" w:rsidRPr="00F204C3" w:rsidRDefault="00400F67" w:rsidP="00F204C3">
            <w:pPr>
              <w:spacing w:line="480" w:lineRule="auto"/>
              <w:jc w:val="both"/>
              <w:rPr>
                <w:rFonts w:ascii="Arial" w:hAnsi="Arial" w:cs="Arial"/>
              </w:rPr>
            </w:pPr>
            <w:r w:rsidRPr="00F204C3">
              <w:rPr>
                <w:rFonts w:ascii="Arial" w:hAnsi="Arial" w:cs="Arial"/>
              </w:rPr>
              <w:t>54.33±2.33</w:t>
            </w:r>
          </w:p>
        </w:tc>
        <w:tc>
          <w:tcPr>
            <w:tcW w:w="436" w:type="pct"/>
          </w:tcPr>
          <w:p w14:paraId="736AFC5C" w14:textId="77777777" w:rsidR="00400F67" w:rsidRPr="00F204C3" w:rsidRDefault="00400F67" w:rsidP="00F204C3">
            <w:pPr>
              <w:spacing w:line="480" w:lineRule="auto"/>
              <w:jc w:val="both"/>
              <w:rPr>
                <w:rFonts w:ascii="Arial" w:hAnsi="Arial" w:cs="Arial"/>
              </w:rPr>
            </w:pPr>
            <w:r w:rsidRPr="00F204C3">
              <w:rPr>
                <w:rFonts w:ascii="Arial" w:hAnsi="Arial" w:cs="Arial"/>
              </w:rPr>
              <w:t>6.92±0.14</w:t>
            </w:r>
          </w:p>
        </w:tc>
        <w:tc>
          <w:tcPr>
            <w:tcW w:w="459" w:type="pct"/>
          </w:tcPr>
          <w:p w14:paraId="6A6048F6" w14:textId="77777777" w:rsidR="00400F67" w:rsidRPr="00F204C3" w:rsidRDefault="00400F67" w:rsidP="00F204C3">
            <w:pPr>
              <w:spacing w:line="480" w:lineRule="auto"/>
              <w:jc w:val="both"/>
              <w:rPr>
                <w:rFonts w:ascii="Arial" w:hAnsi="Arial" w:cs="Arial"/>
              </w:rPr>
            </w:pPr>
            <w:r w:rsidRPr="00F204C3">
              <w:rPr>
                <w:rFonts w:ascii="Arial" w:hAnsi="Arial" w:cs="Arial"/>
              </w:rPr>
              <w:t>2.93±0.04</w:t>
            </w:r>
          </w:p>
        </w:tc>
        <w:tc>
          <w:tcPr>
            <w:tcW w:w="701" w:type="pct"/>
          </w:tcPr>
          <w:p w14:paraId="0ADBE2CE" w14:textId="77777777" w:rsidR="00400F67" w:rsidRPr="00F204C3" w:rsidRDefault="00400F67" w:rsidP="00F204C3">
            <w:pPr>
              <w:spacing w:line="480" w:lineRule="auto"/>
              <w:jc w:val="both"/>
              <w:rPr>
                <w:rFonts w:ascii="Arial" w:hAnsi="Arial" w:cs="Arial"/>
              </w:rPr>
            </w:pPr>
            <w:r w:rsidRPr="00F204C3">
              <w:rPr>
                <w:rFonts w:ascii="Arial" w:hAnsi="Arial" w:cs="Arial"/>
              </w:rPr>
              <w:t>0.51±0.07</w:t>
            </w:r>
          </w:p>
        </w:tc>
        <w:tc>
          <w:tcPr>
            <w:tcW w:w="488" w:type="pct"/>
          </w:tcPr>
          <w:p w14:paraId="3098BFB8"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0.05±0.00</w:t>
            </w:r>
          </w:p>
        </w:tc>
        <w:tc>
          <w:tcPr>
            <w:tcW w:w="488" w:type="pct"/>
          </w:tcPr>
          <w:p w14:paraId="6EFFC93D"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2.00±0.08</w:t>
            </w:r>
          </w:p>
        </w:tc>
      </w:tr>
      <w:tr w:rsidR="00400F67" w:rsidRPr="00F204C3" w14:paraId="57930B89" w14:textId="77777777" w:rsidTr="00DA13FA">
        <w:tc>
          <w:tcPr>
            <w:tcW w:w="360" w:type="pct"/>
          </w:tcPr>
          <w:p w14:paraId="2BEC3DAE" w14:textId="77777777" w:rsidR="00400F67" w:rsidRPr="00F204C3" w:rsidRDefault="00400F67" w:rsidP="00F204C3">
            <w:pPr>
              <w:spacing w:line="480" w:lineRule="auto"/>
              <w:jc w:val="both"/>
              <w:rPr>
                <w:rFonts w:ascii="Arial" w:hAnsi="Arial" w:cs="Arial"/>
              </w:rPr>
            </w:pPr>
          </w:p>
        </w:tc>
        <w:tc>
          <w:tcPr>
            <w:tcW w:w="356" w:type="pct"/>
          </w:tcPr>
          <w:p w14:paraId="21071095" w14:textId="77777777" w:rsidR="00400F67" w:rsidRPr="00F204C3" w:rsidRDefault="00400F67" w:rsidP="00F204C3">
            <w:pPr>
              <w:spacing w:line="480" w:lineRule="auto"/>
              <w:jc w:val="both"/>
              <w:rPr>
                <w:rFonts w:ascii="Arial" w:hAnsi="Arial" w:cs="Arial"/>
              </w:rPr>
            </w:pPr>
            <w:r w:rsidRPr="00F204C3">
              <w:rPr>
                <w:rFonts w:ascii="Arial" w:hAnsi="Arial" w:cs="Arial"/>
              </w:rPr>
              <w:t>Female</w:t>
            </w:r>
          </w:p>
        </w:tc>
        <w:tc>
          <w:tcPr>
            <w:tcW w:w="153" w:type="pct"/>
          </w:tcPr>
          <w:p w14:paraId="2713EBD6"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424B4410" w14:textId="77777777" w:rsidR="00400F67" w:rsidRPr="00F204C3" w:rsidRDefault="00400F67" w:rsidP="00F204C3">
            <w:pPr>
              <w:spacing w:line="480" w:lineRule="auto"/>
              <w:jc w:val="both"/>
              <w:rPr>
                <w:rFonts w:ascii="Arial" w:hAnsi="Arial" w:cs="Arial"/>
              </w:rPr>
            </w:pPr>
            <w:r w:rsidRPr="00F204C3">
              <w:rPr>
                <w:rFonts w:ascii="Arial" w:hAnsi="Arial" w:cs="Arial"/>
              </w:rPr>
              <w:t>24.50±0.67</w:t>
            </w:r>
          </w:p>
        </w:tc>
        <w:tc>
          <w:tcPr>
            <w:tcW w:w="474" w:type="pct"/>
          </w:tcPr>
          <w:p w14:paraId="5C7EF30D" w14:textId="77777777" w:rsidR="00400F67" w:rsidRPr="00F204C3" w:rsidRDefault="00400F67" w:rsidP="00F204C3">
            <w:pPr>
              <w:spacing w:line="480" w:lineRule="auto"/>
              <w:jc w:val="both"/>
              <w:rPr>
                <w:rFonts w:ascii="Arial" w:hAnsi="Arial" w:cs="Arial"/>
              </w:rPr>
            </w:pPr>
            <w:r w:rsidRPr="00F204C3">
              <w:rPr>
                <w:rFonts w:ascii="Arial" w:hAnsi="Arial" w:cs="Arial"/>
              </w:rPr>
              <w:t>13.83±0.60</w:t>
            </w:r>
          </w:p>
        </w:tc>
        <w:tc>
          <w:tcPr>
            <w:tcW w:w="474" w:type="pct"/>
          </w:tcPr>
          <w:p w14:paraId="0D3F2061" w14:textId="77777777" w:rsidR="00400F67" w:rsidRPr="00F204C3" w:rsidRDefault="00400F67" w:rsidP="00F204C3">
            <w:pPr>
              <w:spacing w:line="480" w:lineRule="auto"/>
              <w:jc w:val="both"/>
              <w:rPr>
                <w:rFonts w:ascii="Arial" w:hAnsi="Arial" w:cs="Arial"/>
              </w:rPr>
            </w:pPr>
            <w:r w:rsidRPr="00F204C3">
              <w:rPr>
                <w:rFonts w:ascii="Arial" w:hAnsi="Arial" w:cs="Arial"/>
              </w:rPr>
              <w:t>54.67±2.03</w:t>
            </w:r>
          </w:p>
        </w:tc>
        <w:tc>
          <w:tcPr>
            <w:tcW w:w="436" w:type="pct"/>
          </w:tcPr>
          <w:p w14:paraId="49C9D6DF" w14:textId="77777777" w:rsidR="00400F67" w:rsidRPr="00F204C3" w:rsidRDefault="00400F67" w:rsidP="00F204C3">
            <w:pPr>
              <w:spacing w:line="480" w:lineRule="auto"/>
              <w:jc w:val="both"/>
              <w:rPr>
                <w:rFonts w:ascii="Arial" w:hAnsi="Arial" w:cs="Arial"/>
              </w:rPr>
            </w:pPr>
            <w:r w:rsidRPr="00F204C3">
              <w:rPr>
                <w:rFonts w:ascii="Arial" w:hAnsi="Arial" w:cs="Arial"/>
              </w:rPr>
              <w:t>7.20±0.19</w:t>
            </w:r>
          </w:p>
        </w:tc>
        <w:tc>
          <w:tcPr>
            <w:tcW w:w="459" w:type="pct"/>
          </w:tcPr>
          <w:p w14:paraId="5F44F43D" w14:textId="77777777" w:rsidR="00400F67" w:rsidRPr="00F204C3" w:rsidRDefault="00400F67" w:rsidP="00F204C3">
            <w:pPr>
              <w:spacing w:line="480" w:lineRule="auto"/>
              <w:jc w:val="both"/>
              <w:rPr>
                <w:rFonts w:ascii="Arial" w:hAnsi="Arial" w:cs="Arial"/>
              </w:rPr>
            </w:pPr>
            <w:r w:rsidRPr="00F204C3">
              <w:rPr>
                <w:rFonts w:ascii="Arial" w:hAnsi="Arial" w:cs="Arial"/>
              </w:rPr>
              <w:t>3.13±0.07</w:t>
            </w:r>
          </w:p>
        </w:tc>
        <w:tc>
          <w:tcPr>
            <w:tcW w:w="701" w:type="pct"/>
          </w:tcPr>
          <w:p w14:paraId="735AB015" w14:textId="77777777" w:rsidR="00400F67" w:rsidRPr="00F204C3" w:rsidRDefault="00400F67" w:rsidP="00F204C3">
            <w:pPr>
              <w:spacing w:line="480" w:lineRule="auto"/>
              <w:jc w:val="both"/>
              <w:rPr>
                <w:rFonts w:ascii="Arial" w:hAnsi="Arial" w:cs="Arial"/>
                <w:b/>
              </w:rPr>
            </w:pPr>
            <w:r w:rsidRPr="00F204C3">
              <w:rPr>
                <w:rFonts w:ascii="Arial" w:hAnsi="Arial" w:cs="Arial"/>
              </w:rPr>
              <w:t>0.5817±0.09</w:t>
            </w:r>
          </w:p>
        </w:tc>
        <w:tc>
          <w:tcPr>
            <w:tcW w:w="488" w:type="pct"/>
          </w:tcPr>
          <w:p w14:paraId="7922135B"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0.05±0.01</w:t>
            </w:r>
          </w:p>
        </w:tc>
        <w:tc>
          <w:tcPr>
            <w:tcW w:w="488" w:type="pct"/>
          </w:tcPr>
          <w:p w14:paraId="2B4D8278"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1.97±0.06</w:t>
            </w:r>
          </w:p>
        </w:tc>
      </w:tr>
      <w:tr w:rsidR="00400F67" w:rsidRPr="00F204C3" w14:paraId="726B54AC" w14:textId="77777777" w:rsidTr="00DA13FA">
        <w:trPr>
          <w:trHeight w:val="70"/>
        </w:trPr>
        <w:tc>
          <w:tcPr>
            <w:tcW w:w="360" w:type="pct"/>
          </w:tcPr>
          <w:p w14:paraId="3F2E6DB9" w14:textId="77777777" w:rsidR="00400F67" w:rsidRPr="00F204C3" w:rsidRDefault="00400F67" w:rsidP="00F204C3">
            <w:pPr>
              <w:spacing w:line="480" w:lineRule="auto"/>
              <w:jc w:val="both"/>
              <w:rPr>
                <w:rFonts w:ascii="Arial" w:hAnsi="Arial" w:cs="Arial"/>
              </w:rPr>
            </w:pPr>
            <w:r w:rsidRPr="00F204C3">
              <w:rPr>
                <w:rFonts w:ascii="Arial" w:hAnsi="Arial" w:cs="Arial"/>
              </w:rPr>
              <w:t>F Value</w:t>
            </w:r>
          </w:p>
        </w:tc>
        <w:tc>
          <w:tcPr>
            <w:tcW w:w="356" w:type="pct"/>
          </w:tcPr>
          <w:p w14:paraId="73341BB5" w14:textId="77777777" w:rsidR="00400F67" w:rsidRPr="00F204C3" w:rsidRDefault="00400F67" w:rsidP="00F204C3">
            <w:pPr>
              <w:spacing w:line="480" w:lineRule="auto"/>
              <w:jc w:val="both"/>
              <w:rPr>
                <w:rFonts w:ascii="Arial" w:hAnsi="Arial" w:cs="Arial"/>
              </w:rPr>
            </w:pPr>
          </w:p>
        </w:tc>
        <w:tc>
          <w:tcPr>
            <w:tcW w:w="153" w:type="pct"/>
          </w:tcPr>
          <w:p w14:paraId="3117F63A" w14:textId="77777777" w:rsidR="00400F67" w:rsidRPr="00F204C3" w:rsidRDefault="00400F67" w:rsidP="00F204C3">
            <w:pPr>
              <w:spacing w:line="480" w:lineRule="auto"/>
              <w:jc w:val="both"/>
              <w:rPr>
                <w:rFonts w:ascii="Arial" w:hAnsi="Arial" w:cs="Arial"/>
              </w:rPr>
            </w:pPr>
          </w:p>
        </w:tc>
        <w:tc>
          <w:tcPr>
            <w:tcW w:w="612" w:type="pct"/>
          </w:tcPr>
          <w:p w14:paraId="7F4DD221" w14:textId="77777777" w:rsidR="00400F67" w:rsidRPr="00F204C3" w:rsidRDefault="00400F67" w:rsidP="00F204C3">
            <w:pPr>
              <w:spacing w:line="480" w:lineRule="auto"/>
              <w:jc w:val="both"/>
              <w:rPr>
                <w:rFonts w:ascii="Arial" w:hAnsi="Arial" w:cs="Arial"/>
              </w:rPr>
            </w:pPr>
            <w:r w:rsidRPr="00F204C3">
              <w:rPr>
                <w:rFonts w:ascii="Arial" w:hAnsi="Arial" w:cs="Arial"/>
              </w:rPr>
              <w:t>0.465</w:t>
            </w:r>
          </w:p>
        </w:tc>
        <w:tc>
          <w:tcPr>
            <w:tcW w:w="474" w:type="pct"/>
          </w:tcPr>
          <w:p w14:paraId="67832BA1" w14:textId="77777777" w:rsidR="00400F67" w:rsidRPr="00F204C3" w:rsidRDefault="00400F67" w:rsidP="00F204C3">
            <w:pPr>
              <w:spacing w:line="480" w:lineRule="auto"/>
              <w:jc w:val="both"/>
              <w:rPr>
                <w:rFonts w:ascii="Arial" w:hAnsi="Arial" w:cs="Arial"/>
              </w:rPr>
            </w:pPr>
            <w:r w:rsidRPr="00F204C3">
              <w:rPr>
                <w:rFonts w:ascii="Arial" w:hAnsi="Arial" w:cs="Arial"/>
              </w:rPr>
              <w:t>0.221</w:t>
            </w:r>
          </w:p>
        </w:tc>
        <w:tc>
          <w:tcPr>
            <w:tcW w:w="474" w:type="pct"/>
          </w:tcPr>
          <w:p w14:paraId="2E2DB234" w14:textId="77777777" w:rsidR="00400F67" w:rsidRPr="00F204C3" w:rsidRDefault="00400F67" w:rsidP="00F204C3">
            <w:pPr>
              <w:spacing w:line="480" w:lineRule="auto"/>
              <w:jc w:val="both"/>
              <w:rPr>
                <w:rFonts w:ascii="Arial" w:hAnsi="Arial" w:cs="Arial"/>
              </w:rPr>
            </w:pPr>
            <w:r w:rsidRPr="00F204C3">
              <w:rPr>
                <w:rFonts w:ascii="Arial" w:hAnsi="Arial" w:cs="Arial"/>
              </w:rPr>
              <w:t>0.244</w:t>
            </w:r>
          </w:p>
        </w:tc>
        <w:tc>
          <w:tcPr>
            <w:tcW w:w="436" w:type="pct"/>
          </w:tcPr>
          <w:p w14:paraId="2A1A5241" w14:textId="77777777" w:rsidR="00400F67" w:rsidRPr="00F204C3" w:rsidRDefault="00400F67" w:rsidP="00F204C3">
            <w:pPr>
              <w:spacing w:line="480" w:lineRule="auto"/>
              <w:jc w:val="both"/>
              <w:rPr>
                <w:rFonts w:ascii="Arial" w:hAnsi="Arial" w:cs="Arial"/>
              </w:rPr>
            </w:pPr>
            <w:r w:rsidRPr="00F204C3">
              <w:rPr>
                <w:rFonts w:ascii="Arial" w:hAnsi="Arial" w:cs="Arial"/>
              </w:rPr>
              <w:t>1.874</w:t>
            </w:r>
          </w:p>
        </w:tc>
        <w:tc>
          <w:tcPr>
            <w:tcW w:w="459" w:type="pct"/>
          </w:tcPr>
          <w:p w14:paraId="4ED24787" w14:textId="77777777" w:rsidR="00400F67" w:rsidRPr="00F204C3" w:rsidRDefault="00400F67" w:rsidP="00F204C3">
            <w:pPr>
              <w:spacing w:line="480" w:lineRule="auto"/>
              <w:jc w:val="both"/>
              <w:rPr>
                <w:rFonts w:ascii="Arial" w:hAnsi="Arial" w:cs="Arial"/>
              </w:rPr>
            </w:pPr>
            <w:r w:rsidRPr="00F204C3">
              <w:rPr>
                <w:rFonts w:ascii="Arial" w:hAnsi="Arial" w:cs="Arial"/>
              </w:rPr>
              <w:t>1.782</w:t>
            </w:r>
          </w:p>
        </w:tc>
        <w:tc>
          <w:tcPr>
            <w:tcW w:w="701" w:type="pct"/>
          </w:tcPr>
          <w:p w14:paraId="740EDD8E" w14:textId="77777777" w:rsidR="00400F67" w:rsidRPr="00F204C3" w:rsidRDefault="00400F67" w:rsidP="00F204C3">
            <w:pPr>
              <w:spacing w:line="480" w:lineRule="auto"/>
              <w:jc w:val="both"/>
              <w:rPr>
                <w:rFonts w:ascii="Arial" w:hAnsi="Arial" w:cs="Arial"/>
              </w:rPr>
            </w:pPr>
            <w:r w:rsidRPr="00F204C3">
              <w:rPr>
                <w:rFonts w:ascii="Arial" w:hAnsi="Arial" w:cs="Arial"/>
              </w:rPr>
              <w:t>0.504</w:t>
            </w:r>
          </w:p>
        </w:tc>
        <w:tc>
          <w:tcPr>
            <w:tcW w:w="488" w:type="pct"/>
          </w:tcPr>
          <w:p w14:paraId="795696C8"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1.152</w:t>
            </w:r>
          </w:p>
        </w:tc>
        <w:tc>
          <w:tcPr>
            <w:tcW w:w="488" w:type="pct"/>
          </w:tcPr>
          <w:p w14:paraId="09E35CCA"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2.431</w:t>
            </w:r>
          </w:p>
        </w:tc>
      </w:tr>
      <w:tr w:rsidR="00400F67" w:rsidRPr="00F204C3" w14:paraId="1B217507" w14:textId="77777777" w:rsidTr="00DA13FA">
        <w:tc>
          <w:tcPr>
            <w:tcW w:w="360" w:type="pct"/>
          </w:tcPr>
          <w:p w14:paraId="1A9C3988" w14:textId="77777777" w:rsidR="00400F67" w:rsidRPr="00F204C3" w:rsidRDefault="00400F67" w:rsidP="00F204C3">
            <w:pPr>
              <w:spacing w:line="480" w:lineRule="auto"/>
              <w:jc w:val="both"/>
              <w:rPr>
                <w:rFonts w:ascii="Arial" w:hAnsi="Arial" w:cs="Arial"/>
              </w:rPr>
            </w:pPr>
            <w:r w:rsidRPr="00F204C3">
              <w:rPr>
                <w:rFonts w:ascii="Arial" w:hAnsi="Arial" w:cs="Arial"/>
                <w:i/>
              </w:rPr>
              <w:lastRenderedPageBreak/>
              <w:t xml:space="preserve">P </w:t>
            </w:r>
            <w:r w:rsidRPr="00F204C3">
              <w:rPr>
                <w:rFonts w:ascii="Arial" w:hAnsi="Arial" w:cs="Arial"/>
              </w:rPr>
              <w:t>value</w:t>
            </w:r>
          </w:p>
        </w:tc>
        <w:tc>
          <w:tcPr>
            <w:tcW w:w="356" w:type="pct"/>
          </w:tcPr>
          <w:p w14:paraId="7657D15F" w14:textId="77777777" w:rsidR="00400F67" w:rsidRPr="00F204C3" w:rsidRDefault="00400F67" w:rsidP="00F204C3">
            <w:pPr>
              <w:spacing w:line="480" w:lineRule="auto"/>
              <w:jc w:val="both"/>
              <w:rPr>
                <w:rFonts w:ascii="Arial" w:hAnsi="Arial" w:cs="Arial"/>
              </w:rPr>
            </w:pPr>
          </w:p>
        </w:tc>
        <w:tc>
          <w:tcPr>
            <w:tcW w:w="153" w:type="pct"/>
          </w:tcPr>
          <w:p w14:paraId="220827D8" w14:textId="77777777" w:rsidR="00400F67" w:rsidRPr="00F204C3" w:rsidRDefault="00400F67" w:rsidP="00F204C3">
            <w:pPr>
              <w:spacing w:line="480" w:lineRule="auto"/>
              <w:jc w:val="both"/>
              <w:rPr>
                <w:rFonts w:ascii="Arial" w:hAnsi="Arial" w:cs="Arial"/>
              </w:rPr>
            </w:pPr>
          </w:p>
        </w:tc>
        <w:tc>
          <w:tcPr>
            <w:tcW w:w="612" w:type="pct"/>
          </w:tcPr>
          <w:p w14:paraId="2DED4689" w14:textId="77777777" w:rsidR="00400F67" w:rsidRPr="00F204C3" w:rsidRDefault="00400F67" w:rsidP="00F204C3">
            <w:pPr>
              <w:spacing w:line="480" w:lineRule="auto"/>
              <w:jc w:val="both"/>
              <w:rPr>
                <w:rFonts w:ascii="Arial" w:hAnsi="Arial" w:cs="Arial"/>
              </w:rPr>
            </w:pPr>
            <w:r w:rsidRPr="00F204C3">
              <w:rPr>
                <w:rFonts w:ascii="Arial" w:hAnsi="Arial" w:cs="Arial"/>
              </w:rPr>
              <w:t>0.708</w:t>
            </w:r>
          </w:p>
        </w:tc>
        <w:tc>
          <w:tcPr>
            <w:tcW w:w="474" w:type="pct"/>
          </w:tcPr>
          <w:p w14:paraId="02B7D109" w14:textId="77777777" w:rsidR="00400F67" w:rsidRPr="00F204C3" w:rsidRDefault="00400F67" w:rsidP="00F204C3">
            <w:pPr>
              <w:spacing w:line="480" w:lineRule="auto"/>
              <w:jc w:val="both"/>
              <w:rPr>
                <w:rFonts w:ascii="Arial" w:hAnsi="Arial" w:cs="Arial"/>
              </w:rPr>
            </w:pPr>
            <w:r w:rsidRPr="00F204C3">
              <w:rPr>
                <w:rFonts w:ascii="Arial" w:hAnsi="Arial" w:cs="Arial"/>
              </w:rPr>
              <w:t>0.882</w:t>
            </w:r>
          </w:p>
        </w:tc>
        <w:tc>
          <w:tcPr>
            <w:tcW w:w="474" w:type="pct"/>
          </w:tcPr>
          <w:p w14:paraId="60DB02E3" w14:textId="77777777" w:rsidR="00400F67" w:rsidRPr="00F204C3" w:rsidRDefault="00400F67" w:rsidP="00F204C3">
            <w:pPr>
              <w:spacing w:line="480" w:lineRule="auto"/>
              <w:jc w:val="both"/>
              <w:rPr>
                <w:rFonts w:ascii="Arial" w:hAnsi="Arial" w:cs="Arial"/>
              </w:rPr>
            </w:pPr>
            <w:r w:rsidRPr="00F204C3">
              <w:rPr>
                <w:rFonts w:ascii="Arial" w:hAnsi="Arial" w:cs="Arial"/>
              </w:rPr>
              <w:t>0.865</w:t>
            </w:r>
          </w:p>
        </w:tc>
        <w:tc>
          <w:tcPr>
            <w:tcW w:w="436" w:type="pct"/>
          </w:tcPr>
          <w:p w14:paraId="4D0A9648" w14:textId="77777777" w:rsidR="00400F67" w:rsidRPr="00F204C3" w:rsidRDefault="00400F67" w:rsidP="00F204C3">
            <w:pPr>
              <w:spacing w:line="480" w:lineRule="auto"/>
              <w:jc w:val="both"/>
              <w:rPr>
                <w:rFonts w:ascii="Arial" w:hAnsi="Arial" w:cs="Arial"/>
              </w:rPr>
            </w:pPr>
            <w:r w:rsidRPr="00F204C3">
              <w:rPr>
                <w:rFonts w:ascii="Arial" w:hAnsi="Arial" w:cs="Arial"/>
              </w:rPr>
              <w:t>0.150</w:t>
            </w:r>
          </w:p>
        </w:tc>
        <w:tc>
          <w:tcPr>
            <w:tcW w:w="459" w:type="pct"/>
          </w:tcPr>
          <w:p w14:paraId="2A343481" w14:textId="77777777" w:rsidR="00400F67" w:rsidRPr="00F204C3" w:rsidRDefault="00400F67" w:rsidP="00F204C3">
            <w:pPr>
              <w:spacing w:line="480" w:lineRule="auto"/>
              <w:jc w:val="both"/>
              <w:rPr>
                <w:rFonts w:ascii="Arial" w:hAnsi="Arial" w:cs="Arial"/>
              </w:rPr>
            </w:pPr>
            <w:r w:rsidRPr="00F204C3">
              <w:rPr>
                <w:rFonts w:ascii="Arial" w:hAnsi="Arial" w:cs="Arial"/>
              </w:rPr>
              <w:t>0.166</w:t>
            </w:r>
          </w:p>
        </w:tc>
        <w:tc>
          <w:tcPr>
            <w:tcW w:w="701" w:type="pct"/>
          </w:tcPr>
          <w:p w14:paraId="2FCF055E" w14:textId="77777777" w:rsidR="00400F67" w:rsidRPr="00F204C3" w:rsidRDefault="00400F67" w:rsidP="00F204C3">
            <w:pPr>
              <w:spacing w:line="480" w:lineRule="auto"/>
              <w:jc w:val="both"/>
              <w:rPr>
                <w:rFonts w:ascii="Arial" w:hAnsi="Arial" w:cs="Arial"/>
              </w:rPr>
            </w:pPr>
            <w:r w:rsidRPr="00F204C3">
              <w:rPr>
                <w:rFonts w:ascii="Arial" w:hAnsi="Arial" w:cs="Arial"/>
              </w:rPr>
              <w:t>0.682</w:t>
            </w:r>
          </w:p>
        </w:tc>
        <w:tc>
          <w:tcPr>
            <w:tcW w:w="488" w:type="pct"/>
          </w:tcPr>
          <w:p w14:paraId="340DAC15"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0.340</w:t>
            </w:r>
          </w:p>
        </w:tc>
        <w:tc>
          <w:tcPr>
            <w:tcW w:w="488" w:type="pct"/>
          </w:tcPr>
          <w:p w14:paraId="0B8F7FAB"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0.079</w:t>
            </w:r>
          </w:p>
        </w:tc>
      </w:tr>
    </w:tbl>
    <w:p w14:paraId="6D933FF8" w14:textId="77777777" w:rsidR="00400F67" w:rsidRPr="00F204C3" w:rsidRDefault="00400F67" w:rsidP="00400F67">
      <w:pPr>
        <w:spacing w:line="240" w:lineRule="auto"/>
        <w:jc w:val="both"/>
        <w:rPr>
          <w:rFonts w:ascii="Arial" w:hAnsi="Arial" w:cs="Arial"/>
          <w:color w:val="000000"/>
          <w:sz w:val="20"/>
          <w:szCs w:val="20"/>
        </w:rPr>
      </w:pPr>
      <w:r w:rsidRPr="00F204C3">
        <w:rPr>
          <w:rFonts w:ascii="Arial" w:hAnsi="Arial" w:cs="Arial"/>
          <w:b/>
          <w:sz w:val="20"/>
          <w:szCs w:val="20"/>
        </w:rPr>
        <w:t xml:space="preserve">Key: </w:t>
      </w:r>
      <w:r w:rsidRPr="00F204C3">
        <w:rPr>
          <w:rFonts w:ascii="Arial" w:hAnsi="Arial" w:cs="Arial"/>
          <w:sz w:val="20"/>
          <w:szCs w:val="20"/>
        </w:rPr>
        <w:t>Value are expressed as mean ± SEM, n= number of Wistar rats per group, AST= aspartate amino transferases, ALT= alanine amino transferases, ALP= alkaline phosphatases, TP= total protein, TB= total bilirubin, CB= conjugated bilirubin, GGT= gamma glutamyl amino transferases, Group I= Control, Group II = 500 mg/kg, Group III = 1000 mg/kg, Group IV= 1500 mg/kg.</w:t>
      </w:r>
    </w:p>
    <w:p w14:paraId="4509F04C" w14:textId="77777777" w:rsidR="00400F67" w:rsidRPr="00F204C3" w:rsidRDefault="00400F67" w:rsidP="00400F67">
      <w:pPr>
        <w:spacing w:line="240" w:lineRule="auto"/>
        <w:jc w:val="both"/>
        <w:rPr>
          <w:rFonts w:ascii="Arial" w:hAnsi="Arial" w:cs="Arial"/>
          <w:sz w:val="24"/>
          <w:szCs w:val="24"/>
        </w:rPr>
      </w:pPr>
    </w:p>
    <w:p w14:paraId="29548055" w14:textId="77777777" w:rsidR="00400F67" w:rsidRPr="00F204C3" w:rsidRDefault="00400F67" w:rsidP="004C10AC">
      <w:pPr>
        <w:spacing w:line="480" w:lineRule="auto"/>
        <w:ind w:right="1170"/>
        <w:jc w:val="both"/>
        <w:rPr>
          <w:rFonts w:ascii="Arial" w:hAnsi="Arial" w:cs="Arial"/>
          <w:i/>
          <w:sz w:val="24"/>
          <w:szCs w:val="24"/>
        </w:rPr>
      </w:pPr>
    </w:p>
    <w:p w14:paraId="29CC05DC" w14:textId="77777777" w:rsidR="00A8003D" w:rsidRPr="00F204C3" w:rsidRDefault="00A8003D" w:rsidP="004C10AC">
      <w:pPr>
        <w:spacing w:line="480" w:lineRule="auto"/>
        <w:ind w:right="1170"/>
        <w:jc w:val="both"/>
        <w:rPr>
          <w:rFonts w:ascii="Arial" w:hAnsi="Arial" w:cs="Arial"/>
          <w:i/>
          <w:sz w:val="24"/>
          <w:szCs w:val="24"/>
        </w:rPr>
      </w:pPr>
    </w:p>
    <w:p w14:paraId="13099F9E" w14:textId="77777777" w:rsidR="00A8003D" w:rsidRPr="00F204C3" w:rsidRDefault="00A8003D" w:rsidP="004C10AC">
      <w:pPr>
        <w:spacing w:line="480" w:lineRule="auto"/>
        <w:ind w:right="1170"/>
        <w:jc w:val="both"/>
        <w:rPr>
          <w:rFonts w:ascii="Arial" w:hAnsi="Arial" w:cs="Arial"/>
          <w:i/>
          <w:sz w:val="24"/>
          <w:szCs w:val="24"/>
        </w:rPr>
      </w:pPr>
    </w:p>
    <w:p w14:paraId="733D29F1" w14:textId="77777777" w:rsidR="00AA7FF5" w:rsidRPr="00F204C3" w:rsidRDefault="00AA7FF5" w:rsidP="00C20ACC">
      <w:pPr>
        <w:jc w:val="right"/>
        <w:rPr>
          <w:rFonts w:ascii="Arial" w:hAnsi="Arial" w:cs="Arial"/>
        </w:rPr>
      </w:pPr>
    </w:p>
    <w:p w14:paraId="0C7EEF93" w14:textId="77777777" w:rsidR="004700F2" w:rsidRPr="00F204C3" w:rsidRDefault="004700F2" w:rsidP="00C20ACC">
      <w:pPr>
        <w:jc w:val="right"/>
        <w:rPr>
          <w:rFonts w:ascii="Arial" w:hAnsi="Arial" w:cs="Arial"/>
        </w:rPr>
      </w:pPr>
    </w:p>
    <w:p w14:paraId="7CB998F7" w14:textId="77777777" w:rsidR="004700F2" w:rsidRPr="00F204C3" w:rsidRDefault="004700F2" w:rsidP="00C20ACC">
      <w:pPr>
        <w:jc w:val="right"/>
        <w:rPr>
          <w:rFonts w:ascii="Arial" w:hAnsi="Arial" w:cs="Arial"/>
        </w:rPr>
      </w:pPr>
    </w:p>
    <w:p w14:paraId="772E2F44" w14:textId="77777777" w:rsidR="004700F2" w:rsidRPr="00F204C3" w:rsidRDefault="004700F2" w:rsidP="00C20ACC">
      <w:pPr>
        <w:jc w:val="right"/>
        <w:rPr>
          <w:rFonts w:ascii="Arial" w:hAnsi="Arial" w:cs="Arial"/>
        </w:rPr>
      </w:pPr>
    </w:p>
    <w:p w14:paraId="41D84781" w14:textId="77777777" w:rsidR="004700F2" w:rsidRPr="00F204C3" w:rsidRDefault="004700F2" w:rsidP="00C20ACC">
      <w:pPr>
        <w:jc w:val="right"/>
        <w:rPr>
          <w:rFonts w:ascii="Arial" w:hAnsi="Arial" w:cs="Arial"/>
        </w:rPr>
      </w:pPr>
    </w:p>
    <w:p w14:paraId="213BE6D3" w14:textId="77777777" w:rsidR="004700F2" w:rsidRPr="00F204C3" w:rsidRDefault="004700F2" w:rsidP="00C20ACC">
      <w:pPr>
        <w:jc w:val="right"/>
        <w:rPr>
          <w:rFonts w:ascii="Arial" w:hAnsi="Arial" w:cs="Arial"/>
        </w:rPr>
      </w:pPr>
    </w:p>
    <w:p w14:paraId="1212E0A8" w14:textId="77777777" w:rsidR="004700F2" w:rsidRPr="00F204C3" w:rsidRDefault="004700F2" w:rsidP="00C20ACC">
      <w:pPr>
        <w:jc w:val="right"/>
        <w:rPr>
          <w:rFonts w:ascii="Arial" w:hAnsi="Arial" w:cs="Arial"/>
        </w:rPr>
      </w:pPr>
    </w:p>
    <w:p w14:paraId="794142C0" w14:textId="77777777" w:rsidR="004700F2" w:rsidRPr="00F204C3" w:rsidRDefault="004700F2" w:rsidP="00C20ACC">
      <w:pPr>
        <w:jc w:val="right"/>
        <w:rPr>
          <w:rFonts w:ascii="Arial" w:hAnsi="Arial" w:cs="Arial"/>
        </w:rPr>
      </w:pPr>
    </w:p>
    <w:p w14:paraId="57AAC904" w14:textId="77777777" w:rsidR="004700F2" w:rsidRPr="00F204C3" w:rsidRDefault="004700F2" w:rsidP="00C20ACC">
      <w:pPr>
        <w:jc w:val="right"/>
        <w:rPr>
          <w:rFonts w:ascii="Arial" w:hAnsi="Arial" w:cs="Arial"/>
        </w:rPr>
      </w:pPr>
    </w:p>
    <w:p w14:paraId="4DEE95AA" w14:textId="77777777" w:rsidR="004700F2" w:rsidRPr="00F204C3" w:rsidRDefault="001B2B12" w:rsidP="00C20ACC">
      <w:pPr>
        <w:jc w:val="right"/>
        <w:rPr>
          <w:rFonts w:ascii="Arial" w:hAnsi="Arial" w:cs="Arial"/>
        </w:rPr>
      </w:pPr>
      <w:r w:rsidRPr="00F204C3">
        <w:rPr>
          <w:rFonts w:ascii="Arial" w:hAnsi="Arial" w:cs="Arial"/>
          <w:noProof/>
          <w:lang w:val="en-GB" w:eastAsia="en-GB"/>
        </w:rPr>
        <w:lastRenderedPageBreak/>
        <w:drawing>
          <wp:inline distT="0" distB="0" distL="0" distR="0" wp14:anchorId="6D417D1F" wp14:editId="0469F3DF">
            <wp:extent cx="5731510" cy="4220845"/>
            <wp:effectExtent l="0" t="0" r="2540"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220845"/>
                    </a:xfrm>
                    <a:prstGeom prst="rect">
                      <a:avLst/>
                    </a:prstGeom>
                  </pic:spPr>
                </pic:pic>
              </a:graphicData>
            </a:graphic>
          </wp:inline>
        </w:drawing>
      </w:r>
    </w:p>
    <w:p w14:paraId="54F07439" w14:textId="77777777" w:rsidR="001B2B12" w:rsidRPr="00F204C3" w:rsidRDefault="001B2B12" w:rsidP="00F204C3">
      <w:pPr>
        <w:spacing w:line="480" w:lineRule="auto"/>
        <w:rPr>
          <w:rFonts w:ascii="Arial" w:hAnsi="Arial" w:cs="Arial"/>
          <w:sz w:val="20"/>
          <w:szCs w:val="20"/>
        </w:rPr>
      </w:pPr>
      <w:r w:rsidRPr="00F204C3">
        <w:rPr>
          <w:rFonts w:ascii="Arial" w:hAnsi="Arial" w:cs="Arial"/>
          <w:b/>
          <w:sz w:val="20"/>
          <w:szCs w:val="20"/>
        </w:rPr>
        <w:t>Plate</w:t>
      </w:r>
      <w:r w:rsidR="00071500" w:rsidRPr="00F204C3">
        <w:rPr>
          <w:rFonts w:ascii="Arial" w:hAnsi="Arial" w:cs="Arial"/>
          <w:b/>
          <w:sz w:val="20"/>
          <w:szCs w:val="20"/>
          <w:lang w:val="en-GB"/>
        </w:rPr>
        <w:t xml:space="preserve"> </w:t>
      </w:r>
      <w:r w:rsidRPr="00F204C3">
        <w:rPr>
          <w:rFonts w:ascii="Arial" w:hAnsi="Arial" w:cs="Arial"/>
          <w:b/>
          <w:sz w:val="20"/>
          <w:szCs w:val="20"/>
          <w:lang w:val="en-GB"/>
        </w:rPr>
        <w:t xml:space="preserve">1: </w:t>
      </w:r>
      <w:r w:rsidRPr="00F204C3">
        <w:rPr>
          <w:rFonts w:ascii="Arial" w:hAnsi="Arial" w:cs="Arial"/>
          <w:sz w:val="20"/>
          <w:szCs w:val="20"/>
          <w:lang w:val="en-GB"/>
        </w:rPr>
        <w:t xml:space="preserve">Photomicrographs of liver tissue sections of </w:t>
      </w:r>
      <w:r w:rsidRPr="00F204C3">
        <w:rPr>
          <w:rFonts w:ascii="Arial" w:hAnsi="Arial" w:cs="Arial"/>
          <w:sz w:val="20"/>
          <w:szCs w:val="20"/>
        </w:rPr>
        <w:t xml:space="preserve">Wistar rats administered </w:t>
      </w:r>
      <w:r w:rsidRPr="00F204C3">
        <w:rPr>
          <w:rFonts w:ascii="Arial" w:hAnsi="Arial" w:cs="Arial"/>
          <w:i/>
          <w:sz w:val="20"/>
          <w:szCs w:val="20"/>
        </w:rPr>
        <w:t xml:space="preserve">Gliricidia. </w:t>
      </w:r>
      <w:proofErr w:type="spellStart"/>
      <w:r w:rsidRPr="00F204C3">
        <w:rPr>
          <w:rFonts w:ascii="Arial" w:hAnsi="Arial" w:cs="Arial"/>
          <w:i/>
          <w:sz w:val="20"/>
          <w:szCs w:val="20"/>
        </w:rPr>
        <w:t>sepium</w:t>
      </w:r>
      <w:proofErr w:type="spellEnd"/>
      <w:r w:rsidRPr="00F204C3">
        <w:rPr>
          <w:rFonts w:ascii="Arial" w:hAnsi="Arial" w:cs="Arial"/>
          <w:i/>
          <w:sz w:val="20"/>
          <w:szCs w:val="20"/>
        </w:rPr>
        <w:t xml:space="preserve"> </w:t>
      </w:r>
      <w:r w:rsidRPr="00F204C3">
        <w:rPr>
          <w:rFonts w:ascii="Arial" w:hAnsi="Arial" w:cs="Arial"/>
          <w:sz w:val="20"/>
          <w:szCs w:val="20"/>
        </w:rPr>
        <w:t xml:space="preserve">ethyl acetate </w:t>
      </w:r>
      <w:proofErr w:type="gramStart"/>
      <w:r w:rsidRPr="00F204C3">
        <w:rPr>
          <w:rFonts w:ascii="Arial" w:hAnsi="Arial" w:cs="Arial"/>
          <w:sz w:val="20"/>
          <w:szCs w:val="20"/>
        </w:rPr>
        <w:t>leaves  extract</w:t>
      </w:r>
      <w:proofErr w:type="gramEnd"/>
      <w:r w:rsidRPr="00F204C3">
        <w:rPr>
          <w:rFonts w:ascii="Arial" w:hAnsi="Arial" w:cs="Arial"/>
          <w:sz w:val="20"/>
          <w:szCs w:val="20"/>
        </w:rPr>
        <w:t xml:space="preserve"> in sub- chronic oral toxicity study</w:t>
      </w:r>
      <w:r w:rsidRPr="00F204C3">
        <w:rPr>
          <w:rFonts w:ascii="Arial" w:hAnsi="Arial" w:cs="Arial"/>
          <w:sz w:val="20"/>
          <w:szCs w:val="20"/>
          <w:lang w:val="en-GB"/>
        </w:rPr>
        <w:t xml:space="preserve"> H and E, X400</w:t>
      </w:r>
      <w:r w:rsidRPr="00F204C3">
        <w:rPr>
          <w:rFonts w:ascii="Arial" w:hAnsi="Arial" w:cs="Arial"/>
          <w:sz w:val="20"/>
          <w:szCs w:val="20"/>
        </w:rPr>
        <w:t xml:space="preserve">. </w:t>
      </w:r>
    </w:p>
    <w:p w14:paraId="27A783E7" w14:textId="77777777" w:rsidR="001B2B12" w:rsidRPr="00F204C3" w:rsidRDefault="001B2B12" w:rsidP="00F204C3">
      <w:pPr>
        <w:spacing w:line="480" w:lineRule="auto"/>
        <w:rPr>
          <w:rFonts w:ascii="Arial" w:hAnsi="Arial" w:cs="Arial"/>
          <w:sz w:val="18"/>
          <w:szCs w:val="18"/>
        </w:rPr>
      </w:pPr>
      <w:r w:rsidRPr="00F204C3">
        <w:rPr>
          <w:rFonts w:ascii="Arial" w:hAnsi="Arial" w:cs="Arial"/>
          <w:b/>
          <w:sz w:val="18"/>
          <w:szCs w:val="18"/>
        </w:rPr>
        <w:t xml:space="preserve">Key: </w:t>
      </w:r>
      <w:r w:rsidRPr="00F204C3">
        <w:rPr>
          <w:rFonts w:ascii="Arial" w:hAnsi="Arial" w:cs="Arial"/>
          <w:sz w:val="18"/>
          <w:szCs w:val="18"/>
        </w:rPr>
        <w:t>A, B, C, and D represent Group I (control), Group II (500 mg/kg), Group III (1000 mg/kg) and Group IV (1500 mg/kg) respectively. Normal central vein (black arrow)</w:t>
      </w:r>
    </w:p>
    <w:p w14:paraId="607BFC8C" w14:textId="77777777" w:rsidR="001B2B12" w:rsidRPr="00F204C3" w:rsidRDefault="001B2B12" w:rsidP="00F204C3">
      <w:pPr>
        <w:spacing w:line="480" w:lineRule="auto"/>
        <w:ind w:left="360"/>
        <w:rPr>
          <w:rFonts w:ascii="Arial" w:hAnsi="Arial" w:cs="Arial"/>
          <w:sz w:val="18"/>
          <w:szCs w:val="18"/>
          <w:lang w:val="en-GB"/>
        </w:rPr>
      </w:pPr>
    </w:p>
    <w:p w14:paraId="0F947994" w14:textId="77777777" w:rsidR="001B2B12" w:rsidRPr="00F204C3" w:rsidRDefault="001B2B12" w:rsidP="00C20ACC">
      <w:pPr>
        <w:jc w:val="right"/>
        <w:rPr>
          <w:rFonts w:ascii="Arial" w:hAnsi="Arial" w:cs="Arial"/>
        </w:rPr>
      </w:pPr>
    </w:p>
    <w:p w14:paraId="4E08D9C3" w14:textId="77777777" w:rsidR="008E0A05" w:rsidRPr="00F204C3" w:rsidRDefault="008E0A05" w:rsidP="00C20ACC">
      <w:pPr>
        <w:jc w:val="right"/>
        <w:rPr>
          <w:rFonts w:ascii="Arial" w:hAnsi="Arial" w:cs="Arial"/>
        </w:rPr>
      </w:pPr>
    </w:p>
    <w:p w14:paraId="4496F41E" w14:textId="77777777" w:rsidR="008E0A05" w:rsidRPr="00F204C3" w:rsidRDefault="008E0A05" w:rsidP="00C20ACC">
      <w:pPr>
        <w:jc w:val="right"/>
        <w:rPr>
          <w:rFonts w:ascii="Arial" w:hAnsi="Arial" w:cs="Arial"/>
        </w:rPr>
      </w:pPr>
    </w:p>
    <w:p w14:paraId="6E1FFA6A" w14:textId="77777777" w:rsidR="008E0A05" w:rsidRPr="00F204C3" w:rsidRDefault="008E0A05" w:rsidP="00C20ACC">
      <w:pPr>
        <w:jc w:val="right"/>
        <w:rPr>
          <w:rFonts w:ascii="Arial" w:hAnsi="Arial" w:cs="Arial"/>
        </w:rPr>
      </w:pPr>
    </w:p>
    <w:p w14:paraId="5BD69457" w14:textId="77777777" w:rsidR="008E0A05" w:rsidRPr="00F204C3" w:rsidRDefault="008E0A05" w:rsidP="00C20ACC">
      <w:pPr>
        <w:jc w:val="right"/>
        <w:rPr>
          <w:rFonts w:ascii="Arial" w:hAnsi="Arial" w:cs="Arial"/>
        </w:rPr>
      </w:pPr>
    </w:p>
    <w:p w14:paraId="5205B3BB" w14:textId="77777777" w:rsidR="008E0A05" w:rsidRPr="00F204C3" w:rsidRDefault="008E0A05" w:rsidP="00C20ACC">
      <w:pPr>
        <w:jc w:val="right"/>
        <w:rPr>
          <w:rFonts w:ascii="Arial" w:hAnsi="Arial" w:cs="Arial"/>
        </w:rPr>
      </w:pPr>
    </w:p>
    <w:p w14:paraId="3FCCFCE0" w14:textId="77777777" w:rsidR="008E0A05" w:rsidRPr="00F204C3" w:rsidRDefault="008E0A05" w:rsidP="00C20ACC">
      <w:pPr>
        <w:jc w:val="right"/>
        <w:rPr>
          <w:rFonts w:ascii="Arial" w:hAnsi="Arial" w:cs="Arial"/>
        </w:rPr>
      </w:pPr>
    </w:p>
    <w:p w14:paraId="52F3F214" w14:textId="77777777" w:rsidR="008E0A05" w:rsidRPr="00F204C3" w:rsidRDefault="008E0A05" w:rsidP="00F204C3">
      <w:pPr>
        <w:jc w:val="center"/>
        <w:rPr>
          <w:rFonts w:ascii="Arial" w:hAnsi="Arial" w:cs="Arial"/>
        </w:rPr>
      </w:pPr>
    </w:p>
    <w:p w14:paraId="168E8E34" w14:textId="77777777" w:rsidR="00412E8A" w:rsidRDefault="00412E8A" w:rsidP="00412E8A">
      <w:pPr>
        <w:pStyle w:val="ReferHead"/>
        <w:spacing w:after="0" w:line="480" w:lineRule="auto"/>
        <w:jc w:val="both"/>
        <w:rPr>
          <w:rFonts w:ascii="Arial" w:hAnsi="Arial" w:cs="Arial"/>
          <w:b w:val="0"/>
          <w:bCs/>
          <w:caps w:val="0"/>
        </w:rPr>
      </w:pPr>
    </w:p>
    <w:p w14:paraId="3F202574" w14:textId="77777777" w:rsidR="00B3062E" w:rsidRDefault="00A02E4E" w:rsidP="00412E8A">
      <w:pPr>
        <w:spacing w:before="240" w:after="240" w:line="480" w:lineRule="auto"/>
        <w:jc w:val="both"/>
        <w:rPr>
          <w:rFonts w:ascii="Arial" w:hAnsi="Arial" w:cs="Arial"/>
          <w:sz w:val="20"/>
          <w:szCs w:val="20"/>
          <w:lang w:val="en-GB"/>
        </w:rPr>
      </w:pPr>
      <w:r w:rsidRPr="00F204C3">
        <w:rPr>
          <w:rFonts w:ascii="Arial" w:hAnsi="Arial" w:cs="Arial"/>
          <w:b/>
          <w:bCs/>
        </w:rPr>
        <w:t>Ethical approval</w:t>
      </w:r>
      <w:r w:rsidR="006A108B">
        <w:rPr>
          <w:rFonts w:ascii="Arial" w:hAnsi="Arial" w:cs="Arial"/>
          <w:b/>
          <w:bCs/>
        </w:rPr>
        <w:t>:</w:t>
      </w:r>
      <w:r w:rsidR="006A108B" w:rsidRPr="006A108B">
        <w:rPr>
          <w:rFonts w:ascii="Arial" w:hAnsi="Arial" w:cs="Arial"/>
          <w:sz w:val="20"/>
          <w:szCs w:val="20"/>
          <w:lang w:val="en-GB"/>
        </w:rPr>
        <w:t xml:space="preserve"> </w:t>
      </w:r>
      <w:r w:rsidR="00412E8A" w:rsidRPr="00412E8A">
        <w:rPr>
          <w:rFonts w:ascii="Arial" w:hAnsi="Arial" w:cs="Arial"/>
          <w:sz w:val="20"/>
          <w:szCs w:val="20"/>
          <w:lang w:val="en-GB"/>
        </w:rPr>
        <w:t xml:space="preserve">This research was approved by the Health and Biomedical Research Ethics Committee (HBREC) of </w:t>
      </w:r>
      <w:proofErr w:type="spellStart"/>
      <w:r w:rsidR="00412E8A" w:rsidRPr="00412E8A">
        <w:rPr>
          <w:rFonts w:ascii="Arial" w:hAnsi="Arial" w:cs="Arial"/>
          <w:sz w:val="20"/>
          <w:szCs w:val="20"/>
          <w:lang w:val="en-GB"/>
        </w:rPr>
        <w:t>Usmanu</w:t>
      </w:r>
      <w:proofErr w:type="spellEnd"/>
      <w:r w:rsidR="00412E8A" w:rsidRPr="00412E8A">
        <w:rPr>
          <w:rFonts w:ascii="Arial" w:hAnsi="Arial" w:cs="Arial"/>
          <w:sz w:val="20"/>
          <w:szCs w:val="20"/>
          <w:lang w:val="en-GB"/>
        </w:rPr>
        <w:t xml:space="preserve"> </w:t>
      </w:r>
      <w:proofErr w:type="spellStart"/>
      <w:r w:rsidR="00412E8A" w:rsidRPr="00412E8A">
        <w:rPr>
          <w:rFonts w:ascii="Arial" w:hAnsi="Arial" w:cs="Arial"/>
          <w:sz w:val="20"/>
          <w:szCs w:val="20"/>
          <w:lang w:val="en-GB"/>
        </w:rPr>
        <w:t>Danfodiyo</w:t>
      </w:r>
      <w:proofErr w:type="spellEnd"/>
      <w:r w:rsidR="00412E8A" w:rsidRPr="00412E8A">
        <w:rPr>
          <w:rFonts w:ascii="Arial" w:hAnsi="Arial" w:cs="Arial"/>
          <w:sz w:val="20"/>
          <w:szCs w:val="20"/>
          <w:lang w:val="en-GB"/>
        </w:rPr>
        <w:t xml:space="preserve"> University, Sokoto (UDUSOK). Ethical approval registration number: NHREC/UDU-HREC/25/06/2023 (Appendix 1).</w:t>
      </w:r>
    </w:p>
    <w:p w14:paraId="6CFBE9D9" w14:textId="77777777" w:rsidR="00DA13FA" w:rsidRPr="00DA13FA" w:rsidRDefault="00DA13FA" w:rsidP="00DA13FA">
      <w:pPr>
        <w:spacing w:after="200" w:line="276" w:lineRule="auto"/>
        <w:rPr>
          <w:rFonts w:ascii="Arial" w:eastAsia="Times New Roman" w:hAnsi="Arial" w:cs="Arial"/>
          <w:b/>
          <w:bCs/>
          <w:lang w:val="en-GB" w:eastAsia="en-GB"/>
        </w:rPr>
      </w:pPr>
      <w:r w:rsidRPr="00DA13FA">
        <w:rPr>
          <w:rFonts w:ascii="Arial" w:eastAsia="Times New Roman" w:hAnsi="Arial" w:cs="Arial"/>
          <w:b/>
          <w:bCs/>
          <w:lang w:val="en-GB" w:eastAsia="en-GB"/>
        </w:rPr>
        <w:t>COMPETING INTERESTS DISCLAIMER:</w:t>
      </w:r>
    </w:p>
    <w:p w14:paraId="17471D00" w14:textId="77777777" w:rsidR="00DA13FA" w:rsidRPr="00DA13FA" w:rsidRDefault="00DA13FA" w:rsidP="00DA13FA">
      <w:pPr>
        <w:spacing w:after="200" w:line="276" w:lineRule="auto"/>
        <w:rPr>
          <w:rFonts w:ascii="Calibri" w:eastAsia="Times New Roman" w:hAnsi="Calibri" w:cs="Times New Roman"/>
          <w:lang w:val="en-GB" w:eastAsia="en-GB"/>
        </w:rPr>
      </w:pPr>
      <w:commentRangeStart w:id="8"/>
      <w:r w:rsidRPr="00B60A93">
        <w:rPr>
          <w:rFonts w:ascii="Arial" w:eastAsia="Times New Roman" w:hAnsi="Arial" w:cs="Arial"/>
          <w:highlight w:val="yellow"/>
          <w:lang w:val="en-GB" w:eastAsia="en-GB"/>
        </w:rPr>
        <w:t>Authors have declared that they have no known competing financial interests OR non-financial interests OR personal relationships that could have appeared to influence the work reported in this paper.</w:t>
      </w:r>
      <w:commentRangeEnd w:id="8"/>
      <w:r w:rsidR="00C16788">
        <w:rPr>
          <w:rStyle w:val="CommentReference"/>
        </w:rPr>
        <w:commentReference w:id="8"/>
      </w:r>
    </w:p>
    <w:p w14:paraId="6524B363" w14:textId="77777777" w:rsidR="00DA13FA" w:rsidRDefault="00DA13FA" w:rsidP="00412E8A">
      <w:pPr>
        <w:spacing w:before="240" w:after="240" w:line="480" w:lineRule="auto"/>
        <w:jc w:val="both"/>
        <w:rPr>
          <w:rFonts w:ascii="Arial" w:hAnsi="Arial" w:cs="Arial"/>
          <w:b/>
          <w:bCs/>
        </w:rPr>
      </w:pPr>
    </w:p>
    <w:p w14:paraId="4F49B61F" w14:textId="77777777" w:rsidR="00FD37DC" w:rsidRDefault="00FD37DC" w:rsidP="00B3062E">
      <w:pPr>
        <w:rPr>
          <w:rFonts w:ascii="Arial" w:hAnsi="Arial" w:cs="Arial"/>
          <w:b/>
          <w:bCs/>
        </w:rPr>
      </w:pPr>
    </w:p>
    <w:p w14:paraId="59DC9B14" w14:textId="77777777" w:rsidR="00A02E4E" w:rsidRPr="00F204C3" w:rsidRDefault="00A02E4E" w:rsidP="00A02E4E">
      <w:pPr>
        <w:pStyle w:val="ReferHead"/>
        <w:spacing w:after="0"/>
        <w:jc w:val="both"/>
        <w:rPr>
          <w:rFonts w:ascii="Arial" w:hAnsi="Arial" w:cs="Arial"/>
        </w:rPr>
      </w:pPr>
      <w:r w:rsidRPr="00F204C3">
        <w:rPr>
          <w:rFonts w:ascii="Arial" w:hAnsi="Arial" w:cs="Arial"/>
        </w:rPr>
        <w:t>References</w:t>
      </w:r>
    </w:p>
    <w:p w14:paraId="7F36239B" w14:textId="77777777" w:rsidR="00A02E4E" w:rsidRDefault="00A02E4E" w:rsidP="00B3062E">
      <w:pPr>
        <w:rPr>
          <w:rFonts w:ascii="Arial" w:hAnsi="Arial" w:cs="Arial"/>
          <w:b/>
        </w:rPr>
      </w:pPr>
    </w:p>
    <w:p w14:paraId="5B00ED3D" w14:textId="77777777" w:rsidR="00FD37DC" w:rsidRPr="00721A1D" w:rsidRDefault="00FD37DC" w:rsidP="00C90229">
      <w:pPr>
        <w:pStyle w:val="ListParagraph"/>
        <w:numPr>
          <w:ilvl w:val="0"/>
          <w:numId w:val="9"/>
        </w:numPr>
        <w:spacing w:after="240" w:line="480" w:lineRule="auto"/>
        <w:jc w:val="both"/>
        <w:rPr>
          <w:rFonts w:ascii="Arial" w:hAnsi="Arial" w:cs="Arial"/>
          <w:sz w:val="20"/>
          <w:szCs w:val="20"/>
          <w:shd w:val="clear" w:color="auto" w:fill="FFFFFF"/>
        </w:rPr>
      </w:pPr>
      <w:r w:rsidRPr="00721A1D">
        <w:rPr>
          <w:rFonts w:ascii="Arial" w:hAnsi="Arial" w:cs="Arial"/>
          <w:sz w:val="20"/>
          <w:szCs w:val="20"/>
          <w:shd w:val="clear" w:color="auto" w:fill="FFFFFF"/>
        </w:rPr>
        <w:t xml:space="preserve">Pathak, A., Gupta, A.P. &amp; Pandey, P. (2025). Herbal Medicine and Sustainable Development Challenges </w:t>
      </w:r>
      <w:r w:rsidR="00721A1D" w:rsidRPr="00721A1D">
        <w:rPr>
          <w:rFonts w:ascii="Arial" w:hAnsi="Arial" w:cs="Arial"/>
          <w:sz w:val="20"/>
          <w:szCs w:val="20"/>
          <w:shd w:val="clear" w:color="auto" w:fill="FFFFFF"/>
        </w:rPr>
        <w:t>and Opportunities. In</w:t>
      </w:r>
      <w:r w:rsidRPr="00721A1D">
        <w:rPr>
          <w:rFonts w:ascii="Arial" w:hAnsi="Arial" w:cs="Arial"/>
          <w:sz w:val="20"/>
          <w:szCs w:val="20"/>
          <w:shd w:val="clear" w:color="auto" w:fill="FFFFFF"/>
        </w:rPr>
        <w:t xml:space="preserve"> S.C.,</w:t>
      </w:r>
      <w:r w:rsidR="00721A1D" w:rsidRPr="00721A1D">
        <w:rPr>
          <w:rFonts w:ascii="Arial" w:hAnsi="Arial" w:cs="Arial"/>
          <w:sz w:val="20"/>
          <w:szCs w:val="20"/>
          <w:shd w:val="clear" w:color="auto" w:fill="FFFFFF"/>
        </w:rPr>
        <w:t xml:space="preserve"> Izah, M.C</w:t>
      </w:r>
      <w:r w:rsidRPr="00721A1D">
        <w:rPr>
          <w:rFonts w:ascii="Arial" w:hAnsi="Arial" w:cs="Arial"/>
          <w:sz w:val="20"/>
          <w:szCs w:val="20"/>
          <w:shd w:val="clear" w:color="auto" w:fill="FFFFFF"/>
        </w:rPr>
        <w:t>.,</w:t>
      </w:r>
      <w:r w:rsidR="00721A1D" w:rsidRPr="00721A1D">
        <w:rPr>
          <w:rFonts w:ascii="Arial" w:hAnsi="Arial" w:cs="Arial"/>
          <w:sz w:val="20"/>
          <w:szCs w:val="20"/>
          <w:shd w:val="clear" w:color="auto" w:fill="FFFFFF"/>
        </w:rPr>
        <w:t xml:space="preserve"> Ogwu,</w:t>
      </w:r>
      <w:r w:rsidRPr="00721A1D">
        <w:rPr>
          <w:rFonts w:ascii="Arial" w:hAnsi="Arial" w:cs="Arial"/>
          <w:sz w:val="20"/>
          <w:szCs w:val="20"/>
          <w:shd w:val="clear" w:color="auto" w:fill="FFFFFF"/>
        </w:rPr>
        <w:t xml:space="preserve"> M.</w:t>
      </w:r>
      <w:r w:rsidR="00721A1D" w:rsidRPr="00721A1D">
        <w:rPr>
          <w:rFonts w:ascii="Arial" w:hAnsi="Arial" w:cs="Arial"/>
          <w:sz w:val="20"/>
          <w:szCs w:val="20"/>
          <w:shd w:val="clear" w:color="auto" w:fill="FFFFFF"/>
        </w:rPr>
        <w:t xml:space="preserve"> Akram,</w:t>
      </w:r>
      <w:r w:rsidRPr="00721A1D">
        <w:rPr>
          <w:rFonts w:ascii="Arial" w:hAnsi="Arial" w:cs="Arial"/>
          <w:sz w:val="20"/>
          <w:szCs w:val="20"/>
          <w:shd w:val="clear" w:color="auto" w:fill="FFFFFF"/>
        </w:rPr>
        <w:t xml:space="preserve"> (eds</w:t>
      </w:r>
      <w:r w:rsidR="00721A1D" w:rsidRPr="00721A1D">
        <w:rPr>
          <w:rFonts w:ascii="Arial" w:hAnsi="Arial" w:cs="Arial"/>
          <w:sz w:val="20"/>
          <w:szCs w:val="20"/>
          <w:shd w:val="clear" w:color="auto" w:fill="FFFFFF"/>
        </w:rPr>
        <w:t>.</w:t>
      </w:r>
      <w:r w:rsidRPr="00721A1D">
        <w:rPr>
          <w:rFonts w:ascii="Arial" w:hAnsi="Arial" w:cs="Arial"/>
          <w:sz w:val="20"/>
          <w:szCs w:val="20"/>
          <w:shd w:val="clear" w:color="auto" w:fill="FFFFFF"/>
        </w:rPr>
        <w:t>)</w:t>
      </w:r>
      <w:r w:rsidR="00721A1D" w:rsidRPr="00721A1D">
        <w:rPr>
          <w:rFonts w:ascii="Arial" w:hAnsi="Arial" w:cs="Arial"/>
          <w:sz w:val="20"/>
          <w:szCs w:val="20"/>
          <w:shd w:val="clear" w:color="auto" w:fill="FFFFFF"/>
        </w:rPr>
        <w:t>,</w:t>
      </w:r>
      <w:r w:rsidRPr="00721A1D">
        <w:rPr>
          <w:rFonts w:ascii="Arial" w:hAnsi="Arial" w:cs="Arial"/>
          <w:sz w:val="20"/>
          <w:szCs w:val="20"/>
          <w:shd w:val="clear" w:color="auto" w:fill="FFFFFF"/>
        </w:rPr>
        <w:t xml:space="preserve"> Herbal Medicine Phytochemistry</w:t>
      </w:r>
      <w:r w:rsidR="00721A1D" w:rsidRPr="00721A1D">
        <w:rPr>
          <w:rFonts w:ascii="Arial" w:hAnsi="Arial" w:cs="Arial"/>
          <w:sz w:val="20"/>
          <w:szCs w:val="20"/>
          <w:shd w:val="clear" w:color="auto" w:fill="FFFFFF"/>
        </w:rPr>
        <w:t xml:space="preserve"> (pp. 48)</w:t>
      </w:r>
      <w:r w:rsidRPr="00721A1D">
        <w:rPr>
          <w:rFonts w:ascii="Arial" w:hAnsi="Arial" w:cs="Arial"/>
          <w:sz w:val="20"/>
          <w:szCs w:val="20"/>
          <w:shd w:val="clear" w:color="auto" w:fill="FFFFFF"/>
        </w:rPr>
        <w:t>. Ref</w:t>
      </w:r>
      <w:r w:rsidR="00721A1D" w:rsidRPr="00721A1D">
        <w:rPr>
          <w:rFonts w:ascii="Arial" w:hAnsi="Arial" w:cs="Arial"/>
          <w:sz w:val="20"/>
          <w:szCs w:val="20"/>
          <w:shd w:val="clear" w:color="auto" w:fill="FFFFFF"/>
        </w:rPr>
        <w:t>erence Series in Phytochemistry: Springer, Cham.</w:t>
      </w:r>
    </w:p>
    <w:p w14:paraId="4D9A27C8" w14:textId="77777777" w:rsidR="00FD37DC" w:rsidRPr="00C90229" w:rsidRDefault="00FD37DC" w:rsidP="00C90229">
      <w:pPr>
        <w:pStyle w:val="Heading1"/>
        <w:numPr>
          <w:ilvl w:val="0"/>
          <w:numId w:val="9"/>
        </w:numPr>
        <w:shd w:val="clear" w:color="auto" w:fill="FFFFFF"/>
        <w:spacing w:after="240"/>
        <w:rPr>
          <w:rFonts w:ascii="Arial" w:hAnsi="Arial" w:cs="Arial"/>
          <w:b w:val="0"/>
          <w:sz w:val="20"/>
          <w:szCs w:val="20"/>
        </w:rPr>
      </w:pPr>
      <w:bookmarkStart w:id="9" w:name="_Toc210353452"/>
      <w:bookmarkStart w:id="10" w:name="_Toc218007222"/>
      <w:r w:rsidRPr="00C90229">
        <w:rPr>
          <w:rFonts w:ascii="Arial" w:hAnsi="Arial" w:cs="Arial"/>
          <w:b w:val="0"/>
          <w:sz w:val="20"/>
          <w:szCs w:val="20"/>
        </w:rPr>
        <w:t xml:space="preserve">Mapunda, P.E. </w:t>
      </w:r>
      <w:r w:rsidRPr="00C90229">
        <w:rPr>
          <w:rFonts w:ascii="Arial" w:hAnsi="Arial" w:cs="Arial"/>
          <w:b w:val="0"/>
          <w:sz w:val="20"/>
          <w:szCs w:val="20"/>
          <w:shd w:val="clear" w:color="auto" w:fill="FFFFFF"/>
        </w:rPr>
        <w:t>&amp;</w:t>
      </w:r>
      <w:r w:rsidRPr="00C90229">
        <w:rPr>
          <w:rFonts w:ascii="Arial" w:hAnsi="Arial" w:cs="Arial"/>
          <w:b w:val="0"/>
          <w:sz w:val="20"/>
          <w:szCs w:val="20"/>
        </w:rPr>
        <w:t xml:space="preserve"> </w:t>
      </w:r>
      <w:proofErr w:type="spellStart"/>
      <w:r w:rsidRPr="00C90229">
        <w:rPr>
          <w:rFonts w:ascii="Arial" w:hAnsi="Arial" w:cs="Arial"/>
          <w:b w:val="0"/>
          <w:sz w:val="20"/>
          <w:szCs w:val="20"/>
        </w:rPr>
        <w:t>Mramba</w:t>
      </w:r>
      <w:proofErr w:type="spellEnd"/>
      <w:r w:rsidRPr="00C90229">
        <w:rPr>
          <w:rFonts w:ascii="Arial" w:hAnsi="Arial" w:cs="Arial"/>
          <w:b w:val="0"/>
          <w:sz w:val="20"/>
          <w:szCs w:val="20"/>
        </w:rPr>
        <w:t>, R.P. (2025). Medicinal plant use and conservation in Tanzania: perspectives from university of Dodoma students. </w:t>
      </w:r>
      <w:r w:rsidRPr="00B64C75">
        <w:rPr>
          <w:rFonts w:ascii="Arial" w:hAnsi="Arial" w:cs="Arial"/>
          <w:b w:val="0"/>
          <w:iCs/>
          <w:sz w:val="20"/>
          <w:szCs w:val="20"/>
        </w:rPr>
        <w:t>D</w:t>
      </w:r>
      <w:r w:rsidR="00B64C75">
        <w:rPr>
          <w:rFonts w:ascii="Arial" w:hAnsi="Arial" w:cs="Arial"/>
          <w:b w:val="0"/>
          <w:iCs/>
          <w:sz w:val="20"/>
          <w:szCs w:val="20"/>
        </w:rPr>
        <w:t>iscover Social Science &amp; Health,</w:t>
      </w:r>
      <w:r w:rsidRPr="00C90229">
        <w:rPr>
          <w:rFonts w:ascii="Arial" w:hAnsi="Arial" w:cs="Arial"/>
          <w:b w:val="0"/>
          <w:sz w:val="20"/>
          <w:szCs w:val="20"/>
        </w:rPr>
        <w:t> </w:t>
      </w:r>
      <w:r w:rsidRPr="00B64C75">
        <w:rPr>
          <w:rFonts w:ascii="Arial" w:hAnsi="Arial" w:cs="Arial"/>
          <w:b w:val="0"/>
          <w:sz w:val="20"/>
          <w:szCs w:val="20"/>
        </w:rPr>
        <w:t>5</w:t>
      </w:r>
      <w:r w:rsidR="00B64C75">
        <w:rPr>
          <w:rFonts w:ascii="Arial" w:hAnsi="Arial" w:cs="Arial"/>
          <w:b w:val="0"/>
          <w:sz w:val="20"/>
          <w:szCs w:val="20"/>
        </w:rPr>
        <w:t xml:space="preserve">, </w:t>
      </w:r>
      <w:r w:rsidRPr="00C90229">
        <w:rPr>
          <w:rFonts w:ascii="Arial" w:hAnsi="Arial" w:cs="Arial"/>
          <w:b w:val="0"/>
          <w:sz w:val="20"/>
          <w:szCs w:val="20"/>
        </w:rPr>
        <w:t>77.</w:t>
      </w:r>
      <w:bookmarkEnd w:id="9"/>
      <w:bookmarkEnd w:id="10"/>
    </w:p>
    <w:p w14:paraId="2DF50FB4" w14:textId="77777777" w:rsidR="00FD37DC" w:rsidRPr="00B64C75" w:rsidRDefault="00FD37DC" w:rsidP="00C90229">
      <w:pPr>
        <w:pStyle w:val="ListParagraph"/>
        <w:numPr>
          <w:ilvl w:val="0"/>
          <w:numId w:val="9"/>
        </w:numPr>
        <w:spacing w:after="240" w:line="480" w:lineRule="auto"/>
        <w:jc w:val="both"/>
        <w:rPr>
          <w:rFonts w:ascii="Arial" w:hAnsi="Arial" w:cs="Arial"/>
          <w:color w:val="FF0000"/>
          <w:sz w:val="20"/>
          <w:szCs w:val="20"/>
        </w:rPr>
      </w:pPr>
      <w:r w:rsidRPr="00C90229">
        <w:rPr>
          <w:rFonts w:ascii="Arial" w:hAnsi="Arial" w:cs="Arial"/>
          <w:sz w:val="20"/>
          <w:szCs w:val="20"/>
        </w:rPr>
        <w:t xml:space="preserve">Belayneh, Y.M., Yoseph, T. &amp; Ahmed, S. (2022). A cross-sectional study of herbal medicine use and contributing factors among pregnant women on antenatal care follow-up at Dessie Referral Hospital, Northeast Ethiopia. </w:t>
      </w:r>
      <w:r w:rsidRPr="00B64C75">
        <w:rPr>
          <w:rFonts w:ascii="Arial" w:hAnsi="Arial" w:cs="Arial"/>
          <w:sz w:val="20"/>
          <w:szCs w:val="20"/>
        </w:rPr>
        <w:t>BMC Complementary Medicine and Therapies</w:t>
      </w:r>
      <w:r w:rsidR="00B64C75" w:rsidRPr="00B64C75">
        <w:rPr>
          <w:rFonts w:ascii="Arial" w:hAnsi="Arial" w:cs="Arial"/>
          <w:sz w:val="20"/>
          <w:szCs w:val="20"/>
        </w:rPr>
        <w:t>,</w:t>
      </w:r>
      <w:r w:rsidRPr="00C90229">
        <w:rPr>
          <w:rFonts w:ascii="Arial" w:hAnsi="Arial" w:cs="Arial"/>
          <w:sz w:val="20"/>
          <w:szCs w:val="20"/>
        </w:rPr>
        <w:t xml:space="preserve"> </w:t>
      </w:r>
      <w:r w:rsidRPr="00B64C75">
        <w:rPr>
          <w:rFonts w:ascii="Arial" w:hAnsi="Arial" w:cs="Arial"/>
          <w:sz w:val="20"/>
          <w:szCs w:val="20"/>
        </w:rPr>
        <w:t>22</w:t>
      </w:r>
      <w:r w:rsidR="00B64C75">
        <w:rPr>
          <w:rFonts w:ascii="Arial" w:hAnsi="Arial" w:cs="Arial"/>
          <w:sz w:val="20"/>
          <w:szCs w:val="20"/>
        </w:rPr>
        <w:t xml:space="preserve">(1), </w:t>
      </w:r>
      <w:r w:rsidRPr="00C90229">
        <w:rPr>
          <w:rFonts w:ascii="Arial" w:hAnsi="Arial" w:cs="Arial"/>
          <w:sz w:val="20"/>
          <w:szCs w:val="20"/>
        </w:rPr>
        <w:t xml:space="preserve">146. </w:t>
      </w:r>
    </w:p>
    <w:p w14:paraId="2D684362" w14:textId="77777777" w:rsidR="00FD37DC" w:rsidRPr="00C90229" w:rsidRDefault="00FD37DC" w:rsidP="00C90229">
      <w:pPr>
        <w:pStyle w:val="Heading1"/>
        <w:numPr>
          <w:ilvl w:val="0"/>
          <w:numId w:val="9"/>
        </w:numPr>
        <w:shd w:val="clear" w:color="auto" w:fill="FFFFFF"/>
        <w:spacing w:after="240"/>
        <w:rPr>
          <w:rFonts w:ascii="Arial" w:hAnsi="Arial" w:cs="Arial"/>
          <w:b w:val="0"/>
          <w:sz w:val="20"/>
          <w:szCs w:val="20"/>
        </w:rPr>
      </w:pPr>
      <w:bookmarkStart w:id="11" w:name="_Toc210353445"/>
      <w:bookmarkStart w:id="12" w:name="_Toc218007216"/>
      <w:proofErr w:type="spellStart"/>
      <w:r w:rsidRPr="00C90229">
        <w:rPr>
          <w:rFonts w:ascii="Arial" w:hAnsi="Arial" w:cs="Arial"/>
          <w:b w:val="0"/>
          <w:sz w:val="20"/>
          <w:szCs w:val="20"/>
        </w:rPr>
        <w:t>Dubale</w:t>
      </w:r>
      <w:proofErr w:type="spellEnd"/>
      <w:r w:rsidRPr="00C90229">
        <w:rPr>
          <w:rFonts w:ascii="Arial" w:hAnsi="Arial" w:cs="Arial"/>
          <w:b w:val="0"/>
          <w:sz w:val="20"/>
          <w:szCs w:val="20"/>
        </w:rPr>
        <w:t xml:space="preserve">, S., Usure, R. E., </w:t>
      </w:r>
      <w:proofErr w:type="spellStart"/>
      <w:r w:rsidRPr="00C90229">
        <w:rPr>
          <w:rFonts w:ascii="Arial" w:hAnsi="Arial" w:cs="Arial"/>
          <w:b w:val="0"/>
          <w:sz w:val="20"/>
          <w:szCs w:val="20"/>
        </w:rPr>
        <w:t>Mekasha</w:t>
      </w:r>
      <w:proofErr w:type="spellEnd"/>
      <w:r w:rsidRPr="00C90229">
        <w:rPr>
          <w:rFonts w:ascii="Arial" w:hAnsi="Arial" w:cs="Arial"/>
          <w:b w:val="0"/>
          <w:sz w:val="20"/>
          <w:szCs w:val="20"/>
        </w:rPr>
        <w:t>, Y. T., Hasen, G., Ha</w:t>
      </w:r>
      <w:r w:rsidR="00C90229">
        <w:rPr>
          <w:rFonts w:ascii="Arial" w:hAnsi="Arial" w:cs="Arial"/>
          <w:b w:val="0"/>
          <w:sz w:val="20"/>
          <w:szCs w:val="20"/>
        </w:rPr>
        <w:t xml:space="preserve">fiz, F., </w:t>
      </w:r>
      <w:proofErr w:type="spellStart"/>
      <w:r w:rsidR="00C90229">
        <w:rPr>
          <w:rFonts w:ascii="Arial" w:hAnsi="Arial" w:cs="Arial"/>
          <w:b w:val="0"/>
          <w:sz w:val="20"/>
          <w:szCs w:val="20"/>
        </w:rPr>
        <w:t>Kebebe</w:t>
      </w:r>
      <w:proofErr w:type="spellEnd"/>
      <w:r w:rsidR="00C90229">
        <w:rPr>
          <w:rFonts w:ascii="Arial" w:hAnsi="Arial" w:cs="Arial"/>
          <w:b w:val="0"/>
          <w:sz w:val="20"/>
          <w:szCs w:val="20"/>
        </w:rPr>
        <w:t>, D. et al.</w:t>
      </w:r>
      <w:r w:rsidRPr="00C90229">
        <w:rPr>
          <w:rFonts w:ascii="Arial" w:hAnsi="Arial" w:cs="Arial"/>
          <w:b w:val="0"/>
          <w:sz w:val="20"/>
          <w:szCs w:val="20"/>
        </w:rPr>
        <w:t xml:space="preserve"> (2025). Traditional herbal medicine legislative and regulatory framework: A cross-sectional quantitative study and archival review perspectives. </w:t>
      </w:r>
      <w:r w:rsidRPr="00B64C75">
        <w:rPr>
          <w:rFonts w:ascii="Arial" w:hAnsi="Arial" w:cs="Arial"/>
          <w:b w:val="0"/>
          <w:iCs/>
          <w:sz w:val="20"/>
          <w:szCs w:val="20"/>
        </w:rPr>
        <w:t>Frontiers in Pharmacology</w:t>
      </w:r>
      <w:r w:rsidR="00B64C75">
        <w:rPr>
          <w:rFonts w:ascii="Arial" w:hAnsi="Arial" w:cs="Arial"/>
          <w:b w:val="0"/>
          <w:sz w:val="20"/>
          <w:szCs w:val="20"/>
        </w:rPr>
        <w:t>,</w:t>
      </w:r>
      <w:r w:rsidRPr="00C90229">
        <w:rPr>
          <w:rFonts w:ascii="Arial" w:hAnsi="Arial" w:cs="Arial"/>
          <w:b w:val="0"/>
          <w:sz w:val="20"/>
          <w:szCs w:val="20"/>
        </w:rPr>
        <w:t xml:space="preserve"> </w:t>
      </w:r>
      <w:r w:rsidRPr="00B64C75">
        <w:rPr>
          <w:rFonts w:ascii="Arial" w:hAnsi="Arial" w:cs="Arial"/>
          <w:b w:val="0"/>
          <w:iCs/>
          <w:sz w:val="20"/>
          <w:szCs w:val="20"/>
        </w:rPr>
        <w:t>16</w:t>
      </w:r>
      <w:r w:rsidR="00B64C75">
        <w:rPr>
          <w:rFonts w:ascii="Arial" w:hAnsi="Arial" w:cs="Arial"/>
          <w:b w:val="0"/>
          <w:sz w:val="20"/>
          <w:szCs w:val="20"/>
        </w:rPr>
        <w:t xml:space="preserve">, </w:t>
      </w:r>
      <w:r w:rsidRPr="00C90229">
        <w:rPr>
          <w:rFonts w:ascii="Arial" w:hAnsi="Arial" w:cs="Arial"/>
          <w:b w:val="0"/>
          <w:sz w:val="20"/>
          <w:szCs w:val="20"/>
        </w:rPr>
        <w:t>1475297.</w:t>
      </w:r>
      <w:bookmarkEnd w:id="11"/>
      <w:bookmarkEnd w:id="12"/>
      <w:r w:rsidRPr="00C90229">
        <w:rPr>
          <w:rFonts w:ascii="Arial" w:hAnsi="Arial" w:cs="Arial"/>
          <w:b w:val="0"/>
          <w:sz w:val="20"/>
          <w:szCs w:val="20"/>
        </w:rPr>
        <w:t xml:space="preserve"> </w:t>
      </w:r>
    </w:p>
    <w:p w14:paraId="13EDDC06" w14:textId="77777777" w:rsidR="00FD37DC" w:rsidRPr="00C90229" w:rsidRDefault="00FD37DC"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Oduola, T., </w:t>
      </w:r>
      <w:proofErr w:type="spellStart"/>
      <w:r w:rsidRPr="00C90229">
        <w:rPr>
          <w:rFonts w:ascii="Arial" w:hAnsi="Arial" w:cs="Arial"/>
          <w:sz w:val="20"/>
          <w:szCs w:val="20"/>
        </w:rPr>
        <w:t>Dallatu</w:t>
      </w:r>
      <w:proofErr w:type="spellEnd"/>
      <w:r w:rsidRPr="00C90229">
        <w:rPr>
          <w:rFonts w:ascii="Arial" w:hAnsi="Arial" w:cs="Arial"/>
          <w:sz w:val="20"/>
          <w:szCs w:val="20"/>
        </w:rPr>
        <w:t xml:space="preserve">, M.K., Muhammed, A.O., </w:t>
      </w:r>
      <w:proofErr w:type="spellStart"/>
      <w:r w:rsidRPr="00C90229">
        <w:rPr>
          <w:rFonts w:ascii="Arial" w:hAnsi="Arial" w:cs="Arial"/>
          <w:sz w:val="20"/>
          <w:szCs w:val="20"/>
        </w:rPr>
        <w:t>Ndakotsu</w:t>
      </w:r>
      <w:proofErr w:type="spellEnd"/>
      <w:r w:rsidRPr="00C90229">
        <w:rPr>
          <w:rFonts w:ascii="Arial" w:hAnsi="Arial" w:cs="Arial"/>
          <w:sz w:val="20"/>
          <w:szCs w:val="20"/>
        </w:rPr>
        <w:t xml:space="preserve">, M.A., Adebisi, I.M. &amp; Hassan, S.W. (2016). </w:t>
      </w:r>
      <w:r w:rsidRPr="00C90229">
        <w:rPr>
          <w:rFonts w:ascii="Arial" w:hAnsi="Arial" w:cs="Arial"/>
          <w:i/>
          <w:sz w:val="20"/>
          <w:szCs w:val="20"/>
        </w:rPr>
        <w:t xml:space="preserve">Gliricidia </w:t>
      </w:r>
      <w:proofErr w:type="spellStart"/>
      <w:r w:rsidRPr="00C90229">
        <w:rPr>
          <w:rFonts w:ascii="Arial" w:hAnsi="Arial" w:cs="Arial"/>
          <w:i/>
          <w:sz w:val="20"/>
          <w:szCs w:val="20"/>
        </w:rPr>
        <w:t>sepium</w:t>
      </w:r>
      <w:proofErr w:type="spellEnd"/>
      <w:r w:rsidRPr="00C90229">
        <w:rPr>
          <w:rFonts w:ascii="Arial" w:hAnsi="Arial" w:cs="Arial"/>
          <w:i/>
          <w:sz w:val="20"/>
          <w:szCs w:val="20"/>
        </w:rPr>
        <w:t xml:space="preserve"> </w:t>
      </w:r>
      <w:r w:rsidRPr="00C90229">
        <w:rPr>
          <w:rFonts w:ascii="Arial" w:hAnsi="Arial" w:cs="Arial"/>
          <w:sz w:val="20"/>
          <w:szCs w:val="20"/>
        </w:rPr>
        <w:t xml:space="preserve">Aqueous Leaves Extract Possesses </w:t>
      </w:r>
      <w:proofErr w:type="spellStart"/>
      <w:r w:rsidRPr="00C90229">
        <w:rPr>
          <w:rFonts w:ascii="Arial" w:hAnsi="Arial" w:cs="Arial"/>
          <w:sz w:val="20"/>
          <w:szCs w:val="20"/>
        </w:rPr>
        <w:t>Antisickling</w:t>
      </w:r>
      <w:proofErr w:type="spellEnd"/>
      <w:r w:rsidRPr="00C90229">
        <w:rPr>
          <w:rFonts w:ascii="Arial" w:hAnsi="Arial" w:cs="Arial"/>
          <w:sz w:val="20"/>
          <w:szCs w:val="20"/>
        </w:rPr>
        <w:t xml:space="preserve"> Property. </w:t>
      </w:r>
      <w:r w:rsidRPr="00B64C75">
        <w:rPr>
          <w:rFonts w:ascii="Arial" w:hAnsi="Arial" w:cs="Arial"/>
          <w:sz w:val="20"/>
          <w:szCs w:val="20"/>
        </w:rPr>
        <w:t>International Blood Research and Review</w:t>
      </w:r>
      <w:r w:rsidRPr="00C90229">
        <w:rPr>
          <w:rFonts w:ascii="Arial" w:hAnsi="Arial" w:cs="Arial"/>
          <w:sz w:val="20"/>
          <w:szCs w:val="20"/>
        </w:rPr>
        <w:t xml:space="preserve">, </w:t>
      </w:r>
      <w:r w:rsidRPr="00B64C75">
        <w:rPr>
          <w:rFonts w:ascii="Arial" w:hAnsi="Arial" w:cs="Arial"/>
          <w:sz w:val="20"/>
          <w:szCs w:val="20"/>
        </w:rPr>
        <w:t>5</w:t>
      </w:r>
      <w:r w:rsidR="00B64C75">
        <w:rPr>
          <w:rFonts w:ascii="Arial" w:hAnsi="Arial" w:cs="Arial"/>
          <w:sz w:val="20"/>
          <w:szCs w:val="20"/>
        </w:rPr>
        <w:t>(3),</w:t>
      </w:r>
      <w:r w:rsidRPr="00C90229">
        <w:rPr>
          <w:rFonts w:ascii="Arial" w:hAnsi="Arial" w:cs="Arial"/>
          <w:sz w:val="20"/>
          <w:szCs w:val="20"/>
        </w:rPr>
        <w:t xml:space="preserve"> 1-6. </w:t>
      </w:r>
    </w:p>
    <w:p w14:paraId="271E885B" w14:textId="77777777" w:rsidR="00FD37DC" w:rsidRPr="00C90229" w:rsidRDefault="00FD37DC" w:rsidP="00C90229">
      <w:pPr>
        <w:pStyle w:val="ListParagraph"/>
        <w:numPr>
          <w:ilvl w:val="0"/>
          <w:numId w:val="9"/>
        </w:numPr>
        <w:spacing w:after="240" w:line="480" w:lineRule="auto"/>
        <w:jc w:val="both"/>
        <w:rPr>
          <w:rFonts w:ascii="Arial" w:hAnsi="Arial" w:cs="Arial"/>
          <w:i/>
          <w:sz w:val="20"/>
          <w:szCs w:val="20"/>
        </w:rPr>
      </w:pPr>
      <w:proofErr w:type="spellStart"/>
      <w:r w:rsidRPr="00C90229">
        <w:rPr>
          <w:rFonts w:ascii="Arial" w:hAnsi="Arial" w:cs="Arial"/>
          <w:sz w:val="20"/>
          <w:szCs w:val="20"/>
        </w:rPr>
        <w:lastRenderedPageBreak/>
        <w:t>Wafaey</w:t>
      </w:r>
      <w:proofErr w:type="spellEnd"/>
      <w:r w:rsidRPr="00C90229">
        <w:rPr>
          <w:rFonts w:ascii="Arial" w:hAnsi="Arial" w:cs="Arial"/>
          <w:sz w:val="20"/>
          <w:szCs w:val="20"/>
        </w:rPr>
        <w:t>, A.A., El-</w:t>
      </w:r>
      <w:proofErr w:type="spellStart"/>
      <w:r w:rsidRPr="00C90229">
        <w:rPr>
          <w:rFonts w:ascii="Arial" w:hAnsi="Arial" w:cs="Arial"/>
          <w:sz w:val="20"/>
          <w:szCs w:val="20"/>
        </w:rPr>
        <w:t>Hawary</w:t>
      </w:r>
      <w:proofErr w:type="spellEnd"/>
      <w:r w:rsidRPr="00C90229">
        <w:rPr>
          <w:rFonts w:ascii="Arial" w:hAnsi="Arial" w:cs="Arial"/>
          <w:sz w:val="20"/>
          <w:szCs w:val="20"/>
        </w:rPr>
        <w:t xml:space="preserve">, S.S., Kirollos, F.N. &amp; </w:t>
      </w:r>
      <w:proofErr w:type="spellStart"/>
      <w:r w:rsidRPr="00C90229">
        <w:rPr>
          <w:rFonts w:ascii="Arial" w:hAnsi="Arial" w:cs="Arial"/>
          <w:sz w:val="20"/>
          <w:szCs w:val="20"/>
        </w:rPr>
        <w:t>Abdelhameed</w:t>
      </w:r>
      <w:proofErr w:type="spellEnd"/>
      <w:r w:rsidRPr="00C90229">
        <w:rPr>
          <w:rFonts w:ascii="Arial" w:hAnsi="Arial" w:cs="Arial"/>
          <w:sz w:val="20"/>
          <w:szCs w:val="20"/>
        </w:rPr>
        <w:t xml:space="preserve">, M.F. (2023). An Overview on Gliricidia </w:t>
      </w:r>
      <w:proofErr w:type="spellStart"/>
      <w:r w:rsidRPr="00C90229">
        <w:rPr>
          <w:rFonts w:ascii="Arial" w:hAnsi="Arial" w:cs="Arial"/>
          <w:sz w:val="20"/>
          <w:szCs w:val="20"/>
        </w:rPr>
        <w:t>Sepium</w:t>
      </w:r>
      <w:proofErr w:type="spellEnd"/>
      <w:r w:rsidRPr="00C90229">
        <w:rPr>
          <w:rFonts w:ascii="Arial" w:hAnsi="Arial" w:cs="Arial"/>
          <w:sz w:val="20"/>
          <w:szCs w:val="20"/>
        </w:rPr>
        <w:t xml:space="preserve"> in the Pharmaceutical Aspect: A Review Article </w:t>
      </w:r>
      <w:r w:rsidR="00B64C75">
        <w:rPr>
          <w:rFonts w:ascii="Arial" w:hAnsi="Arial" w:cs="Arial"/>
          <w:sz w:val="20"/>
          <w:szCs w:val="20"/>
        </w:rPr>
        <w:t>Egyptian Journal of Chemistry,</w:t>
      </w:r>
      <w:r w:rsidRPr="00B64C75">
        <w:rPr>
          <w:rFonts w:ascii="Arial" w:hAnsi="Arial" w:cs="Arial"/>
          <w:b/>
          <w:sz w:val="20"/>
          <w:szCs w:val="20"/>
        </w:rPr>
        <w:t xml:space="preserve"> </w:t>
      </w:r>
      <w:r w:rsidRPr="00B64C75">
        <w:rPr>
          <w:rFonts w:ascii="Arial" w:hAnsi="Arial" w:cs="Arial"/>
          <w:sz w:val="20"/>
          <w:szCs w:val="20"/>
        </w:rPr>
        <w:t>66(1</w:t>
      </w:r>
      <w:r w:rsidR="00B64C75">
        <w:rPr>
          <w:rFonts w:ascii="Arial" w:hAnsi="Arial" w:cs="Arial"/>
          <w:sz w:val="20"/>
          <w:szCs w:val="20"/>
        </w:rPr>
        <w:t>),</w:t>
      </w:r>
      <w:r w:rsidRPr="00C90229">
        <w:rPr>
          <w:rFonts w:ascii="Arial" w:hAnsi="Arial" w:cs="Arial"/>
          <w:sz w:val="20"/>
          <w:szCs w:val="20"/>
        </w:rPr>
        <w:t xml:space="preserve"> 479-496.</w:t>
      </w:r>
    </w:p>
    <w:p w14:paraId="5961CB0C" w14:textId="77777777" w:rsidR="005D1A51" w:rsidRPr="00C90229" w:rsidRDefault="005D1A51"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Oduola, T., Umar, R.A., Isah, B.A., Bello, M., </w:t>
      </w:r>
      <w:proofErr w:type="spellStart"/>
      <w:r w:rsidRPr="00C90229">
        <w:rPr>
          <w:rFonts w:ascii="Arial" w:hAnsi="Arial" w:cs="Arial"/>
          <w:sz w:val="20"/>
          <w:szCs w:val="20"/>
        </w:rPr>
        <w:t>Aiyelabe</w:t>
      </w:r>
      <w:r w:rsidR="00C90229">
        <w:rPr>
          <w:rFonts w:ascii="Arial" w:hAnsi="Arial" w:cs="Arial"/>
          <w:sz w:val="20"/>
          <w:szCs w:val="20"/>
        </w:rPr>
        <w:t>gan</w:t>
      </w:r>
      <w:proofErr w:type="spellEnd"/>
      <w:r w:rsidR="00C90229">
        <w:rPr>
          <w:rFonts w:ascii="Arial" w:hAnsi="Arial" w:cs="Arial"/>
          <w:sz w:val="20"/>
          <w:szCs w:val="20"/>
        </w:rPr>
        <w:t>, F., Isa, L.O. et al.</w:t>
      </w:r>
      <w:r w:rsidRPr="00C90229">
        <w:rPr>
          <w:rFonts w:ascii="Arial" w:hAnsi="Arial" w:cs="Arial"/>
          <w:sz w:val="20"/>
          <w:szCs w:val="20"/>
        </w:rPr>
        <w:t xml:space="preserve"> (2018). Use of </w:t>
      </w:r>
      <w:r w:rsidRPr="00C90229">
        <w:rPr>
          <w:rFonts w:ascii="Arial" w:hAnsi="Arial" w:cs="Arial"/>
          <w:i/>
          <w:sz w:val="20"/>
          <w:szCs w:val="20"/>
        </w:rPr>
        <w:t xml:space="preserve">Gliricidia </w:t>
      </w:r>
      <w:proofErr w:type="spellStart"/>
      <w:r w:rsidRPr="00C90229">
        <w:rPr>
          <w:rFonts w:ascii="Arial" w:hAnsi="Arial" w:cs="Arial"/>
          <w:i/>
          <w:sz w:val="20"/>
          <w:szCs w:val="20"/>
        </w:rPr>
        <w:t>sepium</w:t>
      </w:r>
      <w:proofErr w:type="spellEnd"/>
      <w:r w:rsidRPr="00C90229">
        <w:rPr>
          <w:rFonts w:ascii="Arial" w:hAnsi="Arial" w:cs="Arial"/>
          <w:i/>
          <w:sz w:val="20"/>
          <w:szCs w:val="20"/>
        </w:rPr>
        <w:t xml:space="preserve"> </w:t>
      </w:r>
      <w:r w:rsidRPr="00C90229">
        <w:rPr>
          <w:rFonts w:ascii="Arial" w:hAnsi="Arial" w:cs="Arial"/>
          <w:sz w:val="20"/>
          <w:szCs w:val="20"/>
        </w:rPr>
        <w:t xml:space="preserve">Aqueous Leaves Extract as an </w:t>
      </w:r>
      <w:proofErr w:type="spellStart"/>
      <w:r w:rsidRPr="00C90229">
        <w:rPr>
          <w:rFonts w:ascii="Arial" w:hAnsi="Arial" w:cs="Arial"/>
          <w:sz w:val="20"/>
          <w:szCs w:val="20"/>
        </w:rPr>
        <w:t>Antisickling</w:t>
      </w:r>
      <w:proofErr w:type="spellEnd"/>
      <w:r w:rsidRPr="00C90229">
        <w:rPr>
          <w:rFonts w:ascii="Arial" w:hAnsi="Arial" w:cs="Arial"/>
          <w:sz w:val="20"/>
          <w:szCs w:val="20"/>
        </w:rPr>
        <w:t xml:space="preserve"> Agent: Oxidative stress biomarkers in </w:t>
      </w:r>
      <w:proofErr w:type="spellStart"/>
      <w:r w:rsidRPr="00C90229">
        <w:rPr>
          <w:rFonts w:ascii="Arial" w:hAnsi="Arial" w:cs="Arial"/>
          <w:sz w:val="20"/>
          <w:szCs w:val="20"/>
        </w:rPr>
        <w:t>wistar</w:t>
      </w:r>
      <w:proofErr w:type="spellEnd"/>
      <w:r w:rsidRPr="00C90229">
        <w:rPr>
          <w:rFonts w:ascii="Arial" w:hAnsi="Arial" w:cs="Arial"/>
          <w:sz w:val="20"/>
          <w:szCs w:val="20"/>
        </w:rPr>
        <w:t xml:space="preserve"> rats exposed to the extract. </w:t>
      </w:r>
      <w:r w:rsidRPr="00B64C75">
        <w:rPr>
          <w:rFonts w:ascii="Arial" w:hAnsi="Arial" w:cs="Arial"/>
          <w:sz w:val="20"/>
          <w:szCs w:val="20"/>
        </w:rPr>
        <w:t>International Journal of Medical and Health Research</w:t>
      </w:r>
      <w:r w:rsidRPr="00C90229">
        <w:rPr>
          <w:rFonts w:ascii="Arial" w:hAnsi="Arial" w:cs="Arial"/>
          <w:sz w:val="20"/>
          <w:szCs w:val="20"/>
        </w:rPr>
        <w:t xml:space="preserve">, </w:t>
      </w:r>
      <w:r w:rsidRPr="00B64C75">
        <w:rPr>
          <w:rFonts w:ascii="Arial" w:hAnsi="Arial" w:cs="Arial"/>
          <w:sz w:val="20"/>
          <w:szCs w:val="20"/>
        </w:rPr>
        <w:t>4</w:t>
      </w:r>
      <w:r w:rsidR="00B64C75">
        <w:rPr>
          <w:rFonts w:ascii="Arial" w:hAnsi="Arial" w:cs="Arial"/>
          <w:sz w:val="20"/>
          <w:szCs w:val="20"/>
        </w:rPr>
        <w:t xml:space="preserve">(8), </w:t>
      </w:r>
      <w:r w:rsidRPr="00C90229">
        <w:rPr>
          <w:rFonts w:ascii="Arial" w:hAnsi="Arial" w:cs="Arial"/>
          <w:sz w:val="20"/>
          <w:szCs w:val="20"/>
        </w:rPr>
        <w:t>79-83.</w:t>
      </w:r>
    </w:p>
    <w:p w14:paraId="17B769D9" w14:textId="77777777" w:rsidR="005D1A51" w:rsidRPr="00C90229" w:rsidRDefault="005D1A51" w:rsidP="00C90229">
      <w:pPr>
        <w:pStyle w:val="ListParagraph"/>
        <w:numPr>
          <w:ilvl w:val="0"/>
          <w:numId w:val="9"/>
        </w:numPr>
        <w:tabs>
          <w:tab w:val="left" w:pos="3374"/>
        </w:tabs>
        <w:spacing w:after="240" w:line="480" w:lineRule="auto"/>
        <w:jc w:val="both"/>
        <w:rPr>
          <w:rFonts w:ascii="Arial" w:hAnsi="Arial" w:cs="Arial"/>
          <w:sz w:val="20"/>
          <w:szCs w:val="20"/>
        </w:rPr>
      </w:pPr>
      <w:proofErr w:type="spellStart"/>
      <w:r w:rsidRPr="00C90229">
        <w:rPr>
          <w:rFonts w:ascii="Arial" w:hAnsi="Arial" w:cs="Arial"/>
          <w:sz w:val="20"/>
          <w:szCs w:val="20"/>
        </w:rPr>
        <w:t>Aulanni’am</w:t>
      </w:r>
      <w:proofErr w:type="spellEnd"/>
      <w:r w:rsidRPr="00C90229">
        <w:rPr>
          <w:rFonts w:ascii="Arial" w:hAnsi="Arial" w:cs="Arial"/>
          <w:sz w:val="20"/>
          <w:szCs w:val="20"/>
        </w:rPr>
        <w:t xml:space="preserve">, A., Ora, K.M., Ariandini, N.A., </w:t>
      </w:r>
      <w:proofErr w:type="spellStart"/>
      <w:r w:rsidRPr="00C90229">
        <w:rPr>
          <w:rFonts w:ascii="Arial" w:hAnsi="Arial" w:cs="Arial"/>
          <w:sz w:val="20"/>
          <w:szCs w:val="20"/>
        </w:rPr>
        <w:t>Wuragil</w:t>
      </w:r>
      <w:proofErr w:type="spellEnd"/>
      <w:r w:rsidRPr="00C90229">
        <w:rPr>
          <w:rFonts w:ascii="Arial" w:hAnsi="Arial" w:cs="Arial"/>
          <w:sz w:val="20"/>
          <w:szCs w:val="20"/>
        </w:rPr>
        <w:t>, D.K., Permata, F.S.</w:t>
      </w:r>
      <w:r w:rsidR="0029576F">
        <w:rPr>
          <w:rFonts w:ascii="Arial" w:hAnsi="Arial" w:cs="Arial"/>
          <w:sz w:val="20"/>
          <w:szCs w:val="20"/>
        </w:rPr>
        <w:t xml:space="preserve"> and </w:t>
      </w:r>
      <w:proofErr w:type="spellStart"/>
      <w:r w:rsidR="0029576F">
        <w:rPr>
          <w:rFonts w:ascii="Arial" w:hAnsi="Arial" w:cs="Arial"/>
          <w:sz w:val="20"/>
          <w:szCs w:val="20"/>
        </w:rPr>
        <w:t>Riawan</w:t>
      </w:r>
      <w:proofErr w:type="spellEnd"/>
      <w:r w:rsidR="0029576F">
        <w:rPr>
          <w:rFonts w:ascii="Arial" w:hAnsi="Arial" w:cs="Arial"/>
          <w:sz w:val="20"/>
          <w:szCs w:val="20"/>
        </w:rPr>
        <w:t>, W. et al</w:t>
      </w:r>
      <w:r w:rsidRPr="00C90229">
        <w:rPr>
          <w:rFonts w:ascii="Arial" w:hAnsi="Arial" w:cs="Arial"/>
          <w:sz w:val="20"/>
          <w:szCs w:val="20"/>
        </w:rPr>
        <w:t xml:space="preserve">. (2021). Wound healing properties of </w:t>
      </w:r>
      <w:r w:rsidRPr="00C90229">
        <w:rPr>
          <w:rFonts w:ascii="Arial" w:hAnsi="Arial" w:cs="Arial"/>
          <w:i/>
          <w:sz w:val="20"/>
          <w:szCs w:val="20"/>
        </w:rPr>
        <w:t xml:space="preserve">Gliricidia </w:t>
      </w:r>
      <w:proofErr w:type="spellStart"/>
      <w:r w:rsidRPr="00C90229">
        <w:rPr>
          <w:rFonts w:ascii="Arial" w:hAnsi="Arial" w:cs="Arial"/>
          <w:i/>
          <w:sz w:val="20"/>
          <w:szCs w:val="20"/>
        </w:rPr>
        <w:t>sepium</w:t>
      </w:r>
      <w:proofErr w:type="spellEnd"/>
      <w:r w:rsidRPr="00C90229">
        <w:rPr>
          <w:rFonts w:ascii="Arial" w:hAnsi="Arial" w:cs="Arial"/>
          <w:i/>
          <w:sz w:val="20"/>
          <w:szCs w:val="20"/>
        </w:rPr>
        <w:t xml:space="preserve"> </w:t>
      </w:r>
      <w:r w:rsidRPr="00C90229">
        <w:rPr>
          <w:rFonts w:ascii="Arial" w:hAnsi="Arial" w:cs="Arial"/>
          <w:sz w:val="20"/>
          <w:szCs w:val="20"/>
        </w:rPr>
        <w:t xml:space="preserve">leaves from Indonesia and the Philippines in rats (Rattus norvegicus), </w:t>
      </w:r>
      <w:r w:rsidR="0029576F">
        <w:rPr>
          <w:rFonts w:ascii="Arial" w:hAnsi="Arial" w:cs="Arial"/>
          <w:sz w:val="20"/>
          <w:szCs w:val="20"/>
        </w:rPr>
        <w:t>Veterinary World,</w:t>
      </w:r>
      <w:r w:rsidRPr="0029576F">
        <w:rPr>
          <w:rFonts w:ascii="Arial" w:hAnsi="Arial" w:cs="Arial"/>
          <w:b/>
          <w:sz w:val="20"/>
          <w:szCs w:val="20"/>
        </w:rPr>
        <w:t xml:space="preserve"> </w:t>
      </w:r>
      <w:r w:rsidRPr="0029576F">
        <w:rPr>
          <w:rFonts w:ascii="Arial" w:hAnsi="Arial" w:cs="Arial"/>
          <w:sz w:val="20"/>
          <w:szCs w:val="20"/>
        </w:rPr>
        <w:t>14</w:t>
      </w:r>
      <w:r w:rsidR="0029576F">
        <w:rPr>
          <w:rFonts w:ascii="Arial" w:hAnsi="Arial" w:cs="Arial"/>
          <w:sz w:val="20"/>
          <w:szCs w:val="20"/>
        </w:rPr>
        <w:t>,</w:t>
      </w:r>
      <w:r w:rsidRPr="00C90229">
        <w:rPr>
          <w:rFonts w:ascii="Arial" w:hAnsi="Arial" w:cs="Arial"/>
          <w:sz w:val="20"/>
          <w:szCs w:val="20"/>
        </w:rPr>
        <w:t xml:space="preserve"> 820–824.  </w:t>
      </w:r>
    </w:p>
    <w:p w14:paraId="72645F2E" w14:textId="77777777" w:rsidR="005D1A51" w:rsidRPr="00721A1D" w:rsidRDefault="005D1A51" w:rsidP="00C90229">
      <w:pPr>
        <w:pStyle w:val="ListParagraph"/>
        <w:numPr>
          <w:ilvl w:val="0"/>
          <w:numId w:val="9"/>
        </w:numPr>
        <w:spacing w:after="240" w:line="480" w:lineRule="auto"/>
        <w:jc w:val="both"/>
        <w:rPr>
          <w:rFonts w:ascii="Arial" w:hAnsi="Arial" w:cs="Arial"/>
          <w:sz w:val="20"/>
          <w:szCs w:val="20"/>
        </w:rPr>
      </w:pPr>
      <w:r w:rsidRPr="00721A1D">
        <w:rPr>
          <w:rFonts w:ascii="Arial" w:hAnsi="Arial" w:cs="Arial"/>
          <w:sz w:val="20"/>
          <w:szCs w:val="20"/>
        </w:rPr>
        <w:t xml:space="preserve">OECD, (2008). Test No. 407: Repeated Dose 28-Day Oral Toxicity Study in Rodents, </w:t>
      </w:r>
      <w:r w:rsidR="00721A1D" w:rsidRPr="00721A1D">
        <w:rPr>
          <w:rFonts w:ascii="Arial" w:hAnsi="Arial" w:cs="Arial"/>
          <w:sz w:val="20"/>
          <w:szCs w:val="20"/>
        </w:rPr>
        <w:t>Organization</w:t>
      </w:r>
      <w:r w:rsidRPr="00721A1D">
        <w:rPr>
          <w:rFonts w:ascii="Arial" w:hAnsi="Arial" w:cs="Arial"/>
          <w:sz w:val="20"/>
          <w:szCs w:val="20"/>
        </w:rPr>
        <w:t xml:space="preserve"> for Economic Co-operation and Development Publishing.</w:t>
      </w:r>
    </w:p>
    <w:p w14:paraId="0FA44E24" w14:textId="77777777" w:rsidR="005D1A51" w:rsidRPr="00C90229" w:rsidRDefault="005D1A51" w:rsidP="00C90229">
      <w:pPr>
        <w:pStyle w:val="ListParagraph"/>
        <w:numPr>
          <w:ilvl w:val="0"/>
          <w:numId w:val="9"/>
        </w:numPr>
        <w:spacing w:after="240" w:line="480" w:lineRule="auto"/>
        <w:jc w:val="both"/>
        <w:rPr>
          <w:rFonts w:ascii="Arial" w:hAnsi="Arial" w:cs="Arial"/>
          <w:sz w:val="20"/>
          <w:szCs w:val="20"/>
        </w:rPr>
      </w:pPr>
      <w:proofErr w:type="spellStart"/>
      <w:r w:rsidRPr="00C90229">
        <w:rPr>
          <w:rFonts w:ascii="Arial" w:hAnsi="Arial" w:cs="Arial"/>
          <w:sz w:val="20"/>
          <w:szCs w:val="20"/>
        </w:rPr>
        <w:t>Lorke</w:t>
      </w:r>
      <w:proofErr w:type="spellEnd"/>
      <w:r w:rsidRPr="00C90229">
        <w:rPr>
          <w:rFonts w:ascii="Arial" w:hAnsi="Arial" w:cs="Arial"/>
          <w:sz w:val="20"/>
          <w:szCs w:val="20"/>
        </w:rPr>
        <w:t xml:space="preserve">, D. (1983). A new approach to practical acute toxicity testing. </w:t>
      </w:r>
      <w:r w:rsidRPr="00C90229">
        <w:rPr>
          <w:rFonts w:ascii="Arial" w:hAnsi="Arial" w:cs="Arial"/>
          <w:i/>
          <w:sz w:val="20"/>
          <w:szCs w:val="20"/>
        </w:rPr>
        <w:t xml:space="preserve">Archives </w:t>
      </w:r>
      <w:r w:rsidR="0029576F" w:rsidRPr="00C90229">
        <w:rPr>
          <w:rFonts w:ascii="Arial" w:hAnsi="Arial" w:cs="Arial"/>
          <w:i/>
          <w:sz w:val="20"/>
          <w:szCs w:val="20"/>
        </w:rPr>
        <w:t>of Toxicology</w:t>
      </w:r>
      <w:r w:rsidRPr="00C90229">
        <w:rPr>
          <w:rFonts w:ascii="Arial" w:hAnsi="Arial" w:cs="Arial"/>
          <w:i/>
          <w:sz w:val="20"/>
          <w:szCs w:val="20"/>
        </w:rPr>
        <w:t>,</w:t>
      </w:r>
      <w:r w:rsidRPr="00C90229">
        <w:rPr>
          <w:rFonts w:ascii="Arial" w:hAnsi="Arial" w:cs="Arial"/>
          <w:sz w:val="20"/>
          <w:szCs w:val="20"/>
        </w:rPr>
        <w:t xml:space="preserve"> </w:t>
      </w:r>
      <w:r w:rsidRPr="0029576F">
        <w:rPr>
          <w:rFonts w:ascii="Arial" w:hAnsi="Arial" w:cs="Arial"/>
          <w:sz w:val="20"/>
          <w:szCs w:val="20"/>
        </w:rPr>
        <w:t>54</w:t>
      </w:r>
      <w:r w:rsidR="0029576F">
        <w:rPr>
          <w:rFonts w:ascii="Arial" w:hAnsi="Arial" w:cs="Arial"/>
          <w:sz w:val="20"/>
          <w:szCs w:val="20"/>
        </w:rPr>
        <w:t>,</w:t>
      </w:r>
      <w:r w:rsidRPr="00C90229">
        <w:rPr>
          <w:rFonts w:ascii="Arial" w:hAnsi="Arial" w:cs="Arial"/>
          <w:sz w:val="20"/>
          <w:szCs w:val="20"/>
        </w:rPr>
        <w:t xml:space="preserve"> 275–287.</w:t>
      </w:r>
    </w:p>
    <w:p w14:paraId="2D567A3F" w14:textId="77777777" w:rsidR="005D1A51" w:rsidRPr="00C90229" w:rsidRDefault="005D1A51" w:rsidP="00C90229">
      <w:pPr>
        <w:pStyle w:val="ListParagraph"/>
        <w:numPr>
          <w:ilvl w:val="0"/>
          <w:numId w:val="9"/>
        </w:numPr>
        <w:tabs>
          <w:tab w:val="left" w:pos="3374"/>
        </w:tabs>
        <w:spacing w:after="240" w:line="480" w:lineRule="auto"/>
        <w:jc w:val="both"/>
        <w:rPr>
          <w:rFonts w:ascii="Arial" w:hAnsi="Arial" w:cs="Arial"/>
          <w:sz w:val="20"/>
          <w:szCs w:val="20"/>
        </w:rPr>
      </w:pPr>
      <w:proofErr w:type="spellStart"/>
      <w:r w:rsidRPr="00C90229">
        <w:rPr>
          <w:rFonts w:ascii="Arial" w:hAnsi="Arial" w:cs="Arial"/>
          <w:sz w:val="20"/>
          <w:szCs w:val="20"/>
        </w:rPr>
        <w:t>Enegide</w:t>
      </w:r>
      <w:proofErr w:type="spellEnd"/>
      <w:r w:rsidRPr="00C90229">
        <w:rPr>
          <w:rFonts w:ascii="Arial" w:hAnsi="Arial" w:cs="Arial"/>
          <w:sz w:val="20"/>
          <w:szCs w:val="20"/>
        </w:rPr>
        <w:t xml:space="preserve">, C., David, A. &amp; Fidelis, S.A. (2013). A New Method for Determining Acute Toxicity in Animal Models. </w:t>
      </w:r>
      <w:r w:rsidR="0029576F" w:rsidRPr="0029576F">
        <w:rPr>
          <w:rFonts w:ascii="Arial" w:hAnsi="Arial" w:cs="Arial"/>
          <w:sz w:val="20"/>
          <w:szCs w:val="20"/>
        </w:rPr>
        <w:t>Toxicology International</w:t>
      </w:r>
      <w:r w:rsidR="0029576F">
        <w:rPr>
          <w:rFonts w:ascii="Arial" w:hAnsi="Arial" w:cs="Arial"/>
          <w:i/>
          <w:sz w:val="20"/>
          <w:szCs w:val="20"/>
        </w:rPr>
        <w:t>,</w:t>
      </w:r>
      <w:r w:rsidRPr="00C90229">
        <w:rPr>
          <w:rFonts w:ascii="Arial" w:hAnsi="Arial" w:cs="Arial"/>
          <w:i/>
          <w:sz w:val="20"/>
          <w:szCs w:val="20"/>
        </w:rPr>
        <w:t xml:space="preserve"> </w:t>
      </w:r>
      <w:r w:rsidRPr="0029576F">
        <w:rPr>
          <w:rFonts w:ascii="Arial" w:hAnsi="Arial" w:cs="Arial"/>
          <w:sz w:val="20"/>
          <w:szCs w:val="20"/>
        </w:rPr>
        <w:t>20(</w:t>
      </w:r>
      <w:r w:rsidR="0029576F">
        <w:rPr>
          <w:rFonts w:ascii="Arial" w:hAnsi="Arial" w:cs="Arial"/>
          <w:sz w:val="20"/>
          <w:szCs w:val="20"/>
        </w:rPr>
        <w:t>3),</w:t>
      </w:r>
      <w:r w:rsidRPr="00C90229">
        <w:rPr>
          <w:rFonts w:ascii="Arial" w:hAnsi="Arial" w:cs="Arial"/>
          <w:sz w:val="20"/>
          <w:szCs w:val="20"/>
        </w:rPr>
        <w:t xml:space="preserve"> 224–226</w:t>
      </w:r>
    </w:p>
    <w:p w14:paraId="699C7B15" w14:textId="77777777" w:rsidR="005D1A51" w:rsidRPr="00C90229" w:rsidRDefault="005D1A51"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Trinder, P. (1969). Determination of blood glucose using an oxidase−peroxidase </w:t>
      </w:r>
      <w:r w:rsidRPr="00C90229">
        <w:rPr>
          <w:rFonts w:ascii="Arial" w:hAnsi="Arial" w:cs="Arial"/>
          <w:sz w:val="20"/>
          <w:szCs w:val="20"/>
        </w:rPr>
        <w:tab/>
        <w:t xml:space="preserve">system with a non−carcinogenic chromogen. </w:t>
      </w:r>
      <w:r w:rsidRPr="0029576F">
        <w:rPr>
          <w:rFonts w:ascii="Arial" w:hAnsi="Arial" w:cs="Arial"/>
          <w:sz w:val="20"/>
          <w:szCs w:val="20"/>
        </w:rPr>
        <w:t>Journal of clinical pathology,</w:t>
      </w:r>
      <w:r w:rsidRPr="00C90229">
        <w:rPr>
          <w:rFonts w:ascii="Arial" w:hAnsi="Arial" w:cs="Arial"/>
          <w:sz w:val="20"/>
          <w:szCs w:val="20"/>
        </w:rPr>
        <w:t xml:space="preserve"> </w:t>
      </w:r>
      <w:r w:rsidRPr="0029576F">
        <w:rPr>
          <w:rFonts w:ascii="Arial" w:hAnsi="Arial" w:cs="Arial"/>
          <w:sz w:val="20"/>
          <w:szCs w:val="20"/>
        </w:rPr>
        <w:t>22</w:t>
      </w:r>
      <w:r w:rsidR="0029576F">
        <w:rPr>
          <w:rFonts w:ascii="Arial" w:hAnsi="Arial" w:cs="Arial"/>
          <w:sz w:val="20"/>
          <w:szCs w:val="20"/>
        </w:rPr>
        <w:t>(2),</w:t>
      </w:r>
      <w:r w:rsidRPr="00C90229">
        <w:rPr>
          <w:rFonts w:ascii="Arial" w:hAnsi="Arial" w:cs="Arial"/>
          <w:sz w:val="20"/>
          <w:szCs w:val="20"/>
        </w:rPr>
        <w:t xml:space="preserve"> 158−161.</w:t>
      </w:r>
    </w:p>
    <w:p w14:paraId="332AB750" w14:textId="77777777" w:rsidR="005D1A51" w:rsidRPr="00C90229" w:rsidRDefault="005D1A51" w:rsidP="00C90229">
      <w:pPr>
        <w:pStyle w:val="ListParagraph"/>
        <w:numPr>
          <w:ilvl w:val="0"/>
          <w:numId w:val="9"/>
        </w:numPr>
        <w:autoSpaceDE w:val="0"/>
        <w:autoSpaceDN w:val="0"/>
        <w:adjustRightInd w:val="0"/>
        <w:spacing w:after="240" w:line="480" w:lineRule="auto"/>
        <w:jc w:val="both"/>
        <w:rPr>
          <w:rFonts w:ascii="Arial" w:hAnsi="Arial" w:cs="Arial"/>
          <w:sz w:val="20"/>
          <w:szCs w:val="20"/>
        </w:rPr>
      </w:pPr>
      <w:r w:rsidRPr="00C90229">
        <w:rPr>
          <w:rFonts w:ascii="Arial" w:hAnsi="Arial" w:cs="Arial"/>
          <w:sz w:val="20"/>
          <w:szCs w:val="20"/>
        </w:rPr>
        <w:t xml:space="preserve">Reitman, S. &amp; Frankel, S. (1957). A colorimetric method for the determination of serum aspartate transaminase and alanine transaminase. </w:t>
      </w:r>
      <w:proofErr w:type="spellStart"/>
      <w:r w:rsidRPr="0029576F">
        <w:rPr>
          <w:rFonts w:ascii="Arial" w:hAnsi="Arial" w:cs="Arial"/>
          <w:iCs/>
          <w:sz w:val="20"/>
          <w:szCs w:val="20"/>
        </w:rPr>
        <w:t>Pubmed</w:t>
      </w:r>
      <w:proofErr w:type="spellEnd"/>
      <w:r w:rsidRPr="0029576F">
        <w:rPr>
          <w:rFonts w:ascii="Arial" w:hAnsi="Arial" w:cs="Arial"/>
          <w:iCs/>
          <w:sz w:val="20"/>
          <w:szCs w:val="20"/>
        </w:rPr>
        <w:t>,</w:t>
      </w:r>
      <w:r w:rsidRPr="00C90229">
        <w:rPr>
          <w:rFonts w:ascii="Arial" w:hAnsi="Arial" w:cs="Arial"/>
          <w:iCs/>
          <w:sz w:val="20"/>
          <w:szCs w:val="20"/>
        </w:rPr>
        <w:t xml:space="preserve"> </w:t>
      </w:r>
      <w:r w:rsidRPr="0029576F">
        <w:rPr>
          <w:rFonts w:ascii="Arial" w:hAnsi="Arial" w:cs="Arial"/>
          <w:bCs/>
          <w:sz w:val="20"/>
          <w:szCs w:val="20"/>
        </w:rPr>
        <w:t>28(1)</w:t>
      </w:r>
      <w:r w:rsidR="0029576F">
        <w:rPr>
          <w:rFonts w:ascii="Arial" w:hAnsi="Arial" w:cs="Arial"/>
          <w:sz w:val="20"/>
          <w:szCs w:val="20"/>
        </w:rPr>
        <w:t>,</w:t>
      </w:r>
      <w:r w:rsidRPr="00C90229">
        <w:rPr>
          <w:rFonts w:ascii="Arial" w:hAnsi="Arial" w:cs="Arial"/>
          <w:sz w:val="20"/>
          <w:szCs w:val="20"/>
        </w:rPr>
        <w:t xml:space="preserve"> 56-63.</w:t>
      </w:r>
    </w:p>
    <w:p w14:paraId="08C73402" w14:textId="77777777" w:rsidR="005D1A51" w:rsidRPr="00C90229" w:rsidRDefault="005D1A51" w:rsidP="00C90229">
      <w:pPr>
        <w:pStyle w:val="ListParagraph"/>
        <w:numPr>
          <w:ilvl w:val="0"/>
          <w:numId w:val="9"/>
        </w:numPr>
        <w:spacing w:after="240" w:line="480" w:lineRule="auto"/>
        <w:jc w:val="both"/>
        <w:rPr>
          <w:rFonts w:ascii="Arial" w:hAnsi="Arial" w:cs="Arial"/>
          <w:sz w:val="20"/>
          <w:szCs w:val="20"/>
        </w:rPr>
      </w:pPr>
      <w:proofErr w:type="spellStart"/>
      <w:r w:rsidRPr="00C90229">
        <w:rPr>
          <w:rFonts w:ascii="Arial" w:hAnsi="Arial" w:cs="Arial"/>
          <w:sz w:val="20"/>
          <w:szCs w:val="20"/>
        </w:rPr>
        <w:t>Schlebusch</w:t>
      </w:r>
      <w:proofErr w:type="spellEnd"/>
      <w:r w:rsidRPr="00C90229">
        <w:rPr>
          <w:rFonts w:ascii="Arial" w:hAnsi="Arial" w:cs="Arial"/>
          <w:sz w:val="20"/>
          <w:szCs w:val="20"/>
        </w:rPr>
        <w:t xml:space="preserve">, H., Rick, W., Lang, H. &amp; </w:t>
      </w:r>
      <w:proofErr w:type="spellStart"/>
      <w:r w:rsidRPr="00C90229">
        <w:rPr>
          <w:rFonts w:ascii="Arial" w:hAnsi="Arial" w:cs="Arial"/>
          <w:sz w:val="20"/>
          <w:szCs w:val="20"/>
        </w:rPr>
        <w:t>Knede</w:t>
      </w:r>
      <w:proofErr w:type="spellEnd"/>
      <w:r w:rsidRPr="00C90229">
        <w:rPr>
          <w:rFonts w:ascii="Arial" w:hAnsi="Arial" w:cs="Arial"/>
          <w:sz w:val="20"/>
          <w:szCs w:val="20"/>
        </w:rPr>
        <w:t xml:space="preserve">, M. (1974). Standards in the Activities of Clinically Important Enzymes. </w:t>
      </w:r>
      <w:r w:rsidRPr="0029576F">
        <w:rPr>
          <w:rFonts w:ascii="Arial" w:hAnsi="Arial" w:cs="Arial"/>
          <w:sz w:val="20"/>
          <w:szCs w:val="20"/>
        </w:rPr>
        <w:t xml:space="preserve">Deutsche </w:t>
      </w:r>
      <w:proofErr w:type="spellStart"/>
      <w:r w:rsidRPr="0029576F">
        <w:rPr>
          <w:rFonts w:ascii="Arial" w:hAnsi="Arial" w:cs="Arial"/>
          <w:sz w:val="20"/>
          <w:szCs w:val="20"/>
        </w:rPr>
        <w:t>Medizinische</w:t>
      </w:r>
      <w:proofErr w:type="spellEnd"/>
      <w:r w:rsidRPr="0029576F">
        <w:rPr>
          <w:rFonts w:ascii="Arial" w:hAnsi="Arial" w:cs="Arial"/>
          <w:sz w:val="20"/>
          <w:szCs w:val="20"/>
        </w:rPr>
        <w:t xml:space="preserve"> </w:t>
      </w:r>
      <w:proofErr w:type="spellStart"/>
      <w:r w:rsidRPr="0029576F">
        <w:rPr>
          <w:rFonts w:ascii="Arial" w:hAnsi="Arial" w:cs="Arial"/>
          <w:sz w:val="20"/>
          <w:szCs w:val="20"/>
        </w:rPr>
        <w:t>Wochenschrift</w:t>
      </w:r>
      <w:proofErr w:type="spellEnd"/>
      <w:r w:rsidR="0029576F">
        <w:rPr>
          <w:rFonts w:ascii="Arial" w:hAnsi="Arial" w:cs="Arial"/>
          <w:i/>
          <w:sz w:val="20"/>
          <w:szCs w:val="20"/>
        </w:rPr>
        <w:t xml:space="preserve">, </w:t>
      </w:r>
      <w:r w:rsidRPr="0029576F">
        <w:rPr>
          <w:rFonts w:ascii="Arial" w:hAnsi="Arial" w:cs="Arial"/>
          <w:sz w:val="20"/>
          <w:szCs w:val="20"/>
        </w:rPr>
        <w:t>99</w:t>
      </w:r>
      <w:r w:rsidRPr="00C90229">
        <w:rPr>
          <w:rFonts w:ascii="Arial" w:hAnsi="Arial" w:cs="Arial"/>
          <w:sz w:val="20"/>
          <w:szCs w:val="20"/>
        </w:rPr>
        <w:t>(1</w:t>
      </w:r>
      <w:r w:rsidR="00990828">
        <w:rPr>
          <w:rFonts w:ascii="Arial" w:hAnsi="Arial" w:cs="Arial"/>
          <w:sz w:val="20"/>
          <w:szCs w:val="20"/>
        </w:rPr>
        <w:t>5),</w:t>
      </w:r>
      <w:r w:rsidRPr="00C90229">
        <w:rPr>
          <w:rFonts w:ascii="Arial" w:hAnsi="Arial" w:cs="Arial"/>
          <w:sz w:val="20"/>
          <w:szCs w:val="20"/>
        </w:rPr>
        <w:t xml:space="preserve"> 765-766.</w:t>
      </w:r>
    </w:p>
    <w:p w14:paraId="5D22F030"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Doumas, B., Watson, W. &amp; Biggs, H. (1971). (Albumin Standards and Measurement of Serum Albumin with bromocresol Green). </w:t>
      </w:r>
      <w:r w:rsidRPr="00990828">
        <w:rPr>
          <w:rFonts w:ascii="Arial" w:hAnsi="Arial" w:cs="Arial"/>
          <w:iCs/>
          <w:sz w:val="20"/>
          <w:szCs w:val="20"/>
        </w:rPr>
        <w:t xml:space="preserve">Clinical </w:t>
      </w:r>
      <w:proofErr w:type="spellStart"/>
      <w:r w:rsidRPr="00990828">
        <w:rPr>
          <w:rFonts w:ascii="Arial" w:hAnsi="Arial" w:cs="Arial"/>
          <w:iCs/>
          <w:sz w:val="20"/>
          <w:szCs w:val="20"/>
        </w:rPr>
        <w:t>Chimical</w:t>
      </w:r>
      <w:proofErr w:type="spellEnd"/>
      <w:r w:rsidRPr="00990828">
        <w:rPr>
          <w:rFonts w:ascii="Arial" w:hAnsi="Arial" w:cs="Arial"/>
          <w:iCs/>
          <w:sz w:val="20"/>
          <w:szCs w:val="20"/>
        </w:rPr>
        <w:t xml:space="preserve"> Acta</w:t>
      </w:r>
      <w:r w:rsidR="00990828">
        <w:rPr>
          <w:rFonts w:ascii="Arial" w:hAnsi="Arial" w:cs="Arial"/>
          <w:iCs/>
          <w:sz w:val="20"/>
          <w:szCs w:val="20"/>
        </w:rPr>
        <w:t>,</w:t>
      </w:r>
      <w:r w:rsidRPr="00C90229">
        <w:rPr>
          <w:rFonts w:ascii="Arial" w:hAnsi="Arial" w:cs="Arial"/>
          <w:iCs/>
          <w:sz w:val="20"/>
          <w:szCs w:val="20"/>
        </w:rPr>
        <w:t xml:space="preserve"> </w:t>
      </w:r>
      <w:r w:rsidRPr="00990828">
        <w:rPr>
          <w:rFonts w:ascii="Arial" w:hAnsi="Arial" w:cs="Arial"/>
          <w:bCs/>
          <w:sz w:val="20"/>
          <w:szCs w:val="20"/>
        </w:rPr>
        <w:t>31(1)</w:t>
      </w:r>
      <w:r w:rsidR="00990828">
        <w:rPr>
          <w:rFonts w:ascii="Arial" w:hAnsi="Arial" w:cs="Arial"/>
          <w:sz w:val="20"/>
          <w:szCs w:val="20"/>
        </w:rPr>
        <w:t>,</w:t>
      </w:r>
      <w:r w:rsidRPr="00C90229">
        <w:rPr>
          <w:rFonts w:ascii="Arial" w:hAnsi="Arial" w:cs="Arial"/>
          <w:sz w:val="20"/>
          <w:szCs w:val="20"/>
        </w:rPr>
        <w:t xml:space="preserve"> 87-96.</w:t>
      </w:r>
    </w:p>
    <w:p w14:paraId="20655BDF"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Gornall, A.G., </w:t>
      </w:r>
      <w:proofErr w:type="spellStart"/>
      <w:r w:rsidRPr="00C90229">
        <w:rPr>
          <w:rFonts w:ascii="Arial" w:hAnsi="Arial" w:cs="Arial"/>
          <w:sz w:val="20"/>
          <w:szCs w:val="20"/>
        </w:rPr>
        <w:t>Bardawill</w:t>
      </w:r>
      <w:proofErr w:type="spellEnd"/>
      <w:r w:rsidRPr="00C90229">
        <w:rPr>
          <w:rFonts w:ascii="Arial" w:hAnsi="Arial" w:cs="Arial"/>
          <w:sz w:val="20"/>
          <w:szCs w:val="20"/>
        </w:rPr>
        <w:t xml:space="preserve">, C.J. &amp; David, M.M. (1949). Determination of serum proteins by means of the biuret reaction. </w:t>
      </w:r>
      <w:r w:rsidRPr="00990828">
        <w:rPr>
          <w:rFonts w:ascii="Arial" w:hAnsi="Arial" w:cs="Arial"/>
          <w:sz w:val="20"/>
          <w:szCs w:val="20"/>
        </w:rPr>
        <w:t>American Journal of Clinical Nutrition</w:t>
      </w:r>
      <w:r w:rsidR="00990828">
        <w:rPr>
          <w:rFonts w:ascii="Arial" w:hAnsi="Arial" w:cs="Arial"/>
          <w:sz w:val="20"/>
          <w:szCs w:val="20"/>
        </w:rPr>
        <w:t>,</w:t>
      </w:r>
      <w:r w:rsidRPr="00C90229">
        <w:rPr>
          <w:rFonts w:ascii="Arial" w:hAnsi="Arial" w:cs="Arial"/>
          <w:sz w:val="20"/>
          <w:szCs w:val="20"/>
        </w:rPr>
        <w:t xml:space="preserve"> </w:t>
      </w:r>
      <w:r w:rsidRPr="00990828">
        <w:rPr>
          <w:rFonts w:ascii="Arial" w:hAnsi="Arial" w:cs="Arial"/>
          <w:sz w:val="20"/>
          <w:szCs w:val="20"/>
        </w:rPr>
        <w:t>177</w:t>
      </w:r>
      <w:r w:rsidR="00990828">
        <w:rPr>
          <w:rFonts w:ascii="Arial" w:hAnsi="Arial" w:cs="Arial"/>
          <w:sz w:val="20"/>
          <w:szCs w:val="20"/>
        </w:rPr>
        <w:t xml:space="preserve">(2), </w:t>
      </w:r>
      <w:r w:rsidRPr="00C90229">
        <w:rPr>
          <w:rFonts w:ascii="Arial" w:hAnsi="Arial" w:cs="Arial"/>
          <w:sz w:val="20"/>
          <w:szCs w:val="20"/>
        </w:rPr>
        <w:t>751-66.</w:t>
      </w:r>
    </w:p>
    <w:p w14:paraId="6B824C35"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Malloy, H. &amp; Evelyn, K. (1937). The determination of bilirubin with photoelectric colorimeter. </w:t>
      </w:r>
      <w:r w:rsidRPr="00990828">
        <w:rPr>
          <w:rFonts w:ascii="Arial" w:hAnsi="Arial" w:cs="Arial"/>
          <w:iCs/>
          <w:sz w:val="20"/>
          <w:szCs w:val="20"/>
        </w:rPr>
        <w:t>Journal of Biological Chemistry,</w:t>
      </w:r>
      <w:r w:rsidRPr="00C90229">
        <w:rPr>
          <w:rFonts w:ascii="Arial" w:hAnsi="Arial" w:cs="Arial"/>
          <w:i/>
          <w:iCs/>
          <w:sz w:val="20"/>
          <w:szCs w:val="20"/>
        </w:rPr>
        <w:t xml:space="preserve"> </w:t>
      </w:r>
      <w:r w:rsidRPr="00990828">
        <w:rPr>
          <w:rFonts w:ascii="Arial" w:hAnsi="Arial" w:cs="Arial"/>
          <w:bCs/>
          <w:sz w:val="20"/>
          <w:szCs w:val="20"/>
        </w:rPr>
        <w:t>119</w:t>
      </w:r>
      <w:r w:rsidR="00990828">
        <w:rPr>
          <w:rFonts w:ascii="Arial" w:hAnsi="Arial" w:cs="Arial"/>
          <w:sz w:val="20"/>
          <w:szCs w:val="20"/>
        </w:rPr>
        <w:t>,</w:t>
      </w:r>
      <w:r w:rsidRPr="00C90229">
        <w:rPr>
          <w:rFonts w:ascii="Arial" w:hAnsi="Arial" w:cs="Arial"/>
          <w:sz w:val="20"/>
          <w:szCs w:val="20"/>
        </w:rPr>
        <w:t xml:space="preserve"> 481-490</w:t>
      </w:r>
    </w:p>
    <w:p w14:paraId="00B27110"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Bulgheroni, A., </w:t>
      </w:r>
      <w:proofErr w:type="spellStart"/>
      <w:r w:rsidRPr="00C90229">
        <w:rPr>
          <w:rFonts w:ascii="Arial" w:hAnsi="Arial" w:cs="Arial"/>
          <w:sz w:val="20"/>
          <w:szCs w:val="20"/>
        </w:rPr>
        <w:t>Kinsner</w:t>
      </w:r>
      <w:proofErr w:type="spellEnd"/>
      <w:r w:rsidRPr="00C90229">
        <w:rPr>
          <w:rFonts w:ascii="Arial" w:hAnsi="Arial" w:cs="Arial"/>
          <w:sz w:val="20"/>
          <w:szCs w:val="20"/>
        </w:rPr>
        <w:t xml:space="preserve">-Ovaskainen, A., Hofmann, S., Hartung, T. &amp; Prieto P. (2009). Estimation of acute oral toxicity using the No observed adverse effect level (NOAEL) from the </w:t>
      </w:r>
      <w:r w:rsidRPr="00C90229">
        <w:rPr>
          <w:rFonts w:ascii="Arial" w:hAnsi="Arial" w:cs="Arial"/>
          <w:sz w:val="20"/>
          <w:szCs w:val="20"/>
        </w:rPr>
        <w:lastRenderedPageBreak/>
        <w:t xml:space="preserve">28-day repeated dose toxicity studies in rats. </w:t>
      </w:r>
      <w:r w:rsidRPr="00990828">
        <w:rPr>
          <w:rFonts w:ascii="Arial" w:hAnsi="Arial" w:cs="Arial"/>
          <w:sz w:val="20"/>
          <w:szCs w:val="20"/>
        </w:rPr>
        <w:t>Regulatory Toxicology and Pharmacology</w:t>
      </w:r>
      <w:r w:rsidR="00990828">
        <w:rPr>
          <w:rFonts w:ascii="Arial" w:hAnsi="Arial" w:cs="Arial"/>
          <w:sz w:val="20"/>
          <w:szCs w:val="20"/>
        </w:rPr>
        <w:t>,</w:t>
      </w:r>
      <w:r w:rsidRPr="00C90229">
        <w:rPr>
          <w:rFonts w:ascii="Arial" w:hAnsi="Arial" w:cs="Arial"/>
          <w:sz w:val="20"/>
          <w:szCs w:val="20"/>
        </w:rPr>
        <w:t xml:space="preserve"> </w:t>
      </w:r>
      <w:r w:rsidR="00990828">
        <w:rPr>
          <w:rFonts w:ascii="Arial" w:hAnsi="Arial" w:cs="Arial"/>
          <w:sz w:val="20"/>
          <w:szCs w:val="20"/>
        </w:rPr>
        <w:t xml:space="preserve">53 (1), </w:t>
      </w:r>
      <w:r w:rsidRPr="00990828">
        <w:rPr>
          <w:rFonts w:ascii="Arial" w:hAnsi="Arial" w:cs="Arial"/>
          <w:sz w:val="20"/>
          <w:szCs w:val="20"/>
        </w:rPr>
        <w:t>16</w:t>
      </w:r>
      <w:r w:rsidRPr="00C90229">
        <w:rPr>
          <w:rFonts w:ascii="Arial" w:hAnsi="Arial" w:cs="Arial"/>
          <w:sz w:val="20"/>
          <w:szCs w:val="20"/>
        </w:rPr>
        <w:t>–9.</w:t>
      </w:r>
    </w:p>
    <w:p w14:paraId="58A82430" w14:textId="77777777" w:rsidR="001862CE" w:rsidRPr="00C90229" w:rsidRDefault="001862CE" w:rsidP="00C90229">
      <w:pPr>
        <w:pStyle w:val="Heading1"/>
        <w:numPr>
          <w:ilvl w:val="0"/>
          <w:numId w:val="9"/>
        </w:numPr>
        <w:shd w:val="clear" w:color="auto" w:fill="FFFFFF"/>
        <w:spacing w:after="240"/>
        <w:rPr>
          <w:rFonts w:ascii="Arial" w:hAnsi="Arial" w:cs="Arial"/>
          <w:b w:val="0"/>
          <w:sz w:val="20"/>
          <w:szCs w:val="20"/>
        </w:rPr>
      </w:pPr>
      <w:bookmarkStart w:id="13" w:name="_Toc210353450"/>
      <w:bookmarkStart w:id="14" w:name="_Toc218007221"/>
      <w:r w:rsidRPr="00C90229">
        <w:rPr>
          <w:rFonts w:ascii="Arial" w:hAnsi="Arial" w:cs="Arial"/>
          <w:b w:val="0"/>
          <w:sz w:val="20"/>
          <w:szCs w:val="20"/>
        </w:rPr>
        <w:t xml:space="preserve">Lidji, C.J.S.R., Bolou, G.E.K., </w:t>
      </w:r>
      <w:proofErr w:type="spellStart"/>
      <w:r w:rsidRPr="00C90229">
        <w:rPr>
          <w:rFonts w:ascii="Arial" w:hAnsi="Arial" w:cs="Arial"/>
          <w:b w:val="0"/>
          <w:sz w:val="20"/>
          <w:szCs w:val="20"/>
        </w:rPr>
        <w:t>Droubly-Bouagnon</w:t>
      </w:r>
      <w:proofErr w:type="spellEnd"/>
      <w:r w:rsidRPr="00C90229">
        <w:rPr>
          <w:rFonts w:ascii="Arial" w:hAnsi="Arial" w:cs="Arial"/>
          <w:b w:val="0"/>
          <w:sz w:val="20"/>
          <w:szCs w:val="20"/>
        </w:rPr>
        <w:t>, J.J.R., Konan, G.K.N.A., Kamo, I.L.B.E.</w:t>
      </w:r>
      <w:r w:rsidR="00C90229">
        <w:rPr>
          <w:rFonts w:ascii="Arial" w:hAnsi="Arial" w:cs="Arial"/>
          <w:b w:val="0"/>
          <w:sz w:val="20"/>
          <w:szCs w:val="20"/>
        </w:rPr>
        <w:t>, N’Guessan, J. D. et al.</w:t>
      </w:r>
      <w:r w:rsidRPr="00C90229">
        <w:rPr>
          <w:rFonts w:ascii="Arial" w:hAnsi="Arial" w:cs="Arial"/>
          <w:b w:val="0"/>
          <w:sz w:val="20"/>
          <w:szCs w:val="20"/>
        </w:rPr>
        <w:t xml:space="preserve"> (2024). Evaluation of the antiviral activity of different extracts of Gliricidia </w:t>
      </w:r>
      <w:proofErr w:type="spellStart"/>
      <w:r w:rsidRPr="00C90229">
        <w:rPr>
          <w:rFonts w:ascii="Arial" w:hAnsi="Arial" w:cs="Arial"/>
          <w:b w:val="0"/>
          <w:sz w:val="20"/>
          <w:szCs w:val="20"/>
        </w:rPr>
        <w:t>sepium</w:t>
      </w:r>
      <w:proofErr w:type="spellEnd"/>
      <w:r w:rsidRPr="00C90229">
        <w:rPr>
          <w:rFonts w:ascii="Arial" w:hAnsi="Arial" w:cs="Arial"/>
          <w:b w:val="0"/>
          <w:sz w:val="20"/>
          <w:szCs w:val="20"/>
        </w:rPr>
        <w:t xml:space="preserve"> and </w:t>
      </w:r>
      <w:proofErr w:type="spellStart"/>
      <w:r w:rsidRPr="00C90229">
        <w:rPr>
          <w:rFonts w:ascii="Arial" w:hAnsi="Arial" w:cs="Arial"/>
          <w:b w:val="0"/>
          <w:sz w:val="20"/>
          <w:szCs w:val="20"/>
        </w:rPr>
        <w:t>Xylopia</w:t>
      </w:r>
      <w:proofErr w:type="spellEnd"/>
      <w:r w:rsidRPr="00C90229">
        <w:rPr>
          <w:rFonts w:ascii="Arial" w:hAnsi="Arial" w:cs="Arial"/>
          <w:b w:val="0"/>
          <w:sz w:val="20"/>
          <w:szCs w:val="20"/>
        </w:rPr>
        <w:t xml:space="preserve"> aethiopica on </w:t>
      </w:r>
      <w:proofErr w:type="spellStart"/>
      <w:r w:rsidRPr="00C90229">
        <w:rPr>
          <w:rFonts w:ascii="Arial" w:hAnsi="Arial" w:cs="Arial"/>
          <w:b w:val="0"/>
          <w:sz w:val="20"/>
          <w:szCs w:val="20"/>
        </w:rPr>
        <w:t>entero</w:t>
      </w:r>
      <w:proofErr w:type="spellEnd"/>
      <w:r w:rsidRPr="00C90229">
        <w:rPr>
          <w:rFonts w:ascii="Arial" w:hAnsi="Arial" w:cs="Arial"/>
          <w:b w:val="0"/>
          <w:sz w:val="20"/>
          <w:szCs w:val="20"/>
        </w:rPr>
        <w:t xml:space="preserve"> viruses isolated in Côte d'Ivoire, </w:t>
      </w:r>
      <w:r w:rsidRPr="00990828">
        <w:rPr>
          <w:rFonts w:ascii="Arial" w:hAnsi="Arial" w:cs="Arial"/>
          <w:b w:val="0"/>
          <w:sz w:val="20"/>
          <w:szCs w:val="20"/>
        </w:rPr>
        <w:t>Journal of Drug Delivery and Therapeutics</w:t>
      </w:r>
      <w:r w:rsidR="00990828">
        <w:rPr>
          <w:rFonts w:ascii="Arial" w:hAnsi="Arial" w:cs="Arial"/>
          <w:b w:val="0"/>
          <w:sz w:val="20"/>
          <w:szCs w:val="20"/>
        </w:rPr>
        <w:t>,</w:t>
      </w:r>
      <w:r w:rsidRPr="00C90229">
        <w:rPr>
          <w:rFonts w:ascii="Arial" w:hAnsi="Arial" w:cs="Arial"/>
          <w:b w:val="0"/>
          <w:sz w:val="20"/>
          <w:szCs w:val="20"/>
        </w:rPr>
        <w:t xml:space="preserve"> </w:t>
      </w:r>
      <w:r w:rsidRPr="00990828">
        <w:rPr>
          <w:rFonts w:ascii="Arial" w:hAnsi="Arial" w:cs="Arial"/>
          <w:b w:val="0"/>
          <w:sz w:val="20"/>
          <w:szCs w:val="20"/>
        </w:rPr>
        <w:t>14</w:t>
      </w:r>
      <w:r w:rsidR="00990828">
        <w:rPr>
          <w:rFonts w:ascii="Arial" w:hAnsi="Arial" w:cs="Arial"/>
          <w:b w:val="0"/>
          <w:sz w:val="20"/>
          <w:szCs w:val="20"/>
        </w:rPr>
        <w:t xml:space="preserve">(10), </w:t>
      </w:r>
      <w:r w:rsidRPr="00C90229">
        <w:rPr>
          <w:rFonts w:ascii="Arial" w:hAnsi="Arial" w:cs="Arial"/>
          <w:b w:val="0"/>
          <w:sz w:val="20"/>
          <w:szCs w:val="20"/>
        </w:rPr>
        <w:t>64-69</w:t>
      </w:r>
      <w:bookmarkEnd w:id="13"/>
      <w:bookmarkEnd w:id="14"/>
      <w:r w:rsidRPr="00C90229">
        <w:rPr>
          <w:rFonts w:ascii="Arial" w:hAnsi="Arial" w:cs="Arial"/>
          <w:b w:val="0"/>
          <w:sz w:val="20"/>
          <w:szCs w:val="20"/>
        </w:rPr>
        <w:t xml:space="preserve"> </w:t>
      </w:r>
    </w:p>
    <w:p w14:paraId="45813A2D" w14:textId="77777777" w:rsidR="001862CE" w:rsidRPr="00354B5F" w:rsidRDefault="001862CE" w:rsidP="00C90229">
      <w:pPr>
        <w:pStyle w:val="Heading1"/>
        <w:numPr>
          <w:ilvl w:val="0"/>
          <w:numId w:val="9"/>
        </w:numPr>
        <w:shd w:val="clear" w:color="auto" w:fill="FFFFFF"/>
        <w:spacing w:after="240"/>
        <w:rPr>
          <w:rFonts w:ascii="Arial" w:hAnsi="Arial" w:cs="Arial"/>
          <w:b w:val="0"/>
          <w:sz w:val="20"/>
          <w:szCs w:val="20"/>
        </w:rPr>
      </w:pPr>
      <w:bookmarkStart w:id="15" w:name="_Toc210353456"/>
      <w:bookmarkStart w:id="16" w:name="_Toc218007226"/>
      <w:r w:rsidRPr="00354B5F">
        <w:rPr>
          <w:rFonts w:ascii="Arial" w:hAnsi="Arial" w:cs="Arial"/>
          <w:b w:val="0"/>
          <w:sz w:val="20"/>
          <w:szCs w:val="20"/>
        </w:rPr>
        <w:t xml:space="preserve">OECD (2025). Guidance on Good Practices and </w:t>
      </w:r>
      <w:proofErr w:type="spellStart"/>
      <w:r w:rsidRPr="00354B5F">
        <w:rPr>
          <w:rFonts w:ascii="Arial" w:hAnsi="Arial" w:cs="Arial"/>
          <w:b w:val="0"/>
          <w:sz w:val="20"/>
          <w:szCs w:val="20"/>
        </w:rPr>
        <w:t>Standardisation</w:t>
      </w:r>
      <w:proofErr w:type="spellEnd"/>
      <w:r w:rsidRPr="00354B5F">
        <w:rPr>
          <w:rFonts w:ascii="Arial" w:hAnsi="Arial" w:cs="Arial"/>
          <w:b w:val="0"/>
          <w:sz w:val="20"/>
          <w:szCs w:val="20"/>
        </w:rPr>
        <w:t xml:space="preserve"> of Sample Collection for Omics Analysis. Series on Testing and Assessment, No. 405. OECD Publishing, Paris</w:t>
      </w:r>
      <w:bookmarkEnd w:id="15"/>
      <w:bookmarkEnd w:id="16"/>
    </w:p>
    <w:p w14:paraId="09A1B581"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Ekanayake, C.P., </w:t>
      </w:r>
      <w:proofErr w:type="spellStart"/>
      <w:r w:rsidRPr="00C90229">
        <w:rPr>
          <w:rFonts w:ascii="Arial" w:hAnsi="Arial" w:cs="Arial"/>
          <w:sz w:val="20"/>
          <w:szCs w:val="20"/>
        </w:rPr>
        <w:t>Thammitiyagodage</w:t>
      </w:r>
      <w:proofErr w:type="spellEnd"/>
      <w:r w:rsidRPr="00C90229">
        <w:rPr>
          <w:rFonts w:ascii="Arial" w:hAnsi="Arial" w:cs="Arial"/>
          <w:sz w:val="20"/>
          <w:szCs w:val="20"/>
        </w:rPr>
        <w:t xml:space="preserve">, M.G., </w:t>
      </w:r>
      <w:proofErr w:type="spellStart"/>
      <w:r w:rsidRPr="00C90229">
        <w:rPr>
          <w:rFonts w:ascii="Arial" w:hAnsi="Arial" w:cs="Arial"/>
          <w:sz w:val="20"/>
          <w:szCs w:val="20"/>
        </w:rPr>
        <w:t>Padumadasa</w:t>
      </w:r>
      <w:proofErr w:type="spellEnd"/>
      <w:r w:rsidRPr="00C90229">
        <w:rPr>
          <w:rFonts w:ascii="Arial" w:hAnsi="Arial" w:cs="Arial"/>
          <w:sz w:val="20"/>
          <w:szCs w:val="20"/>
        </w:rPr>
        <w:t xml:space="preserve">, S., Seneviratne, B., C. </w:t>
      </w:r>
      <w:proofErr w:type="spellStart"/>
      <w:r w:rsidRPr="00C90229">
        <w:rPr>
          <w:rFonts w:ascii="Arial" w:hAnsi="Arial" w:cs="Arial"/>
          <w:sz w:val="20"/>
          <w:szCs w:val="20"/>
        </w:rPr>
        <w:t>Padumadasa</w:t>
      </w:r>
      <w:proofErr w:type="spellEnd"/>
      <w:r w:rsidRPr="00C90229">
        <w:rPr>
          <w:rFonts w:ascii="Arial" w:hAnsi="Arial" w:cs="Arial"/>
          <w:sz w:val="20"/>
          <w:szCs w:val="20"/>
        </w:rPr>
        <w:t xml:space="preserve">, C. &amp; Abeysekera, A.M. (2019). Acute and Subacute Toxicity Studies of the Ethyl Acetate Soluble Proanthocyanidins of the Immature Inflorescence of Cocos nucifera L. in Female Wistar Rats. </w:t>
      </w:r>
      <w:r w:rsidRPr="00990828">
        <w:rPr>
          <w:rFonts w:ascii="Arial" w:hAnsi="Arial" w:cs="Arial"/>
          <w:sz w:val="20"/>
          <w:szCs w:val="20"/>
        </w:rPr>
        <w:t>BioMed Research International</w:t>
      </w:r>
      <w:r w:rsidR="00990828">
        <w:rPr>
          <w:rFonts w:ascii="Arial" w:hAnsi="Arial" w:cs="Arial"/>
          <w:sz w:val="20"/>
          <w:szCs w:val="20"/>
        </w:rPr>
        <w:t>,</w:t>
      </w:r>
      <w:r w:rsidRPr="00C90229">
        <w:rPr>
          <w:rFonts w:ascii="Arial" w:hAnsi="Arial" w:cs="Arial"/>
          <w:sz w:val="20"/>
          <w:szCs w:val="20"/>
        </w:rPr>
        <w:t xml:space="preserve"> </w:t>
      </w:r>
      <w:r w:rsidRPr="00990828">
        <w:rPr>
          <w:rFonts w:ascii="Arial" w:hAnsi="Arial" w:cs="Arial"/>
          <w:sz w:val="20"/>
          <w:szCs w:val="20"/>
        </w:rPr>
        <w:t>2019</w:t>
      </w:r>
      <w:r w:rsidR="00990828">
        <w:rPr>
          <w:rFonts w:ascii="Arial" w:hAnsi="Arial" w:cs="Arial"/>
          <w:sz w:val="20"/>
          <w:szCs w:val="20"/>
        </w:rPr>
        <w:t>,</w:t>
      </w:r>
      <w:r w:rsidRPr="00C90229">
        <w:rPr>
          <w:rFonts w:ascii="Arial" w:hAnsi="Arial" w:cs="Arial"/>
          <w:sz w:val="20"/>
          <w:szCs w:val="20"/>
        </w:rPr>
        <w:t xml:space="preserve"> 12 </w:t>
      </w:r>
    </w:p>
    <w:p w14:paraId="1BBCD195" w14:textId="77777777" w:rsidR="001862CE" w:rsidRPr="00354B5F" w:rsidRDefault="001862CE" w:rsidP="00C90229">
      <w:pPr>
        <w:pStyle w:val="Heading1"/>
        <w:numPr>
          <w:ilvl w:val="0"/>
          <w:numId w:val="9"/>
        </w:numPr>
        <w:shd w:val="clear" w:color="auto" w:fill="FFFFFF"/>
        <w:spacing w:after="240"/>
        <w:rPr>
          <w:rStyle w:val="bkciteavail"/>
          <w:rFonts w:ascii="Arial" w:hAnsi="Arial" w:cs="Arial"/>
          <w:b w:val="0"/>
          <w:sz w:val="20"/>
          <w:szCs w:val="20"/>
          <w:shd w:val="clear" w:color="auto" w:fill="FFFFFF"/>
        </w:rPr>
      </w:pPr>
      <w:bookmarkStart w:id="17" w:name="_Toc210353449"/>
      <w:bookmarkStart w:id="18" w:name="_Toc218007220"/>
      <w:r w:rsidRPr="00354B5F">
        <w:rPr>
          <w:rFonts w:ascii="Arial" w:hAnsi="Arial" w:cs="Arial"/>
          <w:b w:val="0"/>
          <w:sz w:val="20"/>
          <w:szCs w:val="20"/>
          <w:shd w:val="clear" w:color="auto" w:fill="FFFFFF"/>
        </w:rPr>
        <w:t>Lala, V., Zubair, M. &amp; Minter, D.A. (2025). Liver Funct</w:t>
      </w:r>
      <w:r w:rsidR="00990828" w:rsidRPr="00354B5F">
        <w:rPr>
          <w:rFonts w:ascii="Arial" w:hAnsi="Arial" w:cs="Arial"/>
          <w:b w:val="0"/>
          <w:sz w:val="20"/>
          <w:szCs w:val="20"/>
          <w:shd w:val="clear" w:color="auto" w:fill="FFFFFF"/>
        </w:rPr>
        <w:t>ion Tests</w:t>
      </w:r>
      <w:r w:rsidRPr="00354B5F">
        <w:rPr>
          <w:rFonts w:ascii="Arial" w:hAnsi="Arial" w:cs="Arial"/>
          <w:b w:val="0"/>
          <w:sz w:val="20"/>
          <w:szCs w:val="20"/>
          <w:shd w:val="clear" w:color="auto" w:fill="FFFFFF"/>
        </w:rPr>
        <w:t xml:space="preserve">. In: </w:t>
      </w:r>
      <w:proofErr w:type="spellStart"/>
      <w:r w:rsidRPr="00354B5F">
        <w:rPr>
          <w:rFonts w:ascii="Arial" w:hAnsi="Arial" w:cs="Arial"/>
          <w:b w:val="0"/>
          <w:sz w:val="20"/>
          <w:szCs w:val="20"/>
          <w:shd w:val="clear" w:color="auto" w:fill="FFFFFF"/>
        </w:rPr>
        <w:t>StatPearls</w:t>
      </w:r>
      <w:proofErr w:type="spellEnd"/>
      <w:r w:rsidRPr="00354B5F">
        <w:rPr>
          <w:rFonts w:ascii="Arial" w:hAnsi="Arial" w:cs="Arial"/>
          <w:b w:val="0"/>
          <w:sz w:val="20"/>
          <w:szCs w:val="20"/>
          <w:shd w:val="clear" w:color="auto" w:fill="FFFFFF"/>
        </w:rPr>
        <w:t xml:space="preserve"> [Internet]. Treasure Island (FL): </w:t>
      </w:r>
      <w:proofErr w:type="spellStart"/>
      <w:r w:rsidRPr="00354B5F">
        <w:rPr>
          <w:rFonts w:ascii="Arial" w:hAnsi="Arial" w:cs="Arial"/>
          <w:b w:val="0"/>
          <w:sz w:val="20"/>
          <w:szCs w:val="20"/>
          <w:shd w:val="clear" w:color="auto" w:fill="FFFFFF"/>
        </w:rPr>
        <w:t>StatPearls</w:t>
      </w:r>
      <w:proofErr w:type="spellEnd"/>
      <w:r w:rsidRPr="00354B5F">
        <w:rPr>
          <w:rFonts w:ascii="Arial" w:hAnsi="Arial" w:cs="Arial"/>
          <w:b w:val="0"/>
          <w:sz w:val="20"/>
          <w:szCs w:val="20"/>
          <w:shd w:val="clear" w:color="auto" w:fill="FFFFFF"/>
        </w:rPr>
        <w:t xml:space="preserve"> Publishing.</w:t>
      </w:r>
      <w:bookmarkEnd w:id="17"/>
      <w:bookmarkEnd w:id="18"/>
      <w:r w:rsidRPr="00354B5F">
        <w:rPr>
          <w:rFonts w:ascii="Arial" w:hAnsi="Arial" w:cs="Arial"/>
          <w:b w:val="0"/>
          <w:sz w:val="20"/>
          <w:szCs w:val="20"/>
          <w:shd w:val="clear" w:color="auto" w:fill="FFFFFF"/>
        </w:rPr>
        <w:t> </w:t>
      </w:r>
    </w:p>
    <w:p w14:paraId="35C1120D" w14:textId="77777777" w:rsidR="001862CE" w:rsidRPr="00C90229" w:rsidRDefault="001862CE" w:rsidP="00C90229">
      <w:pPr>
        <w:pStyle w:val="Heading1"/>
        <w:numPr>
          <w:ilvl w:val="0"/>
          <w:numId w:val="9"/>
        </w:numPr>
        <w:shd w:val="clear" w:color="auto" w:fill="FFFFFF"/>
        <w:spacing w:after="240"/>
        <w:rPr>
          <w:rFonts w:ascii="Arial" w:hAnsi="Arial" w:cs="Arial"/>
          <w:b w:val="0"/>
          <w:sz w:val="20"/>
          <w:szCs w:val="20"/>
          <w:shd w:val="clear" w:color="auto" w:fill="FFFFFF"/>
        </w:rPr>
      </w:pPr>
      <w:bookmarkStart w:id="19" w:name="_Toc210353441"/>
      <w:bookmarkStart w:id="20" w:name="_Toc218007212"/>
      <w:proofErr w:type="spellStart"/>
      <w:r w:rsidRPr="00C90229">
        <w:rPr>
          <w:rFonts w:ascii="Arial" w:hAnsi="Arial" w:cs="Arial"/>
          <w:b w:val="0"/>
          <w:sz w:val="20"/>
          <w:szCs w:val="20"/>
          <w:shd w:val="clear" w:color="auto" w:fill="FFFFFF"/>
        </w:rPr>
        <w:t>Alelign</w:t>
      </w:r>
      <w:proofErr w:type="spellEnd"/>
      <w:r w:rsidRPr="00C90229">
        <w:rPr>
          <w:rFonts w:ascii="Arial" w:hAnsi="Arial" w:cs="Arial"/>
          <w:b w:val="0"/>
          <w:sz w:val="20"/>
          <w:szCs w:val="20"/>
          <w:shd w:val="clear" w:color="auto" w:fill="FFFFFF"/>
        </w:rPr>
        <w:t xml:space="preserve">, T., </w:t>
      </w:r>
      <w:proofErr w:type="spellStart"/>
      <w:r w:rsidRPr="00C90229">
        <w:rPr>
          <w:rFonts w:ascii="Arial" w:hAnsi="Arial" w:cs="Arial"/>
          <w:b w:val="0"/>
          <w:sz w:val="20"/>
          <w:szCs w:val="20"/>
          <w:shd w:val="clear" w:color="auto" w:fill="FFFFFF"/>
        </w:rPr>
        <w:t>Chalchisa</w:t>
      </w:r>
      <w:proofErr w:type="spellEnd"/>
      <w:r w:rsidRPr="00C90229">
        <w:rPr>
          <w:rFonts w:ascii="Arial" w:hAnsi="Arial" w:cs="Arial"/>
          <w:b w:val="0"/>
          <w:sz w:val="20"/>
          <w:szCs w:val="20"/>
          <w:shd w:val="clear" w:color="auto" w:fill="FFFFFF"/>
        </w:rPr>
        <w:t xml:space="preserve">, D., Fekadu, N., Solomon, D., Sisay, T., Debella, A. &amp; Petros, B. (2020). Evaluation of acute and sub-acute toxicity of selected traditional </w:t>
      </w:r>
      <w:proofErr w:type="spellStart"/>
      <w:r w:rsidRPr="00C90229">
        <w:rPr>
          <w:rFonts w:ascii="Arial" w:hAnsi="Arial" w:cs="Arial"/>
          <w:b w:val="0"/>
          <w:sz w:val="20"/>
          <w:szCs w:val="20"/>
          <w:shd w:val="clear" w:color="auto" w:fill="FFFFFF"/>
        </w:rPr>
        <w:t>antiurolithiatic</w:t>
      </w:r>
      <w:proofErr w:type="spellEnd"/>
      <w:r w:rsidRPr="00C90229">
        <w:rPr>
          <w:rFonts w:ascii="Arial" w:hAnsi="Arial" w:cs="Arial"/>
          <w:b w:val="0"/>
          <w:sz w:val="20"/>
          <w:szCs w:val="20"/>
          <w:shd w:val="clear" w:color="auto" w:fill="FFFFFF"/>
        </w:rPr>
        <w:t xml:space="preserve"> medicinal plant extracts in Wistar albino rats. </w:t>
      </w:r>
      <w:r w:rsidR="00990828">
        <w:rPr>
          <w:rFonts w:ascii="Arial" w:hAnsi="Arial" w:cs="Arial"/>
          <w:b w:val="0"/>
          <w:sz w:val="20"/>
          <w:szCs w:val="20"/>
          <w:shd w:val="clear" w:color="auto" w:fill="FFFFFF"/>
        </w:rPr>
        <w:t>Toxicology Reports,</w:t>
      </w:r>
      <w:r w:rsidRPr="00C90229">
        <w:rPr>
          <w:rFonts w:ascii="Arial" w:hAnsi="Arial" w:cs="Arial"/>
          <w:b w:val="0"/>
          <w:sz w:val="20"/>
          <w:szCs w:val="20"/>
          <w:shd w:val="clear" w:color="auto" w:fill="FFFFFF"/>
        </w:rPr>
        <w:t xml:space="preserve"> </w:t>
      </w:r>
      <w:r w:rsidRPr="00990828">
        <w:rPr>
          <w:rFonts w:ascii="Arial" w:hAnsi="Arial" w:cs="Arial"/>
          <w:b w:val="0"/>
          <w:sz w:val="20"/>
          <w:szCs w:val="20"/>
          <w:shd w:val="clear" w:color="auto" w:fill="FFFFFF"/>
        </w:rPr>
        <w:t>6</w:t>
      </w:r>
      <w:r w:rsidR="00990828">
        <w:rPr>
          <w:rFonts w:ascii="Arial" w:hAnsi="Arial" w:cs="Arial"/>
          <w:b w:val="0"/>
          <w:sz w:val="20"/>
          <w:szCs w:val="20"/>
          <w:shd w:val="clear" w:color="auto" w:fill="FFFFFF"/>
        </w:rPr>
        <w:t xml:space="preserve">(7), </w:t>
      </w:r>
      <w:r w:rsidRPr="00C90229">
        <w:rPr>
          <w:rFonts w:ascii="Arial" w:hAnsi="Arial" w:cs="Arial"/>
          <w:b w:val="0"/>
          <w:sz w:val="20"/>
          <w:szCs w:val="20"/>
          <w:shd w:val="clear" w:color="auto" w:fill="FFFFFF"/>
        </w:rPr>
        <w:t>1356-1365.</w:t>
      </w:r>
      <w:bookmarkEnd w:id="19"/>
      <w:bookmarkEnd w:id="20"/>
      <w:r w:rsidRPr="00C90229">
        <w:rPr>
          <w:rFonts w:ascii="Arial" w:hAnsi="Arial" w:cs="Arial"/>
          <w:b w:val="0"/>
          <w:sz w:val="20"/>
          <w:szCs w:val="20"/>
          <w:shd w:val="clear" w:color="auto" w:fill="FFFFFF"/>
        </w:rPr>
        <w:t xml:space="preserve"> </w:t>
      </w:r>
    </w:p>
    <w:p w14:paraId="4ADE5D28" w14:textId="77777777" w:rsidR="001862CE" w:rsidRDefault="001862CE" w:rsidP="00C90229">
      <w:pPr>
        <w:pStyle w:val="Heading1"/>
        <w:numPr>
          <w:ilvl w:val="0"/>
          <w:numId w:val="9"/>
        </w:numPr>
        <w:shd w:val="clear" w:color="auto" w:fill="FFFFFF"/>
        <w:spacing w:after="240"/>
        <w:rPr>
          <w:rFonts w:ascii="Arial" w:hAnsi="Arial" w:cs="Arial"/>
          <w:b w:val="0"/>
          <w:sz w:val="20"/>
          <w:szCs w:val="20"/>
        </w:rPr>
      </w:pPr>
      <w:bookmarkStart w:id="21" w:name="_Toc210353459"/>
      <w:bookmarkStart w:id="22" w:name="_Toc218007229"/>
      <w:r w:rsidRPr="00C90229">
        <w:rPr>
          <w:rFonts w:ascii="Arial" w:hAnsi="Arial" w:cs="Arial"/>
          <w:b w:val="0"/>
          <w:sz w:val="20"/>
          <w:szCs w:val="20"/>
        </w:rPr>
        <w:t xml:space="preserve">Riaz, M.A., Nisa, Z.U., Anjum, M.S., Butt, H., Mehmood, A., Riaz A. &amp; Akhtar, A.B.T. (2020). Assessment of metals induced histopathological and gene expression changes in different organs of non-diabetic and diabetic rats. </w:t>
      </w:r>
      <w:r w:rsidR="00990828">
        <w:rPr>
          <w:rFonts w:ascii="Arial" w:hAnsi="Arial" w:cs="Arial"/>
          <w:b w:val="0"/>
          <w:sz w:val="20"/>
          <w:szCs w:val="20"/>
        </w:rPr>
        <w:t>Scientific Report,</w:t>
      </w:r>
      <w:r w:rsidRPr="00C90229">
        <w:rPr>
          <w:rFonts w:ascii="Arial" w:hAnsi="Arial" w:cs="Arial"/>
          <w:b w:val="0"/>
          <w:sz w:val="20"/>
          <w:szCs w:val="20"/>
        </w:rPr>
        <w:t xml:space="preserve"> </w:t>
      </w:r>
      <w:r w:rsidRPr="00990828">
        <w:rPr>
          <w:rFonts w:ascii="Arial" w:hAnsi="Arial" w:cs="Arial"/>
          <w:b w:val="0"/>
          <w:sz w:val="20"/>
          <w:szCs w:val="20"/>
        </w:rPr>
        <w:t>10</w:t>
      </w:r>
      <w:r w:rsidR="00990828">
        <w:rPr>
          <w:rFonts w:ascii="Arial" w:hAnsi="Arial" w:cs="Arial"/>
          <w:b w:val="0"/>
          <w:sz w:val="20"/>
          <w:szCs w:val="20"/>
        </w:rPr>
        <w:t>,</w:t>
      </w:r>
      <w:r w:rsidRPr="00C90229">
        <w:rPr>
          <w:rFonts w:ascii="Arial" w:hAnsi="Arial" w:cs="Arial"/>
          <w:b w:val="0"/>
          <w:sz w:val="20"/>
          <w:szCs w:val="20"/>
        </w:rPr>
        <w:t xml:space="preserve"> 5897.</w:t>
      </w:r>
      <w:bookmarkEnd w:id="21"/>
      <w:bookmarkEnd w:id="22"/>
    </w:p>
    <w:p w14:paraId="4FA8989A" w14:textId="77777777" w:rsidR="004B6398" w:rsidRDefault="004B6398" w:rsidP="004B6398"/>
    <w:p w14:paraId="11F33A51" w14:textId="77777777" w:rsidR="004B6398" w:rsidRDefault="004B6398" w:rsidP="004B6398"/>
    <w:p w14:paraId="3B10FE42" w14:textId="77777777" w:rsidR="004B6398" w:rsidRDefault="004B6398" w:rsidP="004B6398"/>
    <w:p w14:paraId="15F6F2BC" w14:textId="77777777" w:rsidR="004B6398" w:rsidRDefault="004B6398" w:rsidP="004B6398"/>
    <w:p w14:paraId="3DCAD816" w14:textId="77777777" w:rsidR="004B6398" w:rsidRDefault="004B6398" w:rsidP="004B6398"/>
    <w:p w14:paraId="29D089E7" w14:textId="77777777" w:rsidR="004B6398" w:rsidRDefault="004B6398" w:rsidP="004B6398"/>
    <w:p w14:paraId="40472874" w14:textId="77777777" w:rsidR="004B6398" w:rsidRDefault="004B6398" w:rsidP="004B6398"/>
    <w:p w14:paraId="04E7B333" w14:textId="77777777" w:rsidR="004B6398" w:rsidRDefault="004B6398" w:rsidP="004B6398"/>
    <w:p w14:paraId="47D262D3" w14:textId="77777777" w:rsidR="004B6398" w:rsidRDefault="004B6398" w:rsidP="004B6398"/>
    <w:p w14:paraId="6D261470" w14:textId="77777777" w:rsidR="004B6398" w:rsidRDefault="004B6398" w:rsidP="004B6398"/>
    <w:p w14:paraId="68EAFA15" w14:textId="77777777" w:rsidR="004B6398" w:rsidRDefault="004B6398" w:rsidP="004B6398"/>
    <w:p w14:paraId="1988D8F7" w14:textId="77777777" w:rsidR="004B6398" w:rsidRDefault="004B6398" w:rsidP="004B6398"/>
    <w:p w14:paraId="31F82D56" w14:textId="77777777" w:rsidR="004B6398" w:rsidRDefault="004B6398" w:rsidP="004B6398"/>
    <w:p w14:paraId="18EFF929" w14:textId="77777777" w:rsidR="004B6398" w:rsidRDefault="004B6398" w:rsidP="004B6398"/>
    <w:p w14:paraId="49366738" w14:textId="77777777" w:rsidR="004B6398" w:rsidRDefault="004B6398" w:rsidP="004B6398"/>
    <w:p w14:paraId="4722BA91" w14:textId="77777777" w:rsidR="00412E8A" w:rsidRDefault="00412E8A" w:rsidP="004B6398"/>
    <w:p w14:paraId="1A5C23BF" w14:textId="77777777" w:rsidR="00412E8A" w:rsidRDefault="00412E8A" w:rsidP="004B6398"/>
    <w:p w14:paraId="5BD40C69" w14:textId="77777777" w:rsidR="00412E8A" w:rsidRDefault="00412E8A" w:rsidP="004B6398"/>
    <w:p w14:paraId="70ECF08F" w14:textId="77777777" w:rsidR="00412E8A" w:rsidRDefault="00412E8A" w:rsidP="004B6398"/>
    <w:p w14:paraId="4CD584AD" w14:textId="77777777" w:rsidR="00412E8A" w:rsidRDefault="00412E8A" w:rsidP="004B6398"/>
    <w:p w14:paraId="364FBBE3" w14:textId="77777777" w:rsidR="00412E8A" w:rsidRDefault="00412E8A" w:rsidP="004B6398"/>
    <w:p w14:paraId="2BE7C18B" w14:textId="77777777" w:rsidR="00412E8A" w:rsidRDefault="00412E8A" w:rsidP="004B6398"/>
    <w:p w14:paraId="74F8AF4F" w14:textId="77777777" w:rsidR="004B6398" w:rsidRDefault="004B6398" w:rsidP="004B6398"/>
    <w:p w14:paraId="036A6449" w14:textId="77777777" w:rsidR="004B6398" w:rsidRPr="004B6398" w:rsidRDefault="004B6398" w:rsidP="004B6398"/>
    <w:p w14:paraId="4C493872" w14:textId="308C17E8" w:rsidR="00FD37DC" w:rsidRPr="00FD37DC" w:rsidRDefault="00FD37DC" w:rsidP="00FD37DC">
      <w:pPr>
        <w:rPr>
          <w:rFonts w:ascii="Arial" w:hAnsi="Arial" w:cs="Arial"/>
          <w:b/>
        </w:rPr>
      </w:pPr>
    </w:p>
    <w:sectPr w:rsidR="00FD37DC" w:rsidRPr="00FD37DC" w:rsidSect="004700F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Preetimayee Sahoo" w:date="2026-01-17T18:16:00Z" w:initials="Preeti">
    <w:p w14:paraId="40D4BF27" w14:textId="5792F63E" w:rsidR="00325885" w:rsidRDefault="00325885">
      <w:pPr>
        <w:pStyle w:val="CommentText"/>
      </w:pPr>
      <w:r>
        <w:rPr>
          <w:rStyle w:val="CommentReference"/>
        </w:rPr>
        <w:annotationRef/>
      </w:r>
      <w:r>
        <w:t>Abstract should be in IMRAD format and keywords should be added at the end of the abstract.</w:t>
      </w:r>
    </w:p>
  </w:comment>
  <w:comment w:id="1" w:author="Dr Preetimayee Sahoo" w:date="2026-01-16T16:29:00Z" w:initials="Preeti">
    <w:p w14:paraId="437B6DFE" w14:textId="1D5CBDE8" w:rsidR="002A471C" w:rsidRDefault="002A471C">
      <w:pPr>
        <w:pStyle w:val="CommentText"/>
      </w:pPr>
      <w:r>
        <w:rPr>
          <w:rStyle w:val="CommentReference"/>
        </w:rPr>
        <w:annotationRef/>
      </w:r>
      <w:r>
        <w:t xml:space="preserve">Gliricidia </w:t>
      </w:r>
      <w:proofErr w:type="spellStart"/>
      <w:r>
        <w:t>sepium</w:t>
      </w:r>
      <w:proofErr w:type="spellEnd"/>
      <w:r>
        <w:t xml:space="preserve"> should be in italics.</w:t>
      </w:r>
    </w:p>
  </w:comment>
  <w:comment w:id="2" w:author="Dr Preetimayee Sahoo" w:date="2026-01-16T16:51:00Z" w:initials="Preeti">
    <w:p w14:paraId="5808AF2B" w14:textId="22441027" w:rsidR="00B84499" w:rsidRDefault="00B84499">
      <w:pPr>
        <w:pStyle w:val="CommentText"/>
      </w:pPr>
      <w:r>
        <w:rPr>
          <w:rStyle w:val="CommentReference"/>
        </w:rPr>
        <w:annotationRef/>
      </w:r>
      <w:r>
        <w:t xml:space="preserve">Italics </w:t>
      </w:r>
    </w:p>
  </w:comment>
  <w:comment w:id="4" w:author="Dr Preetimayee Sahoo" w:date="2026-01-16T16:52:00Z" w:initials="Preeti">
    <w:p w14:paraId="282C73EC" w14:textId="4182A629" w:rsidR="00B84499" w:rsidRDefault="00B84499">
      <w:pPr>
        <w:pStyle w:val="CommentText"/>
      </w:pPr>
      <w:r>
        <w:rPr>
          <w:rStyle w:val="CommentReference"/>
        </w:rPr>
        <w:annotationRef/>
      </w:r>
      <w:r>
        <w:t>Unnecessary space should be avoided</w:t>
      </w:r>
    </w:p>
  </w:comment>
  <w:comment w:id="3" w:author="Dr Preetimayee Sahoo" w:date="2026-01-16T16:53:00Z" w:initials="Preeti">
    <w:p w14:paraId="5469CCBF" w14:textId="45912C9E" w:rsidR="00B84499" w:rsidRDefault="00B84499">
      <w:pPr>
        <w:pStyle w:val="CommentText"/>
      </w:pPr>
      <w:r>
        <w:rPr>
          <w:rStyle w:val="CommentReference"/>
        </w:rPr>
        <w:annotationRef/>
      </w:r>
      <w:r>
        <w:t>Font size is more than the rest of the text</w:t>
      </w:r>
    </w:p>
  </w:comment>
  <w:comment w:id="5" w:author="Dr Preetimayee Sahoo" w:date="2026-01-16T16:55:00Z" w:initials="Preeti">
    <w:p w14:paraId="6836720B" w14:textId="6C38161A" w:rsidR="00B84499" w:rsidRDefault="00B84499">
      <w:pPr>
        <w:pStyle w:val="CommentText"/>
      </w:pPr>
      <w:r>
        <w:rPr>
          <w:rStyle w:val="CommentReference"/>
        </w:rPr>
        <w:annotationRef/>
      </w:r>
      <w:r>
        <w:t>Unnecessary space</w:t>
      </w:r>
    </w:p>
  </w:comment>
  <w:comment w:id="7" w:author="Dr Preetimayee Sahoo" w:date="2026-01-17T17:06:00Z" w:initials="Preeti">
    <w:p w14:paraId="4F5DB21E" w14:textId="743AC83E" w:rsidR="00F24E58" w:rsidRDefault="00F24E58">
      <w:pPr>
        <w:pStyle w:val="CommentText"/>
      </w:pPr>
      <w:r>
        <w:rPr>
          <w:rStyle w:val="CommentReference"/>
        </w:rPr>
        <w:annotationRef/>
      </w:r>
      <w:r>
        <w:t>Needs correction</w:t>
      </w:r>
    </w:p>
  </w:comment>
  <w:comment w:id="8" w:author="Dr Preetimayee Sahoo" w:date="2026-01-17T17:20:00Z" w:initials="Preeti">
    <w:p w14:paraId="122D7417" w14:textId="7AC9A4D2" w:rsidR="00C16788" w:rsidRDefault="00C16788">
      <w:pPr>
        <w:pStyle w:val="CommentText"/>
      </w:pPr>
      <w:r>
        <w:rPr>
          <w:rStyle w:val="CommentReference"/>
        </w:rPr>
        <w:annotationRef/>
      </w:r>
      <w:r>
        <w:t xml:space="preserve">Font size throughout the manuscript is different </w:t>
      </w:r>
      <w:proofErr w:type="gramStart"/>
      <w:r>
        <w:t>….needs</w:t>
      </w:r>
      <w:proofErr w:type="gramEnd"/>
      <w:r>
        <w:t xml:space="preserve"> uniformity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D4BF27" w15:done="0"/>
  <w15:commentEx w15:paraId="437B6DFE" w15:done="0"/>
  <w15:commentEx w15:paraId="5808AF2B" w15:done="0"/>
  <w15:commentEx w15:paraId="282C73EC" w15:done="0"/>
  <w15:commentEx w15:paraId="5469CCBF" w15:done="0"/>
  <w15:commentEx w15:paraId="6836720B" w15:done="0"/>
  <w15:commentEx w15:paraId="4F5DB21E" w15:done="0"/>
  <w15:commentEx w15:paraId="122D74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7E7E93" w16cex:dateUtc="2026-01-17T12:46:00Z"/>
  <w16cex:commentExtensible w16cex:durableId="6B47805A" w16cex:dateUtc="2026-01-16T10:59:00Z"/>
  <w16cex:commentExtensible w16cex:durableId="3577F268" w16cex:dateUtc="2026-01-16T11:21:00Z"/>
  <w16cex:commentExtensible w16cex:durableId="6BD8203C" w16cex:dateUtc="2026-01-16T11:22:00Z"/>
  <w16cex:commentExtensible w16cex:durableId="32286570" w16cex:dateUtc="2026-01-16T11:23:00Z"/>
  <w16cex:commentExtensible w16cex:durableId="4BAAC857" w16cex:dateUtc="2026-01-16T11:25:00Z"/>
  <w16cex:commentExtensible w16cex:durableId="59EC92A3" w16cex:dateUtc="2026-01-17T11:36:00Z"/>
  <w16cex:commentExtensible w16cex:durableId="05F52992" w16cex:dateUtc="2026-01-17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D4BF27" w16cid:durableId="747E7E93"/>
  <w16cid:commentId w16cid:paraId="437B6DFE" w16cid:durableId="6B47805A"/>
  <w16cid:commentId w16cid:paraId="5808AF2B" w16cid:durableId="3577F268"/>
  <w16cid:commentId w16cid:paraId="282C73EC" w16cid:durableId="6BD8203C"/>
  <w16cid:commentId w16cid:paraId="5469CCBF" w16cid:durableId="32286570"/>
  <w16cid:commentId w16cid:paraId="6836720B" w16cid:durableId="4BAAC857"/>
  <w16cid:commentId w16cid:paraId="4F5DB21E" w16cid:durableId="59EC92A3"/>
  <w16cid:commentId w16cid:paraId="122D7417" w16cid:durableId="05F529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2638" w14:textId="77777777" w:rsidR="003438E4" w:rsidRDefault="003438E4" w:rsidP="004700F2">
      <w:pPr>
        <w:spacing w:after="0" w:line="240" w:lineRule="auto"/>
      </w:pPr>
      <w:r>
        <w:separator/>
      </w:r>
    </w:p>
  </w:endnote>
  <w:endnote w:type="continuationSeparator" w:id="0">
    <w:p w14:paraId="28153173" w14:textId="77777777" w:rsidR="003438E4" w:rsidRDefault="003438E4" w:rsidP="0047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toneSerif">
    <w:altName w:val="Times New Roman"/>
    <w:panose1 w:val="00000000000000000000"/>
    <w:charset w:val="00"/>
    <w:family w:val="roman"/>
    <w:notTrueType/>
    <w:pitch w:val="default"/>
  </w:font>
  <w:font w:name="StoneSerif-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EF91" w14:textId="77777777" w:rsidR="00630EBF" w:rsidRDefault="00630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477430"/>
      <w:docPartObj>
        <w:docPartGallery w:val="Page Numbers (Bottom of Page)"/>
        <w:docPartUnique/>
      </w:docPartObj>
    </w:sdtPr>
    <w:sdtEndPr>
      <w:rPr>
        <w:noProof/>
      </w:rPr>
    </w:sdtEndPr>
    <w:sdtContent>
      <w:p w14:paraId="594DF67A" w14:textId="77777777" w:rsidR="004700F2" w:rsidRDefault="004700F2">
        <w:pPr>
          <w:pStyle w:val="Footer"/>
          <w:jc w:val="center"/>
        </w:pPr>
        <w:r>
          <w:fldChar w:fldCharType="begin"/>
        </w:r>
        <w:r>
          <w:instrText xml:space="preserve"> PAGE   \* MERGEFORMAT </w:instrText>
        </w:r>
        <w:r>
          <w:fldChar w:fldCharType="separate"/>
        </w:r>
        <w:r w:rsidR="00E42F55">
          <w:rPr>
            <w:noProof/>
          </w:rPr>
          <w:t>1</w:t>
        </w:r>
        <w:r>
          <w:rPr>
            <w:noProof/>
          </w:rPr>
          <w:fldChar w:fldCharType="end"/>
        </w:r>
      </w:p>
    </w:sdtContent>
  </w:sdt>
  <w:p w14:paraId="1EF59A03" w14:textId="77777777" w:rsidR="004700F2" w:rsidRDefault="00470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AF85" w14:textId="77777777" w:rsidR="00630EBF" w:rsidRDefault="00630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4B81" w14:textId="77777777" w:rsidR="003438E4" w:rsidRDefault="003438E4" w:rsidP="004700F2">
      <w:pPr>
        <w:spacing w:after="0" w:line="240" w:lineRule="auto"/>
      </w:pPr>
      <w:r>
        <w:separator/>
      </w:r>
    </w:p>
  </w:footnote>
  <w:footnote w:type="continuationSeparator" w:id="0">
    <w:p w14:paraId="19C7B5F8" w14:textId="77777777" w:rsidR="003438E4" w:rsidRDefault="003438E4" w:rsidP="0047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32BF" w14:textId="1B3038F9" w:rsidR="00630EBF" w:rsidRDefault="00000000">
    <w:pPr>
      <w:pStyle w:val="Header"/>
    </w:pPr>
    <w:r>
      <w:rPr>
        <w:noProof/>
      </w:rPr>
      <w:pict w14:anchorId="2F66F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770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4180" w14:textId="66957F35" w:rsidR="00630EBF" w:rsidRDefault="00000000">
    <w:pPr>
      <w:pStyle w:val="Header"/>
    </w:pPr>
    <w:r>
      <w:rPr>
        <w:noProof/>
      </w:rPr>
      <w:pict w14:anchorId="25AC8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770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FB51" w14:textId="1ECBCD3A" w:rsidR="00630EBF" w:rsidRDefault="00000000">
    <w:pPr>
      <w:pStyle w:val="Header"/>
    </w:pPr>
    <w:r>
      <w:rPr>
        <w:noProof/>
      </w:rPr>
      <w:pict w14:anchorId="4E11E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770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8AE"/>
    <w:multiLevelType w:val="hybridMultilevel"/>
    <w:tmpl w:val="5FCC6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A087C"/>
    <w:multiLevelType w:val="hybridMultilevel"/>
    <w:tmpl w:val="530C4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920B5"/>
    <w:multiLevelType w:val="hybridMultilevel"/>
    <w:tmpl w:val="A5D8E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E61E02"/>
    <w:multiLevelType w:val="multilevel"/>
    <w:tmpl w:val="BB204A84"/>
    <w:lvl w:ilvl="0">
      <w:start w:val="3"/>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7E136F"/>
    <w:multiLevelType w:val="hybridMultilevel"/>
    <w:tmpl w:val="C0AC2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0C1546"/>
    <w:multiLevelType w:val="multilevel"/>
    <w:tmpl w:val="9774C6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26336E"/>
    <w:multiLevelType w:val="multilevel"/>
    <w:tmpl w:val="C6BE133C"/>
    <w:lvl w:ilvl="0">
      <w:start w:val="1"/>
      <w:numFmt w:val="decimal"/>
      <w:pStyle w:val="Heading1"/>
      <w:lvlText w:val="%1.0"/>
      <w:lvlJc w:val="left"/>
      <w:pPr>
        <w:ind w:left="720" w:hanging="720"/>
      </w:pPr>
      <w:rPr>
        <w:rFonts w:hint="default"/>
        <w:b/>
      </w:rPr>
    </w:lvl>
    <w:lvl w:ilvl="1">
      <w:start w:val="1"/>
      <w:numFmt w:val="decimal"/>
      <w:pStyle w:val="Heading2"/>
      <w:lvlText w:val="%1.%2"/>
      <w:lvlJc w:val="left"/>
      <w:pPr>
        <w:ind w:left="720" w:hanging="720"/>
      </w:pPr>
      <w:rPr>
        <w:rFonts w:hint="default"/>
        <w:i w: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4C4FBD"/>
    <w:multiLevelType w:val="hybridMultilevel"/>
    <w:tmpl w:val="93801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95193E"/>
    <w:multiLevelType w:val="hybridMultilevel"/>
    <w:tmpl w:val="1B980C0A"/>
    <w:lvl w:ilvl="0" w:tplc="34E209C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5180209">
    <w:abstractNumId w:val="7"/>
  </w:num>
  <w:num w:numId="2" w16cid:durableId="1488784997">
    <w:abstractNumId w:val="4"/>
  </w:num>
  <w:num w:numId="3" w16cid:durableId="262960319">
    <w:abstractNumId w:val="6"/>
  </w:num>
  <w:num w:numId="4" w16cid:durableId="1646550367">
    <w:abstractNumId w:val="5"/>
  </w:num>
  <w:num w:numId="5" w16cid:durableId="1872302821">
    <w:abstractNumId w:val="0"/>
  </w:num>
  <w:num w:numId="6" w16cid:durableId="1312715268">
    <w:abstractNumId w:val="3"/>
  </w:num>
  <w:num w:numId="7" w16cid:durableId="1572037998">
    <w:abstractNumId w:val="2"/>
  </w:num>
  <w:num w:numId="8" w16cid:durableId="1983462199">
    <w:abstractNumId w:val="1"/>
  </w:num>
  <w:num w:numId="9" w16cid:durableId="74569137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Preetimayee Sahoo">
    <w15:presenceInfo w15:providerId="None" w15:userId="Dr Preetimayee Sah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A0"/>
    <w:rsid w:val="0001192C"/>
    <w:rsid w:val="00071500"/>
    <w:rsid w:val="00072E6F"/>
    <w:rsid w:val="00147FA0"/>
    <w:rsid w:val="001601F2"/>
    <w:rsid w:val="001862CE"/>
    <w:rsid w:val="00197517"/>
    <w:rsid w:val="001B2B12"/>
    <w:rsid w:val="001E5205"/>
    <w:rsid w:val="001F37F6"/>
    <w:rsid w:val="00233384"/>
    <w:rsid w:val="00241D68"/>
    <w:rsid w:val="00290392"/>
    <w:rsid w:val="0029576F"/>
    <w:rsid w:val="002A471C"/>
    <w:rsid w:val="002F52E2"/>
    <w:rsid w:val="00325885"/>
    <w:rsid w:val="003438E4"/>
    <w:rsid w:val="00343A71"/>
    <w:rsid w:val="00354B5F"/>
    <w:rsid w:val="003709B6"/>
    <w:rsid w:val="003854E8"/>
    <w:rsid w:val="003923F8"/>
    <w:rsid w:val="00394A0E"/>
    <w:rsid w:val="00397112"/>
    <w:rsid w:val="003C21B3"/>
    <w:rsid w:val="00400F67"/>
    <w:rsid w:val="00412E8A"/>
    <w:rsid w:val="00433CCA"/>
    <w:rsid w:val="004700F2"/>
    <w:rsid w:val="004739E3"/>
    <w:rsid w:val="004B2E95"/>
    <w:rsid w:val="004B6398"/>
    <w:rsid w:val="004C10AC"/>
    <w:rsid w:val="0059239B"/>
    <w:rsid w:val="005A47DE"/>
    <w:rsid w:val="005D1A51"/>
    <w:rsid w:val="005F2938"/>
    <w:rsid w:val="00630EBF"/>
    <w:rsid w:val="0063111B"/>
    <w:rsid w:val="006527CB"/>
    <w:rsid w:val="00654581"/>
    <w:rsid w:val="006A108B"/>
    <w:rsid w:val="006F559B"/>
    <w:rsid w:val="006F614E"/>
    <w:rsid w:val="00721A1D"/>
    <w:rsid w:val="007272F5"/>
    <w:rsid w:val="00744492"/>
    <w:rsid w:val="007874A0"/>
    <w:rsid w:val="00793CA1"/>
    <w:rsid w:val="0079603C"/>
    <w:rsid w:val="007D4001"/>
    <w:rsid w:val="007E61F8"/>
    <w:rsid w:val="008A76D0"/>
    <w:rsid w:val="008D01F8"/>
    <w:rsid w:val="008E0006"/>
    <w:rsid w:val="008E0A05"/>
    <w:rsid w:val="008E3A71"/>
    <w:rsid w:val="008E73A4"/>
    <w:rsid w:val="009308E6"/>
    <w:rsid w:val="0094062F"/>
    <w:rsid w:val="009866D1"/>
    <w:rsid w:val="00990828"/>
    <w:rsid w:val="009D08B8"/>
    <w:rsid w:val="00A02E4E"/>
    <w:rsid w:val="00A11F1A"/>
    <w:rsid w:val="00A13FA5"/>
    <w:rsid w:val="00A76E0C"/>
    <w:rsid w:val="00A8003D"/>
    <w:rsid w:val="00A97016"/>
    <w:rsid w:val="00AA7FF5"/>
    <w:rsid w:val="00AB1527"/>
    <w:rsid w:val="00B26256"/>
    <w:rsid w:val="00B3062E"/>
    <w:rsid w:val="00B45B38"/>
    <w:rsid w:val="00B60A93"/>
    <w:rsid w:val="00B60E27"/>
    <w:rsid w:val="00B64C75"/>
    <w:rsid w:val="00B84499"/>
    <w:rsid w:val="00BC1E2E"/>
    <w:rsid w:val="00BE65C4"/>
    <w:rsid w:val="00BF0083"/>
    <w:rsid w:val="00BF3AD7"/>
    <w:rsid w:val="00C07D6B"/>
    <w:rsid w:val="00C13F47"/>
    <w:rsid w:val="00C16788"/>
    <w:rsid w:val="00C20ACC"/>
    <w:rsid w:val="00C866B5"/>
    <w:rsid w:val="00C90229"/>
    <w:rsid w:val="00CB5F3D"/>
    <w:rsid w:val="00CE1AEF"/>
    <w:rsid w:val="00D44EB4"/>
    <w:rsid w:val="00D6086F"/>
    <w:rsid w:val="00D6303C"/>
    <w:rsid w:val="00D64F9B"/>
    <w:rsid w:val="00D8648D"/>
    <w:rsid w:val="00DA13FA"/>
    <w:rsid w:val="00DC164C"/>
    <w:rsid w:val="00E221A1"/>
    <w:rsid w:val="00E42F55"/>
    <w:rsid w:val="00E46E80"/>
    <w:rsid w:val="00E634C1"/>
    <w:rsid w:val="00E7756B"/>
    <w:rsid w:val="00EB5F28"/>
    <w:rsid w:val="00EC2A68"/>
    <w:rsid w:val="00ED7FF0"/>
    <w:rsid w:val="00F15B3C"/>
    <w:rsid w:val="00F204C3"/>
    <w:rsid w:val="00F24E58"/>
    <w:rsid w:val="00F37C21"/>
    <w:rsid w:val="00FC42F5"/>
    <w:rsid w:val="00FD1985"/>
    <w:rsid w:val="00FD37DC"/>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7BE4"/>
  <w15:chartTrackingRefBased/>
  <w15:docId w15:val="{105FDE26-1650-4613-B5DA-BDE71A0F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FA0"/>
    <w:rPr>
      <w:lang w:val="en-US"/>
    </w:rPr>
  </w:style>
  <w:style w:type="paragraph" w:styleId="Heading1">
    <w:name w:val="heading 1"/>
    <w:basedOn w:val="Normal"/>
    <w:next w:val="Normal"/>
    <w:link w:val="Heading1Char"/>
    <w:uiPriority w:val="9"/>
    <w:qFormat/>
    <w:rsid w:val="00C13F47"/>
    <w:pPr>
      <w:numPr>
        <w:numId w:val="3"/>
      </w:numPr>
      <w:spacing w:after="0" w:line="480" w:lineRule="auto"/>
      <w:jc w:val="both"/>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13F47"/>
    <w:pPr>
      <w:numPr>
        <w:ilvl w:val="1"/>
        <w:numId w:val="3"/>
      </w:numPr>
      <w:spacing w:after="0" w:line="480" w:lineRule="auto"/>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C13F47"/>
    <w:pPr>
      <w:numPr>
        <w:ilvl w:val="2"/>
        <w:numId w:val="3"/>
      </w:numPr>
      <w:spacing w:after="0" w:line="48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semiHidden/>
    <w:unhideWhenUsed/>
    <w:qFormat/>
    <w:rsid w:val="003971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link w:val="Pa3Char"/>
    <w:uiPriority w:val="99"/>
    <w:rsid w:val="00147FA0"/>
    <w:pPr>
      <w:autoSpaceDE w:val="0"/>
      <w:autoSpaceDN w:val="0"/>
      <w:adjustRightInd w:val="0"/>
      <w:spacing w:after="0" w:line="207" w:lineRule="atLeast"/>
    </w:pPr>
    <w:rPr>
      <w:rFonts w:ascii="Times New Roman" w:hAnsi="Times New Roman" w:cs="Times New Roman"/>
      <w:sz w:val="24"/>
      <w:szCs w:val="24"/>
    </w:rPr>
  </w:style>
  <w:style w:type="character" w:customStyle="1" w:styleId="Pa3Char">
    <w:name w:val="Pa3 Char"/>
    <w:basedOn w:val="DefaultParagraphFont"/>
    <w:link w:val="Pa3"/>
    <w:uiPriority w:val="99"/>
    <w:rsid w:val="00147FA0"/>
    <w:rPr>
      <w:rFonts w:ascii="Times New Roman" w:hAnsi="Times New Roman" w:cs="Times New Roman"/>
      <w:sz w:val="24"/>
      <w:szCs w:val="24"/>
      <w:lang w:val="en-US"/>
    </w:rPr>
  </w:style>
  <w:style w:type="character" w:styleId="Hyperlink">
    <w:name w:val="Hyperlink"/>
    <w:basedOn w:val="DefaultParagraphFont"/>
    <w:uiPriority w:val="99"/>
    <w:unhideWhenUsed/>
    <w:rsid w:val="00147FA0"/>
    <w:rPr>
      <w:color w:val="0563C1" w:themeColor="hyperlink"/>
      <w:u w:val="single"/>
    </w:rPr>
  </w:style>
  <w:style w:type="paragraph" w:customStyle="1" w:styleId="Body">
    <w:name w:val="Body"/>
    <w:basedOn w:val="Normal"/>
    <w:rsid w:val="004C10AC"/>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39"/>
    <w:rsid w:val="00400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0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F2"/>
    <w:rPr>
      <w:lang w:val="en-US"/>
    </w:rPr>
  </w:style>
  <w:style w:type="paragraph" w:styleId="Footer">
    <w:name w:val="footer"/>
    <w:basedOn w:val="Normal"/>
    <w:link w:val="FooterChar"/>
    <w:uiPriority w:val="99"/>
    <w:unhideWhenUsed/>
    <w:rsid w:val="00470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F2"/>
    <w:rPr>
      <w:lang w:val="en-US"/>
    </w:rPr>
  </w:style>
  <w:style w:type="paragraph" w:styleId="ListParagraph">
    <w:name w:val="List Paragraph"/>
    <w:basedOn w:val="Normal"/>
    <w:link w:val="ListParagraphChar"/>
    <w:uiPriority w:val="34"/>
    <w:qFormat/>
    <w:rsid w:val="00241D68"/>
    <w:pPr>
      <w:ind w:left="720"/>
      <w:contextualSpacing/>
    </w:pPr>
  </w:style>
  <w:style w:type="paragraph" w:styleId="NormalWeb">
    <w:name w:val="Normal (Web)"/>
    <w:basedOn w:val="Normal"/>
    <w:uiPriority w:val="99"/>
    <w:unhideWhenUsed/>
    <w:rsid w:val="00241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13F47"/>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uiPriority w:val="9"/>
    <w:rsid w:val="00C13F47"/>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uiPriority w:val="9"/>
    <w:rsid w:val="00C13F47"/>
    <w:rPr>
      <w:rFonts w:ascii="Times New Roman" w:eastAsia="Times New Roman" w:hAnsi="Times New Roman" w:cs="Times New Roman"/>
      <w:b/>
      <w:sz w:val="24"/>
      <w:szCs w:val="24"/>
      <w:lang w:val="en-US"/>
    </w:rPr>
  </w:style>
  <w:style w:type="character" w:customStyle="1" w:styleId="Heading4Char">
    <w:name w:val="Heading 4 Char"/>
    <w:basedOn w:val="DefaultParagraphFont"/>
    <w:link w:val="Heading4"/>
    <w:uiPriority w:val="9"/>
    <w:semiHidden/>
    <w:rsid w:val="00397112"/>
    <w:rPr>
      <w:rFonts w:asciiTheme="majorHAnsi" w:eastAsiaTheme="majorEastAsia" w:hAnsiTheme="majorHAnsi" w:cstheme="majorBidi"/>
      <w:i/>
      <w:iCs/>
      <w:color w:val="2E74B5" w:themeColor="accent1" w:themeShade="BF"/>
      <w:lang w:val="en-US"/>
    </w:rPr>
  </w:style>
  <w:style w:type="character" w:customStyle="1" w:styleId="ListParagraphChar">
    <w:name w:val="List Paragraph Char"/>
    <w:basedOn w:val="DefaultParagraphFont"/>
    <w:link w:val="ListParagraph"/>
    <w:uiPriority w:val="34"/>
    <w:locked/>
    <w:rsid w:val="00B3062E"/>
    <w:rPr>
      <w:lang w:val="en-US"/>
    </w:rPr>
  </w:style>
  <w:style w:type="paragraph" w:customStyle="1" w:styleId="AcknHead">
    <w:name w:val="Ackn Head"/>
    <w:basedOn w:val="Normal"/>
    <w:rsid w:val="00B3062E"/>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B3062E"/>
    <w:pPr>
      <w:keepNext/>
      <w:spacing w:after="240" w:line="240" w:lineRule="auto"/>
    </w:pPr>
    <w:rPr>
      <w:rFonts w:ascii="Helvetica" w:eastAsia="Times New Roman" w:hAnsi="Helvetica" w:cs="Times New Roman"/>
      <w:b/>
      <w:caps/>
      <w:szCs w:val="20"/>
    </w:rPr>
  </w:style>
  <w:style w:type="character" w:customStyle="1" w:styleId="fontstyle01">
    <w:name w:val="fontstyle01"/>
    <w:basedOn w:val="DefaultParagraphFont"/>
    <w:rsid w:val="009866D1"/>
    <w:rPr>
      <w:rFonts w:ascii="StoneSerif" w:hAnsi="StoneSerif" w:hint="default"/>
      <w:b w:val="0"/>
      <w:bCs w:val="0"/>
      <w:i w:val="0"/>
      <w:iCs w:val="0"/>
      <w:color w:val="000000"/>
      <w:sz w:val="18"/>
      <w:szCs w:val="18"/>
    </w:rPr>
  </w:style>
  <w:style w:type="character" w:customStyle="1" w:styleId="fontstyle21">
    <w:name w:val="fontstyle21"/>
    <w:basedOn w:val="DefaultParagraphFont"/>
    <w:rsid w:val="009866D1"/>
    <w:rPr>
      <w:rFonts w:ascii="StoneSerif-Italic" w:hAnsi="StoneSerif-Italic" w:hint="default"/>
      <w:b w:val="0"/>
      <w:bCs w:val="0"/>
      <w:i/>
      <w:iCs/>
      <w:color w:val="000000"/>
      <w:sz w:val="18"/>
      <w:szCs w:val="18"/>
    </w:rPr>
  </w:style>
  <w:style w:type="character" w:customStyle="1" w:styleId="bkciteavail">
    <w:name w:val="bk_cite_avail"/>
    <w:basedOn w:val="DefaultParagraphFont"/>
    <w:rsid w:val="001862CE"/>
  </w:style>
  <w:style w:type="character" w:styleId="UnresolvedMention">
    <w:name w:val="Unresolved Mention"/>
    <w:basedOn w:val="DefaultParagraphFont"/>
    <w:uiPriority w:val="99"/>
    <w:semiHidden/>
    <w:unhideWhenUsed/>
    <w:rsid w:val="00744492"/>
    <w:rPr>
      <w:color w:val="605E5C"/>
      <w:shd w:val="clear" w:color="auto" w:fill="E1DFDD"/>
    </w:rPr>
  </w:style>
  <w:style w:type="character" w:styleId="CommentReference">
    <w:name w:val="annotation reference"/>
    <w:basedOn w:val="DefaultParagraphFont"/>
    <w:uiPriority w:val="99"/>
    <w:semiHidden/>
    <w:unhideWhenUsed/>
    <w:rsid w:val="002A471C"/>
    <w:rPr>
      <w:sz w:val="16"/>
      <w:szCs w:val="16"/>
    </w:rPr>
  </w:style>
  <w:style w:type="paragraph" w:styleId="CommentText">
    <w:name w:val="annotation text"/>
    <w:basedOn w:val="Normal"/>
    <w:link w:val="CommentTextChar"/>
    <w:uiPriority w:val="99"/>
    <w:semiHidden/>
    <w:unhideWhenUsed/>
    <w:rsid w:val="002A471C"/>
    <w:pPr>
      <w:spacing w:line="240" w:lineRule="auto"/>
    </w:pPr>
    <w:rPr>
      <w:sz w:val="20"/>
      <w:szCs w:val="20"/>
    </w:rPr>
  </w:style>
  <w:style w:type="character" w:customStyle="1" w:styleId="CommentTextChar">
    <w:name w:val="Comment Text Char"/>
    <w:basedOn w:val="DefaultParagraphFont"/>
    <w:link w:val="CommentText"/>
    <w:uiPriority w:val="99"/>
    <w:semiHidden/>
    <w:rsid w:val="002A471C"/>
    <w:rPr>
      <w:sz w:val="20"/>
      <w:szCs w:val="20"/>
      <w:lang w:val="en-US"/>
    </w:rPr>
  </w:style>
  <w:style w:type="paragraph" w:styleId="CommentSubject">
    <w:name w:val="annotation subject"/>
    <w:basedOn w:val="CommentText"/>
    <w:next w:val="CommentText"/>
    <w:link w:val="CommentSubjectChar"/>
    <w:uiPriority w:val="99"/>
    <w:semiHidden/>
    <w:unhideWhenUsed/>
    <w:rsid w:val="002A471C"/>
    <w:rPr>
      <w:b/>
      <w:bCs/>
    </w:rPr>
  </w:style>
  <w:style w:type="character" w:customStyle="1" w:styleId="CommentSubjectChar">
    <w:name w:val="Comment Subject Char"/>
    <w:basedOn w:val="CommentTextChar"/>
    <w:link w:val="CommentSubject"/>
    <w:uiPriority w:val="99"/>
    <w:semiHidden/>
    <w:rsid w:val="002A471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2411</TotalTime>
  <Pages>16</Pages>
  <Words>3347</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dc:creator>
  <cp:keywords/>
  <dc:description/>
  <cp:lastModifiedBy>Dr Preetimayee Sahoo</cp:lastModifiedBy>
  <cp:revision>16</cp:revision>
  <dcterms:created xsi:type="dcterms:W3CDTF">2025-12-31T14:31:00Z</dcterms:created>
  <dcterms:modified xsi:type="dcterms:W3CDTF">2026-01-17T13:01:00Z</dcterms:modified>
</cp:coreProperties>
</file>