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369D" w14:textId="77777777" w:rsidR="00C3411D" w:rsidRDefault="003D13F0">
      <w:pPr>
        <w:jc w:val="center"/>
        <w:rPr>
          <w:rFonts w:ascii="Times New Roman" w:hAnsi="Times New Roman" w:cs="Times New Roman"/>
          <w:b/>
          <w:bCs/>
          <w:sz w:val="24"/>
          <w:szCs w:val="24"/>
        </w:rPr>
      </w:pPr>
      <w:commentRangeStart w:id="0"/>
      <w:r>
        <w:rPr>
          <w:rFonts w:ascii="Times New Roman" w:hAnsi="Times New Roman" w:cs="Times New Roman"/>
          <w:b/>
          <w:bCs/>
          <w:sz w:val="24"/>
          <w:szCs w:val="24"/>
        </w:rPr>
        <w:t xml:space="preserve">Comparative Analysis of Heavy Metal Concentrations (Al, Mn, Se, Sb, Mo) in Catfish, Snail, and Periwinkle from Abakpa, </w:t>
      </w:r>
      <w:proofErr w:type="spellStart"/>
      <w:r>
        <w:rPr>
          <w:rFonts w:ascii="Times New Roman" w:hAnsi="Times New Roman" w:cs="Times New Roman"/>
          <w:b/>
          <w:bCs/>
          <w:sz w:val="24"/>
          <w:szCs w:val="24"/>
        </w:rPr>
        <w:t>Garki</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Ogbete</w:t>
      </w:r>
      <w:proofErr w:type="spellEnd"/>
      <w:r>
        <w:rPr>
          <w:rFonts w:ascii="Times New Roman" w:hAnsi="Times New Roman" w:cs="Times New Roman"/>
          <w:b/>
          <w:bCs/>
          <w:sz w:val="24"/>
          <w:szCs w:val="24"/>
        </w:rPr>
        <w:t xml:space="preserve"> Markets</w:t>
      </w:r>
    </w:p>
    <w:commentRangeEnd w:id="0"/>
    <w:p w14:paraId="653C320E" w14:textId="77777777" w:rsidR="00C3411D" w:rsidRDefault="000E14C3">
      <w:pPr>
        <w:jc w:val="both"/>
        <w:rPr>
          <w:rFonts w:ascii="Times New Roman" w:hAnsi="Times New Roman" w:cs="Times New Roman"/>
          <w:b/>
          <w:bCs/>
          <w:sz w:val="24"/>
          <w:szCs w:val="24"/>
        </w:rPr>
      </w:pPr>
      <w:r>
        <w:rPr>
          <w:rStyle w:val="CommentReference"/>
        </w:rPr>
        <w:commentReference w:id="0"/>
      </w:r>
    </w:p>
    <w:p w14:paraId="5F5E6F4C" w14:textId="7CE81714" w:rsidR="00831216" w:rsidRDefault="00831216">
      <w:pPr>
        <w:jc w:val="both"/>
        <w:rPr>
          <w:rFonts w:ascii="Times New Roman" w:hAnsi="Times New Roman" w:cs="Times New Roman"/>
          <w:sz w:val="24"/>
          <w:szCs w:val="24"/>
        </w:rPr>
      </w:pPr>
    </w:p>
    <w:p w14:paraId="6ECA537F" w14:textId="77777777" w:rsidR="00903616" w:rsidRDefault="00903616">
      <w:pPr>
        <w:jc w:val="both"/>
        <w:rPr>
          <w:rFonts w:ascii="Times New Roman" w:hAnsi="Times New Roman" w:cs="Times New Roman"/>
          <w:sz w:val="24"/>
          <w:szCs w:val="24"/>
        </w:rPr>
      </w:pPr>
    </w:p>
    <w:p w14:paraId="647821C7" w14:textId="77777777" w:rsidR="00C3411D" w:rsidRDefault="003D13F0">
      <w:pPr>
        <w:jc w:val="both"/>
        <w:rPr>
          <w:rFonts w:ascii="Times New Roman" w:hAnsi="Times New Roman"/>
          <w:sz w:val="24"/>
          <w:szCs w:val="24"/>
        </w:rPr>
      </w:pPr>
      <w:r>
        <w:rPr>
          <w:rFonts w:ascii="Times New Roman" w:hAnsi="Times New Roman"/>
          <w:b/>
          <w:bCs/>
          <w:sz w:val="24"/>
          <w:szCs w:val="24"/>
        </w:rPr>
        <w:t>Abstract</w:t>
      </w:r>
    </w:p>
    <w:p w14:paraId="17AA2397" w14:textId="3A7BE6B8" w:rsidR="00C3411D" w:rsidRDefault="003D13F0">
      <w:pPr>
        <w:jc w:val="both"/>
        <w:rPr>
          <w:rFonts w:ascii="Times New Roman" w:hAnsi="Times New Roman" w:cs="Times New Roman"/>
          <w:sz w:val="24"/>
          <w:szCs w:val="24"/>
        </w:rPr>
      </w:pPr>
      <w:commentRangeStart w:id="1"/>
      <w:r>
        <w:rPr>
          <w:rFonts w:ascii="Times New Roman" w:eastAsia="SimSun" w:hAnsi="Times New Roman" w:cs="Times New Roman"/>
          <w:sz w:val="24"/>
          <w:szCs w:val="24"/>
        </w:rPr>
        <w:t xml:space="preserve">This study assessed the concentrations of selected heavy metals—aluminum (Al), manganese (Mn), selenium (Se), antimony (Sb), and molybdenum (Mo)—in commonly consumed seafood (catfish, snail, and periwinkle) obtained from Abakpa,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markets in Enugu, Nigeria. Samples were analyzed using Atomic Absorption Spectrophotometry to determine metal levels and evaluate potential health risks. Results showed that selenium consistently </w:t>
      </w:r>
      <w:r w:rsidRPr="009551FA">
        <w:rPr>
          <w:rFonts w:ascii="Times New Roman" w:eastAsia="SimSun" w:hAnsi="Times New Roman" w:cs="Times New Roman"/>
          <w:strike/>
          <w:sz w:val="24"/>
          <w:szCs w:val="24"/>
        </w:rPr>
        <w:t>recorded</w:t>
      </w:r>
      <w:r>
        <w:rPr>
          <w:rFonts w:ascii="Times New Roman" w:eastAsia="SimSun" w:hAnsi="Times New Roman" w:cs="Times New Roman"/>
          <w:sz w:val="24"/>
          <w:szCs w:val="24"/>
        </w:rPr>
        <w:t xml:space="preserve"> </w:t>
      </w:r>
      <w:commentRangeStart w:id="2"/>
      <w:r w:rsidR="009551FA" w:rsidRPr="009551FA">
        <w:rPr>
          <w:rFonts w:ascii="Times New Roman" w:eastAsia="SimSun" w:hAnsi="Times New Roman" w:cs="Times New Roman"/>
          <w:sz w:val="24"/>
          <w:szCs w:val="24"/>
          <w:highlight w:val="yellow"/>
        </w:rPr>
        <w:t>had</w:t>
      </w:r>
      <w:commentRangeEnd w:id="2"/>
      <w:r w:rsidR="008335B8">
        <w:rPr>
          <w:rStyle w:val="CommentReference"/>
        </w:rPr>
        <w:commentReference w:id="2"/>
      </w:r>
      <w:r w:rsidR="009551FA">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the highest concentrations across all markets and seafood types, with a maximum value of 0.156 mg/kg observed in snails from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 Antimony was the least detected metal, often occurring at very low levels or being undetectable, particularly in catfish from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market. Molybdenum concentrations varied among seafood types, with the highest level (0.078 mg/kg) </w:t>
      </w:r>
      <w:r w:rsidRPr="009551FA">
        <w:rPr>
          <w:rFonts w:ascii="Times New Roman" w:eastAsia="SimSun" w:hAnsi="Times New Roman" w:cs="Times New Roman"/>
          <w:strike/>
          <w:sz w:val="24"/>
          <w:szCs w:val="24"/>
        </w:rPr>
        <w:t>found</w:t>
      </w:r>
      <w:r>
        <w:rPr>
          <w:rFonts w:ascii="Times New Roman" w:eastAsia="SimSun" w:hAnsi="Times New Roman" w:cs="Times New Roman"/>
          <w:sz w:val="24"/>
          <w:szCs w:val="24"/>
        </w:rPr>
        <w:t xml:space="preserve"> in catfish from Abakpa market, while manganese showed notable accumulation in periwinkle, reaching </w:t>
      </w:r>
      <w:r w:rsidRPr="009551FA">
        <w:rPr>
          <w:rFonts w:ascii="Times New Roman" w:eastAsia="SimSun" w:hAnsi="Times New Roman" w:cs="Times New Roman"/>
          <w:strike/>
          <w:sz w:val="24"/>
          <w:szCs w:val="24"/>
        </w:rPr>
        <w:t>up to</w:t>
      </w:r>
      <w:r>
        <w:rPr>
          <w:rFonts w:ascii="Times New Roman" w:eastAsia="SimSun" w:hAnsi="Times New Roman" w:cs="Times New Roman"/>
          <w:sz w:val="24"/>
          <w:szCs w:val="24"/>
        </w:rPr>
        <w:t xml:space="preserve"> 0.069 mg/kg. </w:t>
      </w:r>
      <w:commentRangeStart w:id="3"/>
      <w:r>
        <w:rPr>
          <w:rFonts w:ascii="Times New Roman" w:eastAsia="SimSun" w:hAnsi="Times New Roman" w:cs="Times New Roman"/>
          <w:sz w:val="24"/>
          <w:szCs w:val="24"/>
        </w:rPr>
        <w:t>Aluminum concentrations were moderate</w:t>
      </w:r>
      <w:commentRangeEnd w:id="3"/>
      <w:r w:rsidR="001F739F">
        <w:rPr>
          <w:rStyle w:val="CommentReference"/>
        </w:rPr>
        <w:commentReference w:id="3"/>
      </w:r>
      <w:r>
        <w:rPr>
          <w:rFonts w:ascii="Times New Roman" w:eastAsia="SimSun" w:hAnsi="Times New Roman" w:cs="Times New Roman"/>
          <w:sz w:val="24"/>
          <w:szCs w:val="24"/>
        </w:rPr>
        <w:t>, with a maximum value of 0.058 mg/kg. The concentrations of all analyzed heavy metals in the seafood sold in these markets are considered safe for human consumption</w:t>
      </w:r>
      <w:commentRangeEnd w:id="1"/>
      <w:r w:rsidR="000E14C3">
        <w:rPr>
          <w:rStyle w:val="CommentReference"/>
        </w:rPr>
        <w:commentReference w:id="1"/>
      </w:r>
      <w:r>
        <w:rPr>
          <w:rFonts w:ascii="Times New Roman" w:eastAsia="SimSun" w:hAnsi="Times New Roman" w:cs="Times New Roman"/>
          <w:sz w:val="24"/>
          <w:szCs w:val="24"/>
        </w:rPr>
        <w:t>.</w:t>
      </w:r>
    </w:p>
    <w:p w14:paraId="0F36723D" w14:textId="77777777" w:rsidR="00C3411D" w:rsidRDefault="00C3411D">
      <w:pPr>
        <w:jc w:val="both"/>
        <w:rPr>
          <w:rFonts w:ascii="Times New Roman" w:hAnsi="Times New Roman"/>
          <w:sz w:val="24"/>
          <w:szCs w:val="24"/>
        </w:rPr>
      </w:pPr>
    </w:p>
    <w:p w14:paraId="08C5D5E8" w14:textId="77777777" w:rsidR="00C3411D" w:rsidRDefault="003D13F0">
      <w:pPr>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xml:space="preserve">: </w:t>
      </w:r>
      <w:commentRangeStart w:id="4"/>
      <w:r>
        <w:rPr>
          <w:rFonts w:ascii="Times New Roman" w:hAnsi="Times New Roman"/>
          <w:sz w:val="24"/>
          <w:szCs w:val="24"/>
        </w:rPr>
        <w:t>Heavy metals, seafood, catfish, snail, periwinkle, Atomic Absorption Spectrophotometry, selenium, antimony, molybdenum, manganese, aluminum</w:t>
      </w:r>
      <w:commentRangeEnd w:id="4"/>
      <w:r w:rsidR="000E14C3">
        <w:rPr>
          <w:rStyle w:val="CommentReference"/>
        </w:rPr>
        <w:commentReference w:id="4"/>
      </w:r>
    </w:p>
    <w:p w14:paraId="63325284" w14:textId="77777777" w:rsidR="00C3411D" w:rsidRDefault="00C3411D">
      <w:pPr>
        <w:jc w:val="both"/>
        <w:rPr>
          <w:rFonts w:ascii="Times New Roman" w:hAnsi="Times New Roman"/>
          <w:sz w:val="24"/>
          <w:szCs w:val="24"/>
        </w:rPr>
      </w:pPr>
    </w:p>
    <w:p w14:paraId="01F5002A" w14:textId="77777777" w:rsidR="00C3411D" w:rsidRDefault="00C3411D">
      <w:pPr>
        <w:jc w:val="both"/>
        <w:rPr>
          <w:rFonts w:ascii="Times New Roman" w:hAnsi="Times New Roman"/>
          <w:sz w:val="24"/>
          <w:szCs w:val="24"/>
        </w:rPr>
      </w:pPr>
    </w:p>
    <w:p w14:paraId="1710CB9F" w14:textId="77777777" w:rsidR="00C3411D" w:rsidRDefault="003D13F0">
      <w:pPr>
        <w:pStyle w:val="Heading3"/>
        <w:ind w:left="0"/>
      </w:pPr>
      <w:r>
        <w:t>1.0 Introduction</w:t>
      </w:r>
    </w:p>
    <w:p w14:paraId="368A2599" w14:textId="172CE56C" w:rsidR="00C3411D" w:rsidRDefault="003D13F0">
      <w:pPr>
        <w:pStyle w:val="NormalWeb"/>
        <w:spacing w:line="360" w:lineRule="auto"/>
        <w:jc w:val="both"/>
      </w:pPr>
      <w:r>
        <w:t xml:space="preserve">Heavy metals constitute a group of elements that have attracted considerable scientific attention due to their environmental persistence, potential toxicity, and ability to accumulate within biological systems (Ali et al., 2019). A metal is generally classified as a heavy metal when it possesses a density greater than 5 g cm⁻³ relative to water (Kaur et al., 2019). In addition to density, heavy metals are often </w:t>
      </w:r>
      <w:r w:rsidRPr="009551FA">
        <w:rPr>
          <w:strike/>
        </w:rPr>
        <w:t>defined</w:t>
      </w:r>
      <w:r>
        <w:t xml:space="preserve"> </w:t>
      </w:r>
      <w:commentRangeStart w:id="5"/>
      <w:r w:rsidR="009551FA" w:rsidRPr="009551FA">
        <w:rPr>
          <w:highlight w:val="yellow"/>
        </w:rPr>
        <w:t>characterized</w:t>
      </w:r>
      <w:commentRangeEnd w:id="5"/>
      <w:r w:rsidR="008335B8">
        <w:rPr>
          <w:rStyle w:val="CommentReference"/>
          <w:rFonts w:asciiTheme="minorHAnsi" w:eastAsiaTheme="minorEastAsia" w:hAnsiTheme="minorHAnsi" w:cstheme="minorBidi"/>
        </w:rPr>
        <w:commentReference w:id="5"/>
      </w:r>
      <w:r w:rsidR="009551FA">
        <w:t xml:space="preserve"> </w:t>
      </w:r>
      <w:r>
        <w:t>by their relatively high atomic weights, typically ranging between 63.5 and 200.6 g mol⁻¹, as well as densities exceeding 5 g cm⁻³ (Verma et al., 2025). These metals occur naturally in the Earth’s crust and have existed since the formation of the planet; consequently, their presence in the environment is unavoidable (</w:t>
      </w:r>
      <w:r>
        <w:rPr>
          <w:color w:val="222222"/>
          <w:shd w:val="clear" w:color="auto" w:fill="FFFFFF"/>
        </w:rPr>
        <w:t xml:space="preserve">Okeke et al., 2015; </w:t>
      </w:r>
      <w:proofErr w:type="spellStart"/>
      <w:r>
        <w:t>Jomova</w:t>
      </w:r>
      <w:proofErr w:type="spellEnd"/>
      <w:r>
        <w:t xml:space="preserve"> et al., 2024). However, anthropogenic activities such as industrialization, mining, agriculture, waste disposal, and urbanization have substantially increased heavy metal concentrations in air, water, and soil, thereby enhancing their entry into the food chain (Masindi &amp; </w:t>
      </w:r>
      <w:proofErr w:type="spellStart"/>
      <w:r>
        <w:t>Muedi</w:t>
      </w:r>
      <w:proofErr w:type="spellEnd"/>
      <w:r>
        <w:t>, 2018; Swain, 2024).</w:t>
      </w:r>
    </w:p>
    <w:p w14:paraId="4A3B6173" w14:textId="77777777" w:rsidR="00C3411D" w:rsidRDefault="003D13F0">
      <w:pPr>
        <w:pStyle w:val="NormalWeb"/>
        <w:spacing w:line="360" w:lineRule="auto"/>
        <w:jc w:val="both"/>
      </w:pPr>
      <w:r>
        <w:lastRenderedPageBreak/>
        <w:t xml:space="preserve">Heavy metals are often regarded as trace elements because they typically occur at very low concentrations in environmental and biological systems (Ali et al., 2019; </w:t>
      </w:r>
      <w:proofErr w:type="spellStart"/>
      <w:r>
        <w:t>Moutaouakkil</w:t>
      </w:r>
      <w:proofErr w:type="spellEnd"/>
      <w:r>
        <w:t xml:space="preserve"> et al., 2024). Despite their low abundance, certain heavy metals can exert significant biological effects, particularly when their concentrations exceed permissible limits (Rehman et al., 2018). Broadly, heavy metals are classified into essential and non-essential categories (Bibi et al., 2023). Essential heavy metals are required by living organisms for normal physiological and biochemical processes, including growth, metabolism, enzymatic activity, and the development of tissues and organs (Oves et al., 2016). These include copper (Cu), iron (Fe), manganese (Mn), cobalt (Co), molybdenum (Mo), nickel (Ni), and zinc (Zn), many of which are considered micronutrients (</w:t>
      </w:r>
      <w:proofErr w:type="spellStart"/>
      <w:r>
        <w:t>Zoroddu</w:t>
      </w:r>
      <w:proofErr w:type="spellEnd"/>
      <w:r>
        <w:t xml:space="preserve"> et al., 2019). Although these metals are indispensable at low concentrations, excessive intake can result in toxicity and adverse health effects.</w:t>
      </w:r>
    </w:p>
    <w:p w14:paraId="23129F0C" w14:textId="527ECD0A" w:rsidR="00C3411D" w:rsidRDefault="003D13F0">
      <w:pPr>
        <w:pStyle w:val="NormalWeb"/>
        <w:spacing w:line="360" w:lineRule="auto"/>
        <w:jc w:val="both"/>
      </w:pPr>
      <w:r>
        <w:t xml:space="preserve">In contrast, non-essential heavy metals </w:t>
      </w:r>
      <w:r w:rsidRPr="009551FA">
        <w:rPr>
          <w:strike/>
        </w:rPr>
        <w:t>have no</w:t>
      </w:r>
      <w:r w:rsidR="009551FA">
        <w:t xml:space="preserve"> </w:t>
      </w:r>
      <w:r w:rsidR="009551FA" w:rsidRPr="009551FA">
        <w:rPr>
          <w:highlight w:val="yellow"/>
        </w:rPr>
        <w:t>lack</w:t>
      </w:r>
      <w:r>
        <w:t xml:space="preserve"> known biological </w:t>
      </w:r>
      <w:r w:rsidRPr="009551FA">
        <w:rPr>
          <w:strike/>
        </w:rPr>
        <w:t>function</w:t>
      </w:r>
      <w:r>
        <w:t xml:space="preserve"> </w:t>
      </w:r>
      <w:r w:rsidR="009551FA" w:rsidRPr="009551FA">
        <w:rPr>
          <w:highlight w:val="yellow"/>
        </w:rPr>
        <w:t>functions</w:t>
      </w:r>
      <w:r w:rsidR="009551FA">
        <w:t xml:space="preserve"> </w:t>
      </w:r>
      <w:r>
        <w:t>and are often toxic even at relatively low concentrations (Nucera et al., 2024). Metals such as aluminum (Al), antimony (Sb), barium (</w:t>
      </w:r>
      <w:commentRangeStart w:id="6"/>
      <w:r>
        <w:t>Be)</w:t>
      </w:r>
      <w:commentRangeEnd w:id="6"/>
      <w:r w:rsidR="00515D50">
        <w:rPr>
          <w:rStyle w:val="CommentReference"/>
          <w:rFonts w:asciiTheme="minorHAnsi" w:eastAsiaTheme="minorEastAsia" w:hAnsiTheme="minorHAnsi" w:cstheme="minorBidi"/>
        </w:rPr>
        <w:commentReference w:id="6"/>
      </w:r>
      <w:r>
        <w:t>, lithium (Li), and silver (Ag) fall into this category (Wang et al., 2019). The presence of these metals in food and water is of particular concern due to their ability to disrupt normal biological processes and induce a wide range of health problems (</w:t>
      </w:r>
      <w:proofErr w:type="spellStart"/>
      <w:r>
        <w:t>Nkwunonwo</w:t>
      </w:r>
      <w:proofErr w:type="spellEnd"/>
      <w:r>
        <w:t xml:space="preserve"> et al., 2020). Heavy metals may enter the human body primarily through ingestion of contaminated food and water, inhalation of polluted air, or dermal contact (Witkowska et al., 2021). Once absorbed, they can interfere with enzymatic activities, damage cellular structures, and impair vital organs, leading to acute or chronic health conditions (</w:t>
      </w:r>
      <w:proofErr w:type="spellStart"/>
      <w:r>
        <w:t>Ohiagu</w:t>
      </w:r>
      <w:proofErr w:type="spellEnd"/>
      <w:r>
        <w:t xml:space="preserve"> et al., 2022).</w:t>
      </w:r>
    </w:p>
    <w:p w14:paraId="7E6449B7" w14:textId="77777777" w:rsidR="00C3411D" w:rsidRDefault="003D13F0">
      <w:pPr>
        <w:pStyle w:val="NormalWeb"/>
        <w:spacing w:line="360" w:lineRule="auto"/>
        <w:jc w:val="both"/>
      </w:pPr>
      <w:r>
        <w:t xml:space="preserve">A critical characteristic of heavy metals is their tendency to bioaccumulate. Bioaccumulation refers to the progressive increase in the concentration of a substance in an organism over time relative to its concentration in the surrounding environment (Wang, 2016). This process occurs when the rate of uptake of a substance exceeds its rate of metabolism or excretion. Consequently, heavy metals can accumulate in tissues such as the liver, kidneys, muscles, and shells of aquatic organisms. Through biomagnification, these accumulated metals may be transferred to higher trophic levels of the food chain, ultimately posing significant health risks to humans, </w:t>
      </w:r>
      <w:r>
        <w:lastRenderedPageBreak/>
        <w:t>particularly populations that rely heavily on seafood as a primary source of dietary protein (Naz et al., 2025).</w:t>
      </w:r>
    </w:p>
    <w:p w14:paraId="13E42BDF" w14:textId="792BD668" w:rsidR="00C3411D" w:rsidRDefault="003D13F0">
      <w:pPr>
        <w:pStyle w:val="NormalWeb"/>
        <w:spacing w:line="360" w:lineRule="auto"/>
        <w:jc w:val="both"/>
      </w:pPr>
      <w:r w:rsidRPr="009551FA">
        <w:rPr>
          <w:strike/>
        </w:rPr>
        <w:t>Seafoods</w:t>
      </w:r>
      <w:r w:rsidR="009551FA">
        <w:t xml:space="preserve"> </w:t>
      </w:r>
      <w:r w:rsidR="009551FA" w:rsidRPr="009551FA">
        <w:rPr>
          <w:highlight w:val="yellow"/>
        </w:rPr>
        <w:t>Seafood</w:t>
      </w:r>
      <w:r>
        <w:t xml:space="preserve">, including fish and shellfish, </w:t>
      </w:r>
      <w:r w:rsidRPr="009551FA">
        <w:rPr>
          <w:strike/>
        </w:rPr>
        <w:t>are</w:t>
      </w:r>
      <w:r>
        <w:t xml:space="preserve"> </w:t>
      </w:r>
      <w:r w:rsidR="009551FA" w:rsidRPr="009551FA">
        <w:rPr>
          <w:highlight w:val="yellow"/>
        </w:rPr>
        <w:t>is</w:t>
      </w:r>
      <w:r w:rsidR="009551FA">
        <w:t xml:space="preserve"> </w:t>
      </w:r>
      <w:r>
        <w:t xml:space="preserve">widely consumed </w:t>
      </w:r>
      <w:r w:rsidRPr="009551FA">
        <w:rPr>
          <w:strike/>
        </w:rPr>
        <w:t xml:space="preserve">because of </w:t>
      </w:r>
      <w:proofErr w:type="gramStart"/>
      <w:r w:rsidRPr="009551FA">
        <w:rPr>
          <w:strike/>
        </w:rPr>
        <w:t>their</w:t>
      </w:r>
      <w:proofErr w:type="gramEnd"/>
      <w:r>
        <w:t xml:space="preserve"> </w:t>
      </w:r>
      <w:r w:rsidR="009551FA" w:rsidRPr="009551FA">
        <w:rPr>
          <w:highlight w:val="yellow"/>
        </w:rPr>
        <w:t>for its</w:t>
      </w:r>
      <w:r w:rsidR="009551FA">
        <w:t xml:space="preserve"> </w:t>
      </w:r>
      <w:r>
        <w:t>high nutritional value, providing essential proteins, vitamins, and minerals (</w:t>
      </w:r>
      <w:proofErr w:type="spellStart"/>
      <w:r>
        <w:t>Jawale</w:t>
      </w:r>
      <w:proofErr w:type="spellEnd"/>
      <w:r>
        <w:t xml:space="preserve">, 2025). However, aquatic environments often act as sinks for heavy metals released from both natural and anthropogenic sources (Shah, 2021). Rivers, lakes, and coastal waters receive heavy metal inputs from industrial effluents, agricultural runoff, domestic sewage, and atmospheric deposition (Aziz et al., 2023). Aquatic organisms readily absorb these metals from water, sediments, and food, making seafood an important indicator of environmental contamination (Lu et al., 2021). Consequently, </w:t>
      </w:r>
      <w:r w:rsidRPr="009551FA">
        <w:rPr>
          <w:strike/>
        </w:rPr>
        <w:t>the assessment of</w:t>
      </w:r>
      <w:r>
        <w:t xml:space="preserve"> </w:t>
      </w:r>
      <w:r w:rsidR="009551FA" w:rsidRPr="009551FA">
        <w:rPr>
          <w:highlight w:val="yellow"/>
        </w:rPr>
        <w:t>assessing</w:t>
      </w:r>
      <w:r w:rsidR="009551FA">
        <w:t xml:space="preserve"> </w:t>
      </w:r>
      <w:r>
        <w:t>heavy metal concentrations in seafood is essential for evaluating food safety and safeguarding public health.</w:t>
      </w:r>
    </w:p>
    <w:p w14:paraId="02042BF0" w14:textId="69DE116D" w:rsidR="00C3411D" w:rsidRDefault="003D13F0">
      <w:pPr>
        <w:pStyle w:val="NormalWeb"/>
        <w:spacing w:line="360" w:lineRule="auto"/>
        <w:jc w:val="both"/>
      </w:pPr>
      <w:r>
        <w:t xml:space="preserve">In Nigeria, rapid urbanization and </w:t>
      </w:r>
      <w:r w:rsidRPr="009551FA">
        <w:rPr>
          <w:strike/>
        </w:rPr>
        <w:t>increasing</w:t>
      </w:r>
      <w:r>
        <w:t xml:space="preserve"> population </w:t>
      </w:r>
      <w:r w:rsidRPr="009551FA">
        <w:rPr>
          <w:strike/>
        </w:rPr>
        <w:t>pressure</w:t>
      </w:r>
      <w:r>
        <w:t xml:space="preserve"> </w:t>
      </w:r>
      <w:r w:rsidR="009551FA" w:rsidRPr="009551FA">
        <w:rPr>
          <w:highlight w:val="yellow"/>
        </w:rPr>
        <w:t>growth</w:t>
      </w:r>
      <w:r w:rsidR="009551FA">
        <w:t xml:space="preserve"> </w:t>
      </w:r>
      <w:r>
        <w:t>have intensified concerns regarding environmental pollution and food safety. Enugu metropolis, a major urban center, hosts several markets that serve as primary sources of seafood for the local population (</w:t>
      </w:r>
      <w:proofErr w:type="spellStart"/>
      <w:r>
        <w:t>Apeh</w:t>
      </w:r>
      <w:proofErr w:type="spellEnd"/>
      <w:r>
        <w:t xml:space="preserve"> et al., 2023). Given the potential for heavy metal contamination arising from environmental pollution and post-harvest handling practices, it is imperative to assess the levels of heavy metals in commonly consumed seafoods such as catfish, snail, and periwinkle. Evaluating the concentrations of metals</w:t>
      </w:r>
      <w:r w:rsidR="009551FA">
        <w:t>,</w:t>
      </w:r>
      <w:r>
        <w:t xml:space="preserve"> including aluminum, manganese, selenium, antimony, and molybdenum in these seafoods provides critical information regarding their safety for human consumption and associated health risks. Therefore, this study focuses on </w:t>
      </w:r>
      <w:commentRangeStart w:id="7"/>
      <w:r w:rsidRPr="00152625">
        <w:rPr>
          <w:strike/>
        </w:rPr>
        <w:t>the determination of</w:t>
      </w:r>
      <w:r w:rsidR="00152625">
        <w:t xml:space="preserve"> </w:t>
      </w:r>
      <w:commentRangeEnd w:id="7"/>
      <w:r w:rsidR="00152625">
        <w:rPr>
          <w:rStyle w:val="CommentReference"/>
          <w:rFonts w:asciiTheme="minorHAnsi" w:eastAsiaTheme="minorEastAsia" w:hAnsiTheme="minorHAnsi" w:cstheme="minorBidi"/>
        </w:rPr>
        <w:commentReference w:id="7"/>
      </w:r>
      <w:r w:rsidR="00152625" w:rsidRPr="00152625">
        <w:rPr>
          <w:highlight w:val="yellow"/>
        </w:rPr>
        <w:t>determining</w:t>
      </w:r>
      <w:r>
        <w:t xml:space="preserve"> heavy metal concentrations in </w:t>
      </w:r>
      <w:commentRangeStart w:id="8"/>
      <w:r>
        <w:t>seafoods</w:t>
      </w:r>
      <w:commentRangeEnd w:id="8"/>
      <w:r w:rsidR="00152625">
        <w:rPr>
          <w:rStyle w:val="CommentReference"/>
          <w:rFonts w:asciiTheme="minorHAnsi" w:eastAsiaTheme="minorEastAsia" w:hAnsiTheme="minorHAnsi" w:cstheme="minorBidi"/>
        </w:rPr>
        <w:commentReference w:id="8"/>
      </w:r>
      <w:r>
        <w:t xml:space="preserve"> obtained from three major markets in Enugu metropolis—Abakpa, </w:t>
      </w:r>
      <w:proofErr w:type="spellStart"/>
      <w:r>
        <w:t>Garriki</w:t>
      </w:r>
      <w:proofErr w:type="spellEnd"/>
      <w:r>
        <w:t xml:space="preserve">, and </w:t>
      </w:r>
      <w:proofErr w:type="spellStart"/>
      <w:r>
        <w:t>Ogbete</w:t>
      </w:r>
      <w:proofErr w:type="spellEnd"/>
      <w:r>
        <w:t xml:space="preserve"> markets. By comparing </w:t>
      </w:r>
      <w:commentRangeStart w:id="9"/>
      <w:r w:rsidRPr="00152625">
        <w:rPr>
          <w:strike/>
        </w:rPr>
        <w:t>the</w:t>
      </w:r>
      <w:r>
        <w:t xml:space="preserve"> </w:t>
      </w:r>
      <w:commentRangeEnd w:id="9"/>
      <w:r w:rsidR="00152625">
        <w:rPr>
          <w:rStyle w:val="CommentReference"/>
          <w:rFonts w:asciiTheme="minorHAnsi" w:eastAsiaTheme="minorEastAsia" w:hAnsiTheme="minorHAnsi" w:cstheme="minorBidi"/>
        </w:rPr>
        <w:commentReference w:id="9"/>
      </w:r>
      <w:r>
        <w:t xml:space="preserve">levels of selected heavy metals across different seafood types and market locations, the study aims to </w:t>
      </w:r>
      <w:commentRangeStart w:id="10"/>
      <w:r>
        <w:t xml:space="preserve">contribute to existing knowledge on </w:t>
      </w:r>
      <w:commentRangeEnd w:id="10"/>
      <w:r w:rsidR="00152625">
        <w:rPr>
          <w:rStyle w:val="CommentReference"/>
          <w:rFonts w:asciiTheme="minorHAnsi" w:eastAsiaTheme="minorEastAsia" w:hAnsiTheme="minorHAnsi" w:cstheme="minorBidi"/>
        </w:rPr>
        <w:commentReference w:id="10"/>
      </w:r>
      <w:r>
        <w:t xml:space="preserve">seafood contamination and support efforts </w:t>
      </w:r>
      <w:commentRangeStart w:id="11"/>
      <w:r>
        <w:t>toward ensuring</w:t>
      </w:r>
      <w:commentRangeEnd w:id="11"/>
      <w:r w:rsidR="00152625">
        <w:rPr>
          <w:rStyle w:val="CommentReference"/>
          <w:rFonts w:asciiTheme="minorHAnsi" w:eastAsiaTheme="minorEastAsia" w:hAnsiTheme="minorHAnsi" w:cstheme="minorBidi"/>
        </w:rPr>
        <w:commentReference w:id="11"/>
      </w:r>
      <w:r>
        <w:t xml:space="preserve"> food safety and public health protection.</w:t>
      </w:r>
    </w:p>
    <w:p w14:paraId="2228A424" w14:textId="77777777" w:rsidR="00C3411D" w:rsidRDefault="003D13F0">
      <w:pPr>
        <w:pStyle w:val="Heading2"/>
        <w:tabs>
          <w:tab w:val="left" w:pos="720"/>
        </w:tabs>
        <w:spacing w:before="79"/>
        <w:ind w:left="0"/>
        <w:jc w:val="left"/>
      </w:pPr>
      <w:r>
        <w:rPr>
          <w:spacing w:val="-2"/>
        </w:rPr>
        <w:t>2.0 Methods</w:t>
      </w:r>
    </w:p>
    <w:p w14:paraId="549D5EC4" w14:textId="77777777" w:rsidR="00C3411D" w:rsidRDefault="00C3411D">
      <w:pPr>
        <w:pStyle w:val="BodyText"/>
        <w:spacing w:before="22"/>
        <w:rPr>
          <w:b/>
        </w:rPr>
      </w:pPr>
    </w:p>
    <w:p w14:paraId="0A884A22" w14:textId="77777777" w:rsidR="00C3411D" w:rsidRDefault="003D13F0">
      <w:pPr>
        <w:pStyle w:val="Heading2"/>
        <w:tabs>
          <w:tab w:val="left" w:pos="900"/>
        </w:tabs>
        <w:spacing w:before="0"/>
        <w:ind w:left="0"/>
        <w:jc w:val="left"/>
      </w:pPr>
      <w:bookmarkStart w:id="12" w:name="_TOC_250005"/>
      <w:r>
        <w:t>2.1 Sample</w:t>
      </w:r>
      <w:r>
        <w:rPr>
          <w:spacing w:val="-4"/>
        </w:rPr>
        <w:t xml:space="preserve"> </w:t>
      </w:r>
      <w:bookmarkEnd w:id="12"/>
      <w:r>
        <w:rPr>
          <w:spacing w:val="-2"/>
        </w:rPr>
        <w:t>Collection</w:t>
      </w:r>
    </w:p>
    <w:p w14:paraId="3B867AD1" w14:textId="77777777" w:rsidR="00C3411D" w:rsidRDefault="003D13F0">
      <w:pPr>
        <w:pStyle w:val="Heading2"/>
        <w:tabs>
          <w:tab w:val="left" w:pos="900"/>
        </w:tabs>
        <w:spacing w:line="360" w:lineRule="auto"/>
        <w:ind w:left="0"/>
      </w:pPr>
      <w:bookmarkStart w:id="13" w:name="_TOC_250004"/>
      <w:commentRangeStart w:id="14"/>
      <w:r>
        <w:rPr>
          <w:b w:val="0"/>
          <w:bCs w:val="0"/>
        </w:rPr>
        <w:lastRenderedPageBreak/>
        <w:t xml:space="preserve">Samples of seafood, including snail, catfish, and periwinkle, were obtained </w:t>
      </w:r>
      <w:commentRangeEnd w:id="14"/>
      <w:r w:rsidR="000E115D">
        <w:rPr>
          <w:rStyle w:val="CommentReference"/>
          <w:rFonts w:asciiTheme="minorHAnsi" w:eastAsiaTheme="minorEastAsia" w:hAnsiTheme="minorHAnsi" w:cstheme="minorBidi"/>
          <w:b w:val="0"/>
          <w:bCs w:val="0"/>
          <w:lang w:eastAsia="zh-CN"/>
        </w:rPr>
        <w:commentReference w:id="14"/>
      </w:r>
      <w:r>
        <w:rPr>
          <w:b w:val="0"/>
          <w:bCs w:val="0"/>
        </w:rPr>
        <w:t xml:space="preserve">from three </w:t>
      </w:r>
      <w:commentRangeStart w:id="15"/>
      <w:r>
        <w:rPr>
          <w:b w:val="0"/>
          <w:bCs w:val="0"/>
        </w:rPr>
        <w:t>different</w:t>
      </w:r>
      <w:commentRangeEnd w:id="15"/>
      <w:r w:rsidR="00152625">
        <w:rPr>
          <w:rStyle w:val="CommentReference"/>
          <w:rFonts w:asciiTheme="minorHAnsi" w:eastAsiaTheme="minorEastAsia" w:hAnsiTheme="minorHAnsi" w:cstheme="minorBidi"/>
          <w:b w:val="0"/>
          <w:bCs w:val="0"/>
          <w:lang w:eastAsia="zh-CN"/>
        </w:rPr>
        <w:commentReference w:id="15"/>
      </w:r>
      <w:r>
        <w:rPr>
          <w:b w:val="0"/>
          <w:bCs w:val="0"/>
        </w:rPr>
        <w:t xml:space="preserve"> markets in Enugu Metropolis, Enugu State: Abakpa, </w:t>
      </w:r>
      <w:proofErr w:type="spellStart"/>
      <w:r>
        <w:rPr>
          <w:b w:val="0"/>
          <w:bCs w:val="0"/>
        </w:rPr>
        <w:t>Garriki</w:t>
      </w:r>
      <w:proofErr w:type="spellEnd"/>
      <w:r>
        <w:rPr>
          <w:b w:val="0"/>
          <w:bCs w:val="0"/>
        </w:rPr>
        <w:t xml:space="preserve">, and </w:t>
      </w:r>
      <w:proofErr w:type="spellStart"/>
      <w:r>
        <w:rPr>
          <w:b w:val="0"/>
          <w:bCs w:val="0"/>
        </w:rPr>
        <w:t>Ogbete</w:t>
      </w:r>
      <w:proofErr w:type="spellEnd"/>
      <w:r>
        <w:rPr>
          <w:b w:val="0"/>
          <w:bCs w:val="0"/>
        </w:rPr>
        <w:t xml:space="preserve"> </w:t>
      </w:r>
      <w:commentRangeStart w:id="16"/>
      <w:r>
        <w:rPr>
          <w:b w:val="0"/>
          <w:bCs w:val="0"/>
        </w:rPr>
        <w:t>markets</w:t>
      </w:r>
      <w:commentRangeEnd w:id="16"/>
      <w:r w:rsidR="00152625">
        <w:rPr>
          <w:rStyle w:val="CommentReference"/>
          <w:rFonts w:asciiTheme="minorHAnsi" w:eastAsiaTheme="minorEastAsia" w:hAnsiTheme="minorHAnsi" w:cstheme="minorBidi"/>
          <w:b w:val="0"/>
          <w:bCs w:val="0"/>
          <w:lang w:eastAsia="zh-CN"/>
        </w:rPr>
        <w:commentReference w:id="16"/>
      </w:r>
      <w:r>
        <w:rPr>
          <w:b w:val="0"/>
          <w:bCs w:val="0"/>
        </w:rPr>
        <w:t>.</w:t>
      </w:r>
    </w:p>
    <w:p w14:paraId="53016B1D" w14:textId="77777777" w:rsidR="00C3411D" w:rsidRDefault="003D13F0">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13"/>
      <w:r>
        <w:rPr>
          <w:spacing w:val="-2"/>
        </w:rPr>
        <w:t>Collection</w:t>
      </w:r>
    </w:p>
    <w:p w14:paraId="167070BC" w14:textId="77777777" w:rsidR="00C3411D" w:rsidRDefault="00C3411D">
      <w:pPr>
        <w:pStyle w:val="BodyText"/>
        <w:spacing w:before="17"/>
        <w:rPr>
          <w:b/>
        </w:rPr>
      </w:pPr>
    </w:p>
    <w:p w14:paraId="158D6AE1" w14:textId="77777777" w:rsidR="00C3411D" w:rsidRDefault="003D13F0">
      <w:pPr>
        <w:pStyle w:val="BodyText"/>
        <w:spacing w:line="360" w:lineRule="auto"/>
        <w:jc w:val="both"/>
      </w:pPr>
      <w:r>
        <w:t xml:space="preserve">Samples were collected from three locations in Enugu State, Nigeria: Abakpa (6.4636°N, 7.4845°E), </w:t>
      </w:r>
      <w:proofErr w:type="spellStart"/>
      <w:r>
        <w:t>Garriki</w:t>
      </w:r>
      <w:proofErr w:type="spellEnd"/>
      <w:r>
        <w:t xml:space="preserve"> (6.3833°N, 7.5167°E), and </w:t>
      </w:r>
      <w:proofErr w:type="spellStart"/>
      <w:r>
        <w:t>Ogbete</w:t>
      </w:r>
      <w:proofErr w:type="spellEnd"/>
      <w:r>
        <w:t xml:space="preserve"> (6.4667°N, 7.4833°E).</w:t>
      </w:r>
    </w:p>
    <w:p w14:paraId="63394BCC" w14:textId="77777777" w:rsidR="00C3411D" w:rsidRDefault="003D13F0">
      <w:pPr>
        <w:pStyle w:val="Heading2"/>
        <w:tabs>
          <w:tab w:val="left" w:pos="900"/>
        </w:tabs>
        <w:ind w:left="0"/>
        <w:jc w:val="left"/>
      </w:pPr>
      <w:bookmarkStart w:id="17" w:name="_TOC_250003"/>
      <w:r>
        <w:t>2.3 Sample</w:t>
      </w:r>
      <w:r>
        <w:rPr>
          <w:spacing w:val="-3"/>
        </w:rPr>
        <w:t xml:space="preserve"> </w:t>
      </w:r>
      <w:bookmarkEnd w:id="17"/>
      <w:r>
        <w:rPr>
          <w:spacing w:val="-2"/>
        </w:rPr>
        <w:t>Preparation</w:t>
      </w:r>
    </w:p>
    <w:p w14:paraId="34B99739" w14:textId="77777777" w:rsidR="00C3411D" w:rsidRDefault="003D13F0">
      <w:pPr>
        <w:pStyle w:val="Heading2"/>
        <w:tabs>
          <w:tab w:val="left" w:pos="900"/>
        </w:tabs>
        <w:spacing w:before="162" w:line="360" w:lineRule="auto"/>
        <w:ind w:left="0"/>
        <w:rPr>
          <w:b w:val="0"/>
          <w:bCs w:val="0"/>
        </w:rPr>
      </w:pPr>
      <w:commentRangeStart w:id="18"/>
      <w:r>
        <w:rPr>
          <w:b w:val="0"/>
          <w:bCs w:val="0"/>
        </w:rPr>
        <w:t>The necessary components of the seafood were isolated and desiccated</w:t>
      </w:r>
      <w:commentRangeEnd w:id="18"/>
      <w:r w:rsidR="000E115D">
        <w:rPr>
          <w:rStyle w:val="CommentReference"/>
          <w:rFonts w:asciiTheme="minorHAnsi" w:eastAsiaTheme="minorEastAsia" w:hAnsiTheme="minorHAnsi" w:cstheme="minorBidi"/>
          <w:b w:val="0"/>
          <w:bCs w:val="0"/>
          <w:lang w:eastAsia="zh-CN"/>
        </w:rPr>
        <w:commentReference w:id="18"/>
      </w:r>
      <w:r>
        <w:rPr>
          <w:b w:val="0"/>
          <w:bCs w:val="0"/>
        </w:rPr>
        <w:t xml:space="preserve">. </w:t>
      </w:r>
      <w:commentRangeStart w:id="19"/>
      <w:r>
        <w:rPr>
          <w:b w:val="0"/>
          <w:bCs w:val="0"/>
        </w:rPr>
        <w:t>A 2 g sample of the dried material was weighed and transferred to a digestion flask, where 20 ml of an acid mixture (comprising 650 ml concentrated HNO</w:t>
      </w:r>
      <w:r>
        <w:rPr>
          <w:b w:val="0"/>
          <w:bCs w:val="0"/>
          <w:vertAlign w:val="subscript"/>
        </w:rPr>
        <w:t>3</w:t>
      </w:r>
      <w:r>
        <w:rPr>
          <w:b w:val="0"/>
          <w:bCs w:val="0"/>
        </w:rPr>
        <w:t xml:space="preserve">, 80 ml perchloric acid, and 20 ml concentrated </w:t>
      </w:r>
      <w:commentRangeStart w:id="20"/>
      <w:r>
        <w:rPr>
          <w:b w:val="0"/>
          <w:bCs w:val="0"/>
        </w:rPr>
        <w:t>H2SO4</w:t>
      </w:r>
      <w:commentRangeEnd w:id="20"/>
      <w:r w:rsidR="000E115D">
        <w:rPr>
          <w:rStyle w:val="CommentReference"/>
          <w:rFonts w:asciiTheme="minorHAnsi" w:eastAsiaTheme="minorEastAsia" w:hAnsiTheme="minorHAnsi" w:cstheme="minorBidi"/>
          <w:b w:val="0"/>
          <w:bCs w:val="0"/>
          <w:lang w:eastAsia="zh-CN"/>
        </w:rPr>
        <w:commentReference w:id="20"/>
      </w:r>
      <w:r>
        <w:rPr>
          <w:b w:val="0"/>
          <w:bCs w:val="0"/>
        </w:rPr>
        <w:t>) was added. The mixture was heated until a clear digest was obtained, which was subsequently diluted with water to a final volume of 100 ml.</w:t>
      </w:r>
      <w:commentRangeEnd w:id="19"/>
      <w:r w:rsidR="000E115D">
        <w:rPr>
          <w:rStyle w:val="CommentReference"/>
          <w:rFonts w:asciiTheme="minorHAnsi" w:eastAsiaTheme="minorEastAsia" w:hAnsiTheme="minorHAnsi" w:cstheme="minorBidi"/>
          <w:b w:val="0"/>
          <w:bCs w:val="0"/>
          <w:lang w:eastAsia="zh-CN"/>
        </w:rPr>
        <w:commentReference w:id="19"/>
      </w:r>
    </w:p>
    <w:p w14:paraId="393BF104" w14:textId="77777777" w:rsidR="00C3411D" w:rsidRDefault="003D13F0">
      <w:pPr>
        <w:pStyle w:val="Heading2"/>
        <w:tabs>
          <w:tab w:val="left" w:pos="900"/>
        </w:tabs>
        <w:spacing w:before="162" w:line="360" w:lineRule="auto"/>
        <w:ind w:left="0"/>
        <w:rPr>
          <w:spacing w:val="-2"/>
        </w:rPr>
      </w:pPr>
      <w:r>
        <w:t>2.4 Preparation</w:t>
      </w:r>
      <w:r>
        <w:rPr>
          <w:spacing w:val="-5"/>
        </w:rPr>
        <w:t xml:space="preserve"> </w:t>
      </w:r>
      <w:r>
        <w:t>of</w:t>
      </w:r>
      <w:r>
        <w:rPr>
          <w:spacing w:val="-1"/>
        </w:rPr>
        <w:t xml:space="preserve"> </w:t>
      </w:r>
      <w:r>
        <w:t>Reference</w:t>
      </w:r>
      <w:r>
        <w:rPr>
          <w:spacing w:val="-3"/>
        </w:rPr>
        <w:t xml:space="preserve"> </w:t>
      </w:r>
      <w:r>
        <w:rPr>
          <w:spacing w:val="-2"/>
        </w:rPr>
        <w:t>Solution</w:t>
      </w:r>
    </w:p>
    <w:p w14:paraId="5F0A668D" w14:textId="77777777" w:rsidR="00C3411D" w:rsidRDefault="003D13F0">
      <w:pPr>
        <w:pStyle w:val="BodyText"/>
        <w:spacing w:line="360" w:lineRule="auto"/>
        <w:ind w:right="360"/>
        <w:jc w:val="both"/>
      </w:pPr>
      <w:r>
        <w:t xml:space="preserve">Metal standards were prepared at optimal concentrations, with fresh reference solutions made daily by diluting single-element stock solutions in water containing 1.5 ml/L concentrated nitric acid. A blank calibration solution was prepared using all reagents, </w:t>
      </w:r>
      <w:commentRangeStart w:id="21"/>
      <w:r w:rsidRPr="00515D50">
        <w:rPr>
          <w:strike/>
        </w:rPr>
        <w:t>excluding</w:t>
      </w:r>
      <w:commentRangeEnd w:id="21"/>
      <w:r w:rsidR="00515D50">
        <w:rPr>
          <w:rStyle w:val="CommentReference"/>
          <w:rFonts w:asciiTheme="minorHAnsi" w:eastAsiaTheme="minorEastAsia" w:hAnsiTheme="minorHAnsi" w:cstheme="minorBidi"/>
          <w:lang w:eastAsia="zh-CN"/>
        </w:rPr>
        <w:commentReference w:id="21"/>
      </w:r>
      <w:r>
        <w:t xml:space="preserve"> metal stock solutions. Calibration curves for each metal were constructed by graphing standard absorbance versus concentration.</w:t>
      </w:r>
    </w:p>
    <w:p w14:paraId="36E32A26" w14:textId="77777777" w:rsidR="00C3411D" w:rsidRDefault="00C3411D">
      <w:pPr>
        <w:pStyle w:val="BodyText"/>
        <w:ind w:right="360"/>
        <w:jc w:val="both"/>
      </w:pPr>
    </w:p>
    <w:p w14:paraId="59704BD5" w14:textId="77777777" w:rsidR="00C3411D" w:rsidRDefault="003D13F0">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14:paraId="286C4403" w14:textId="77777777" w:rsidR="00C3411D" w:rsidRDefault="00C3411D">
      <w:pPr>
        <w:pStyle w:val="BodyText"/>
        <w:spacing w:before="16"/>
        <w:rPr>
          <w:b/>
        </w:rPr>
      </w:pPr>
    </w:p>
    <w:p w14:paraId="096E0BF9" w14:textId="77777777" w:rsidR="00C3411D" w:rsidRDefault="003D13F0">
      <w:pPr>
        <w:pStyle w:val="BodyText"/>
        <w:spacing w:line="360" w:lineRule="auto"/>
        <w:ind w:right="359"/>
        <w:jc w:val="both"/>
      </w:pPr>
      <w:r>
        <w:t xml:space="preserve">The samples were analyzed for heavy metal content using an Agilent FS240AA atomic absorption spectrophotometer, following the </w:t>
      </w:r>
      <w:commentRangeStart w:id="22"/>
      <w:r>
        <w:t xml:space="preserve">APHA (1995) </w:t>
      </w:r>
      <w:commentRangeEnd w:id="22"/>
      <w:r w:rsidR="00515D50">
        <w:rPr>
          <w:rStyle w:val="CommentReference"/>
          <w:rFonts w:asciiTheme="minorHAnsi" w:eastAsiaTheme="minorEastAsia" w:hAnsiTheme="minorHAnsi" w:cstheme="minorBidi"/>
          <w:lang w:eastAsia="zh-CN"/>
        </w:rPr>
        <w:commentReference w:id="22"/>
      </w:r>
      <w:r>
        <w:t xml:space="preserve">method. The analytical process involved sample digestion to release heavy metals, instrument calibration with </w:t>
      </w:r>
      <w:commentRangeStart w:id="23"/>
      <w:r w:rsidRPr="00A01C68">
        <w:rPr>
          <w:strike/>
        </w:rPr>
        <w:t>known standards</w:t>
      </w:r>
      <w:commentRangeEnd w:id="23"/>
      <w:r w:rsidR="00A01C68" w:rsidRPr="00A01C68">
        <w:rPr>
          <w:rStyle w:val="CommentReference"/>
          <w:rFonts w:asciiTheme="minorHAnsi" w:eastAsiaTheme="minorEastAsia" w:hAnsiTheme="minorHAnsi" w:cstheme="minorBidi"/>
          <w:strike/>
          <w:lang w:eastAsia="zh-CN"/>
        </w:rPr>
        <w:commentReference w:id="23"/>
      </w:r>
      <w:r>
        <w:t xml:space="preserve">, and sample introduction for </w:t>
      </w:r>
      <w:r w:rsidRPr="00A01C68">
        <w:rPr>
          <w:strike/>
        </w:rPr>
        <w:t>analysis via</w:t>
      </w:r>
      <w:r>
        <w:t xml:space="preserve"> </w:t>
      </w:r>
      <w:commentRangeStart w:id="24"/>
      <w:r>
        <w:t xml:space="preserve">AAS. </w:t>
      </w:r>
      <w:commentRangeEnd w:id="24"/>
      <w:r w:rsidR="00A01C68">
        <w:rPr>
          <w:rStyle w:val="CommentReference"/>
          <w:rFonts w:asciiTheme="minorHAnsi" w:eastAsiaTheme="minorEastAsia" w:hAnsiTheme="minorHAnsi" w:cstheme="minorBidi"/>
          <w:lang w:eastAsia="zh-CN"/>
        </w:rPr>
        <w:commentReference w:id="24"/>
      </w:r>
      <w:r>
        <w:t xml:space="preserve">Sample spectral signals were compared to calibration standards to determine heavy metal concentrations, with quality control measures ensuring result </w:t>
      </w:r>
      <w:proofErr w:type="gramStart"/>
      <w:r>
        <w:t>accuracy</w:t>
      </w:r>
      <w:commentRangeStart w:id="25"/>
      <w:r>
        <w:t>..</w:t>
      </w:r>
      <w:commentRangeEnd w:id="25"/>
      <w:proofErr w:type="gramEnd"/>
      <w:r w:rsidR="00A01C68">
        <w:rPr>
          <w:rStyle w:val="CommentReference"/>
          <w:rFonts w:asciiTheme="minorHAnsi" w:eastAsiaTheme="minorEastAsia" w:hAnsiTheme="minorHAnsi" w:cstheme="minorBidi"/>
          <w:lang w:eastAsia="zh-CN"/>
        </w:rPr>
        <w:commentReference w:id="25"/>
      </w:r>
    </w:p>
    <w:p w14:paraId="66F688DC" w14:textId="77777777" w:rsidR="00C3411D" w:rsidRDefault="003D13F0">
      <w:pPr>
        <w:pStyle w:val="Heading2"/>
        <w:tabs>
          <w:tab w:val="left" w:pos="720"/>
        </w:tabs>
        <w:spacing w:before="166"/>
        <w:ind w:left="0"/>
      </w:pPr>
      <w:r>
        <w:t>2.6 Statistical</w:t>
      </w:r>
      <w:r>
        <w:rPr>
          <w:spacing w:val="-2"/>
        </w:rPr>
        <w:t xml:space="preserve"> Analysis</w:t>
      </w:r>
    </w:p>
    <w:p w14:paraId="7AAF1034" w14:textId="77777777" w:rsidR="00C3411D" w:rsidRDefault="00C3411D">
      <w:pPr>
        <w:pStyle w:val="BodyText"/>
        <w:spacing w:before="17"/>
        <w:rPr>
          <w:b/>
        </w:rPr>
      </w:pPr>
    </w:p>
    <w:p w14:paraId="28643284" w14:textId="77777777" w:rsidR="00C3411D" w:rsidRDefault="003D13F0">
      <w:pPr>
        <w:pStyle w:val="BodyText"/>
        <w:spacing w:line="360" w:lineRule="auto"/>
        <w:ind w:right="359"/>
        <w:jc w:val="both"/>
      </w:pPr>
      <w:r>
        <w:lastRenderedPageBreak/>
        <w:t xml:space="preserve">Statistical analysis was performed using Analysis of Variance (ANOVA) to assess significant differences in metal concentrations between species and locations. The results were interpreted at </w:t>
      </w:r>
      <w:commentRangeStart w:id="26"/>
      <w:r w:rsidRPr="00B542B9">
        <w:rPr>
          <w:strike/>
        </w:rPr>
        <w:t>a significance level of</w:t>
      </w:r>
      <w:r>
        <w:t xml:space="preserve"> </w:t>
      </w:r>
      <w:commentRangeEnd w:id="26"/>
      <w:r w:rsidR="00B542B9">
        <w:rPr>
          <w:rStyle w:val="CommentReference"/>
          <w:rFonts w:asciiTheme="minorHAnsi" w:eastAsiaTheme="minorEastAsia" w:hAnsiTheme="minorHAnsi" w:cstheme="minorBidi"/>
          <w:lang w:eastAsia="zh-CN"/>
        </w:rPr>
        <w:commentReference w:id="26"/>
      </w:r>
      <w:r>
        <w:t xml:space="preserve">α = 0.05. Additionally, correlation analysis was conducted to examine relationships </w:t>
      </w:r>
      <w:commentRangeStart w:id="27"/>
      <w:r>
        <w:t>between</w:t>
      </w:r>
      <w:commentRangeEnd w:id="27"/>
      <w:r w:rsidR="0018798E">
        <w:rPr>
          <w:rStyle w:val="CommentReference"/>
          <w:rFonts w:asciiTheme="minorHAnsi" w:eastAsiaTheme="minorEastAsia" w:hAnsiTheme="minorHAnsi" w:cstheme="minorBidi"/>
          <w:lang w:eastAsia="zh-CN"/>
        </w:rPr>
        <w:commentReference w:id="27"/>
      </w:r>
      <w:r>
        <w:t xml:space="preserve"> metal </w:t>
      </w:r>
      <w:commentRangeStart w:id="28"/>
      <w:r>
        <w:t xml:space="preserve">concentrations, to </w:t>
      </w:r>
      <w:commentRangeEnd w:id="28"/>
      <w:r w:rsidR="0018798E">
        <w:rPr>
          <w:rStyle w:val="CommentReference"/>
          <w:rFonts w:asciiTheme="minorHAnsi" w:eastAsiaTheme="minorEastAsia" w:hAnsiTheme="minorHAnsi" w:cstheme="minorBidi"/>
          <w:lang w:eastAsia="zh-CN"/>
        </w:rPr>
        <w:commentReference w:id="28"/>
      </w:r>
      <w:r>
        <w:t>provide insights into potential common environmental influences on metal uptake.</w:t>
      </w:r>
    </w:p>
    <w:p w14:paraId="5831E6E0" w14:textId="77777777" w:rsidR="00C3411D" w:rsidRDefault="00C3411D">
      <w:pPr>
        <w:pStyle w:val="BodyText"/>
        <w:spacing w:line="360" w:lineRule="auto"/>
        <w:ind w:right="359"/>
        <w:jc w:val="both"/>
      </w:pPr>
    </w:p>
    <w:p w14:paraId="5279F2BD" w14:textId="77777777" w:rsidR="00C3411D" w:rsidRDefault="003D13F0">
      <w:pPr>
        <w:pStyle w:val="BodyText"/>
        <w:spacing w:line="360" w:lineRule="auto"/>
        <w:ind w:right="359"/>
        <w:jc w:val="both"/>
        <w:rPr>
          <w:b/>
        </w:rPr>
      </w:pPr>
      <w:r>
        <w:rPr>
          <w:b/>
          <w:spacing w:val="-2"/>
        </w:rPr>
        <w:t>3.0 Results</w:t>
      </w:r>
    </w:p>
    <w:p w14:paraId="4498E5E0" w14:textId="77777777" w:rsidR="00C3411D" w:rsidRDefault="00C3411D">
      <w:pPr>
        <w:pStyle w:val="BodyText"/>
        <w:spacing w:before="23"/>
        <w:rPr>
          <w:b/>
        </w:rPr>
      </w:pPr>
    </w:p>
    <w:p w14:paraId="02BA8145" w14:textId="77777777" w:rsidR="00C3411D" w:rsidRDefault="003D13F0">
      <w:pPr>
        <w:pStyle w:val="Heading3"/>
        <w:tabs>
          <w:tab w:val="left" w:pos="727"/>
        </w:tabs>
        <w:ind w:left="0"/>
        <w:rPr>
          <w:spacing w:val="-2"/>
        </w:rPr>
      </w:pPr>
      <w:r>
        <w:t>3.1 Concentrations</w:t>
      </w:r>
      <w:r>
        <w:rPr>
          <w:spacing w:val="-3"/>
        </w:rPr>
        <w:t xml:space="preserve"> </w:t>
      </w:r>
      <w:r>
        <w:t>of Heavy</w:t>
      </w:r>
      <w:r>
        <w:rPr>
          <w:spacing w:val="-1"/>
        </w:rPr>
        <w:t xml:space="preserve"> </w:t>
      </w:r>
      <w:r>
        <w:t>Metals</w:t>
      </w:r>
      <w:r>
        <w:rPr>
          <w:spacing w:val="-1"/>
        </w:rPr>
        <w:t xml:space="preserve"> </w:t>
      </w:r>
      <w:r>
        <w:t>in Sea Foods</w:t>
      </w:r>
      <w:r>
        <w:rPr>
          <w:spacing w:val="-1"/>
        </w:rPr>
        <w:t xml:space="preserve"> </w:t>
      </w:r>
      <w:r>
        <w:t>obtained</w:t>
      </w:r>
      <w:r>
        <w:rPr>
          <w:spacing w:val="-3"/>
        </w:rPr>
        <w:t xml:space="preserve"> </w:t>
      </w:r>
      <w:r>
        <w:t>from</w:t>
      </w:r>
      <w:r>
        <w:rPr>
          <w:spacing w:val="-5"/>
        </w:rPr>
        <w:t xml:space="preserve"> </w:t>
      </w:r>
      <w:r>
        <w:t xml:space="preserve">Abakpa </w:t>
      </w:r>
      <w:r>
        <w:rPr>
          <w:spacing w:val="-2"/>
        </w:rPr>
        <w:t xml:space="preserve">Market. </w:t>
      </w:r>
    </w:p>
    <w:p w14:paraId="0F45B035" w14:textId="77777777" w:rsidR="00C3411D" w:rsidRDefault="00C3411D">
      <w:pPr>
        <w:pStyle w:val="Heading3"/>
        <w:tabs>
          <w:tab w:val="left" w:pos="727"/>
        </w:tabs>
        <w:ind w:left="0"/>
        <w:rPr>
          <w:spacing w:val="-2"/>
        </w:rPr>
      </w:pPr>
    </w:p>
    <w:p w14:paraId="0462A7E1" w14:textId="07CCC1FA" w:rsidR="00C3411D" w:rsidRDefault="003D13F0">
      <w:pPr>
        <w:pStyle w:val="Heading3"/>
        <w:tabs>
          <w:tab w:val="left" w:pos="727"/>
        </w:tabs>
        <w:spacing w:line="360" w:lineRule="auto"/>
        <w:ind w:left="0"/>
        <w:jc w:val="both"/>
        <w:rPr>
          <w:b w:val="0"/>
          <w:bCs w:val="0"/>
          <w:spacing w:val="-2"/>
        </w:rPr>
      </w:pPr>
      <w:r>
        <w:rPr>
          <w:b w:val="0"/>
          <w:bCs w:val="0"/>
        </w:rPr>
        <w:t>The result from Abakpa Market shows that in the snail obtained from Abakpa, Selenium has</w:t>
      </w:r>
      <w:r>
        <w:rPr>
          <w:b w:val="0"/>
          <w:bCs w:val="0"/>
          <w:spacing w:val="40"/>
        </w:rPr>
        <w:t xml:space="preserve"> </w:t>
      </w:r>
      <w:r>
        <w:rPr>
          <w:b w:val="0"/>
          <w:bCs w:val="0"/>
        </w:rPr>
        <w:t xml:space="preserve">a higher concentration than aluminum, manganese, </w:t>
      </w:r>
      <w:commentRangeStart w:id="29"/>
      <w:r>
        <w:rPr>
          <w:b w:val="0"/>
          <w:bCs w:val="0"/>
        </w:rPr>
        <w:t>antimony</w:t>
      </w:r>
      <w:commentRangeEnd w:id="29"/>
      <w:r w:rsidR="00B542B9">
        <w:rPr>
          <w:rStyle w:val="CommentReference"/>
          <w:rFonts w:asciiTheme="minorHAnsi" w:eastAsiaTheme="minorEastAsia" w:hAnsiTheme="minorHAnsi" w:cstheme="minorBidi"/>
          <w:b w:val="0"/>
          <w:bCs w:val="0"/>
          <w:lang w:eastAsia="zh-CN"/>
        </w:rPr>
        <w:commentReference w:id="29"/>
      </w:r>
      <w:r>
        <w:rPr>
          <w:b w:val="0"/>
          <w:bCs w:val="0"/>
        </w:rPr>
        <w:t xml:space="preserve"> and Molybdenum. In the catfish obtained from this market, Molybdenum has higher concentration than </w:t>
      </w:r>
      <w:commentRangeStart w:id="30"/>
      <w:r>
        <w:rPr>
          <w:b w:val="0"/>
          <w:bCs w:val="0"/>
        </w:rPr>
        <w:t>selenium</w:t>
      </w:r>
      <w:commentRangeEnd w:id="30"/>
      <w:r w:rsidR="00B542B9">
        <w:rPr>
          <w:rStyle w:val="CommentReference"/>
          <w:rFonts w:asciiTheme="minorHAnsi" w:eastAsiaTheme="minorEastAsia" w:hAnsiTheme="minorHAnsi" w:cstheme="minorBidi"/>
          <w:b w:val="0"/>
          <w:bCs w:val="0"/>
          <w:lang w:eastAsia="zh-CN"/>
        </w:rPr>
        <w:commentReference w:id="30"/>
      </w:r>
      <w:r>
        <w:rPr>
          <w:b w:val="0"/>
          <w:bCs w:val="0"/>
        </w:rPr>
        <w:t xml:space="preserve">, Antimony, </w:t>
      </w:r>
      <w:commentRangeStart w:id="31"/>
      <w:r>
        <w:rPr>
          <w:b w:val="0"/>
          <w:bCs w:val="0"/>
        </w:rPr>
        <w:t xml:space="preserve">Aluminum and </w:t>
      </w:r>
      <w:commentRangeEnd w:id="31"/>
      <w:r w:rsidR="00B542B9">
        <w:rPr>
          <w:rStyle w:val="CommentReference"/>
          <w:rFonts w:asciiTheme="minorHAnsi" w:eastAsiaTheme="minorEastAsia" w:hAnsiTheme="minorHAnsi" w:cstheme="minorBidi"/>
          <w:b w:val="0"/>
          <w:bCs w:val="0"/>
          <w:lang w:eastAsia="zh-CN"/>
        </w:rPr>
        <w:commentReference w:id="31"/>
      </w:r>
      <w:r>
        <w:rPr>
          <w:b w:val="0"/>
          <w:bCs w:val="0"/>
        </w:rPr>
        <w:t xml:space="preserve">Manganese. While in the periwinkle obtained from this market, Manganese contains </w:t>
      </w:r>
      <w:commentRangeStart w:id="32"/>
      <w:r>
        <w:rPr>
          <w:b w:val="0"/>
          <w:bCs w:val="0"/>
        </w:rPr>
        <w:t>higher</w:t>
      </w:r>
      <w:commentRangeEnd w:id="32"/>
      <w:r w:rsidR="00B542B9">
        <w:rPr>
          <w:rStyle w:val="CommentReference"/>
          <w:rFonts w:asciiTheme="minorHAnsi" w:eastAsiaTheme="minorEastAsia" w:hAnsiTheme="minorHAnsi" w:cstheme="minorBidi"/>
          <w:b w:val="0"/>
          <w:bCs w:val="0"/>
          <w:lang w:eastAsia="zh-CN"/>
        </w:rPr>
        <w:commentReference w:id="32"/>
      </w:r>
      <w:r>
        <w:rPr>
          <w:b w:val="0"/>
          <w:bCs w:val="0"/>
        </w:rPr>
        <w:t xml:space="preserve"> concentration than </w:t>
      </w:r>
      <w:commentRangeStart w:id="33"/>
      <w:r w:rsidRPr="00B542B9">
        <w:rPr>
          <w:b w:val="0"/>
          <w:bCs w:val="0"/>
          <w:color w:val="EE0000"/>
        </w:rPr>
        <w:t>a</w:t>
      </w:r>
      <w:r>
        <w:rPr>
          <w:b w:val="0"/>
          <w:bCs w:val="0"/>
        </w:rPr>
        <w:t xml:space="preserve">luminum, </w:t>
      </w:r>
      <w:r w:rsidRPr="00B542B9">
        <w:rPr>
          <w:b w:val="0"/>
          <w:bCs w:val="0"/>
          <w:color w:val="EE0000"/>
        </w:rPr>
        <w:t>m</w:t>
      </w:r>
      <w:r>
        <w:rPr>
          <w:b w:val="0"/>
          <w:bCs w:val="0"/>
        </w:rPr>
        <w:t xml:space="preserve">olybdenum, </w:t>
      </w:r>
      <w:r w:rsidRPr="00B542B9">
        <w:rPr>
          <w:b w:val="0"/>
          <w:bCs w:val="0"/>
          <w:color w:val="EE0000"/>
        </w:rPr>
        <w:t>s</w:t>
      </w:r>
      <w:r>
        <w:rPr>
          <w:b w:val="0"/>
          <w:bCs w:val="0"/>
        </w:rPr>
        <w:t>elenium</w:t>
      </w:r>
      <w:r w:rsidR="00B542B9">
        <w:rPr>
          <w:b w:val="0"/>
          <w:bCs w:val="0"/>
        </w:rPr>
        <w:t>,</w:t>
      </w:r>
      <w:r>
        <w:rPr>
          <w:b w:val="0"/>
          <w:bCs w:val="0"/>
        </w:rPr>
        <w:t xml:space="preserve"> and </w:t>
      </w:r>
      <w:r w:rsidRPr="00B542B9">
        <w:rPr>
          <w:b w:val="0"/>
          <w:bCs w:val="0"/>
          <w:color w:val="EE0000"/>
        </w:rPr>
        <w:t>a</w:t>
      </w:r>
      <w:r>
        <w:rPr>
          <w:b w:val="0"/>
          <w:bCs w:val="0"/>
          <w:spacing w:val="-2"/>
        </w:rPr>
        <w:t>ntimony</w:t>
      </w:r>
      <w:commentRangeEnd w:id="33"/>
      <w:r w:rsidR="00B542B9">
        <w:rPr>
          <w:rStyle w:val="CommentReference"/>
          <w:rFonts w:asciiTheme="minorHAnsi" w:eastAsiaTheme="minorEastAsia" w:hAnsiTheme="minorHAnsi" w:cstheme="minorBidi"/>
          <w:b w:val="0"/>
          <w:bCs w:val="0"/>
          <w:lang w:eastAsia="zh-CN"/>
        </w:rPr>
        <w:commentReference w:id="33"/>
      </w:r>
      <w:r>
        <w:rPr>
          <w:b w:val="0"/>
          <w:bCs w:val="0"/>
          <w:spacing w:val="-2"/>
        </w:rPr>
        <w:t>.</w:t>
      </w:r>
    </w:p>
    <w:p w14:paraId="6716C596" w14:textId="6B32528B" w:rsidR="00C3411D" w:rsidRDefault="003D13F0">
      <w:pPr>
        <w:pStyle w:val="Heading3"/>
        <w:tabs>
          <w:tab w:val="left" w:pos="727"/>
        </w:tabs>
        <w:ind w:left="0"/>
        <w:jc w:val="both"/>
      </w:pPr>
      <w:r>
        <w:rPr>
          <w:spacing w:val="-2"/>
        </w:rPr>
        <w:t xml:space="preserve">Table </w:t>
      </w:r>
      <w:r>
        <w:rPr>
          <w:spacing w:val="-4"/>
        </w:rPr>
        <w:t>1:</w:t>
      </w:r>
      <w:r>
        <w:tab/>
      </w:r>
      <w:r>
        <w:rPr>
          <w:spacing w:val="-2"/>
        </w:rPr>
        <w:t>Concentrations of Heavy Metals i</w:t>
      </w:r>
      <w:r>
        <w:rPr>
          <w:spacing w:val="-5"/>
        </w:rPr>
        <w:t>n</w:t>
      </w:r>
      <w:r>
        <w:tab/>
      </w:r>
      <w:r>
        <w:rPr>
          <w:spacing w:val="-5"/>
        </w:rPr>
        <w:t xml:space="preserve">Sea </w:t>
      </w:r>
      <w:r>
        <w:rPr>
          <w:spacing w:val="-2"/>
        </w:rPr>
        <w:t xml:space="preserve">Foods </w:t>
      </w:r>
      <w:r>
        <w:t xml:space="preserve">Obtained </w:t>
      </w:r>
      <w:commentRangeStart w:id="34"/>
      <w:r>
        <w:t>From</w:t>
      </w:r>
      <w:commentRangeEnd w:id="34"/>
      <w:r w:rsidR="00B542B9">
        <w:rPr>
          <w:rStyle w:val="CommentReference"/>
          <w:rFonts w:asciiTheme="minorHAnsi" w:eastAsiaTheme="minorEastAsia" w:hAnsiTheme="minorHAnsi" w:cstheme="minorBidi"/>
          <w:b w:val="0"/>
          <w:bCs w:val="0"/>
          <w:lang w:eastAsia="zh-CN"/>
        </w:rPr>
        <w:commentReference w:id="34"/>
      </w:r>
      <w:r>
        <w:t xml:space="preserve"> Abakpa Market</w:t>
      </w:r>
    </w:p>
    <w:p w14:paraId="6C330CF7" w14:textId="77777777" w:rsidR="00C3411D" w:rsidRDefault="00C3411D">
      <w:pPr>
        <w:pStyle w:val="BodyText"/>
        <w:rPr>
          <w:sz w:val="15"/>
        </w:rPr>
      </w:pPr>
    </w:p>
    <w:tbl>
      <w:tblPr>
        <w:tblW w:w="8556" w:type="dxa"/>
        <w:tblInd w:w="-15" w:type="dxa"/>
        <w:tblLayout w:type="fixed"/>
        <w:tblCellMar>
          <w:left w:w="0" w:type="dxa"/>
          <w:right w:w="0" w:type="dxa"/>
        </w:tblCellMar>
        <w:tblLook w:val="04A0" w:firstRow="1" w:lastRow="0" w:firstColumn="1" w:lastColumn="0" w:noHBand="0" w:noVBand="1"/>
      </w:tblPr>
      <w:tblGrid>
        <w:gridCol w:w="2721"/>
        <w:gridCol w:w="2205"/>
        <w:gridCol w:w="1890"/>
        <w:gridCol w:w="1740"/>
      </w:tblGrid>
      <w:tr w:rsidR="00C3411D" w14:paraId="2B230901" w14:textId="77777777">
        <w:trPr>
          <w:trHeight w:val="574"/>
        </w:trPr>
        <w:tc>
          <w:tcPr>
            <w:tcW w:w="2721" w:type="dxa"/>
            <w:tcBorders>
              <w:top w:val="single" w:sz="4" w:space="0" w:color="000000"/>
              <w:bottom w:val="single" w:sz="4" w:space="0" w:color="000000"/>
            </w:tcBorders>
          </w:tcPr>
          <w:p w14:paraId="2567D34F" w14:textId="77777777" w:rsidR="00C3411D" w:rsidRDefault="003D13F0">
            <w:pPr>
              <w:pStyle w:val="TableParagraph"/>
              <w:tabs>
                <w:tab w:val="left" w:pos="3671"/>
              </w:tabs>
              <w:spacing w:before="109"/>
              <w:ind w:left="71"/>
              <w:rPr>
                <w:b/>
                <w:sz w:val="24"/>
              </w:rPr>
            </w:pPr>
            <w:r>
              <w:rPr>
                <w:b/>
                <w:sz w:val="24"/>
              </w:rPr>
              <w:t>Heavy</w:t>
            </w:r>
            <w:r>
              <w:rPr>
                <w:b/>
                <w:spacing w:val="-3"/>
                <w:sz w:val="24"/>
              </w:rPr>
              <w:t xml:space="preserve"> </w:t>
            </w:r>
            <w:r>
              <w:rPr>
                <w:b/>
                <w:sz w:val="24"/>
              </w:rPr>
              <w:t>Metals (mg/kg)</w:t>
            </w:r>
            <w:r>
              <w:rPr>
                <w:b/>
                <w:sz w:val="24"/>
              </w:rPr>
              <w:tab/>
            </w:r>
          </w:p>
        </w:tc>
        <w:tc>
          <w:tcPr>
            <w:tcW w:w="2205" w:type="dxa"/>
            <w:tcBorders>
              <w:top w:val="single" w:sz="4" w:space="0" w:color="000000"/>
              <w:bottom w:val="single" w:sz="4" w:space="0" w:color="000000"/>
            </w:tcBorders>
          </w:tcPr>
          <w:p w14:paraId="3A2F370A" w14:textId="77777777" w:rsidR="00C3411D" w:rsidRDefault="003D13F0">
            <w:pPr>
              <w:pStyle w:val="TableParagraph"/>
              <w:spacing w:before="109"/>
              <w:ind w:left="508"/>
              <w:rPr>
                <w:b/>
                <w:spacing w:val="-2"/>
                <w:sz w:val="24"/>
              </w:rPr>
            </w:pPr>
            <w:r>
              <w:rPr>
                <w:b/>
                <w:spacing w:val="-2"/>
                <w:sz w:val="24"/>
              </w:rPr>
              <w:t>Snail</w:t>
            </w:r>
          </w:p>
        </w:tc>
        <w:tc>
          <w:tcPr>
            <w:tcW w:w="1890" w:type="dxa"/>
            <w:tcBorders>
              <w:top w:val="single" w:sz="4" w:space="0" w:color="000000"/>
              <w:bottom w:val="single" w:sz="4" w:space="0" w:color="000000"/>
            </w:tcBorders>
          </w:tcPr>
          <w:p w14:paraId="31FE2F8F" w14:textId="77777777" w:rsidR="00C3411D" w:rsidRDefault="003D13F0">
            <w:pPr>
              <w:pStyle w:val="TableParagraph"/>
              <w:spacing w:before="109"/>
              <w:ind w:left="508"/>
              <w:rPr>
                <w:b/>
                <w:sz w:val="24"/>
              </w:rPr>
            </w:pPr>
            <w:r>
              <w:rPr>
                <w:b/>
                <w:spacing w:val="-2"/>
                <w:sz w:val="24"/>
              </w:rPr>
              <w:t>Catfish</w:t>
            </w:r>
          </w:p>
        </w:tc>
        <w:tc>
          <w:tcPr>
            <w:tcW w:w="1740" w:type="dxa"/>
            <w:tcBorders>
              <w:top w:val="single" w:sz="4" w:space="0" w:color="000000"/>
              <w:bottom w:val="single" w:sz="4" w:space="0" w:color="000000"/>
            </w:tcBorders>
          </w:tcPr>
          <w:p w14:paraId="7EAC614E" w14:textId="77777777" w:rsidR="00C3411D" w:rsidRDefault="003D13F0">
            <w:pPr>
              <w:pStyle w:val="TableParagraph"/>
              <w:spacing w:before="109"/>
              <w:ind w:left="288"/>
              <w:rPr>
                <w:b/>
                <w:sz w:val="24"/>
              </w:rPr>
            </w:pPr>
            <w:r>
              <w:rPr>
                <w:b/>
                <w:spacing w:val="-2"/>
                <w:sz w:val="24"/>
              </w:rPr>
              <w:t>Periwinkle</w:t>
            </w:r>
          </w:p>
        </w:tc>
      </w:tr>
      <w:tr w:rsidR="00C3411D" w14:paraId="37671EB0" w14:textId="77777777">
        <w:trPr>
          <w:trHeight w:val="508"/>
        </w:trPr>
        <w:tc>
          <w:tcPr>
            <w:tcW w:w="2721" w:type="dxa"/>
            <w:tcBorders>
              <w:top w:val="single" w:sz="4" w:space="0" w:color="000000"/>
            </w:tcBorders>
          </w:tcPr>
          <w:p w14:paraId="4CA1DCCB" w14:textId="77777777" w:rsidR="00C3411D" w:rsidRDefault="003D13F0">
            <w:pPr>
              <w:pStyle w:val="TableParagraph"/>
              <w:tabs>
                <w:tab w:val="right" w:pos="4211"/>
              </w:tabs>
              <w:spacing w:before="85"/>
              <w:ind w:left="71"/>
              <w:rPr>
                <w:sz w:val="24"/>
              </w:rPr>
            </w:pPr>
            <w:r>
              <w:rPr>
                <w:spacing w:val="-2"/>
                <w:sz w:val="24"/>
              </w:rPr>
              <w:t>Aluminum</w:t>
            </w:r>
            <w:r>
              <w:rPr>
                <w:sz w:val="24"/>
              </w:rPr>
              <w:tab/>
            </w:r>
          </w:p>
        </w:tc>
        <w:tc>
          <w:tcPr>
            <w:tcW w:w="2205" w:type="dxa"/>
            <w:tcBorders>
              <w:top w:val="single" w:sz="4" w:space="0" w:color="000000"/>
            </w:tcBorders>
          </w:tcPr>
          <w:p w14:paraId="337AC788" w14:textId="77777777" w:rsidR="00C3411D" w:rsidRDefault="003D13F0">
            <w:pPr>
              <w:pStyle w:val="TableParagraph"/>
              <w:spacing w:before="85"/>
              <w:ind w:left="448"/>
              <w:rPr>
                <w:spacing w:val="-2"/>
                <w:sz w:val="24"/>
              </w:rPr>
            </w:pPr>
            <w:r>
              <w:rPr>
                <w:spacing w:val="-2"/>
                <w:sz w:val="24"/>
              </w:rPr>
              <w:t>0.030 ± 0.009</w:t>
            </w:r>
          </w:p>
        </w:tc>
        <w:tc>
          <w:tcPr>
            <w:tcW w:w="1890" w:type="dxa"/>
            <w:tcBorders>
              <w:top w:val="single" w:sz="4" w:space="0" w:color="000000"/>
            </w:tcBorders>
          </w:tcPr>
          <w:p w14:paraId="29662D4D" w14:textId="77777777" w:rsidR="00C3411D" w:rsidRDefault="003D13F0">
            <w:pPr>
              <w:pStyle w:val="TableParagraph"/>
              <w:spacing w:before="85"/>
              <w:ind w:left="448"/>
              <w:rPr>
                <w:sz w:val="24"/>
              </w:rPr>
            </w:pPr>
            <w:r>
              <w:rPr>
                <w:spacing w:val="-2"/>
                <w:sz w:val="24"/>
              </w:rPr>
              <w:t>0.040 ± 0.002</w:t>
            </w:r>
          </w:p>
        </w:tc>
        <w:tc>
          <w:tcPr>
            <w:tcW w:w="1740" w:type="dxa"/>
            <w:tcBorders>
              <w:top w:val="single" w:sz="4" w:space="0" w:color="000000"/>
            </w:tcBorders>
          </w:tcPr>
          <w:p w14:paraId="6620D564" w14:textId="77777777" w:rsidR="00C3411D" w:rsidRDefault="003D13F0">
            <w:pPr>
              <w:pStyle w:val="TableParagraph"/>
              <w:spacing w:before="85"/>
              <w:ind w:left="288"/>
              <w:rPr>
                <w:sz w:val="24"/>
              </w:rPr>
            </w:pPr>
            <w:r>
              <w:rPr>
                <w:spacing w:val="-2"/>
                <w:sz w:val="24"/>
              </w:rPr>
              <w:t>0.060 ± 0.012</w:t>
            </w:r>
          </w:p>
        </w:tc>
      </w:tr>
      <w:tr w:rsidR="00C3411D" w14:paraId="18D287C0" w14:textId="77777777">
        <w:trPr>
          <w:trHeight w:val="555"/>
        </w:trPr>
        <w:tc>
          <w:tcPr>
            <w:tcW w:w="2721" w:type="dxa"/>
          </w:tcPr>
          <w:p w14:paraId="554311AC" w14:textId="77777777" w:rsidR="00C3411D" w:rsidRDefault="003D13F0">
            <w:pPr>
              <w:pStyle w:val="TableParagraph"/>
              <w:tabs>
                <w:tab w:val="right" w:pos="4211"/>
              </w:tabs>
              <w:spacing w:before="145"/>
              <w:ind w:left="71"/>
              <w:rPr>
                <w:sz w:val="24"/>
              </w:rPr>
            </w:pPr>
            <w:r>
              <w:rPr>
                <w:spacing w:val="-2"/>
                <w:sz w:val="24"/>
              </w:rPr>
              <w:t>Manganese</w:t>
            </w:r>
            <w:r>
              <w:rPr>
                <w:sz w:val="24"/>
              </w:rPr>
              <w:tab/>
            </w:r>
          </w:p>
        </w:tc>
        <w:tc>
          <w:tcPr>
            <w:tcW w:w="2205" w:type="dxa"/>
          </w:tcPr>
          <w:p w14:paraId="03F91F16" w14:textId="77777777" w:rsidR="00C3411D" w:rsidRDefault="003D13F0">
            <w:pPr>
              <w:pStyle w:val="TableParagraph"/>
              <w:spacing w:before="145"/>
              <w:ind w:left="448"/>
              <w:rPr>
                <w:spacing w:val="-2"/>
                <w:sz w:val="24"/>
              </w:rPr>
            </w:pPr>
            <w:r>
              <w:rPr>
                <w:spacing w:val="-2"/>
                <w:sz w:val="24"/>
              </w:rPr>
              <w:t>0.040 ± 0.001</w:t>
            </w:r>
          </w:p>
        </w:tc>
        <w:tc>
          <w:tcPr>
            <w:tcW w:w="1890" w:type="dxa"/>
          </w:tcPr>
          <w:p w14:paraId="114FE1A3" w14:textId="77777777" w:rsidR="00C3411D" w:rsidRDefault="003D13F0">
            <w:pPr>
              <w:pStyle w:val="TableParagraph"/>
              <w:spacing w:before="145"/>
              <w:ind w:left="448"/>
              <w:rPr>
                <w:sz w:val="24"/>
              </w:rPr>
            </w:pPr>
            <w:r>
              <w:rPr>
                <w:spacing w:val="-2"/>
                <w:sz w:val="24"/>
              </w:rPr>
              <w:t>0.016 ± 0.018</w:t>
            </w:r>
          </w:p>
        </w:tc>
        <w:tc>
          <w:tcPr>
            <w:tcW w:w="1740" w:type="dxa"/>
          </w:tcPr>
          <w:p w14:paraId="1A4E9692" w14:textId="77777777" w:rsidR="00C3411D" w:rsidRDefault="003D13F0">
            <w:pPr>
              <w:pStyle w:val="TableParagraph"/>
              <w:spacing w:before="145"/>
              <w:ind w:left="288"/>
              <w:rPr>
                <w:sz w:val="24"/>
              </w:rPr>
            </w:pPr>
            <w:r>
              <w:rPr>
                <w:spacing w:val="-2"/>
                <w:sz w:val="24"/>
              </w:rPr>
              <w:t>0.069 ± 0.019</w:t>
            </w:r>
          </w:p>
        </w:tc>
      </w:tr>
      <w:tr w:rsidR="00C3411D" w14:paraId="75D66D33" w14:textId="77777777">
        <w:trPr>
          <w:trHeight w:val="554"/>
        </w:trPr>
        <w:tc>
          <w:tcPr>
            <w:tcW w:w="2721" w:type="dxa"/>
          </w:tcPr>
          <w:p w14:paraId="6767D67F" w14:textId="77777777" w:rsidR="00C3411D" w:rsidRDefault="003D13F0">
            <w:pPr>
              <w:pStyle w:val="TableParagraph"/>
              <w:tabs>
                <w:tab w:val="right" w:pos="4211"/>
              </w:tabs>
              <w:spacing w:before="143"/>
              <w:ind w:left="71"/>
              <w:rPr>
                <w:sz w:val="24"/>
              </w:rPr>
            </w:pPr>
            <w:r>
              <w:rPr>
                <w:spacing w:val="-2"/>
                <w:sz w:val="24"/>
              </w:rPr>
              <w:t>Antimony</w:t>
            </w:r>
            <w:r>
              <w:rPr>
                <w:sz w:val="24"/>
              </w:rPr>
              <w:tab/>
            </w:r>
          </w:p>
        </w:tc>
        <w:tc>
          <w:tcPr>
            <w:tcW w:w="2205" w:type="dxa"/>
          </w:tcPr>
          <w:p w14:paraId="3AB2B0C9" w14:textId="77777777" w:rsidR="00C3411D" w:rsidRDefault="003D13F0">
            <w:pPr>
              <w:pStyle w:val="TableParagraph"/>
              <w:spacing w:before="143"/>
              <w:ind w:left="448"/>
              <w:rPr>
                <w:spacing w:val="-2"/>
                <w:sz w:val="24"/>
              </w:rPr>
            </w:pPr>
            <w:r>
              <w:rPr>
                <w:spacing w:val="-2"/>
                <w:sz w:val="24"/>
              </w:rPr>
              <w:t>0.010 ± 0.004</w:t>
            </w:r>
          </w:p>
        </w:tc>
        <w:tc>
          <w:tcPr>
            <w:tcW w:w="1890" w:type="dxa"/>
          </w:tcPr>
          <w:p w14:paraId="1E31A25D" w14:textId="77777777" w:rsidR="00C3411D" w:rsidRDefault="003D13F0">
            <w:pPr>
              <w:pStyle w:val="TableParagraph"/>
              <w:spacing w:before="143"/>
              <w:ind w:left="448"/>
              <w:rPr>
                <w:sz w:val="24"/>
              </w:rPr>
            </w:pPr>
            <w:r>
              <w:rPr>
                <w:spacing w:val="-2"/>
                <w:sz w:val="24"/>
              </w:rPr>
              <w:t>0.002 ± 0.001</w:t>
            </w:r>
          </w:p>
        </w:tc>
        <w:tc>
          <w:tcPr>
            <w:tcW w:w="1740" w:type="dxa"/>
          </w:tcPr>
          <w:p w14:paraId="668A3737" w14:textId="77777777" w:rsidR="00C3411D" w:rsidRDefault="003D13F0">
            <w:pPr>
              <w:pStyle w:val="TableParagraph"/>
              <w:spacing w:before="143"/>
              <w:ind w:left="288"/>
              <w:rPr>
                <w:sz w:val="24"/>
              </w:rPr>
            </w:pPr>
            <w:r>
              <w:rPr>
                <w:spacing w:val="-2"/>
                <w:sz w:val="24"/>
              </w:rPr>
              <w:t>0.001 ± 0.002</w:t>
            </w:r>
          </w:p>
        </w:tc>
      </w:tr>
      <w:tr w:rsidR="00C3411D" w14:paraId="2522FC61" w14:textId="77777777">
        <w:trPr>
          <w:trHeight w:val="554"/>
        </w:trPr>
        <w:tc>
          <w:tcPr>
            <w:tcW w:w="2721" w:type="dxa"/>
          </w:tcPr>
          <w:p w14:paraId="41CB7176" w14:textId="77777777" w:rsidR="00C3411D" w:rsidRDefault="003D13F0">
            <w:pPr>
              <w:pStyle w:val="TableParagraph"/>
              <w:tabs>
                <w:tab w:val="right" w:pos="4211"/>
              </w:tabs>
              <w:spacing w:before="143"/>
              <w:ind w:left="71"/>
              <w:rPr>
                <w:sz w:val="24"/>
              </w:rPr>
            </w:pPr>
            <w:r>
              <w:rPr>
                <w:spacing w:val="-2"/>
                <w:sz w:val="24"/>
              </w:rPr>
              <w:t>Molybdenum</w:t>
            </w:r>
            <w:r>
              <w:rPr>
                <w:sz w:val="24"/>
              </w:rPr>
              <w:tab/>
            </w:r>
          </w:p>
        </w:tc>
        <w:tc>
          <w:tcPr>
            <w:tcW w:w="2205" w:type="dxa"/>
          </w:tcPr>
          <w:p w14:paraId="02A5E2A4" w14:textId="77777777" w:rsidR="00C3411D" w:rsidRDefault="003D13F0">
            <w:pPr>
              <w:pStyle w:val="TableParagraph"/>
              <w:spacing w:before="143"/>
              <w:ind w:left="448"/>
              <w:rPr>
                <w:spacing w:val="-2"/>
                <w:sz w:val="24"/>
              </w:rPr>
            </w:pPr>
            <w:r>
              <w:rPr>
                <w:spacing w:val="-2"/>
                <w:sz w:val="24"/>
              </w:rPr>
              <w:t>0.022 ± 0.019</w:t>
            </w:r>
          </w:p>
        </w:tc>
        <w:tc>
          <w:tcPr>
            <w:tcW w:w="1890" w:type="dxa"/>
          </w:tcPr>
          <w:p w14:paraId="03F3FE6A" w14:textId="77777777" w:rsidR="00C3411D" w:rsidRDefault="003D13F0">
            <w:pPr>
              <w:pStyle w:val="TableParagraph"/>
              <w:spacing w:before="143"/>
              <w:ind w:left="448"/>
              <w:rPr>
                <w:sz w:val="24"/>
              </w:rPr>
            </w:pPr>
            <w:r>
              <w:rPr>
                <w:spacing w:val="-2"/>
                <w:sz w:val="24"/>
              </w:rPr>
              <w:t>0.078 ± 0.021</w:t>
            </w:r>
          </w:p>
        </w:tc>
        <w:tc>
          <w:tcPr>
            <w:tcW w:w="1740" w:type="dxa"/>
          </w:tcPr>
          <w:p w14:paraId="3E0EF039" w14:textId="77777777" w:rsidR="00C3411D" w:rsidRDefault="003D13F0">
            <w:pPr>
              <w:pStyle w:val="TableParagraph"/>
              <w:spacing w:before="143"/>
              <w:ind w:left="288"/>
              <w:rPr>
                <w:sz w:val="24"/>
              </w:rPr>
            </w:pPr>
            <w:r>
              <w:rPr>
                <w:spacing w:val="-2"/>
                <w:sz w:val="24"/>
              </w:rPr>
              <w:t>0.047 ± 0.001</w:t>
            </w:r>
          </w:p>
        </w:tc>
      </w:tr>
      <w:tr w:rsidR="00C3411D" w14:paraId="3A474C46" w14:textId="77777777">
        <w:trPr>
          <w:trHeight w:val="586"/>
        </w:trPr>
        <w:tc>
          <w:tcPr>
            <w:tcW w:w="2721" w:type="dxa"/>
            <w:tcBorders>
              <w:bottom w:val="single" w:sz="4" w:space="0" w:color="000000"/>
            </w:tcBorders>
          </w:tcPr>
          <w:p w14:paraId="7C6DD3FC" w14:textId="77777777" w:rsidR="00C3411D" w:rsidRDefault="003D13F0">
            <w:pPr>
              <w:pStyle w:val="TableParagraph"/>
              <w:tabs>
                <w:tab w:val="right" w:pos="4211"/>
              </w:tabs>
              <w:spacing w:before="143"/>
              <w:ind w:left="71"/>
              <w:rPr>
                <w:sz w:val="24"/>
              </w:rPr>
            </w:pPr>
            <w:r>
              <w:rPr>
                <w:spacing w:val="-2"/>
                <w:sz w:val="24"/>
              </w:rPr>
              <w:t>Selenium</w:t>
            </w:r>
            <w:r>
              <w:rPr>
                <w:sz w:val="24"/>
              </w:rPr>
              <w:tab/>
            </w:r>
          </w:p>
        </w:tc>
        <w:tc>
          <w:tcPr>
            <w:tcW w:w="2205" w:type="dxa"/>
            <w:tcBorders>
              <w:bottom w:val="single" w:sz="4" w:space="0" w:color="000000"/>
            </w:tcBorders>
          </w:tcPr>
          <w:p w14:paraId="65F05B7C" w14:textId="77777777" w:rsidR="00C3411D" w:rsidRDefault="003D13F0">
            <w:pPr>
              <w:pStyle w:val="TableParagraph"/>
              <w:spacing w:before="143"/>
              <w:ind w:left="448"/>
              <w:rPr>
                <w:spacing w:val="-2"/>
                <w:sz w:val="24"/>
              </w:rPr>
            </w:pPr>
            <w:r>
              <w:rPr>
                <w:spacing w:val="-2"/>
                <w:sz w:val="24"/>
              </w:rPr>
              <w:t>0.081 ± 0.005</w:t>
            </w:r>
          </w:p>
        </w:tc>
        <w:tc>
          <w:tcPr>
            <w:tcW w:w="1890" w:type="dxa"/>
            <w:tcBorders>
              <w:bottom w:val="single" w:sz="4" w:space="0" w:color="000000"/>
            </w:tcBorders>
          </w:tcPr>
          <w:p w14:paraId="462F6F4E" w14:textId="77777777" w:rsidR="00C3411D" w:rsidRDefault="003D13F0">
            <w:pPr>
              <w:pStyle w:val="TableParagraph"/>
              <w:spacing w:before="143"/>
              <w:ind w:left="448"/>
              <w:rPr>
                <w:sz w:val="24"/>
              </w:rPr>
            </w:pPr>
            <w:r>
              <w:rPr>
                <w:spacing w:val="-2"/>
                <w:sz w:val="24"/>
              </w:rPr>
              <w:t>0.076 ± 0.001</w:t>
            </w:r>
          </w:p>
        </w:tc>
        <w:tc>
          <w:tcPr>
            <w:tcW w:w="1740" w:type="dxa"/>
            <w:tcBorders>
              <w:bottom w:val="single" w:sz="4" w:space="0" w:color="000000"/>
            </w:tcBorders>
          </w:tcPr>
          <w:p w14:paraId="7A022B8C" w14:textId="77777777" w:rsidR="00C3411D" w:rsidRDefault="003D13F0">
            <w:pPr>
              <w:pStyle w:val="TableParagraph"/>
              <w:spacing w:before="143"/>
              <w:ind w:left="288"/>
              <w:rPr>
                <w:sz w:val="24"/>
              </w:rPr>
            </w:pPr>
            <w:r>
              <w:rPr>
                <w:spacing w:val="-2"/>
                <w:sz w:val="24"/>
              </w:rPr>
              <w:t>0.066 ± 0.006</w:t>
            </w:r>
          </w:p>
        </w:tc>
      </w:tr>
    </w:tbl>
    <w:p w14:paraId="726310B5" w14:textId="77777777" w:rsidR="00C3411D" w:rsidRDefault="00C3411D">
      <w:pPr>
        <w:pStyle w:val="BodyText"/>
        <w:spacing w:before="64"/>
      </w:pPr>
    </w:p>
    <w:p w14:paraId="4D5322D7" w14:textId="77777777" w:rsidR="00C3411D" w:rsidRDefault="003D13F0">
      <w:pPr>
        <w:pStyle w:val="Heading3"/>
        <w:tabs>
          <w:tab w:val="left" w:pos="787"/>
        </w:tabs>
        <w:ind w:left="0"/>
        <w:rPr>
          <w:spacing w:val="-2"/>
        </w:rPr>
      </w:pPr>
      <w:r>
        <w:t>3.2 Concentrations</w:t>
      </w:r>
      <w:r>
        <w:rPr>
          <w:spacing w:val="-4"/>
        </w:rPr>
        <w:t xml:space="preserve"> </w:t>
      </w:r>
      <w:r>
        <w:t>of Heavy</w:t>
      </w:r>
      <w:r>
        <w:rPr>
          <w:spacing w:val="-1"/>
        </w:rPr>
        <w:t xml:space="preserve"> </w:t>
      </w:r>
      <w:r>
        <w:t>Metals</w:t>
      </w:r>
      <w:r>
        <w:rPr>
          <w:spacing w:val="-1"/>
        </w:rPr>
        <w:t xml:space="preserve"> </w:t>
      </w:r>
      <w:r>
        <w:t xml:space="preserve">in </w:t>
      </w:r>
      <w:commentRangeStart w:id="35"/>
      <w:r>
        <w:t>Sea</w:t>
      </w:r>
      <w:r>
        <w:rPr>
          <w:spacing w:val="-1"/>
        </w:rPr>
        <w:t xml:space="preserve"> </w:t>
      </w:r>
      <w:r>
        <w:t>Foods</w:t>
      </w:r>
      <w:r>
        <w:rPr>
          <w:spacing w:val="-1"/>
        </w:rPr>
        <w:t xml:space="preserve"> </w:t>
      </w:r>
      <w:commentRangeEnd w:id="35"/>
      <w:r w:rsidR="008335B8">
        <w:rPr>
          <w:rStyle w:val="CommentReference"/>
          <w:rFonts w:asciiTheme="minorHAnsi" w:eastAsiaTheme="minorEastAsia" w:hAnsiTheme="minorHAnsi" w:cstheme="minorBidi"/>
          <w:b w:val="0"/>
          <w:bCs w:val="0"/>
          <w:lang w:eastAsia="zh-CN"/>
        </w:rPr>
        <w:commentReference w:id="35"/>
      </w:r>
      <w:r>
        <w:t>obtained</w:t>
      </w:r>
      <w:r>
        <w:rPr>
          <w:spacing w:val="-3"/>
        </w:rPr>
        <w:t xml:space="preserve"> </w:t>
      </w:r>
      <w:r>
        <w:t>from</w:t>
      </w:r>
      <w:r>
        <w:rPr>
          <w:spacing w:val="-2"/>
        </w:rPr>
        <w:t xml:space="preserve"> </w:t>
      </w:r>
      <w:proofErr w:type="spellStart"/>
      <w:r>
        <w:t>Garki</w:t>
      </w:r>
      <w:proofErr w:type="spellEnd"/>
      <w:r>
        <w:rPr>
          <w:spacing w:val="-1"/>
        </w:rPr>
        <w:t xml:space="preserve"> </w:t>
      </w:r>
      <w:r>
        <w:rPr>
          <w:spacing w:val="-2"/>
        </w:rPr>
        <w:t>Market</w:t>
      </w:r>
    </w:p>
    <w:p w14:paraId="681CBC2F" w14:textId="77777777" w:rsidR="00C3411D" w:rsidRDefault="00C3411D">
      <w:pPr>
        <w:pStyle w:val="Heading3"/>
        <w:tabs>
          <w:tab w:val="left" w:pos="787"/>
        </w:tabs>
        <w:ind w:left="0"/>
        <w:rPr>
          <w:spacing w:val="-2"/>
        </w:rPr>
      </w:pPr>
    </w:p>
    <w:p w14:paraId="46ED2BE9" w14:textId="77777777" w:rsidR="00C3411D" w:rsidRDefault="003D13F0">
      <w:pPr>
        <w:pStyle w:val="Heading3"/>
        <w:tabs>
          <w:tab w:val="left" w:pos="787"/>
        </w:tabs>
        <w:spacing w:line="360" w:lineRule="auto"/>
        <w:ind w:left="0"/>
        <w:jc w:val="both"/>
        <w:rPr>
          <w:b w:val="0"/>
          <w:bCs w:val="0"/>
        </w:rPr>
      </w:pPr>
      <w:r>
        <w:rPr>
          <w:b w:val="0"/>
          <w:bCs w:val="0"/>
        </w:rPr>
        <w:t xml:space="preserve">The result from </w:t>
      </w:r>
      <w:proofErr w:type="spellStart"/>
      <w:r>
        <w:rPr>
          <w:b w:val="0"/>
          <w:bCs w:val="0"/>
        </w:rPr>
        <w:t>Garki</w:t>
      </w:r>
      <w:proofErr w:type="spellEnd"/>
      <w:r>
        <w:rPr>
          <w:b w:val="0"/>
          <w:bCs w:val="0"/>
        </w:rPr>
        <w:t xml:space="preserve"> market shows that selenium has </w:t>
      </w:r>
      <w:commentRangeStart w:id="36"/>
      <w:r w:rsidRPr="007551C4">
        <w:rPr>
          <w:b w:val="0"/>
          <w:bCs w:val="0"/>
          <w:strike/>
        </w:rPr>
        <w:t>higher concentration the sea foods</w:t>
      </w:r>
      <w:commentRangeEnd w:id="36"/>
      <w:r w:rsidR="007551C4">
        <w:rPr>
          <w:rStyle w:val="CommentReference"/>
          <w:rFonts w:asciiTheme="minorHAnsi" w:eastAsiaTheme="minorEastAsia" w:hAnsiTheme="minorHAnsi" w:cstheme="minorBidi"/>
          <w:b w:val="0"/>
          <w:bCs w:val="0"/>
          <w:lang w:eastAsia="zh-CN"/>
        </w:rPr>
        <w:commentReference w:id="36"/>
      </w:r>
      <w:r>
        <w:rPr>
          <w:b w:val="0"/>
          <w:bCs w:val="0"/>
        </w:rPr>
        <w:t xml:space="preserve"> </w:t>
      </w:r>
      <w:r w:rsidRPr="007551C4">
        <w:rPr>
          <w:b w:val="0"/>
          <w:bCs w:val="0"/>
          <w:strike/>
        </w:rPr>
        <w:t xml:space="preserve">obtained from </w:t>
      </w:r>
      <w:proofErr w:type="spellStart"/>
      <w:r w:rsidRPr="007551C4">
        <w:rPr>
          <w:b w:val="0"/>
          <w:bCs w:val="0"/>
          <w:strike/>
        </w:rPr>
        <w:t>Garki</w:t>
      </w:r>
      <w:proofErr w:type="spellEnd"/>
      <w:r w:rsidRPr="007551C4">
        <w:rPr>
          <w:b w:val="0"/>
          <w:bCs w:val="0"/>
          <w:strike/>
        </w:rPr>
        <w:t>,</w:t>
      </w:r>
      <w:r>
        <w:rPr>
          <w:b w:val="0"/>
          <w:bCs w:val="0"/>
        </w:rPr>
        <w:t xml:space="preserve"> than </w:t>
      </w:r>
      <w:r w:rsidRPr="007551C4">
        <w:rPr>
          <w:b w:val="0"/>
          <w:bCs w:val="0"/>
          <w:strike/>
        </w:rPr>
        <w:t>the other metals;</w:t>
      </w:r>
      <w:r>
        <w:rPr>
          <w:b w:val="0"/>
          <w:bCs w:val="0"/>
        </w:rPr>
        <w:t xml:space="preserve"> aluminum, molybdenum, </w:t>
      </w:r>
      <w:commentRangeStart w:id="37"/>
      <w:proofErr w:type="gramStart"/>
      <w:r>
        <w:rPr>
          <w:b w:val="0"/>
          <w:bCs w:val="0"/>
        </w:rPr>
        <w:t>manganese</w:t>
      </w:r>
      <w:proofErr w:type="gramEnd"/>
      <w:r>
        <w:rPr>
          <w:b w:val="0"/>
          <w:bCs w:val="0"/>
        </w:rPr>
        <w:t xml:space="preserve"> and Antimony</w:t>
      </w:r>
      <w:commentRangeEnd w:id="37"/>
      <w:r w:rsidR="007551C4">
        <w:rPr>
          <w:rStyle w:val="CommentReference"/>
          <w:rFonts w:asciiTheme="minorHAnsi" w:eastAsiaTheme="minorEastAsia" w:hAnsiTheme="minorHAnsi" w:cstheme="minorBidi"/>
          <w:b w:val="0"/>
          <w:bCs w:val="0"/>
          <w:lang w:eastAsia="zh-CN"/>
        </w:rPr>
        <w:commentReference w:id="37"/>
      </w:r>
      <w:r>
        <w:rPr>
          <w:b w:val="0"/>
          <w:bCs w:val="0"/>
        </w:rPr>
        <w:t xml:space="preserve">. </w:t>
      </w:r>
      <w:commentRangeStart w:id="38"/>
      <w:r w:rsidRPr="007551C4">
        <w:rPr>
          <w:b w:val="0"/>
          <w:bCs w:val="0"/>
          <w:strike/>
        </w:rPr>
        <w:t>This result shows that</w:t>
      </w:r>
      <w:r>
        <w:rPr>
          <w:b w:val="0"/>
          <w:bCs w:val="0"/>
        </w:rPr>
        <w:t xml:space="preserve"> Antimony is not detectable</w:t>
      </w:r>
      <w:commentRangeEnd w:id="38"/>
      <w:r w:rsidR="007551C4">
        <w:rPr>
          <w:rStyle w:val="CommentReference"/>
          <w:rFonts w:asciiTheme="minorHAnsi" w:eastAsiaTheme="minorEastAsia" w:hAnsiTheme="minorHAnsi" w:cstheme="minorBidi"/>
          <w:b w:val="0"/>
          <w:bCs w:val="0"/>
          <w:lang w:eastAsia="zh-CN"/>
        </w:rPr>
        <w:commentReference w:id="38"/>
      </w:r>
      <w:r>
        <w:rPr>
          <w:b w:val="0"/>
          <w:bCs w:val="0"/>
        </w:rPr>
        <w:t xml:space="preserve"> in the catfish obtained from </w:t>
      </w:r>
      <w:proofErr w:type="spellStart"/>
      <w:r>
        <w:rPr>
          <w:b w:val="0"/>
          <w:bCs w:val="0"/>
        </w:rPr>
        <w:t>Garki</w:t>
      </w:r>
      <w:proofErr w:type="spellEnd"/>
      <w:r>
        <w:rPr>
          <w:b w:val="0"/>
          <w:bCs w:val="0"/>
        </w:rPr>
        <w:t xml:space="preserve"> market.</w:t>
      </w:r>
    </w:p>
    <w:p w14:paraId="507BF101" w14:textId="77777777" w:rsidR="00C3411D" w:rsidRDefault="00C3411D">
      <w:pPr>
        <w:pStyle w:val="TableParagraph"/>
        <w:tabs>
          <w:tab w:val="left" w:pos="1289"/>
          <w:tab w:val="left" w:pos="1889"/>
          <w:tab w:val="left" w:pos="4403"/>
        </w:tabs>
        <w:ind w:right="107"/>
        <w:jc w:val="both"/>
        <w:rPr>
          <w:b/>
          <w:spacing w:val="-2"/>
          <w:sz w:val="24"/>
        </w:rPr>
      </w:pPr>
    </w:p>
    <w:p w14:paraId="14E9F7BB" w14:textId="265B2BA9" w:rsidR="00C3411D" w:rsidRDefault="003D13F0">
      <w:pPr>
        <w:pStyle w:val="TableParagraph"/>
        <w:tabs>
          <w:tab w:val="left" w:pos="1289"/>
          <w:tab w:val="left" w:pos="1889"/>
          <w:tab w:val="left" w:pos="4403"/>
        </w:tabs>
        <w:ind w:left="252" w:right="107"/>
        <w:jc w:val="both"/>
      </w:pPr>
      <w:r>
        <w:rPr>
          <w:b/>
          <w:spacing w:val="-2"/>
          <w:sz w:val="24"/>
        </w:rPr>
        <w:lastRenderedPageBreak/>
        <w:t xml:space="preserve">Table </w:t>
      </w:r>
      <w:r>
        <w:rPr>
          <w:b/>
          <w:spacing w:val="-4"/>
          <w:sz w:val="24"/>
        </w:rPr>
        <w:t>2:</w:t>
      </w:r>
      <w:r>
        <w:rPr>
          <w:b/>
          <w:sz w:val="24"/>
        </w:rPr>
        <w:tab/>
      </w:r>
      <w:r>
        <w:rPr>
          <w:b/>
          <w:spacing w:val="-2"/>
          <w:sz w:val="24"/>
        </w:rPr>
        <w:t xml:space="preserve">Concentrations </w:t>
      </w:r>
      <w:commentRangeStart w:id="39"/>
      <w:r w:rsidR="007551C4">
        <w:rPr>
          <w:b/>
          <w:spacing w:val="-2"/>
          <w:sz w:val="24"/>
        </w:rPr>
        <w:t>Heavy</w:t>
      </w:r>
      <w:commentRangeEnd w:id="39"/>
      <w:r w:rsidR="007551C4">
        <w:rPr>
          <w:rStyle w:val="CommentReference"/>
          <w:rFonts w:asciiTheme="minorHAnsi" w:eastAsiaTheme="minorEastAsia" w:hAnsiTheme="minorHAnsi" w:cstheme="minorBidi"/>
          <w:lang w:eastAsia="zh-CN"/>
        </w:rPr>
        <w:commentReference w:id="39"/>
      </w:r>
      <w:r w:rsidR="007551C4">
        <w:rPr>
          <w:b/>
          <w:spacing w:val="-2"/>
          <w:sz w:val="24"/>
        </w:rPr>
        <w:t xml:space="preserve"> Metals</w:t>
      </w:r>
      <w:r>
        <w:rPr>
          <w:b/>
          <w:spacing w:val="-2"/>
          <w:sz w:val="24"/>
        </w:rPr>
        <w:t xml:space="preserve"> i</w:t>
      </w:r>
      <w:r>
        <w:rPr>
          <w:b/>
          <w:spacing w:val="-5"/>
          <w:sz w:val="24"/>
        </w:rPr>
        <w:t xml:space="preserve">n </w:t>
      </w:r>
      <w:commentRangeStart w:id="40"/>
      <w:r>
        <w:rPr>
          <w:b/>
          <w:spacing w:val="-5"/>
          <w:sz w:val="24"/>
        </w:rPr>
        <w:t>Sea</w:t>
      </w:r>
      <w:r>
        <w:rPr>
          <w:b/>
          <w:sz w:val="24"/>
        </w:rPr>
        <w:tab/>
      </w:r>
      <w:r>
        <w:rPr>
          <w:b/>
          <w:spacing w:val="-4"/>
          <w:sz w:val="24"/>
        </w:rPr>
        <w:t>Foods</w:t>
      </w:r>
      <w:commentRangeEnd w:id="40"/>
      <w:r w:rsidR="007551C4">
        <w:rPr>
          <w:rStyle w:val="CommentReference"/>
          <w:rFonts w:asciiTheme="minorHAnsi" w:eastAsiaTheme="minorEastAsia" w:hAnsiTheme="minorHAnsi" w:cstheme="minorBidi"/>
          <w:lang w:eastAsia="zh-CN"/>
        </w:rPr>
        <w:commentReference w:id="40"/>
      </w:r>
      <w:r>
        <w:rPr>
          <w:b/>
          <w:spacing w:val="-4"/>
          <w:sz w:val="24"/>
        </w:rPr>
        <w:t xml:space="preserve"> </w:t>
      </w:r>
      <w:r>
        <w:rPr>
          <w:b/>
          <w:sz w:val="24"/>
        </w:rPr>
        <w:t xml:space="preserve">Obtained from </w:t>
      </w:r>
      <w:proofErr w:type="spellStart"/>
      <w:r>
        <w:rPr>
          <w:b/>
          <w:sz w:val="24"/>
        </w:rPr>
        <w:t>Garki</w:t>
      </w:r>
      <w:proofErr w:type="spellEnd"/>
      <w:r>
        <w:rPr>
          <w:b/>
          <w:sz w:val="24"/>
        </w:rPr>
        <w:t xml:space="preserve"> Market  </w:t>
      </w:r>
      <w:r>
        <w:rPr>
          <w:b/>
          <w:spacing w:val="-5"/>
          <w:sz w:val="24"/>
        </w:rPr>
        <w:t xml:space="preserve"> </w:t>
      </w:r>
    </w:p>
    <w:p w14:paraId="32002494" w14:textId="77777777" w:rsidR="00C3411D" w:rsidRDefault="00C3411D">
      <w:pPr>
        <w:pStyle w:val="BodyText"/>
        <w:spacing w:before="3"/>
        <w:rPr>
          <w:sz w:val="15"/>
        </w:rPr>
      </w:pPr>
    </w:p>
    <w:tbl>
      <w:tblPr>
        <w:tblW w:w="9099" w:type="dxa"/>
        <w:tblInd w:w="62" w:type="dxa"/>
        <w:tblLayout w:type="fixed"/>
        <w:tblCellMar>
          <w:left w:w="0" w:type="dxa"/>
          <w:right w:w="0" w:type="dxa"/>
        </w:tblCellMar>
        <w:tblLook w:val="04A0" w:firstRow="1" w:lastRow="0" w:firstColumn="1" w:lastColumn="0" w:noHBand="0" w:noVBand="1"/>
      </w:tblPr>
      <w:tblGrid>
        <w:gridCol w:w="2809"/>
        <w:gridCol w:w="2010"/>
        <w:gridCol w:w="2115"/>
        <w:gridCol w:w="2165"/>
      </w:tblGrid>
      <w:tr w:rsidR="00C3411D" w14:paraId="61130E23" w14:textId="77777777">
        <w:trPr>
          <w:trHeight w:val="402"/>
        </w:trPr>
        <w:tc>
          <w:tcPr>
            <w:tcW w:w="2809" w:type="dxa"/>
            <w:tcBorders>
              <w:top w:val="single" w:sz="4" w:space="0" w:color="000000"/>
              <w:bottom w:val="single" w:sz="4" w:space="0" w:color="000000"/>
            </w:tcBorders>
          </w:tcPr>
          <w:p w14:paraId="2E3D4F0A" w14:textId="77777777" w:rsidR="00C3411D" w:rsidRDefault="003D13F0">
            <w:pPr>
              <w:pStyle w:val="TableParagraph"/>
              <w:tabs>
                <w:tab w:val="left" w:pos="3852"/>
              </w:tabs>
              <w:spacing w:before="11"/>
              <w:ind w:left="252"/>
              <w:rPr>
                <w:b/>
                <w:sz w:val="24"/>
              </w:rPr>
            </w:pPr>
            <w:r>
              <w:rPr>
                <w:b/>
                <w:sz w:val="24"/>
              </w:rPr>
              <w:t>Heavy</w:t>
            </w:r>
            <w:r>
              <w:rPr>
                <w:b/>
                <w:spacing w:val="-3"/>
                <w:sz w:val="24"/>
              </w:rPr>
              <w:t xml:space="preserve"> </w:t>
            </w:r>
            <w:r>
              <w:rPr>
                <w:b/>
                <w:sz w:val="24"/>
              </w:rPr>
              <w:t>Metals ((mg/kg)</w:t>
            </w:r>
            <w:r>
              <w:rPr>
                <w:b/>
                <w:sz w:val="24"/>
              </w:rPr>
              <w:tab/>
              <w:t xml:space="preserve"> (mg/kg)</w:t>
            </w:r>
          </w:p>
        </w:tc>
        <w:tc>
          <w:tcPr>
            <w:tcW w:w="2010" w:type="dxa"/>
            <w:tcBorders>
              <w:top w:val="single" w:sz="4" w:space="0" w:color="000000"/>
              <w:bottom w:val="single" w:sz="4" w:space="0" w:color="000000"/>
            </w:tcBorders>
          </w:tcPr>
          <w:p w14:paraId="13DAAEC6" w14:textId="77777777" w:rsidR="00C3411D" w:rsidRDefault="003D13F0">
            <w:pPr>
              <w:pStyle w:val="TableParagraph"/>
              <w:tabs>
                <w:tab w:val="left" w:pos="3852"/>
              </w:tabs>
              <w:spacing w:before="11"/>
              <w:ind w:left="252"/>
              <w:rPr>
                <w:b/>
                <w:sz w:val="24"/>
              </w:rPr>
            </w:pPr>
            <w:r>
              <w:rPr>
                <w:b/>
                <w:spacing w:val="-2"/>
                <w:sz w:val="24"/>
              </w:rPr>
              <w:t>Snail</w:t>
            </w:r>
          </w:p>
        </w:tc>
        <w:tc>
          <w:tcPr>
            <w:tcW w:w="2115" w:type="dxa"/>
            <w:tcBorders>
              <w:top w:val="single" w:sz="4" w:space="0" w:color="000000"/>
              <w:bottom w:val="single" w:sz="4" w:space="0" w:color="000000"/>
            </w:tcBorders>
          </w:tcPr>
          <w:p w14:paraId="63E7D18C" w14:textId="77777777" w:rsidR="00C3411D" w:rsidRDefault="003D13F0">
            <w:pPr>
              <w:pStyle w:val="TableParagraph"/>
              <w:spacing w:before="11"/>
              <w:ind w:left="507"/>
              <w:rPr>
                <w:b/>
                <w:sz w:val="24"/>
              </w:rPr>
            </w:pPr>
            <w:r>
              <w:rPr>
                <w:b/>
                <w:spacing w:val="-2"/>
                <w:sz w:val="24"/>
              </w:rPr>
              <w:t>Catfish</w:t>
            </w:r>
          </w:p>
        </w:tc>
        <w:tc>
          <w:tcPr>
            <w:tcW w:w="2165" w:type="dxa"/>
            <w:tcBorders>
              <w:top w:val="single" w:sz="4" w:space="0" w:color="000000"/>
              <w:bottom w:val="single" w:sz="4" w:space="0" w:color="000000"/>
            </w:tcBorders>
          </w:tcPr>
          <w:p w14:paraId="7123DB73" w14:textId="77777777" w:rsidR="00C3411D" w:rsidRDefault="003D13F0">
            <w:pPr>
              <w:pStyle w:val="TableParagraph"/>
              <w:spacing w:before="11"/>
              <w:ind w:left="287"/>
              <w:rPr>
                <w:b/>
                <w:sz w:val="24"/>
              </w:rPr>
            </w:pPr>
            <w:r>
              <w:rPr>
                <w:b/>
                <w:spacing w:val="-2"/>
                <w:sz w:val="24"/>
              </w:rPr>
              <w:t>Periwinkle</w:t>
            </w:r>
          </w:p>
        </w:tc>
      </w:tr>
      <w:tr w:rsidR="00C3411D" w14:paraId="6AF10A17" w14:textId="77777777">
        <w:trPr>
          <w:trHeight w:val="606"/>
        </w:trPr>
        <w:tc>
          <w:tcPr>
            <w:tcW w:w="2809" w:type="dxa"/>
            <w:tcBorders>
              <w:top w:val="single" w:sz="4" w:space="0" w:color="000000"/>
            </w:tcBorders>
          </w:tcPr>
          <w:p w14:paraId="6EF4F2F4" w14:textId="77777777" w:rsidR="00C3411D" w:rsidRDefault="003D13F0">
            <w:pPr>
              <w:pStyle w:val="TableParagraph"/>
              <w:tabs>
                <w:tab w:val="right" w:pos="4392"/>
              </w:tabs>
              <w:spacing w:before="173"/>
              <w:ind w:left="252"/>
              <w:rPr>
                <w:sz w:val="24"/>
              </w:rPr>
            </w:pPr>
            <w:r>
              <w:rPr>
                <w:spacing w:val="-2"/>
                <w:sz w:val="24"/>
              </w:rPr>
              <w:t>Aluminum</w:t>
            </w:r>
            <w:r>
              <w:rPr>
                <w:sz w:val="24"/>
              </w:rPr>
              <w:tab/>
            </w:r>
          </w:p>
        </w:tc>
        <w:tc>
          <w:tcPr>
            <w:tcW w:w="2010" w:type="dxa"/>
            <w:tcBorders>
              <w:top w:val="single" w:sz="4" w:space="0" w:color="000000"/>
            </w:tcBorders>
          </w:tcPr>
          <w:p w14:paraId="47677228" w14:textId="77777777" w:rsidR="00C3411D" w:rsidRDefault="003D13F0">
            <w:pPr>
              <w:pStyle w:val="TableParagraph"/>
              <w:tabs>
                <w:tab w:val="right" w:pos="4392"/>
              </w:tabs>
              <w:spacing w:before="173"/>
              <w:ind w:left="252"/>
              <w:rPr>
                <w:spacing w:val="-2"/>
                <w:sz w:val="24"/>
              </w:rPr>
            </w:pPr>
            <w:r>
              <w:rPr>
                <w:spacing w:val="-2"/>
                <w:sz w:val="24"/>
              </w:rPr>
              <w:t>0.050 ± 0.014</w:t>
            </w:r>
          </w:p>
        </w:tc>
        <w:tc>
          <w:tcPr>
            <w:tcW w:w="2115" w:type="dxa"/>
            <w:tcBorders>
              <w:top w:val="single" w:sz="4" w:space="0" w:color="000000"/>
            </w:tcBorders>
          </w:tcPr>
          <w:p w14:paraId="6CB7872A" w14:textId="77777777" w:rsidR="00C3411D" w:rsidRDefault="003D13F0">
            <w:pPr>
              <w:pStyle w:val="TableParagraph"/>
              <w:spacing w:before="173"/>
              <w:ind w:left="447"/>
              <w:rPr>
                <w:sz w:val="24"/>
              </w:rPr>
            </w:pPr>
            <w:r>
              <w:rPr>
                <w:spacing w:val="-2"/>
                <w:sz w:val="24"/>
              </w:rPr>
              <w:t>0.017 ± 0.009</w:t>
            </w:r>
          </w:p>
        </w:tc>
        <w:tc>
          <w:tcPr>
            <w:tcW w:w="2165" w:type="dxa"/>
            <w:tcBorders>
              <w:top w:val="single" w:sz="4" w:space="0" w:color="000000"/>
            </w:tcBorders>
          </w:tcPr>
          <w:p w14:paraId="49C6C136" w14:textId="77777777" w:rsidR="00C3411D" w:rsidRDefault="003D13F0">
            <w:pPr>
              <w:pStyle w:val="TableParagraph"/>
              <w:spacing w:before="173"/>
              <w:ind w:left="287"/>
              <w:rPr>
                <w:sz w:val="24"/>
              </w:rPr>
            </w:pPr>
            <w:r>
              <w:rPr>
                <w:spacing w:val="-2"/>
                <w:sz w:val="24"/>
              </w:rPr>
              <w:t>0.022 ± 0.006</w:t>
            </w:r>
          </w:p>
        </w:tc>
      </w:tr>
      <w:tr w:rsidR="00C3411D" w14:paraId="7403739D" w14:textId="77777777">
        <w:trPr>
          <w:trHeight w:val="567"/>
        </w:trPr>
        <w:tc>
          <w:tcPr>
            <w:tcW w:w="2809" w:type="dxa"/>
          </w:tcPr>
          <w:p w14:paraId="2BD48E1A" w14:textId="77777777" w:rsidR="00C3411D" w:rsidRDefault="003D13F0">
            <w:pPr>
              <w:pStyle w:val="TableParagraph"/>
              <w:tabs>
                <w:tab w:val="right" w:pos="4392"/>
              </w:tabs>
              <w:spacing w:before="145"/>
              <w:ind w:left="252"/>
              <w:rPr>
                <w:sz w:val="24"/>
              </w:rPr>
            </w:pPr>
            <w:r>
              <w:rPr>
                <w:spacing w:val="-2"/>
                <w:sz w:val="24"/>
              </w:rPr>
              <w:t>Manganese</w:t>
            </w:r>
            <w:r>
              <w:rPr>
                <w:sz w:val="24"/>
              </w:rPr>
              <w:tab/>
            </w:r>
          </w:p>
        </w:tc>
        <w:tc>
          <w:tcPr>
            <w:tcW w:w="2010" w:type="dxa"/>
          </w:tcPr>
          <w:p w14:paraId="490F8BF7" w14:textId="77777777" w:rsidR="00C3411D" w:rsidRDefault="003D13F0">
            <w:pPr>
              <w:pStyle w:val="TableParagraph"/>
              <w:tabs>
                <w:tab w:val="right" w:pos="4392"/>
              </w:tabs>
              <w:spacing w:before="145"/>
              <w:ind w:left="252"/>
              <w:rPr>
                <w:spacing w:val="-2"/>
                <w:sz w:val="24"/>
              </w:rPr>
            </w:pPr>
            <w:r>
              <w:rPr>
                <w:spacing w:val="-2"/>
                <w:sz w:val="24"/>
              </w:rPr>
              <w:t>0.030 ± 0.001</w:t>
            </w:r>
          </w:p>
        </w:tc>
        <w:tc>
          <w:tcPr>
            <w:tcW w:w="2115" w:type="dxa"/>
          </w:tcPr>
          <w:p w14:paraId="1FEB7072" w14:textId="77777777" w:rsidR="00C3411D" w:rsidRDefault="003D13F0">
            <w:pPr>
              <w:pStyle w:val="TableParagraph"/>
              <w:spacing w:before="145"/>
              <w:ind w:left="447"/>
              <w:rPr>
                <w:sz w:val="24"/>
              </w:rPr>
            </w:pPr>
            <w:r>
              <w:rPr>
                <w:spacing w:val="-2"/>
                <w:sz w:val="24"/>
              </w:rPr>
              <w:t>0.018 ± 0.007</w:t>
            </w:r>
          </w:p>
        </w:tc>
        <w:tc>
          <w:tcPr>
            <w:tcW w:w="2165" w:type="dxa"/>
          </w:tcPr>
          <w:p w14:paraId="5C72E2AB" w14:textId="77777777" w:rsidR="00C3411D" w:rsidRDefault="003D13F0">
            <w:pPr>
              <w:pStyle w:val="TableParagraph"/>
              <w:spacing w:before="145"/>
              <w:ind w:left="287"/>
              <w:rPr>
                <w:sz w:val="24"/>
              </w:rPr>
            </w:pPr>
            <w:r>
              <w:rPr>
                <w:spacing w:val="-2"/>
                <w:sz w:val="24"/>
              </w:rPr>
              <w:t>0.037 ± 0.006</w:t>
            </w:r>
          </w:p>
        </w:tc>
      </w:tr>
      <w:tr w:rsidR="00C3411D" w14:paraId="62FA16D9" w14:textId="77777777">
        <w:trPr>
          <w:trHeight w:val="565"/>
        </w:trPr>
        <w:tc>
          <w:tcPr>
            <w:tcW w:w="2809" w:type="dxa"/>
          </w:tcPr>
          <w:p w14:paraId="5C62C968" w14:textId="77777777" w:rsidR="00C3411D" w:rsidRDefault="003D13F0">
            <w:pPr>
              <w:pStyle w:val="TableParagraph"/>
              <w:tabs>
                <w:tab w:val="right" w:pos="4392"/>
              </w:tabs>
              <w:spacing w:before="144"/>
              <w:ind w:left="252"/>
              <w:rPr>
                <w:sz w:val="24"/>
              </w:rPr>
            </w:pPr>
            <w:r>
              <w:rPr>
                <w:spacing w:val="-2"/>
                <w:sz w:val="24"/>
              </w:rPr>
              <w:t>Antimony</w:t>
            </w:r>
            <w:r>
              <w:rPr>
                <w:sz w:val="24"/>
              </w:rPr>
              <w:tab/>
            </w:r>
          </w:p>
        </w:tc>
        <w:tc>
          <w:tcPr>
            <w:tcW w:w="2010" w:type="dxa"/>
          </w:tcPr>
          <w:p w14:paraId="050C4A85" w14:textId="77777777" w:rsidR="00C3411D" w:rsidRDefault="003D13F0">
            <w:pPr>
              <w:pStyle w:val="TableParagraph"/>
              <w:tabs>
                <w:tab w:val="right" w:pos="4392"/>
              </w:tabs>
              <w:spacing w:before="144"/>
              <w:ind w:left="252"/>
              <w:rPr>
                <w:spacing w:val="-2"/>
                <w:sz w:val="24"/>
              </w:rPr>
            </w:pPr>
            <w:r>
              <w:rPr>
                <w:spacing w:val="-2"/>
                <w:sz w:val="24"/>
              </w:rPr>
              <w:t>0.008 ± 0.004</w:t>
            </w:r>
          </w:p>
        </w:tc>
        <w:tc>
          <w:tcPr>
            <w:tcW w:w="2115" w:type="dxa"/>
          </w:tcPr>
          <w:p w14:paraId="299E4863" w14:textId="77777777" w:rsidR="00C3411D" w:rsidRDefault="003D13F0">
            <w:pPr>
              <w:pStyle w:val="TableParagraph"/>
              <w:spacing w:before="144"/>
              <w:ind w:left="447"/>
              <w:rPr>
                <w:sz w:val="24"/>
              </w:rPr>
            </w:pPr>
            <w:r>
              <w:rPr>
                <w:spacing w:val="-2"/>
                <w:sz w:val="24"/>
              </w:rPr>
              <w:t>0.000 ± 0.000</w:t>
            </w:r>
          </w:p>
        </w:tc>
        <w:tc>
          <w:tcPr>
            <w:tcW w:w="2165" w:type="dxa"/>
          </w:tcPr>
          <w:p w14:paraId="17CEA16F" w14:textId="77777777" w:rsidR="00C3411D" w:rsidRDefault="003D13F0">
            <w:pPr>
              <w:pStyle w:val="TableParagraph"/>
              <w:spacing w:before="144"/>
              <w:ind w:left="287"/>
              <w:rPr>
                <w:sz w:val="24"/>
              </w:rPr>
            </w:pPr>
            <w:r>
              <w:rPr>
                <w:spacing w:val="-2"/>
                <w:sz w:val="24"/>
              </w:rPr>
              <w:t>0.002 ± 0.001</w:t>
            </w:r>
          </w:p>
        </w:tc>
      </w:tr>
      <w:tr w:rsidR="00C3411D" w14:paraId="053EDE9B" w14:textId="77777777">
        <w:trPr>
          <w:trHeight w:val="565"/>
        </w:trPr>
        <w:tc>
          <w:tcPr>
            <w:tcW w:w="2809" w:type="dxa"/>
          </w:tcPr>
          <w:p w14:paraId="308477B3" w14:textId="77777777" w:rsidR="00C3411D" w:rsidRDefault="003D13F0">
            <w:pPr>
              <w:pStyle w:val="TableParagraph"/>
              <w:tabs>
                <w:tab w:val="right" w:pos="4392"/>
              </w:tabs>
              <w:spacing w:before="143"/>
              <w:ind w:left="252"/>
              <w:rPr>
                <w:sz w:val="24"/>
              </w:rPr>
            </w:pPr>
            <w:r>
              <w:rPr>
                <w:spacing w:val="-2"/>
                <w:sz w:val="24"/>
              </w:rPr>
              <w:t>Molybdenum</w:t>
            </w:r>
            <w:r>
              <w:rPr>
                <w:sz w:val="24"/>
              </w:rPr>
              <w:tab/>
            </w:r>
          </w:p>
        </w:tc>
        <w:tc>
          <w:tcPr>
            <w:tcW w:w="2010" w:type="dxa"/>
          </w:tcPr>
          <w:p w14:paraId="0BCF7B7B" w14:textId="77777777" w:rsidR="00C3411D" w:rsidRDefault="003D13F0">
            <w:pPr>
              <w:pStyle w:val="TableParagraph"/>
              <w:tabs>
                <w:tab w:val="right" w:pos="4392"/>
              </w:tabs>
              <w:spacing w:before="143"/>
              <w:ind w:left="252"/>
              <w:rPr>
                <w:spacing w:val="-2"/>
                <w:sz w:val="24"/>
              </w:rPr>
            </w:pPr>
            <w:proofErr w:type="gramStart"/>
            <w:r>
              <w:rPr>
                <w:spacing w:val="-2"/>
                <w:sz w:val="24"/>
              </w:rPr>
              <w:t>0.040  ±</w:t>
            </w:r>
            <w:proofErr w:type="gramEnd"/>
            <w:r>
              <w:rPr>
                <w:spacing w:val="-2"/>
                <w:sz w:val="24"/>
              </w:rPr>
              <w:t xml:space="preserve"> 0.036</w:t>
            </w:r>
          </w:p>
        </w:tc>
        <w:tc>
          <w:tcPr>
            <w:tcW w:w="2115" w:type="dxa"/>
          </w:tcPr>
          <w:p w14:paraId="7F34D03A" w14:textId="77777777" w:rsidR="00C3411D" w:rsidRDefault="003D13F0">
            <w:pPr>
              <w:pStyle w:val="TableParagraph"/>
              <w:spacing w:before="143"/>
              <w:ind w:left="447"/>
              <w:rPr>
                <w:sz w:val="24"/>
              </w:rPr>
            </w:pPr>
            <w:proofErr w:type="gramStart"/>
            <w:r>
              <w:rPr>
                <w:spacing w:val="-2"/>
                <w:sz w:val="24"/>
              </w:rPr>
              <w:t>0.030  ±</w:t>
            </w:r>
            <w:proofErr w:type="gramEnd"/>
            <w:r>
              <w:rPr>
                <w:spacing w:val="-2"/>
                <w:sz w:val="24"/>
              </w:rPr>
              <w:t xml:space="preserve"> 0.018</w:t>
            </w:r>
          </w:p>
        </w:tc>
        <w:tc>
          <w:tcPr>
            <w:tcW w:w="2165" w:type="dxa"/>
          </w:tcPr>
          <w:p w14:paraId="0980861D" w14:textId="77777777" w:rsidR="00C3411D" w:rsidRDefault="003D13F0">
            <w:pPr>
              <w:pStyle w:val="TableParagraph"/>
              <w:spacing w:before="143"/>
              <w:ind w:left="287"/>
              <w:rPr>
                <w:sz w:val="24"/>
              </w:rPr>
            </w:pPr>
            <w:r>
              <w:rPr>
                <w:spacing w:val="-2"/>
                <w:sz w:val="24"/>
              </w:rPr>
              <w:t>0.094 ± 0.028</w:t>
            </w:r>
          </w:p>
        </w:tc>
      </w:tr>
      <w:tr w:rsidR="00C3411D" w14:paraId="3B4DBF03" w14:textId="77777777">
        <w:trPr>
          <w:trHeight w:val="414"/>
        </w:trPr>
        <w:tc>
          <w:tcPr>
            <w:tcW w:w="2809" w:type="dxa"/>
          </w:tcPr>
          <w:p w14:paraId="7020A319" w14:textId="77777777" w:rsidR="00C3411D" w:rsidRDefault="003D13F0">
            <w:pPr>
              <w:pStyle w:val="TableParagraph"/>
              <w:tabs>
                <w:tab w:val="right" w:pos="4392"/>
              </w:tabs>
              <w:spacing w:before="143" w:line="256" w:lineRule="exact"/>
              <w:ind w:left="252"/>
              <w:rPr>
                <w:sz w:val="24"/>
              </w:rPr>
            </w:pPr>
            <w:r>
              <w:rPr>
                <w:spacing w:val="-2"/>
                <w:sz w:val="24"/>
              </w:rPr>
              <w:t>Selenium</w:t>
            </w:r>
            <w:r>
              <w:rPr>
                <w:sz w:val="24"/>
              </w:rPr>
              <w:tab/>
            </w:r>
          </w:p>
        </w:tc>
        <w:tc>
          <w:tcPr>
            <w:tcW w:w="2010" w:type="dxa"/>
          </w:tcPr>
          <w:p w14:paraId="6A48FB6D" w14:textId="77777777" w:rsidR="00C3411D" w:rsidRDefault="003D13F0">
            <w:pPr>
              <w:pStyle w:val="TableParagraph"/>
              <w:tabs>
                <w:tab w:val="right" w:pos="4392"/>
              </w:tabs>
              <w:spacing w:before="143" w:line="256" w:lineRule="exact"/>
              <w:ind w:left="252"/>
              <w:rPr>
                <w:spacing w:val="-2"/>
                <w:sz w:val="24"/>
              </w:rPr>
            </w:pPr>
            <w:proofErr w:type="gramStart"/>
            <w:r>
              <w:rPr>
                <w:spacing w:val="-2"/>
                <w:sz w:val="24"/>
              </w:rPr>
              <w:t>0.143  ±</w:t>
            </w:r>
            <w:proofErr w:type="gramEnd"/>
            <w:r>
              <w:rPr>
                <w:spacing w:val="-2"/>
                <w:sz w:val="24"/>
              </w:rPr>
              <w:t xml:space="preserve"> 0.005</w:t>
            </w:r>
          </w:p>
        </w:tc>
        <w:tc>
          <w:tcPr>
            <w:tcW w:w="2115" w:type="dxa"/>
          </w:tcPr>
          <w:p w14:paraId="34347D96" w14:textId="77777777" w:rsidR="00C3411D" w:rsidRDefault="003D13F0">
            <w:pPr>
              <w:pStyle w:val="TableParagraph"/>
              <w:spacing w:before="143" w:line="256" w:lineRule="exact"/>
              <w:ind w:left="447"/>
              <w:rPr>
                <w:sz w:val="24"/>
              </w:rPr>
            </w:pPr>
            <w:proofErr w:type="gramStart"/>
            <w:r>
              <w:rPr>
                <w:spacing w:val="-2"/>
                <w:sz w:val="24"/>
              </w:rPr>
              <w:t>0.178  ±</w:t>
            </w:r>
            <w:proofErr w:type="gramEnd"/>
            <w:r>
              <w:rPr>
                <w:spacing w:val="-2"/>
                <w:sz w:val="24"/>
              </w:rPr>
              <w:t xml:space="preserve"> 0.020</w:t>
            </w:r>
          </w:p>
        </w:tc>
        <w:tc>
          <w:tcPr>
            <w:tcW w:w="2165" w:type="dxa"/>
          </w:tcPr>
          <w:p w14:paraId="5EE3CD64" w14:textId="77777777" w:rsidR="00C3411D" w:rsidRDefault="003D13F0">
            <w:pPr>
              <w:pStyle w:val="TableParagraph"/>
              <w:spacing w:before="143" w:line="256" w:lineRule="exact"/>
              <w:ind w:left="287"/>
              <w:rPr>
                <w:sz w:val="24"/>
              </w:rPr>
            </w:pPr>
            <w:proofErr w:type="gramStart"/>
            <w:r>
              <w:rPr>
                <w:spacing w:val="-2"/>
                <w:sz w:val="24"/>
              </w:rPr>
              <w:t>0.129  ±</w:t>
            </w:r>
            <w:proofErr w:type="gramEnd"/>
            <w:r>
              <w:rPr>
                <w:spacing w:val="-2"/>
                <w:sz w:val="24"/>
              </w:rPr>
              <w:t xml:space="preserve"> 0.015</w:t>
            </w:r>
          </w:p>
        </w:tc>
      </w:tr>
    </w:tbl>
    <w:p w14:paraId="4DA7599B" w14:textId="77777777" w:rsidR="00C3411D" w:rsidRDefault="00C3411D">
      <w:pPr>
        <w:pStyle w:val="Heading3"/>
        <w:tabs>
          <w:tab w:val="left" w:pos="787"/>
        </w:tabs>
        <w:spacing w:before="60"/>
        <w:ind w:left="0" w:firstLineChars="100" w:firstLine="241"/>
      </w:pPr>
    </w:p>
    <w:p w14:paraId="2D00FCDC" w14:textId="77777777" w:rsidR="00C3411D" w:rsidRDefault="003D13F0">
      <w:pPr>
        <w:pStyle w:val="Heading3"/>
        <w:tabs>
          <w:tab w:val="left" w:pos="787"/>
        </w:tabs>
        <w:spacing w:before="60"/>
        <w:ind w:left="0"/>
        <w:jc w:val="both"/>
      </w:pPr>
      <w:r>
        <w:t>3.3 Concentrations</w:t>
      </w:r>
      <w:r>
        <w:rPr>
          <w:spacing w:val="-4"/>
        </w:rPr>
        <w:t xml:space="preserve"> </w:t>
      </w:r>
      <w:r>
        <w:t>of Heavy</w:t>
      </w:r>
      <w:r>
        <w:rPr>
          <w:spacing w:val="-1"/>
        </w:rPr>
        <w:t xml:space="preserve"> </w:t>
      </w:r>
      <w:r>
        <w:t>Metals</w:t>
      </w:r>
      <w:r>
        <w:rPr>
          <w:spacing w:val="-1"/>
        </w:rPr>
        <w:t xml:space="preserve"> </w:t>
      </w:r>
      <w:r>
        <w:t xml:space="preserve">in </w:t>
      </w:r>
      <w:commentRangeStart w:id="41"/>
      <w:r>
        <w:t>Sea</w:t>
      </w:r>
      <w:r>
        <w:rPr>
          <w:spacing w:val="-1"/>
        </w:rPr>
        <w:t xml:space="preserve"> </w:t>
      </w:r>
      <w:r>
        <w:t>Foods</w:t>
      </w:r>
      <w:r>
        <w:rPr>
          <w:spacing w:val="-1"/>
        </w:rPr>
        <w:t xml:space="preserve"> </w:t>
      </w:r>
      <w:commentRangeEnd w:id="41"/>
      <w:r w:rsidR="007551C4">
        <w:rPr>
          <w:rStyle w:val="CommentReference"/>
          <w:rFonts w:asciiTheme="minorHAnsi" w:eastAsiaTheme="minorEastAsia" w:hAnsiTheme="minorHAnsi" w:cstheme="minorBidi"/>
          <w:b w:val="0"/>
          <w:bCs w:val="0"/>
          <w:lang w:eastAsia="zh-CN"/>
        </w:rPr>
        <w:commentReference w:id="41"/>
      </w:r>
      <w:r>
        <w:t>obtained</w:t>
      </w:r>
      <w:r>
        <w:rPr>
          <w:spacing w:val="-3"/>
        </w:rPr>
        <w:t xml:space="preserve"> </w:t>
      </w:r>
      <w:r>
        <w:t>from</w:t>
      </w:r>
      <w:r>
        <w:rPr>
          <w:spacing w:val="-5"/>
        </w:rPr>
        <w:t xml:space="preserve"> </w:t>
      </w:r>
      <w:proofErr w:type="spellStart"/>
      <w:r>
        <w:t>Ogbete</w:t>
      </w:r>
      <w:proofErr w:type="spellEnd"/>
      <w:r>
        <w:rPr>
          <w:spacing w:val="-2"/>
        </w:rPr>
        <w:t xml:space="preserve"> Market</w:t>
      </w:r>
    </w:p>
    <w:p w14:paraId="676B9BA0" w14:textId="77777777" w:rsidR="00C3411D" w:rsidRDefault="00C3411D">
      <w:pPr>
        <w:pStyle w:val="BodyText"/>
        <w:spacing w:before="17"/>
        <w:rPr>
          <w:b/>
        </w:rPr>
      </w:pPr>
    </w:p>
    <w:p w14:paraId="7C201D1A" w14:textId="77777777" w:rsidR="00C3411D" w:rsidRDefault="003D13F0">
      <w:pPr>
        <w:pStyle w:val="BodyText"/>
        <w:spacing w:before="1" w:line="360" w:lineRule="auto"/>
        <w:ind w:left="307" w:right="874"/>
        <w:jc w:val="both"/>
      </w:pPr>
      <w:r>
        <w:t xml:space="preserve">The result from </w:t>
      </w:r>
      <w:proofErr w:type="spellStart"/>
      <w:r>
        <w:t>Ogbete</w:t>
      </w:r>
      <w:proofErr w:type="spellEnd"/>
      <w:r>
        <w:t xml:space="preserve"> Market indicates that selenium has the highest concentration in the sea foods obtained from </w:t>
      </w:r>
      <w:proofErr w:type="spellStart"/>
      <w:r>
        <w:t>Ogbete</w:t>
      </w:r>
      <w:proofErr w:type="spellEnd"/>
      <w:r>
        <w:t xml:space="preserve"> market, while antimony</w:t>
      </w:r>
      <w:r>
        <w:rPr>
          <w:spacing w:val="-2"/>
        </w:rPr>
        <w:t xml:space="preserve"> </w:t>
      </w:r>
      <w:r>
        <w:t>is the least present in the sea foods obtained from this market.</w:t>
      </w:r>
    </w:p>
    <w:p w14:paraId="784E5B36" w14:textId="77777777" w:rsidR="00C3411D" w:rsidRDefault="00C3411D">
      <w:pPr>
        <w:pStyle w:val="BodyText"/>
        <w:spacing w:before="1" w:line="360" w:lineRule="auto"/>
        <w:ind w:left="307" w:right="874"/>
        <w:jc w:val="both"/>
      </w:pPr>
    </w:p>
    <w:p w14:paraId="00E3E784" w14:textId="767DFE3E" w:rsidR="00C3411D" w:rsidRDefault="003D13F0">
      <w:pPr>
        <w:pStyle w:val="BodyText"/>
        <w:spacing w:before="1"/>
        <w:ind w:left="307" w:right="874"/>
        <w:jc w:val="both"/>
        <w:rPr>
          <w:b/>
        </w:rPr>
      </w:pPr>
      <w:r>
        <w:rPr>
          <w:b/>
        </w:rPr>
        <w:t xml:space="preserve">Table 3: Concentrations of Heavy Metals in Sea Foods Obtained </w:t>
      </w:r>
      <w:commentRangeStart w:id="42"/>
      <w:r>
        <w:rPr>
          <w:b/>
        </w:rPr>
        <w:t>From</w:t>
      </w:r>
      <w:commentRangeEnd w:id="42"/>
      <w:r w:rsidR="008335B8">
        <w:rPr>
          <w:rStyle w:val="CommentReference"/>
          <w:rFonts w:asciiTheme="minorHAnsi" w:eastAsiaTheme="minorEastAsia" w:hAnsiTheme="minorHAnsi" w:cstheme="minorBidi"/>
          <w:lang w:eastAsia="zh-CN"/>
        </w:rPr>
        <w:commentReference w:id="42"/>
      </w:r>
      <w:r>
        <w:rPr>
          <w:b/>
        </w:rPr>
        <w:t xml:space="preserve"> </w:t>
      </w:r>
      <w:proofErr w:type="spellStart"/>
      <w:r>
        <w:rPr>
          <w:b/>
        </w:rPr>
        <w:t>Ogbete</w:t>
      </w:r>
      <w:proofErr w:type="spellEnd"/>
      <w:r>
        <w:rPr>
          <w:b/>
        </w:rPr>
        <w:t xml:space="preserve"> Market</w:t>
      </w:r>
    </w:p>
    <w:p w14:paraId="40F401C0" w14:textId="77777777" w:rsidR="00C3411D" w:rsidRDefault="00C3411D">
      <w:pPr>
        <w:pStyle w:val="BodyText"/>
        <w:spacing w:before="8"/>
        <w:rPr>
          <w:b/>
          <w:sz w:val="5"/>
        </w:rPr>
      </w:pPr>
    </w:p>
    <w:tbl>
      <w:tblPr>
        <w:tblW w:w="9315" w:type="dxa"/>
        <w:tblInd w:w="-114" w:type="dxa"/>
        <w:tblLayout w:type="fixed"/>
        <w:tblCellMar>
          <w:left w:w="0" w:type="dxa"/>
          <w:right w:w="0" w:type="dxa"/>
        </w:tblCellMar>
        <w:tblLook w:val="04A0" w:firstRow="1" w:lastRow="0" w:firstColumn="1" w:lastColumn="0" w:noHBand="0" w:noVBand="1"/>
      </w:tblPr>
      <w:tblGrid>
        <w:gridCol w:w="1800"/>
        <w:gridCol w:w="1980"/>
        <w:gridCol w:w="2055"/>
        <w:gridCol w:w="3480"/>
      </w:tblGrid>
      <w:tr w:rsidR="00C3411D" w14:paraId="5DDFD104" w14:textId="77777777">
        <w:trPr>
          <w:trHeight w:val="517"/>
        </w:trPr>
        <w:tc>
          <w:tcPr>
            <w:tcW w:w="1800" w:type="dxa"/>
            <w:tcBorders>
              <w:top w:val="single" w:sz="4" w:space="0" w:color="000000"/>
              <w:bottom w:val="single" w:sz="4" w:space="0" w:color="000000"/>
            </w:tcBorders>
          </w:tcPr>
          <w:p w14:paraId="531C465E" w14:textId="77777777" w:rsidR="00C3411D" w:rsidRDefault="003D13F0">
            <w:pPr>
              <w:pStyle w:val="TableParagraph"/>
              <w:spacing w:before="90"/>
              <w:ind w:left="217"/>
              <w:rPr>
                <w:b/>
                <w:sz w:val="24"/>
              </w:rPr>
            </w:pPr>
            <w:r>
              <w:rPr>
                <w:b/>
                <w:sz w:val="24"/>
              </w:rPr>
              <w:t>Heavy</w:t>
            </w:r>
            <w:r>
              <w:rPr>
                <w:b/>
                <w:spacing w:val="-3"/>
                <w:sz w:val="24"/>
              </w:rPr>
              <w:t xml:space="preserve"> </w:t>
            </w:r>
            <w:r>
              <w:rPr>
                <w:b/>
                <w:sz w:val="24"/>
              </w:rPr>
              <w:t>Metals (mg/kg)</w:t>
            </w:r>
          </w:p>
        </w:tc>
        <w:tc>
          <w:tcPr>
            <w:tcW w:w="1980" w:type="dxa"/>
            <w:tcBorders>
              <w:top w:val="single" w:sz="4" w:space="0" w:color="000000"/>
              <w:bottom w:val="single" w:sz="4" w:space="0" w:color="000000"/>
            </w:tcBorders>
          </w:tcPr>
          <w:p w14:paraId="5478D6EC" w14:textId="77777777" w:rsidR="00C3411D" w:rsidRDefault="003D13F0">
            <w:pPr>
              <w:pStyle w:val="TableParagraph"/>
              <w:spacing w:before="90"/>
              <w:ind w:left="456"/>
              <w:rPr>
                <w:b/>
                <w:sz w:val="24"/>
              </w:rPr>
            </w:pPr>
            <w:r>
              <w:rPr>
                <w:b/>
                <w:spacing w:val="-2"/>
                <w:sz w:val="24"/>
              </w:rPr>
              <w:t>Snail</w:t>
            </w:r>
          </w:p>
        </w:tc>
        <w:tc>
          <w:tcPr>
            <w:tcW w:w="2055" w:type="dxa"/>
            <w:tcBorders>
              <w:top w:val="single" w:sz="4" w:space="0" w:color="000000"/>
              <w:bottom w:val="single" w:sz="4" w:space="0" w:color="000000"/>
            </w:tcBorders>
          </w:tcPr>
          <w:p w14:paraId="52FDE1C3" w14:textId="77777777" w:rsidR="00C3411D" w:rsidRDefault="003D13F0">
            <w:pPr>
              <w:pStyle w:val="TableParagraph"/>
              <w:spacing w:before="90"/>
              <w:ind w:left="510"/>
              <w:rPr>
                <w:b/>
                <w:sz w:val="24"/>
              </w:rPr>
            </w:pPr>
            <w:r>
              <w:rPr>
                <w:b/>
                <w:spacing w:val="-2"/>
                <w:sz w:val="24"/>
              </w:rPr>
              <w:t>Catfish</w:t>
            </w:r>
          </w:p>
        </w:tc>
        <w:tc>
          <w:tcPr>
            <w:tcW w:w="3480" w:type="dxa"/>
            <w:tcBorders>
              <w:top w:val="single" w:sz="4" w:space="0" w:color="000000"/>
              <w:bottom w:val="single" w:sz="4" w:space="0" w:color="000000"/>
            </w:tcBorders>
          </w:tcPr>
          <w:p w14:paraId="5F7722CD" w14:textId="77777777" w:rsidR="00C3411D" w:rsidRDefault="003D13F0">
            <w:pPr>
              <w:pStyle w:val="TableParagraph"/>
              <w:spacing w:before="90"/>
              <w:ind w:left="316"/>
              <w:rPr>
                <w:b/>
                <w:sz w:val="24"/>
              </w:rPr>
            </w:pPr>
            <w:r>
              <w:rPr>
                <w:b/>
                <w:spacing w:val="-2"/>
                <w:sz w:val="24"/>
              </w:rPr>
              <w:t>Periwinkle</w:t>
            </w:r>
          </w:p>
        </w:tc>
      </w:tr>
      <w:tr w:rsidR="00C3411D" w14:paraId="56FC448F" w14:textId="77777777">
        <w:trPr>
          <w:trHeight w:val="562"/>
        </w:trPr>
        <w:tc>
          <w:tcPr>
            <w:tcW w:w="1800" w:type="dxa"/>
            <w:tcBorders>
              <w:top w:val="single" w:sz="4" w:space="0" w:color="000000"/>
            </w:tcBorders>
          </w:tcPr>
          <w:p w14:paraId="17AC8CD3" w14:textId="77777777" w:rsidR="00C3411D" w:rsidRDefault="003D13F0">
            <w:pPr>
              <w:pStyle w:val="TableParagraph"/>
              <w:spacing w:before="132"/>
              <w:ind w:left="217"/>
              <w:rPr>
                <w:sz w:val="24"/>
              </w:rPr>
            </w:pPr>
            <w:r>
              <w:rPr>
                <w:spacing w:val="-2"/>
                <w:sz w:val="24"/>
              </w:rPr>
              <w:t>Aluminum</w:t>
            </w:r>
          </w:p>
        </w:tc>
        <w:tc>
          <w:tcPr>
            <w:tcW w:w="1980" w:type="dxa"/>
            <w:tcBorders>
              <w:top w:val="single" w:sz="4" w:space="0" w:color="000000"/>
            </w:tcBorders>
          </w:tcPr>
          <w:p w14:paraId="33F8E62E" w14:textId="77777777" w:rsidR="00C3411D" w:rsidRDefault="003D13F0">
            <w:pPr>
              <w:pStyle w:val="TableParagraph"/>
              <w:spacing w:before="132"/>
              <w:ind w:right="449" w:firstLineChars="50" w:firstLine="119"/>
              <w:jc w:val="both"/>
              <w:rPr>
                <w:sz w:val="24"/>
              </w:rPr>
            </w:pPr>
            <w:r>
              <w:rPr>
                <w:spacing w:val="-2"/>
                <w:sz w:val="24"/>
              </w:rPr>
              <w:t>0.055 ± 0.004</w:t>
            </w:r>
          </w:p>
        </w:tc>
        <w:tc>
          <w:tcPr>
            <w:tcW w:w="2055" w:type="dxa"/>
            <w:tcBorders>
              <w:top w:val="single" w:sz="4" w:space="0" w:color="000000"/>
            </w:tcBorders>
          </w:tcPr>
          <w:p w14:paraId="04A86DB6" w14:textId="77777777" w:rsidR="00C3411D" w:rsidRDefault="003D13F0">
            <w:pPr>
              <w:pStyle w:val="TableParagraph"/>
              <w:spacing w:before="132"/>
              <w:ind w:firstLineChars="50" w:firstLine="119"/>
              <w:rPr>
                <w:sz w:val="24"/>
              </w:rPr>
            </w:pPr>
            <w:proofErr w:type="gramStart"/>
            <w:r>
              <w:rPr>
                <w:spacing w:val="-2"/>
                <w:sz w:val="24"/>
              </w:rPr>
              <w:t>0.058  ±</w:t>
            </w:r>
            <w:proofErr w:type="gramEnd"/>
            <w:r>
              <w:rPr>
                <w:spacing w:val="-2"/>
                <w:sz w:val="24"/>
              </w:rPr>
              <w:t xml:space="preserve"> 0.006</w:t>
            </w:r>
          </w:p>
        </w:tc>
        <w:tc>
          <w:tcPr>
            <w:tcW w:w="3480" w:type="dxa"/>
            <w:tcBorders>
              <w:top w:val="single" w:sz="4" w:space="0" w:color="000000"/>
            </w:tcBorders>
          </w:tcPr>
          <w:p w14:paraId="17D84AAB" w14:textId="77777777" w:rsidR="00C3411D" w:rsidRDefault="003D13F0">
            <w:pPr>
              <w:pStyle w:val="TableParagraph"/>
              <w:wordWrap w:val="0"/>
              <w:spacing w:before="132"/>
              <w:ind w:right="1811" w:firstLineChars="50" w:firstLine="119"/>
              <w:jc w:val="both"/>
              <w:rPr>
                <w:sz w:val="24"/>
              </w:rPr>
            </w:pPr>
            <w:r>
              <w:rPr>
                <w:spacing w:val="-2"/>
                <w:sz w:val="24"/>
              </w:rPr>
              <w:t>0.034 ± 0. 011</w:t>
            </w:r>
          </w:p>
        </w:tc>
      </w:tr>
      <w:tr w:rsidR="00C3411D" w14:paraId="226DE4A7" w14:textId="77777777">
        <w:trPr>
          <w:trHeight w:val="573"/>
        </w:trPr>
        <w:tc>
          <w:tcPr>
            <w:tcW w:w="1800" w:type="dxa"/>
          </w:tcPr>
          <w:p w14:paraId="6511C887" w14:textId="77777777" w:rsidR="00C3411D" w:rsidRDefault="003D13F0">
            <w:pPr>
              <w:pStyle w:val="TableParagraph"/>
              <w:spacing w:before="144"/>
              <w:ind w:left="217"/>
              <w:rPr>
                <w:sz w:val="24"/>
              </w:rPr>
            </w:pPr>
            <w:r>
              <w:rPr>
                <w:spacing w:val="-2"/>
                <w:sz w:val="24"/>
              </w:rPr>
              <w:t>Manganese</w:t>
            </w:r>
          </w:p>
        </w:tc>
        <w:tc>
          <w:tcPr>
            <w:tcW w:w="1980" w:type="dxa"/>
          </w:tcPr>
          <w:p w14:paraId="6417269E" w14:textId="77777777" w:rsidR="00C3411D" w:rsidRDefault="003D13F0">
            <w:pPr>
              <w:pStyle w:val="TableParagraph"/>
              <w:spacing w:before="144"/>
              <w:ind w:right="449" w:firstLineChars="50" w:firstLine="119"/>
              <w:jc w:val="both"/>
              <w:rPr>
                <w:sz w:val="24"/>
              </w:rPr>
            </w:pPr>
            <w:r>
              <w:rPr>
                <w:spacing w:val="-2"/>
                <w:sz w:val="24"/>
              </w:rPr>
              <w:t xml:space="preserve">0.056 </w:t>
            </w:r>
            <w:proofErr w:type="gramStart"/>
            <w:r>
              <w:rPr>
                <w:spacing w:val="-2"/>
                <w:sz w:val="24"/>
              </w:rPr>
              <w:t>±  0</w:t>
            </w:r>
            <w:proofErr w:type="gramEnd"/>
            <w:r>
              <w:rPr>
                <w:spacing w:val="-2"/>
                <w:sz w:val="24"/>
              </w:rPr>
              <w:t>.014</w:t>
            </w:r>
          </w:p>
        </w:tc>
        <w:tc>
          <w:tcPr>
            <w:tcW w:w="2055" w:type="dxa"/>
          </w:tcPr>
          <w:p w14:paraId="7A63F476" w14:textId="77777777" w:rsidR="00C3411D" w:rsidRDefault="003D13F0">
            <w:pPr>
              <w:pStyle w:val="TableParagraph"/>
              <w:spacing w:before="144"/>
              <w:ind w:left="450"/>
              <w:rPr>
                <w:sz w:val="24"/>
              </w:rPr>
            </w:pPr>
            <w:proofErr w:type="gramStart"/>
            <w:r>
              <w:rPr>
                <w:spacing w:val="-2"/>
                <w:sz w:val="24"/>
              </w:rPr>
              <w:t>0.018  ±</w:t>
            </w:r>
            <w:proofErr w:type="gramEnd"/>
            <w:r>
              <w:rPr>
                <w:spacing w:val="-2"/>
                <w:sz w:val="24"/>
              </w:rPr>
              <w:t xml:space="preserve"> 0.013</w:t>
            </w:r>
          </w:p>
        </w:tc>
        <w:tc>
          <w:tcPr>
            <w:tcW w:w="3480" w:type="dxa"/>
          </w:tcPr>
          <w:p w14:paraId="15501601" w14:textId="77777777" w:rsidR="00C3411D" w:rsidRDefault="003D13F0">
            <w:pPr>
              <w:pStyle w:val="TableParagraph"/>
              <w:wordWrap w:val="0"/>
              <w:spacing w:before="144"/>
              <w:ind w:right="1811" w:firstLineChars="50" w:firstLine="119"/>
              <w:jc w:val="both"/>
              <w:rPr>
                <w:sz w:val="24"/>
              </w:rPr>
            </w:pPr>
            <w:proofErr w:type="gramStart"/>
            <w:r>
              <w:rPr>
                <w:spacing w:val="-2"/>
                <w:sz w:val="24"/>
              </w:rPr>
              <w:t>0.034  ±</w:t>
            </w:r>
            <w:proofErr w:type="gramEnd"/>
            <w:r>
              <w:rPr>
                <w:spacing w:val="-2"/>
                <w:sz w:val="24"/>
              </w:rPr>
              <w:t xml:space="preserve"> 0.001</w:t>
            </w:r>
          </w:p>
        </w:tc>
      </w:tr>
      <w:tr w:rsidR="00C3411D" w14:paraId="0DCE7DF5" w14:textId="77777777">
        <w:trPr>
          <w:trHeight w:val="574"/>
        </w:trPr>
        <w:tc>
          <w:tcPr>
            <w:tcW w:w="1800" w:type="dxa"/>
          </w:tcPr>
          <w:p w14:paraId="76479FF8" w14:textId="77777777" w:rsidR="00C3411D" w:rsidRDefault="003D13F0">
            <w:pPr>
              <w:pStyle w:val="TableParagraph"/>
              <w:spacing w:before="143"/>
              <w:ind w:left="217"/>
              <w:rPr>
                <w:sz w:val="24"/>
              </w:rPr>
            </w:pPr>
            <w:r>
              <w:rPr>
                <w:spacing w:val="-2"/>
                <w:sz w:val="24"/>
              </w:rPr>
              <w:t>Antimony</w:t>
            </w:r>
          </w:p>
        </w:tc>
        <w:tc>
          <w:tcPr>
            <w:tcW w:w="1980" w:type="dxa"/>
          </w:tcPr>
          <w:p w14:paraId="6E7DA387" w14:textId="77777777" w:rsidR="00C3411D" w:rsidRDefault="003D13F0">
            <w:pPr>
              <w:pStyle w:val="TableParagraph"/>
              <w:spacing w:before="143"/>
              <w:ind w:right="449" w:firstLineChars="50" w:firstLine="119"/>
              <w:jc w:val="both"/>
              <w:rPr>
                <w:sz w:val="24"/>
              </w:rPr>
            </w:pPr>
            <w:r>
              <w:rPr>
                <w:spacing w:val="-2"/>
                <w:sz w:val="24"/>
              </w:rPr>
              <w:t xml:space="preserve">0.002 </w:t>
            </w:r>
            <w:proofErr w:type="gramStart"/>
            <w:r>
              <w:rPr>
                <w:spacing w:val="-2"/>
                <w:sz w:val="24"/>
              </w:rPr>
              <w:t>±  0</w:t>
            </w:r>
            <w:proofErr w:type="gramEnd"/>
            <w:r>
              <w:rPr>
                <w:spacing w:val="-2"/>
                <w:sz w:val="24"/>
              </w:rPr>
              <w:t>.003</w:t>
            </w:r>
          </w:p>
        </w:tc>
        <w:tc>
          <w:tcPr>
            <w:tcW w:w="2055" w:type="dxa"/>
          </w:tcPr>
          <w:p w14:paraId="1EB8C0F5" w14:textId="77777777" w:rsidR="00C3411D" w:rsidRDefault="003D13F0">
            <w:pPr>
              <w:pStyle w:val="TableParagraph"/>
              <w:spacing w:before="143"/>
              <w:ind w:left="450"/>
              <w:rPr>
                <w:sz w:val="24"/>
              </w:rPr>
            </w:pPr>
            <w:proofErr w:type="gramStart"/>
            <w:r>
              <w:rPr>
                <w:spacing w:val="-2"/>
                <w:sz w:val="24"/>
              </w:rPr>
              <w:t>0.010  ±</w:t>
            </w:r>
            <w:proofErr w:type="gramEnd"/>
            <w:r>
              <w:rPr>
                <w:spacing w:val="-2"/>
                <w:sz w:val="24"/>
              </w:rPr>
              <w:t xml:space="preserve"> 0.003 </w:t>
            </w:r>
          </w:p>
        </w:tc>
        <w:tc>
          <w:tcPr>
            <w:tcW w:w="3480" w:type="dxa"/>
          </w:tcPr>
          <w:p w14:paraId="3FFA57E9" w14:textId="77777777" w:rsidR="00C3411D" w:rsidRDefault="003D13F0">
            <w:pPr>
              <w:pStyle w:val="TableParagraph"/>
              <w:spacing w:before="143"/>
              <w:ind w:right="1811"/>
              <w:jc w:val="center"/>
              <w:rPr>
                <w:sz w:val="24"/>
              </w:rPr>
            </w:pPr>
            <w:proofErr w:type="gramStart"/>
            <w:r>
              <w:rPr>
                <w:spacing w:val="-2"/>
                <w:sz w:val="24"/>
              </w:rPr>
              <w:t>0.007  ±</w:t>
            </w:r>
            <w:proofErr w:type="gramEnd"/>
            <w:r>
              <w:rPr>
                <w:spacing w:val="-2"/>
                <w:sz w:val="24"/>
              </w:rPr>
              <w:t xml:space="preserve"> 0.001</w:t>
            </w:r>
          </w:p>
        </w:tc>
      </w:tr>
      <w:tr w:rsidR="00C3411D" w14:paraId="374828DB" w14:textId="77777777">
        <w:trPr>
          <w:trHeight w:val="574"/>
        </w:trPr>
        <w:tc>
          <w:tcPr>
            <w:tcW w:w="1800" w:type="dxa"/>
          </w:tcPr>
          <w:p w14:paraId="23114BBD" w14:textId="77777777" w:rsidR="00C3411D" w:rsidRDefault="003D13F0">
            <w:pPr>
              <w:pStyle w:val="TableParagraph"/>
              <w:spacing w:before="145"/>
              <w:ind w:left="217"/>
              <w:rPr>
                <w:sz w:val="24"/>
              </w:rPr>
            </w:pPr>
            <w:r>
              <w:rPr>
                <w:spacing w:val="-2"/>
                <w:sz w:val="24"/>
              </w:rPr>
              <w:t>Molybdenum</w:t>
            </w:r>
          </w:p>
        </w:tc>
        <w:tc>
          <w:tcPr>
            <w:tcW w:w="1980" w:type="dxa"/>
          </w:tcPr>
          <w:p w14:paraId="6CE68EB5" w14:textId="77777777" w:rsidR="00C3411D" w:rsidRDefault="003D13F0">
            <w:pPr>
              <w:pStyle w:val="TableParagraph"/>
              <w:spacing w:before="145"/>
              <w:ind w:right="449" w:firstLineChars="50" w:firstLine="119"/>
              <w:jc w:val="both"/>
              <w:rPr>
                <w:sz w:val="24"/>
              </w:rPr>
            </w:pPr>
            <w:proofErr w:type="gramStart"/>
            <w:r>
              <w:rPr>
                <w:spacing w:val="-2"/>
                <w:sz w:val="24"/>
              </w:rPr>
              <w:t>0.043  ±</w:t>
            </w:r>
            <w:proofErr w:type="gramEnd"/>
            <w:r>
              <w:rPr>
                <w:spacing w:val="-2"/>
                <w:sz w:val="24"/>
              </w:rPr>
              <w:t xml:space="preserve"> 0.008</w:t>
            </w:r>
          </w:p>
        </w:tc>
        <w:tc>
          <w:tcPr>
            <w:tcW w:w="2055" w:type="dxa"/>
          </w:tcPr>
          <w:p w14:paraId="6315AC05" w14:textId="77777777" w:rsidR="00C3411D" w:rsidRDefault="003D13F0">
            <w:pPr>
              <w:pStyle w:val="TableParagraph"/>
              <w:spacing w:before="145"/>
              <w:ind w:left="450"/>
              <w:rPr>
                <w:sz w:val="24"/>
              </w:rPr>
            </w:pPr>
            <w:proofErr w:type="gramStart"/>
            <w:r>
              <w:rPr>
                <w:spacing w:val="-2"/>
                <w:sz w:val="24"/>
              </w:rPr>
              <w:t>0.034  ±</w:t>
            </w:r>
            <w:proofErr w:type="gramEnd"/>
            <w:r>
              <w:rPr>
                <w:spacing w:val="-2"/>
                <w:sz w:val="24"/>
              </w:rPr>
              <w:t xml:space="preserve"> 0.002</w:t>
            </w:r>
          </w:p>
        </w:tc>
        <w:tc>
          <w:tcPr>
            <w:tcW w:w="3480" w:type="dxa"/>
          </w:tcPr>
          <w:p w14:paraId="7AE764A0" w14:textId="77777777" w:rsidR="00C3411D" w:rsidRDefault="003D13F0">
            <w:pPr>
              <w:pStyle w:val="TableParagraph"/>
              <w:wordWrap w:val="0"/>
              <w:spacing w:before="145"/>
              <w:ind w:right="1811" w:firstLineChars="50" w:firstLine="119"/>
              <w:jc w:val="both"/>
              <w:rPr>
                <w:sz w:val="24"/>
              </w:rPr>
            </w:pPr>
            <w:proofErr w:type="gramStart"/>
            <w:r>
              <w:rPr>
                <w:spacing w:val="-2"/>
                <w:sz w:val="24"/>
              </w:rPr>
              <w:t>0.017  ±</w:t>
            </w:r>
            <w:proofErr w:type="gramEnd"/>
            <w:r>
              <w:rPr>
                <w:spacing w:val="-2"/>
                <w:sz w:val="24"/>
              </w:rPr>
              <w:t xml:space="preserve"> 0.010</w:t>
            </w:r>
          </w:p>
        </w:tc>
      </w:tr>
      <w:tr w:rsidR="00C3411D" w14:paraId="7C3AA81D" w14:textId="77777777">
        <w:trPr>
          <w:trHeight w:val="419"/>
        </w:trPr>
        <w:tc>
          <w:tcPr>
            <w:tcW w:w="1800" w:type="dxa"/>
          </w:tcPr>
          <w:p w14:paraId="796ED6B4" w14:textId="77777777" w:rsidR="00C3411D" w:rsidRDefault="003D13F0">
            <w:pPr>
              <w:pStyle w:val="TableParagraph"/>
              <w:spacing w:before="143" w:line="256" w:lineRule="exact"/>
              <w:ind w:left="217"/>
              <w:rPr>
                <w:sz w:val="24"/>
              </w:rPr>
            </w:pPr>
            <w:r>
              <w:rPr>
                <w:spacing w:val="-2"/>
                <w:sz w:val="24"/>
              </w:rPr>
              <w:t>Selenium</w:t>
            </w:r>
          </w:p>
        </w:tc>
        <w:tc>
          <w:tcPr>
            <w:tcW w:w="1980" w:type="dxa"/>
          </w:tcPr>
          <w:p w14:paraId="6DD222A5" w14:textId="77777777" w:rsidR="00C3411D" w:rsidRDefault="003D13F0">
            <w:pPr>
              <w:pStyle w:val="TableParagraph"/>
              <w:spacing w:before="143" w:line="256" w:lineRule="exact"/>
              <w:ind w:right="449" w:firstLineChars="50" w:firstLine="119"/>
              <w:jc w:val="both"/>
              <w:rPr>
                <w:sz w:val="24"/>
              </w:rPr>
            </w:pPr>
            <w:proofErr w:type="gramStart"/>
            <w:r>
              <w:rPr>
                <w:spacing w:val="-2"/>
                <w:sz w:val="24"/>
              </w:rPr>
              <w:t>0.156  ±</w:t>
            </w:r>
            <w:proofErr w:type="gramEnd"/>
            <w:r>
              <w:rPr>
                <w:spacing w:val="-2"/>
                <w:sz w:val="24"/>
              </w:rPr>
              <w:t xml:space="preserve"> 0.009</w:t>
            </w:r>
          </w:p>
        </w:tc>
        <w:tc>
          <w:tcPr>
            <w:tcW w:w="2055" w:type="dxa"/>
          </w:tcPr>
          <w:p w14:paraId="6A4F9FAA" w14:textId="77777777" w:rsidR="00C3411D" w:rsidRDefault="003D13F0">
            <w:pPr>
              <w:pStyle w:val="TableParagraph"/>
              <w:spacing w:before="143" w:line="256" w:lineRule="exact"/>
              <w:ind w:left="450"/>
              <w:rPr>
                <w:sz w:val="24"/>
              </w:rPr>
            </w:pPr>
            <w:proofErr w:type="gramStart"/>
            <w:r>
              <w:rPr>
                <w:spacing w:val="-2"/>
                <w:sz w:val="24"/>
              </w:rPr>
              <w:t>0.144  ±</w:t>
            </w:r>
            <w:proofErr w:type="gramEnd"/>
            <w:r>
              <w:rPr>
                <w:spacing w:val="-2"/>
                <w:sz w:val="24"/>
              </w:rPr>
              <w:t xml:space="preserve"> 0.001</w:t>
            </w:r>
          </w:p>
        </w:tc>
        <w:tc>
          <w:tcPr>
            <w:tcW w:w="3480" w:type="dxa"/>
          </w:tcPr>
          <w:p w14:paraId="695F590E" w14:textId="77777777" w:rsidR="00C3411D" w:rsidRDefault="003D13F0">
            <w:pPr>
              <w:pStyle w:val="TableParagraph"/>
              <w:wordWrap w:val="0"/>
              <w:spacing w:before="143" w:line="256" w:lineRule="exact"/>
              <w:ind w:right="1811"/>
              <w:jc w:val="center"/>
              <w:rPr>
                <w:sz w:val="24"/>
              </w:rPr>
            </w:pPr>
            <w:proofErr w:type="gramStart"/>
            <w:r>
              <w:rPr>
                <w:spacing w:val="-2"/>
                <w:sz w:val="24"/>
              </w:rPr>
              <w:t>0.128  ±</w:t>
            </w:r>
            <w:proofErr w:type="gramEnd"/>
            <w:r>
              <w:rPr>
                <w:spacing w:val="-2"/>
                <w:sz w:val="24"/>
              </w:rPr>
              <w:t xml:space="preserve"> 0.011</w:t>
            </w:r>
          </w:p>
        </w:tc>
      </w:tr>
    </w:tbl>
    <w:p w14:paraId="1D56EF96" w14:textId="77777777" w:rsidR="00C3411D" w:rsidRDefault="00C3411D">
      <w:pPr>
        <w:pStyle w:val="BodyText"/>
        <w:spacing w:before="8"/>
        <w:rPr>
          <w:b/>
          <w:sz w:val="19"/>
        </w:rPr>
      </w:pPr>
    </w:p>
    <w:p w14:paraId="19F410D5" w14:textId="77777777" w:rsidR="00C3411D" w:rsidRDefault="00C3411D">
      <w:pPr>
        <w:pStyle w:val="BodyText"/>
        <w:spacing w:before="17"/>
        <w:rPr>
          <w:b/>
        </w:rPr>
      </w:pPr>
    </w:p>
    <w:p w14:paraId="619CB590" w14:textId="77777777" w:rsidR="00C3411D" w:rsidRDefault="00C3411D">
      <w:pPr>
        <w:pStyle w:val="Heading3"/>
        <w:ind w:left="0"/>
      </w:pPr>
    </w:p>
    <w:p w14:paraId="4B959827" w14:textId="77777777" w:rsidR="00C3411D" w:rsidRDefault="003D13F0">
      <w:pPr>
        <w:pStyle w:val="Heading3"/>
        <w:ind w:left="0"/>
      </w:pPr>
      <w:proofErr w:type="gramStart"/>
      <w:r>
        <w:t>4.0  Discussion</w:t>
      </w:r>
      <w:proofErr w:type="gramEnd"/>
    </w:p>
    <w:p w14:paraId="794D39E5" w14:textId="77777777" w:rsidR="00C3411D" w:rsidRDefault="003D13F0">
      <w:pPr>
        <w:pStyle w:val="NormalWeb"/>
        <w:spacing w:line="360" w:lineRule="auto"/>
        <w:jc w:val="both"/>
      </w:pPr>
      <w:r>
        <w:t>Seafoods constitute an important component of the human diet due to their high nutritional value; however, unregulated or excessive consumption may pose potential health risks to consumers (Hashempour-</w:t>
      </w:r>
      <w:proofErr w:type="spellStart"/>
      <w:r>
        <w:t>Baltork</w:t>
      </w:r>
      <w:proofErr w:type="spellEnd"/>
      <w:r>
        <w:t xml:space="preserve"> et al., 2023). Among the various chemical contaminants associated with food, heavy metals are of particular concern, as food remains the primary pathway through which these contaminants enter the </w:t>
      </w:r>
      <w:r>
        <w:lastRenderedPageBreak/>
        <w:t xml:space="preserve">human body (Ray &amp; Vashishth, 2024). Although heavy metals occur naturally in aquatic environments and seafood, the release of excessive quantities into the ecosystem—largely from anthropogenic activities—may adversely affect aquatic organisms. This is because heavy metals are persistent, non-biodegradable, and capable of bioaccumulation along the food chain (Liu et al., 2019). Aluminum (Al), the third most abundant element in the Earth’s crust, is widely distributed in the environment (Zaynab et al., 2022). In the present study, aluminum was detected in all seafood samples obtained from the three markets. Exposure to aluminum has been reported to disrupt plasma triglyceride levels and lipid metabolism (Gaur et al., 2023), while prolonged exposure may </w:t>
      </w:r>
      <w:commentRangeStart w:id="43"/>
      <w:r w:rsidRPr="0030629D">
        <w:rPr>
          <w:strike/>
        </w:rPr>
        <w:t>result in</w:t>
      </w:r>
      <w:commentRangeEnd w:id="43"/>
      <w:r w:rsidR="0030629D">
        <w:rPr>
          <w:rStyle w:val="CommentReference"/>
          <w:rFonts w:asciiTheme="minorHAnsi" w:eastAsiaTheme="minorEastAsia" w:hAnsiTheme="minorHAnsi" w:cstheme="minorBidi"/>
        </w:rPr>
        <w:commentReference w:id="43"/>
      </w:r>
      <w:r>
        <w:t xml:space="preserve"> respiratory complications such as lung fibrosis and reduced pulmonary function (Assad et al., 2018). Adebayo et al. (2025) reported higher aluminum concentrations in seafood than those observed in this study. Based on the relatively low concentrations recorded, </w:t>
      </w:r>
      <w:commentRangeStart w:id="44"/>
      <w:r>
        <w:t>the aluminum levels detected in this study are considered safe for human consumption.</w:t>
      </w:r>
      <w:commentRangeEnd w:id="44"/>
      <w:r w:rsidR="008335B8">
        <w:rPr>
          <w:rStyle w:val="CommentReference"/>
          <w:rFonts w:asciiTheme="minorHAnsi" w:eastAsiaTheme="minorEastAsia" w:hAnsiTheme="minorHAnsi" w:cstheme="minorBidi"/>
        </w:rPr>
        <w:commentReference w:id="44"/>
      </w:r>
    </w:p>
    <w:p w14:paraId="5F962977" w14:textId="77777777" w:rsidR="00C3411D" w:rsidRDefault="003D13F0">
      <w:pPr>
        <w:pStyle w:val="NormalWeb"/>
        <w:spacing w:line="360" w:lineRule="auto"/>
        <w:jc w:val="both"/>
      </w:pPr>
      <w:r>
        <w:t xml:space="preserve">Manganese (Mn) is an essential trace mineral that is present in virtually all diets at low concentrations and plays a critical role in metabolic and enzymatic processes (Freeland-Graves et al., 2016). In this study, manganese was detected in all seafood samples from the three markets at </w:t>
      </w:r>
      <w:commentRangeStart w:id="45"/>
      <w:r>
        <w:t xml:space="preserve">low levels </w:t>
      </w:r>
      <w:commentRangeEnd w:id="45"/>
      <w:r w:rsidR="007073D8">
        <w:rPr>
          <w:rStyle w:val="CommentReference"/>
          <w:rFonts w:asciiTheme="minorHAnsi" w:eastAsiaTheme="minorEastAsia" w:hAnsiTheme="minorHAnsi" w:cstheme="minorBidi"/>
        </w:rPr>
        <w:commentReference w:id="45"/>
      </w:r>
      <w:r>
        <w:t>in snails, catfish, and periwinkles. However, excessive exposure to manganese has been shown to primarily affect the central nervous system, potentially leading to neurological symptoms such as tremors, muscle spasms, tinnitus, and hearing loss (</w:t>
      </w:r>
      <w:proofErr w:type="spellStart"/>
      <w:r>
        <w:t>Tarnacka</w:t>
      </w:r>
      <w:proofErr w:type="spellEnd"/>
      <w:r>
        <w:t xml:space="preserve"> et al., 2021). </w:t>
      </w:r>
      <w:commentRangeStart w:id="46"/>
      <w:r>
        <w:t xml:space="preserve">Ujah et al. (2023) </w:t>
      </w:r>
      <w:commentRangeEnd w:id="46"/>
      <w:r w:rsidR="0030629D">
        <w:rPr>
          <w:rStyle w:val="CommentReference"/>
          <w:rFonts w:asciiTheme="minorHAnsi" w:eastAsiaTheme="minorEastAsia" w:hAnsiTheme="minorHAnsi" w:cstheme="minorBidi"/>
        </w:rPr>
        <w:commentReference w:id="46"/>
      </w:r>
      <w:r>
        <w:t xml:space="preserve">reported higher manganese concentrations in fish compared to the findings of this study. Similarly, Olayinka-Olagunju et al. (2025) observed higher manganese concentrations in frozen fish samples. Despite these variations, the manganese concentrations recorded in the present study remain within </w:t>
      </w:r>
      <w:commentRangeStart w:id="47"/>
      <w:r>
        <w:t>levels considered safe for human consumption.</w:t>
      </w:r>
      <w:commentRangeEnd w:id="47"/>
      <w:r w:rsidR="007073D8">
        <w:rPr>
          <w:rStyle w:val="CommentReference"/>
          <w:rFonts w:asciiTheme="minorHAnsi" w:eastAsiaTheme="minorEastAsia" w:hAnsiTheme="minorHAnsi" w:cstheme="minorBidi"/>
        </w:rPr>
        <w:commentReference w:id="47"/>
      </w:r>
    </w:p>
    <w:p w14:paraId="5BA86402" w14:textId="77777777" w:rsidR="00C3411D" w:rsidRDefault="003D13F0">
      <w:pPr>
        <w:pStyle w:val="NormalWeb"/>
        <w:spacing w:line="360" w:lineRule="auto"/>
        <w:jc w:val="both"/>
      </w:pPr>
      <w:r>
        <w:t>Antimony (Sb) is a cumulative toxic element with no known biological function, and its physicochemical behavior and toxicity depend largely on its chemical form and oxidation state (</w:t>
      </w:r>
      <w:proofErr w:type="spellStart"/>
      <w:r>
        <w:t>Periferakis</w:t>
      </w:r>
      <w:proofErr w:type="spellEnd"/>
      <w:r>
        <w:t xml:space="preserve"> et al., 2022). Antimony was detected at very low concentrations in nearly all seafood samples obtained from the three markets, except in catfish from </w:t>
      </w:r>
      <w:proofErr w:type="spellStart"/>
      <w:r>
        <w:t>Garriki</w:t>
      </w:r>
      <w:proofErr w:type="spellEnd"/>
      <w:r>
        <w:t xml:space="preserve"> Market, where it was not detected. Exposure to antimony, particularly through inhalation, has been associated with respiratory disorders </w:t>
      </w:r>
      <w:r>
        <w:lastRenderedPageBreak/>
        <w:t>(</w:t>
      </w:r>
      <w:proofErr w:type="spellStart"/>
      <w:r>
        <w:t>Boreiko</w:t>
      </w:r>
      <w:proofErr w:type="spellEnd"/>
      <w:r>
        <w:t xml:space="preserve"> &amp; Rossman, 2020). Given the very low concentrations observed, the antimony levels recorded in this study are considered safe for human consumption.</w:t>
      </w:r>
    </w:p>
    <w:p w14:paraId="44C307E3" w14:textId="77777777" w:rsidR="00C3411D" w:rsidRDefault="003D13F0">
      <w:pPr>
        <w:pStyle w:val="NormalWeb"/>
        <w:spacing w:line="360" w:lineRule="auto"/>
        <w:jc w:val="both"/>
      </w:pPr>
      <w:r>
        <w:t xml:space="preserve">Molybdenum (Mo) is an essential transition element required for the proper functioning of several enzymes in almost all biological systems (Huang et al., 2022). In this study, molybdenum was detected </w:t>
      </w:r>
      <w:r w:rsidRPr="007073D8">
        <w:rPr>
          <w:strike/>
        </w:rPr>
        <w:t>in all seafood samples from the three markets</w:t>
      </w:r>
      <w:r>
        <w:t xml:space="preserve"> at low concentrations in snails, catfish, and </w:t>
      </w:r>
      <w:commentRangeStart w:id="48"/>
      <w:r>
        <w:t>periwinkles</w:t>
      </w:r>
      <w:commentRangeEnd w:id="48"/>
      <w:r w:rsidR="007073D8">
        <w:rPr>
          <w:rStyle w:val="CommentReference"/>
          <w:rFonts w:asciiTheme="minorHAnsi" w:eastAsiaTheme="minorEastAsia" w:hAnsiTheme="minorHAnsi" w:cstheme="minorBidi"/>
        </w:rPr>
        <w:commentReference w:id="48"/>
      </w:r>
      <w:r>
        <w:t xml:space="preserve">. Diets containing excessively high levels of molybdenum may result in chronic toxicity, commonly referred to as Teart disease (Albin &amp; Oskarsson, 2022). However, the concentrations recorded in this study fall within </w:t>
      </w:r>
      <w:commentRangeStart w:id="50"/>
      <w:r>
        <w:t xml:space="preserve">acceptable dietary intake limits </w:t>
      </w:r>
      <w:commentRangeEnd w:id="50"/>
      <w:r w:rsidR="007073D8">
        <w:rPr>
          <w:rStyle w:val="CommentReference"/>
          <w:rFonts w:asciiTheme="minorHAnsi" w:eastAsiaTheme="minorEastAsia" w:hAnsiTheme="minorHAnsi" w:cstheme="minorBidi"/>
        </w:rPr>
        <w:commentReference w:id="50"/>
      </w:r>
      <w:r>
        <w:t>and are therefore unlikely to pose any health risk to consumers.</w:t>
      </w:r>
    </w:p>
    <w:p w14:paraId="2D384229" w14:textId="77777777" w:rsidR="00C3411D" w:rsidRDefault="003D13F0">
      <w:pPr>
        <w:pStyle w:val="NormalWeb"/>
        <w:spacing w:line="360" w:lineRule="auto"/>
        <w:jc w:val="both"/>
      </w:pPr>
      <w:r>
        <w:t xml:space="preserve">Selenium (Se) was detected </w:t>
      </w:r>
      <w:r w:rsidRPr="008D6F2A">
        <w:rPr>
          <w:strike/>
        </w:rPr>
        <w:t>in all seafood samples from the three markets</w:t>
      </w:r>
      <w:r>
        <w:t xml:space="preserve"> at low concentrations in snails, catfish, and </w:t>
      </w:r>
      <w:commentRangeStart w:id="51"/>
      <w:r>
        <w:t>periwinkles</w:t>
      </w:r>
      <w:commentRangeEnd w:id="51"/>
      <w:r w:rsidR="008D6F2A">
        <w:rPr>
          <w:rStyle w:val="CommentReference"/>
          <w:rFonts w:asciiTheme="minorHAnsi" w:eastAsiaTheme="minorEastAsia" w:hAnsiTheme="minorHAnsi" w:cstheme="minorBidi"/>
        </w:rPr>
        <w:commentReference w:id="51"/>
      </w:r>
      <w:r>
        <w:t xml:space="preserve">. It was the most abundant trace element in all seafood samples obtained from </w:t>
      </w:r>
      <w:proofErr w:type="spellStart"/>
      <w:r>
        <w:t>Garriki</w:t>
      </w:r>
      <w:proofErr w:type="spellEnd"/>
      <w:r>
        <w:t xml:space="preserve"> and </w:t>
      </w:r>
      <w:proofErr w:type="spellStart"/>
      <w:r>
        <w:t>Ogbete</w:t>
      </w:r>
      <w:proofErr w:type="spellEnd"/>
      <w:r>
        <w:t xml:space="preserve"> Markets, as well as in snails from Abakpa Market. Selenium is an essential micronutrient, and low selenium status has been associated with increased mortality risk, impaired immune function, and cognitive decline (Zhang, 2023). Adeniyi and </w:t>
      </w:r>
      <w:proofErr w:type="spellStart"/>
      <w:r>
        <w:t>Agoreyo</w:t>
      </w:r>
      <w:proofErr w:type="spellEnd"/>
      <w:r>
        <w:t xml:space="preserve"> (2018) reported higher selenium concentrations in fish, crayfish, and snails </w:t>
      </w:r>
      <w:commentRangeStart w:id="52"/>
      <w:r w:rsidRPr="008D6F2A">
        <w:rPr>
          <w:strike/>
        </w:rPr>
        <w:t>compared with the values</w:t>
      </w:r>
      <w:r>
        <w:t xml:space="preserve"> </w:t>
      </w:r>
      <w:commentRangeEnd w:id="52"/>
      <w:r w:rsidR="008D6F2A">
        <w:rPr>
          <w:rStyle w:val="CommentReference"/>
          <w:rFonts w:asciiTheme="minorHAnsi" w:eastAsiaTheme="minorEastAsia" w:hAnsiTheme="minorHAnsi" w:cstheme="minorBidi"/>
        </w:rPr>
        <w:commentReference w:id="52"/>
      </w:r>
      <w:r>
        <w:t xml:space="preserve">obtained in this study. Nonetheless, the selenium concentrations recorded in the present work are within </w:t>
      </w:r>
      <w:commentRangeStart w:id="53"/>
      <w:r>
        <w:t xml:space="preserve">acceptable limits </w:t>
      </w:r>
      <w:commentRangeEnd w:id="53"/>
      <w:r w:rsidR="008D6F2A">
        <w:rPr>
          <w:rStyle w:val="CommentReference"/>
          <w:rFonts w:asciiTheme="minorHAnsi" w:eastAsiaTheme="minorEastAsia" w:hAnsiTheme="minorHAnsi" w:cstheme="minorBidi"/>
        </w:rPr>
        <w:commentReference w:id="53"/>
      </w:r>
      <w:r>
        <w:t>and are considered safe for human consumption</w:t>
      </w:r>
    </w:p>
    <w:p w14:paraId="115BE861" w14:textId="1D89C19B" w:rsidR="00C3411D" w:rsidRDefault="003D13F0">
      <w:pPr>
        <w:pStyle w:val="NormalWeb"/>
        <w:spacing w:line="360" w:lineRule="auto"/>
        <w:jc w:val="both"/>
      </w:pPr>
      <w:r>
        <w:t xml:space="preserve">At Abakpa, periwinkle </w:t>
      </w:r>
      <w:commentRangeStart w:id="54"/>
      <w:r w:rsidRPr="008D6F2A">
        <w:rPr>
          <w:strike/>
        </w:rPr>
        <w:t>recorded</w:t>
      </w:r>
      <w:commentRangeEnd w:id="54"/>
      <w:r w:rsidR="008D6F2A">
        <w:rPr>
          <w:rStyle w:val="CommentReference"/>
          <w:rFonts w:asciiTheme="minorHAnsi" w:eastAsiaTheme="minorEastAsia" w:hAnsiTheme="minorHAnsi" w:cstheme="minorBidi"/>
        </w:rPr>
        <w:commentReference w:id="54"/>
      </w:r>
      <w:r>
        <w:t xml:space="preserve"> a significantly higher concentration of aluminum compared to snail (p = 0.012), indicating a statistically significant difference </w:t>
      </w:r>
      <w:proofErr w:type="gramStart"/>
      <w:r w:rsidRPr="008D6F2A">
        <w:rPr>
          <w:color w:val="EE0000"/>
        </w:rPr>
        <w:t xml:space="preserve">in </w:t>
      </w:r>
      <w:r w:rsidR="008D6F2A" w:rsidRPr="008D6F2A">
        <w:rPr>
          <w:color w:val="EE0000"/>
        </w:rPr>
        <w:t xml:space="preserve"> average</w:t>
      </w:r>
      <w:proofErr w:type="gramEnd"/>
      <w:r w:rsidR="008D6F2A" w:rsidRPr="008D6F2A">
        <w:rPr>
          <w:color w:val="EE0000"/>
        </w:rPr>
        <w:t xml:space="preserve"> </w:t>
      </w:r>
      <w:r>
        <w:t xml:space="preserve">aluminum accumulation between </w:t>
      </w:r>
      <w:commentRangeStart w:id="55"/>
      <w:r w:rsidRPr="008D6F2A">
        <w:rPr>
          <w:strike/>
        </w:rPr>
        <w:t>these</w:t>
      </w:r>
      <w:commentRangeEnd w:id="55"/>
      <w:r w:rsidR="008D6F2A">
        <w:rPr>
          <w:rStyle w:val="CommentReference"/>
          <w:rFonts w:asciiTheme="minorHAnsi" w:eastAsiaTheme="minorEastAsia" w:hAnsiTheme="minorHAnsi" w:cstheme="minorBidi"/>
        </w:rPr>
        <w:commentReference w:id="55"/>
      </w:r>
      <w:r>
        <w:t xml:space="preserve"> seafood types. Similarly, manganese concentration was significantly higher in periwinkle than in both snail (p = 0.006) and catfish (p = 0.010), demonstrating notable variations in manganese bioaccumulation among the species. In contrast, antimony concentration was significantly higher in </w:t>
      </w:r>
      <w:commentRangeStart w:id="56"/>
      <w:r>
        <w:t>snail</w:t>
      </w:r>
      <w:commentRangeEnd w:id="56"/>
      <w:r w:rsidR="008D6F2A">
        <w:rPr>
          <w:rStyle w:val="CommentReference"/>
          <w:rFonts w:asciiTheme="minorHAnsi" w:eastAsiaTheme="minorEastAsia" w:hAnsiTheme="minorHAnsi" w:cstheme="minorBidi"/>
        </w:rPr>
        <w:commentReference w:id="56"/>
      </w:r>
      <w:r>
        <w:t xml:space="preserve"> compared to both catfish (p = 0.028) and </w:t>
      </w:r>
      <w:commentRangeStart w:id="57"/>
      <w:r>
        <w:t>periwinkle</w:t>
      </w:r>
      <w:commentRangeEnd w:id="57"/>
      <w:r w:rsidR="008D6F2A">
        <w:rPr>
          <w:rStyle w:val="CommentReference"/>
          <w:rFonts w:asciiTheme="minorHAnsi" w:eastAsiaTheme="minorEastAsia" w:hAnsiTheme="minorHAnsi" w:cstheme="minorBidi"/>
        </w:rPr>
        <w:commentReference w:id="57"/>
      </w:r>
      <w:r>
        <w:t xml:space="preserve"> (p = 0.030), highlighting species-specific differences in antimony levels. </w:t>
      </w:r>
      <w:commentRangeStart w:id="58"/>
      <w:r w:rsidRPr="008D6F2A">
        <w:rPr>
          <w:strike/>
        </w:rPr>
        <w:t xml:space="preserve">At </w:t>
      </w:r>
      <w:proofErr w:type="spellStart"/>
      <w:r w:rsidRPr="008D6F2A">
        <w:rPr>
          <w:strike/>
        </w:rPr>
        <w:t>Garki</w:t>
      </w:r>
      <w:proofErr w:type="spellEnd"/>
      <w:r w:rsidRPr="008D6F2A">
        <w:rPr>
          <w:strike/>
        </w:rPr>
        <w:t>, the</w:t>
      </w:r>
      <w:r>
        <w:t xml:space="preserve"> </w:t>
      </w:r>
      <w:commentRangeEnd w:id="58"/>
      <w:r w:rsidR="008D6F2A">
        <w:rPr>
          <w:rStyle w:val="CommentReference"/>
          <w:rFonts w:asciiTheme="minorHAnsi" w:eastAsiaTheme="minorEastAsia" w:hAnsiTheme="minorHAnsi" w:cstheme="minorBidi"/>
        </w:rPr>
        <w:commentReference w:id="58"/>
      </w:r>
      <w:r>
        <w:t xml:space="preserve">statistical analysis of heavy metal concentrations in </w:t>
      </w:r>
      <w:commentRangeStart w:id="59"/>
      <w:r>
        <w:t xml:space="preserve">sea foods </w:t>
      </w:r>
      <w:commentRangeEnd w:id="59"/>
      <w:r w:rsidR="008D6F2A">
        <w:rPr>
          <w:rStyle w:val="CommentReference"/>
          <w:rFonts w:asciiTheme="minorHAnsi" w:eastAsiaTheme="minorEastAsia" w:hAnsiTheme="minorHAnsi" w:cstheme="minorBidi"/>
        </w:rPr>
        <w:commentReference w:id="59"/>
      </w:r>
      <w:r>
        <w:t xml:space="preserve">from </w:t>
      </w:r>
      <w:proofErr w:type="spellStart"/>
      <w:r>
        <w:t>Garki</w:t>
      </w:r>
      <w:proofErr w:type="spellEnd"/>
      <w:r>
        <w:t xml:space="preserve"> Market reveals significant differences. Snail has higher Aluminum concentrations than Catfish and Periwinkle. Periwinkle has higher Manganese concentrations than Catfish. Snail has higher Antimony concentrations than Catfish. Catfish has higher Selenium concentrations </w:t>
      </w:r>
      <w:r>
        <w:lastRenderedPageBreak/>
        <w:t xml:space="preserve">than Periwinkle. These findings suggest varying levels of heavy metal accumulation in different </w:t>
      </w:r>
      <w:commentRangeStart w:id="60"/>
      <w:r>
        <w:t>sea foods</w:t>
      </w:r>
      <w:commentRangeEnd w:id="60"/>
      <w:r w:rsidR="00776ED4">
        <w:rPr>
          <w:rStyle w:val="CommentReference"/>
          <w:rFonts w:asciiTheme="minorHAnsi" w:eastAsiaTheme="minorEastAsia" w:hAnsiTheme="minorHAnsi" w:cstheme="minorBidi"/>
        </w:rPr>
        <w:commentReference w:id="60"/>
      </w:r>
      <w:r>
        <w:t xml:space="preserve">, with Snail showing higher levels of Aluminum and Antimony, while Catfish has higher Selenium levels. The analysis of heavy metal concentrations in sea </w:t>
      </w:r>
      <w:commentRangeStart w:id="61"/>
      <w:r>
        <w:t>foods</w:t>
      </w:r>
      <w:commentRangeEnd w:id="61"/>
      <w:r w:rsidR="00776ED4">
        <w:rPr>
          <w:rStyle w:val="CommentReference"/>
          <w:rFonts w:asciiTheme="minorHAnsi" w:eastAsiaTheme="minorEastAsia" w:hAnsiTheme="minorHAnsi" w:cstheme="minorBidi"/>
        </w:rPr>
        <w:commentReference w:id="61"/>
      </w:r>
      <w:r>
        <w:t xml:space="preserve"> from </w:t>
      </w:r>
      <w:commentRangeStart w:id="62"/>
      <w:proofErr w:type="spellStart"/>
      <w:r>
        <w:t>Ogbete</w:t>
      </w:r>
      <w:proofErr w:type="spellEnd"/>
      <w:r>
        <w:t xml:space="preserve"> Market shows significant differences. Snail and Catfish have higher Aluminum concentrations than Periwinkle. Snail has higher Manganese concentrations than Catfish. Catfish has higher Antimony concentrations than Snail. Snail and Catfish have higher Selenium concentrations than Periwinkle. These findings indicate varying heavy metal levels in </w:t>
      </w:r>
      <w:commentRangeStart w:id="63"/>
      <w:r>
        <w:t>sea foods</w:t>
      </w:r>
      <w:commentRangeEnd w:id="63"/>
      <w:r w:rsidR="0030629D">
        <w:rPr>
          <w:rStyle w:val="CommentReference"/>
          <w:rFonts w:asciiTheme="minorHAnsi" w:eastAsiaTheme="minorEastAsia" w:hAnsiTheme="minorHAnsi" w:cstheme="minorBidi"/>
        </w:rPr>
        <w:commentReference w:id="63"/>
      </w:r>
      <w:r>
        <w:t>, with Snail and Catfish showing higher levels of certain metals.</w:t>
      </w:r>
      <w:commentRangeEnd w:id="62"/>
      <w:r w:rsidR="00776ED4">
        <w:rPr>
          <w:rStyle w:val="CommentReference"/>
          <w:rFonts w:asciiTheme="minorHAnsi" w:eastAsiaTheme="minorEastAsia" w:hAnsiTheme="minorHAnsi" w:cstheme="minorBidi"/>
        </w:rPr>
        <w:commentReference w:id="62"/>
      </w:r>
    </w:p>
    <w:p w14:paraId="2F644F27" w14:textId="77777777" w:rsidR="00C3411D" w:rsidRDefault="00C3411D">
      <w:pPr>
        <w:jc w:val="both"/>
      </w:pPr>
    </w:p>
    <w:p w14:paraId="0A26AF8B" w14:textId="77777777" w:rsidR="00C3411D" w:rsidRDefault="003D13F0">
      <w:pPr>
        <w:pStyle w:val="Heading3"/>
        <w:ind w:left="0"/>
      </w:pPr>
      <w:r>
        <w:t>Conclusion</w:t>
      </w:r>
    </w:p>
    <w:p w14:paraId="77D2F881" w14:textId="77777777" w:rsidR="00C3411D" w:rsidRDefault="003D13F0">
      <w:pPr>
        <w:pStyle w:val="NormalWeb"/>
        <w:spacing w:line="360" w:lineRule="auto"/>
        <w:jc w:val="both"/>
        <w:rPr>
          <w:b/>
          <w:bCs/>
        </w:rPr>
      </w:pPr>
      <w:r>
        <w:t xml:space="preserve">This study assessed </w:t>
      </w:r>
      <w:r w:rsidRPr="00776ED4">
        <w:rPr>
          <w:strike/>
        </w:rPr>
        <w:t>the levels of</w:t>
      </w:r>
      <w:r>
        <w:t xml:space="preserve"> heavy </w:t>
      </w:r>
      <w:commentRangeStart w:id="64"/>
      <w:r>
        <w:t>metals</w:t>
      </w:r>
      <w:commentRangeEnd w:id="64"/>
      <w:r w:rsidR="00776ED4">
        <w:rPr>
          <w:rStyle w:val="CommentReference"/>
          <w:rFonts w:asciiTheme="minorHAnsi" w:eastAsiaTheme="minorEastAsia" w:hAnsiTheme="minorHAnsi" w:cstheme="minorBidi"/>
        </w:rPr>
        <w:commentReference w:id="64"/>
      </w:r>
      <w:r>
        <w:t xml:space="preserve"> in seafood samples from three markets and found that</w:t>
      </w:r>
      <w:commentRangeStart w:id="65"/>
      <w:r>
        <w:t>,</w:t>
      </w:r>
      <w:commentRangeEnd w:id="65"/>
      <w:r w:rsidR="00776ED4">
        <w:rPr>
          <w:rStyle w:val="CommentReference"/>
          <w:rFonts w:asciiTheme="minorHAnsi" w:eastAsiaTheme="minorEastAsia" w:hAnsiTheme="minorHAnsi" w:cstheme="minorBidi"/>
        </w:rPr>
        <w:commentReference w:id="65"/>
      </w:r>
      <w:r>
        <w:t xml:space="preserve"> although some metals were present, their concentrations were within </w:t>
      </w:r>
      <w:commentRangeStart w:id="66"/>
      <w:r>
        <w:t>safe limits for human consumption</w:t>
      </w:r>
      <w:commentRangeEnd w:id="66"/>
      <w:r w:rsidR="00776ED4">
        <w:rPr>
          <w:rStyle w:val="CommentReference"/>
          <w:rFonts w:asciiTheme="minorHAnsi" w:eastAsiaTheme="minorEastAsia" w:hAnsiTheme="minorHAnsi" w:cstheme="minorBidi"/>
        </w:rPr>
        <w:commentReference w:id="66"/>
      </w:r>
      <w:r>
        <w:t xml:space="preserve">. However, it is essential to continue monitoring and regulating the levels of these metals in seafood to minimize potential health risks to consumers. The presence of these metals in seafood highlights the need for sustainable management practices to </w:t>
      </w:r>
      <w:commentRangeStart w:id="67"/>
      <w:r>
        <w:t>mitigate</w:t>
      </w:r>
      <w:commentRangeEnd w:id="67"/>
      <w:r w:rsidR="00776ED4">
        <w:rPr>
          <w:rStyle w:val="CommentReference"/>
          <w:rFonts w:asciiTheme="minorHAnsi" w:eastAsiaTheme="minorEastAsia" w:hAnsiTheme="minorHAnsi" w:cstheme="minorBidi"/>
        </w:rPr>
        <w:commentReference w:id="67"/>
      </w:r>
      <w:r>
        <w:t xml:space="preserve"> environmental pollution and ensure food safety.</w:t>
      </w:r>
    </w:p>
    <w:p w14:paraId="7C61F444" w14:textId="77777777" w:rsidR="00C3411D" w:rsidRDefault="003D13F0">
      <w:pPr>
        <w:pStyle w:val="BodyText"/>
        <w:rPr>
          <w:b/>
          <w:bCs/>
        </w:rPr>
      </w:pPr>
      <w:r>
        <w:rPr>
          <w:b/>
          <w:bCs/>
        </w:rPr>
        <w:t>References</w:t>
      </w:r>
    </w:p>
    <w:p w14:paraId="188ED171" w14:textId="77777777" w:rsidR="00C3411D" w:rsidRDefault="003D13F0">
      <w:pPr>
        <w:ind w:left="480" w:hangingChars="200" w:hanging="480"/>
        <w:jc w:val="both"/>
      </w:pPr>
      <w:r>
        <w:rPr>
          <w:rFonts w:ascii="Times New Roman" w:eastAsia="SimSun" w:hAnsi="Times New Roman" w:cs="Times New Roman"/>
          <w:color w:val="222222"/>
          <w:sz w:val="24"/>
          <w:szCs w:val="24"/>
          <w:shd w:val="clear" w:color="auto" w:fill="FFFFFF"/>
        </w:rPr>
        <w:t xml:space="preserve">Adebayo, E. T., Ayeku, P. O., Kadiri, P. E., Ogueri, C., &amp; Adetunji-Popoola, W. O. (2025). Comparative assessment of nutrient profiles and some essential trace metals in smoked </w:t>
      </w:r>
      <w:commentRangeStart w:id="68"/>
      <w:r>
        <w:rPr>
          <w:rFonts w:ascii="Times New Roman" w:eastAsia="SimSun" w:hAnsi="Times New Roman" w:cs="Times New Roman"/>
          <w:color w:val="222222"/>
          <w:sz w:val="24"/>
          <w:szCs w:val="24"/>
          <w:shd w:val="clear" w:color="auto" w:fill="FFFFFF"/>
        </w:rPr>
        <w:t xml:space="preserve">Clarias </w:t>
      </w:r>
      <w:proofErr w:type="spellStart"/>
      <w:r>
        <w:rPr>
          <w:rFonts w:ascii="Times New Roman" w:eastAsia="SimSun" w:hAnsi="Times New Roman" w:cs="Times New Roman"/>
          <w:color w:val="222222"/>
          <w:sz w:val="24"/>
          <w:szCs w:val="24"/>
          <w:shd w:val="clear" w:color="auto" w:fill="FFFFFF"/>
        </w:rPr>
        <w:t>gariepinus</w:t>
      </w:r>
      <w:proofErr w:type="spellEnd"/>
      <w:r>
        <w:rPr>
          <w:rFonts w:ascii="Times New Roman" w:eastAsia="SimSun" w:hAnsi="Times New Roman" w:cs="Times New Roman"/>
          <w:color w:val="222222"/>
          <w:sz w:val="24"/>
          <w:szCs w:val="24"/>
          <w:shd w:val="clear" w:color="auto" w:fill="FFFFFF"/>
        </w:rPr>
        <w:t xml:space="preserve"> (Burchell, 1822) and Oreochromis niloticus </w:t>
      </w:r>
      <w:commentRangeEnd w:id="68"/>
      <w:r w:rsidR="0030629D">
        <w:rPr>
          <w:rStyle w:val="CommentReference"/>
        </w:rPr>
        <w:commentReference w:id="68"/>
      </w:r>
      <w:r>
        <w:rPr>
          <w:rFonts w:ascii="Times New Roman" w:eastAsia="SimSun" w:hAnsi="Times New Roman" w:cs="Times New Roman"/>
          <w:color w:val="222222"/>
          <w:sz w:val="24"/>
          <w:szCs w:val="24"/>
          <w:shd w:val="clear" w:color="auto" w:fill="FFFFFF"/>
        </w:rPr>
        <w:t>(Linnaeus, 1758) from Owena River, Ondo State, Nigeria. </w:t>
      </w:r>
      <w:proofErr w:type="spellStart"/>
      <w:r>
        <w:rPr>
          <w:rFonts w:ascii="Times New Roman" w:eastAsia="SimSun" w:hAnsi="Times New Roman" w:cs="Times New Roman"/>
          <w:i/>
          <w:iCs/>
          <w:color w:val="222222"/>
          <w:sz w:val="24"/>
          <w:szCs w:val="24"/>
          <w:shd w:val="clear" w:color="auto" w:fill="FFFFFF"/>
        </w:rPr>
        <w:t>Manglar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(3), 347-354</w:t>
      </w:r>
      <w:r>
        <w:rPr>
          <w:rFonts w:ascii="Arial" w:eastAsia="SimSun" w:hAnsi="Arial" w:cs="Arial"/>
          <w:color w:val="222222"/>
          <w:sz w:val="19"/>
          <w:szCs w:val="19"/>
          <w:shd w:val="clear" w:color="auto" w:fill="FFFFFF"/>
        </w:rPr>
        <w:t>.</w:t>
      </w:r>
    </w:p>
    <w:p w14:paraId="22249DD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Adeniyi, M. J., &amp; </w:t>
      </w:r>
      <w:proofErr w:type="spellStart"/>
      <w:r>
        <w:rPr>
          <w:rFonts w:ascii="Times New Roman" w:eastAsia="SimSun" w:hAnsi="Times New Roman" w:cs="Times New Roman"/>
          <w:color w:val="222222"/>
          <w:sz w:val="24"/>
          <w:szCs w:val="24"/>
          <w:shd w:val="clear" w:color="auto" w:fill="FFFFFF"/>
        </w:rPr>
        <w:t>Agoreyo</w:t>
      </w:r>
      <w:proofErr w:type="spellEnd"/>
      <w:r>
        <w:rPr>
          <w:rFonts w:ascii="Times New Roman" w:eastAsia="SimSun" w:hAnsi="Times New Roman" w:cs="Times New Roman"/>
          <w:color w:val="222222"/>
          <w:sz w:val="24"/>
          <w:szCs w:val="24"/>
          <w:shd w:val="clear" w:color="auto" w:fill="FFFFFF"/>
        </w:rPr>
        <w:t>, F. O. (2018). Nigeria and the selenium micronutrient: a review. </w:t>
      </w:r>
      <w:r>
        <w:rPr>
          <w:rFonts w:ascii="Times New Roman" w:eastAsia="SimSun" w:hAnsi="Times New Roman" w:cs="Times New Roman"/>
          <w:i/>
          <w:iCs/>
          <w:color w:val="222222"/>
          <w:sz w:val="24"/>
          <w:szCs w:val="24"/>
          <w:shd w:val="clear" w:color="auto" w:fill="FFFFFF"/>
        </w:rPr>
        <w:t>Ann Med Health Sci 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5-11.</w:t>
      </w:r>
    </w:p>
    <w:p w14:paraId="1C3AB15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Albin, M., &amp; Oskarsson, A. (2022). Molybdenum. In </w:t>
      </w:r>
      <w:commentRangeStart w:id="69"/>
      <w:r>
        <w:rPr>
          <w:rFonts w:ascii="Times New Roman" w:eastAsia="SimSun" w:hAnsi="Times New Roman" w:cs="Times New Roman"/>
          <w:i/>
          <w:iCs/>
          <w:color w:val="222222"/>
          <w:sz w:val="24"/>
          <w:szCs w:val="24"/>
          <w:shd w:val="clear" w:color="auto" w:fill="FFFFFF"/>
        </w:rPr>
        <w:t>Handbook on the tox</w:t>
      </w:r>
      <w:commentRangeEnd w:id="69"/>
      <w:r w:rsidR="002A65AD">
        <w:rPr>
          <w:rStyle w:val="CommentReference"/>
        </w:rPr>
        <w:commentReference w:id="69"/>
      </w:r>
      <w:r>
        <w:rPr>
          <w:rFonts w:ascii="Times New Roman" w:eastAsia="SimSun" w:hAnsi="Times New Roman" w:cs="Times New Roman"/>
          <w:i/>
          <w:iCs/>
          <w:color w:val="222222"/>
          <w:sz w:val="24"/>
          <w:szCs w:val="24"/>
          <w:shd w:val="clear" w:color="auto" w:fill="FFFFFF"/>
        </w:rPr>
        <w:t>icology of metals</w:t>
      </w:r>
      <w:r>
        <w:rPr>
          <w:rFonts w:ascii="Times New Roman" w:eastAsia="SimSun" w:hAnsi="Times New Roman" w:cs="Times New Roman"/>
          <w:color w:val="222222"/>
          <w:sz w:val="24"/>
          <w:szCs w:val="24"/>
          <w:shd w:val="clear" w:color="auto" w:fill="FFFFFF"/>
        </w:rPr>
        <w:t> (pp. 601-614). Academic Press.</w:t>
      </w:r>
    </w:p>
    <w:p w14:paraId="376A127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Ali, H., Khan, E., &amp; Ilahi, I. (2019). Environmental chemistry and ecotoxicology of hazardous heavy metals: environmental persistence, toxicity, and bioaccumulation. </w:t>
      </w:r>
      <w:r>
        <w:rPr>
          <w:rFonts w:ascii="Times New Roman" w:eastAsia="SimSun" w:hAnsi="Times New Roman" w:cs="Times New Roman"/>
          <w:i/>
          <w:iCs/>
          <w:color w:val="222222"/>
          <w:sz w:val="24"/>
          <w:szCs w:val="24"/>
          <w:shd w:val="clear" w:color="auto" w:fill="FFFFFF"/>
        </w:rPr>
        <w:t xml:space="preserve">Journal of </w:t>
      </w:r>
      <w:commentRangeStart w:id="70"/>
      <w:r>
        <w:rPr>
          <w:rFonts w:ascii="Times New Roman" w:eastAsia="SimSun" w:hAnsi="Times New Roman" w:cs="Times New Roman"/>
          <w:i/>
          <w:iCs/>
          <w:color w:val="222222"/>
          <w:sz w:val="24"/>
          <w:szCs w:val="24"/>
          <w:shd w:val="clear" w:color="auto" w:fill="FFFFFF"/>
        </w:rPr>
        <w:t>chemistry</w:t>
      </w:r>
      <w:commentRangeEnd w:id="70"/>
      <w:r w:rsidR="002A65AD">
        <w:rPr>
          <w:rStyle w:val="CommentReference"/>
        </w:rPr>
        <w:commentReference w:id="70"/>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2019</w:t>
      </w:r>
      <w:r>
        <w:rPr>
          <w:rFonts w:ascii="Times New Roman" w:eastAsia="SimSun" w:hAnsi="Times New Roman" w:cs="Times New Roman"/>
          <w:color w:val="222222"/>
          <w:sz w:val="24"/>
          <w:szCs w:val="24"/>
          <w:shd w:val="clear" w:color="auto" w:fill="FFFFFF"/>
        </w:rPr>
        <w:t>(1), 6730305.</w:t>
      </w:r>
    </w:p>
    <w:p w14:paraId="041AF967"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sidRPr="008B2052">
        <w:rPr>
          <w:rFonts w:ascii="Times New Roman" w:eastAsia="SimSun" w:hAnsi="Times New Roman" w:cs="Times New Roman"/>
          <w:color w:val="222222"/>
          <w:sz w:val="24"/>
          <w:szCs w:val="24"/>
          <w:highlight w:val="yellow"/>
          <w:shd w:val="clear" w:color="auto" w:fill="FFFFFF"/>
        </w:rPr>
        <w:t>Ali, H., Khan, E., &amp; Ilahi, I. (2019). Environmental chemistry and ecotoxicology of hazardous heavy metals: environmental persistence, toxicity, and bioaccumulation. </w:t>
      </w:r>
      <w:r w:rsidRPr="008B2052">
        <w:rPr>
          <w:rFonts w:ascii="Times New Roman" w:eastAsia="SimSun" w:hAnsi="Times New Roman" w:cs="Times New Roman"/>
          <w:i/>
          <w:iCs/>
          <w:color w:val="222222"/>
          <w:sz w:val="24"/>
          <w:szCs w:val="24"/>
          <w:highlight w:val="yellow"/>
          <w:shd w:val="clear" w:color="auto" w:fill="FFFFFF"/>
        </w:rPr>
        <w:t>Journal of chemistry</w:t>
      </w:r>
      <w:r w:rsidRPr="008B2052">
        <w:rPr>
          <w:rFonts w:ascii="Times New Roman" w:eastAsia="SimSun" w:hAnsi="Times New Roman" w:cs="Times New Roman"/>
          <w:color w:val="222222"/>
          <w:sz w:val="24"/>
          <w:szCs w:val="24"/>
          <w:highlight w:val="yellow"/>
          <w:shd w:val="clear" w:color="auto" w:fill="FFFFFF"/>
        </w:rPr>
        <w:t>, </w:t>
      </w:r>
      <w:r w:rsidRPr="008B2052">
        <w:rPr>
          <w:rFonts w:ascii="Times New Roman" w:eastAsia="SimSun" w:hAnsi="Times New Roman" w:cs="Times New Roman"/>
          <w:i/>
          <w:iCs/>
          <w:color w:val="222222"/>
          <w:sz w:val="24"/>
          <w:szCs w:val="24"/>
          <w:highlight w:val="yellow"/>
          <w:shd w:val="clear" w:color="auto" w:fill="FFFFFF"/>
        </w:rPr>
        <w:t>2019</w:t>
      </w:r>
      <w:r w:rsidRPr="008B2052">
        <w:rPr>
          <w:rFonts w:ascii="Times New Roman" w:eastAsia="SimSun" w:hAnsi="Times New Roman" w:cs="Times New Roman"/>
          <w:color w:val="222222"/>
          <w:sz w:val="24"/>
          <w:szCs w:val="24"/>
          <w:highlight w:val="yellow"/>
          <w:shd w:val="clear" w:color="auto" w:fill="FFFFFF"/>
        </w:rPr>
        <w:t xml:space="preserve">(1), </w:t>
      </w:r>
      <w:commentRangeStart w:id="71"/>
      <w:r w:rsidRPr="008B2052">
        <w:rPr>
          <w:rFonts w:ascii="Times New Roman" w:eastAsia="SimSun" w:hAnsi="Times New Roman" w:cs="Times New Roman"/>
          <w:color w:val="222222"/>
          <w:sz w:val="24"/>
          <w:szCs w:val="24"/>
          <w:highlight w:val="yellow"/>
          <w:shd w:val="clear" w:color="auto" w:fill="FFFFFF"/>
        </w:rPr>
        <w:t>6730305</w:t>
      </w:r>
      <w:commentRangeEnd w:id="71"/>
      <w:r w:rsidR="008B2052">
        <w:rPr>
          <w:rStyle w:val="CommentReference"/>
        </w:rPr>
        <w:commentReference w:id="71"/>
      </w:r>
      <w:r w:rsidRPr="008B2052">
        <w:rPr>
          <w:rFonts w:ascii="Times New Roman" w:eastAsia="SimSun" w:hAnsi="Times New Roman" w:cs="Times New Roman"/>
          <w:color w:val="222222"/>
          <w:sz w:val="24"/>
          <w:szCs w:val="24"/>
          <w:highlight w:val="yellow"/>
          <w:shd w:val="clear" w:color="auto" w:fill="FFFFFF"/>
        </w:rPr>
        <w:t>.</w:t>
      </w:r>
    </w:p>
    <w:p w14:paraId="61C75AD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xml:space="preserve">, C. C., </w:t>
      </w:r>
      <w:proofErr w:type="spellStart"/>
      <w:r>
        <w:rPr>
          <w:rFonts w:ascii="Times New Roman" w:eastAsia="SimSun" w:hAnsi="Times New Roman" w:cs="Times New Roman"/>
          <w:color w:val="222222"/>
          <w:sz w:val="24"/>
          <w:szCs w:val="24"/>
          <w:shd w:val="clear" w:color="auto" w:fill="FFFFFF"/>
        </w:rPr>
        <w:t>Ugwuoti</w:t>
      </w:r>
      <w:proofErr w:type="spellEnd"/>
      <w:r>
        <w:rPr>
          <w:rFonts w:ascii="Times New Roman" w:eastAsia="SimSun" w:hAnsi="Times New Roman" w:cs="Times New Roman"/>
          <w:color w:val="222222"/>
          <w:sz w:val="24"/>
          <w:szCs w:val="24"/>
          <w:shd w:val="clear" w:color="auto" w:fill="FFFFFF"/>
        </w:rPr>
        <w:t xml:space="preserve">, O. P., </w:t>
      </w:r>
      <w:proofErr w:type="spellStart"/>
      <w:r>
        <w:rPr>
          <w:rFonts w:ascii="Times New Roman" w:eastAsia="SimSun" w:hAnsi="Times New Roman" w:cs="Times New Roman"/>
          <w:color w:val="222222"/>
          <w:sz w:val="24"/>
          <w:szCs w:val="24"/>
          <w:shd w:val="clear" w:color="auto" w:fill="FFFFFF"/>
        </w:rPr>
        <w:t>Ukwuaba</w:t>
      </w:r>
      <w:proofErr w:type="spellEnd"/>
      <w:r>
        <w:rPr>
          <w:rFonts w:ascii="Times New Roman" w:eastAsia="SimSun" w:hAnsi="Times New Roman" w:cs="Times New Roman"/>
          <w:color w:val="222222"/>
          <w:sz w:val="24"/>
          <w:szCs w:val="24"/>
          <w:shd w:val="clear" w:color="auto" w:fill="FFFFFF"/>
        </w:rPr>
        <w:t xml:space="preserve">, S. I., &amp; </w:t>
      </w: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A. C. (2023). Determinants of household fish consumption in Enugu State, Nigeria. </w:t>
      </w:r>
      <w:proofErr w:type="spellStart"/>
      <w:r>
        <w:rPr>
          <w:rFonts w:ascii="Times New Roman" w:eastAsia="SimSun" w:hAnsi="Times New Roman" w:cs="Times New Roman"/>
          <w:i/>
          <w:iCs/>
          <w:color w:val="222222"/>
          <w:sz w:val="24"/>
          <w:szCs w:val="24"/>
          <w:shd w:val="clear" w:color="auto" w:fill="FFFFFF"/>
        </w:rPr>
        <w:t>Agro</w:t>
      </w:r>
      <w:proofErr w:type="spellEnd"/>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(2), 83-90.</w:t>
      </w:r>
    </w:p>
    <w:p w14:paraId="6217CA0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Assad, N., Sood, A., Campen, M. J., &amp; Zychowski, K. E. (2018). Metal-induced pulmonary fibrosis. </w:t>
      </w:r>
      <w:commentRangeStart w:id="72"/>
      <w:r>
        <w:rPr>
          <w:rFonts w:ascii="Times New Roman" w:eastAsia="SimSun" w:hAnsi="Times New Roman" w:cs="Times New Roman"/>
          <w:i/>
          <w:iCs/>
          <w:color w:val="222222"/>
          <w:sz w:val="24"/>
          <w:szCs w:val="24"/>
          <w:shd w:val="clear" w:color="auto" w:fill="FFFFFF"/>
        </w:rPr>
        <w:t>Current environmental health reports</w:t>
      </w:r>
      <w:commentRangeEnd w:id="72"/>
      <w:r w:rsidR="002A65AD">
        <w:rPr>
          <w:rStyle w:val="CommentReference"/>
        </w:rPr>
        <w:commentReference w:id="72"/>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(4), 486-498.</w:t>
      </w:r>
    </w:p>
    <w:p w14:paraId="5CEF853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Aziz, K. H. H., Mustafa, F. S., Omer, K. M., Hama, S., </w:t>
      </w:r>
      <w:proofErr w:type="spellStart"/>
      <w:r>
        <w:rPr>
          <w:rFonts w:ascii="Times New Roman" w:eastAsia="SimSun" w:hAnsi="Times New Roman" w:cs="Times New Roman"/>
          <w:color w:val="222222"/>
          <w:sz w:val="24"/>
          <w:szCs w:val="24"/>
          <w:shd w:val="clear" w:color="auto" w:fill="FFFFFF"/>
        </w:rPr>
        <w:t>Hamarawf</w:t>
      </w:r>
      <w:proofErr w:type="spellEnd"/>
      <w:r>
        <w:rPr>
          <w:rFonts w:ascii="Times New Roman" w:eastAsia="SimSun" w:hAnsi="Times New Roman" w:cs="Times New Roman"/>
          <w:color w:val="222222"/>
          <w:sz w:val="24"/>
          <w:szCs w:val="24"/>
          <w:shd w:val="clear" w:color="auto" w:fill="FFFFFF"/>
        </w:rPr>
        <w:t>, R. F., &amp; Rahman, K. O. (2023). Heavy metal pollution in the aquatic environment: efficient and low-cost removal approaches to eliminate their toxicity: a review. </w:t>
      </w:r>
      <w:r>
        <w:rPr>
          <w:rFonts w:ascii="Times New Roman" w:eastAsia="SimSun" w:hAnsi="Times New Roman" w:cs="Times New Roman"/>
          <w:i/>
          <w:iCs/>
          <w:color w:val="222222"/>
          <w:sz w:val="24"/>
          <w:szCs w:val="24"/>
          <w:shd w:val="clear" w:color="auto" w:fill="FFFFFF"/>
        </w:rPr>
        <w:t xml:space="preserve">RSC </w:t>
      </w:r>
      <w:commentRangeStart w:id="73"/>
      <w:r>
        <w:rPr>
          <w:rFonts w:ascii="Times New Roman" w:eastAsia="SimSun" w:hAnsi="Times New Roman" w:cs="Times New Roman"/>
          <w:i/>
          <w:iCs/>
          <w:color w:val="222222"/>
          <w:sz w:val="24"/>
          <w:szCs w:val="24"/>
          <w:shd w:val="clear" w:color="auto" w:fill="FFFFFF"/>
        </w:rPr>
        <w:t>advances</w:t>
      </w:r>
      <w:commentRangeEnd w:id="73"/>
      <w:r w:rsidR="002A65AD">
        <w:rPr>
          <w:rStyle w:val="CommentReference"/>
        </w:rPr>
        <w:commentReference w:id="73"/>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(26), 17595-17610.</w:t>
      </w:r>
    </w:p>
    <w:p w14:paraId="6F2A2A74"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Bibi, M., Samiullah, F. B., &amp; Saba Afzal, S. (2023). Essential and non-essential heavy metals sources and impacts on human health and plants. </w:t>
      </w:r>
      <w:r>
        <w:rPr>
          <w:rFonts w:ascii="Times New Roman" w:eastAsia="SimSun" w:hAnsi="Times New Roman" w:cs="Times New Roman"/>
          <w:i/>
          <w:iCs/>
          <w:color w:val="222222"/>
          <w:sz w:val="24"/>
          <w:szCs w:val="24"/>
          <w:shd w:val="clear" w:color="auto" w:fill="FFFFFF"/>
        </w:rPr>
        <w:t>Pure and Applied Biology (PAB)</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(2), 835-847.</w:t>
      </w:r>
    </w:p>
    <w:p w14:paraId="6796E3A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Boreiko</w:t>
      </w:r>
      <w:proofErr w:type="spellEnd"/>
      <w:r>
        <w:rPr>
          <w:rFonts w:ascii="Times New Roman" w:eastAsia="SimSun" w:hAnsi="Times New Roman" w:cs="Times New Roman"/>
          <w:color w:val="222222"/>
          <w:sz w:val="24"/>
          <w:szCs w:val="24"/>
          <w:shd w:val="clear" w:color="auto" w:fill="FFFFFF"/>
        </w:rPr>
        <w:t>, C. J., &amp; Rossman, T. G. (2020). Antimony and its compounds: Health impacts related to pulmonary toxicity, cancer, and genotoxicity. </w:t>
      </w:r>
      <w:r>
        <w:rPr>
          <w:rFonts w:ascii="Times New Roman" w:eastAsia="SimSun" w:hAnsi="Times New Roman" w:cs="Times New Roman"/>
          <w:i/>
          <w:iCs/>
          <w:color w:val="222222"/>
          <w:sz w:val="24"/>
          <w:szCs w:val="24"/>
          <w:shd w:val="clear" w:color="auto" w:fill="FFFFFF"/>
        </w:rPr>
        <w:t>Toxicology and Applied Pharmacology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403</w:t>
      </w:r>
      <w:r>
        <w:rPr>
          <w:rFonts w:ascii="Times New Roman" w:eastAsia="SimSun" w:hAnsi="Times New Roman" w:cs="Times New Roman"/>
          <w:color w:val="222222"/>
          <w:sz w:val="24"/>
          <w:szCs w:val="24"/>
          <w:shd w:val="clear" w:color="auto" w:fill="FFFFFF"/>
        </w:rPr>
        <w:t>, 115156.</w:t>
      </w:r>
    </w:p>
    <w:p w14:paraId="0799AF2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Freeland-Graves, J. H., Mousa, T. Y., &amp; Kim, S. (2016). International variability in diet and requirements of manganese: Causes and consequences.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 24-32.</w:t>
      </w:r>
    </w:p>
    <w:p w14:paraId="7BDC0550" w14:textId="77777777" w:rsidR="00C3411D" w:rsidRDefault="003D13F0">
      <w:pPr>
        <w:ind w:left="480" w:hangingChars="200" w:hanging="480"/>
        <w:jc w:val="both"/>
        <w:rPr>
          <w:rFonts w:ascii="Times New Roman" w:eastAsia="SimSun" w:hAnsi="Times New Roman" w:cs="Times New Roman"/>
          <w:color w:val="222222"/>
          <w:sz w:val="22"/>
          <w:szCs w:val="22"/>
          <w:shd w:val="clear" w:color="auto" w:fill="FFFFFF"/>
        </w:rPr>
      </w:pPr>
      <w:r>
        <w:rPr>
          <w:rFonts w:ascii="Times New Roman" w:eastAsia="SimSun" w:hAnsi="Times New Roman" w:cs="Times New Roman"/>
          <w:color w:val="222222"/>
          <w:sz w:val="24"/>
          <w:szCs w:val="24"/>
          <w:shd w:val="clear" w:color="auto" w:fill="FFFFFF"/>
        </w:rPr>
        <w:t>Gaur, A., Nayak, P., Ghosh, S., Sengupta, T., &amp; Sakthivadivel, V. (2023). Aluminum as a possible cause toward dyslipidemia. </w:t>
      </w:r>
      <w:r>
        <w:rPr>
          <w:rFonts w:ascii="Times New Roman" w:eastAsia="SimSun" w:hAnsi="Times New Roman" w:cs="Times New Roman"/>
          <w:i/>
          <w:iCs/>
          <w:color w:val="222222"/>
          <w:sz w:val="24"/>
          <w:szCs w:val="24"/>
          <w:shd w:val="clear" w:color="auto" w:fill="FFFFFF"/>
        </w:rPr>
        <w:t>Indian Journal of Occupational and Environmental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(2), 112-119</w:t>
      </w:r>
      <w:r>
        <w:rPr>
          <w:rFonts w:ascii="Times New Roman" w:eastAsia="SimSun" w:hAnsi="Times New Roman" w:cs="Times New Roman"/>
          <w:color w:val="222222"/>
          <w:sz w:val="22"/>
          <w:szCs w:val="22"/>
          <w:shd w:val="clear" w:color="auto" w:fill="FFFFFF"/>
        </w:rPr>
        <w:t>.</w:t>
      </w:r>
    </w:p>
    <w:p w14:paraId="566D4E5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Hashempour-</w:t>
      </w:r>
      <w:proofErr w:type="spellStart"/>
      <w:r>
        <w:rPr>
          <w:rFonts w:ascii="Times New Roman" w:eastAsia="SimSun" w:hAnsi="Times New Roman" w:cs="Times New Roman"/>
          <w:color w:val="222222"/>
          <w:sz w:val="24"/>
          <w:szCs w:val="24"/>
          <w:shd w:val="clear" w:color="auto" w:fill="FFFFFF"/>
        </w:rPr>
        <w:t>Baltork</w:t>
      </w:r>
      <w:proofErr w:type="spellEnd"/>
      <w:r>
        <w:rPr>
          <w:rFonts w:ascii="Times New Roman" w:eastAsia="SimSun" w:hAnsi="Times New Roman" w:cs="Times New Roman"/>
          <w:color w:val="222222"/>
          <w:sz w:val="24"/>
          <w:szCs w:val="24"/>
          <w:shd w:val="clear" w:color="auto" w:fill="FFFFFF"/>
        </w:rPr>
        <w:t>, F., Jannat, B., Tajdar-</w:t>
      </w:r>
      <w:proofErr w:type="spellStart"/>
      <w:r>
        <w:rPr>
          <w:rFonts w:ascii="Times New Roman" w:eastAsia="SimSun" w:hAnsi="Times New Roman" w:cs="Times New Roman"/>
          <w:color w:val="222222"/>
          <w:sz w:val="24"/>
          <w:szCs w:val="24"/>
          <w:shd w:val="clear" w:color="auto" w:fill="FFFFFF"/>
        </w:rPr>
        <w:t>Oranj</w:t>
      </w:r>
      <w:proofErr w:type="spellEnd"/>
      <w:r>
        <w:rPr>
          <w:rFonts w:ascii="Times New Roman" w:eastAsia="SimSun" w:hAnsi="Times New Roman" w:cs="Times New Roman"/>
          <w:color w:val="222222"/>
          <w:sz w:val="24"/>
          <w:szCs w:val="24"/>
          <w:shd w:val="clear" w:color="auto" w:fill="FFFFFF"/>
        </w:rPr>
        <w:t xml:space="preserve">, B., </w:t>
      </w:r>
      <w:proofErr w:type="spellStart"/>
      <w:r>
        <w:rPr>
          <w:rFonts w:ascii="Times New Roman" w:eastAsia="SimSun" w:hAnsi="Times New Roman" w:cs="Times New Roman"/>
          <w:color w:val="222222"/>
          <w:sz w:val="24"/>
          <w:szCs w:val="24"/>
          <w:shd w:val="clear" w:color="auto" w:fill="FFFFFF"/>
        </w:rPr>
        <w:t>Aminzare</w:t>
      </w:r>
      <w:proofErr w:type="spellEnd"/>
      <w:r>
        <w:rPr>
          <w:rFonts w:ascii="Times New Roman" w:eastAsia="SimSun" w:hAnsi="Times New Roman" w:cs="Times New Roman"/>
          <w:color w:val="222222"/>
          <w:sz w:val="24"/>
          <w:szCs w:val="24"/>
          <w:shd w:val="clear" w:color="auto" w:fill="FFFFFF"/>
        </w:rPr>
        <w:t>, M., Sahebi, H., Alizadeh, A. M., &amp; Hosseini, H. (2023). A comprehensive systematic review and health risk assessment of potentially toxic element intakes via fish consumption in Iran. </w:t>
      </w:r>
      <w:r>
        <w:rPr>
          <w:rFonts w:ascii="Times New Roman" w:eastAsia="SimSun" w:hAnsi="Times New Roman" w:cs="Times New Roman"/>
          <w:i/>
          <w:iCs/>
          <w:color w:val="222222"/>
          <w:sz w:val="24"/>
          <w:szCs w:val="24"/>
          <w:shd w:val="clear" w:color="auto" w:fill="FFFFFF"/>
        </w:rPr>
        <w:t>Ecotoxicology and Environmental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249</w:t>
      </w:r>
      <w:r>
        <w:rPr>
          <w:rFonts w:ascii="Times New Roman" w:eastAsia="SimSun" w:hAnsi="Times New Roman" w:cs="Times New Roman"/>
          <w:color w:val="222222"/>
          <w:sz w:val="24"/>
          <w:szCs w:val="24"/>
          <w:shd w:val="clear" w:color="auto" w:fill="FFFFFF"/>
        </w:rPr>
        <w:t>, 114349.</w:t>
      </w:r>
    </w:p>
    <w:p w14:paraId="59214E58"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Huang, X. Y., Hu, D. W., &amp; Zhao, F. J. (2022). Molybdenum: </w:t>
      </w:r>
      <w:commentRangeStart w:id="74"/>
      <w:r>
        <w:rPr>
          <w:rFonts w:ascii="Times New Roman" w:eastAsia="SimSun" w:hAnsi="Times New Roman" w:cs="Times New Roman"/>
          <w:color w:val="222222"/>
          <w:sz w:val="24"/>
          <w:szCs w:val="24"/>
          <w:shd w:val="clear" w:color="auto" w:fill="FFFFFF"/>
        </w:rPr>
        <w:t xml:space="preserve">Mo re </w:t>
      </w:r>
      <w:commentRangeEnd w:id="74"/>
      <w:r w:rsidR="002A65AD">
        <w:rPr>
          <w:rStyle w:val="CommentReference"/>
        </w:rPr>
        <w:commentReference w:id="74"/>
      </w:r>
      <w:r>
        <w:rPr>
          <w:rFonts w:ascii="Times New Roman" w:eastAsia="SimSun" w:hAnsi="Times New Roman" w:cs="Times New Roman"/>
          <w:color w:val="222222"/>
          <w:sz w:val="24"/>
          <w:szCs w:val="24"/>
          <w:shd w:val="clear" w:color="auto" w:fill="FFFFFF"/>
        </w:rPr>
        <w:t>than an essential element. </w:t>
      </w:r>
      <w:commentRangeStart w:id="75"/>
      <w:r>
        <w:rPr>
          <w:rFonts w:ascii="Times New Roman" w:eastAsia="SimSun" w:hAnsi="Times New Roman" w:cs="Times New Roman"/>
          <w:i/>
          <w:iCs/>
          <w:color w:val="222222"/>
          <w:sz w:val="24"/>
          <w:szCs w:val="24"/>
          <w:shd w:val="clear" w:color="auto" w:fill="FFFFFF"/>
        </w:rPr>
        <w:t>Journal of experimental botany</w:t>
      </w:r>
      <w:commentRangeEnd w:id="75"/>
      <w:r w:rsidR="002A65AD">
        <w:rPr>
          <w:rStyle w:val="CommentReference"/>
        </w:rPr>
        <w:commentReference w:id="75"/>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73</w:t>
      </w:r>
      <w:r>
        <w:rPr>
          <w:rFonts w:ascii="Times New Roman" w:eastAsia="SimSun" w:hAnsi="Times New Roman" w:cs="Times New Roman"/>
          <w:color w:val="222222"/>
          <w:sz w:val="24"/>
          <w:szCs w:val="24"/>
          <w:shd w:val="clear" w:color="auto" w:fill="FFFFFF"/>
        </w:rPr>
        <w:t>(6), 1766-1774.</w:t>
      </w:r>
    </w:p>
    <w:p w14:paraId="656D8BE7"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Jawale</w:t>
      </w:r>
      <w:proofErr w:type="spellEnd"/>
      <w:r>
        <w:rPr>
          <w:rFonts w:ascii="Times New Roman" w:eastAsia="SimSun" w:hAnsi="Times New Roman" w:cs="Times New Roman"/>
          <w:color w:val="222222"/>
          <w:sz w:val="24"/>
          <w:szCs w:val="24"/>
          <w:shd w:val="clear" w:color="auto" w:fill="FFFFFF"/>
        </w:rPr>
        <w:t>, R. S. (2025). Nutritional and Health Benefits of Seafood for Human: A Review. </w:t>
      </w:r>
      <w:r>
        <w:rPr>
          <w:rFonts w:ascii="Times New Roman" w:eastAsia="SimSun" w:hAnsi="Times New Roman" w:cs="Times New Roman"/>
          <w:i/>
          <w:iCs/>
          <w:color w:val="222222"/>
          <w:sz w:val="24"/>
          <w:szCs w:val="24"/>
          <w:shd w:val="clear" w:color="auto" w:fill="FFFFFF"/>
        </w:rPr>
        <w:t>European Journal of Nutrition and Food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(6), 74-83.</w:t>
      </w:r>
    </w:p>
    <w:p w14:paraId="524E1BD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commentRangeStart w:id="76"/>
      <w:proofErr w:type="spellStart"/>
      <w:r>
        <w:rPr>
          <w:rFonts w:ascii="Times New Roman" w:eastAsia="SimSun" w:hAnsi="Times New Roman" w:cs="Times New Roman"/>
          <w:color w:val="222222"/>
          <w:sz w:val="24"/>
          <w:szCs w:val="24"/>
          <w:shd w:val="clear" w:color="auto" w:fill="FFFFFF"/>
        </w:rPr>
        <w:t>Jomova</w:t>
      </w:r>
      <w:proofErr w:type="spellEnd"/>
      <w:r>
        <w:rPr>
          <w:rFonts w:ascii="Times New Roman" w:eastAsia="SimSun" w:hAnsi="Times New Roman" w:cs="Times New Roman"/>
          <w:color w:val="222222"/>
          <w:sz w:val="24"/>
          <w:szCs w:val="24"/>
          <w:shd w:val="clear" w:color="auto" w:fill="FFFFFF"/>
        </w:rPr>
        <w:t xml:space="preserve">, K., Alomar, S. Y., </w:t>
      </w:r>
      <w:proofErr w:type="spellStart"/>
      <w:r>
        <w:rPr>
          <w:rFonts w:ascii="Times New Roman" w:eastAsia="SimSun" w:hAnsi="Times New Roman" w:cs="Times New Roman"/>
          <w:color w:val="222222"/>
          <w:sz w:val="24"/>
          <w:szCs w:val="24"/>
          <w:shd w:val="clear" w:color="auto" w:fill="FFFFFF"/>
        </w:rPr>
        <w:t>Nepovimova</w:t>
      </w:r>
      <w:proofErr w:type="spellEnd"/>
      <w:r>
        <w:rPr>
          <w:rFonts w:ascii="Times New Roman" w:eastAsia="SimSun" w:hAnsi="Times New Roman" w:cs="Times New Roman"/>
          <w:color w:val="222222"/>
          <w:sz w:val="24"/>
          <w:szCs w:val="24"/>
          <w:shd w:val="clear" w:color="auto" w:fill="FFFFFF"/>
        </w:rPr>
        <w:t>, E., Kuca, K., &amp; Valko, M. (2025). Heavy metals: toxicity and human health effects. </w:t>
      </w:r>
      <w:r>
        <w:rPr>
          <w:rFonts w:ascii="Times New Roman" w:eastAsia="SimSun" w:hAnsi="Times New Roman" w:cs="Times New Roman"/>
          <w:i/>
          <w:iCs/>
          <w:color w:val="222222"/>
          <w:sz w:val="24"/>
          <w:szCs w:val="24"/>
          <w:shd w:val="clear" w:color="auto" w:fill="FFFFFF"/>
        </w:rPr>
        <w:t xml:space="preserve">Archives of </w:t>
      </w:r>
      <w:commentRangeStart w:id="77"/>
      <w:r>
        <w:rPr>
          <w:rFonts w:ascii="Times New Roman" w:eastAsia="SimSun" w:hAnsi="Times New Roman" w:cs="Times New Roman"/>
          <w:i/>
          <w:iCs/>
          <w:color w:val="222222"/>
          <w:sz w:val="24"/>
          <w:szCs w:val="24"/>
          <w:shd w:val="clear" w:color="auto" w:fill="FFFFFF"/>
        </w:rPr>
        <w:t>toxicology</w:t>
      </w:r>
      <w:commentRangeEnd w:id="77"/>
      <w:r w:rsidR="002A65AD">
        <w:rPr>
          <w:rStyle w:val="CommentReference"/>
        </w:rPr>
        <w:commentReference w:id="77"/>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99</w:t>
      </w:r>
      <w:r>
        <w:rPr>
          <w:rFonts w:ascii="Times New Roman" w:eastAsia="SimSun" w:hAnsi="Times New Roman" w:cs="Times New Roman"/>
          <w:color w:val="222222"/>
          <w:sz w:val="24"/>
          <w:szCs w:val="24"/>
          <w:shd w:val="clear" w:color="auto" w:fill="FFFFFF"/>
        </w:rPr>
        <w:t>(1), 153-209.</w:t>
      </w:r>
    </w:p>
    <w:p w14:paraId="5263E2B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Kaur, R., Sharma, S., &amp; Kaur, H. (2019). Heavy metals toxicity and the environment. </w:t>
      </w:r>
      <w:r>
        <w:rPr>
          <w:rFonts w:ascii="Times New Roman" w:eastAsia="SimSun" w:hAnsi="Times New Roman" w:cs="Times New Roman"/>
          <w:i/>
          <w:iCs/>
          <w:color w:val="222222"/>
          <w:sz w:val="24"/>
          <w:szCs w:val="24"/>
          <w:shd w:val="clear" w:color="auto" w:fill="FFFFFF"/>
        </w:rPr>
        <w:t>Journal of Pharmacognosy and Phytochemistry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 247-249.</w:t>
      </w:r>
      <w:commentRangeEnd w:id="76"/>
      <w:r w:rsidR="008B2052">
        <w:rPr>
          <w:rStyle w:val="CommentReference"/>
        </w:rPr>
        <w:commentReference w:id="76"/>
      </w:r>
    </w:p>
    <w:p w14:paraId="5491C67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Liu, H., Liu, G., Yuan, Z., Ge, M., Wang, S., Liu, Y., &amp; Da, C. (2019). Occurrence, potential health risk of heavy metals in aquatic organisms from </w:t>
      </w:r>
      <w:proofErr w:type="spellStart"/>
      <w:r>
        <w:rPr>
          <w:rFonts w:ascii="Times New Roman" w:eastAsia="SimSun" w:hAnsi="Times New Roman" w:cs="Times New Roman"/>
          <w:color w:val="222222"/>
          <w:sz w:val="24"/>
          <w:szCs w:val="24"/>
          <w:shd w:val="clear" w:color="auto" w:fill="FFFFFF"/>
        </w:rPr>
        <w:t>Laizhou</w:t>
      </w:r>
      <w:proofErr w:type="spellEnd"/>
      <w:r>
        <w:rPr>
          <w:rFonts w:ascii="Times New Roman" w:eastAsia="SimSun" w:hAnsi="Times New Roman" w:cs="Times New Roman"/>
          <w:color w:val="222222"/>
          <w:sz w:val="24"/>
          <w:szCs w:val="24"/>
          <w:shd w:val="clear" w:color="auto" w:fill="FFFFFF"/>
        </w:rPr>
        <w:t xml:space="preserve"> Bay, China. </w:t>
      </w:r>
      <w:r>
        <w:rPr>
          <w:rFonts w:ascii="Times New Roman" w:eastAsia="SimSun" w:hAnsi="Times New Roman" w:cs="Times New Roman"/>
          <w:i/>
          <w:iCs/>
          <w:color w:val="222222"/>
          <w:sz w:val="24"/>
          <w:szCs w:val="24"/>
          <w:shd w:val="clear" w:color="auto" w:fill="FFFFFF"/>
        </w:rPr>
        <w:t>Marine Pollution Bulletin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140</w:t>
      </w:r>
      <w:r>
        <w:rPr>
          <w:rFonts w:ascii="Times New Roman" w:eastAsia="SimSun" w:hAnsi="Times New Roman" w:cs="Times New Roman"/>
          <w:color w:val="222222"/>
          <w:sz w:val="24"/>
          <w:szCs w:val="24"/>
          <w:shd w:val="clear" w:color="auto" w:fill="FFFFFF"/>
        </w:rPr>
        <w:t>, 388-394.</w:t>
      </w:r>
    </w:p>
    <w:p w14:paraId="38F6CFEA"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Lu, J., Lin, Y., Wu, J., &amp; Zhang, C. (2021). Continental-scale spatial distribution, sources, and health risks of heavy metals in seafood: challenge for the water-food-energy nexus sustainability in coastal </w:t>
      </w:r>
      <w:proofErr w:type="gramStart"/>
      <w:r>
        <w:rPr>
          <w:rFonts w:ascii="Times New Roman" w:eastAsia="SimSun" w:hAnsi="Times New Roman" w:cs="Times New Roman"/>
          <w:color w:val="222222"/>
          <w:sz w:val="24"/>
          <w:szCs w:val="24"/>
          <w:shd w:val="clear" w:color="auto" w:fill="FFFFFF"/>
        </w:rPr>
        <w:t>regions</w:t>
      </w:r>
      <w:commentRangeStart w:id="78"/>
      <w:r>
        <w:rPr>
          <w:rFonts w:ascii="Times New Roman" w:eastAsia="SimSun" w:hAnsi="Times New Roman" w:cs="Times New Roman"/>
          <w:color w:val="222222"/>
          <w:sz w:val="24"/>
          <w:szCs w:val="24"/>
          <w:shd w:val="clear" w:color="auto" w:fill="FFFFFF"/>
        </w:rPr>
        <w:t>?.</w:t>
      </w:r>
      <w:proofErr w:type="gramEnd"/>
      <w:r>
        <w:rPr>
          <w:rFonts w:ascii="Times New Roman" w:eastAsia="SimSun" w:hAnsi="Times New Roman" w:cs="Times New Roman"/>
          <w:color w:val="222222"/>
          <w:sz w:val="24"/>
          <w:szCs w:val="24"/>
          <w:shd w:val="clear" w:color="auto" w:fill="FFFFFF"/>
        </w:rPr>
        <w:t> </w:t>
      </w:r>
      <w:commentRangeEnd w:id="78"/>
      <w:r w:rsidR="002A65AD">
        <w:rPr>
          <w:rStyle w:val="CommentReference"/>
        </w:rPr>
        <w:commentReference w:id="78"/>
      </w:r>
      <w:r>
        <w:rPr>
          <w:rFonts w:ascii="Times New Roman" w:eastAsia="SimSun" w:hAnsi="Times New Roman" w:cs="Times New Roman"/>
          <w:i/>
          <w:iCs/>
          <w:color w:val="222222"/>
          <w:sz w:val="24"/>
          <w:szCs w:val="24"/>
          <w:shd w:val="clear" w:color="auto" w:fill="FFFFFF"/>
        </w:rPr>
        <w:t>Environmental Science and Pollution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(45), 63815-63828.</w:t>
      </w:r>
    </w:p>
    <w:p w14:paraId="42051F3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Masindi, V., &amp; </w:t>
      </w:r>
      <w:proofErr w:type="spellStart"/>
      <w:r>
        <w:rPr>
          <w:rFonts w:ascii="Times New Roman" w:eastAsia="SimSun" w:hAnsi="Times New Roman" w:cs="Times New Roman"/>
          <w:color w:val="222222"/>
          <w:sz w:val="24"/>
          <w:szCs w:val="24"/>
          <w:shd w:val="clear" w:color="auto" w:fill="FFFFFF"/>
        </w:rPr>
        <w:t>Muedi</w:t>
      </w:r>
      <w:proofErr w:type="spellEnd"/>
      <w:r>
        <w:rPr>
          <w:rFonts w:ascii="Times New Roman" w:eastAsia="SimSun" w:hAnsi="Times New Roman" w:cs="Times New Roman"/>
          <w:color w:val="222222"/>
          <w:sz w:val="24"/>
          <w:szCs w:val="24"/>
          <w:shd w:val="clear" w:color="auto" w:fill="FFFFFF"/>
        </w:rPr>
        <w:t>, K. L. (2018). Environmental contamination by heavy metals. </w:t>
      </w:r>
      <w:r>
        <w:rPr>
          <w:rFonts w:ascii="Times New Roman" w:eastAsia="SimSun" w:hAnsi="Times New Roman" w:cs="Times New Roman"/>
          <w:i/>
          <w:iCs/>
          <w:color w:val="222222"/>
          <w:sz w:val="24"/>
          <w:szCs w:val="24"/>
          <w:shd w:val="clear" w:color="auto" w:fill="FFFFFF"/>
        </w:rPr>
        <w:t xml:space="preserve">Heavy </w:t>
      </w:r>
      <w:commentRangeStart w:id="79"/>
      <w:r>
        <w:rPr>
          <w:rFonts w:ascii="Times New Roman" w:eastAsia="SimSun" w:hAnsi="Times New Roman" w:cs="Times New Roman"/>
          <w:i/>
          <w:iCs/>
          <w:color w:val="222222"/>
          <w:sz w:val="24"/>
          <w:szCs w:val="24"/>
          <w:shd w:val="clear" w:color="auto" w:fill="FFFFFF"/>
        </w:rPr>
        <w:t>metals</w:t>
      </w:r>
      <w:commentRangeEnd w:id="79"/>
      <w:r w:rsidR="002A65AD">
        <w:rPr>
          <w:rStyle w:val="CommentReference"/>
        </w:rPr>
        <w:commentReference w:id="79"/>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115-133.</w:t>
      </w:r>
    </w:p>
    <w:p w14:paraId="09DDE9D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Moutaouakkil</w:t>
      </w:r>
      <w:proofErr w:type="spellEnd"/>
      <w:r>
        <w:rPr>
          <w:rFonts w:ascii="Times New Roman" w:eastAsia="SimSun" w:hAnsi="Times New Roman" w:cs="Times New Roman"/>
          <w:color w:val="222222"/>
          <w:sz w:val="24"/>
          <w:szCs w:val="24"/>
          <w:shd w:val="clear" w:color="auto" w:fill="FFFFFF"/>
        </w:rPr>
        <w:t xml:space="preserve">, Y., Mounir, R., </w:t>
      </w:r>
      <w:proofErr w:type="spellStart"/>
      <w:r>
        <w:rPr>
          <w:rFonts w:ascii="Times New Roman" w:eastAsia="SimSun" w:hAnsi="Times New Roman" w:cs="Times New Roman"/>
          <w:color w:val="222222"/>
          <w:sz w:val="24"/>
          <w:szCs w:val="24"/>
          <w:shd w:val="clear" w:color="auto" w:fill="FFFFFF"/>
        </w:rPr>
        <w:t>Ait</w:t>
      </w:r>
      <w:proofErr w:type="spellEnd"/>
      <w:r>
        <w:rPr>
          <w:rFonts w:ascii="Times New Roman" w:eastAsia="SimSun" w:hAnsi="Times New Roman" w:cs="Times New Roman"/>
          <w:color w:val="222222"/>
          <w:sz w:val="24"/>
          <w:szCs w:val="24"/>
          <w:shd w:val="clear" w:color="auto" w:fill="FFFFFF"/>
        </w:rPr>
        <w:t xml:space="preserve"> El Cadi, M., </w:t>
      </w:r>
      <w:proofErr w:type="spellStart"/>
      <w:r>
        <w:rPr>
          <w:rFonts w:ascii="Times New Roman" w:eastAsia="SimSun" w:hAnsi="Times New Roman" w:cs="Times New Roman"/>
          <w:color w:val="222222"/>
          <w:sz w:val="24"/>
          <w:szCs w:val="24"/>
          <w:shd w:val="clear" w:color="auto" w:fill="FFFFFF"/>
        </w:rPr>
        <w:t>Lamsaouri</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Bousliman</w:t>
      </w:r>
      <w:proofErr w:type="spellEnd"/>
      <w:r>
        <w:rPr>
          <w:rFonts w:ascii="Times New Roman" w:eastAsia="SimSun" w:hAnsi="Times New Roman" w:cs="Times New Roman"/>
          <w:color w:val="222222"/>
          <w:sz w:val="24"/>
          <w:szCs w:val="24"/>
          <w:shd w:val="clear" w:color="auto" w:fill="FFFFFF"/>
        </w:rPr>
        <w:t xml:space="preserve">, Y., &amp; </w:t>
      </w:r>
      <w:proofErr w:type="spellStart"/>
      <w:r>
        <w:rPr>
          <w:rFonts w:ascii="Times New Roman" w:eastAsia="SimSun" w:hAnsi="Times New Roman" w:cs="Times New Roman"/>
          <w:color w:val="222222"/>
          <w:sz w:val="24"/>
          <w:szCs w:val="24"/>
          <w:shd w:val="clear" w:color="auto" w:fill="FFFFFF"/>
        </w:rPr>
        <w:t>ElJaoudi</w:t>
      </w:r>
      <w:proofErr w:type="spellEnd"/>
      <w:r>
        <w:rPr>
          <w:rFonts w:ascii="Times New Roman" w:eastAsia="SimSun" w:hAnsi="Times New Roman" w:cs="Times New Roman"/>
          <w:color w:val="222222"/>
          <w:sz w:val="24"/>
          <w:szCs w:val="24"/>
          <w:shd w:val="clear" w:color="auto" w:fill="FFFFFF"/>
        </w:rPr>
        <w:t>, R. (2024</w:t>
      </w:r>
      <w:r w:rsidRPr="002A65AD">
        <w:rPr>
          <w:rFonts w:ascii="Times New Roman" w:eastAsia="SimSun" w:hAnsi="Times New Roman" w:cs="Times New Roman"/>
          <w:strike/>
          <w:color w:val="222222"/>
          <w:sz w:val="24"/>
          <w:szCs w:val="24"/>
          <w:shd w:val="clear" w:color="auto" w:fill="FFFFFF"/>
        </w:rPr>
        <w:t>, May</w:t>
      </w:r>
      <w:r>
        <w:rPr>
          <w:rFonts w:ascii="Times New Roman" w:eastAsia="SimSun" w:hAnsi="Times New Roman" w:cs="Times New Roman"/>
          <w:color w:val="222222"/>
          <w:sz w:val="24"/>
          <w:szCs w:val="24"/>
          <w:shd w:val="clear" w:color="auto" w:fill="FFFFFF"/>
        </w:rPr>
        <w:t xml:space="preserve">). Intoxications with trace metal elements: A new concept of the metal profile. </w:t>
      </w:r>
      <w:commentRangeStart w:id="80"/>
      <w:r>
        <w:rPr>
          <w:rFonts w:ascii="Times New Roman" w:eastAsia="SimSun" w:hAnsi="Times New Roman" w:cs="Times New Roman"/>
          <w:color w:val="222222"/>
          <w:sz w:val="24"/>
          <w:szCs w:val="24"/>
          <w:shd w:val="clear" w:color="auto" w:fill="FFFFFF"/>
        </w:rPr>
        <w:t>In </w:t>
      </w:r>
      <w:r>
        <w:rPr>
          <w:rFonts w:ascii="Times New Roman" w:eastAsia="SimSun" w:hAnsi="Times New Roman" w:cs="Times New Roman"/>
          <w:i/>
          <w:iCs/>
          <w:color w:val="222222"/>
          <w:sz w:val="24"/>
          <w:szCs w:val="24"/>
          <w:shd w:val="clear" w:color="auto" w:fill="FFFFFF"/>
        </w:rPr>
        <w:t xml:space="preserve">Annales de </w:t>
      </w:r>
      <w:proofErr w:type="spellStart"/>
      <w:r>
        <w:rPr>
          <w:rFonts w:ascii="Times New Roman" w:eastAsia="SimSun" w:hAnsi="Times New Roman" w:cs="Times New Roman"/>
          <w:i/>
          <w:iCs/>
          <w:color w:val="222222"/>
          <w:sz w:val="24"/>
          <w:szCs w:val="24"/>
          <w:shd w:val="clear" w:color="auto" w:fill="FFFFFF"/>
        </w:rPr>
        <w:t>Biologie</w:t>
      </w:r>
      <w:proofErr w:type="spellEnd"/>
      <w:r>
        <w:rPr>
          <w:rFonts w:ascii="Times New Roman" w:eastAsia="SimSun" w:hAnsi="Times New Roman" w:cs="Times New Roman"/>
          <w:i/>
          <w:iCs/>
          <w:color w:val="222222"/>
          <w:sz w:val="24"/>
          <w:szCs w:val="24"/>
          <w:shd w:val="clear" w:color="auto" w:fill="FFFFFF"/>
        </w:rPr>
        <w:t xml:space="preserve"> Clinique</w:t>
      </w:r>
      <w:r>
        <w:rPr>
          <w:rFonts w:ascii="Times New Roman" w:eastAsia="SimSun" w:hAnsi="Times New Roman" w:cs="Times New Roman"/>
          <w:color w:val="222222"/>
          <w:sz w:val="24"/>
          <w:szCs w:val="24"/>
          <w:shd w:val="clear" w:color="auto" w:fill="FFFFFF"/>
        </w:rPr>
        <w:t xml:space="preserve">  </w:t>
      </w:r>
      <w:commentRangeEnd w:id="80"/>
      <w:r w:rsidR="002A65AD">
        <w:rPr>
          <w:rStyle w:val="CommentReference"/>
        </w:rPr>
        <w:commentReference w:id="80"/>
      </w:r>
      <w:r>
        <w:rPr>
          <w:rFonts w:ascii="Times New Roman" w:eastAsia="SimSun" w:hAnsi="Times New Roman" w:cs="Times New Roman"/>
          <w:color w:val="222222"/>
          <w:sz w:val="24"/>
          <w:szCs w:val="24"/>
          <w:shd w:val="clear" w:color="auto" w:fill="FFFFFF"/>
        </w:rPr>
        <w:t>82(3), 254-265).</w:t>
      </w:r>
    </w:p>
    <w:p w14:paraId="4C4137C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Naz, S., Habib, S. S., Arshad, M., Majeed, S., Acar, Ü., </w:t>
      </w:r>
      <w:proofErr w:type="spellStart"/>
      <w:r>
        <w:rPr>
          <w:rFonts w:ascii="Times New Roman" w:eastAsia="SimSun" w:hAnsi="Times New Roman" w:cs="Times New Roman"/>
          <w:color w:val="222222"/>
          <w:sz w:val="24"/>
          <w:szCs w:val="24"/>
          <w:shd w:val="clear" w:color="auto" w:fill="FFFFFF"/>
        </w:rPr>
        <w:t>Kesbiç</w:t>
      </w:r>
      <w:proofErr w:type="spellEnd"/>
      <w:r>
        <w:rPr>
          <w:rFonts w:ascii="Times New Roman" w:eastAsia="SimSun" w:hAnsi="Times New Roman" w:cs="Times New Roman"/>
          <w:color w:val="222222"/>
          <w:sz w:val="24"/>
          <w:szCs w:val="24"/>
          <w:shd w:val="clear" w:color="auto" w:fill="FFFFFF"/>
        </w:rPr>
        <w:t>, O. S., ... &amp; Fazio, F. (2025). Human health risk of heavy metal biomagnification: Trophic transfer patterns in aquatic ecosystems.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xml:space="preserve">, </w:t>
      </w:r>
      <w:commentRangeStart w:id="81"/>
      <w:r>
        <w:rPr>
          <w:rFonts w:ascii="Times New Roman" w:eastAsia="SimSun" w:hAnsi="Times New Roman" w:cs="Times New Roman"/>
          <w:color w:val="222222"/>
          <w:sz w:val="24"/>
          <w:szCs w:val="24"/>
          <w:shd w:val="clear" w:color="auto" w:fill="FFFFFF"/>
        </w:rPr>
        <w:t>127704.</w:t>
      </w:r>
      <w:commentRangeEnd w:id="81"/>
      <w:r w:rsidR="00410E62">
        <w:rPr>
          <w:rStyle w:val="CommentReference"/>
        </w:rPr>
        <w:commentReference w:id="81"/>
      </w:r>
    </w:p>
    <w:p w14:paraId="17A5CC3A"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Nkwunonwo</w:t>
      </w:r>
      <w:proofErr w:type="spellEnd"/>
      <w:r>
        <w:rPr>
          <w:rFonts w:ascii="Times New Roman" w:eastAsia="SimSun" w:hAnsi="Times New Roman" w:cs="Times New Roman"/>
          <w:color w:val="222222"/>
          <w:sz w:val="24"/>
          <w:szCs w:val="24"/>
          <w:shd w:val="clear" w:color="auto" w:fill="FFFFFF"/>
        </w:rPr>
        <w:t>, U. C., Odika, P. O., &amp; Onyia, N. I. (2020). A review of the health implications of heavy metals in food chain in Nigeria. </w:t>
      </w:r>
      <w:r>
        <w:rPr>
          <w:rFonts w:ascii="Times New Roman" w:eastAsia="SimSun" w:hAnsi="Times New Roman" w:cs="Times New Roman"/>
          <w:i/>
          <w:iCs/>
          <w:color w:val="222222"/>
          <w:sz w:val="24"/>
          <w:szCs w:val="24"/>
          <w:shd w:val="clear" w:color="auto" w:fill="FFFFFF"/>
        </w:rPr>
        <w:t>The Scientific World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(1), 6594109.</w:t>
      </w:r>
    </w:p>
    <w:p w14:paraId="1BFDA7E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Nucera, S., Serra, M., Caminiti, R., Ruga, S., </w:t>
      </w:r>
      <w:proofErr w:type="spellStart"/>
      <w:r>
        <w:rPr>
          <w:rFonts w:ascii="Times New Roman" w:eastAsia="SimSun" w:hAnsi="Times New Roman" w:cs="Times New Roman"/>
          <w:color w:val="222222"/>
          <w:sz w:val="24"/>
          <w:szCs w:val="24"/>
          <w:shd w:val="clear" w:color="auto" w:fill="FFFFFF"/>
        </w:rPr>
        <w:t>Passacatini</w:t>
      </w:r>
      <w:proofErr w:type="spellEnd"/>
      <w:r>
        <w:rPr>
          <w:rFonts w:ascii="Times New Roman" w:eastAsia="SimSun" w:hAnsi="Times New Roman" w:cs="Times New Roman"/>
          <w:color w:val="222222"/>
          <w:sz w:val="24"/>
          <w:szCs w:val="24"/>
          <w:shd w:val="clear" w:color="auto" w:fill="FFFFFF"/>
        </w:rPr>
        <w:t xml:space="preserve">, L. C., Macrì, R., ... &amp; Mollace, V. (2024). Non-essential heavy metal effects in cardiovascular diseases: </w:t>
      </w:r>
      <w:r>
        <w:rPr>
          <w:rFonts w:ascii="Times New Roman" w:eastAsia="SimSun" w:hAnsi="Times New Roman" w:cs="Times New Roman"/>
          <w:color w:val="222222"/>
          <w:sz w:val="24"/>
          <w:szCs w:val="24"/>
          <w:shd w:val="clear" w:color="auto" w:fill="FFFFFF"/>
        </w:rPr>
        <w:lastRenderedPageBreak/>
        <w:t>an overview of systematic reviews. </w:t>
      </w:r>
      <w:r>
        <w:rPr>
          <w:rFonts w:ascii="Times New Roman" w:eastAsia="SimSun" w:hAnsi="Times New Roman" w:cs="Times New Roman"/>
          <w:i/>
          <w:iCs/>
          <w:color w:val="222222"/>
          <w:sz w:val="24"/>
          <w:szCs w:val="24"/>
          <w:shd w:val="clear" w:color="auto" w:fill="FFFFFF"/>
        </w:rPr>
        <w:t>Frontiers in Cardiovascular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1332339.</w:t>
      </w:r>
    </w:p>
    <w:p w14:paraId="181967C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Ohiagu</w:t>
      </w:r>
      <w:proofErr w:type="spellEnd"/>
      <w:r>
        <w:rPr>
          <w:rFonts w:ascii="Times New Roman" w:eastAsia="SimSun" w:hAnsi="Times New Roman" w:cs="Times New Roman"/>
          <w:color w:val="222222"/>
          <w:sz w:val="24"/>
          <w:szCs w:val="24"/>
          <w:shd w:val="clear" w:color="auto" w:fill="FFFFFF"/>
        </w:rPr>
        <w:t>, F. O., Chikezie, P. C., Ahaneku, C. C., &amp; Chikezie, C. M. (2022). Human exposure to heavy metals: toxicity mechanisms and health implications. </w:t>
      </w:r>
      <w:r>
        <w:rPr>
          <w:rFonts w:ascii="Times New Roman" w:eastAsia="SimSun" w:hAnsi="Times New Roman" w:cs="Times New Roman"/>
          <w:i/>
          <w:iCs/>
          <w:color w:val="222222"/>
          <w:sz w:val="24"/>
          <w:szCs w:val="24"/>
          <w:shd w:val="clear" w:color="auto" w:fill="FFFFFF"/>
        </w:rPr>
        <w:t>Material Science &amp; Engineering International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(2), 78-87.</w:t>
      </w:r>
    </w:p>
    <w:p w14:paraId="156F4A2D"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Okeke, O. R., Ujah, I. I., Okoye, P. A. C., Ajiwe, V. I. E., &amp; Eze, C. P. (2015). Effect of different levels of cadmium, lead and arsenic on the growth performance of broiler and layer chickens. </w:t>
      </w:r>
      <w:r>
        <w:rPr>
          <w:rFonts w:ascii="Times New Roman" w:eastAsia="SimSun" w:hAnsi="Times New Roman" w:cs="Times New Roman"/>
          <w:i/>
          <w:iCs/>
          <w:color w:val="222222"/>
          <w:sz w:val="24"/>
          <w:szCs w:val="24"/>
          <w:shd w:val="clear" w:color="auto" w:fill="FFFFFF"/>
        </w:rPr>
        <w:t>Journal of Appleid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(10), 57-59.</w:t>
      </w:r>
    </w:p>
    <w:p w14:paraId="720988A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commentRangeStart w:id="82"/>
      <w:r>
        <w:rPr>
          <w:rFonts w:ascii="Times New Roman" w:eastAsia="SimSun" w:hAnsi="Times New Roman" w:cs="Times New Roman"/>
          <w:color w:val="222222"/>
          <w:sz w:val="24"/>
          <w:szCs w:val="24"/>
          <w:shd w:val="clear" w:color="auto" w:fill="FFFFFF"/>
        </w:rPr>
        <w:t xml:space="preserve">Olayinka-Olagunju, J. O., Dosumu, A. A., Olusegun, F., &amp; Akinwumi, O. A. Contamination of Heavy Metals and Health Risk Assessment of Marine Fish Species Hawked in Local Markets of Ondo State, Nigeria. </w:t>
      </w:r>
      <w:commentRangeStart w:id="83"/>
      <w:r>
        <w:rPr>
          <w:rFonts w:ascii="Times New Roman" w:eastAsia="SimSun" w:hAnsi="Times New Roman" w:cs="Times New Roman"/>
          <w:color w:val="222222"/>
          <w:sz w:val="24"/>
          <w:szCs w:val="24"/>
          <w:shd w:val="clear" w:color="auto" w:fill="FFFFFF"/>
        </w:rPr>
        <w:t>Futa Journal of Life Sciences, 5(1), 42-47.</w:t>
      </w:r>
      <w:commentRangeEnd w:id="82"/>
      <w:r w:rsidR="000E1BB2">
        <w:rPr>
          <w:rStyle w:val="CommentReference"/>
        </w:rPr>
        <w:commentReference w:id="82"/>
      </w:r>
      <w:commentRangeEnd w:id="83"/>
      <w:r w:rsidR="00410E62">
        <w:rPr>
          <w:rStyle w:val="CommentReference"/>
        </w:rPr>
        <w:commentReference w:id="83"/>
      </w:r>
    </w:p>
    <w:p w14:paraId="11B62F11"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Oves, M., Saghir Khan, M., Huda Qari, A., Nadeen Felemban, M., &amp; </w:t>
      </w:r>
      <w:proofErr w:type="spellStart"/>
      <w:r>
        <w:rPr>
          <w:rFonts w:ascii="Times New Roman" w:eastAsia="SimSun" w:hAnsi="Times New Roman" w:cs="Times New Roman"/>
          <w:color w:val="222222"/>
          <w:sz w:val="24"/>
          <w:szCs w:val="24"/>
          <w:shd w:val="clear" w:color="auto" w:fill="FFFFFF"/>
        </w:rPr>
        <w:t>Almeelbi</w:t>
      </w:r>
      <w:proofErr w:type="spellEnd"/>
      <w:r>
        <w:rPr>
          <w:rFonts w:ascii="Times New Roman" w:eastAsia="SimSun" w:hAnsi="Times New Roman" w:cs="Times New Roman"/>
          <w:color w:val="222222"/>
          <w:sz w:val="24"/>
          <w:szCs w:val="24"/>
          <w:shd w:val="clear" w:color="auto" w:fill="FFFFFF"/>
        </w:rPr>
        <w:t>, T. (2016). Heavy metals: biological importance and detoxification strategies. </w:t>
      </w:r>
      <w:r>
        <w:rPr>
          <w:rFonts w:ascii="Times New Roman" w:eastAsia="SimSun" w:hAnsi="Times New Roman" w:cs="Times New Roman"/>
          <w:i/>
          <w:iCs/>
          <w:color w:val="222222"/>
          <w:sz w:val="24"/>
          <w:szCs w:val="24"/>
          <w:shd w:val="clear" w:color="auto" w:fill="FFFFFF"/>
        </w:rPr>
        <w:t>Journal of Bioremediation and Biodegradation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(2), 1-15.</w:t>
      </w:r>
    </w:p>
    <w:p w14:paraId="667C92FE"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T., Scheau, A. E., </w:t>
      </w:r>
      <w:proofErr w:type="spellStart"/>
      <w:r>
        <w:rPr>
          <w:rFonts w:ascii="Times New Roman" w:eastAsia="SimSun" w:hAnsi="Times New Roman" w:cs="Times New Roman"/>
          <w:color w:val="222222"/>
          <w:sz w:val="24"/>
          <w:szCs w:val="24"/>
          <w:shd w:val="clear" w:color="auto" w:fill="FFFFFF"/>
        </w:rPr>
        <w:t>Badarau</w:t>
      </w:r>
      <w:proofErr w:type="spellEnd"/>
      <w:r>
        <w:rPr>
          <w:rFonts w:ascii="Times New Roman" w:eastAsia="SimSun" w:hAnsi="Times New Roman" w:cs="Times New Roman"/>
          <w:color w:val="222222"/>
          <w:sz w:val="24"/>
          <w:szCs w:val="24"/>
          <w:shd w:val="clear" w:color="auto" w:fill="FFFFFF"/>
        </w:rPr>
        <w:t xml:space="preserve">, I.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C., &amp; </w:t>
      </w:r>
      <w:proofErr w:type="spellStart"/>
      <w:r>
        <w:rPr>
          <w:rFonts w:ascii="Times New Roman" w:eastAsia="SimSun" w:hAnsi="Times New Roman" w:cs="Times New Roman"/>
          <w:color w:val="222222"/>
          <w:sz w:val="24"/>
          <w:szCs w:val="24"/>
          <w:shd w:val="clear" w:color="auto" w:fill="FFFFFF"/>
        </w:rPr>
        <w:t>Scheau</w:t>
      </w:r>
      <w:proofErr w:type="spellEnd"/>
      <w:r>
        <w:rPr>
          <w:rFonts w:ascii="Times New Roman" w:eastAsia="SimSun" w:hAnsi="Times New Roman" w:cs="Times New Roman"/>
          <w:color w:val="222222"/>
          <w:sz w:val="24"/>
          <w:szCs w:val="24"/>
          <w:shd w:val="clear" w:color="auto" w:fill="FFFFFF"/>
        </w:rPr>
        <w:t>, C. (2022). Availability, toxicology and medical significance of antimony. </w:t>
      </w:r>
      <w:commentRangeStart w:id="84"/>
      <w:r>
        <w:rPr>
          <w:rFonts w:ascii="Times New Roman" w:eastAsia="SimSun" w:hAnsi="Times New Roman" w:cs="Times New Roman"/>
          <w:i/>
          <w:iCs/>
          <w:color w:val="222222"/>
          <w:sz w:val="24"/>
          <w:szCs w:val="24"/>
          <w:shd w:val="clear" w:color="auto" w:fill="FFFFFF"/>
        </w:rPr>
        <w:t>International journal of environmental research and public health</w:t>
      </w:r>
      <w:commentRangeEnd w:id="84"/>
      <w:r w:rsidR="00410E62">
        <w:rPr>
          <w:rStyle w:val="CommentReference"/>
        </w:rPr>
        <w:commentReference w:id="84"/>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(8), 4669.</w:t>
      </w:r>
    </w:p>
    <w:p w14:paraId="1E34E4C6"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Ray, S., &amp; Vashishth, R. (2024). From water to plate: Reviewing the bioaccumulation of heavy metals in fish and unraveling human health risks in the food chain. </w:t>
      </w:r>
      <w:r>
        <w:rPr>
          <w:rFonts w:ascii="Times New Roman" w:eastAsia="SimSun" w:hAnsi="Times New Roman" w:cs="Times New Roman"/>
          <w:i/>
          <w:iCs/>
          <w:color w:val="222222"/>
          <w:sz w:val="24"/>
          <w:szCs w:val="24"/>
          <w:shd w:val="clear" w:color="auto" w:fill="FFFFFF"/>
        </w:rPr>
        <w:t>Emerging Contaminants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100358.</w:t>
      </w:r>
    </w:p>
    <w:p w14:paraId="2D93C52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Rehman, K., Fatima, F., Waheed, I., &amp; Akash, M. S. H. (2018). Prevalence of exposure of heavy metals and their impact on health consequences. </w:t>
      </w:r>
      <w:r>
        <w:rPr>
          <w:rFonts w:ascii="Times New Roman" w:eastAsia="SimSun" w:hAnsi="Times New Roman" w:cs="Times New Roman"/>
          <w:i/>
          <w:iCs/>
          <w:color w:val="222222"/>
          <w:sz w:val="24"/>
          <w:szCs w:val="24"/>
          <w:shd w:val="clear" w:color="auto" w:fill="FFFFFF"/>
        </w:rPr>
        <w:t xml:space="preserve">Journal of </w:t>
      </w:r>
      <w:commentRangeStart w:id="85"/>
      <w:r>
        <w:rPr>
          <w:rFonts w:ascii="Times New Roman" w:eastAsia="SimSun" w:hAnsi="Times New Roman" w:cs="Times New Roman"/>
          <w:i/>
          <w:iCs/>
          <w:color w:val="222222"/>
          <w:sz w:val="24"/>
          <w:szCs w:val="24"/>
          <w:shd w:val="clear" w:color="auto" w:fill="FFFFFF"/>
        </w:rPr>
        <w:t>cellular biochemistry</w:t>
      </w:r>
      <w:commentRangeEnd w:id="85"/>
      <w:r w:rsidR="00410E62">
        <w:rPr>
          <w:rStyle w:val="CommentReference"/>
        </w:rPr>
        <w:commentReference w:id="85"/>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119</w:t>
      </w:r>
      <w:r>
        <w:rPr>
          <w:rFonts w:ascii="Times New Roman" w:eastAsia="SimSun" w:hAnsi="Times New Roman" w:cs="Times New Roman"/>
          <w:color w:val="222222"/>
          <w:sz w:val="24"/>
          <w:szCs w:val="24"/>
          <w:shd w:val="clear" w:color="auto" w:fill="FFFFFF"/>
        </w:rPr>
        <w:t>(1), 157-184.</w:t>
      </w:r>
    </w:p>
    <w:p w14:paraId="131BAF1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commentRangeStart w:id="86"/>
      <w:r>
        <w:rPr>
          <w:rFonts w:ascii="Times New Roman" w:eastAsia="SimSun" w:hAnsi="Times New Roman" w:cs="Times New Roman"/>
          <w:color w:val="222222"/>
          <w:sz w:val="24"/>
          <w:szCs w:val="24"/>
          <w:shd w:val="clear" w:color="auto" w:fill="FFFFFF"/>
        </w:rPr>
        <w:t>Shah, S. B. (2021). Heavy metals in the marine environment—an overview. </w:t>
      </w:r>
      <w:r>
        <w:rPr>
          <w:rFonts w:ascii="Times New Roman" w:eastAsia="SimSun" w:hAnsi="Times New Roman" w:cs="Times New Roman"/>
          <w:i/>
          <w:iCs/>
          <w:color w:val="222222"/>
          <w:sz w:val="24"/>
          <w:szCs w:val="24"/>
          <w:shd w:val="clear" w:color="auto" w:fill="FFFFFF"/>
        </w:rPr>
        <w:t xml:space="preserve">Heavy metals in </w:t>
      </w:r>
      <w:proofErr w:type="spellStart"/>
      <w:r>
        <w:rPr>
          <w:rFonts w:ascii="Times New Roman" w:eastAsia="SimSun" w:hAnsi="Times New Roman" w:cs="Times New Roman"/>
          <w:i/>
          <w:iCs/>
          <w:color w:val="222222"/>
          <w:sz w:val="24"/>
          <w:szCs w:val="24"/>
          <w:shd w:val="clear" w:color="auto" w:fill="FFFFFF"/>
        </w:rPr>
        <w:t>Scleractinian</w:t>
      </w:r>
      <w:proofErr w:type="spellEnd"/>
      <w:r>
        <w:rPr>
          <w:rFonts w:ascii="Times New Roman" w:eastAsia="SimSun" w:hAnsi="Times New Roman" w:cs="Times New Roman"/>
          <w:i/>
          <w:iCs/>
          <w:color w:val="222222"/>
          <w:sz w:val="24"/>
          <w:szCs w:val="24"/>
          <w:shd w:val="clear" w:color="auto" w:fill="FFFFFF"/>
        </w:rPr>
        <w:t xml:space="preserve"> corals</w:t>
      </w:r>
      <w:r>
        <w:rPr>
          <w:rFonts w:ascii="Times New Roman" w:eastAsia="SimSun" w:hAnsi="Times New Roman" w:cs="Times New Roman"/>
          <w:color w:val="222222"/>
          <w:sz w:val="24"/>
          <w:szCs w:val="24"/>
          <w:shd w:val="clear" w:color="auto" w:fill="FFFFFF"/>
        </w:rPr>
        <w:t>, 1-26.</w:t>
      </w:r>
      <w:commentRangeEnd w:id="86"/>
      <w:r w:rsidR="00DD6898">
        <w:rPr>
          <w:rStyle w:val="CommentReference"/>
        </w:rPr>
        <w:commentReference w:id="86"/>
      </w:r>
    </w:p>
    <w:p w14:paraId="5C811EE3"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Swain, C. K. (2024). Environmental pollution indices: a review on concentration of heavy metals in air, water, and soil near industrialization and </w:t>
      </w:r>
      <w:proofErr w:type="spellStart"/>
      <w:r>
        <w:rPr>
          <w:rFonts w:ascii="Times New Roman" w:eastAsia="SimSun" w:hAnsi="Times New Roman" w:cs="Times New Roman"/>
          <w:color w:val="222222"/>
          <w:sz w:val="24"/>
          <w:szCs w:val="24"/>
          <w:shd w:val="clear" w:color="auto" w:fill="FFFFFF"/>
        </w:rPr>
        <w:t>urbanisation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Discover Environment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5.</w:t>
      </w:r>
    </w:p>
    <w:p w14:paraId="5C4D8C75"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Tarnacka</w:t>
      </w:r>
      <w:proofErr w:type="spellEnd"/>
      <w:r>
        <w:rPr>
          <w:rFonts w:ascii="Times New Roman" w:eastAsia="SimSun" w:hAnsi="Times New Roman" w:cs="Times New Roman"/>
          <w:color w:val="222222"/>
          <w:sz w:val="24"/>
          <w:szCs w:val="24"/>
          <w:shd w:val="clear" w:color="auto" w:fill="FFFFFF"/>
        </w:rPr>
        <w:t xml:space="preserve">, B., Jopowicz, A., &amp; </w:t>
      </w:r>
      <w:proofErr w:type="spellStart"/>
      <w:r>
        <w:rPr>
          <w:rFonts w:ascii="Times New Roman" w:eastAsia="SimSun" w:hAnsi="Times New Roman" w:cs="Times New Roman"/>
          <w:color w:val="222222"/>
          <w:sz w:val="24"/>
          <w:szCs w:val="24"/>
          <w:shd w:val="clear" w:color="auto" w:fill="FFFFFF"/>
        </w:rPr>
        <w:t>Maślińska</w:t>
      </w:r>
      <w:proofErr w:type="spellEnd"/>
      <w:r>
        <w:rPr>
          <w:rFonts w:ascii="Times New Roman" w:eastAsia="SimSun" w:hAnsi="Times New Roman" w:cs="Times New Roman"/>
          <w:color w:val="222222"/>
          <w:sz w:val="24"/>
          <w:szCs w:val="24"/>
          <w:shd w:val="clear" w:color="auto" w:fill="FFFFFF"/>
        </w:rPr>
        <w:t>, M. (2021). Copper, iron, and manganese toxicity in neuropsychiatric conditions. </w:t>
      </w:r>
      <w:r>
        <w:rPr>
          <w:rFonts w:ascii="Times New Roman" w:eastAsia="SimSun" w:hAnsi="Times New Roman" w:cs="Times New Roman"/>
          <w:i/>
          <w:iCs/>
          <w:color w:val="222222"/>
          <w:sz w:val="24"/>
          <w:szCs w:val="24"/>
          <w:shd w:val="clear" w:color="auto" w:fill="FFFFFF"/>
        </w:rPr>
        <w:t>International Journal of Molecular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(15), 7820.</w:t>
      </w:r>
    </w:p>
    <w:p w14:paraId="6A0C4EB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commentRangeStart w:id="87"/>
      <w:r>
        <w:rPr>
          <w:rFonts w:ascii="Times New Roman" w:eastAsia="SimSun" w:hAnsi="Times New Roman" w:cs="Times New Roman"/>
          <w:color w:val="222222"/>
          <w:sz w:val="24"/>
          <w:szCs w:val="24"/>
          <w:shd w:val="clear" w:color="auto" w:fill="FFFFFF"/>
        </w:rPr>
        <w:t>Ujah, I. I. (2023). An Evaluation of the Levels of Fe, Ag, Mn and Co in Fish, Sediments and Water from Adada River. </w:t>
      </w:r>
      <w:r>
        <w:rPr>
          <w:rFonts w:ascii="Times New Roman" w:eastAsia="SimSun" w:hAnsi="Times New Roman" w:cs="Times New Roman"/>
          <w:i/>
          <w:iCs/>
          <w:color w:val="222222"/>
          <w:sz w:val="24"/>
          <w:szCs w:val="24"/>
          <w:shd w:val="clear" w:color="auto" w:fill="FFFFFF"/>
        </w:rPr>
        <w:t>Journal of Pollution and Effects on Community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1-6.</w:t>
      </w:r>
      <w:commentRangeEnd w:id="87"/>
      <w:r w:rsidR="000E1BB2">
        <w:rPr>
          <w:rStyle w:val="CommentReference"/>
        </w:rPr>
        <w:commentReference w:id="87"/>
      </w:r>
    </w:p>
    <w:p w14:paraId="15BFE4FD"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Verma, L., Ekka, A., Banjara, R. A., </w:t>
      </w:r>
      <w:proofErr w:type="spellStart"/>
      <w:r>
        <w:rPr>
          <w:rFonts w:ascii="Times New Roman" w:eastAsia="SimSun" w:hAnsi="Times New Roman" w:cs="Times New Roman"/>
          <w:color w:val="222222"/>
          <w:sz w:val="24"/>
          <w:szCs w:val="24"/>
          <w:shd w:val="clear" w:color="auto" w:fill="FFFFFF"/>
        </w:rPr>
        <w:t>Ambade</w:t>
      </w:r>
      <w:proofErr w:type="spellEnd"/>
      <w:r>
        <w:rPr>
          <w:rFonts w:ascii="Times New Roman" w:eastAsia="SimSun" w:hAnsi="Times New Roman" w:cs="Times New Roman"/>
          <w:color w:val="222222"/>
          <w:sz w:val="24"/>
          <w:szCs w:val="24"/>
          <w:shd w:val="clear" w:color="auto" w:fill="FFFFFF"/>
        </w:rPr>
        <w:t xml:space="preserve">, B., Kumar, A., &amp; Gautam, S. (2025). </w:t>
      </w:r>
      <w:commentRangeStart w:id="88"/>
      <w:r>
        <w:rPr>
          <w:rFonts w:ascii="Times New Roman" w:eastAsia="SimSun" w:hAnsi="Times New Roman" w:cs="Times New Roman"/>
          <w:color w:val="222222"/>
          <w:sz w:val="24"/>
          <w:szCs w:val="24"/>
          <w:shd w:val="clear" w:color="auto" w:fill="FFFFFF"/>
        </w:rPr>
        <w:t>A Review on Bacterial Exopolysaccharides for Heavy Metal Remediation: Mechanisms, Challenges, and Sustainable Applications</w:t>
      </w:r>
      <w:commentRangeEnd w:id="88"/>
      <w:r w:rsidR="00DD6898">
        <w:rPr>
          <w:rStyle w:val="CommentReference"/>
        </w:rPr>
        <w:commentReference w:id="88"/>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Water Environment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97</w:t>
      </w:r>
      <w:r>
        <w:rPr>
          <w:rFonts w:ascii="Times New Roman" w:eastAsia="SimSun" w:hAnsi="Times New Roman" w:cs="Times New Roman"/>
          <w:color w:val="222222"/>
          <w:sz w:val="24"/>
          <w:szCs w:val="24"/>
          <w:shd w:val="clear" w:color="auto" w:fill="FFFFFF"/>
        </w:rPr>
        <w:t>(10), e70184.</w:t>
      </w:r>
    </w:p>
    <w:p w14:paraId="57768A2B"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commentRangeStart w:id="89"/>
      <w:r>
        <w:rPr>
          <w:rFonts w:ascii="Times New Roman" w:eastAsia="SimSun" w:hAnsi="Times New Roman" w:cs="Times New Roman"/>
          <w:color w:val="222222"/>
          <w:sz w:val="24"/>
          <w:szCs w:val="24"/>
          <w:shd w:val="clear" w:color="auto" w:fill="FFFFFF"/>
        </w:rPr>
        <w:t>Wang, W. X. (2016). Bioaccumulation and biomonitoring. In </w:t>
      </w:r>
      <w:r>
        <w:rPr>
          <w:rFonts w:ascii="Times New Roman" w:eastAsia="SimSun" w:hAnsi="Times New Roman" w:cs="Times New Roman"/>
          <w:i/>
          <w:iCs/>
          <w:color w:val="222222"/>
          <w:sz w:val="24"/>
          <w:szCs w:val="24"/>
          <w:shd w:val="clear" w:color="auto" w:fill="FFFFFF"/>
        </w:rPr>
        <w:t>Marine ecotoxicology</w:t>
      </w:r>
      <w:r>
        <w:rPr>
          <w:rFonts w:ascii="Times New Roman" w:eastAsia="SimSun" w:hAnsi="Times New Roman" w:cs="Times New Roman"/>
          <w:color w:val="222222"/>
          <w:sz w:val="24"/>
          <w:szCs w:val="24"/>
          <w:shd w:val="clear" w:color="auto" w:fill="FFFFFF"/>
        </w:rPr>
        <w:t> (pp. 99-119). Academic Press.</w:t>
      </w:r>
      <w:commentRangeEnd w:id="89"/>
      <w:r w:rsidR="00DD6898">
        <w:rPr>
          <w:rStyle w:val="CommentReference"/>
        </w:rPr>
        <w:commentReference w:id="89"/>
      </w:r>
    </w:p>
    <w:p w14:paraId="04C44022"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Wang, Y. X., Pan, A., Feng, W., Liu, C., Huang, L. L., Ai, S. H., ... &amp; Lu, W. Q. (2019). Variability and exposure classification of urinary levels of non-essential metals aluminum, antimony, barium, thallium, tungsten and uranium in healthy adult men. </w:t>
      </w:r>
      <w:commentRangeStart w:id="90"/>
      <w:r>
        <w:rPr>
          <w:rFonts w:ascii="Times New Roman" w:eastAsia="SimSun" w:hAnsi="Times New Roman" w:cs="Times New Roman"/>
          <w:i/>
          <w:iCs/>
          <w:color w:val="222222"/>
          <w:sz w:val="24"/>
          <w:szCs w:val="24"/>
          <w:shd w:val="clear" w:color="auto" w:fill="FFFFFF"/>
        </w:rPr>
        <w:t>Journal of exposure science &amp; environmental epidemiology</w:t>
      </w:r>
      <w:commentRangeEnd w:id="90"/>
      <w:r w:rsidR="00DD6898">
        <w:rPr>
          <w:rStyle w:val="CommentReference"/>
        </w:rPr>
        <w:commentReference w:id="90"/>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29</w:t>
      </w:r>
      <w:r>
        <w:rPr>
          <w:rFonts w:ascii="Times New Roman" w:eastAsia="SimSun" w:hAnsi="Times New Roman" w:cs="Times New Roman"/>
          <w:color w:val="222222"/>
          <w:sz w:val="24"/>
          <w:szCs w:val="24"/>
          <w:shd w:val="clear" w:color="auto" w:fill="FFFFFF"/>
        </w:rPr>
        <w:t>(3), 424-434.</w:t>
      </w:r>
    </w:p>
    <w:p w14:paraId="2A41D753"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Witkowska, D., Słowik, J., &amp; </w:t>
      </w:r>
      <w:proofErr w:type="spellStart"/>
      <w:r>
        <w:rPr>
          <w:rFonts w:ascii="Times New Roman" w:eastAsia="SimSun" w:hAnsi="Times New Roman" w:cs="Times New Roman"/>
          <w:color w:val="222222"/>
          <w:sz w:val="24"/>
          <w:szCs w:val="24"/>
          <w:shd w:val="clear" w:color="auto" w:fill="FFFFFF"/>
        </w:rPr>
        <w:t>Chilicka</w:t>
      </w:r>
      <w:proofErr w:type="spellEnd"/>
      <w:r>
        <w:rPr>
          <w:rFonts w:ascii="Times New Roman" w:eastAsia="SimSun" w:hAnsi="Times New Roman" w:cs="Times New Roman"/>
          <w:color w:val="222222"/>
          <w:sz w:val="24"/>
          <w:szCs w:val="24"/>
          <w:shd w:val="clear" w:color="auto" w:fill="FFFFFF"/>
        </w:rPr>
        <w:t>, K. (2021). Heavy metals and human health: Possible exposure pathways and the competition for protein binding sites. </w:t>
      </w:r>
      <w:r>
        <w:rPr>
          <w:rFonts w:ascii="Times New Roman" w:eastAsia="SimSun" w:hAnsi="Times New Roman" w:cs="Times New Roman"/>
          <w:i/>
          <w:iCs/>
          <w:color w:val="222222"/>
          <w:sz w:val="24"/>
          <w:szCs w:val="24"/>
          <w:shd w:val="clear" w:color="auto" w:fill="FFFFFF"/>
        </w:rPr>
        <w:t>Molecules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26</w:t>
      </w:r>
      <w:r>
        <w:rPr>
          <w:rFonts w:ascii="Times New Roman" w:eastAsia="SimSun" w:hAnsi="Times New Roman" w:cs="Times New Roman"/>
          <w:color w:val="222222"/>
          <w:sz w:val="24"/>
          <w:szCs w:val="24"/>
          <w:shd w:val="clear" w:color="auto" w:fill="FFFFFF"/>
        </w:rPr>
        <w:t>(19), 6060.</w:t>
      </w:r>
    </w:p>
    <w:p w14:paraId="2FE85C7C"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Zaynab, M., Al-Yahyai, R., Ameen, A., Sharif, Y., Ali, L., Fatima, M., ... &amp; Li, S. (2022). Health and environmental effects of heavy metals. </w:t>
      </w:r>
      <w:r>
        <w:rPr>
          <w:rFonts w:ascii="Times New Roman" w:eastAsia="SimSun" w:hAnsi="Times New Roman" w:cs="Times New Roman"/>
          <w:i/>
          <w:iCs/>
          <w:color w:val="222222"/>
          <w:sz w:val="24"/>
          <w:szCs w:val="24"/>
          <w:shd w:val="clear" w:color="auto" w:fill="FFFFFF"/>
        </w:rPr>
        <w:t>Journal of King Saud University-Science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34</w:t>
      </w:r>
      <w:r>
        <w:rPr>
          <w:rFonts w:ascii="Times New Roman" w:eastAsia="SimSun" w:hAnsi="Times New Roman" w:cs="Times New Roman"/>
          <w:color w:val="222222"/>
          <w:sz w:val="24"/>
          <w:szCs w:val="24"/>
          <w:shd w:val="clear" w:color="auto" w:fill="FFFFFF"/>
        </w:rPr>
        <w:t>(1), 101653.</w:t>
      </w:r>
    </w:p>
    <w:p w14:paraId="7659BD60"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Zhang, S. Q. (2023). Selenium and cognitive function. </w:t>
      </w:r>
      <w:r>
        <w:rPr>
          <w:rFonts w:ascii="Times New Roman" w:eastAsia="SimSun" w:hAnsi="Times New Roman" w:cs="Times New Roman"/>
          <w:i/>
          <w:iCs/>
          <w:color w:val="222222"/>
          <w:sz w:val="24"/>
          <w:szCs w:val="24"/>
          <w:shd w:val="clear" w:color="auto" w:fill="FFFFFF"/>
        </w:rPr>
        <w:t>Metabolic Brain Disease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(1), 221-222.</w:t>
      </w:r>
    </w:p>
    <w:p w14:paraId="23BE9F5F" w14:textId="77777777" w:rsidR="00C3411D" w:rsidRDefault="003D13F0">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Zoroddu, M. A., Aaseth, J., </w:t>
      </w:r>
      <w:proofErr w:type="spellStart"/>
      <w:r>
        <w:rPr>
          <w:rFonts w:ascii="Times New Roman" w:eastAsia="SimSun" w:hAnsi="Times New Roman" w:cs="Times New Roman"/>
          <w:color w:val="222222"/>
          <w:sz w:val="24"/>
          <w:szCs w:val="24"/>
          <w:shd w:val="clear" w:color="auto" w:fill="FFFFFF"/>
        </w:rPr>
        <w:t>Crisponi</w:t>
      </w:r>
      <w:proofErr w:type="spellEnd"/>
      <w:r>
        <w:rPr>
          <w:rFonts w:ascii="Times New Roman" w:eastAsia="SimSun" w:hAnsi="Times New Roman" w:cs="Times New Roman"/>
          <w:color w:val="222222"/>
          <w:sz w:val="24"/>
          <w:szCs w:val="24"/>
          <w:shd w:val="clear" w:color="auto" w:fill="FFFFFF"/>
        </w:rPr>
        <w:t xml:space="preserve">, G., Medici, S., Peana, M., &amp; </w:t>
      </w:r>
      <w:proofErr w:type="spellStart"/>
      <w:r>
        <w:rPr>
          <w:rFonts w:ascii="Times New Roman" w:eastAsia="SimSun" w:hAnsi="Times New Roman" w:cs="Times New Roman"/>
          <w:color w:val="222222"/>
          <w:sz w:val="24"/>
          <w:szCs w:val="24"/>
          <w:shd w:val="clear" w:color="auto" w:fill="FFFFFF"/>
        </w:rPr>
        <w:t>Nurchi</w:t>
      </w:r>
      <w:proofErr w:type="spellEnd"/>
      <w:r>
        <w:rPr>
          <w:rFonts w:ascii="Times New Roman" w:eastAsia="SimSun" w:hAnsi="Times New Roman" w:cs="Times New Roman"/>
          <w:color w:val="222222"/>
          <w:sz w:val="24"/>
          <w:szCs w:val="24"/>
          <w:shd w:val="clear" w:color="auto" w:fill="FFFFFF"/>
        </w:rPr>
        <w:t>, V. M. (2019). The essential metals for humans: a brief overview. </w:t>
      </w:r>
      <w:r>
        <w:rPr>
          <w:rFonts w:ascii="Times New Roman" w:eastAsia="SimSun" w:hAnsi="Times New Roman" w:cs="Times New Roman"/>
          <w:i/>
          <w:iCs/>
          <w:color w:val="222222"/>
          <w:sz w:val="24"/>
          <w:szCs w:val="24"/>
          <w:shd w:val="clear" w:color="auto" w:fill="FFFFFF"/>
        </w:rPr>
        <w:t xml:space="preserve">Journal of Inorganic </w:t>
      </w:r>
      <w:commentRangeStart w:id="91"/>
      <w:proofErr w:type="spellStart"/>
      <w:r>
        <w:rPr>
          <w:rFonts w:ascii="Times New Roman" w:eastAsia="SimSun" w:hAnsi="Times New Roman" w:cs="Times New Roman"/>
          <w:i/>
          <w:iCs/>
          <w:color w:val="222222"/>
          <w:sz w:val="24"/>
          <w:szCs w:val="24"/>
          <w:shd w:val="clear" w:color="auto" w:fill="FFFFFF"/>
        </w:rPr>
        <w:t>Iiochemistry</w:t>
      </w:r>
      <w:commentRangeEnd w:id="91"/>
      <w:proofErr w:type="spellEnd"/>
      <w:r w:rsidR="00DD6898">
        <w:rPr>
          <w:rStyle w:val="CommentReference"/>
        </w:rPr>
        <w:commentReference w:id="91"/>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195</w:t>
      </w:r>
      <w:r>
        <w:rPr>
          <w:rFonts w:ascii="Times New Roman" w:eastAsia="SimSun" w:hAnsi="Times New Roman" w:cs="Times New Roman"/>
          <w:color w:val="222222"/>
          <w:sz w:val="24"/>
          <w:szCs w:val="24"/>
          <w:shd w:val="clear" w:color="auto" w:fill="FFFFFF"/>
        </w:rPr>
        <w:t>, 120-129.</w:t>
      </w:r>
    </w:p>
    <w:p w14:paraId="7979B501" w14:textId="77777777" w:rsidR="00C3411D" w:rsidRDefault="00C3411D">
      <w:pPr>
        <w:pStyle w:val="BodyText"/>
      </w:pPr>
    </w:p>
    <w:p w14:paraId="4F459042" w14:textId="77777777" w:rsidR="00C3411D" w:rsidRDefault="00C3411D">
      <w:pPr>
        <w:pStyle w:val="BodyText"/>
      </w:pPr>
    </w:p>
    <w:p w14:paraId="140F06E9" w14:textId="77777777" w:rsidR="00C3411D" w:rsidRDefault="00C3411D">
      <w:pPr>
        <w:pStyle w:val="BodyText"/>
      </w:pPr>
    </w:p>
    <w:p w14:paraId="7D888B73" w14:textId="77777777" w:rsidR="00C3411D" w:rsidRDefault="00C3411D">
      <w:pPr>
        <w:pStyle w:val="BodyText"/>
      </w:pPr>
    </w:p>
    <w:p w14:paraId="392142AA" w14:textId="77777777" w:rsidR="00C3411D" w:rsidRDefault="00C3411D">
      <w:pPr>
        <w:pStyle w:val="BodyText"/>
      </w:pPr>
    </w:p>
    <w:p w14:paraId="08430CB7" w14:textId="77777777" w:rsidR="00C3411D" w:rsidRDefault="00C3411D">
      <w:pPr>
        <w:pStyle w:val="BodyText"/>
      </w:pPr>
    </w:p>
    <w:p w14:paraId="1DBE7017" w14:textId="77777777" w:rsidR="00C3411D" w:rsidRDefault="00C3411D">
      <w:pPr>
        <w:pStyle w:val="BodyText"/>
      </w:pPr>
    </w:p>
    <w:p w14:paraId="2F1538C3" w14:textId="77777777" w:rsidR="00C3411D" w:rsidRDefault="00C3411D">
      <w:pPr>
        <w:pStyle w:val="BodyText"/>
      </w:pPr>
    </w:p>
    <w:p w14:paraId="37181328" w14:textId="77777777" w:rsidR="00C3411D" w:rsidRDefault="00C3411D">
      <w:pPr>
        <w:pStyle w:val="BodyText"/>
      </w:pPr>
    </w:p>
    <w:p w14:paraId="3CA6BED3" w14:textId="77777777" w:rsidR="00C3411D" w:rsidRDefault="00C3411D">
      <w:pPr>
        <w:pStyle w:val="BodyText"/>
      </w:pPr>
    </w:p>
    <w:p w14:paraId="206C9346" w14:textId="77777777" w:rsidR="00C3411D" w:rsidRDefault="00C3411D">
      <w:pPr>
        <w:pStyle w:val="BodyText"/>
      </w:pPr>
    </w:p>
    <w:p w14:paraId="1A0A0D9F" w14:textId="77777777" w:rsidR="00C3411D" w:rsidRDefault="00C3411D">
      <w:pPr>
        <w:pStyle w:val="BodyText"/>
      </w:pPr>
    </w:p>
    <w:p w14:paraId="6ED4751C" w14:textId="77777777" w:rsidR="00C3411D" w:rsidRDefault="00C3411D">
      <w:pPr>
        <w:pStyle w:val="BodyText"/>
      </w:pPr>
    </w:p>
    <w:p w14:paraId="6C1A6F94" w14:textId="77777777" w:rsidR="00C3411D" w:rsidRDefault="00C3411D">
      <w:pPr>
        <w:pStyle w:val="BodyText"/>
      </w:pPr>
    </w:p>
    <w:p w14:paraId="3B2915AC" w14:textId="77777777" w:rsidR="00C3411D" w:rsidRDefault="00C3411D">
      <w:pPr>
        <w:pStyle w:val="BodyText"/>
      </w:pPr>
    </w:p>
    <w:p w14:paraId="3DE180A3" w14:textId="77777777" w:rsidR="00C3411D" w:rsidRDefault="00C3411D">
      <w:pPr>
        <w:pStyle w:val="BodyText"/>
      </w:pPr>
    </w:p>
    <w:p w14:paraId="51475C39" w14:textId="77777777" w:rsidR="00C3411D" w:rsidRDefault="00C3411D">
      <w:pPr>
        <w:jc w:val="both"/>
        <w:rPr>
          <w:rFonts w:ascii="Times New Roman" w:hAnsi="Times New Roman"/>
          <w:sz w:val="24"/>
          <w:szCs w:val="24"/>
        </w:rPr>
      </w:pPr>
    </w:p>
    <w:sectPr w:rsidR="00C3411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epak Bhandari" w:date="2026-02-09T15:48:00Z" w:initials="DB">
    <w:p w14:paraId="4920B2CC" w14:textId="5475DA48" w:rsidR="000E14C3" w:rsidRDefault="000E14C3">
      <w:pPr>
        <w:pStyle w:val="CommentText"/>
      </w:pPr>
      <w:r>
        <w:rPr>
          <w:rStyle w:val="CommentReference"/>
        </w:rPr>
        <w:annotationRef/>
      </w:r>
      <w:r>
        <w:t xml:space="preserve">Incomplete title. Add the name of the </w:t>
      </w:r>
      <w:r w:rsidRPr="000E14C3">
        <w:t>country</w:t>
      </w:r>
      <w:r>
        <w:t xml:space="preserve"> and region in the title.</w:t>
      </w:r>
    </w:p>
  </w:comment>
  <w:comment w:id="2" w:author="Deepak Bhandari" w:date="2026-02-09T14:41:00Z" w:initials="DB">
    <w:p w14:paraId="24A01CC5" w14:textId="1C560C51" w:rsidR="008335B8" w:rsidRDefault="008335B8">
      <w:pPr>
        <w:pStyle w:val="CommentText"/>
      </w:pPr>
      <w:r>
        <w:rPr>
          <w:rStyle w:val="CommentReference"/>
        </w:rPr>
        <w:annotationRef/>
      </w:r>
      <w:r>
        <w:t>had</w:t>
      </w:r>
    </w:p>
  </w:comment>
  <w:comment w:id="3" w:author="Deepak Bhandari" w:date="2026-02-09T15:38:00Z" w:initials="DB">
    <w:p w14:paraId="766126A1" w14:textId="289AF432" w:rsidR="001F739F" w:rsidRDefault="001F739F">
      <w:pPr>
        <w:pStyle w:val="CommentText"/>
      </w:pPr>
      <w:r>
        <w:rPr>
          <w:rStyle w:val="CommentReference"/>
        </w:rPr>
        <w:annotationRef/>
      </w:r>
      <w:r>
        <w:t>Nowhere else was the moderate concentration of Aluminum mentioned.</w:t>
      </w:r>
    </w:p>
  </w:comment>
  <w:comment w:id="1" w:author="Deepak Bhandari" w:date="2026-02-09T15:45:00Z" w:initials="DB">
    <w:p w14:paraId="430217FC" w14:textId="05312337" w:rsidR="000E14C3" w:rsidRDefault="000E14C3">
      <w:pPr>
        <w:pStyle w:val="CommentText"/>
      </w:pPr>
      <w:r>
        <w:rPr>
          <w:rStyle w:val="CommentReference"/>
        </w:rPr>
        <w:annotationRef/>
      </w:r>
      <w:r>
        <w:t xml:space="preserve">The caparison to be done </w:t>
      </w:r>
      <w:r w:rsidRPr="000E14C3">
        <w:t>within the maximum acceptable limits set by various</w:t>
      </w:r>
      <w:r>
        <w:t xml:space="preserve"> national and </w:t>
      </w:r>
      <w:r w:rsidRPr="000E14C3">
        <w:t>international</w:t>
      </w:r>
      <w:r>
        <w:t xml:space="preserve"> organizations.</w:t>
      </w:r>
    </w:p>
  </w:comment>
  <w:comment w:id="4" w:author="Deepak Bhandari" w:date="2026-02-09T15:49:00Z" w:initials="DB">
    <w:p w14:paraId="4843CE6D" w14:textId="520DD791" w:rsidR="000E14C3" w:rsidRDefault="000E14C3">
      <w:pPr>
        <w:pStyle w:val="CommentText"/>
      </w:pPr>
      <w:r>
        <w:rPr>
          <w:rStyle w:val="CommentReference"/>
        </w:rPr>
        <w:annotationRef/>
      </w:r>
      <w:r>
        <w:t>The keywords should not be repeated from the title.</w:t>
      </w:r>
    </w:p>
  </w:comment>
  <w:comment w:id="5" w:author="Deepak Bhandari" w:date="2026-02-09T14:41:00Z" w:initials="DB">
    <w:p w14:paraId="2C2352AC" w14:textId="5899E0B0" w:rsidR="008335B8" w:rsidRDefault="008335B8">
      <w:pPr>
        <w:pStyle w:val="CommentText"/>
      </w:pPr>
      <w:r>
        <w:rPr>
          <w:rStyle w:val="CommentReference"/>
        </w:rPr>
        <w:annotationRef/>
      </w:r>
      <w:r>
        <w:t>characterized</w:t>
      </w:r>
    </w:p>
  </w:comment>
  <w:comment w:id="6" w:author="Deepak Bhandari" w:date="2026-02-09T15:54:00Z" w:initials="DB">
    <w:p w14:paraId="7E08F569" w14:textId="15BFF1D2" w:rsidR="00515D50" w:rsidRDefault="00515D50">
      <w:pPr>
        <w:pStyle w:val="CommentText"/>
      </w:pPr>
      <w:r>
        <w:rPr>
          <w:rStyle w:val="CommentReference"/>
        </w:rPr>
        <w:annotationRef/>
      </w:r>
      <w:r>
        <w:t>Ba</w:t>
      </w:r>
    </w:p>
  </w:comment>
  <w:comment w:id="7" w:author="Deepak Bhandari" w:date="2026-02-09T12:13:00Z" w:initials="DB">
    <w:p w14:paraId="7790CE54" w14:textId="21D53AA3" w:rsidR="00152625" w:rsidRDefault="00152625">
      <w:pPr>
        <w:pStyle w:val="CommentText"/>
      </w:pPr>
      <w:r>
        <w:rPr>
          <w:rStyle w:val="CommentReference"/>
        </w:rPr>
        <w:annotationRef/>
      </w:r>
      <w:r>
        <w:t>delete</w:t>
      </w:r>
    </w:p>
  </w:comment>
  <w:comment w:id="8" w:author="Deepak Bhandari" w:date="2026-02-09T12:13:00Z" w:initials="DB">
    <w:p w14:paraId="110BD36C" w14:textId="122D8695" w:rsidR="00152625" w:rsidRDefault="00152625">
      <w:pPr>
        <w:pStyle w:val="CommentText"/>
      </w:pPr>
      <w:r>
        <w:rPr>
          <w:rStyle w:val="CommentReference"/>
        </w:rPr>
        <w:annotationRef/>
      </w:r>
      <w:r>
        <w:t>Seafood</w:t>
      </w:r>
    </w:p>
  </w:comment>
  <w:comment w:id="9" w:author="Deepak Bhandari" w:date="2026-02-09T12:19:00Z" w:initials="DB">
    <w:p w14:paraId="027FED61" w14:textId="78A13E91" w:rsidR="00152625" w:rsidRDefault="00152625">
      <w:pPr>
        <w:pStyle w:val="CommentText"/>
      </w:pPr>
      <w:r>
        <w:rPr>
          <w:rStyle w:val="CommentReference"/>
        </w:rPr>
        <w:annotationRef/>
      </w:r>
      <w:r>
        <w:t>delete</w:t>
      </w:r>
    </w:p>
  </w:comment>
  <w:comment w:id="10" w:author="Deepak Bhandari" w:date="2026-02-09T12:19:00Z" w:initials="DB">
    <w:p w14:paraId="5CEA3749" w14:textId="04867115" w:rsidR="00152625" w:rsidRDefault="00152625">
      <w:pPr>
        <w:pStyle w:val="CommentText"/>
      </w:pPr>
      <w:r>
        <w:rPr>
          <w:rStyle w:val="CommentReference"/>
        </w:rPr>
        <w:annotationRef/>
      </w:r>
      <w:r>
        <w:t xml:space="preserve">advance understanding of </w:t>
      </w:r>
    </w:p>
  </w:comment>
  <w:comment w:id="11" w:author="Deepak Bhandari" w:date="2026-02-09T12:18:00Z" w:initials="DB">
    <w:p w14:paraId="0C374C78" w14:textId="3CC8E82D" w:rsidR="00152625" w:rsidRDefault="00152625">
      <w:pPr>
        <w:pStyle w:val="CommentText"/>
      </w:pPr>
      <w:r>
        <w:rPr>
          <w:rStyle w:val="CommentReference"/>
        </w:rPr>
        <w:annotationRef/>
      </w:r>
      <w:r>
        <w:t>to ensure</w:t>
      </w:r>
    </w:p>
  </w:comment>
  <w:comment w:id="14" w:author="Deepak Bhandari" w:date="2026-02-09T12:24:00Z" w:initials="DB">
    <w:p w14:paraId="4DAF2B28" w14:textId="5BD0DF2D" w:rsidR="000E115D" w:rsidRDefault="000E115D">
      <w:pPr>
        <w:pStyle w:val="CommentText"/>
      </w:pPr>
      <w:r>
        <w:rPr>
          <w:rStyle w:val="CommentReference"/>
        </w:rPr>
        <w:annotationRef/>
      </w:r>
      <w:r>
        <w:t>Did you collect the fresh samples? How it was ensured?</w:t>
      </w:r>
    </w:p>
  </w:comment>
  <w:comment w:id="15" w:author="Deepak Bhandari" w:date="2026-02-09T12:20:00Z" w:initials="DB">
    <w:p w14:paraId="34ACEB6D" w14:textId="38FA5829" w:rsidR="00152625" w:rsidRDefault="00152625">
      <w:pPr>
        <w:pStyle w:val="CommentText"/>
      </w:pPr>
      <w:r>
        <w:rPr>
          <w:rStyle w:val="CommentReference"/>
        </w:rPr>
        <w:annotationRef/>
      </w:r>
      <w:r>
        <w:t>delete</w:t>
      </w:r>
    </w:p>
  </w:comment>
  <w:comment w:id="16" w:author="Deepak Bhandari" w:date="2026-02-09T12:20:00Z" w:initials="DB">
    <w:p w14:paraId="7714FF1F" w14:textId="7F157365" w:rsidR="00152625" w:rsidRDefault="00152625">
      <w:pPr>
        <w:pStyle w:val="CommentText"/>
      </w:pPr>
      <w:r>
        <w:rPr>
          <w:rStyle w:val="CommentReference"/>
        </w:rPr>
        <w:annotationRef/>
      </w:r>
      <w:r>
        <w:t>delete</w:t>
      </w:r>
    </w:p>
  </w:comment>
  <w:comment w:id="18" w:author="Deepak Bhandari" w:date="2026-02-09T12:26:00Z" w:initials="DB">
    <w:p w14:paraId="770EA347" w14:textId="3121C419" w:rsidR="000E115D" w:rsidRDefault="000E115D">
      <w:pPr>
        <w:pStyle w:val="CommentText"/>
      </w:pPr>
      <w:r>
        <w:rPr>
          <w:rStyle w:val="CommentReference"/>
        </w:rPr>
        <w:annotationRef/>
      </w:r>
      <w:r>
        <w:t>What necessary components? Expand it.</w:t>
      </w:r>
    </w:p>
  </w:comment>
  <w:comment w:id="20" w:author="Deepak Bhandari" w:date="2026-02-09T12:29:00Z" w:initials="DB">
    <w:p w14:paraId="1C33FFF7" w14:textId="5A66CFE2" w:rsidR="000E115D" w:rsidRPr="000E115D" w:rsidRDefault="000E115D">
      <w:pPr>
        <w:pStyle w:val="CommentText"/>
        <w:rPr>
          <w:vertAlign w:val="subscript"/>
        </w:rPr>
      </w:pPr>
      <w:r>
        <w:rPr>
          <w:rStyle w:val="CommentReference"/>
        </w:rPr>
        <w:annotationRef/>
      </w:r>
      <w:r>
        <w:t>H</w:t>
      </w:r>
      <w:r w:rsidRPr="000E115D">
        <w:rPr>
          <w:vertAlign w:val="subscript"/>
        </w:rPr>
        <w:t>2</w:t>
      </w:r>
      <w:r>
        <w:t>SO</w:t>
      </w:r>
      <w:r w:rsidRPr="000E115D">
        <w:rPr>
          <w:vertAlign w:val="subscript"/>
        </w:rPr>
        <w:t>4</w:t>
      </w:r>
    </w:p>
  </w:comment>
  <w:comment w:id="19" w:author="Deepak Bhandari" w:date="2026-02-09T12:27:00Z" w:initials="DB">
    <w:p w14:paraId="776CB76A" w14:textId="07E4F4B6" w:rsidR="000E115D" w:rsidRDefault="000E115D">
      <w:pPr>
        <w:pStyle w:val="CommentText"/>
      </w:pPr>
      <w:r>
        <w:rPr>
          <w:rStyle w:val="CommentReference"/>
        </w:rPr>
        <w:annotationRef/>
      </w:r>
      <w:r>
        <w:t xml:space="preserve">Is this a standard methodology? Coat the reference. How </w:t>
      </w:r>
      <w:r w:rsidR="00A01C68" w:rsidRPr="00A01C68">
        <w:t xml:space="preserve">was the dried sample </w:t>
      </w:r>
      <w:r>
        <w:t>prepared? Elaborate</w:t>
      </w:r>
      <w:r w:rsidR="00A01C68">
        <w:t>.</w:t>
      </w:r>
    </w:p>
  </w:comment>
  <w:comment w:id="21" w:author="Deepak Bhandari" w:date="2026-02-09T15:59:00Z" w:initials="DB">
    <w:p w14:paraId="00D3E8B5" w14:textId="6D5097F7" w:rsidR="00515D50" w:rsidRDefault="00515D50">
      <w:pPr>
        <w:pStyle w:val="CommentText"/>
      </w:pPr>
      <w:r>
        <w:rPr>
          <w:rStyle w:val="CommentReference"/>
        </w:rPr>
        <w:annotationRef/>
      </w:r>
      <w:r>
        <w:t>except the</w:t>
      </w:r>
    </w:p>
  </w:comment>
  <w:comment w:id="22" w:author="Deepak Bhandari" w:date="2026-02-09T16:00:00Z" w:initials="DB">
    <w:p w14:paraId="47E2D365" w14:textId="43704C4C" w:rsidR="00515D50" w:rsidRDefault="00515D50">
      <w:pPr>
        <w:pStyle w:val="CommentText"/>
      </w:pPr>
      <w:r>
        <w:rPr>
          <w:rStyle w:val="CommentReference"/>
        </w:rPr>
        <w:annotationRef/>
      </w:r>
      <w:r>
        <w:t>Missing from the reference list.</w:t>
      </w:r>
    </w:p>
  </w:comment>
  <w:comment w:id="23" w:author="Deepak Bhandari" w:date="2026-02-09T12:37:00Z" w:initials="DB">
    <w:p w14:paraId="7244EF3D" w14:textId="521D813A" w:rsidR="00A01C68" w:rsidRDefault="00A01C68">
      <w:pPr>
        <w:pStyle w:val="CommentText"/>
      </w:pPr>
      <w:r>
        <w:rPr>
          <w:rStyle w:val="CommentReference"/>
        </w:rPr>
        <w:annotationRef/>
      </w:r>
      <w:r>
        <w:t>standard solutions</w:t>
      </w:r>
    </w:p>
  </w:comment>
  <w:comment w:id="24" w:author="Deepak Bhandari" w:date="2026-02-09T12:39:00Z" w:initials="DB">
    <w:p w14:paraId="30378E24" w14:textId="059318B5" w:rsidR="00A01C68" w:rsidRDefault="00A01C68">
      <w:pPr>
        <w:pStyle w:val="CommentText"/>
      </w:pPr>
      <w:r>
        <w:rPr>
          <w:rStyle w:val="CommentReference"/>
        </w:rPr>
        <w:annotationRef/>
      </w:r>
      <w:r>
        <w:t>AAS analysis.</w:t>
      </w:r>
    </w:p>
  </w:comment>
  <w:comment w:id="25" w:author="Deepak Bhandari" w:date="2026-02-09T12:33:00Z" w:initials="DB">
    <w:p w14:paraId="758CADA0" w14:textId="680A6801" w:rsidR="00A01C68" w:rsidRDefault="00A01C68">
      <w:pPr>
        <w:pStyle w:val="CommentText"/>
      </w:pPr>
      <w:r>
        <w:rPr>
          <w:rStyle w:val="CommentReference"/>
        </w:rPr>
        <w:annotationRef/>
      </w:r>
      <w:r>
        <w:t>Delete one dot.</w:t>
      </w:r>
    </w:p>
  </w:comment>
  <w:comment w:id="26" w:author="Deepak Bhandari" w:date="2026-02-09T12:57:00Z" w:initials="DB">
    <w:p w14:paraId="32AB133D" w14:textId="5ECA85D3" w:rsidR="00B542B9" w:rsidRDefault="00B542B9">
      <w:pPr>
        <w:pStyle w:val="CommentText"/>
      </w:pPr>
      <w:r>
        <w:rPr>
          <w:rStyle w:val="CommentReference"/>
        </w:rPr>
        <w:annotationRef/>
      </w:r>
      <w:r>
        <w:t>the α =0.05 significance level.</w:t>
      </w:r>
    </w:p>
  </w:comment>
  <w:comment w:id="27" w:author="Deepak Bhandari" w:date="2026-02-09T12:41:00Z" w:initials="DB">
    <w:p w14:paraId="20D03E73" w14:textId="0AFD5E3D" w:rsidR="0018798E" w:rsidRDefault="0018798E">
      <w:pPr>
        <w:pStyle w:val="CommentText"/>
      </w:pPr>
      <w:r>
        <w:rPr>
          <w:rStyle w:val="CommentReference"/>
        </w:rPr>
        <w:annotationRef/>
      </w:r>
      <w:r>
        <w:t>among</w:t>
      </w:r>
    </w:p>
  </w:comment>
  <w:comment w:id="28" w:author="Deepak Bhandari" w:date="2026-02-09T12:42:00Z" w:initials="DB">
    <w:p w14:paraId="35150EB8" w14:textId="3CE9147B" w:rsidR="0018798E" w:rsidRDefault="0018798E">
      <w:pPr>
        <w:pStyle w:val="CommentText"/>
      </w:pPr>
      <w:r>
        <w:rPr>
          <w:rStyle w:val="CommentReference"/>
        </w:rPr>
        <w:annotationRef/>
      </w:r>
      <w:r>
        <w:t>concentration and to</w:t>
      </w:r>
    </w:p>
  </w:comment>
  <w:comment w:id="29" w:author="Deepak Bhandari" w:date="2026-02-09T12:59:00Z" w:initials="DB">
    <w:p w14:paraId="1A7CCD2A" w14:textId="19C8021A" w:rsidR="00B542B9" w:rsidRDefault="00B542B9">
      <w:pPr>
        <w:pStyle w:val="CommentText"/>
      </w:pPr>
      <w:r>
        <w:rPr>
          <w:rStyle w:val="CommentReference"/>
        </w:rPr>
        <w:annotationRef/>
      </w:r>
      <w:r>
        <w:t>antimony, and</w:t>
      </w:r>
    </w:p>
  </w:comment>
  <w:comment w:id="30" w:author="Deepak Bhandari" w:date="2026-02-09T13:01:00Z" w:initials="DB">
    <w:p w14:paraId="29054E5A" w14:textId="6738A212" w:rsidR="00B542B9" w:rsidRDefault="00B542B9">
      <w:pPr>
        <w:pStyle w:val="CommentText"/>
      </w:pPr>
      <w:r>
        <w:rPr>
          <w:rStyle w:val="CommentReference"/>
        </w:rPr>
        <w:annotationRef/>
      </w:r>
      <w:r>
        <w:t>Selenium,</w:t>
      </w:r>
    </w:p>
  </w:comment>
  <w:comment w:id="31" w:author="Deepak Bhandari" w:date="2026-02-09T13:01:00Z" w:initials="DB">
    <w:p w14:paraId="02AE736B" w14:textId="0E30F8FD" w:rsidR="00B542B9" w:rsidRDefault="00B542B9">
      <w:pPr>
        <w:pStyle w:val="CommentText"/>
      </w:pPr>
      <w:r>
        <w:rPr>
          <w:rStyle w:val="CommentReference"/>
        </w:rPr>
        <w:annotationRef/>
      </w:r>
      <w:r>
        <w:t>Aluminum, and</w:t>
      </w:r>
    </w:p>
  </w:comment>
  <w:comment w:id="32" w:author="Deepak Bhandari" w:date="2026-02-09T13:05:00Z" w:initials="DB">
    <w:p w14:paraId="7D0B97E4" w14:textId="464F5CE6" w:rsidR="00B542B9" w:rsidRDefault="00B542B9">
      <w:pPr>
        <w:pStyle w:val="CommentText"/>
      </w:pPr>
      <w:r>
        <w:rPr>
          <w:rStyle w:val="CommentReference"/>
        </w:rPr>
        <w:annotationRef/>
      </w:r>
      <w:r>
        <w:t>a higher</w:t>
      </w:r>
    </w:p>
  </w:comment>
  <w:comment w:id="33" w:author="Deepak Bhandari" w:date="2026-02-09T13:03:00Z" w:initials="DB">
    <w:p w14:paraId="553A52E9" w14:textId="6698956D" w:rsidR="00B542B9" w:rsidRDefault="00B542B9">
      <w:pPr>
        <w:pStyle w:val="CommentText"/>
      </w:pPr>
      <w:r>
        <w:rPr>
          <w:rStyle w:val="CommentReference"/>
        </w:rPr>
        <w:annotationRef/>
      </w:r>
      <w:r w:rsidR="009F7D64">
        <w:t>Adopt uniformity in writing the metals. Somewhere it starts with caps and others small letters.</w:t>
      </w:r>
    </w:p>
  </w:comment>
  <w:comment w:id="34" w:author="Deepak Bhandari" w:date="2026-02-09T13:04:00Z" w:initials="DB">
    <w:p w14:paraId="570119ED" w14:textId="72D55430" w:rsidR="00B542B9" w:rsidRDefault="00B542B9">
      <w:pPr>
        <w:pStyle w:val="CommentText"/>
      </w:pPr>
      <w:r>
        <w:rPr>
          <w:rStyle w:val="CommentReference"/>
        </w:rPr>
        <w:annotationRef/>
      </w:r>
      <w:r>
        <w:t>from</w:t>
      </w:r>
    </w:p>
  </w:comment>
  <w:comment w:id="35" w:author="Deepak Bhandari" w:date="2026-02-09T14:43:00Z" w:initials="DB">
    <w:p w14:paraId="224DB67A" w14:textId="4C696BE2" w:rsidR="008335B8" w:rsidRDefault="008335B8">
      <w:pPr>
        <w:pStyle w:val="CommentText"/>
      </w:pPr>
      <w:r>
        <w:rPr>
          <w:rStyle w:val="CommentReference"/>
        </w:rPr>
        <w:annotationRef/>
      </w:r>
      <w:r>
        <w:t>Seafood</w:t>
      </w:r>
    </w:p>
  </w:comment>
  <w:comment w:id="36" w:author="Deepak Bhandari" w:date="2026-02-09T13:16:00Z" w:initials="DB">
    <w:p w14:paraId="04481C73" w14:textId="60F4DACD" w:rsidR="007551C4" w:rsidRDefault="007551C4">
      <w:pPr>
        <w:pStyle w:val="CommentText"/>
      </w:pPr>
      <w:r>
        <w:rPr>
          <w:rStyle w:val="CommentReference"/>
        </w:rPr>
        <w:annotationRef/>
      </w:r>
      <w:r>
        <w:t xml:space="preserve">a higher concentration in the </w:t>
      </w:r>
      <w:r w:rsidRPr="007551C4">
        <w:t>seafood</w:t>
      </w:r>
    </w:p>
  </w:comment>
  <w:comment w:id="37" w:author="Deepak Bhandari" w:date="2026-02-09T13:18:00Z" w:initials="DB">
    <w:p w14:paraId="2C7ACD3B" w14:textId="0408871D" w:rsidR="007551C4" w:rsidRDefault="007551C4">
      <w:pPr>
        <w:pStyle w:val="CommentText"/>
      </w:pPr>
      <w:r>
        <w:rPr>
          <w:rStyle w:val="CommentReference"/>
        </w:rPr>
        <w:annotationRef/>
      </w:r>
      <w:r>
        <w:t>manganese, and antimony.</w:t>
      </w:r>
    </w:p>
  </w:comment>
  <w:comment w:id="38" w:author="Deepak Bhandari" w:date="2026-02-09T13:24:00Z" w:initials="DB">
    <w:p w14:paraId="1E8E8A82" w14:textId="4053CAA8" w:rsidR="007551C4" w:rsidRDefault="007551C4">
      <w:pPr>
        <w:pStyle w:val="CommentText"/>
      </w:pPr>
      <w:r>
        <w:rPr>
          <w:rStyle w:val="CommentReference"/>
        </w:rPr>
        <w:annotationRef/>
      </w:r>
      <w:r>
        <w:t xml:space="preserve">However, the antimony was not found </w:t>
      </w:r>
    </w:p>
  </w:comment>
  <w:comment w:id="39" w:author="Deepak Bhandari" w:date="2026-02-09T13:20:00Z" w:initials="DB">
    <w:p w14:paraId="622CAE81" w14:textId="1DB4C4BD" w:rsidR="007551C4" w:rsidRDefault="007551C4">
      <w:pPr>
        <w:pStyle w:val="CommentText"/>
      </w:pPr>
      <w:r>
        <w:rPr>
          <w:rStyle w:val="CommentReference"/>
        </w:rPr>
        <w:annotationRef/>
      </w:r>
      <w:r>
        <w:t>of Heavy</w:t>
      </w:r>
    </w:p>
  </w:comment>
  <w:comment w:id="40" w:author="Deepak Bhandari" w:date="2026-02-09T13:26:00Z" w:initials="DB">
    <w:p w14:paraId="7CB2E302" w14:textId="59FE3232" w:rsidR="007551C4" w:rsidRDefault="007551C4">
      <w:pPr>
        <w:pStyle w:val="CommentText"/>
      </w:pPr>
      <w:r>
        <w:rPr>
          <w:rStyle w:val="CommentReference"/>
        </w:rPr>
        <w:annotationRef/>
      </w:r>
      <w:r>
        <w:t>Seafood</w:t>
      </w:r>
    </w:p>
  </w:comment>
  <w:comment w:id="41" w:author="Deepak Bhandari" w:date="2026-02-09T13:25:00Z" w:initials="DB">
    <w:p w14:paraId="69926007" w14:textId="4BC5C211" w:rsidR="007551C4" w:rsidRDefault="007551C4">
      <w:pPr>
        <w:pStyle w:val="CommentText"/>
      </w:pPr>
      <w:r>
        <w:rPr>
          <w:rStyle w:val="CommentReference"/>
        </w:rPr>
        <w:annotationRef/>
      </w:r>
      <w:r>
        <w:t>Seafood</w:t>
      </w:r>
    </w:p>
  </w:comment>
  <w:comment w:id="42" w:author="Deepak Bhandari" w:date="2026-02-09T14:44:00Z" w:initials="DB">
    <w:p w14:paraId="035CAA80" w14:textId="11FCE4B4" w:rsidR="008335B8" w:rsidRDefault="008335B8">
      <w:pPr>
        <w:pStyle w:val="CommentText"/>
      </w:pPr>
      <w:r>
        <w:rPr>
          <w:rStyle w:val="CommentReference"/>
        </w:rPr>
        <w:annotationRef/>
      </w:r>
      <w:r>
        <w:t>from</w:t>
      </w:r>
    </w:p>
  </w:comment>
  <w:comment w:id="43" w:author="Deepak Bhandari" w:date="2026-02-09T16:03:00Z" w:initials="DB">
    <w:p w14:paraId="4E391D9C" w14:textId="73D5B1D9" w:rsidR="0030629D" w:rsidRDefault="0030629D">
      <w:pPr>
        <w:pStyle w:val="CommentText"/>
      </w:pPr>
      <w:r>
        <w:rPr>
          <w:rStyle w:val="CommentReference"/>
        </w:rPr>
        <w:annotationRef/>
      </w:r>
      <w:r>
        <w:t xml:space="preserve">lead to </w:t>
      </w:r>
    </w:p>
  </w:comment>
  <w:comment w:id="44" w:author="Deepak Bhandari" w:date="2026-02-09T14:48:00Z" w:initials="DB">
    <w:p w14:paraId="2DDE7E18" w14:textId="22C859E0" w:rsidR="008335B8" w:rsidRDefault="008335B8">
      <w:pPr>
        <w:pStyle w:val="CommentText"/>
      </w:pPr>
      <w:r>
        <w:rPr>
          <w:rStyle w:val="CommentReference"/>
        </w:rPr>
        <w:annotationRef/>
      </w:r>
      <w:r>
        <w:t>What is the threshold</w:t>
      </w:r>
      <w:r w:rsidR="007073D8">
        <w:t>/acceptable limits</w:t>
      </w:r>
      <w:r>
        <w:t xml:space="preserve"> for different </w:t>
      </w:r>
      <w:r w:rsidR="007073D8">
        <w:t xml:space="preserve">heavy metals </w:t>
      </w:r>
      <w:r>
        <w:t>as set by different organizations like FA</w:t>
      </w:r>
      <w:r w:rsidR="007073D8">
        <w:t>O</w:t>
      </w:r>
      <w:r>
        <w:t>. WHO, FEPA etc.</w:t>
      </w:r>
    </w:p>
  </w:comment>
  <w:comment w:id="45" w:author="Deepak Bhandari" w:date="2026-02-09T14:53:00Z" w:initials="DB">
    <w:p w14:paraId="7B2CAE01" w14:textId="1ED9F9CE" w:rsidR="007073D8" w:rsidRDefault="007073D8">
      <w:pPr>
        <w:pStyle w:val="CommentText"/>
      </w:pPr>
      <w:r>
        <w:rPr>
          <w:rStyle w:val="CommentReference"/>
        </w:rPr>
        <w:annotationRef/>
      </w:r>
      <w:r>
        <w:t>Comparison from FAO/WHO or any other organization.</w:t>
      </w:r>
    </w:p>
  </w:comment>
  <w:comment w:id="46" w:author="Deepak Bhandari" w:date="2026-02-09T16:04:00Z" w:initials="DB">
    <w:p w14:paraId="6814D6C1" w14:textId="63A099A4" w:rsidR="0030629D" w:rsidRDefault="0030629D">
      <w:pPr>
        <w:pStyle w:val="CommentText"/>
      </w:pPr>
      <w:r>
        <w:rPr>
          <w:rStyle w:val="CommentReference"/>
        </w:rPr>
        <w:annotationRef/>
      </w:r>
      <w:r>
        <w:t xml:space="preserve">Ujah (2023) is </w:t>
      </w:r>
      <w:r w:rsidRPr="0030629D">
        <w:t>listed</w:t>
      </w:r>
      <w:r>
        <w:t>.</w:t>
      </w:r>
    </w:p>
  </w:comment>
  <w:comment w:id="47" w:author="Deepak Bhandari" w:date="2026-02-09T14:55:00Z" w:initials="DB">
    <w:p w14:paraId="2B5107B0" w14:textId="1F4E7460" w:rsidR="007073D8" w:rsidRDefault="007073D8">
      <w:pPr>
        <w:pStyle w:val="CommentText"/>
      </w:pPr>
      <w:r>
        <w:rPr>
          <w:rStyle w:val="CommentReference"/>
        </w:rPr>
        <w:annotationRef/>
      </w:r>
      <w:r>
        <w:t>What are those levels?</w:t>
      </w:r>
    </w:p>
  </w:comment>
  <w:comment w:id="48" w:author="Deepak Bhandari" w:date="2026-02-09T15:01:00Z" w:initials="DB">
    <w:p w14:paraId="5E998E49" w14:textId="116633DA" w:rsidR="007073D8" w:rsidRDefault="007073D8">
      <w:pPr>
        <w:pStyle w:val="CommentText"/>
      </w:pPr>
      <w:r>
        <w:rPr>
          <w:rStyle w:val="CommentReference"/>
        </w:rPr>
        <w:annotationRef/>
      </w:r>
      <w:bookmarkStart w:id="49" w:name="_Hlk221542312"/>
      <w:r w:rsidR="008D6F2A">
        <w:t>f</w:t>
      </w:r>
      <w:r>
        <w:t xml:space="preserve">rom all seafood </w:t>
      </w:r>
      <w:r w:rsidR="008D6F2A">
        <w:t>samples from the three markets.</w:t>
      </w:r>
    </w:p>
    <w:bookmarkEnd w:id="49"/>
  </w:comment>
  <w:comment w:id="50" w:author="Deepak Bhandari" w:date="2026-02-09T14:57:00Z" w:initials="DB">
    <w:p w14:paraId="1FD355DA" w14:textId="0BD8E426" w:rsidR="007073D8" w:rsidRDefault="007073D8">
      <w:pPr>
        <w:pStyle w:val="CommentText"/>
      </w:pPr>
      <w:r>
        <w:rPr>
          <w:rStyle w:val="CommentReference"/>
        </w:rPr>
        <w:annotationRef/>
      </w:r>
      <w:r>
        <w:t>What is minimum acceptable limit?</w:t>
      </w:r>
    </w:p>
  </w:comment>
  <w:comment w:id="51" w:author="Deepak Bhandari" w:date="2026-02-09T15:02:00Z" w:initials="DB">
    <w:p w14:paraId="687F65EA" w14:textId="77777777" w:rsidR="008D6F2A" w:rsidRDefault="008D6F2A" w:rsidP="008D6F2A">
      <w:pPr>
        <w:pStyle w:val="CommentText"/>
      </w:pPr>
      <w:r>
        <w:rPr>
          <w:rStyle w:val="CommentReference"/>
        </w:rPr>
        <w:annotationRef/>
      </w:r>
      <w:r>
        <w:t>from all seafood samples from the three markets.</w:t>
      </w:r>
    </w:p>
    <w:p w14:paraId="6C6F9603" w14:textId="7A75BFBC" w:rsidR="008D6F2A" w:rsidRDefault="008D6F2A">
      <w:pPr>
        <w:pStyle w:val="CommentText"/>
      </w:pPr>
    </w:p>
  </w:comment>
  <w:comment w:id="52" w:author="Deepak Bhandari" w:date="2026-02-09T15:04:00Z" w:initials="DB">
    <w:p w14:paraId="740D3AD7" w14:textId="78434B75" w:rsidR="008D6F2A" w:rsidRDefault="008D6F2A">
      <w:pPr>
        <w:pStyle w:val="CommentText"/>
      </w:pPr>
      <w:r>
        <w:rPr>
          <w:rStyle w:val="CommentReference"/>
        </w:rPr>
        <w:annotationRef/>
      </w:r>
      <w:r>
        <w:t xml:space="preserve">than those </w:t>
      </w:r>
    </w:p>
  </w:comment>
  <w:comment w:id="53" w:author="Deepak Bhandari" w:date="2026-02-09T15:03:00Z" w:initials="DB">
    <w:p w14:paraId="1249878F" w14:textId="3F328186" w:rsidR="008D6F2A" w:rsidRDefault="008D6F2A">
      <w:pPr>
        <w:pStyle w:val="CommentText"/>
      </w:pPr>
      <w:r>
        <w:rPr>
          <w:rStyle w:val="CommentReference"/>
        </w:rPr>
        <w:annotationRef/>
      </w:r>
      <w:r>
        <w:t>as set by …….?</w:t>
      </w:r>
    </w:p>
  </w:comment>
  <w:comment w:id="54" w:author="Deepak Bhandari" w:date="2026-02-09T15:05:00Z" w:initials="DB">
    <w:p w14:paraId="69A23AC6" w14:textId="2BFDE806" w:rsidR="008D6F2A" w:rsidRDefault="008D6F2A">
      <w:pPr>
        <w:pStyle w:val="CommentText"/>
      </w:pPr>
      <w:r>
        <w:rPr>
          <w:rStyle w:val="CommentReference"/>
        </w:rPr>
        <w:annotationRef/>
      </w:r>
      <w:r>
        <w:t>had</w:t>
      </w:r>
    </w:p>
  </w:comment>
  <w:comment w:id="55" w:author="Deepak Bhandari" w:date="2026-02-09T15:06:00Z" w:initials="DB">
    <w:p w14:paraId="129D3981" w14:textId="4D82E416" w:rsidR="008D6F2A" w:rsidRDefault="008D6F2A">
      <w:pPr>
        <w:pStyle w:val="CommentText"/>
      </w:pPr>
      <w:r>
        <w:rPr>
          <w:rStyle w:val="CommentReference"/>
        </w:rPr>
        <w:annotationRef/>
      </w:r>
      <w:r>
        <w:t>the two</w:t>
      </w:r>
    </w:p>
  </w:comment>
  <w:comment w:id="56" w:author="Deepak Bhandari" w:date="2026-02-09T15:09:00Z" w:initials="DB">
    <w:p w14:paraId="48D51EF1" w14:textId="06B6CB36" w:rsidR="008D6F2A" w:rsidRDefault="008D6F2A">
      <w:pPr>
        <w:pStyle w:val="CommentText"/>
      </w:pPr>
      <w:r>
        <w:rPr>
          <w:rStyle w:val="CommentReference"/>
        </w:rPr>
        <w:annotationRef/>
      </w:r>
      <w:r>
        <w:t>snails</w:t>
      </w:r>
    </w:p>
  </w:comment>
  <w:comment w:id="57" w:author="Deepak Bhandari" w:date="2026-02-09T15:09:00Z" w:initials="DB">
    <w:p w14:paraId="2D9E9C87" w14:textId="4AD38509" w:rsidR="008D6F2A" w:rsidRDefault="008D6F2A">
      <w:pPr>
        <w:pStyle w:val="CommentText"/>
      </w:pPr>
      <w:r>
        <w:rPr>
          <w:rStyle w:val="CommentReference"/>
        </w:rPr>
        <w:annotationRef/>
      </w:r>
      <w:r>
        <w:t>periwinkles</w:t>
      </w:r>
    </w:p>
  </w:comment>
  <w:comment w:id="58" w:author="Deepak Bhandari" w:date="2026-02-09T15:11:00Z" w:initials="DB">
    <w:p w14:paraId="511B7D93" w14:textId="7666F576" w:rsidR="008D6F2A" w:rsidRDefault="008D6F2A">
      <w:pPr>
        <w:pStyle w:val="CommentText"/>
      </w:pPr>
      <w:r>
        <w:rPr>
          <w:rStyle w:val="CommentReference"/>
        </w:rPr>
        <w:annotationRef/>
      </w:r>
      <w:r>
        <w:t>The</w:t>
      </w:r>
    </w:p>
  </w:comment>
  <w:comment w:id="59" w:author="Deepak Bhandari" w:date="2026-02-09T15:10:00Z" w:initials="DB">
    <w:p w14:paraId="2FA382B0" w14:textId="61A1E42C" w:rsidR="008D6F2A" w:rsidRDefault="008D6F2A">
      <w:pPr>
        <w:pStyle w:val="CommentText"/>
      </w:pPr>
      <w:r>
        <w:rPr>
          <w:rStyle w:val="CommentReference"/>
        </w:rPr>
        <w:annotationRef/>
      </w:r>
      <w:r>
        <w:t>seafood</w:t>
      </w:r>
    </w:p>
  </w:comment>
  <w:comment w:id="60" w:author="Deepak Bhandari" w:date="2026-02-09T15:13:00Z" w:initials="DB">
    <w:p w14:paraId="148C7F8B" w14:textId="312267AE" w:rsidR="00776ED4" w:rsidRDefault="00776ED4">
      <w:pPr>
        <w:pStyle w:val="CommentText"/>
      </w:pPr>
      <w:r>
        <w:rPr>
          <w:rStyle w:val="CommentReference"/>
        </w:rPr>
        <w:annotationRef/>
      </w:r>
      <w:r>
        <w:t>seafoods,</w:t>
      </w:r>
    </w:p>
  </w:comment>
  <w:comment w:id="61" w:author="Deepak Bhandari" w:date="2026-02-09T15:13:00Z" w:initials="DB">
    <w:p w14:paraId="0FF04120" w14:textId="1622275D" w:rsidR="00776ED4" w:rsidRDefault="00776ED4">
      <w:pPr>
        <w:pStyle w:val="CommentText"/>
      </w:pPr>
      <w:r>
        <w:rPr>
          <w:rStyle w:val="CommentReference"/>
        </w:rPr>
        <w:annotationRef/>
      </w:r>
      <w:r>
        <w:t>seafoods</w:t>
      </w:r>
    </w:p>
  </w:comment>
  <w:comment w:id="63" w:author="Deepak Bhandari" w:date="2026-02-09T16:10:00Z" w:initials="DB">
    <w:p w14:paraId="23330FD5" w14:textId="77FF0404" w:rsidR="0030629D" w:rsidRDefault="0030629D">
      <w:pPr>
        <w:pStyle w:val="CommentText"/>
      </w:pPr>
      <w:r>
        <w:rPr>
          <w:rStyle w:val="CommentReference"/>
        </w:rPr>
        <w:annotationRef/>
      </w:r>
      <w:r>
        <w:t>seafoods</w:t>
      </w:r>
    </w:p>
  </w:comment>
  <w:comment w:id="62" w:author="Deepak Bhandari" w:date="2026-02-09T15:14:00Z" w:initials="DB">
    <w:p w14:paraId="374CDB99" w14:textId="57B1E213" w:rsidR="00776ED4" w:rsidRDefault="00776ED4">
      <w:pPr>
        <w:pStyle w:val="CommentText"/>
      </w:pPr>
      <w:r>
        <w:rPr>
          <w:rStyle w:val="CommentReference"/>
        </w:rPr>
        <w:annotationRef/>
      </w:r>
      <w:r>
        <w:t>Why the varying level of uptake, please justify.</w:t>
      </w:r>
    </w:p>
  </w:comment>
  <w:comment w:id="64" w:author="Deepak Bhandari" w:date="2026-02-09T15:15:00Z" w:initials="DB">
    <w:p w14:paraId="7609D66D" w14:textId="58E6FCEC" w:rsidR="00776ED4" w:rsidRDefault="00776ED4">
      <w:pPr>
        <w:pStyle w:val="CommentText"/>
      </w:pPr>
      <w:r>
        <w:rPr>
          <w:rStyle w:val="CommentReference"/>
        </w:rPr>
        <w:annotationRef/>
      </w:r>
      <w:r>
        <w:t>metal levels</w:t>
      </w:r>
    </w:p>
  </w:comment>
  <w:comment w:id="65" w:author="Deepak Bhandari" w:date="2026-02-09T15:16:00Z" w:initials="DB">
    <w:p w14:paraId="3081D4A9" w14:textId="782CA66B" w:rsidR="00776ED4" w:rsidRDefault="00776ED4">
      <w:pPr>
        <w:pStyle w:val="CommentText"/>
      </w:pPr>
      <w:r>
        <w:rPr>
          <w:rStyle w:val="CommentReference"/>
        </w:rPr>
        <w:annotationRef/>
      </w:r>
      <w:r>
        <w:t>delete coma</w:t>
      </w:r>
    </w:p>
  </w:comment>
  <w:comment w:id="66" w:author="Deepak Bhandari" w:date="2026-02-09T15:17:00Z" w:initials="DB">
    <w:p w14:paraId="63F93F8B" w14:textId="4E9550E0" w:rsidR="00776ED4" w:rsidRDefault="00776ED4">
      <w:pPr>
        <w:pStyle w:val="CommentText"/>
      </w:pPr>
      <w:r>
        <w:rPr>
          <w:rStyle w:val="CommentReference"/>
        </w:rPr>
        <w:annotationRef/>
      </w:r>
      <w:r>
        <w:t>what is safe limit?</w:t>
      </w:r>
    </w:p>
  </w:comment>
  <w:comment w:id="67" w:author="Deepak Bhandari" w:date="2026-02-09T15:18:00Z" w:initials="DB">
    <w:p w14:paraId="514C8E2C" w14:textId="271122C7" w:rsidR="00776ED4" w:rsidRDefault="00776ED4">
      <w:pPr>
        <w:pStyle w:val="CommentText"/>
      </w:pPr>
      <w:r>
        <w:rPr>
          <w:rStyle w:val="CommentReference"/>
        </w:rPr>
        <w:annotationRef/>
      </w:r>
      <w:r>
        <w:t xml:space="preserve">Why mitigate if </w:t>
      </w:r>
      <w:r w:rsidRPr="00776ED4">
        <w:t>there is no risk at present</w:t>
      </w:r>
      <w:r>
        <w:t>? Revise the sentence.</w:t>
      </w:r>
    </w:p>
  </w:comment>
  <w:comment w:id="68" w:author="Deepak Bhandari" w:date="2026-02-09T16:11:00Z" w:initials="DB">
    <w:p w14:paraId="0D4A15E7" w14:textId="2CA4AF2F" w:rsidR="0030629D" w:rsidRDefault="0030629D">
      <w:pPr>
        <w:pStyle w:val="CommentText"/>
      </w:pPr>
      <w:r>
        <w:rPr>
          <w:rStyle w:val="CommentReference"/>
        </w:rPr>
        <w:annotationRef/>
      </w:r>
      <w:r>
        <w:t>Italic scientific names</w:t>
      </w:r>
    </w:p>
  </w:comment>
  <w:comment w:id="69" w:author="Deepak Bhandari" w:date="2026-02-09T16:13:00Z" w:initials="DB">
    <w:p w14:paraId="6955D000" w14:textId="4CB720A8" w:rsidR="002A65AD" w:rsidRDefault="002A65AD">
      <w:pPr>
        <w:pStyle w:val="CommentText"/>
      </w:pPr>
      <w:r>
        <w:rPr>
          <w:rStyle w:val="CommentReference"/>
        </w:rPr>
        <w:annotationRef/>
      </w:r>
      <w:r>
        <w:t>Editor’s name missing</w:t>
      </w:r>
    </w:p>
  </w:comment>
  <w:comment w:id="70" w:author="Deepak Bhandari" w:date="2026-02-09T16:13:00Z" w:initials="DB">
    <w:p w14:paraId="286CA779" w14:textId="15ABDE47" w:rsidR="002A65AD" w:rsidRDefault="002A65AD">
      <w:pPr>
        <w:pStyle w:val="CommentText"/>
      </w:pPr>
      <w:r>
        <w:rPr>
          <w:rStyle w:val="CommentReference"/>
        </w:rPr>
        <w:annotationRef/>
      </w:r>
      <w:r>
        <w:t>Chemistry</w:t>
      </w:r>
    </w:p>
  </w:comment>
  <w:comment w:id="71" w:author="Deepak Bhandari" w:date="2026-02-09T15:23:00Z" w:initials="DB">
    <w:p w14:paraId="1814A153" w14:textId="13A82E34" w:rsidR="008B2052" w:rsidRDefault="008B2052">
      <w:pPr>
        <w:pStyle w:val="CommentText"/>
      </w:pPr>
      <w:r>
        <w:rPr>
          <w:rStyle w:val="CommentReference"/>
        </w:rPr>
        <w:annotationRef/>
      </w:r>
      <w:r>
        <w:t>Repeated. Delete.</w:t>
      </w:r>
    </w:p>
  </w:comment>
  <w:comment w:id="72" w:author="Deepak Bhandari" w:date="2026-02-09T16:14:00Z" w:initials="DB">
    <w:p w14:paraId="7D7AFEEB" w14:textId="1ED3052F" w:rsidR="002A65AD" w:rsidRPr="002A65AD" w:rsidRDefault="002A65AD">
      <w:pPr>
        <w:pStyle w:val="CommentText"/>
        <w:rPr>
          <w:i/>
          <w:iCs/>
        </w:rPr>
      </w:pPr>
      <w:r>
        <w:rPr>
          <w:rStyle w:val="CommentReference"/>
        </w:rPr>
        <w:annotationRef/>
      </w:r>
      <w:r w:rsidRPr="002A65AD">
        <w:rPr>
          <w:i/>
          <w:iCs/>
        </w:rPr>
        <w:t>Current Environmental Health Reports</w:t>
      </w:r>
    </w:p>
  </w:comment>
  <w:comment w:id="73" w:author="Deepak Bhandari" w:date="2026-02-09T16:16:00Z" w:initials="DB">
    <w:p w14:paraId="2563911D" w14:textId="05E3E751" w:rsidR="002A65AD" w:rsidRDefault="002A65AD">
      <w:pPr>
        <w:pStyle w:val="CommentText"/>
      </w:pPr>
      <w:r>
        <w:rPr>
          <w:rStyle w:val="CommentReference"/>
        </w:rPr>
        <w:annotationRef/>
      </w:r>
      <w:r>
        <w:t>Advances</w:t>
      </w:r>
    </w:p>
  </w:comment>
  <w:comment w:id="74" w:author="Deepak Bhandari" w:date="2026-02-09T16:18:00Z" w:initials="DB">
    <w:p w14:paraId="132DC666" w14:textId="2317CA40" w:rsidR="002A65AD" w:rsidRDefault="002A65AD">
      <w:pPr>
        <w:pStyle w:val="CommentText"/>
      </w:pPr>
      <w:r>
        <w:rPr>
          <w:rStyle w:val="CommentReference"/>
        </w:rPr>
        <w:annotationRef/>
      </w:r>
      <w:r>
        <w:t>More</w:t>
      </w:r>
    </w:p>
  </w:comment>
  <w:comment w:id="75" w:author="Deepak Bhandari" w:date="2026-02-09T16:18:00Z" w:initials="DB">
    <w:p w14:paraId="62B6B112" w14:textId="4D7089AD" w:rsidR="002A65AD" w:rsidRPr="002A65AD" w:rsidRDefault="002A65AD">
      <w:pPr>
        <w:pStyle w:val="CommentText"/>
        <w:rPr>
          <w:i/>
          <w:iCs/>
        </w:rPr>
      </w:pPr>
      <w:r>
        <w:rPr>
          <w:rStyle w:val="CommentReference"/>
        </w:rPr>
        <w:annotationRef/>
      </w:r>
      <w:r w:rsidRPr="002A65AD">
        <w:rPr>
          <w:i/>
          <w:iCs/>
        </w:rPr>
        <w:t>Journal of Experimental Botany</w:t>
      </w:r>
    </w:p>
  </w:comment>
  <w:comment w:id="77" w:author="Deepak Bhandari" w:date="2026-02-09T16:19:00Z" w:initials="DB">
    <w:p w14:paraId="715E89D0" w14:textId="4B784F6E" w:rsidR="002A65AD" w:rsidRPr="002A65AD" w:rsidRDefault="002A65AD">
      <w:pPr>
        <w:pStyle w:val="CommentText"/>
        <w:rPr>
          <w:i/>
          <w:iCs/>
        </w:rPr>
      </w:pPr>
      <w:r w:rsidRPr="002A65AD">
        <w:rPr>
          <w:rStyle w:val="CommentReference"/>
          <w:i/>
          <w:iCs/>
        </w:rPr>
        <w:annotationRef/>
      </w:r>
      <w:r w:rsidRPr="002A65AD">
        <w:rPr>
          <w:i/>
          <w:iCs/>
        </w:rPr>
        <w:t>Toxicology</w:t>
      </w:r>
    </w:p>
  </w:comment>
  <w:comment w:id="76" w:author="Deepak Bhandari" w:date="2026-02-09T15:26:00Z" w:initials="DB">
    <w:p w14:paraId="36014274" w14:textId="3B7687B4" w:rsidR="008B2052" w:rsidRDefault="008B2052">
      <w:pPr>
        <w:pStyle w:val="CommentText"/>
      </w:pPr>
      <w:r>
        <w:rPr>
          <w:rStyle w:val="CommentReference"/>
        </w:rPr>
        <w:annotationRef/>
      </w:r>
      <w:r>
        <w:t>Year 2024 in the text</w:t>
      </w:r>
    </w:p>
  </w:comment>
  <w:comment w:id="78" w:author="Deepak Bhandari" w:date="2026-02-09T16:21:00Z" w:initials="DB">
    <w:p w14:paraId="618C1EE7" w14:textId="745DD493" w:rsidR="002A65AD" w:rsidRDefault="002A65AD">
      <w:pPr>
        <w:pStyle w:val="CommentText"/>
      </w:pPr>
      <w:r>
        <w:rPr>
          <w:rStyle w:val="CommentReference"/>
        </w:rPr>
        <w:annotationRef/>
      </w:r>
      <w:r>
        <w:t>?</w:t>
      </w:r>
    </w:p>
  </w:comment>
  <w:comment w:id="79" w:author="Deepak Bhandari" w:date="2026-02-09T16:21:00Z" w:initials="DB">
    <w:p w14:paraId="4EB0FB6B" w14:textId="47F3CDD3" w:rsidR="002A65AD" w:rsidRPr="002A65AD" w:rsidRDefault="002A65AD">
      <w:pPr>
        <w:pStyle w:val="CommentText"/>
        <w:rPr>
          <w:i/>
          <w:iCs/>
        </w:rPr>
      </w:pPr>
      <w:r>
        <w:rPr>
          <w:rStyle w:val="CommentReference"/>
        </w:rPr>
        <w:annotationRef/>
      </w:r>
      <w:r w:rsidRPr="002A65AD">
        <w:rPr>
          <w:i/>
          <w:iCs/>
        </w:rPr>
        <w:t>Metals</w:t>
      </w:r>
    </w:p>
  </w:comment>
  <w:comment w:id="80" w:author="Deepak Bhandari" w:date="2026-02-09T16:22:00Z" w:initials="DB">
    <w:p w14:paraId="454FC779" w14:textId="7798A117" w:rsidR="002A65AD" w:rsidRDefault="002A65AD">
      <w:pPr>
        <w:pStyle w:val="CommentText"/>
      </w:pPr>
      <w:r>
        <w:rPr>
          <w:rStyle w:val="CommentReference"/>
        </w:rPr>
        <w:annotationRef/>
      </w:r>
      <w:r>
        <w:t>Editor’s name is missing.</w:t>
      </w:r>
    </w:p>
  </w:comment>
  <w:comment w:id="81" w:author="Deepak Bhandari" w:date="2026-02-09T16:24:00Z" w:initials="DB">
    <w:p w14:paraId="1F66B858" w14:textId="02D9D928" w:rsidR="00410E62" w:rsidRDefault="00410E62">
      <w:pPr>
        <w:pStyle w:val="CommentText"/>
      </w:pPr>
      <w:r>
        <w:rPr>
          <w:rStyle w:val="CommentReference"/>
        </w:rPr>
        <w:annotationRef/>
      </w:r>
      <w:r>
        <w:t xml:space="preserve">Volume </w:t>
      </w:r>
      <w:proofErr w:type="gramStart"/>
      <w:r>
        <w:t>91 ?</w:t>
      </w:r>
      <w:proofErr w:type="gramEnd"/>
    </w:p>
  </w:comment>
  <w:comment w:id="82" w:author="Deepak Bhandari" w:date="2026-02-09T15:33:00Z" w:initials="DB">
    <w:p w14:paraId="2F882C43" w14:textId="7D24BF2A" w:rsidR="000E1BB2" w:rsidRDefault="000E1BB2">
      <w:pPr>
        <w:pStyle w:val="CommentText"/>
      </w:pPr>
      <w:r>
        <w:rPr>
          <w:rStyle w:val="CommentReference"/>
        </w:rPr>
        <w:annotationRef/>
      </w:r>
      <w:r>
        <w:t>Year is missing.</w:t>
      </w:r>
    </w:p>
  </w:comment>
  <w:comment w:id="83" w:author="Deepak Bhandari" w:date="2026-02-09T16:30:00Z" w:initials="DB">
    <w:p w14:paraId="05C6B1B0" w14:textId="55DE7316" w:rsidR="00410E62" w:rsidRDefault="00410E62">
      <w:pPr>
        <w:pStyle w:val="CommentText"/>
      </w:pPr>
      <w:r>
        <w:rPr>
          <w:rStyle w:val="CommentReference"/>
        </w:rPr>
        <w:annotationRef/>
      </w:r>
      <w:r>
        <w:t>Italic</w:t>
      </w:r>
    </w:p>
  </w:comment>
  <w:comment w:id="84" w:author="Deepak Bhandari" w:date="2026-02-09T16:30:00Z" w:initials="DB">
    <w:p w14:paraId="51F1FFCA" w14:textId="07A45EDF" w:rsidR="00410E62" w:rsidRPr="00410E62" w:rsidRDefault="00410E62">
      <w:pPr>
        <w:pStyle w:val="CommentText"/>
        <w:rPr>
          <w:i/>
          <w:iCs/>
        </w:rPr>
      </w:pPr>
      <w:r w:rsidRPr="00410E62">
        <w:rPr>
          <w:rStyle w:val="CommentReference"/>
          <w:i/>
          <w:iCs/>
        </w:rPr>
        <w:annotationRef/>
      </w:r>
      <w:r w:rsidRPr="00410E62">
        <w:rPr>
          <w:i/>
          <w:iCs/>
        </w:rPr>
        <w:t>International Journal of Environmental Research and Public Health</w:t>
      </w:r>
    </w:p>
  </w:comment>
  <w:comment w:id="85" w:author="Deepak Bhandari" w:date="2026-02-09T16:31:00Z" w:initials="DB">
    <w:p w14:paraId="47D849A8" w14:textId="54D47FA8" w:rsidR="00410E62" w:rsidRPr="00410E62" w:rsidRDefault="00410E62">
      <w:pPr>
        <w:pStyle w:val="CommentText"/>
        <w:rPr>
          <w:i/>
          <w:iCs/>
        </w:rPr>
      </w:pPr>
      <w:r>
        <w:rPr>
          <w:rStyle w:val="CommentReference"/>
        </w:rPr>
        <w:annotationRef/>
      </w:r>
      <w:r w:rsidRPr="00410E62">
        <w:rPr>
          <w:i/>
          <w:iCs/>
        </w:rPr>
        <w:t>Cellular Biochemistry</w:t>
      </w:r>
    </w:p>
  </w:comment>
  <w:comment w:id="86" w:author="Deepak Bhandari" w:date="2026-02-09T16:34:00Z" w:initials="DB">
    <w:p w14:paraId="45F03224" w14:textId="08E78226" w:rsidR="00DD6898" w:rsidRDefault="00DD6898">
      <w:pPr>
        <w:pStyle w:val="CommentText"/>
      </w:pPr>
      <w:r>
        <w:rPr>
          <w:rStyle w:val="CommentReference"/>
        </w:rPr>
        <w:annotationRef/>
      </w:r>
      <w:r>
        <w:t>Reference is incomplete.</w:t>
      </w:r>
    </w:p>
  </w:comment>
  <w:comment w:id="87" w:author="Deepak Bhandari" w:date="2026-02-09T15:36:00Z" w:initials="DB">
    <w:p w14:paraId="2BCCB1B6" w14:textId="19BE2BE3" w:rsidR="000E1BB2" w:rsidRDefault="000E1BB2">
      <w:pPr>
        <w:pStyle w:val="CommentText"/>
      </w:pPr>
      <w:r>
        <w:rPr>
          <w:rStyle w:val="CommentReference"/>
        </w:rPr>
        <w:annotationRef/>
      </w:r>
      <w:r>
        <w:t>Ujah et al. is cited in the text.</w:t>
      </w:r>
    </w:p>
  </w:comment>
  <w:comment w:id="88" w:author="Deepak Bhandari" w:date="2026-02-09T16:35:00Z" w:initials="DB">
    <w:p w14:paraId="34789C49" w14:textId="585FE480" w:rsidR="00DD6898" w:rsidRDefault="00DD6898">
      <w:pPr>
        <w:pStyle w:val="CommentText"/>
      </w:pPr>
      <w:r>
        <w:rPr>
          <w:rStyle w:val="CommentReference"/>
        </w:rPr>
        <w:annotationRef/>
      </w:r>
      <w:r>
        <w:t>See the pattern of the journal.</w:t>
      </w:r>
    </w:p>
  </w:comment>
  <w:comment w:id="89" w:author="Deepak Bhandari" w:date="2026-02-09T16:36:00Z" w:initials="DB">
    <w:p w14:paraId="71CDDDD6" w14:textId="24EDF692" w:rsidR="00DD6898" w:rsidRDefault="00DD6898">
      <w:pPr>
        <w:pStyle w:val="CommentText"/>
      </w:pPr>
      <w:r>
        <w:rPr>
          <w:rStyle w:val="CommentReference"/>
        </w:rPr>
        <w:annotationRef/>
      </w:r>
      <w:r>
        <w:t>Editors?</w:t>
      </w:r>
    </w:p>
  </w:comment>
  <w:comment w:id="90" w:author="Deepak Bhandari" w:date="2026-02-09T16:36:00Z" w:initials="DB">
    <w:p w14:paraId="58190F10" w14:textId="4A11771B" w:rsidR="00DD6898" w:rsidRPr="00DD6898" w:rsidRDefault="00DD6898">
      <w:pPr>
        <w:pStyle w:val="CommentText"/>
        <w:rPr>
          <w:i/>
          <w:iCs/>
        </w:rPr>
      </w:pPr>
      <w:r w:rsidRPr="00DD6898">
        <w:rPr>
          <w:rStyle w:val="CommentReference"/>
          <w:i/>
          <w:iCs/>
        </w:rPr>
        <w:annotationRef/>
      </w:r>
      <w:r w:rsidRPr="00DD6898">
        <w:rPr>
          <w:i/>
          <w:iCs/>
        </w:rPr>
        <w:t>Journal of Exposure Science &amp; Environmental Epidemiology</w:t>
      </w:r>
    </w:p>
  </w:comment>
  <w:comment w:id="91" w:author="Deepak Bhandari" w:date="2026-02-09T16:38:00Z" w:initials="DB">
    <w:p w14:paraId="3B0824C2" w14:textId="2C0BF609" w:rsidR="00DD6898" w:rsidRPr="00DD6898" w:rsidRDefault="00DD6898">
      <w:pPr>
        <w:pStyle w:val="CommentText"/>
        <w:rPr>
          <w:i/>
          <w:iCs/>
        </w:rPr>
      </w:pPr>
      <w:r>
        <w:rPr>
          <w:rStyle w:val="CommentReference"/>
        </w:rPr>
        <w:annotationRef/>
      </w:r>
      <w:proofErr w:type="spellStart"/>
      <w:r w:rsidRPr="00DD6898">
        <w:rPr>
          <w:i/>
          <w:iCs/>
        </w:rPr>
        <w:t>Biochemistryi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20B2CC" w15:done="0"/>
  <w15:commentEx w15:paraId="24A01CC5" w15:done="0"/>
  <w15:commentEx w15:paraId="766126A1" w15:done="0"/>
  <w15:commentEx w15:paraId="430217FC" w15:done="0"/>
  <w15:commentEx w15:paraId="4843CE6D" w15:done="0"/>
  <w15:commentEx w15:paraId="2C2352AC" w15:done="0"/>
  <w15:commentEx w15:paraId="7E08F569" w15:done="0"/>
  <w15:commentEx w15:paraId="7790CE54" w15:done="0"/>
  <w15:commentEx w15:paraId="110BD36C" w15:done="0"/>
  <w15:commentEx w15:paraId="027FED61" w15:done="0"/>
  <w15:commentEx w15:paraId="5CEA3749" w15:done="0"/>
  <w15:commentEx w15:paraId="0C374C78" w15:done="0"/>
  <w15:commentEx w15:paraId="4DAF2B28" w15:done="0"/>
  <w15:commentEx w15:paraId="34ACEB6D" w15:done="0"/>
  <w15:commentEx w15:paraId="7714FF1F" w15:done="0"/>
  <w15:commentEx w15:paraId="770EA347" w15:done="0"/>
  <w15:commentEx w15:paraId="1C33FFF7" w15:done="0"/>
  <w15:commentEx w15:paraId="776CB76A" w15:done="0"/>
  <w15:commentEx w15:paraId="00D3E8B5" w15:done="0"/>
  <w15:commentEx w15:paraId="47E2D365" w15:done="0"/>
  <w15:commentEx w15:paraId="7244EF3D" w15:done="0"/>
  <w15:commentEx w15:paraId="30378E24" w15:done="0"/>
  <w15:commentEx w15:paraId="758CADA0" w15:done="0"/>
  <w15:commentEx w15:paraId="32AB133D" w15:done="0"/>
  <w15:commentEx w15:paraId="20D03E73" w15:done="0"/>
  <w15:commentEx w15:paraId="35150EB8" w15:done="0"/>
  <w15:commentEx w15:paraId="1A7CCD2A" w15:done="0"/>
  <w15:commentEx w15:paraId="29054E5A" w15:done="0"/>
  <w15:commentEx w15:paraId="02AE736B" w15:done="0"/>
  <w15:commentEx w15:paraId="7D0B97E4" w15:done="0"/>
  <w15:commentEx w15:paraId="553A52E9" w15:done="0"/>
  <w15:commentEx w15:paraId="570119ED" w15:done="0"/>
  <w15:commentEx w15:paraId="224DB67A" w15:done="0"/>
  <w15:commentEx w15:paraId="04481C73" w15:done="0"/>
  <w15:commentEx w15:paraId="2C7ACD3B" w15:done="0"/>
  <w15:commentEx w15:paraId="1E8E8A82" w15:done="0"/>
  <w15:commentEx w15:paraId="622CAE81" w15:done="0"/>
  <w15:commentEx w15:paraId="7CB2E302" w15:done="0"/>
  <w15:commentEx w15:paraId="69926007" w15:done="0"/>
  <w15:commentEx w15:paraId="035CAA80" w15:done="0"/>
  <w15:commentEx w15:paraId="4E391D9C" w15:done="0"/>
  <w15:commentEx w15:paraId="2DDE7E18" w15:done="0"/>
  <w15:commentEx w15:paraId="7B2CAE01" w15:done="0"/>
  <w15:commentEx w15:paraId="6814D6C1" w15:done="0"/>
  <w15:commentEx w15:paraId="2B5107B0" w15:done="0"/>
  <w15:commentEx w15:paraId="5E998E49" w15:done="0"/>
  <w15:commentEx w15:paraId="1FD355DA" w15:done="0"/>
  <w15:commentEx w15:paraId="6C6F9603" w15:done="0"/>
  <w15:commentEx w15:paraId="740D3AD7" w15:done="0"/>
  <w15:commentEx w15:paraId="1249878F" w15:done="0"/>
  <w15:commentEx w15:paraId="69A23AC6" w15:done="0"/>
  <w15:commentEx w15:paraId="129D3981" w15:done="0"/>
  <w15:commentEx w15:paraId="48D51EF1" w15:done="0"/>
  <w15:commentEx w15:paraId="2D9E9C87" w15:done="0"/>
  <w15:commentEx w15:paraId="511B7D93" w15:done="0"/>
  <w15:commentEx w15:paraId="2FA382B0" w15:done="0"/>
  <w15:commentEx w15:paraId="148C7F8B" w15:done="0"/>
  <w15:commentEx w15:paraId="0FF04120" w15:done="0"/>
  <w15:commentEx w15:paraId="23330FD5" w15:done="0"/>
  <w15:commentEx w15:paraId="374CDB99" w15:done="0"/>
  <w15:commentEx w15:paraId="7609D66D" w15:done="0"/>
  <w15:commentEx w15:paraId="3081D4A9" w15:done="0"/>
  <w15:commentEx w15:paraId="63F93F8B" w15:done="0"/>
  <w15:commentEx w15:paraId="514C8E2C" w15:done="0"/>
  <w15:commentEx w15:paraId="0D4A15E7" w15:done="0"/>
  <w15:commentEx w15:paraId="6955D000" w15:done="0"/>
  <w15:commentEx w15:paraId="286CA779" w15:done="0"/>
  <w15:commentEx w15:paraId="1814A153" w15:done="0"/>
  <w15:commentEx w15:paraId="7D7AFEEB" w15:done="0"/>
  <w15:commentEx w15:paraId="2563911D" w15:done="0"/>
  <w15:commentEx w15:paraId="132DC666" w15:done="0"/>
  <w15:commentEx w15:paraId="62B6B112" w15:done="0"/>
  <w15:commentEx w15:paraId="715E89D0" w15:done="0"/>
  <w15:commentEx w15:paraId="36014274" w15:done="0"/>
  <w15:commentEx w15:paraId="618C1EE7" w15:done="0"/>
  <w15:commentEx w15:paraId="4EB0FB6B" w15:done="0"/>
  <w15:commentEx w15:paraId="454FC779" w15:done="0"/>
  <w15:commentEx w15:paraId="1F66B858" w15:done="0"/>
  <w15:commentEx w15:paraId="2F882C43" w15:done="0"/>
  <w15:commentEx w15:paraId="05C6B1B0" w15:done="0"/>
  <w15:commentEx w15:paraId="51F1FFCA" w15:done="0"/>
  <w15:commentEx w15:paraId="47D849A8" w15:done="0"/>
  <w15:commentEx w15:paraId="45F03224" w15:done="0"/>
  <w15:commentEx w15:paraId="2BCCB1B6" w15:done="0"/>
  <w15:commentEx w15:paraId="34789C49" w15:done="0"/>
  <w15:commentEx w15:paraId="71CDDDD6" w15:done="0"/>
  <w15:commentEx w15:paraId="58190F10" w15:done="0"/>
  <w15:commentEx w15:paraId="3B082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8EF27C" w16cex:dateUtc="2026-02-09T10:18:00Z"/>
  <w16cex:commentExtensible w16cex:durableId="68193005" w16cex:dateUtc="2026-02-09T09:11:00Z"/>
  <w16cex:commentExtensible w16cex:durableId="4C9EE1D1" w16cex:dateUtc="2026-02-09T10:08:00Z"/>
  <w16cex:commentExtensible w16cex:durableId="100E68CC" w16cex:dateUtc="2026-02-09T10:15:00Z"/>
  <w16cex:commentExtensible w16cex:durableId="18A1D650" w16cex:dateUtc="2026-02-09T10:19:00Z"/>
  <w16cex:commentExtensible w16cex:durableId="5300C2DC" w16cex:dateUtc="2026-02-09T09:11:00Z"/>
  <w16cex:commentExtensible w16cex:durableId="3FB865DD" w16cex:dateUtc="2026-02-09T10:24:00Z"/>
  <w16cex:commentExtensible w16cex:durableId="432D0E0D" w16cex:dateUtc="2026-02-09T06:43:00Z"/>
  <w16cex:commentExtensible w16cex:durableId="378F2441" w16cex:dateUtc="2026-02-09T06:43:00Z"/>
  <w16cex:commentExtensible w16cex:durableId="6031DB54" w16cex:dateUtc="2026-02-09T06:49:00Z"/>
  <w16cex:commentExtensible w16cex:durableId="4A7A1B3C" w16cex:dateUtc="2026-02-09T06:49:00Z"/>
  <w16cex:commentExtensible w16cex:durableId="6E38C3ED" w16cex:dateUtc="2026-02-09T06:48:00Z"/>
  <w16cex:commentExtensible w16cex:durableId="67A79BEB" w16cex:dateUtc="2026-02-09T06:54:00Z"/>
  <w16cex:commentExtensible w16cex:durableId="467A4520" w16cex:dateUtc="2026-02-09T06:50:00Z"/>
  <w16cex:commentExtensible w16cex:durableId="678EBA89" w16cex:dateUtc="2026-02-09T06:50:00Z"/>
  <w16cex:commentExtensible w16cex:durableId="090D2882" w16cex:dateUtc="2026-02-09T06:56:00Z"/>
  <w16cex:commentExtensible w16cex:durableId="67C6CCF0" w16cex:dateUtc="2026-02-09T06:59:00Z"/>
  <w16cex:commentExtensible w16cex:durableId="4E54A40D" w16cex:dateUtc="2026-02-09T06:57:00Z"/>
  <w16cex:commentExtensible w16cex:durableId="15E38F76" w16cex:dateUtc="2026-02-09T10:29:00Z"/>
  <w16cex:commentExtensible w16cex:durableId="0B0ADE86" w16cex:dateUtc="2026-02-09T10:30:00Z"/>
  <w16cex:commentExtensible w16cex:durableId="4003EFDD" w16cex:dateUtc="2026-02-09T07:07:00Z"/>
  <w16cex:commentExtensible w16cex:durableId="2804D958" w16cex:dateUtc="2026-02-09T07:09:00Z"/>
  <w16cex:commentExtensible w16cex:durableId="5ED7D9D2" w16cex:dateUtc="2026-02-09T07:03:00Z"/>
  <w16cex:commentExtensible w16cex:durableId="48ABB446" w16cex:dateUtc="2026-02-09T07:27:00Z"/>
  <w16cex:commentExtensible w16cex:durableId="79A422D3" w16cex:dateUtc="2026-02-09T07:11:00Z"/>
  <w16cex:commentExtensible w16cex:durableId="346A2157" w16cex:dateUtc="2026-02-09T07:12:00Z"/>
  <w16cex:commentExtensible w16cex:durableId="2401C1C0" w16cex:dateUtc="2026-02-09T07:29:00Z"/>
  <w16cex:commentExtensible w16cex:durableId="023151AB" w16cex:dateUtc="2026-02-09T07:31:00Z"/>
  <w16cex:commentExtensible w16cex:durableId="097FF7AB" w16cex:dateUtc="2026-02-09T07:31:00Z"/>
  <w16cex:commentExtensible w16cex:durableId="13A090B7" w16cex:dateUtc="2026-02-09T07:35:00Z"/>
  <w16cex:commentExtensible w16cex:durableId="3BE05B7F" w16cex:dateUtc="2026-02-09T07:33:00Z"/>
  <w16cex:commentExtensible w16cex:durableId="72FCA16B" w16cex:dateUtc="2026-02-09T07:34:00Z"/>
  <w16cex:commentExtensible w16cex:durableId="1DB8045E" w16cex:dateUtc="2026-02-09T09:13:00Z"/>
  <w16cex:commentExtensible w16cex:durableId="130EBD00" w16cex:dateUtc="2026-02-09T07:46:00Z"/>
  <w16cex:commentExtensible w16cex:durableId="7D59498C" w16cex:dateUtc="2026-02-09T07:48:00Z"/>
  <w16cex:commentExtensible w16cex:durableId="28053EB0" w16cex:dateUtc="2026-02-09T07:54:00Z"/>
  <w16cex:commentExtensible w16cex:durableId="566E53CE" w16cex:dateUtc="2026-02-09T07:50:00Z"/>
  <w16cex:commentExtensible w16cex:durableId="35386FE4" w16cex:dateUtc="2026-02-09T07:56:00Z"/>
  <w16cex:commentExtensible w16cex:durableId="25F37DBC" w16cex:dateUtc="2026-02-09T07:55:00Z"/>
  <w16cex:commentExtensible w16cex:durableId="462B4A68" w16cex:dateUtc="2026-02-09T09:14:00Z"/>
  <w16cex:commentExtensible w16cex:durableId="6E114BD3" w16cex:dateUtc="2026-02-09T10:33:00Z"/>
  <w16cex:commentExtensible w16cex:durableId="64CA8814" w16cex:dateUtc="2026-02-09T09:18:00Z"/>
  <w16cex:commentExtensible w16cex:durableId="5AC99255" w16cex:dateUtc="2026-02-09T09:23:00Z"/>
  <w16cex:commentExtensible w16cex:durableId="0EB789AD" w16cex:dateUtc="2026-02-09T10:34:00Z"/>
  <w16cex:commentExtensible w16cex:durableId="56CE7900" w16cex:dateUtc="2026-02-09T09:25:00Z"/>
  <w16cex:commentExtensible w16cex:durableId="051FCFAF" w16cex:dateUtc="2026-02-09T09:31:00Z"/>
  <w16cex:commentExtensible w16cex:durableId="7B78A0DA" w16cex:dateUtc="2026-02-09T09:27:00Z"/>
  <w16cex:commentExtensible w16cex:durableId="268AB17B" w16cex:dateUtc="2026-02-09T09:32:00Z"/>
  <w16cex:commentExtensible w16cex:durableId="111C974F" w16cex:dateUtc="2026-02-09T09:34:00Z"/>
  <w16cex:commentExtensible w16cex:durableId="7C5015DC" w16cex:dateUtc="2026-02-09T09:33:00Z"/>
  <w16cex:commentExtensible w16cex:durableId="46F8D561" w16cex:dateUtc="2026-02-09T09:35:00Z"/>
  <w16cex:commentExtensible w16cex:durableId="059E8348" w16cex:dateUtc="2026-02-09T09:36:00Z"/>
  <w16cex:commentExtensible w16cex:durableId="5490A2B8" w16cex:dateUtc="2026-02-09T09:39:00Z"/>
  <w16cex:commentExtensible w16cex:durableId="05FD1593" w16cex:dateUtc="2026-02-09T09:39:00Z"/>
  <w16cex:commentExtensible w16cex:durableId="40BD7DF5" w16cex:dateUtc="2026-02-09T09:41:00Z"/>
  <w16cex:commentExtensible w16cex:durableId="306EF96D" w16cex:dateUtc="2026-02-09T09:40:00Z"/>
  <w16cex:commentExtensible w16cex:durableId="4B47A2FC" w16cex:dateUtc="2026-02-09T09:43:00Z"/>
  <w16cex:commentExtensible w16cex:durableId="752BEE85" w16cex:dateUtc="2026-02-09T09:43:00Z"/>
  <w16cex:commentExtensible w16cex:durableId="5C462684" w16cex:dateUtc="2026-02-09T10:40:00Z"/>
  <w16cex:commentExtensible w16cex:durableId="5C6FE46B" w16cex:dateUtc="2026-02-09T09:44:00Z"/>
  <w16cex:commentExtensible w16cex:durableId="617B7C58" w16cex:dateUtc="2026-02-09T09:45:00Z"/>
  <w16cex:commentExtensible w16cex:durableId="62D4BF4F" w16cex:dateUtc="2026-02-09T09:46:00Z"/>
  <w16cex:commentExtensible w16cex:durableId="3A0FFCA7" w16cex:dateUtc="2026-02-09T09:47:00Z"/>
  <w16cex:commentExtensible w16cex:durableId="57FB028B" w16cex:dateUtc="2026-02-09T09:48:00Z"/>
  <w16cex:commentExtensible w16cex:durableId="60E6996D" w16cex:dateUtc="2026-02-09T10:41:00Z"/>
  <w16cex:commentExtensible w16cex:durableId="49BC8281" w16cex:dateUtc="2026-02-09T10:43:00Z"/>
  <w16cex:commentExtensible w16cex:durableId="16B0CFA0" w16cex:dateUtc="2026-02-09T10:43:00Z"/>
  <w16cex:commentExtensible w16cex:durableId="637C10AF" w16cex:dateUtc="2026-02-09T09:53:00Z"/>
  <w16cex:commentExtensible w16cex:durableId="4B0BF937" w16cex:dateUtc="2026-02-09T10:44:00Z"/>
  <w16cex:commentExtensible w16cex:durableId="4E416B80" w16cex:dateUtc="2026-02-09T10:46:00Z"/>
  <w16cex:commentExtensible w16cex:durableId="4C383D59" w16cex:dateUtc="2026-02-09T10:48:00Z"/>
  <w16cex:commentExtensible w16cex:durableId="04285F39" w16cex:dateUtc="2026-02-09T10:48:00Z"/>
  <w16cex:commentExtensible w16cex:durableId="3B9B4DFD" w16cex:dateUtc="2026-02-09T10:49:00Z"/>
  <w16cex:commentExtensible w16cex:durableId="409A07B1" w16cex:dateUtc="2026-02-09T09:56:00Z"/>
  <w16cex:commentExtensible w16cex:durableId="20867802" w16cex:dateUtc="2026-02-09T10:51:00Z"/>
  <w16cex:commentExtensible w16cex:durableId="35FA2B1E" w16cex:dateUtc="2026-02-09T10:51:00Z"/>
  <w16cex:commentExtensible w16cex:durableId="4C537F34" w16cex:dateUtc="2026-02-09T10:52:00Z"/>
  <w16cex:commentExtensible w16cex:durableId="45F29AF9" w16cex:dateUtc="2026-02-09T10:54:00Z"/>
  <w16cex:commentExtensible w16cex:durableId="7B9B314F" w16cex:dateUtc="2026-02-09T10:03:00Z"/>
  <w16cex:commentExtensible w16cex:durableId="40E7F946" w16cex:dateUtc="2026-02-09T11:00:00Z"/>
  <w16cex:commentExtensible w16cex:durableId="4D2FCF5E" w16cex:dateUtc="2026-02-09T11:00:00Z"/>
  <w16cex:commentExtensible w16cex:durableId="23DD93B1" w16cex:dateUtc="2026-02-09T11:01:00Z"/>
  <w16cex:commentExtensible w16cex:durableId="5BD31E3E" w16cex:dateUtc="2026-02-09T11:04:00Z"/>
  <w16cex:commentExtensible w16cex:durableId="33BD40E3" w16cex:dateUtc="2026-02-09T10:06:00Z"/>
  <w16cex:commentExtensible w16cex:durableId="13598D95" w16cex:dateUtc="2026-02-09T11:05:00Z"/>
  <w16cex:commentExtensible w16cex:durableId="6BD08C03" w16cex:dateUtc="2026-02-09T11:06:00Z"/>
  <w16cex:commentExtensible w16cex:durableId="759C6B74" w16cex:dateUtc="2026-02-09T11:06:00Z"/>
  <w16cex:commentExtensible w16cex:durableId="6FAF7361" w16cex:dateUtc="2026-02-09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0B2CC" w16cid:durableId="1F8EF27C"/>
  <w16cid:commentId w16cid:paraId="24A01CC5" w16cid:durableId="68193005"/>
  <w16cid:commentId w16cid:paraId="766126A1" w16cid:durableId="4C9EE1D1"/>
  <w16cid:commentId w16cid:paraId="430217FC" w16cid:durableId="100E68CC"/>
  <w16cid:commentId w16cid:paraId="4843CE6D" w16cid:durableId="18A1D650"/>
  <w16cid:commentId w16cid:paraId="2C2352AC" w16cid:durableId="5300C2DC"/>
  <w16cid:commentId w16cid:paraId="7E08F569" w16cid:durableId="3FB865DD"/>
  <w16cid:commentId w16cid:paraId="7790CE54" w16cid:durableId="432D0E0D"/>
  <w16cid:commentId w16cid:paraId="110BD36C" w16cid:durableId="378F2441"/>
  <w16cid:commentId w16cid:paraId="027FED61" w16cid:durableId="6031DB54"/>
  <w16cid:commentId w16cid:paraId="5CEA3749" w16cid:durableId="4A7A1B3C"/>
  <w16cid:commentId w16cid:paraId="0C374C78" w16cid:durableId="6E38C3ED"/>
  <w16cid:commentId w16cid:paraId="4DAF2B28" w16cid:durableId="67A79BEB"/>
  <w16cid:commentId w16cid:paraId="34ACEB6D" w16cid:durableId="467A4520"/>
  <w16cid:commentId w16cid:paraId="7714FF1F" w16cid:durableId="678EBA89"/>
  <w16cid:commentId w16cid:paraId="770EA347" w16cid:durableId="090D2882"/>
  <w16cid:commentId w16cid:paraId="1C33FFF7" w16cid:durableId="67C6CCF0"/>
  <w16cid:commentId w16cid:paraId="776CB76A" w16cid:durableId="4E54A40D"/>
  <w16cid:commentId w16cid:paraId="00D3E8B5" w16cid:durableId="15E38F76"/>
  <w16cid:commentId w16cid:paraId="47E2D365" w16cid:durableId="0B0ADE86"/>
  <w16cid:commentId w16cid:paraId="7244EF3D" w16cid:durableId="4003EFDD"/>
  <w16cid:commentId w16cid:paraId="30378E24" w16cid:durableId="2804D958"/>
  <w16cid:commentId w16cid:paraId="758CADA0" w16cid:durableId="5ED7D9D2"/>
  <w16cid:commentId w16cid:paraId="32AB133D" w16cid:durableId="48ABB446"/>
  <w16cid:commentId w16cid:paraId="20D03E73" w16cid:durableId="79A422D3"/>
  <w16cid:commentId w16cid:paraId="35150EB8" w16cid:durableId="346A2157"/>
  <w16cid:commentId w16cid:paraId="1A7CCD2A" w16cid:durableId="2401C1C0"/>
  <w16cid:commentId w16cid:paraId="29054E5A" w16cid:durableId="023151AB"/>
  <w16cid:commentId w16cid:paraId="02AE736B" w16cid:durableId="097FF7AB"/>
  <w16cid:commentId w16cid:paraId="7D0B97E4" w16cid:durableId="13A090B7"/>
  <w16cid:commentId w16cid:paraId="553A52E9" w16cid:durableId="3BE05B7F"/>
  <w16cid:commentId w16cid:paraId="570119ED" w16cid:durableId="72FCA16B"/>
  <w16cid:commentId w16cid:paraId="224DB67A" w16cid:durableId="1DB8045E"/>
  <w16cid:commentId w16cid:paraId="04481C73" w16cid:durableId="130EBD00"/>
  <w16cid:commentId w16cid:paraId="2C7ACD3B" w16cid:durableId="7D59498C"/>
  <w16cid:commentId w16cid:paraId="1E8E8A82" w16cid:durableId="28053EB0"/>
  <w16cid:commentId w16cid:paraId="622CAE81" w16cid:durableId="566E53CE"/>
  <w16cid:commentId w16cid:paraId="7CB2E302" w16cid:durableId="35386FE4"/>
  <w16cid:commentId w16cid:paraId="69926007" w16cid:durableId="25F37DBC"/>
  <w16cid:commentId w16cid:paraId="035CAA80" w16cid:durableId="462B4A68"/>
  <w16cid:commentId w16cid:paraId="4E391D9C" w16cid:durableId="6E114BD3"/>
  <w16cid:commentId w16cid:paraId="2DDE7E18" w16cid:durableId="64CA8814"/>
  <w16cid:commentId w16cid:paraId="7B2CAE01" w16cid:durableId="5AC99255"/>
  <w16cid:commentId w16cid:paraId="6814D6C1" w16cid:durableId="0EB789AD"/>
  <w16cid:commentId w16cid:paraId="2B5107B0" w16cid:durableId="56CE7900"/>
  <w16cid:commentId w16cid:paraId="5E998E49" w16cid:durableId="051FCFAF"/>
  <w16cid:commentId w16cid:paraId="1FD355DA" w16cid:durableId="7B78A0DA"/>
  <w16cid:commentId w16cid:paraId="6C6F9603" w16cid:durableId="268AB17B"/>
  <w16cid:commentId w16cid:paraId="740D3AD7" w16cid:durableId="111C974F"/>
  <w16cid:commentId w16cid:paraId="1249878F" w16cid:durableId="7C5015DC"/>
  <w16cid:commentId w16cid:paraId="69A23AC6" w16cid:durableId="46F8D561"/>
  <w16cid:commentId w16cid:paraId="129D3981" w16cid:durableId="059E8348"/>
  <w16cid:commentId w16cid:paraId="48D51EF1" w16cid:durableId="5490A2B8"/>
  <w16cid:commentId w16cid:paraId="2D9E9C87" w16cid:durableId="05FD1593"/>
  <w16cid:commentId w16cid:paraId="511B7D93" w16cid:durableId="40BD7DF5"/>
  <w16cid:commentId w16cid:paraId="2FA382B0" w16cid:durableId="306EF96D"/>
  <w16cid:commentId w16cid:paraId="148C7F8B" w16cid:durableId="4B47A2FC"/>
  <w16cid:commentId w16cid:paraId="0FF04120" w16cid:durableId="752BEE85"/>
  <w16cid:commentId w16cid:paraId="23330FD5" w16cid:durableId="5C462684"/>
  <w16cid:commentId w16cid:paraId="374CDB99" w16cid:durableId="5C6FE46B"/>
  <w16cid:commentId w16cid:paraId="7609D66D" w16cid:durableId="617B7C58"/>
  <w16cid:commentId w16cid:paraId="3081D4A9" w16cid:durableId="62D4BF4F"/>
  <w16cid:commentId w16cid:paraId="63F93F8B" w16cid:durableId="3A0FFCA7"/>
  <w16cid:commentId w16cid:paraId="514C8E2C" w16cid:durableId="57FB028B"/>
  <w16cid:commentId w16cid:paraId="0D4A15E7" w16cid:durableId="60E6996D"/>
  <w16cid:commentId w16cid:paraId="6955D000" w16cid:durableId="49BC8281"/>
  <w16cid:commentId w16cid:paraId="286CA779" w16cid:durableId="16B0CFA0"/>
  <w16cid:commentId w16cid:paraId="1814A153" w16cid:durableId="637C10AF"/>
  <w16cid:commentId w16cid:paraId="7D7AFEEB" w16cid:durableId="4B0BF937"/>
  <w16cid:commentId w16cid:paraId="2563911D" w16cid:durableId="4E416B80"/>
  <w16cid:commentId w16cid:paraId="132DC666" w16cid:durableId="4C383D59"/>
  <w16cid:commentId w16cid:paraId="62B6B112" w16cid:durableId="04285F39"/>
  <w16cid:commentId w16cid:paraId="715E89D0" w16cid:durableId="3B9B4DFD"/>
  <w16cid:commentId w16cid:paraId="36014274" w16cid:durableId="409A07B1"/>
  <w16cid:commentId w16cid:paraId="618C1EE7" w16cid:durableId="20867802"/>
  <w16cid:commentId w16cid:paraId="4EB0FB6B" w16cid:durableId="35FA2B1E"/>
  <w16cid:commentId w16cid:paraId="454FC779" w16cid:durableId="4C537F34"/>
  <w16cid:commentId w16cid:paraId="1F66B858" w16cid:durableId="45F29AF9"/>
  <w16cid:commentId w16cid:paraId="2F882C43" w16cid:durableId="7B9B314F"/>
  <w16cid:commentId w16cid:paraId="05C6B1B0" w16cid:durableId="40E7F946"/>
  <w16cid:commentId w16cid:paraId="51F1FFCA" w16cid:durableId="4D2FCF5E"/>
  <w16cid:commentId w16cid:paraId="47D849A8" w16cid:durableId="23DD93B1"/>
  <w16cid:commentId w16cid:paraId="45F03224" w16cid:durableId="5BD31E3E"/>
  <w16cid:commentId w16cid:paraId="2BCCB1B6" w16cid:durableId="33BD40E3"/>
  <w16cid:commentId w16cid:paraId="34789C49" w16cid:durableId="13598D95"/>
  <w16cid:commentId w16cid:paraId="71CDDDD6" w16cid:durableId="6BD08C03"/>
  <w16cid:commentId w16cid:paraId="58190F10" w16cid:durableId="759C6B74"/>
  <w16cid:commentId w16cid:paraId="3B0824C2" w16cid:durableId="6FAF73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C2EA" w14:textId="77777777" w:rsidR="00460D06" w:rsidRDefault="00460D06" w:rsidP="00903616">
      <w:r>
        <w:separator/>
      </w:r>
    </w:p>
  </w:endnote>
  <w:endnote w:type="continuationSeparator" w:id="0">
    <w:p w14:paraId="2CA17CD0" w14:textId="77777777" w:rsidR="00460D06" w:rsidRDefault="00460D06" w:rsidP="0090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E426" w14:textId="77777777" w:rsidR="00903616" w:rsidRDefault="00903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1A0C" w14:textId="77777777" w:rsidR="00903616" w:rsidRDefault="00903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AC1" w14:textId="77777777" w:rsidR="00903616" w:rsidRDefault="00903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324B" w14:textId="77777777" w:rsidR="00460D06" w:rsidRDefault="00460D06" w:rsidP="00903616">
      <w:r>
        <w:separator/>
      </w:r>
    </w:p>
  </w:footnote>
  <w:footnote w:type="continuationSeparator" w:id="0">
    <w:p w14:paraId="75AD83B7" w14:textId="77777777" w:rsidR="00460D06" w:rsidRDefault="00460D06" w:rsidP="0090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3890" w14:textId="148175FE" w:rsidR="00903616" w:rsidRDefault="00000000">
    <w:pPr>
      <w:pStyle w:val="Header"/>
    </w:pPr>
    <w:r>
      <w:rPr>
        <w:noProof/>
      </w:rPr>
      <w:pict w14:anchorId="35FB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4B1D" w14:textId="4965425F" w:rsidR="00903616" w:rsidRDefault="00000000">
    <w:pPr>
      <w:pStyle w:val="Header"/>
    </w:pPr>
    <w:r>
      <w:rPr>
        <w:noProof/>
      </w:rPr>
      <w:pict w14:anchorId="60C3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D210" w14:textId="6BCF8418" w:rsidR="00903616" w:rsidRDefault="00000000">
    <w:pPr>
      <w:pStyle w:val="Header"/>
    </w:pPr>
    <w:r>
      <w:rPr>
        <w:noProof/>
      </w:rPr>
      <w:pict w14:anchorId="7EF0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72C99"/>
    <w:multiLevelType w:val="singleLevel"/>
    <w:tmpl w:val="5D872C99"/>
    <w:lvl w:ilvl="0">
      <w:start w:val="1"/>
      <w:numFmt w:val="decimal"/>
      <w:suff w:val="space"/>
      <w:lvlText w:val="%1."/>
      <w:lvlJc w:val="left"/>
    </w:lvl>
  </w:abstractNum>
  <w:num w:numId="1" w16cid:durableId="1741901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ak Bhandari">
    <w15:presenceInfo w15:providerId="Windows Live" w15:userId="09f9c77eb7059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871603"/>
    <w:rsid w:val="000E115D"/>
    <w:rsid w:val="000E14C3"/>
    <w:rsid w:val="000E1BB2"/>
    <w:rsid w:val="00152625"/>
    <w:rsid w:val="0018798E"/>
    <w:rsid w:val="001F739F"/>
    <w:rsid w:val="002A65AD"/>
    <w:rsid w:val="0030629D"/>
    <w:rsid w:val="003D13F0"/>
    <w:rsid w:val="00410E62"/>
    <w:rsid w:val="00460D06"/>
    <w:rsid w:val="00515D50"/>
    <w:rsid w:val="007073D8"/>
    <w:rsid w:val="007551C4"/>
    <w:rsid w:val="00776ED4"/>
    <w:rsid w:val="007E1F78"/>
    <w:rsid w:val="00831216"/>
    <w:rsid w:val="008335B8"/>
    <w:rsid w:val="008520CC"/>
    <w:rsid w:val="008B2052"/>
    <w:rsid w:val="008D6F2A"/>
    <w:rsid w:val="009025E6"/>
    <w:rsid w:val="00903616"/>
    <w:rsid w:val="0091154B"/>
    <w:rsid w:val="009551FA"/>
    <w:rsid w:val="009F7D64"/>
    <w:rsid w:val="00A01C68"/>
    <w:rsid w:val="00B542B9"/>
    <w:rsid w:val="00C3411D"/>
    <w:rsid w:val="00DD6898"/>
    <w:rsid w:val="022D12D2"/>
    <w:rsid w:val="046E0555"/>
    <w:rsid w:val="07F27D26"/>
    <w:rsid w:val="07FC15CE"/>
    <w:rsid w:val="09AF4141"/>
    <w:rsid w:val="09B6397C"/>
    <w:rsid w:val="0BB241D9"/>
    <w:rsid w:val="0C09094D"/>
    <w:rsid w:val="0C761BE8"/>
    <w:rsid w:val="0C935BFA"/>
    <w:rsid w:val="0EAE1072"/>
    <w:rsid w:val="11456A48"/>
    <w:rsid w:val="16E4751C"/>
    <w:rsid w:val="17677C25"/>
    <w:rsid w:val="191219F8"/>
    <w:rsid w:val="197D2C13"/>
    <w:rsid w:val="1AE12DC6"/>
    <w:rsid w:val="1BC66E4E"/>
    <w:rsid w:val="1FBC2C9C"/>
    <w:rsid w:val="213D46E5"/>
    <w:rsid w:val="23891D9F"/>
    <w:rsid w:val="23A14882"/>
    <w:rsid w:val="2B972026"/>
    <w:rsid w:val="30E7413F"/>
    <w:rsid w:val="315A4271"/>
    <w:rsid w:val="34A208E8"/>
    <w:rsid w:val="34CD55D7"/>
    <w:rsid w:val="36F25A82"/>
    <w:rsid w:val="3C774C40"/>
    <w:rsid w:val="3FEA1650"/>
    <w:rsid w:val="42D251E4"/>
    <w:rsid w:val="47134B08"/>
    <w:rsid w:val="47E24126"/>
    <w:rsid w:val="49956D95"/>
    <w:rsid w:val="4B88601E"/>
    <w:rsid w:val="4DC74AA8"/>
    <w:rsid w:val="4EA20BDC"/>
    <w:rsid w:val="4FAB005A"/>
    <w:rsid w:val="4FBF2EBE"/>
    <w:rsid w:val="52E77A54"/>
    <w:rsid w:val="53673977"/>
    <w:rsid w:val="5458390A"/>
    <w:rsid w:val="565563B3"/>
    <w:rsid w:val="57F9783A"/>
    <w:rsid w:val="59007C0A"/>
    <w:rsid w:val="5AFF21B3"/>
    <w:rsid w:val="5B1F3C36"/>
    <w:rsid w:val="5BC819AA"/>
    <w:rsid w:val="5C056287"/>
    <w:rsid w:val="5D777C52"/>
    <w:rsid w:val="5E3E2957"/>
    <w:rsid w:val="624D5AD9"/>
    <w:rsid w:val="63144EC6"/>
    <w:rsid w:val="63293F6E"/>
    <w:rsid w:val="632C7BBD"/>
    <w:rsid w:val="64BF0853"/>
    <w:rsid w:val="6F3E297C"/>
    <w:rsid w:val="70F5469E"/>
    <w:rsid w:val="710F795D"/>
    <w:rsid w:val="71871603"/>
    <w:rsid w:val="722B2DE0"/>
    <w:rsid w:val="737C051F"/>
    <w:rsid w:val="74980DB3"/>
    <w:rsid w:val="74BD6E13"/>
    <w:rsid w:val="74D81381"/>
    <w:rsid w:val="75C54177"/>
    <w:rsid w:val="76555806"/>
    <w:rsid w:val="773557BC"/>
    <w:rsid w:val="796F56E3"/>
    <w:rsid w:val="7BA429BF"/>
    <w:rsid w:val="7E1516E4"/>
    <w:rsid w:val="7E1A042F"/>
    <w:rsid w:val="7E7D09B8"/>
    <w:rsid w:val="7F4E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89BFF"/>
  <w15:docId w15:val="{7FC412A9-7C46-4D71-B1D1-65812C2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uiPriority w:val="1"/>
    <w:qFormat/>
    <w:pPr>
      <w:spacing w:before="165"/>
      <w:ind w:left="720"/>
      <w:jc w:val="both"/>
      <w:outlineLvl w:val="1"/>
    </w:pPr>
    <w:rPr>
      <w:rFonts w:ascii="Times New Roman" w:eastAsia="Times New Roman" w:hAnsi="Times New Roman" w:cs="Times New Roman"/>
      <w:b/>
      <w:bCs/>
      <w:sz w:val="24"/>
      <w:szCs w:val="24"/>
      <w:lang w:eastAsia="en-US"/>
    </w:rPr>
  </w:style>
  <w:style w:type="paragraph" w:styleId="Heading3">
    <w:name w:val="heading 3"/>
    <w:basedOn w:val="Normal"/>
    <w:uiPriority w:val="1"/>
    <w:qFormat/>
    <w:pPr>
      <w:ind w:left="307"/>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1"/>
    <w:qFormat/>
    <w:pPr>
      <w:ind w:left="1027" w:hanging="600"/>
    </w:pPr>
    <w:rPr>
      <w:rFonts w:ascii="Times New Roman" w:eastAsia="Times New Roman" w:hAnsi="Times New Roman" w:cs="Times New Roman"/>
      <w:lang w:eastAsia="en-US"/>
    </w:rPr>
  </w:style>
  <w:style w:type="paragraph" w:customStyle="1" w:styleId="TableParagraph">
    <w:name w:val="Table Paragraph"/>
    <w:basedOn w:val="Normal"/>
    <w:uiPriority w:val="1"/>
    <w:qFormat/>
    <w:rPr>
      <w:rFonts w:ascii="Times New Roman" w:eastAsia="Times New Roman" w:hAnsi="Times New Roman" w:cs="Times New Roman"/>
      <w:lang w:eastAsia="en-US"/>
    </w:rPr>
  </w:style>
  <w:style w:type="paragraph" w:styleId="Header">
    <w:name w:val="header"/>
    <w:basedOn w:val="Normal"/>
    <w:link w:val="HeaderChar"/>
    <w:rsid w:val="00903616"/>
    <w:pPr>
      <w:tabs>
        <w:tab w:val="center" w:pos="4680"/>
        <w:tab w:val="right" w:pos="9360"/>
      </w:tabs>
    </w:pPr>
  </w:style>
  <w:style w:type="character" w:customStyle="1" w:styleId="HeaderChar">
    <w:name w:val="Header Char"/>
    <w:basedOn w:val="DefaultParagraphFont"/>
    <w:link w:val="Header"/>
    <w:rsid w:val="00903616"/>
    <w:rPr>
      <w:rFonts w:asciiTheme="minorHAnsi" w:eastAsiaTheme="minorEastAsia" w:hAnsiTheme="minorHAnsi" w:cstheme="minorBidi"/>
      <w:lang w:val="en-US" w:eastAsia="zh-CN"/>
    </w:rPr>
  </w:style>
  <w:style w:type="paragraph" w:styleId="Footer">
    <w:name w:val="footer"/>
    <w:basedOn w:val="Normal"/>
    <w:link w:val="FooterChar"/>
    <w:rsid w:val="00903616"/>
    <w:pPr>
      <w:tabs>
        <w:tab w:val="center" w:pos="4680"/>
        <w:tab w:val="right" w:pos="9360"/>
      </w:tabs>
    </w:pPr>
  </w:style>
  <w:style w:type="character" w:customStyle="1" w:styleId="FooterChar">
    <w:name w:val="Footer Char"/>
    <w:basedOn w:val="DefaultParagraphFont"/>
    <w:link w:val="Footer"/>
    <w:rsid w:val="00903616"/>
    <w:rPr>
      <w:rFonts w:asciiTheme="minorHAnsi" w:eastAsiaTheme="minorEastAsia" w:hAnsiTheme="minorHAnsi" w:cstheme="minorBidi"/>
      <w:lang w:val="en-US" w:eastAsia="zh-CN"/>
    </w:rPr>
  </w:style>
  <w:style w:type="character" w:styleId="CommentReference">
    <w:name w:val="annotation reference"/>
    <w:basedOn w:val="DefaultParagraphFont"/>
    <w:rsid w:val="00152625"/>
    <w:rPr>
      <w:sz w:val="16"/>
      <w:szCs w:val="16"/>
    </w:rPr>
  </w:style>
  <w:style w:type="paragraph" w:styleId="CommentText">
    <w:name w:val="annotation text"/>
    <w:basedOn w:val="Normal"/>
    <w:link w:val="CommentTextChar"/>
    <w:rsid w:val="00152625"/>
  </w:style>
  <w:style w:type="character" w:customStyle="1" w:styleId="CommentTextChar">
    <w:name w:val="Comment Text Char"/>
    <w:basedOn w:val="DefaultParagraphFont"/>
    <w:link w:val="CommentText"/>
    <w:rsid w:val="00152625"/>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152625"/>
    <w:rPr>
      <w:b/>
      <w:bCs/>
    </w:rPr>
  </w:style>
  <w:style w:type="character" w:customStyle="1" w:styleId="CommentSubjectChar">
    <w:name w:val="Comment Subject Char"/>
    <w:basedOn w:val="CommentTextChar"/>
    <w:link w:val="CommentSubject"/>
    <w:rsid w:val="00152625"/>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12</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Deepak Bhandari</cp:lastModifiedBy>
  <cp:revision>6</cp:revision>
  <dcterms:created xsi:type="dcterms:W3CDTF">2026-01-17T11:06:00Z</dcterms:created>
  <dcterms:modified xsi:type="dcterms:W3CDTF">2026-02-09T11:08:00Z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422816DCA83647D4A244C5B5A4573959_11</vt:lpwstr>
  </property>
  <property fmtid="{D5CDD505-2E9C-101B-9397-08002B2CF9AE}" pid="4" name="GrammarlyDocumentId">
    <vt:lpwstr>6c9f7edf-6efa-4bcc-a80a-fb835936a8c8</vt:lpwstr>
  </property>
</Properties>
</file>