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82" w:rsidRDefault="00273582">
      <w:pPr>
        <w:pStyle w:val="BodyText"/>
        <w:spacing w:before="101"/>
        <w:rPr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273582">
        <w:trPr>
          <w:trHeight w:val="290"/>
        </w:trPr>
        <w:tc>
          <w:tcPr>
            <w:tcW w:w="5194" w:type="dxa"/>
          </w:tcPr>
          <w:p w:rsidR="00273582" w:rsidRDefault="00BE703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856" w:type="dxa"/>
          </w:tcPr>
          <w:p w:rsidR="00273582" w:rsidRDefault="00BE703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273582">
        <w:trPr>
          <w:trHeight w:val="290"/>
        </w:trPr>
        <w:tc>
          <w:tcPr>
            <w:tcW w:w="5194" w:type="dxa"/>
          </w:tcPr>
          <w:p w:rsidR="00273582" w:rsidRDefault="00BE703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856" w:type="dxa"/>
          </w:tcPr>
          <w:p w:rsidR="00273582" w:rsidRDefault="00BE703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Ms_AJOB_153769</w:t>
            </w:r>
          </w:p>
        </w:tc>
      </w:tr>
      <w:tr w:rsidR="00273582">
        <w:trPr>
          <w:trHeight w:val="650"/>
        </w:trPr>
        <w:tc>
          <w:tcPr>
            <w:tcW w:w="5194" w:type="dxa"/>
          </w:tcPr>
          <w:p w:rsidR="00273582" w:rsidRDefault="00BE703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856" w:type="dxa"/>
          </w:tcPr>
          <w:p w:rsidR="00273582" w:rsidRDefault="00BE7034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reproductive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elicited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bisphenol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exposure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musculus</w:t>
            </w:r>
          </w:p>
        </w:tc>
      </w:tr>
      <w:tr w:rsidR="00273582">
        <w:trPr>
          <w:trHeight w:val="333"/>
        </w:trPr>
        <w:tc>
          <w:tcPr>
            <w:tcW w:w="5194" w:type="dxa"/>
          </w:tcPr>
          <w:p w:rsidR="00273582" w:rsidRDefault="00BE703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856" w:type="dxa"/>
          </w:tcPr>
          <w:p w:rsidR="00273582" w:rsidRDefault="00BE7034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73582" w:rsidRDefault="00273582">
      <w:pPr>
        <w:pStyle w:val="BodyText"/>
        <w:rPr>
          <w:b w:val="0"/>
        </w:rPr>
      </w:pPr>
    </w:p>
    <w:p w:rsidR="00273582" w:rsidRDefault="00BE7034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273582" w:rsidRDefault="00273582">
      <w:pPr>
        <w:pStyle w:val="BodyText"/>
        <w:spacing w:before="3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73582">
        <w:trPr>
          <w:trHeight w:val="964"/>
        </w:trPr>
        <w:tc>
          <w:tcPr>
            <w:tcW w:w="5352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73582" w:rsidRDefault="00273582">
            <w:pPr>
              <w:pStyle w:val="TableParagraph"/>
              <w:ind w:left="108" w:right="137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273582" w:rsidRDefault="00BE7034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73582">
        <w:trPr>
          <w:trHeight w:val="1264"/>
        </w:trPr>
        <w:tc>
          <w:tcPr>
            <w:tcW w:w="5352" w:type="dxa"/>
          </w:tcPr>
          <w:p w:rsidR="00273582" w:rsidRDefault="00BE703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ind w:left="10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This manuscript </w:t>
            </w:r>
            <w:proofErr w:type="gramStart"/>
            <w:r>
              <w:rPr>
                <w:b/>
                <w:sz w:val="20"/>
              </w:rPr>
              <w:t>have</w:t>
            </w:r>
            <w:proofErr w:type="gramEnd"/>
            <w:r>
              <w:rPr>
                <w:b/>
                <w:sz w:val="20"/>
              </w:rPr>
              <w:t xml:space="preserve"> importance as it highlight the damages be done by the extensive used plastics products. It can help to create awarene</w:t>
            </w:r>
            <w:r>
              <w:rPr>
                <w:b/>
                <w:sz w:val="20"/>
              </w:rPr>
              <w:t>ss in under developed countries. Help in finding the best remedy or reduction the damage by avoiding the BPA orientated products. But it should be supported by the latest method and equipment.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638"/>
        </w:trPr>
        <w:tc>
          <w:tcPr>
            <w:tcW w:w="5352" w:type="dxa"/>
          </w:tcPr>
          <w:p w:rsidR="00273582" w:rsidRDefault="00BE703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73582" w:rsidRDefault="00BE703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studies.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specific.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500"/>
        </w:trPr>
        <w:tc>
          <w:tcPr>
            <w:tcW w:w="5352" w:type="dxa"/>
          </w:tcPr>
          <w:p w:rsidR="00273582" w:rsidRDefault="00BE703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section? Please write your </w:t>
            </w:r>
            <w:r>
              <w:rPr>
                <w:b/>
                <w:sz w:val="20"/>
              </w:rPr>
              <w:t>suggestions here.</w:t>
            </w:r>
          </w:p>
        </w:tc>
        <w:tc>
          <w:tcPr>
            <w:tcW w:w="9356" w:type="dxa"/>
          </w:tcPr>
          <w:p w:rsidR="00273582" w:rsidRDefault="00273582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705"/>
        </w:trPr>
        <w:tc>
          <w:tcPr>
            <w:tcW w:w="5352" w:type="dxa"/>
          </w:tcPr>
          <w:p w:rsidR="00273582" w:rsidRDefault="00BE703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equipment.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702"/>
        </w:trPr>
        <w:tc>
          <w:tcPr>
            <w:tcW w:w="5352" w:type="dxa"/>
          </w:tcPr>
          <w:p w:rsidR="00273582" w:rsidRDefault="00BE7034">
            <w:pPr>
              <w:pStyle w:val="TableParagraph"/>
              <w:spacing w:line="230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</w:t>
            </w:r>
            <w:r>
              <w:rPr>
                <w:b/>
                <w:sz w:val="20"/>
              </w:rPr>
              <w:t xml:space="preserve"> mention them in the review form.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old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old.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 style was not same for all references. Some references were not in list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688"/>
        </w:trPr>
        <w:tc>
          <w:tcPr>
            <w:tcW w:w="5352" w:type="dxa"/>
          </w:tcPr>
          <w:p w:rsidR="00273582" w:rsidRDefault="00BE703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toxicity.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  <w:tr w:rsidR="00273582">
        <w:trPr>
          <w:trHeight w:val="506"/>
        </w:trPr>
        <w:tc>
          <w:tcPr>
            <w:tcW w:w="5352" w:type="dxa"/>
          </w:tcPr>
          <w:p w:rsidR="00273582" w:rsidRDefault="00BE70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73582" w:rsidRDefault="00BE703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See Attachment</w:t>
            </w:r>
          </w:p>
        </w:tc>
        <w:tc>
          <w:tcPr>
            <w:tcW w:w="6445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73582" w:rsidRDefault="00273582">
      <w:pPr>
        <w:pStyle w:val="BodyText"/>
      </w:pPr>
    </w:p>
    <w:p w:rsidR="00273582" w:rsidRDefault="00BE7034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273582" w:rsidRDefault="00273582">
      <w:pPr>
        <w:pStyle w:val="BodyText"/>
        <w:spacing w:before="2" w:after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600"/>
        <w:gridCol w:w="5650"/>
      </w:tblGrid>
      <w:tr w:rsidR="00273582">
        <w:trPr>
          <w:trHeight w:val="935"/>
        </w:trPr>
        <w:tc>
          <w:tcPr>
            <w:tcW w:w="6800" w:type="dxa"/>
          </w:tcPr>
          <w:p w:rsidR="00273582" w:rsidRDefault="002735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00" w:type="dxa"/>
          </w:tcPr>
          <w:p w:rsidR="00273582" w:rsidRDefault="00BE703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50" w:type="dxa"/>
          </w:tcPr>
          <w:p w:rsidR="00273582" w:rsidRDefault="00BE7034">
            <w:pPr>
              <w:pStyle w:val="TableParagraph"/>
              <w:spacing w:line="254" w:lineRule="auto"/>
              <w:ind w:left="5" w:right="4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his/her </w:t>
            </w:r>
            <w:r>
              <w:rPr>
                <w:sz w:val="20"/>
              </w:rPr>
              <w:t>feedback here)</w:t>
            </w:r>
          </w:p>
        </w:tc>
      </w:tr>
      <w:tr w:rsidR="00273582">
        <w:trPr>
          <w:trHeight w:val="935"/>
        </w:trPr>
        <w:tc>
          <w:tcPr>
            <w:tcW w:w="6800" w:type="dxa"/>
          </w:tcPr>
          <w:p w:rsidR="00273582" w:rsidRDefault="00BE7034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00" w:type="dxa"/>
          </w:tcPr>
          <w:p w:rsidR="00273582" w:rsidRDefault="00BE7034">
            <w:pPr>
              <w:pStyle w:val="TableParagraph"/>
              <w:spacing w:before="108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73582" w:rsidRDefault="00BE703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50" w:type="dxa"/>
          </w:tcPr>
          <w:p w:rsidR="00273582" w:rsidRDefault="00273582">
            <w:pPr>
              <w:pStyle w:val="TableParagraph"/>
              <w:spacing w:line="254" w:lineRule="auto"/>
              <w:ind w:left="5" w:right="49"/>
              <w:rPr>
                <w:b/>
                <w:sz w:val="20"/>
              </w:rPr>
            </w:pPr>
          </w:p>
        </w:tc>
      </w:tr>
    </w:tbl>
    <w:p w:rsidR="006E0FFA" w:rsidRPr="005F4EDD" w:rsidRDefault="006E0FFA" w:rsidP="006E0FF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E0FFA" w:rsidRDefault="006E0FFA" w:rsidP="006E0FF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E0FFA" w:rsidRDefault="006E0FFA" w:rsidP="006E0FFA">
      <w:r>
        <w:rPr>
          <w:rFonts w:ascii="Calibri" w:hAnsi="Calibri" w:cs="Calibri"/>
          <w:color w:val="000000"/>
        </w:rPr>
        <w:t>Faheem Nawaz, Punjab University Lahore, Pakistan</w:t>
      </w:r>
      <w:r>
        <w:rPr>
          <w:rFonts w:ascii="Calibri" w:hAnsi="Calibri" w:cs="Calibri"/>
          <w:color w:val="000000"/>
        </w:rPr>
        <w:br/>
      </w:r>
    </w:p>
    <w:p w:rsidR="00273582" w:rsidRDefault="00273582">
      <w:bookmarkStart w:id="0" w:name="_GoBack"/>
      <w:bookmarkEnd w:id="0"/>
    </w:p>
    <w:sectPr w:rsidR="00273582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34" w:rsidRDefault="00BE7034">
      <w:r>
        <w:separator/>
      </w:r>
    </w:p>
  </w:endnote>
  <w:endnote w:type="continuationSeparator" w:id="0">
    <w:p w:rsidR="00BE7034" w:rsidRDefault="00BE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82" w:rsidRDefault="00BE70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582" w:rsidRDefault="00BE70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73582" w:rsidRDefault="00BE70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582" w:rsidRDefault="00BE70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73582" w:rsidRDefault="00BE70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582" w:rsidRDefault="00BE70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73582" w:rsidRDefault="00BE70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582" w:rsidRDefault="00BE70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273582" w:rsidRDefault="00BE70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34" w:rsidRDefault="00BE7034">
      <w:r>
        <w:separator/>
      </w:r>
    </w:p>
  </w:footnote>
  <w:footnote w:type="continuationSeparator" w:id="0">
    <w:p w:rsidR="00BE7034" w:rsidRDefault="00BE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82" w:rsidRDefault="00BE70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582" w:rsidRDefault="00BE70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73582" w:rsidRDefault="00BE70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582"/>
    <w:rsid w:val="00273582"/>
    <w:rsid w:val="006E0FFA"/>
    <w:rsid w:val="00B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72567-C41A-47C8-9E61-1BF843D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6E0FF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17</cp:revision>
  <dcterms:created xsi:type="dcterms:W3CDTF">2026-02-21T10:24:00Z</dcterms:created>
  <dcterms:modified xsi:type="dcterms:W3CDTF">2026-02-24T10:59:00Z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2013</vt:lpwstr>
  </property>
</Properties>
</file>