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95" w:rsidRPr="00B83412"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Yellow Fever in Nigeria’s North East: Epidemiological Trends and the Environmental, Socioeconomic, and Behavioral Determinants of Transmission</w:t>
      </w: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0" w:name="_GoBack"/>
      <w:bookmarkEnd w:id="0"/>
      <w:r w:rsidRPr="00B83412">
        <w:rPr>
          <w:rFonts w:ascii="Times New Roman" w:eastAsia="Times New Roman" w:hAnsi="Times New Roman" w:cs="Times New Roman"/>
          <w:b/>
          <w:bCs/>
          <w:sz w:val="24"/>
          <w:szCs w:val="24"/>
        </w:rPr>
        <w:t>ABSTRACT</w:t>
      </w:r>
    </w:p>
    <w:p w:rsidR="009E3CAC" w:rsidRPr="00B83412" w:rsidRDefault="009E3CAC" w:rsidP="00B83412">
      <w:pPr>
        <w:pStyle w:val="NormalWeb"/>
        <w:jc w:val="both"/>
      </w:pPr>
      <w:r w:rsidRPr="00B83412">
        <w:rPr>
          <w:rStyle w:val="Strong"/>
        </w:rPr>
        <w:t>Background:</w:t>
      </w:r>
      <w:r w:rsidRPr="00B83412">
        <w:br/>
        <w:t>Yellow fever virus (YFV) remains a significant public health threat in Nigeria, with recurrent outbreaks reported in the North East geopolitical region. Despite the availability of an effective vaccine, persistent transmission reflects the interaction of ecological suitability for vectors, socioeconomic vulnerability, and health system constraints. Understanding local epidemiological patterns and community-perceived determinants is essential for designing context-appropriate prevention and control strategies.</w:t>
      </w:r>
    </w:p>
    <w:p w:rsidR="009E3CAC" w:rsidRPr="00B83412" w:rsidRDefault="009E3CAC" w:rsidP="00B83412">
      <w:pPr>
        <w:pStyle w:val="NormalWeb"/>
        <w:jc w:val="both"/>
      </w:pPr>
      <w:r w:rsidRPr="00B83412">
        <w:rPr>
          <w:rStyle w:val="Strong"/>
        </w:rPr>
        <w:t>Objective:</w:t>
      </w:r>
      <w:r w:rsidRPr="00B83412">
        <w:br/>
        <w:t>To assess the current epidemiological situation of yellow fever in Nigeria’s North East and examine the environmental, socioeconomic, and behavioral factors perceived to contribute to YFV transmission and spread.</w:t>
      </w:r>
    </w:p>
    <w:p w:rsidR="009E3CAC" w:rsidRPr="00B83412" w:rsidRDefault="009E3CAC" w:rsidP="00B83412">
      <w:pPr>
        <w:pStyle w:val="NormalWeb"/>
        <w:jc w:val="both"/>
      </w:pPr>
      <w:r w:rsidRPr="00B83412">
        <w:rPr>
          <w:rStyle w:val="Strong"/>
        </w:rPr>
        <w:t>Methods:</w:t>
      </w:r>
      <w:r w:rsidRPr="00B83412">
        <w:br/>
        <w:t>A cross-sectional descriptive study was conducted among 563 respondents across six states in the North East geopolitical region (Adamawa, Bauchi, Borno, Gombe, Taraba, and Yobe). Data were collected using a structured questionnaire capturing socio-demographic characteristics and perceptions of yellow fever epidemiology and determinants of transmission. Responses to epidemiological and risk factor statements were measured using a Likert scale. Descriptive statistics (frequencies, percentages, means, and standard deviations) were used to summarize findings.</w:t>
      </w:r>
    </w:p>
    <w:p w:rsidR="009E3CAC" w:rsidRPr="00B83412" w:rsidRDefault="009E3CAC" w:rsidP="00B83412">
      <w:pPr>
        <w:pStyle w:val="NormalWeb"/>
        <w:jc w:val="both"/>
      </w:pPr>
      <w:r w:rsidRPr="00B83412">
        <w:rPr>
          <w:rStyle w:val="Strong"/>
        </w:rPr>
        <w:t>Results:</w:t>
      </w:r>
      <w:r w:rsidRPr="00B83412">
        <w:br/>
        <w:t>Females constituted 60% of respondents, and 57% were aged 20–39 years. Nearly half of participants had no formal or only Qur’anic education, and farming (35%) and unemployment (32%) were predominant occupations. The majority agreed that yellow fever is a significant public health concern in the North East (mean = 2.97 ± 0.92), that incidence has increased over the past five years (2.85 ± 0.83), and that outbreaks exhibit seasonal patterns (2.75 ± 0.74). Respondents identified climate variability (2.95 ± 0.92), poor urban waste management (2.82 ± 0.87), inadequate healthcare infrastructure (2.80 ± 0.86), and low vaccination uptake and limited personal protection (2.73 ± 0.76) as key contributors to YFV transmission.</w:t>
      </w:r>
    </w:p>
    <w:p w:rsidR="009E3CAC" w:rsidRPr="00B83412" w:rsidRDefault="009E3CAC" w:rsidP="00B83412">
      <w:pPr>
        <w:pStyle w:val="NormalWeb"/>
        <w:jc w:val="both"/>
      </w:pPr>
      <w:r w:rsidRPr="00B83412">
        <w:rPr>
          <w:rStyle w:val="Strong"/>
        </w:rPr>
        <w:t>Conclusion:</w:t>
      </w:r>
      <w:r w:rsidRPr="00B83412">
        <w:br/>
        <w:t xml:space="preserve">Yellow fever remains a perceived and ongoing public health concern in Nigeria’s North East, driven by interconnected environmental, socioeconomic, and behavioral factors. Interventions should prioritize equitable vaccination coverage, strengthened surveillance and healthcare infrastructure, community-based environmental management, and culturally tailored risk communication. Integrating these actions within climate-informed and cross-border coordination </w:t>
      </w:r>
      <w:r w:rsidRPr="00B83412">
        <w:lastRenderedPageBreak/>
        <w:t>frameworks is critical to reducing outbreak risk and advancing sustainable yellow fever control in the region.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i/>
          <w:sz w:val="24"/>
          <w:szCs w:val="24"/>
        </w:rPr>
      </w:pPr>
      <w:r w:rsidRPr="00B83412">
        <w:rPr>
          <w:rFonts w:ascii="Times New Roman" w:eastAsia="Times New Roman" w:hAnsi="Times New Roman" w:cs="Times New Roman"/>
          <w:b/>
          <w:bCs/>
          <w:i/>
          <w:sz w:val="24"/>
          <w:szCs w:val="24"/>
        </w:rPr>
        <w:t>Keywords:</w:t>
      </w:r>
      <w:r w:rsidRPr="00B83412">
        <w:rPr>
          <w:rFonts w:ascii="Times New Roman" w:eastAsia="Times New Roman" w:hAnsi="Times New Roman" w:cs="Times New Roman"/>
          <w:i/>
          <w:sz w:val="24"/>
          <w:szCs w:val="24"/>
        </w:rPr>
        <w:t xml:space="preserve"> Yellow fever, Epidemiology, Vaccination, Prevention, North East Nigeria</w:t>
      </w: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Introduction</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Yellow fever is an acute viral hemorrhagic disease caused by the yellow fever virus (YFV), a mosquito-borne flavivirus transmitted primarily by Aedes species in urban and peri-urban settings and by sylvatic vectors in forest–savannah ecotones. Despite the availability of a safe, affordable, and highly efficacious live-attenuated vaccine, yellow fever continues to pose a substantial public health threat across sub-Saharan Africa and parts of South America. The persistence and re-emergence of yellow fever outbreaks in the 21st century underscore enduring gaps in population immunity, vector control, surveillance capacity, and health system resilience, particularly in resource-constrained and conflict-affected settings [1-2]. Nigeria bears a disproportionate share of the global yellow fever burden and remains a priority country under the World Health Organization’s Eliminate Yellow Fever Epidemics (EYE) Strategy. The epidemiology of yellow fever in Nigeria is shaped by complex transmission cycles encompassing sylvatic spillover from non-human primates, intermediate transmission in rural and peri-urban communities, and urban amplification driven by Aedes aegypti in densely populated settlements. Over the past decade, Nigeria has experienced recurrent outbreaks affecting multiple states, reflecting persistent immunity gaps and favorable ecological conditions for vector proliferation. These outbreaks have been associated with substantial morbidity and mortality, economic disruption, and strain on already fragile health systems [3-4].</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The North East geopolitical region of Nigeria—comprising Adamawa, Bauchi, Borno, Gombe, Taraba, and Yobe States—presents a particularly high-risk context for yellow fever transmission. The region is characterized by pronounced ecological heterogeneity spanning Sudan–Sahel savannah and peri-forest zones, marked seasonal rainfall, and increasing urbanization with limited urban planning. These environmental features intersect with widespread poverty, inadequate water and waste management infrastructure, and extensive reliance on water storage practices, all of which create conducive breeding habitats for Aedes mosquitoes. Climatic variability, including shifts in rainfall patterns and rising temperatures, further modulates vector abundance and viral replication dynamics, potentially intensifying seasonal transmission risk [5-6].Beyond environmental determinants, the North East is uniquely shaped by protracted insecurity and humanitarian crises that have resulted in large-scale population displacement, disruption of routine health services, and deterioration of public health infrastructure. Internally displaced persons (IDP) camps and host communities often experience overcrowding and suboptimal WASH (water, sanitation, and hygiene) conditions, amplifying exposure to vector breeding sites and facilitating human–vector contact. Population mobility across porous borders with Cameroon, Chad, and Niger complicates vaccination coverage tracking and introduces risks of cross-border viral importation. These dynamics undermine the continuity of routine immunization and the effectiveness of outbreak preparedness and response mechanisms</w:t>
      </w:r>
      <w:r w:rsidR="00D4553E" w:rsidRPr="00B83412">
        <w:rPr>
          <w:rFonts w:ascii="Times New Roman" w:eastAsia="Times New Roman" w:hAnsi="Times New Roman" w:cs="Times New Roman"/>
          <w:sz w:val="24"/>
          <w:szCs w:val="24"/>
        </w:rPr>
        <w:t xml:space="preserve"> [7]</w:t>
      </w:r>
      <w:r w:rsidRPr="00B83412">
        <w:rPr>
          <w:rFonts w:ascii="Times New Roman" w:eastAsia="Times New Roman" w:hAnsi="Times New Roman" w:cs="Times New Roman"/>
          <w:sz w:val="24"/>
          <w:szCs w:val="24"/>
        </w:rPr>
        <w:t>.</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Socioeconomic and behavioral factors further mediate yellow fever risk in the region. Low levels of formal education and limited health literacy can constrain understanding of transmission </w:t>
      </w:r>
      <w:r w:rsidRPr="00B83412">
        <w:rPr>
          <w:rFonts w:ascii="Times New Roman" w:eastAsia="Times New Roman" w:hAnsi="Times New Roman" w:cs="Times New Roman"/>
          <w:sz w:val="24"/>
          <w:szCs w:val="24"/>
        </w:rPr>
        <w:lastRenderedPageBreak/>
        <w:t>pathways and the importance of vaccination, while poverty restricts access to preventive measures such as improved housing, screened windows, and appropriate water storage containers. Vaccine hesitancy, misinformation, and competing livelihood priorities may reduce uptake during mass vaccination campaigns, particularly among mobile and hard-to-reach populations. Health-seeking behaviors characterized by delayed presentation for febrile illness and reliance on informal providers contribute to under-detection of cases and delayed outbreak recognition, weakening surveillance sensitivity under the Integrated Disease Surveillance and Response (IDSR) framework</w:t>
      </w:r>
      <w:r w:rsidR="00D4553E" w:rsidRPr="00B83412">
        <w:rPr>
          <w:rFonts w:ascii="Times New Roman" w:eastAsia="Times New Roman" w:hAnsi="Times New Roman" w:cs="Times New Roman"/>
          <w:sz w:val="24"/>
          <w:szCs w:val="24"/>
        </w:rPr>
        <w:t xml:space="preserve"> [8-9]</w:t>
      </w:r>
      <w:r w:rsidRPr="00B83412">
        <w:rPr>
          <w:rFonts w:ascii="Times New Roman" w:eastAsia="Times New Roman" w:hAnsi="Times New Roman" w:cs="Times New Roman"/>
          <w:sz w:val="24"/>
          <w:szCs w:val="24"/>
        </w:rPr>
        <w:t>.</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Despite the recognized importance of these multilevel determinants, empirical data integrating community perceptions of epidemiological trends with environmental, socioeconomic, and behavioral drivers of yellow fever transmission in the North East remain limited. Most existing evidence is derived from surveillance reports and outbreak investigations, with less attention to community-level insights that can inform the design and acceptability of interventions</w:t>
      </w:r>
      <w:r w:rsidR="00D4553E" w:rsidRPr="00B83412">
        <w:rPr>
          <w:rFonts w:ascii="Times New Roman" w:eastAsia="Times New Roman" w:hAnsi="Times New Roman" w:cs="Times New Roman"/>
          <w:sz w:val="24"/>
          <w:szCs w:val="24"/>
        </w:rPr>
        <w:t xml:space="preserve"> [10]</w:t>
      </w:r>
      <w:r w:rsidRPr="00B83412">
        <w:rPr>
          <w:rFonts w:ascii="Times New Roman" w:eastAsia="Times New Roman" w:hAnsi="Times New Roman" w:cs="Times New Roman"/>
          <w:sz w:val="24"/>
          <w:szCs w:val="24"/>
        </w:rPr>
        <w:t xml:space="preserve">. Against this backdrop, the present study examines the current epidemiological situation of yellow fever in Nigeria’s North East geopolitical region and explores perceived environmental, socioeconomic, and behavioral determinants of YFV transmission and spread. By situating community perceptions within a broader epidemiological and ecological framework, this study aims to generate actionable evidence to inform integrated, context-sensitive strategies for yellow fever prevention and control in a region marked by heightened vulnerability and structural constraints. </w:t>
      </w:r>
    </w:p>
    <w:p w:rsidR="009E3CAC" w:rsidRPr="00B83412" w:rsidRDefault="009E3CAC" w:rsidP="00B83412">
      <w:pPr>
        <w:pBdr>
          <w:top w:val="single" w:sz="6" w:space="1" w:color="auto"/>
        </w:pBdr>
        <w:spacing w:after="0" w:line="240" w:lineRule="auto"/>
        <w:jc w:val="both"/>
        <w:rPr>
          <w:rFonts w:ascii="Times New Roman" w:eastAsia="Times New Roman" w:hAnsi="Times New Roman" w:cs="Times New Roman"/>
          <w:vanish/>
          <w:sz w:val="24"/>
          <w:szCs w:val="24"/>
        </w:rPr>
      </w:pPr>
      <w:r w:rsidRPr="00B83412">
        <w:rPr>
          <w:rFonts w:ascii="Times New Roman" w:eastAsia="Times New Roman" w:hAnsi="Times New Roman" w:cs="Times New Roman"/>
          <w:vanish/>
          <w:sz w:val="24"/>
          <w:szCs w:val="24"/>
        </w:rPr>
        <w:t>Bottom of Form</w:t>
      </w:r>
    </w:p>
    <w:p w:rsidR="003F59F7" w:rsidRPr="00B83412" w:rsidRDefault="003F59F7" w:rsidP="00B83412">
      <w:pPr>
        <w:pStyle w:val="Heading1"/>
        <w:spacing w:before="0"/>
        <w:jc w:val="both"/>
        <w:rPr>
          <w:sz w:val="24"/>
          <w:szCs w:val="24"/>
        </w:rPr>
      </w:pPr>
      <w:r w:rsidRPr="00B83412">
        <w:rPr>
          <w:sz w:val="24"/>
          <w:szCs w:val="24"/>
        </w:rPr>
        <w:t>Research Methodology</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Research Design</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The study adopted a descriptive survey research design to effectively address the research questions formulated in Chapter One. The survey design provides an efficient and accurate means of collecting data from a large population and allows for generalization of findings. A descriptive survey was appropriate for assessing the epidemiology and prevention of yellow fever virus in the North East geopolitical zone of Nigeria.</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Study Area</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The study was conducted in the North East geopolitical zone of Nigeria, comprising Adamawa, Bauchi, Borno, Gombe, Taraba, and Yobe States. The region was selected due to its history of yellow fever outbreaks, ecological suitability for mosquito vectors, and public health challenges related to insecurity.</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Population of the Study</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The population of the study consisted of residents of the North East geopolitical zone. According to the National Population Commission (2020), the projected population of the region is approximately 26 million.</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Sample Technique and Sample Size Determination</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lastRenderedPageBreak/>
        <w:br/>
      </w:r>
      <w:r w:rsidRPr="00B83412">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B83412">
        <w:rPr>
          <w:rFonts w:ascii="Times New Roman" w:hAnsi="Times New Roman" w:cs="Times New Roman"/>
          <w:sz w:val="24"/>
          <w:szCs w:val="24"/>
        </w:rPr>
        <w:br/>
        <w:t>n = N / 1 + N(e)²</w:t>
      </w:r>
      <w:r w:rsidRPr="00B83412">
        <w:rPr>
          <w:rFonts w:ascii="Times New Roman" w:hAnsi="Times New Roman" w:cs="Times New Roman"/>
          <w:sz w:val="24"/>
          <w:szCs w:val="24"/>
        </w:rPr>
        <w:br/>
        <w:t>Using N = 26,000,000 and e = 0.05, the calculated sample size was approximately 65,000. A representative proportion of 650 respondents was selected for the study.</w:t>
      </w:r>
    </w:p>
    <w:p w:rsidR="00E15B9A" w:rsidRDefault="003F59F7" w:rsidP="00B83412">
      <w:pPr>
        <w:spacing w:after="0"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Method of Data Presentation and Analysis</w:t>
      </w:r>
    </w:p>
    <w:p w:rsidR="00E15B9A" w:rsidRDefault="003F59F7" w:rsidP="00B83412">
      <w:pPr>
        <w:spacing w:after="0"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p>
    <w:p w:rsidR="003F59F7" w:rsidRPr="00B83412" w:rsidRDefault="003F59F7" w:rsidP="00B83412">
      <w:pPr>
        <w:spacing w:after="0" w:line="240" w:lineRule="auto"/>
        <w:jc w:val="both"/>
        <w:rPr>
          <w:rFonts w:ascii="Times New Roman" w:eastAsia="Times New Roman" w:hAnsi="Times New Roman" w:cs="Times New Roman"/>
          <w:b/>
          <w:sz w:val="24"/>
          <w:szCs w:val="24"/>
        </w:rPr>
      </w:pPr>
      <w:r w:rsidRPr="00B83412">
        <w:rPr>
          <w:rFonts w:ascii="Times New Roman" w:hAnsi="Times New Roman" w:cs="Times New Roman"/>
          <w:sz w:val="24"/>
          <w:szCs w:val="24"/>
        </w:rPr>
        <w:br/>
      </w:r>
      <w:r w:rsidRPr="00B83412">
        <w:rPr>
          <w:rFonts w:ascii="Times New Roman" w:eastAsia="Times New Roman" w:hAnsi="Times New Roman" w:cs="Times New Roman"/>
          <w:b/>
          <w:sz w:val="24"/>
          <w:szCs w:val="24"/>
        </w:rPr>
        <w:t>Results</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Table 1 shows the gender distribution of respondents. Females constituted the majority of the study population with </w:t>
      </w:r>
      <w:r w:rsidRPr="00B83412">
        <w:rPr>
          <w:rFonts w:ascii="Times New Roman" w:eastAsia="Times New Roman" w:hAnsi="Times New Roman" w:cs="Times New Roman"/>
          <w:bCs/>
          <w:sz w:val="24"/>
          <w:szCs w:val="24"/>
        </w:rPr>
        <w:t>337 respondents (60%)</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226 respondents (40%)</w:t>
      </w:r>
      <w:r w:rsidRPr="00B83412">
        <w:rPr>
          <w:rFonts w:ascii="Times New Roman" w:eastAsia="Times New Roman" w:hAnsi="Times New Roman" w:cs="Times New Roman"/>
          <w:sz w:val="24"/>
          <w:szCs w:val="24"/>
        </w:rPr>
        <w:t xml:space="preserve"> were males. This indicates a higher participation of females in the survey, which may reflect their availability at household level and active involvement in community health-related issues. The age distribution of respondents revealed that the largest proportion fell within the </w:t>
      </w:r>
      <w:r w:rsidRPr="00B83412">
        <w:rPr>
          <w:rFonts w:ascii="Times New Roman" w:eastAsia="Times New Roman" w:hAnsi="Times New Roman" w:cs="Times New Roman"/>
          <w:bCs/>
          <w:sz w:val="24"/>
          <w:szCs w:val="24"/>
        </w:rPr>
        <w:t>30–39 years age group (175 respondents; 31%)</w:t>
      </w:r>
      <w:r w:rsidRPr="00B83412">
        <w:rPr>
          <w:rFonts w:ascii="Times New Roman" w:eastAsia="Times New Roman" w:hAnsi="Times New Roman" w:cs="Times New Roman"/>
          <w:sz w:val="24"/>
          <w:szCs w:val="24"/>
        </w:rPr>
        <w:t xml:space="preserve">, followed by those aged </w:t>
      </w:r>
      <w:r w:rsidRPr="00B83412">
        <w:rPr>
          <w:rFonts w:ascii="Times New Roman" w:eastAsia="Times New Roman" w:hAnsi="Times New Roman" w:cs="Times New Roman"/>
          <w:bCs/>
          <w:sz w:val="24"/>
          <w:szCs w:val="24"/>
        </w:rPr>
        <w:t>20–29 years (146 respondents; 26%)</w:t>
      </w:r>
      <w:r w:rsidRPr="00B83412">
        <w:rPr>
          <w:rFonts w:ascii="Times New Roman" w:eastAsia="Times New Roman" w:hAnsi="Times New Roman" w:cs="Times New Roman"/>
          <w:sz w:val="24"/>
          <w:szCs w:val="24"/>
        </w:rPr>
        <w:t xml:space="preserve">. Respondents aged </w:t>
      </w:r>
      <w:r w:rsidRPr="00B83412">
        <w:rPr>
          <w:rFonts w:ascii="Times New Roman" w:eastAsia="Times New Roman" w:hAnsi="Times New Roman" w:cs="Times New Roman"/>
          <w:bCs/>
          <w:sz w:val="24"/>
          <w:szCs w:val="24"/>
        </w:rPr>
        <w:t>40–49 years</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19%</w:t>
      </w:r>
      <w:r w:rsidRPr="00B83412">
        <w:rPr>
          <w:rFonts w:ascii="Times New Roman" w:eastAsia="Times New Roman" w:hAnsi="Times New Roman" w:cs="Times New Roman"/>
          <w:sz w:val="24"/>
          <w:szCs w:val="24"/>
        </w:rPr>
        <w:t xml:space="preserve">, while those aged </w:t>
      </w:r>
      <w:r w:rsidRPr="00B83412">
        <w:rPr>
          <w:rFonts w:ascii="Times New Roman" w:eastAsia="Times New Roman" w:hAnsi="Times New Roman" w:cs="Times New Roman"/>
          <w:bCs/>
          <w:sz w:val="24"/>
          <w:szCs w:val="24"/>
        </w:rPr>
        <w:t>50–59 years</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60 years and above</w:t>
      </w:r>
      <w:r w:rsidRPr="00B83412">
        <w:rPr>
          <w:rFonts w:ascii="Times New Roman" w:eastAsia="Times New Roman" w:hAnsi="Times New Roman" w:cs="Times New Roman"/>
          <w:sz w:val="24"/>
          <w:szCs w:val="24"/>
        </w:rPr>
        <w:t xml:space="preserve"> constituted </w:t>
      </w:r>
      <w:r w:rsidRPr="00B83412">
        <w:rPr>
          <w:rFonts w:ascii="Times New Roman" w:eastAsia="Times New Roman" w:hAnsi="Times New Roman" w:cs="Times New Roman"/>
          <w:bCs/>
          <w:sz w:val="24"/>
          <w:szCs w:val="24"/>
        </w:rPr>
        <w:t>14%</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10%</w:t>
      </w:r>
      <w:r w:rsidRPr="00B83412">
        <w:rPr>
          <w:rFonts w:ascii="Times New Roman" w:eastAsia="Times New Roman" w:hAnsi="Times New Roman" w:cs="Times New Roman"/>
          <w:sz w:val="24"/>
          <w:szCs w:val="24"/>
        </w:rPr>
        <w:t xml:space="preserve">, respectively. This suggests that the study population was predominantly composed of economically active adults, who are critical in disease transmission dynamics and prevention practices. Table 3 indicates that </w:t>
      </w:r>
      <w:r w:rsidRPr="00B83412">
        <w:rPr>
          <w:rFonts w:ascii="Times New Roman" w:eastAsia="Times New Roman" w:hAnsi="Times New Roman" w:cs="Times New Roman"/>
          <w:bCs/>
          <w:sz w:val="24"/>
          <w:szCs w:val="24"/>
        </w:rPr>
        <w:t>married respondents constituted the largest group (237; 42%)</w:t>
      </w:r>
      <w:r w:rsidRPr="00B83412">
        <w:rPr>
          <w:rFonts w:ascii="Times New Roman" w:eastAsia="Times New Roman" w:hAnsi="Times New Roman" w:cs="Times New Roman"/>
          <w:sz w:val="24"/>
          <w:szCs w:val="24"/>
        </w:rPr>
        <w:t xml:space="preserve">, followed by </w:t>
      </w:r>
      <w:r w:rsidRPr="00B83412">
        <w:rPr>
          <w:rFonts w:ascii="Times New Roman" w:eastAsia="Times New Roman" w:hAnsi="Times New Roman" w:cs="Times New Roman"/>
          <w:bCs/>
          <w:sz w:val="24"/>
          <w:szCs w:val="24"/>
        </w:rPr>
        <w:t>single respondents (171; 30%)</w:t>
      </w:r>
      <w:r w:rsidRPr="00B83412">
        <w:rPr>
          <w:rFonts w:ascii="Times New Roman" w:eastAsia="Times New Roman" w:hAnsi="Times New Roman" w:cs="Times New Roman"/>
          <w:sz w:val="24"/>
          <w:szCs w:val="24"/>
        </w:rPr>
        <w:t xml:space="preserve">. Widows and widowers accounted for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10%</w:t>
      </w:r>
      <w:r w:rsidRPr="00B83412">
        <w:rPr>
          <w:rFonts w:ascii="Times New Roman" w:eastAsia="Times New Roman" w:hAnsi="Times New Roman" w:cs="Times New Roman"/>
          <w:sz w:val="24"/>
          <w:szCs w:val="24"/>
        </w:rPr>
        <w:t xml:space="preserve"> were separated. The predominance of married respondents may influence household-level health decisions, including vaccination uptake and preventive behaviors. The educational profile of respondents shows that </w:t>
      </w:r>
      <w:r w:rsidRPr="00B83412">
        <w:rPr>
          <w:rFonts w:ascii="Times New Roman" w:eastAsia="Times New Roman" w:hAnsi="Times New Roman" w:cs="Times New Roman"/>
          <w:bCs/>
          <w:sz w:val="24"/>
          <w:szCs w:val="24"/>
        </w:rPr>
        <w:t>Qur’anic education</w:t>
      </w:r>
      <w:r w:rsidRPr="00B83412">
        <w:rPr>
          <w:rFonts w:ascii="Times New Roman" w:eastAsia="Times New Roman" w:hAnsi="Times New Roman" w:cs="Times New Roman"/>
          <w:sz w:val="24"/>
          <w:szCs w:val="24"/>
        </w:rPr>
        <w:t xml:space="preserve"> was the most common form of education, reported by </w:t>
      </w:r>
      <w:r w:rsidRPr="00B83412">
        <w:rPr>
          <w:rFonts w:ascii="Times New Roman" w:eastAsia="Times New Roman" w:hAnsi="Times New Roman" w:cs="Times New Roman"/>
          <w:bCs/>
          <w:sz w:val="24"/>
          <w:szCs w:val="24"/>
        </w:rPr>
        <w:t>177 respondents (31%)</w:t>
      </w:r>
      <w:r w:rsidRPr="00B83412">
        <w:rPr>
          <w:rFonts w:ascii="Times New Roman" w:eastAsia="Times New Roman" w:hAnsi="Times New Roman" w:cs="Times New Roman"/>
          <w:sz w:val="24"/>
          <w:szCs w:val="24"/>
        </w:rPr>
        <w:t xml:space="preserve">. Respondents with </w:t>
      </w:r>
      <w:r w:rsidRPr="00B83412">
        <w:rPr>
          <w:rFonts w:ascii="Times New Roman" w:eastAsia="Times New Roman" w:hAnsi="Times New Roman" w:cs="Times New Roman"/>
          <w:bCs/>
          <w:sz w:val="24"/>
          <w:szCs w:val="24"/>
        </w:rPr>
        <w:t>secondary education</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25%</w:t>
      </w:r>
      <w:r w:rsidRPr="00B83412">
        <w:rPr>
          <w:rFonts w:ascii="Times New Roman" w:eastAsia="Times New Roman" w:hAnsi="Times New Roman" w:cs="Times New Roman"/>
          <w:sz w:val="24"/>
          <w:szCs w:val="24"/>
        </w:rPr>
        <w:t xml:space="preserve">, while those with </w:t>
      </w:r>
      <w:r w:rsidRPr="00B83412">
        <w:rPr>
          <w:rFonts w:ascii="Times New Roman" w:eastAsia="Times New Roman" w:hAnsi="Times New Roman" w:cs="Times New Roman"/>
          <w:bCs/>
          <w:sz w:val="24"/>
          <w:szCs w:val="24"/>
        </w:rPr>
        <w:t>tertiary education</w:t>
      </w:r>
      <w:r w:rsidRPr="00B83412">
        <w:rPr>
          <w:rFonts w:ascii="Times New Roman" w:eastAsia="Times New Roman" w:hAnsi="Times New Roman" w:cs="Times New Roman"/>
          <w:sz w:val="24"/>
          <w:szCs w:val="24"/>
        </w:rPr>
        <w:t xml:space="preserve"> represented </w:t>
      </w:r>
      <w:r w:rsidRPr="00B83412">
        <w:rPr>
          <w:rFonts w:ascii="Times New Roman" w:eastAsia="Times New Roman" w:hAnsi="Times New Roman" w:cs="Times New Roman"/>
          <w:bCs/>
          <w:sz w:val="24"/>
          <w:szCs w:val="24"/>
        </w:rPr>
        <w:t>18%</w:t>
      </w:r>
      <w:r w:rsidRPr="00B83412">
        <w:rPr>
          <w:rFonts w:ascii="Times New Roman" w:eastAsia="Times New Roman" w:hAnsi="Times New Roman" w:cs="Times New Roman"/>
          <w:sz w:val="24"/>
          <w:szCs w:val="24"/>
        </w:rPr>
        <w:t xml:space="preserve">. A notable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had no formal education, and only </w:t>
      </w:r>
      <w:r w:rsidRPr="00B83412">
        <w:rPr>
          <w:rFonts w:ascii="Times New Roman" w:eastAsia="Times New Roman" w:hAnsi="Times New Roman" w:cs="Times New Roman"/>
          <w:bCs/>
          <w:sz w:val="24"/>
          <w:szCs w:val="24"/>
        </w:rPr>
        <w:t>8%</w:t>
      </w:r>
      <w:r w:rsidRPr="00B83412">
        <w:rPr>
          <w:rFonts w:ascii="Times New Roman" w:eastAsia="Times New Roman" w:hAnsi="Times New Roman" w:cs="Times New Roman"/>
          <w:sz w:val="24"/>
          <w:szCs w:val="24"/>
        </w:rPr>
        <w:t xml:space="preserve"> had postgraduate qualifications. This distribution highlights varying literacy levels, which may affect health knowledge, awareness, and adoption of preventive measures against yellow fever.</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As shown in Table 5, </w:t>
      </w:r>
      <w:r w:rsidRPr="00B83412">
        <w:rPr>
          <w:rFonts w:ascii="Times New Roman" w:eastAsia="Times New Roman" w:hAnsi="Times New Roman" w:cs="Times New Roman"/>
          <w:bCs/>
          <w:sz w:val="24"/>
          <w:szCs w:val="24"/>
        </w:rPr>
        <w:t>farming</w:t>
      </w:r>
      <w:r w:rsidRPr="00B83412">
        <w:rPr>
          <w:rFonts w:ascii="Times New Roman" w:eastAsia="Times New Roman" w:hAnsi="Times New Roman" w:cs="Times New Roman"/>
          <w:sz w:val="24"/>
          <w:szCs w:val="24"/>
        </w:rPr>
        <w:t xml:space="preserve"> was the dominant occupation among respondents (</w:t>
      </w:r>
      <w:r w:rsidRPr="00B83412">
        <w:rPr>
          <w:rFonts w:ascii="Times New Roman" w:eastAsia="Times New Roman" w:hAnsi="Times New Roman" w:cs="Times New Roman"/>
          <w:bCs/>
          <w:sz w:val="24"/>
          <w:szCs w:val="24"/>
        </w:rPr>
        <w:t>199; 35%</w:t>
      </w:r>
      <w:r w:rsidRPr="00B83412">
        <w:rPr>
          <w:rFonts w:ascii="Times New Roman" w:eastAsia="Times New Roman" w:hAnsi="Times New Roman" w:cs="Times New Roman"/>
          <w:sz w:val="24"/>
          <w:szCs w:val="24"/>
        </w:rPr>
        <w:t xml:space="preserve">), reflecting the agrarian nature of the region. The unemployed constituted </w:t>
      </w:r>
      <w:r w:rsidRPr="00B83412">
        <w:rPr>
          <w:rFonts w:ascii="Times New Roman" w:eastAsia="Times New Roman" w:hAnsi="Times New Roman" w:cs="Times New Roman"/>
          <w:bCs/>
          <w:sz w:val="24"/>
          <w:szCs w:val="24"/>
        </w:rPr>
        <w:t>32%</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self-employed individuals</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Public or civil servants made up </w:t>
      </w:r>
      <w:r w:rsidRPr="00B83412">
        <w:rPr>
          <w:rFonts w:ascii="Times New Roman" w:eastAsia="Times New Roman" w:hAnsi="Times New Roman" w:cs="Times New Roman"/>
          <w:bCs/>
          <w:sz w:val="24"/>
          <w:szCs w:val="24"/>
        </w:rPr>
        <w:t>11%</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Imams/clergy</w:t>
      </w:r>
      <w:r w:rsidRPr="00B83412">
        <w:rPr>
          <w:rFonts w:ascii="Times New Roman" w:eastAsia="Times New Roman" w:hAnsi="Times New Roman" w:cs="Times New Roman"/>
          <w:sz w:val="24"/>
          <w:szCs w:val="24"/>
        </w:rPr>
        <w:t xml:space="preserve"> represented </w:t>
      </w:r>
      <w:r w:rsidRPr="00B83412">
        <w:rPr>
          <w:rFonts w:ascii="Times New Roman" w:eastAsia="Times New Roman" w:hAnsi="Times New Roman" w:cs="Times New Roman"/>
          <w:bCs/>
          <w:sz w:val="24"/>
          <w:szCs w:val="24"/>
        </w:rPr>
        <w:t>5%</w:t>
      </w:r>
      <w:r w:rsidRPr="00B83412">
        <w:rPr>
          <w:rFonts w:ascii="Times New Roman" w:eastAsia="Times New Roman" w:hAnsi="Times New Roman" w:cs="Times New Roman"/>
          <w:sz w:val="24"/>
          <w:szCs w:val="24"/>
        </w:rPr>
        <w:t xml:space="preserve">. Occupational exposure, particularly farming, may increase contact with mosquito habitats, thereby elevating yellow fever risk. Table 6 presents the distribution of respondents by state. </w:t>
      </w:r>
      <w:r w:rsidRPr="00B83412">
        <w:rPr>
          <w:rFonts w:ascii="Times New Roman" w:eastAsia="Times New Roman" w:hAnsi="Times New Roman" w:cs="Times New Roman"/>
          <w:bCs/>
          <w:sz w:val="24"/>
          <w:szCs w:val="24"/>
        </w:rPr>
        <w:t>Borno State</w:t>
      </w:r>
      <w:r w:rsidRPr="00B83412">
        <w:rPr>
          <w:rFonts w:ascii="Times New Roman" w:eastAsia="Times New Roman" w:hAnsi="Times New Roman" w:cs="Times New Roman"/>
          <w:sz w:val="24"/>
          <w:szCs w:val="24"/>
        </w:rPr>
        <w:t xml:space="preserve"> had the highest number of respondents (</w:t>
      </w:r>
      <w:r w:rsidRPr="00B83412">
        <w:rPr>
          <w:rFonts w:ascii="Times New Roman" w:eastAsia="Times New Roman" w:hAnsi="Times New Roman" w:cs="Times New Roman"/>
          <w:bCs/>
          <w:sz w:val="24"/>
          <w:szCs w:val="24"/>
        </w:rPr>
        <w:t>123; 22%</w:t>
      </w:r>
      <w:r w:rsidRPr="00B83412">
        <w:rPr>
          <w:rFonts w:ascii="Times New Roman" w:eastAsia="Times New Roman" w:hAnsi="Times New Roman" w:cs="Times New Roman"/>
          <w:sz w:val="24"/>
          <w:szCs w:val="24"/>
        </w:rPr>
        <w:t xml:space="preserve">), followed by </w:t>
      </w:r>
      <w:r w:rsidRPr="00B83412">
        <w:rPr>
          <w:rFonts w:ascii="Times New Roman" w:eastAsia="Times New Roman" w:hAnsi="Times New Roman" w:cs="Times New Roman"/>
          <w:bCs/>
          <w:sz w:val="24"/>
          <w:szCs w:val="24"/>
        </w:rPr>
        <w:t>Yobe (108; 19%)</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Adamawa (96; 17%)</w:t>
      </w:r>
      <w:r w:rsidRPr="00B83412">
        <w:rPr>
          <w:rFonts w:ascii="Times New Roman" w:eastAsia="Times New Roman" w:hAnsi="Times New Roman" w:cs="Times New Roman"/>
          <w:sz w:val="24"/>
          <w:szCs w:val="24"/>
        </w:rPr>
        <w:t xml:space="preserve">. Taraba, Bauchi, and Gombe accounted for </w:t>
      </w:r>
      <w:r w:rsidRPr="00B83412">
        <w:rPr>
          <w:rFonts w:ascii="Times New Roman" w:eastAsia="Times New Roman" w:hAnsi="Times New Roman" w:cs="Times New Roman"/>
          <w:bCs/>
          <w:sz w:val="24"/>
          <w:szCs w:val="24"/>
        </w:rPr>
        <w:t>16%</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bCs/>
          <w:sz w:val="24"/>
          <w:szCs w:val="24"/>
        </w:rPr>
        <w:t>14%</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12%</w:t>
      </w:r>
      <w:r w:rsidRPr="00B83412">
        <w:rPr>
          <w:rFonts w:ascii="Times New Roman" w:eastAsia="Times New Roman" w:hAnsi="Times New Roman" w:cs="Times New Roman"/>
          <w:sz w:val="24"/>
          <w:szCs w:val="24"/>
        </w:rPr>
        <w:t xml:space="preserve">, respectively. This distribution reflects representation across all six states in the North East geopolitical zone. Findings in Table 7 indicate that respondents generally agreed that yellow fever is a </w:t>
      </w:r>
      <w:r w:rsidRPr="00B83412">
        <w:rPr>
          <w:rFonts w:ascii="Times New Roman" w:eastAsia="Times New Roman" w:hAnsi="Times New Roman" w:cs="Times New Roman"/>
          <w:bCs/>
          <w:sz w:val="24"/>
          <w:szCs w:val="24"/>
        </w:rPr>
        <w:t>significant public health concern in the North East region</w:t>
      </w:r>
      <w:r w:rsidRPr="00B83412">
        <w:rPr>
          <w:rFonts w:ascii="Times New Roman" w:eastAsia="Times New Roman" w:hAnsi="Times New Roman" w:cs="Times New Roman"/>
          <w:sz w:val="24"/>
          <w:szCs w:val="24"/>
        </w:rPr>
        <w:t xml:space="preserve"> (mean = 2.97). Respondents also agreed that the </w:t>
      </w:r>
      <w:r w:rsidRPr="00B83412">
        <w:rPr>
          <w:rFonts w:ascii="Times New Roman" w:eastAsia="Times New Roman" w:hAnsi="Times New Roman" w:cs="Times New Roman"/>
          <w:bCs/>
          <w:sz w:val="24"/>
          <w:szCs w:val="24"/>
        </w:rPr>
        <w:t>incidence of yellow fever has increased over the past five years</w:t>
      </w:r>
      <w:r w:rsidRPr="00B83412">
        <w:rPr>
          <w:rFonts w:ascii="Times New Roman" w:eastAsia="Times New Roman" w:hAnsi="Times New Roman" w:cs="Times New Roman"/>
          <w:sz w:val="24"/>
          <w:szCs w:val="24"/>
        </w:rPr>
        <w:t xml:space="preserve"> (mean = 2.85) and that there is a </w:t>
      </w:r>
      <w:r w:rsidRPr="00B83412">
        <w:rPr>
          <w:rFonts w:ascii="Times New Roman" w:eastAsia="Times New Roman" w:hAnsi="Times New Roman" w:cs="Times New Roman"/>
          <w:bCs/>
          <w:sz w:val="24"/>
          <w:szCs w:val="24"/>
        </w:rPr>
        <w:t>clear seasonal pattern</w:t>
      </w:r>
      <w:r w:rsidRPr="00B83412">
        <w:rPr>
          <w:rFonts w:ascii="Times New Roman" w:eastAsia="Times New Roman" w:hAnsi="Times New Roman" w:cs="Times New Roman"/>
          <w:sz w:val="24"/>
          <w:szCs w:val="24"/>
        </w:rPr>
        <w:t xml:space="preserve"> to outbreaks (mean = </w:t>
      </w:r>
      <w:r w:rsidRPr="00B83412">
        <w:rPr>
          <w:rFonts w:ascii="Times New Roman" w:eastAsia="Times New Roman" w:hAnsi="Times New Roman" w:cs="Times New Roman"/>
          <w:sz w:val="24"/>
          <w:szCs w:val="24"/>
        </w:rPr>
        <w:lastRenderedPageBreak/>
        <w:t xml:space="preserve">2.75). Furthermore, respondents agreed that the </w:t>
      </w:r>
      <w:r w:rsidRPr="00B83412">
        <w:rPr>
          <w:rFonts w:ascii="Times New Roman" w:eastAsia="Times New Roman" w:hAnsi="Times New Roman" w:cs="Times New Roman"/>
          <w:bCs/>
          <w:sz w:val="24"/>
          <w:szCs w:val="24"/>
        </w:rPr>
        <w:t>risk of yellow fever differs between urban and rural areas</w:t>
      </w:r>
      <w:r w:rsidRPr="00B83412">
        <w:rPr>
          <w:rFonts w:ascii="Times New Roman" w:eastAsia="Times New Roman" w:hAnsi="Times New Roman" w:cs="Times New Roman"/>
          <w:sz w:val="24"/>
          <w:szCs w:val="24"/>
        </w:rPr>
        <w:t>, with a higher perceived risk in certain settings (overall mean values above 2.50). These results suggest a widespread perception of increasing and persistent yellow fever transmission in the region.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Table 8 shows that respondents agreed that </w:t>
      </w:r>
      <w:r w:rsidRPr="00B83412">
        <w:rPr>
          <w:rFonts w:ascii="Times New Roman" w:eastAsia="Times New Roman" w:hAnsi="Times New Roman" w:cs="Times New Roman"/>
          <w:bCs/>
          <w:sz w:val="24"/>
          <w:szCs w:val="24"/>
        </w:rPr>
        <w:t>climate change is increasing habitat suitability for yellow fever vectors</w:t>
      </w:r>
      <w:r w:rsidRPr="00B83412">
        <w:rPr>
          <w:rFonts w:ascii="Times New Roman" w:eastAsia="Times New Roman" w:hAnsi="Times New Roman" w:cs="Times New Roman"/>
          <w:sz w:val="24"/>
          <w:szCs w:val="24"/>
        </w:rPr>
        <w:t xml:space="preserve"> (mean = 2.95). Poor waste management in urban areas was also identified as a major contributor to mosquito breeding (mean = 2.82). Inadequate healthcare infrastructure and </w:t>
      </w:r>
      <w:r w:rsidRPr="00B83412">
        <w:rPr>
          <w:rFonts w:ascii="Times New Roman" w:eastAsia="Times New Roman" w:hAnsi="Times New Roman" w:cs="Times New Roman"/>
          <w:bCs/>
          <w:sz w:val="24"/>
          <w:szCs w:val="24"/>
        </w:rPr>
        <w:t>low uptake of vaccination coupled with lack of mosquito nets</w:t>
      </w:r>
      <w:r w:rsidRPr="00B83412">
        <w:rPr>
          <w:rFonts w:ascii="Times New Roman" w:eastAsia="Times New Roman" w:hAnsi="Times New Roman" w:cs="Times New Roman"/>
          <w:sz w:val="24"/>
          <w:szCs w:val="24"/>
        </w:rPr>
        <w:t xml:space="preserve"> were similarly acknowledged as important factors facilitating yellow fever transmission (overall mean = 2.76). These findings highlight the multifactorial nature of yellow fever spread in the region.</w:t>
      </w: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1: Distribution of the respondents’ based on Gender</w:t>
      </w:r>
    </w:p>
    <w:p w:rsidR="003F59F7" w:rsidRPr="00B83412" w:rsidRDefault="003F59F7" w:rsidP="00B83412">
      <w:pPr>
        <w:spacing w:after="0" w:line="240" w:lineRule="auto"/>
        <w:jc w:val="both"/>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Male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226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Female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337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2:  Distribution of the respondents’ based on Age</w:t>
      </w:r>
    </w:p>
    <w:p w:rsidR="003F59F7" w:rsidRPr="00B83412" w:rsidRDefault="003F59F7" w:rsidP="00B83412">
      <w:pPr>
        <w:spacing w:after="0" w:line="240" w:lineRule="auto"/>
        <w:jc w:val="both"/>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20-29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26</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30-39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175</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40-49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50-59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77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60  years  and above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3: Distribution of the Respondents based on marital status</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Married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237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Single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171</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lastRenderedPageBreak/>
              <w:t>Widow/widower</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Separated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4: Distribution of the Respondents based on educational Qualification</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None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 xml:space="preserve">Qur’anic education </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Secondary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Tertiary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102</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18</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Post-Graduate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42</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8</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5: Distribution of the respondents’ based on occupation</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Farming</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Imam /Clergy</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Self-employed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Public/Civil servant</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Unemployed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6: Distribution of the Respondents based on states</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Adamawa</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Bauchi</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79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Borno</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123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Gombe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lastRenderedPageBreak/>
              <w:t>Taraba</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90</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16</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Yobe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bookmarkStart w:id="1" w:name="_Hlk54973601"/>
      <w:r w:rsidRPr="00B83412">
        <w:rPr>
          <w:rFonts w:ascii="Times New Roman" w:eastAsia="Times New Roman" w:hAnsi="Times New Roman" w:cs="Times New Roman"/>
          <w:b/>
          <w:spacing w:val="2"/>
          <w:sz w:val="24"/>
          <w:szCs w:val="24"/>
        </w:rPr>
        <w:t xml:space="preserve">Table 7: </w:t>
      </w:r>
      <w:r w:rsidRPr="00B83412">
        <w:rPr>
          <w:rFonts w:ascii="Times New Roman" w:eastAsia="Calibri" w:hAnsi="Times New Roman" w:cs="Times New Roman"/>
          <w:b/>
          <w:sz w:val="24"/>
          <w:szCs w:val="24"/>
        </w:rPr>
        <w:t>The current epidemiological situation of yellow fever virus in North East geopolitical region</w:t>
      </w:r>
    </w:p>
    <w:bookmarkEnd w:id="1"/>
    <w:tbl>
      <w:tblPr>
        <w:tblStyle w:val="TableGrid"/>
        <w:tblW w:w="9214" w:type="dxa"/>
        <w:tblLook w:val="04A0"/>
      </w:tblPr>
      <w:tblGrid>
        <w:gridCol w:w="491"/>
        <w:gridCol w:w="3422"/>
        <w:gridCol w:w="793"/>
        <w:gridCol w:w="576"/>
        <w:gridCol w:w="576"/>
        <w:gridCol w:w="695"/>
        <w:gridCol w:w="702"/>
        <w:gridCol w:w="876"/>
        <w:gridCol w:w="1083"/>
      </w:tblGrid>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Calibri" w:hAnsi="Times New Roman" w:cs="Times New Roman"/>
                <w:b/>
                <w:sz w:val="24"/>
                <w:szCs w:val="24"/>
              </w:rPr>
              <w:t>Epidemiology situation</w:t>
            </w:r>
          </w:p>
        </w:tc>
        <w:tc>
          <w:tcPr>
            <w:tcW w:w="793"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D</w:t>
            </w:r>
          </w:p>
        </w:tc>
        <w:tc>
          <w:tcPr>
            <w:tcW w:w="695"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SD</w:t>
            </w:r>
          </w:p>
        </w:tc>
        <w:tc>
          <w:tcPr>
            <w:tcW w:w="702" w:type="dxa"/>
          </w:tcPr>
          <w:p w:rsidR="003F59F7" w:rsidRPr="00B83412" w:rsidRDefault="00402272" w:rsidP="00B83412">
            <w:pPr>
              <w:jc w:val="both"/>
              <w:rPr>
                <w:rFonts w:ascii="Times New Roman" w:eastAsia="Calibri" w:hAnsi="Times New Roman" w:cs="Times New Roman"/>
                <w:b/>
                <w:sz w:val="24"/>
                <w:szCs w:val="24"/>
              </w:rPr>
            </w:pPr>
            <w:r w:rsidRPr="00402272">
              <w:rPr>
                <w:rFonts w:ascii="Times New Roman" w:eastAsia="Calibri"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3" o:spid="_x0000_s1026" type="#_x0000_t32" style="position:absolute;left:0;text-align:left;margin-left:6.25pt;margin-top:.65pt;width:6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x8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"/>
              </w:pict>
            </w:r>
            <w:r w:rsidRPr="00402272">
              <w:rPr>
                <w:rFonts w:ascii="Times New Roman" w:eastAsia="Calibri"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30" type="#_x0000_t34" style="position:absolute;left:0;text-align:left;margin-left:8.45pt;margin-top:1.9pt;width:6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AqaYE7mAQAAugMAAA4AAAAAAAAAAAAAAAAALgIAAGRycy9lMm9Eb2MueG1sUEsBAi0AFAAG&#10;AAgAAAAhAKl4pqvXAAAABQEAAA8AAAAAAAAAAAAAAAAAQAQAAGRycy9kb3ducmV2LnhtbFBLBQYA&#10;AAAABAAEAPMAAABEBQAAAAA=&#10;"/>
              </w:pict>
            </w:r>
            <w:r w:rsidR="003F59F7" w:rsidRPr="00B83412">
              <w:rPr>
                <w:rFonts w:ascii="Times New Roman" w:eastAsia="Calibri" w:hAnsi="Times New Roman" w:cs="Times New Roman"/>
                <w:b/>
                <w:sz w:val="24"/>
                <w:szCs w:val="24"/>
              </w:rPr>
              <w:t>X</w:t>
            </w:r>
          </w:p>
        </w:tc>
        <w:tc>
          <w:tcPr>
            <w:tcW w:w="876"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Sd</w:t>
            </w:r>
          </w:p>
        </w:tc>
        <w:tc>
          <w:tcPr>
            <w:tcW w:w="1083"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Decision</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spacing w:after="200"/>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Yellow fever is a significant public health concern in the North East region</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247</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254</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46</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16</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2.97</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0.9155</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The incidence of yellow fever has increased in the region over the past five years</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233</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197</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89</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44</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2.85</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0.828</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p>
        </w:tc>
        <w:tc>
          <w:tcPr>
            <w:tcW w:w="793" w:type="dxa"/>
          </w:tcPr>
          <w:p w:rsidR="003F59F7" w:rsidRPr="00B83412" w:rsidRDefault="003F59F7" w:rsidP="00B83412">
            <w:pPr>
              <w:jc w:val="both"/>
              <w:rPr>
                <w:rFonts w:ascii="Times New Roman" w:eastAsia="Calibri" w:hAnsi="Times New Roman" w:cs="Times New Roman"/>
                <w:sz w:val="24"/>
                <w:szCs w:val="24"/>
              </w:rPr>
            </w:pPr>
          </w:p>
        </w:tc>
        <w:tc>
          <w:tcPr>
            <w:tcW w:w="576" w:type="dxa"/>
          </w:tcPr>
          <w:p w:rsidR="003F59F7" w:rsidRPr="00B83412" w:rsidRDefault="003F59F7" w:rsidP="00B83412">
            <w:pPr>
              <w:jc w:val="both"/>
              <w:rPr>
                <w:rFonts w:ascii="Times New Roman" w:eastAsia="Calibri" w:hAnsi="Times New Roman" w:cs="Times New Roman"/>
                <w:sz w:val="24"/>
                <w:szCs w:val="24"/>
              </w:rPr>
            </w:pPr>
          </w:p>
        </w:tc>
        <w:tc>
          <w:tcPr>
            <w:tcW w:w="576" w:type="dxa"/>
          </w:tcPr>
          <w:p w:rsidR="003F59F7" w:rsidRPr="00B83412" w:rsidRDefault="003F59F7" w:rsidP="00B83412">
            <w:pPr>
              <w:jc w:val="both"/>
              <w:rPr>
                <w:rFonts w:ascii="Times New Roman" w:eastAsia="Calibri" w:hAnsi="Times New Roman" w:cs="Times New Roman"/>
                <w:sz w:val="24"/>
                <w:szCs w:val="24"/>
              </w:rPr>
            </w:pPr>
          </w:p>
        </w:tc>
        <w:tc>
          <w:tcPr>
            <w:tcW w:w="695" w:type="dxa"/>
          </w:tcPr>
          <w:p w:rsidR="003F59F7" w:rsidRPr="00B83412" w:rsidRDefault="003F59F7" w:rsidP="00B83412">
            <w:pPr>
              <w:jc w:val="both"/>
              <w:rPr>
                <w:rFonts w:ascii="Times New Roman" w:eastAsia="Calibri" w:hAnsi="Times New Roman" w:cs="Times New Roman"/>
                <w:sz w:val="24"/>
                <w:szCs w:val="24"/>
              </w:rPr>
            </w:pP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876" w:type="dxa"/>
            <w:hideMark/>
          </w:tcPr>
          <w:p w:rsidR="003F59F7" w:rsidRPr="00B83412" w:rsidRDefault="003F59F7" w:rsidP="00B83412">
            <w:pPr>
              <w:jc w:val="both"/>
              <w:rPr>
                <w:rFonts w:ascii="Times New Roman" w:eastAsia="Times New Roman" w:hAnsi="Times New Roman" w:cs="Times New Roman"/>
                <w:sz w:val="24"/>
                <w:szCs w:val="24"/>
                <w:lang w:eastAsia="en-GB"/>
              </w:rPr>
            </w:pPr>
          </w:p>
        </w:tc>
        <w:tc>
          <w:tcPr>
            <w:tcW w:w="1083" w:type="dxa"/>
          </w:tcPr>
          <w:p w:rsidR="003F59F7" w:rsidRPr="00B83412" w:rsidRDefault="003F59F7" w:rsidP="00B83412">
            <w:pPr>
              <w:jc w:val="both"/>
              <w:rPr>
                <w:rFonts w:ascii="Times New Roman" w:eastAsia="Calibri" w:hAnsi="Times New Roman" w:cs="Times New Roman"/>
                <w:sz w:val="24"/>
                <w:szCs w:val="24"/>
              </w:rPr>
            </w:pP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There is a clear seasonal pattern to yellow fever outbreaks in the region</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200</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198</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87</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78</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2.75</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0.735</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The risk of yellow fever is higher In urban compared to rural areas</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162</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165</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104</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132</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2.53</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0.647</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702"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2.87</w:t>
            </w:r>
          </w:p>
        </w:tc>
        <w:tc>
          <w:tcPr>
            <w:tcW w:w="876"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0.804</w:t>
            </w:r>
          </w:p>
        </w:tc>
        <w:tc>
          <w:tcPr>
            <w:tcW w:w="1083"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Agree</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Times New Roman" w:hAnsi="Times New Roman" w:cs="Times New Roman"/>
          <w:b/>
          <w:spacing w:val="2"/>
          <w:sz w:val="24"/>
          <w:szCs w:val="24"/>
        </w:rPr>
      </w:pPr>
      <w:bookmarkStart w:id="2" w:name="_Hlk55390569"/>
    </w:p>
    <w:p w:rsidR="003F59F7" w:rsidRPr="00B83412" w:rsidRDefault="003F59F7" w:rsidP="00B83412">
      <w:pPr>
        <w:spacing w:after="0" w:line="240" w:lineRule="auto"/>
        <w:jc w:val="both"/>
        <w:rPr>
          <w:rFonts w:ascii="Times New Roman" w:eastAsia="Calibri" w:hAnsi="Times New Roman" w:cs="Times New Roman"/>
          <w:sz w:val="24"/>
          <w:szCs w:val="24"/>
        </w:rPr>
      </w:pPr>
      <w:r w:rsidRPr="00B83412">
        <w:rPr>
          <w:rFonts w:ascii="Times New Roman" w:eastAsia="Times New Roman" w:hAnsi="Times New Roman" w:cs="Times New Roman"/>
          <w:b/>
          <w:spacing w:val="2"/>
          <w:sz w:val="24"/>
          <w:szCs w:val="24"/>
        </w:rPr>
        <w:t>Table 8:</w:t>
      </w:r>
      <w:bookmarkEnd w:id="2"/>
      <w:r w:rsidRPr="00B83412">
        <w:rPr>
          <w:rFonts w:ascii="Times New Roman" w:eastAsia="Times New Roman" w:hAnsi="Times New Roman" w:cs="Times New Roman"/>
          <w:b/>
          <w:spacing w:val="2"/>
          <w:sz w:val="24"/>
          <w:szCs w:val="24"/>
        </w:rPr>
        <w:t xml:space="preserve"> T</w:t>
      </w:r>
      <w:r w:rsidRPr="00B83412">
        <w:rPr>
          <w:rFonts w:ascii="Times New Roman" w:eastAsia="Calibri" w:hAnsi="Times New Roman" w:cs="Times New Roman"/>
          <w:b/>
          <w:sz w:val="24"/>
          <w:szCs w:val="24"/>
        </w:rPr>
        <w:t>he potential environmental, socioeconomic, and behavioral factors that contribute to the transmission and spread of YFV in North East region</w:t>
      </w:r>
    </w:p>
    <w:tbl>
      <w:tblPr>
        <w:tblStyle w:val="GridTableLight"/>
        <w:tblW w:w="8697" w:type="dxa"/>
        <w:tblLook w:val="04A0"/>
      </w:tblPr>
      <w:tblGrid>
        <w:gridCol w:w="3594"/>
        <w:gridCol w:w="814"/>
        <w:gridCol w:w="576"/>
        <w:gridCol w:w="456"/>
        <w:gridCol w:w="706"/>
        <w:gridCol w:w="708"/>
        <w:gridCol w:w="760"/>
        <w:gridCol w:w="1083"/>
      </w:tblGrid>
      <w:tr w:rsidR="003F59F7" w:rsidRPr="00B83412" w:rsidTr="009E3CAC">
        <w:trPr>
          <w:trHeight w:val="315"/>
        </w:trPr>
        <w:tc>
          <w:tcPr>
            <w:tcW w:w="3594" w:type="dxa"/>
          </w:tcPr>
          <w:p w:rsidR="003F59F7" w:rsidRPr="00B83412" w:rsidRDefault="003F59F7" w:rsidP="00B83412">
            <w:pPr>
              <w:jc w:val="both"/>
              <w:rPr>
                <w:rFonts w:ascii="Times New Roman" w:eastAsia="Times New Roman" w:hAnsi="Times New Roman" w:cs="Times New Roman"/>
                <w:b/>
                <w:sz w:val="24"/>
                <w:szCs w:val="24"/>
                <w:lang w:eastAsia="en-GB"/>
              </w:rPr>
            </w:pPr>
            <w:commentRangeStart w:id="3"/>
            <w:r w:rsidRPr="00B83412">
              <w:rPr>
                <w:rFonts w:ascii="Times New Roman" w:eastAsia="Calibri" w:hAnsi="Times New Roman" w:cs="Times New Roman"/>
                <w:b/>
                <w:sz w:val="24"/>
                <w:szCs w:val="24"/>
              </w:rPr>
              <w:t xml:space="preserve">Factors </w:t>
            </w:r>
          </w:p>
        </w:tc>
        <w:tc>
          <w:tcPr>
            <w:tcW w:w="814"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A</w:t>
            </w:r>
          </w:p>
        </w:tc>
        <w:tc>
          <w:tcPr>
            <w:tcW w:w="45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D</w:t>
            </w:r>
          </w:p>
        </w:tc>
        <w:tc>
          <w:tcPr>
            <w:tcW w:w="70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SD</w:t>
            </w:r>
          </w:p>
        </w:tc>
        <w:tc>
          <w:tcPr>
            <w:tcW w:w="708" w:type="dxa"/>
          </w:tcPr>
          <w:p w:rsidR="003F59F7" w:rsidRPr="00B83412" w:rsidRDefault="00402272" w:rsidP="00B83412">
            <w:pPr>
              <w:jc w:val="both"/>
              <w:rPr>
                <w:rFonts w:ascii="Times New Roman" w:eastAsia="Calibri" w:hAnsi="Times New Roman" w:cs="Times New Roman"/>
                <w:b/>
                <w:sz w:val="24"/>
                <w:szCs w:val="24"/>
              </w:rPr>
            </w:pPr>
            <w:r w:rsidRPr="00402272">
              <w:rPr>
                <w:rFonts w:ascii="Times New Roman" w:eastAsia="Calibri" w:hAnsi="Times New Roman" w:cs="Times New Roman"/>
                <w:noProof/>
                <w:sz w:val="24"/>
                <w:szCs w:val="24"/>
              </w:rPr>
              <w:pict>
                <v:shape id="Straight Arrow Connector 20" o:spid="_x0000_s1029" type="#_x0000_t32" style="position:absolute;left:0;text-align:left;margin-left:6.25pt;margin-top:.65pt;width:6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Kr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BsaUqskAgAASgQAAA4AAAAAAAAAAAAAAAAALgIAAGRycy9lMm9Eb2MueG1sUEsB&#10;Ai0AFAAGAAgAAAAhAJZmr4/YAAAABQEAAA8AAAAAAAAAAAAAAAAAfgQAAGRycy9kb3ducmV2Lnht&#10;bFBLBQYAAAAABAAEAPMAAACDBQAAAAA=&#10;"/>
              </w:pict>
            </w:r>
            <w:r w:rsidRPr="00402272">
              <w:rPr>
                <w:rFonts w:ascii="Times New Roman" w:eastAsia="Calibri" w:hAnsi="Times New Roman" w:cs="Times New Roman"/>
                <w:noProof/>
                <w:sz w:val="24"/>
                <w:szCs w:val="24"/>
              </w:rPr>
              <w:pict>
                <v:shape id="Elbow Connector 19" o:spid="_x0000_s1028" type="#_x0000_t34" style="position:absolute;left:0;text-align:left;margin-left:8.45pt;margin-top:1.9pt;width:6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P2WUw7mAQAAugMAAA4AAAAAAAAAAAAAAAAALgIAAGRycy9lMm9Eb2MueG1sUEsBAi0AFAAG&#10;AAgAAAAhAKl4pqvXAAAABQEAAA8AAAAAAAAAAAAAAAAAQAQAAGRycy9kb3ducmV2LnhtbFBLBQYA&#10;AAAABAAEAPMAAABEBQAAAAA=&#10;"/>
              </w:pict>
            </w:r>
            <w:r w:rsidR="003F59F7" w:rsidRPr="00B83412">
              <w:rPr>
                <w:rFonts w:ascii="Times New Roman" w:eastAsia="Calibri" w:hAnsi="Times New Roman" w:cs="Times New Roman"/>
                <w:b/>
                <w:sz w:val="24"/>
                <w:szCs w:val="24"/>
              </w:rPr>
              <w:t>X</w:t>
            </w:r>
          </w:p>
        </w:tc>
        <w:tc>
          <w:tcPr>
            <w:tcW w:w="760"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Sd</w:t>
            </w:r>
          </w:p>
        </w:tc>
        <w:tc>
          <w:tcPr>
            <w:tcW w:w="1083"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Decision</w:t>
            </w:r>
          </w:p>
        </w:tc>
      </w:tr>
      <w:tr w:rsidR="003F59F7" w:rsidRPr="00B83412" w:rsidTr="009E3CAC">
        <w:trPr>
          <w:trHeight w:val="315"/>
        </w:trPr>
        <w:tc>
          <w:tcPr>
            <w:tcW w:w="3594" w:type="dxa"/>
          </w:tcPr>
          <w:p w:rsidR="003F59F7" w:rsidRPr="00B83412" w:rsidRDefault="003F59F7" w:rsidP="00B83412">
            <w:pPr>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Climate change is increasing the habitat suitability for yellow fever vectors in the region.</w:t>
            </w:r>
          </w:p>
          <w:p w:rsidR="003F59F7" w:rsidRPr="00B83412" w:rsidRDefault="003F59F7" w:rsidP="00B83412">
            <w:pPr>
              <w:jc w:val="both"/>
              <w:rPr>
                <w:rFonts w:ascii="Times New Roman" w:eastAsia="Calibri" w:hAnsi="Times New Roman" w:cs="Times New Roman"/>
                <w:sz w:val="24"/>
                <w:szCs w:val="24"/>
              </w:rPr>
            </w:pP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198</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269</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59</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37</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2.95</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0.924</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Poor waste management in urban areas is creating more breeding sites for Aedes mosquitoes</w:t>
            </w:r>
            <w:r w:rsidRPr="00B83412">
              <w:rPr>
                <w:rFonts w:ascii="Times New Roman" w:eastAsia="Calibri" w:hAnsi="Times New Roman" w:cs="Times New Roman"/>
                <w:sz w:val="24"/>
                <w:szCs w:val="24"/>
              </w:rPr>
              <w:t>.</w:t>
            </w:r>
          </w:p>
          <w:p w:rsidR="003F59F7" w:rsidRPr="00B83412" w:rsidRDefault="003F59F7" w:rsidP="00B83412">
            <w:pPr>
              <w:jc w:val="both"/>
              <w:rPr>
                <w:rFonts w:ascii="Times New Roman" w:eastAsia="Calibri" w:hAnsi="Times New Roman" w:cs="Times New Roman"/>
                <w:sz w:val="24"/>
                <w:szCs w:val="24"/>
              </w:rPr>
            </w:pP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264</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184</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92</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23</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2.82</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0.873</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Inadequate healthcare infrastructure is hampering early detection and response to yellow fever cases</w:t>
            </w: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286</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175</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58</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44</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2.80</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0.860</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Low uptake of vaccination and lack of mosquito nets is a major factor in yellow fever transmission</w:t>
            </w:r>
            <w:r w:rsidRPr="00B83412">
              <w:rPr>
                <w:rFonts w:ascii="Times New Roman" w:eastAsia="Calibri" w:hAnsi="Times New Roman" w:cs="Times New Roman"/>
                <w:sz w:val="24"/>
                <w:szCs w:val="24"/>
              </w:rPr>
              <w:t>.</w:t>
            </w: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256</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187</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84</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36</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2.73</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0.759</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commentRangeEnd w:id="3"/>
            <w:r w:rsidR="00025DBF">
              <w:rPr>
                <w:rStyle w:val="CommentReference"/>
              </w:rPr>
              <w:commentReference w:id="3"/>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lastRenderedPageBreak/>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commentRangeStart w:id="4"/>
      <w:r w:rsidRPr="00B83412">
        <w:rPr>
          <w:rFonts w:ascii="Times New Roman" w:eastAsia="Calibri" w:hAnsi="Times New Roman" w:cs="Times New Roman"/>
          <w:b/>
          <w:sz w:val="24"/>
          <w:szCs w:val="24"/>
        </w:rPr>
        <w:t>2.76      0.721    Agree</w:t>
      </w:r>
      <w:commentRangeEnd w:id="4"/>
      <w:r w:rsidR="00025DBF">
        <w:rPr>
          <w:rStyle w:val="CommentReference"/>
        </w:rPr>
        <w:commentReference w:id="4"/>
      </w:r>
    </w:p>
    <w:p w:rsidR="003F59F7" w:rsidRPr="00B83412" w:rsidRDefault="003F59F7" w:rsidP="00B83412">
      <w:pPr>
        <w:spacing w:after="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00402272">
        <w:rPr>
          <w:rFonts w:ascii="Times New Roman" w:eastAsia="Calibri" w:hAnsi="Times New Roman" w:cs="Times New Roman"/>
          <w:noProof/>
          <w:sz w:val="24"/>
          <w:szCs w:val="24"/>
        </w:rPr>
        <w:pict>
          <v:shape id="Straight Arrow Connector 18" o:spid="_x0000_s1027" type="#_x0000_t32" style="position:absolute;left:0;text-align:left;margin-left:.75pt;margin-top:13.5pt;width:467.2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Q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"/>
        </w:pict>
      </w:r>
    </w:p>
    <w:p w:rsidR="003F59F7" w:rsidRPr="00B83412" w:rsidRDefault="003F59F7" w:rsidP="00B83412">
      <w:pPr>
        <w:spacing w:line="240" w:lineRule="auto"/>
        <w:jc w:val="both"/>
        <w:rPr>
          <w:rFonts w:ascii="Times New Roman" w:hAnsi="Times New Roman" w:cs="Times New Roman"/>
          <w:b/>
          <w:sz w:val="24"/>
          <w:szCs w:val="24"/>
        </w:rPr>
      </w:pP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83412">
        <w:rPr>
          <w:rFonts w:ascii="Times New Roman" w:eastAsia="Times New Roman" w:hAnsi="Times New Roman" w:cs="Times New Roman"/>
          <w:b/>
          <w:bCs/>
          <w:sz w:val="24"/>
          <w:szCs w:val="24"/>
        </w:rPr>
        <w:t>Discussion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The gender distribution of respondents (Table 1) shows a higher proportion of females (60%) compared to males (40%). This skewed representation may reflect differential availability or willingness to participate in community-based surveys, particularly in settings where women are more likely to be present in households during data collection periods. From a public health perspective, the higher female participation is relevant because women often serve as primary caregivers and play a central role in household health-seeking behavior and vaccination decision-making. However, the underrepresentation of males may introduce response bias, especially in relation to occupational exposure (e.g., farming, outdoor labor) that could be associated with increased vector contact and yellow fever risk.Age distribution (Table 2) indicates that the majority of respondents were within the economically productive age groups of 20–39 years (57%), with a gradual decline in representation among older age categories. This demographic profile is epidemiologically meaningful, as younger and middle-aged adults are more mobile, more likely to engage in outdoor economic activities, and may contribute disproportionately to transmission dynamics through increased exposure to vector habitats. The relatively smaller proportion of respondents aged ≥60 years (10%) may limit insights into risk perception and vulnerability among older adults, who may experience more severe disease outcomes</w:t>
      </w:r>
      <w:r w:rsidR="00D4553E" w:rsidRPr="00B83412">
        <w:rPr>
          <w:rFonts w:ascii="Times New Roman" w:eastAsia="Times New Roman" w:hAnsi="Times New Roman" w:cs="Times New Roman"/>
          <w:sz w:val="24"/>
          <w:szCs w:val="24"/>
        </w:rPr>
        <w:t xml:space="preserve"> [11]</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Marital status (Table 3) reveals that married individuals constitute the largest group (42%), followed by singles (30%) and widows/widowers (17%). The relatively high proportion of widowed respondents may reflect the broader demographic consequences of conflict and insecurity in the North East. Marital status is an important social determinant because household structure influences exposure patterns, health-seeking behavior, and vaccination uptake. For instance, widowed or separated individuals may face socioeconomic vulnerabilities that constrain access to preventive services</w:t>
      </w:r>
      <w:r w:rsidR="00D4553E" w:rsidRPr="00B83412">
        <w:rPr>
          <w:rFonts w:ascii="Times New Roman" w:eastAsia="Times New Roman" w:hAnsi="Times New Roman" w:cs="Times New Roman"/>
          <w:sz w:val="24"/>
          <w:szCs w:val="24"/>
        </w:rPr>
        <w:t xml:space="preserve"> [12]</w:t>
      </w:r>
      <w:r w:rsidRPr="00B83412">
        <w:rPr>
          <w:rFonts w:ascii="Times New Roman" w:eastAsia="Times New Roman" w:hAnsi="Times New Roman" w:cs="Times New Roman"/>
          <w:sz w:val="24"/>
          <w:szCs w:val="24"/>
        </w:rPr>
        <w:t>.Educational attainment (Table 4) demonstrates low formal education levels, with 48% of respondents having no formal or Qur’anic education, and only 26% attaining tertiary or postgraduate education. This educational profile has critical implications for health literacy, risk communication, and vaccine acceptance. Lower educational attainment is often associated with limited understanding of disease transmission mechanisms and preventive measures, which can undermine the effectiveness of public health messaging. The prominence of Qur’anic education highlights the need for culturally tailored communication strategies that leverage religious and community leadership structures to improve engagement with yellow fever prevention initiatives</w:t>
      </w:r>
      <w:r w:rsidR="00D4553E" w:rsidRPr="00B83412">
        <w:rPr>
          <w:rFonts w:ascii="Times New Roman" w:eastAsia="Times New Roman" w:hAnsi="Times New Roman" w:cs="Times New Roman"/>
          <w:sz w:val="24"/>
          <w:szCs w:val="24"/>
        </w:rPr>
        <w:t xml:space="preserve"> [13]</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Occupational distribution (Table 5) shows that farming (35%) and unemployment (32%) dominate, reflecting the agrarian and economically constrained context of the region. Farmers are likely to experience increased exposure to sylvatic and peri-domestic mosquito vectors due to occupational proximity to breeding habitats. The high unemployment rate underscores structural poverty, which constrains access to improved housing, waste management, and preventive tools, thereby amplifying vulnerability to vector-borne diseases. The low proportion of religious leaders (5%) suggests limited direct representation of key community influencers, although their </w:t>
      </w:r>
      <w:r w:rsidRPr="00B83412">
        <w:rPr>
          <w:rFonts w:ascii="Times New Roman" w:eastAsia="Times New Roman" w:hAnsi="Times New Roman" w:cs="Times New Roman"/>
          <w:sz w:val="24"/>
          <w:szCs w:val="24"/>
        </w:rPr>
        <w:lastRenderedPageBreak/>
        <w:t>role in shaping health behaviors remains pivotal</w:t>
      </w:r>
      <w:r w:rsidR="00D4553E" w:rsidRPr="00B83412">
        <w:rPr>
          <w:rFonts w:ascii="Times New Roman" w:eastAsia="Times New Roman" w:hAnsi="Times New Roman" w:cs="Times New Roman"/>
          <w:sz w:val="24"/>
          <w:szCs w:val="24"/>
        </w:rPr>
        <w:t xml:space="preserve"> [14]</w:t>
      </w:r>
      <w:r w:rsidRPr="00B83412">
        <w:rPr>
          <w:rFonts w:ascii="Times New Roman" w:eastAsia="Times New Roman" w:hAnsi="Times New Roman" w:cs="Times New Roman"/>
          <w:sz w:val="24"/>
          <w:szCs w:val="24"/>
        </w:rPr>
        <w:t>.State-level representation (Table 6) indicates relatively balanced coverage across the six North East states, with Borno (22%) and Yobe (19%) having the highest representation. Given that Borno has been disproportionately affected by conflict and displacement, its higher representation enhances the relevance of findings to humanitarian settings. Nevertheless, state-level heterogeneity in insecurity, health system functionality, and urbanization may influence perceptions and actual epidemiological risk, warranting cautious generalization of aggregated findings</w:t>
      </w:r>
      <w:r w:rsidR="00D4553E" w:rsidRPr="00B83412">
        <w:rPr>
          <w:rFonts w:ascii="Times New Roman" w:eastAsia="Times New Roman" w:hAnsi="Times New Roman" w:cs="Times New Roman"/>
          <w:sz w:val="24"/>
          <w:szCs w:val="24"/>
        </w:rPr>
        <w:t xml:space="preserve"> [15]</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Respondents largely agreed that yellow fever is a significant public health concern in the North East (mean = 2.97), and that incidence has increased over the past five years (mean = 2.85). This perception aligns with documented national trends of yellow fever resurgence in Nigeria, reflecting heightened community awareness of outbreaks. However, reliance on perceived epidemiological trends rather than surveillance data introduces subjectivity and potential recall bias. Community perceptions may be influenced by episodic outbreaks or media coverage rather than longitudinal incidence patterns</w:t>
      </w:r>
      <w:r w:rsidR="00D4553E" w:rsidRPr="00B83412">
        <w:rPr>
          <w:rFonts w:ascii="Times New Roman" w:eastAsia="Times New Roman" w:hAnsi="Times New Roman" w:cs="Times New Roman"/>
          <w:sz w:val="24"/>
          <w:szCs w:val="24"/>
        </w:rPr>
        <w:t xml:space="preserve"> [16]</w:t>
      </w:r>
      <w:r w:rsidRPr="00B83412">
        <w:rPr>
          <w:rFonts w:ascii="Times New Roman" w:eastAsia="Times New Roman" w:hAnsi="Times New Roman" w:cs="Times New Roman"/>
          <w:sz w:val="24"/>
          <w:szCs w:val="24"/>
        </w:rPr>
        <w:t>.The perceived seasonality of yellow fever outbreaks (mean = 2.75) is consistent with the ecological reality of vector population dynamics, which are driven by rainfall and temperature. This finding suggests that communities recognize temporal patterns of disease risk, presenting an opportunity for seasonally targeted risk communication and pre-emptive vaccination or vector control campaigns</w:t>
      </w:r>
      <w:r w:rsidR="00D4553E" w:rsidRPr="00B83412">
        <w:rPr>
          <w:rFonts w:ascii="Times New Roman" w:eastAsia="Times New Roman" w:hAnsi="Times New Roman" w:cs="Times New Roman"/>
          <w:sz w:val="24"/>
          <w:szCs w:val="24"/>
        </w:rPr>
        <w:t xml:space="preserve"> [17]</w:t>
      </w:r>
      <w:r w:rsidRPr="00B83412">
        <w:rPr>
          <w:rFonts w:ascii="Times New Roman" w:eastAsia="Times New Roman" w:hAnsi="Times New Roman" w:cs="Times New Roman"/>
          <w:sz w:val="24"/>
          <w:szCs w:val="24"/>
        </w:rPr>
        <w:t>.The perception that urban risk exceeds rural risk (mean = 2.53) warrants critical scrutiny. While urban Aedes aegypti–mediated transmission is well-documented, yellow fever in Nigeria also has significant sylvatic and peri-urban transmission components. The relatively lower mean score and greater dispersion (SD = 0.647) indicate heterogeneity in understanding of transmission ecology, potentially reflecting differential exposure experiences across urban, peri-urban, and rural respondents. This underscores the need for nuanced public health messaging that communicates the multi-ecological nature of yellow fever transmission</w:t>
      </w:r>
      <w:r w:rsidR="00D4553E" w:rsidRPr="00B83412">
        <w:rPr>
          <w:rFonts w:ascii="Times New Roman" w:eastAsia="Times New Roman" w:hAnsi="Times New Roman" w:cs="Times New Roman"/>
          <w:sz w:val="24"/>
          <w:szCs w:val="24"/>
        </w:rPr>
        <w:t xml:space="preserve"> [18]</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Respondents expressed strong agreement that climate change is increasing habitat suitability for vectors (mean = 2.95), reflecting growing public awareness of environmental change as a health risk amplifier. While this perception aligns with evidence linking temperature and rainfall variability to vector dynamics, attributing causality solely to climate change may oversimplify the interplay of local environmental management, urbanization, and household practices</w:t>
      </w:r>
      <w:r w:rsidR="00E51C46" w:rsidRPr="00B83412">
        <w:rPr>
          <w:rFonts w:ascii="Times New Roman" w:eastAsia="Times New Roman" w:hAnsi="Times New Roman" w:cs="Times New Roman"/>
          <w:sz w:val="24"/>
          <w:szCs w:val="24"/>
        </w:rPr>
        <w:t xml:space="preserve"> [19]</w:t>
      </w:r>
      <w:r w:rsidRPr="00B83412">
        <w:rPr>
          <w:rFonts w:ascii="Times New Roman" w:eastAsia="Times New Roman" w:hAnsi="Times New Roman" w:cs="Times New Roman"/>
          <w:sz w:val="24"/>
          <w:szCs w:val="24"/>
        </w:rPr>
        <w:t>.Agreement that poor urban waste management creates breeding sites (mean = 2.82) highlights community recognition of modifiable environmental risk factors. This perception is epidemiologically salient, as container breeding in poorly managed urban environments is a key driver of Aedes proliferation. The finding supports integrated vector management approaches that combine environmental sanitation with community engagement</w:t>
      </w:r>
      <w:r w:rsidR="00E51C46" w:rsidRPr="00B83412">
        <w:rPr>
          <w:rFonts w:ascii="Times New Roman" w:eastAsia="Times New Roman" w:hAnsi="Times New Roman" w:cs="Times New Roman"/>
          <w:sz w:val="24"/>
          <w:szCs w:val="24"/>
        </w:rPr>
        <w:t xml:space="preserve"> [20]</w:t>
      </w:r>
      <w:r w:rsidRPr="00B83412">
        <w:rPr>
          <w:rFonts w:ascii="Times New Roman" w:eastAsia="Times New Roman" w:hAnsi="Times New Roman" w:cs="Times New Roman"/>
          <w:sz w:val="24"/>
          <w:szCs w:val="24"/>
        </w:rPr>
        <w:t>.Inadequate healthcare infrastructure was widely perceived as hampering early detection and response (mean = 2.80), reflecting lived experiences of delayed diagnosis, limited laboratory access, and constrained outbreak response capacity in the North East. This aligns with structural health system challenges documented in conflict-affected settings, where service delivery disruptions compromise surveillance sensitivity and timeliness</w:t>
      </w:r>
      <w:r w:rsidR="00E51C46" w:rsidRPr="00B83412">
        <w:rPr>
          <w:rFonts w:ascii="Times New Roman" w:eastAsia="Times New Roman" w:hAnsi="Times New Roman" w:cs="Times New Roman"/>
          <w:sz w:val="24"/>
          <w:szCs w:val="24"/>
        </w:rPr>
        <w:t xml:space="preserve"> [21]</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Low vaccination uptake and limited use of mosquito nets were also identified as major transmission factors (mean = 2.73). While mosquito nets are more commonly associated with malaria control than Aedes-borne diseases, their inclusion reflects a broader perception of </w:t>
      </w:r>
      <w:r w:rsidRPr="00B83412">
        <w:rPr>
          <w:rFonts w:ascii="Times New Roman" w:eastAsia="Times New Roman" w:hAnsi="Times New Roman" w:cs="Times New Roman"/>
          <w:sz w:val="24"/>
          <w:szCs w:val="24"/>
        </w:rPr>
        <w:lastRenderedPageBreak/>
        <w:t>personal protective measures. The emphasis on vaccination gaps is particularly important, as immunity gaps are the primary determinant of outbreak potential for yellow fever. However, self-reported perceptions may not accurately reflect actual coverage levels, underscoring the need to triangulate these findings with administrative and survey-based immunization data</w:t>
      </w:r>
      <w:r w:rsidR="00E51C46" w:rsidRPr="00B83412">
        <w:rPr>
          <w:rFonts w:ascii="Times New Roman" w:eastAsia="Times New Roman" w:hAnsi="Times New Roman" w:cs="Times New Roman"/>
          <w:sz w:val="24"/>
          <w:szCs w:val="24"/>
        </w:rPr>
        <w:t xml:space="preserve"> [22]</w:t>
      </w:r>
      <w:r w:rsidRPr="00B83412">
        <w:rPr>
          <w:rFonts w:ascii="Times New Roman" w:eastAsia="Times New Roman" w:hAnsi="Times New Roman" w:cs="Times New Roman"/>
          <w:sz w:val="24"/>
          <w:szCs w:val="24"/>
        </w:rPr>
        <w:t>.The findings suggest that community perceptions of yellow fever risk in North East Nigeria are broadly aligned with epidemiological and ecological evidence, particularly regarding the significance of the disease, seasonal patterns, environmental drivers, and health system constraints. Nevertheless, the reliance on perceptual data introduces limitations related to recall bias, social desirability bias, and potential misattribution of causality. The socio-demographic profile—characterized by low formal education, high unemployment, and agrarian livelihoods—highlights structural vulnerabilities that amplify exposure and constrain preventive behaviors.</w:t>
      </w:r>
    </w:p>
    <w:p w:rsidR="003F59F7" w:rsidRPr="00B83412" w:rsidRDefault="003F59F7" w:rsidP="00B83412">
      <w:pPr>
        <w:pStyle w:val="Heading2"/>
        <w:spacing w:line="240" w:lineRule="auto"/>
        <w:jc w:val="both"/>
        <w:rPr>
          <w:rFonts w:ascii="Times New Roman" w:hAnsi="Times New Roman" w:cs="Times New Roman"/>
          <w:color w:val="auto"/>
          <w:sz w:val="24"/>
          <w:szCs w:val="24"/>
        </w:rPr>
      </w:pPr>
      <w:r w:rsidRPr="00B83412">
        <w:rPr>
          <w:rStyle w:val="Strong"/>
          <w:rFonts w:ascii="Times New Roman" w:hAnsi="Times New Roman" w:cs="Times New Roman"/>
          <w:bCs w:val="0"/>
          <w:color w:val="auto"/>
          <w:sz w:val="24"/>
          <w:szCs w:val="24"/>
        </w:rPr>
        <w:t>Conclusion</w:t>
      </w:r>
    </w:p>
    <w:p w:rsidR="003F59F7" w:rsidRPr="00B83412" w:rsidRDefault="003F59F7" w:rsidP="00B83412">
      <w:pPr>
        <w:pStyle w:val="NormalWeb"/>
        <w:jc w:val="both"/>
      </w:pPr>
      <w:r w:rsidRPr="00B83412">
        <w:t>This study provides empirical insight into the epidemiological situation of yellow fever in Nigeria’s North East geopolitical region and elucidates the environmental, socioeconomic, and behavioral factors that shape transmission dynamics. The socio-demographic profile of respondents—characterized by a predominance of economically active adults, low levels of formal education, high unemployment, and agrarian livelihoods—highlights structural vulnerabilities that increase exposure to vector habitats and constrain access to preventive and curative health services. These vulnerabilities are further compounded by conflict-related displacement, fragile health systems, and uneven access to routine immunization services across states. Respondents’ perceptions align with epidemiological evidence indicating that yellow fever remains a significant public health concern in the region, with increasing incidence and discernible seasonality. The widespread agreement on the role of climate variability, poor urban waste management, inadequate healthcare infrastructure, and suboptimal vaccination uptake underscores the multifactorial nature of yellow fever transmission. Importantly, the findings suggest that communities recognize both environmental and systemic drivers of risk, providing a foundation for community-engaged interventions. Effective control of yellow fever in the North East requires an integrated, context-sensitive approach that prioritizes equitable vaccination coverage, strengthens surveillance and diagnostic capacity, and embeds integrated vector management within broader WASH and urban environmental interventions. Risk communication strategies must be culturally attuned and leverage trusted community and religious structures to address knowledge gaps and behavioral barriers to vaccination and environmental sanitation. Given the region’s exposure to climatic variability and population mobility, climate-informed early warning systems and cross-border coordination are also critical.</w:t>
      </w:r>
    </w:p>
    <w:p w:rsidR="00E51C46" w:rsidRPr="00B83412" w:rsidRDefault="00E51C46" w:rsidP="00B83412">
      <w:pPr>
        <w:spacing w:before="100" w:beforeAutospacing="1" w:after="100" w:afterAutospacing="1" w:line="240" w:lineRule="auto"/>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References</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McGuinness, I., Beckham, J. D., Tyler, K. L., &amp;Pastula, D. M. (2017). An Overview of Yellow Fever Virus Disease. </w:t>
      </w:r>
      <w:r w:rsidRPr="00B83412">
        <w:rPr>
          <w:rFonts w:ascii="Times New Roman" w:eastAsia="Times New Roman" w:hAnsi="Times New Roman" w:cs="Times New Roman"/>
          <w:i/>
          <w:iCs/>
          <w:sz w:val="24"/>
          <w:szCs w:val="24"/>
        </w:rPr>
        <w:t>The Neurohospitalist</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xml:space="preserve">(4), 157–158. </w:t>
      </w:r>
      <w:hyperlink r:id="rId8" w:history="1">
        <w:r w:rsidRPr="00B83412">
          <w:rPr>
            <w:rStyle w:val="Hyperlink"/>
            <w:rFonts w:ascii="Times New Roman" w:eastAsia="Times New Roman" w:hAnsi="Times New Roman" w:cs="Times New Roman"/>
            <w:sz w:val="24"/>
            <w:szCs w:val="24"/>
          </w:rPr>
          <w:t>https://doi.org/10.1177/1941874417708129</w:t>
        </w:r>
      </w:hyperlink>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Gianchecchi, E., Cianchi, V., Torelli, A., &amp;Montomoli, E. (2022). Yellow Fever: Origin, Epidemiology, Preventive Strategies and Future Prospects. </w:t>
      </w:r>
      <w:r w:rsidRPr="00B83412">
        <w:rPr>
          <w:rFonts w:ascii="Times New Roman" w:eastAsia="Times New Roman" w:hAnsi="Times New Roman" w:cs="Times New Roman"/>
          <w:i/>
          <w:iCs/>
          <w:sz w:val="24"/>
          <w:szCs w:val="24"/>
        </w:rPr>
        <w:t>Vaccines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10</w:t>
      </w:r>
      <w:r w:rsidRPr="00B83412">
        <w:rPr>
          <w:rFonts w:ascii="Times New Roman" w:eastAsia="Times New Roman" w:hAnsi="Times New Roman" w:cs="Times New Roman"/>
          <w:sz w:val="24"/>
          <w:szCs w:val="24"/>
        </w:rPr>
        <w:t>(3), 372. https://doi.org/10.3390/vaccines10030372</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lastRenderedPageBreak/>
        <w:t xml:space="preserve">Akar, S. E., Nwachukwu, W., Adewuyi, O. S., Ahumibe, A. A., Akanimo, I., Okunromade, O., Babatunde, O., Ihekweazu, C., Hitachi, M., Kato, K., Takamatsu, Y., Hirayama, K., &amp; Kaneko, S. (2025). Epidemiology of Yellow Fever in Nigeria: Analysis of Climatic, Ecological, Socio-Demographic, and Clinical Factors Associated with Viral Positivity Among Suspected Cases Using National Surveillance Data, 2017-2023. </w:t>
      </w:r>
      <w:r w:rsidRPr="00B83412">
        <w:rPr>
          <w:rFonts w:ascii="Times New Roman" w:eastAsia="Times New Roman" w:hAnsi="Times New Roman" w:cs="Times New Roman"/>
          <w:i/>
          <w:iCs/>
          <w:sz w:val="24"/>
          <w:szCs w:val="24"/>
        </w:rPr>
        <w:t>Journal of epidemiology and global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15</w:t>
      </w:r>
      <w:r w:rsidRPr="00B83412">
        <w:rPr>
          <w:rFonts w:ascii="Times New Roman" w:eastAsia="Times New Roman" w:hAnsi="Times New Roman" w:cs="Times New Roman"/>
          <w:sz w:val="24"/>
          <w:szCs w:val="24"/>
        </w:rPr>
        <w:t>(1), 2. https://doi.org/10.1007/s44197-025-00341-w</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Jean, K., Hamlet, A., Benzler, J., Cibrelus, L., Gaythorpe, K. A. M., Sall, A., Ferguson, N. M., &amp;Garske, T. (2020). Eliminating yellow fever epidemics in Africa: Vaccine demand forecast and impact modelling. </w:t>
      </w:r>
      <w:r w:rsidRPr="00B83412">
        <w:rPr>
          <w:rFonts w:ascii="Times New Roman" w:eastAsia="Times New Roman" w:hAnsi="Times New Roman" w:cs="Times New Roman"/>
          <w:i/>
          <w:iCs/>
          <w:sz w:val="24"/>
          <w:szCs w:val="24"/>
        </w:rPr>
        <w:t>PLoS neglected tropical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14</w:t>
      </w:r>
      <w:r w:rsidRPr="00B83412">
        <w:rPr>
          <w:rFonts w:ascii="Times New Roman" w:eastAsia="Times New Roman" w:hAnsi="Times New Roman" w:cs="Times New Roman"/>
          <w:sz w:val="24"/>
          <w:szCs w:val="24"/>
        </w:rPr>
        <w:t>(5), e0008304. https://doi.org/10.1371/journal.pntd.0008304</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Nomhwange, T., Jean Baptiste, A. E., Ezebilo, O., Oteri, J., Olajide, L., Emelife, K., Hassan, S., Nomhwange, E. R., Adejoh, K., Ireye, F., Nora, E. E., Ningi, A., Bathondeli, B., &amp;Tomori, O. (2021). The resurgence of yellow fever outbreaks in Nigeria: a 2-year review 2017-2019. </w:t>
      </w:r>
      <w:r w:rsidRPr="00B83412">
        <w:rPr>
          <w:rFonts w:ascii="Times New Roman" w:eastAsia="Times New Roman" w:hAnsi="Times New Roman" w:cs="Times New Roman"/>
          <w:i/>
          <w:iCs/>
          <w:sz w:val="24"/>
          <w:szCs w:val="24"/>
        </w:rPr>
        <w:t>BMC infectious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(1), 1054. https://doi.org/10.1186/s12879-021-06727-y</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Nwachukwu William, E., Oladejo, J., Ofoegbunam, C. M., Anueyiagu, C., Dogunro, F., Etiki, S. O., Dachung, B. I., Obiekea, C., Aderoju, B., Akanbi, K., Adeyemi, I. T., Famokun, G. A., Emelife, O., Osamwonyi, I. W., Ochu, C. L., Abiode, A., Ireye, F., Chukwuji, M., Ipadeola, O., Saiki, M., … Ihekweazu, C. (2022). Epidemiological description of and response to a large yellow fever outbreak in Edo state Nigeria, September 2018 - January 2019. </w:t>
      </w:r>
      <w:r w:rsidRPr="00B83412">
        <w:rPr>
          <w:rFonts w:ascii="Times New Roman" w:eastAsia="Times New Roman" w:hAnsi="Times New Roman" w:cs="Times New Roman"/>
          <w:i/>
          <w:iCs/>
          <w:sz w:val="24"/>
          <w:szCs w:val="24"/>
        </w:rPr>
        <w:t>BMC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22</w:t>
      </w:r>
      <w:r w:rsidRPr="00B83412">
        <w:rPr>
          <w:rFonts w:ascii="Times New Roman" w:eastAsia="Times New Roman" w:hAnsi="Times New Roman" w:cs="Times New Roman"/>
          <w:sz w:val="24"/>
          <w:szCs w:val="24"/>
        </w:rPr>
        <w:t>(1), 1644. https://doi.org/10.1186/s12889-022-14043-6</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Marou, V., Vardavas, C. I., Aslanoglou, K., Nikitara, K., Plyta, Z., Leonardi-Bee, J., Atkins, K., Condell, O., Lamb, F., &amp; Suk, J. E. (2024). The impact of conflict on infectious disease: a systematic literature review. </w:t>
      </w:r>
      <w:r w:rsidRPr="00B83412">
        <w:rPr>
          <w:rFonts w:ascii="Times New Roman" w:eastAsia="Times New Roman" w:hAnsi="Times New Roman" w:cs="Times New Roman"/>
          <w:i/>
          <w:iCs/>
          <w:sz w:val="24"/>
          <w:szCs w:val="24"/>
        </w:rPr>
        <w:t>Conflict and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18</w:t>
      </w:r>
      <w:r w:rsidRPr="00B83412">
        <w:rPr>
          <w:rFonts w:ascii="Times New Roman" w:eastAsia="Times New Roman" w:hAnsi="Times New Roman" w:cs="Times New Roman"/>
          <w:sz w:val="24"/>
          <w:szCs w:val="24"/>
        </w:rPr>
        <w:t>(1), 27. https://doi.org/10.1186/s13031-023-00568-z</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Inusah, A. W., Collins, G., Dzomeku, P., Head, M., &amp;Ziblim, S. D. (2023). Knowledge, attitudes and practice towards yellow fever among nomadic populations: A cross-sectional study in yellow fever outbreak communities in Ghana. </w:t>
      </w:r>
      <w:r w:rsidRPr="00B83412">
        <w:rPr>
          <w:rFonts w:ascii="Times New Roman" w:eastAsia="Times New Roman" w:hAnsi="Times New Roman" w:cs="Times New Roman"/>
          <w:i/>
          <w:iCs/>
          <w:sz w:val="24"/>
          <w:szCs w:val="24"/>
        </w:rPr>
        <w:t>PLOS global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3</w:t>
      </w:r>
      <w:r w:rsidRPr="00B83412">
        <w:rPr>
          <w:rFonts w:ascii="Times New Roman" w:eastAsia="Times New Roman" w:hAnsi="Times New Roman" w:cs="Times New Roman"/>
          <w:sz w:val="24"/>
          <w:szCs w:val="24"/>
        </w:rPr>
        <w:t>(3), e0000733. https://doi.org/10.1371/journal.pgph.0000733</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Ali, M. S., &amp;Mekonen, E. G. (2024). Yellow fever vaccine coverage and associated factors among under-five children in Kenya: Data from Kenyan Demographic and Health Survey 2022. </w:t>
      </w:r>
      <w:r w:rsidRPr="00B83412">
        <w:rPr>
          <w:rFonts w:ascii="Times New Roman" w:eastAsia="Times New Roman" w:hAnsi="Times New Roman" w:cs="Times New Roman"/>
          <w:i/>
          <w:iCs/>
          <w:sz w:val="24"/>
          <w:szCs w:val="24"/>
        </w:rPr>
        <w:t>Human vaccines &amp;immunotherapeutics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20</w:t>
      </w:r>
      <w:r w:rsidRPr="00B83412">
        <w:rPr>
          <w:rFonts w:ascii="Times New Roman" w:eastAsia="Times New Roman" w:hAnsi="Times New Roman" w:cs="Times New Roman"/>
          <w:sz w:val="24"/>
          <w:szCs w:val="24"/>
        </w:rPr>
        <w:t>(1), 2391596. https://doi.org/10.1080/21645515.2024.2391596</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Huebl, L., Nnyombi, A., Apoko, P., Okello, D., Walakira, E., &amp;Kutalek, R. (2025). Community perceptions of yellow fever and its treatment practices in regions with reported outbreaks in Uganda: A qualitative study. </w:t>
      </w:r>
      <w:r w:rsidRPr="00B83412">
        <w:rPr>
          <w:rFonts w:ascii="Times New Roman" w:eastAsia="Times New Roman" w:hAnsi="Times New Roman" w:cs="Times New Roman"/>
          <w:i/>
          <w:iCs/>
          <w:sz w:val="24"/>
          <w:szCs w:val="24"/>
        </w:rPr>
        <w:t>PLoS neglected tropical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19</w:t>
      </w:r>
      <w:r w:rsidRPr="00B83412">
        <w:rPr>
          <w:rFonts w:ascii="Times New Roman" w:eastAsia="Times New Roman" w:hAnsi="Times New Roman" w:cs="Times New Roman"/>
          <w:sz w:val="24"/>
          <w:szCs w:val="24"/>
        </w:rPr>
        <w:t>(7), e0013251. https://doi.org/10.1371/journal.pntd.0013251</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KuateDefo B. (2014). Demographic, epidemiological, and health transitions: are they relevant to population health patterns in Africa?.</w:t>
      </w:r>
      <w:r w:rsidRPr="00B83412">
        <w:rPr>
          <w:rFonts w:ascii="Times New Roman" w:eastAsia="Times New Roman" w:hAnsi="Times New Roman" w:cs="Times New Roman"/>
          <w:i/>
          <w:iCs/>
          <w:sz w:val="24"/>
          <w:szCs w:val="24"/>
        </w:rPr>
        <w:t>Global health action</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22443. https://doi.org/10.3402/gha.v7.22443</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Choi, H., &amp; Marks, N. F. (2011). Socioeconomic status, marital status continuity and change, marital conflict, and mortality. </w:t>
      </w:r>
      <w:r w:rsidRPr="00B83412">
        <w:rPr>
          <w:rFonts w:ascii="Times New Roman" w:eastAsia="Times New Roman" w:hAnsi="Times New Roman" w:cs="Times New Roman"/>
          <w:i/>
          <w:iCs/>
          <w:sz w:val="24"/>
          <w:szCs w:val="24"/>
        </w:rPr>
        <w:t>Journal of aging and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23</w:t>
      </w:r>
      <w:r w:rsidRPr="00B83412">
        <w:rPr>
          <w:rFonts w:ascii="Times New Roman" w:eastAsia="Times New Roman" w:hAnsi="Times New Roman" w:cs="Times New Roman"/>
          <w:sz w:val="24"/>
          <w:szCs w:val="24"/>
        </w:rPr>
        <w:t>(4), 714–742. https://doi.org/10.1177/0898264310393339</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lastRenderedPageBreak/>
        <w:t xml:space="preserve">Khalatbari-Soltani, S., Maccora, J., Blyth, F. M., Joannès, C., &amp; Kelly-Irving, M. (2022). Measuring education in the context of health inequalities. </w:t>
      </w:r>
      <w:r w:rsidRPr="00B83412">
        <w:rPr>
          <w:rFonts w:ascii="Times New Roman" w:eastAsia="Times New Roman" w:hAnsi="Times New Roman" w:cs="Times New Roman"/>
          <w:i/>
          <w:iCs/>
          <w:sz w:val="24"/>
          <w:szCs w:val="24"/>
        </w:rPr>
        <w:t>International journal of epidemiology</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51</w:t>
      </w:r>
      <w:r w:rsidRPr="00B83412">
        <w:rPr>
          <w:rFonts w:ascii="Times New Roman" w:eastAsia="Times New Roman" w:hAnsi="Times New Roman" w:cs="Times New Roman"/>
          <w:sz w:val="24"/>
          <w:szCs w:val="24"/>
        </w:rPr>
        <w:t>(3), 701–708. https://doi.org/10.1093/ije/dyac058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Bulled N. (2025). Occupational Syndemics in Farmworkers in the Cape Winelands, South Africa. </w:t>
      </w:r>
      <w:r w:rsidRPr="00B83412">
        <w:rPr>
          <w:rFonts w:ascii="Times New Roman" w:eastAsia="Times New Roman" w:hAnsi="Times New Roman" w:cs="Times New Roman"/>
          <w:i/>
          <w:iCs/>
          <w:sz w:val="24"/>
          <w:szCs w:val="24"/>
        </w:rPr>
        <w:t>Tropical medicine and infectious disease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10</w:t>
      </w:r>
      <w:r w:rsidRPr="00B83412">
        <w:rPr>
          <w:rFonts w:ascii="Times New Roman" w:eastAsia="Times New Roman" w:hAnsi="Times New Roman" w:cs="Times New Roman"/>
          <w:sz w:val="24"/>
          <w:szCs w:val="24"/>
        </w:rPr>
        <w:t>(7), 179. https://doi.org/10.3390/tropicalmed10070179</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Sbarra, A. N., Rolfe, S., Haeuser, E., Nguyen, J. Q., Adamu, A., Adeyinka, D., Ajumobi, O., Akunna, C., Amusa, G., Dahiru, T., Ekholuenetale, M., Esezobor, C., Fowobaje, K., Hay, S. I., Ibeneme, C., Ibitoye, S. E., Ilesanmi, O., Kayode, G., Krohn, K., Lim, S. S., … Mosser, J. F. (2023). Estimating vaccine coverage in conflict settings using geospatial methods: a case study in Borno state, Nigeria. </w:t>
      </w:r>
      <w:r w:rsidRPr="00B83412">
        <w:rPr>
          <w:rFonts w:ascii="Times New Roman" w:eastAsia="Times New Roman" w:hAnsi="Times New Roman" w:cs="Times New Roman"/>
          <w:i/>
          <w:iCs/>
          <w:sz w:val="24"/>
          <w:szCs w:val="24"/>
        </w:rPr>
        <w:t>Scientific reports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13</w:t>
      </w:r>
      <w:r w:rsidRPr="00B83412">
        <w:rPr>
          <w:rFonts w:ascii="Times New Roman" w:eastAsia="Times New Roman" w:hAnsi="Times New Roman" w:cs="Times New Roman"/>
          <w:sz w:val="24"/>
          <w:szCs w:val="24"/>
        </w:rPr>
        <w:t>(1), 11085. https://doi.org/10.1038/s41598-023-37947-8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Nomhwange, T., Jean Baptiste, A. E., Ezebilo, O., Oteri, J., Olajide, L., Emelife, K., Hassan, S., Nomhwange, E. R., Adejoh, K., Ireye, F., Nora, E. E., Ningi, A., Bathondeli, B., &amp;Tomori, O. (2021). The resurgence of yellow fever outbreaks in Nigeria: a 2-year review 2017-2019. </w:t>
      </w:r>
      <w:r w:rsidRPr="00B83412">
        <w:rPr>
          <w:rFonts w:ascii="Times New Roman" w:eastAsia="Times New Roman" w:hAnsi="Times New Roman" w:cs="Times New Roman"/>
          <w:i/>
          <w:iCs/>
          <w:sz w:val="24"/>
          <w:szCs w:val="24"/>
        </w:rPr>
        <w:t>BMC infectious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(1), 1054. https://doi.org/10.1186/s12879-021-06727-y</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Couto-Lima, D., Andreazzi, C. S., Leite, P. J., Bersot, M. I. L., Alencar, J., &amp;Lourenço-de-Oliveira, R. (2020). Seasonal population dynamics of the primary yellow fever vector Haemagogusleucocelaenus (Dyar&amp; Shannon) (Diptera: Culicidae) is mainly influenced by temperature in the Atlantic Forest, southeast Brazil. </w:t>
      </w:r>
      <w:r w:rsidRPr="00B83412">
        <w:rPr>
          <w:rFonts w:ascii="Times New Roman" w:eastAsia="Times New Roman" w:hAnsi="Times New Roman" w:cs="Times New Roman"/>
          <w:i/>
          <w:iCs/>
          <w:sz w:val="24"/>
          <w:szCs w:val="24"/>
        </w:rPr>
        <w:t>Memorias do Instituto Oswaldo Cruz</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115</w:t>
      </w:r>
      <w:r w:rsidRPr="00B83412">
        <w:rPr>
          <w:rFonts w:ascii="Times New Roman" w:eastAsia="Times New Roman" w:hAnsi="Times New Roman" w:cs="Times New Roman"/>
          <w:sz w:val="24"/>
          <w:szCs w:val="24"/>
        </w:rPr>
        <w:t>, e200218. https://doi.org/10.1590/0074-02760200218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Boaglio, E. R., Muttis, E., Feroci, M., Fabbri, C., Minardi, G., Sánchez, J., Micieli, M. V., &amp;Goenaga, S. (2025). Assessing Urban Yellow Fever Transmission Risk: </w:t>
      </w:r>
      <w:r w:rsidRPr="00B83412">
        <w:rPr>
          <w:rFonts w:ascii="Times New Roman" w:eastAsia="Times New Roman" w:hAnsi="Times New Roman" w:cs="Times New Roman"/>
          <w:i/>
          <w:iCs/>
          <w:sz w:val="24"/>
          <w:szCs w:val="24"/>
        </w:rPr>
        <w:t>Aedes aegypti</w:t>
      </w:r>
      <w:r w:rsidRPr="00B83412">
        <w:rPr>
          <w:rFonts w:ascii="Times New Roman" w:eastAsia="Times New Roman" w:hAnsi="Times New Roman" w:cs="Times New Roman"/>
          <w:sz w:val="24"/>
          <w:szCs w:val="24"/>
        </w:rPr>
        <w:t xml:space="preserve"> Vector Competence in Argentina. </w:t>
      </w:r>
      <w:r w:rsidRPr="00B83412">
        <w:rPr>
          <w:rFonts w:ascii="Times New Roman" w:eastAsia="Times New Roman" w:hAnsi="Times New Roman" w:cs="Times New Roman"/>
          <w:i/>
          <w:iCs/>
          <w:sz w:val="24"/>
          <w:szCs w:val="24"/>
        </w:rPr>
        <w:t>Viruses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17</w:t>
      </w:r>
      <w:r w:rsidRPr="00B83412">
        <w:rPr>
          <w:rFonts w:ascii="Times New Roman" w:eastAsia="Times New Roman" w:hAnsi="Times New Roman" w:cs="Times New Roman"/>
          <w:sz w:val="24"/>
          <w:szCs w:val="24"/>
        </w:rPr>
        <w:t>(5), 718. https://doi.org/10.3390/v17050718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Paz S. (2024). Climate change: A driver of increasing vector-borne disease transmission in non-endemic areas. </w:t>
      </w:r>
      <w:r w:rsidRPr="00B83412">
        <w:rPr>
          <w:rFonts w:ascii="Times New Roman" w:eastAsia="Times New Roman" w:hAnsi="Times New Roman" w:cs="Times New Roman"/>
          <w:i/>
          <w:iCs/>
          <w:sz w:val="24"/>
          <w:szCs w:val="24"/>
        </w:rPr>
        <w:t>PLoS medicine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(4), e1004382. https://doi.org/10.1371/journal.pmed.1004382</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Krystosik, A., Njoroge, G., Odhiambo, L., Forsyth, J. E., Mutuku, F., &amp;LaBeaud, A. D. (2020). Solid Wastes Provide Breeding Sites, Burrows, and Food for Biological Disease Vectors, and Urban Zoonotic Reservoirs: A Call to Action for Solutions-Based Research. </w:t>
      </w:r>
      <w:r w:rsidRPr="00B83412">
        <w:rPr>
          <w:rFonts w:ascii="Times New Roman" w:eastAsia="Times New Roman" w:hAnsi="Times New Roman" w:cs="Times New Roman"/>
          <w:i/>
          <w:iCs/>
          <w:sz w:val="24"/>
          <w:szCs w:val="24"/>
        </w:rPr>
        <w:t>Frontiers in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405. https://doi.org/10.3389/fpubh.2019.00405</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Oleribe, O. O., Momoh, J., Uzochukwu, B. S., Mbofana, F., Adebiyi, A., Barbera, T., Williams, R., &amp; Taylor-Robinson, S. D. (2019). Identifying Key Challenges Facing Healthcare Systems In Africa And Potential Solutions. </w:t>
      </w:r>
      <w:r w:rsidRPr="00B83412">
        <w:rPr>
          <w:rFonts w:ascii="Times New Roman" w:eastAsia="Times New Roman" w:hAnsi="Times New Roman" w:cs="Times New Roman"/>
          <w:i/>
          <w:iCs/>
          <w:sz w:val="24"/>
          <w:szCs w:val="24"/>
        </w:rPr>
        <w:t>International journal of general medicine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12</w:t>
      </w:r>
      <w:r w:rsidRPr="00B83412">
        <w:rPr>
          <w:rFonts w:ascii="Times New Roman" w:eastAsia="Times New Roman" w:hAnsi="Times New Roman" w:cs="Times New Roman"/>
          <w:sz w:val="24"/>
          <w:szCs w:val="24"/>
        </w:rPr>
        <w:t>, 395–403. https://doi.org/10.2147/IJGM.S223882</w:t>
      </w:r>
    </w:p>
    <w:p w:rsidR="003F59F7" w:rsidRPr="00B83412" w:rsidRDefault="00E51C46" w:rsidP="00B83412">
      <w:pPr>
        <w:pStyle w:val="ListParagraph"/>
        <w:numPr>
          <w:ilvl w:val="0"/>
          <w:numId w:val="1"/>
        </w:numPr>
        <w:spacing w:after="0" w:line="240" w:lineRule="auto"/>
        <w:jc w:val="both"/>
        <w:rPr>
          <w:rFonts w:ascii="Times New Roman" w:hAnsi="Times New Roman" w:cs="Times New Roman"/>
          <w:b/>
          <w:sz w:val="24"/>
          <w:szCs w:val="24"/>
        </w:rPr>
      </w:pPr>
      <w:r w:rsidRPr="00B83412">
        <w:rPr>
          <w:rFonts w:ascii="Times New Roman" w:eastAsia="Times New Roman" w:hAnsi="Times New Roman" w:cs="Times New Roman"/>
          <w:sz w:val="24"/>
          <w:szCs w:val="24"/>
        </w:rPr>
        <w:t xml:space="preserve">Scott, J., Kanyangarara, M., Nhama, A., Macete, E., Moss, W. J., &amp;Saute, F. (2021). Factors associated with use of insecticide-treated net for malaria prevention in Manica District, Mozambique: a community-based cross-sectional survey. </w:t>
      </w:r>
      <w:r w:rsidRPr="00B83412">
        <w:rPr>
          <w:rFonts w:ascii="Times New Roman" w:eastAsia="Times New Roman" w:hAnsi="Times New Roman" w:cs="Times New Roman"/>
          <w:i/>
          <w:iCs/>
          <w:sz w:val="24"/>
          <w:szCs w:val="24"/>
        </w:rPr>
        <w:t>Malaria journal</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20</w:t>
      </w:r>
      <w:r w:rsidRPr="00B83412">
        <w:rPr>
          <w:rFonts w:ascii="Times New Roman" w:eastAsia="Times New Roman" w:hAnsi="Times New Roman" w:cs="Times New Roman"/>
          <w:sz w:val="24"/>
          <w:szCs w:val="24"/>
        </w:rPr>
        <w:t>(1), 200. https://doi.org/10.1186/s12936-021-03738-7</w:t>
      </w:r>
    </w:p>
    <w:sectPr w:rsidR="003F59F7" w:rsidRPr="00B83412" w:rsidSect="004022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GESH" w:date="2026-02-15T09:13:00Z" w:initials="S">
    <w:p w:rsidR="00025DBF" w:rsidRDefault="00025DBF">
      <w:pPr>
        <w:pStyle w:val="CommentText"/>
      </w:pPr>
      <w:r>
        <w:rPr>
          <w:rStyle w:val="CommentReference"/>
        </w:rPr>
        <w:annotationRef/>
      </w:r>
      <w:r>
        <w:t>Kindly arrange properly.</w:t>
      </w:r>
    </w:p>
  </w:comment>
  <w:comment w:id="4" w:author="MAGESH" w:date="2026-02-15T09:13:00Z" w:initials="S">
    <w:p w:rsidR="00025DBF" w:rsidRDefault="00025DBF">
      <w:pPr>
        <w:pStyle w:val="CommentText"/>
      </w:pPr>
      <w:r>
        <w:rPr>
          <w:rStyle w:val="CommentReference"/>
        </w:rPr>
        <w:annotationRef/>
      </w:r>
      <w:r>
        <w:t>Kindly merge in the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1B5" w:rsidRDefault="006801B5" w:rsidP="00377775">
      <w:pPr>
        <w:spacing w:after="0" w:line="240" w:lineRule="auto"/>
      </w:pPr>
      <w:r>
        <w:separator/>
      </w:r>
    </w:p>
  </w:endnote>
  <w:endnote w:type="continuationSeparator" w:id="1">
    <w:p w:rsidR="006801B5" w:rsidRDefault="006801B5" w:rsidP="00377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5" w:rsidRDefault="003777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5" w:rsidRDefault="003777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5" w:rsidRDefault="00377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1B5" w:rsidRDefault="006801B5" w:rsidP="00377775">
      <w:pPr>
        <w:spacing w:after="0" w:line="240" w:lineRule="auto"/>
      </w:pPr>
      <w:r>
        <w:separator/>
      </w:r>
    </w:p>
  </w:footnote>
  <w:footnote w:type="continuationSeparator" w:id="1">
    <w:p w:rsidR="006801B5" w:rsidRDefault="006801B5" w:rsidP="003777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5" w:rsidRDefault="004022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5" w:rsidRDefault="004022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5" w:rsidRDefault="004022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52C55"/>
    <w:multiLevelType w:val="hybridMultilevel"/>
    <w:tmpl w:val="EF94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F59F7"/>
    <w:rsid w:val="00025DBF"/>
    <w:rsid w:val="000953DB"/>
    <w:rsid w:val="00377775"/>
    <w:rsid w:val="003F59F7"/>
    <w:rsid w:val="00402272"/>
    <w:rsid w:val="006801B5"/>
    <w:rsid w:val="006D2191"/>
    <w:rsid w:val="007B1195"/>
    <w:rsid w:val="009E3CAC"/>
    <w:rsid w:val="00A56775"/>
    <w:rsid w:val="00B83412"/>
    <w:rsid w:val="00D4553E"/>
    <w:rsid w:val="00E15B9A"/>
    <w:rsid w:val="00E51C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3"/>
        <o:r id="V:Rule2" type="connector" idref="#Elbow Connector 22"/>
        <o:r id="V:Rule3" type="connector" idref="#Straight Arrow Connector 20"/>
        <o:r id="V:Rule4" type="connector" idref="#Elbow Connector 19"/>
        <o:r id="V:Rule5"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72"/>
  </w:style>
  <w:style w:type="paragraph" w:styleId="Heading1">
    <w:name w:val="heading 1"/>
    <w:basedOn w:val="Normal"/>
    <w:link w:val="Heading1Char"/>
    <w:uiPriority w:val="9"/>
    <w:qFormat/>
    <w:rsid w:val="003F5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59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F7"/>
    <w:rPr>
      <w:rFonts w:ascii="Times New Roman" w:eastAsia="Times New Roman" w:hAnsi="Times New Roman" w:cs="Times New Roman"/>
      <w:b/>
      <w:bCs/>
      <w:kern w:val="36"/>
      <w:sz w:val="48"/>
      <w:szCs w:val="48"/>
    </w:rPr>
  </w:style>
  <w:style w:type="table" w:customStyle="1" w:styleId="GridTableLight">
    <w:name w:val="Grid Table Light"/>
    <w:basedOn w:val="TableNormal"/>
    <w:uiPriority w:val="40"/>
    <w:rsid w:val="003F59F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3F5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F59F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F59F7"/>
    <w:rPr>
      <w:b/>
      <w:bCs/>
    </w:rPr>
  </w:style>
  <w:style w:type="paragraph" w:styleId="NormalWeb">
    <w:name w:val="Normal (Web)"/>
    <w:basedOn w:val="Normal"/>
    <w:uiPriority w:val="99"/>
    <w:unhideWhenUsed/>
    <w:rsid w:val="003F59F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E3C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3C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3C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3CAC"/>
    <w:rPr>
      <w:rFonts w:ascii="Arial" w:eastAsia="Times New Roman" w:hAnsi="Arial" w:cs="Arial"/>
      <w:vanish/>
      <w:sz w:val="16"/>
      <w:szCs w:val="16"/>
    </w:rPr>
  </w:style>
  <w:style w:type="paragraph" w:styleId="ListParagraph">
    <w:name w:val="List Paragraph"/>
    <w:basedOn w:val="Normal"/>
    <w:uiPriority w:val="34"/>
    <w:qFormat/>
    <w:rsid w:val="00E51C46"/>
    <w:pPr>
      <w:ind w:left="720"/>
      <w:contextualSpacing/>
    </w:pPr>
  </w:style>
  <w:style w:type="character" w:styleId="Hyperlink">
    <w:name w:val="Hyperlink"/>
    <w:basedOn w:val="DefaultParagraphFont"/>
    <w:uiPriority w:val="99"/>
    <w:unhideWhenUsed/>
    <w:rsid w:val="00E51C46"/>
    <w:rPr>
      <w:color w:val="0563C1" w:themeColor="hyperlink"/>
      <w:u w:val="single"/>
    </w:rPr>
  </w:style>
  <w:style w:type="character" w:customStyle="1" w:styleId="UnresolvedMention">
    <w:name w:val="Unresolved Mention"/>
    <w:basedOn w:val="DefaultParagraphFont"/>
    <w:uiPriority w:val="99"/>
    <w:semiHidden/>
    <w:unhideWhenUsed/>
    <w:rsid w:val="000953DB"/>
    <w:rPr>
      <w:color w:val="605E5C"/>
      <w:shd w:val="clear" w:color="auto" w:fill="E1DFDD"/>
    </w:rPr>
  </w:style>
  <w:style w:type="paragraph" w:styleId="Header">
    <w:name w:val="header"/>
    <w:basedOn w:val="Normal"/>
    <w:link w:val="HeaderChar"/>
    <w:uiPriority w:val="99"/>
    <w:unhideWhenUsed/>
    <w:rsid w:val="0037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75"/>
  </w:style>
  <w:style w:type="paragraph" w:styleId="Footer">
    <w:name w:val="footer"/>
    <w:basedOn w:val="Normal"/>
    <w:link w:val="FooterChar"/>
    <w:uiPriority w:val="99"/>
    <w:unhideWhenUsed/>
    <w:rsid w:val="0037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75"/>
  </w:style>
  <w:style w:type="character" w:styleId="CommentReference">
    <w:name w:val="annotation reference"/>
    <w:basedOn w:val="DefaultParagraphFont"/>
    <w:uiPriority w:val="99"/>
    <w:semiHidden/>
    <w:unhideWhenUsed/>
    <w:rsid w:val="00025DBF"/>
    <w:rPr>
      <w:sz w:val="16"/>
      <w:szCs w:val="16"/>
    </w:rPr>
  </w:style>
  <w:style w:type="paragraph" w:styleId="CommentText">
    <w:name w:val="annotation text"/>
    <w:basedOn w:val="Normal"/>
    <w:link w:val="CommentTextChar"/>
    <w:uiPriority w:val="99"/>
    <w:semiHidden/>
    <w:unhideWhenUsed/>
    <w:rsid w:val="00025DBF"/>
    <w:pPr>
      <w:spacing w:line="240" w:lineRule="auto"/>
    </w:pPr>
    <w:rPr>
      <w:sz w:val="20"/>
      <w:szCs w:val="20"/>
    </w:rPr>
  </w:style>
  <w:style w:type="character" w:customStyle="1" w:styleId="CommentTextChar">
    <w:name w:val="Comment Text Char"/>
    <w:basedOn w:val="DefaultParagraphFont"/>
    <w:link w:val="CommentText"/>
    <w:uiPriority w:val="99"/>
    <w:semiHidden/>
    <w:rsid w:val="00025DBF"/>
    <w:rPr>
      <w:sz w:val="20"/>
      <w:szCs w:val="20"/>
    </w:rPr>
  </w:style>
  <w:style w:type="paragraph" w:styleId="CommentSubject">
    <w:name w:val="annotation subject"/>
    <w:basedOn w:val="CommentText"/>
    <w:next w:val="CommentText"/>
    <w:link w:val="CommentSubjectChar"/>
    <w:uiPriority w:val="99"/>
    <w:semiHidden/>
    <w:unhideWhenUsed/>
    <w:rsid w:val="00025DBF"/>
    <w:rPr>
      <w:b/>
      <w:bCs/>
    </w:rPr>
  </w:style>
  <w:style w:type="character" w:customStyle="1" w:styleId="CommentSubjectChar">
    <w:name w:val="Comment Subject Char"/>
    <w:basedOn w:val="CommentTextChar"/>
    <w:link w:val="CommentSubject"/>
    <w:uiPriority w:val="99"/>
    <w:semiHidden/>
    <w:rsid w:val="00025DBF"/>
    <w:rPr>
      <w:b/>
      <w:bCs/>
    </w:rPr>
  </w:style>
  <w:style w:type="paragraph" w:styleId="BalloonText">
    <w:name w:val="Balloon Text"/>
    <w:basedOn w:val="Normal"/>
    <w:link w:val="BalloonTextChar"/>
    <w:uiPriority w:val="99"/>
    <w:semiHidden/>
    <w:unhideWhenUsed/>
    <w:rsid w:val="00025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140516">
      <w:bodyDiv w:val="1"/>
      <w:marLeft w:val="0"/>
      <w:marRight w:val="0"/>
      <w:marTop w:val="0"/>
      <w:marBottom w:val="0"/>
      <w:divBdr>
        <w:top w:val="none" w:sz="0" w:space="0" w:color="auto"/>
        <w:left w:val="none" w:sz="0" w:space="0" w:color="auto"/>
        <w:bottom w:val="none" w:sz="0" w:space="0" w:color="auto"/>
        <w:right w:val="none" w:sz="0" w:space="0" w:color="auto"/>
      </w:divBdr>
      <w:divsChild>
        <w:div w:id="605503983">
          <w:marLeft w:val="0"/>
          <w:marRight w:val="0"/>
          <w:marTop w:val="0"/>
          <w:marBottom w:val="0"/>
          <w:divBdr>
            <w:top w:val="none" w:sz="0" w:space="0" w:color="auto"/>
            <w:left w:val="none" w:sz="0" w:space="0" w:color="auto"/>
            <w:bottom w:val="none" w:sz="0" w:space="0" w:color="auto"/>
            <w:right w:val="none" w:sz="0" w:space="0" w:color="auto"/>
          </w:divBdr>
          <w:divsChild>
            <w:div w:id="295723366">
              <w:marLeft w:val="0"/>
              <w:marRight w:val="0"/>
              <w:marTop w:val="0"/>
              <w:marBottom w:val="0"/>
              <w:divBdr>
                <w:top w:val="none" w:sz="0" w:space="0" w:color="auto"/>
                <w:left w:val="none" w:sz="0" w:space="0" w:color="auto"/>
                <w:bottom w:val="none" w:sz="0" w:space="0" w:color="auto"/>
                <w:right w:val="none" w:sz="0" w:space="0" w:color="auto"/>
              </w:divBdr>
              <w:divsChild>
                <w:div w:id="1108545457">
                  <w:marLeft w:val="0"/>
                  <w:marRight w:val="0"/>
                  <w:marTop w:val="0"/>
                  <w:marBottom w:val="0"/>
                  <w:divBdr>
                    <w:top w:val="none" w:sz="0" w:space="0" w:color="auto"/>
                    <w:left w:val="none" w:sz="0" w:space="0" w:color="auto"/>
                    <w:bottom w:val="none" w:sz="0" w:space="0" w:color="auto"/>
                    <w:right w:val="none" w:sz="0" w:space="0" w:color="auto"/>
                  </w:divBdr>
                  <w:divsChild>
                    <w:div w:id="1370452675">
                      <w:marLeft w:val="0"/>
                      <w:marRight w:val="0"/>
                      <w:marTop w:val="0"/>
                      <w:marBottom w:val="0"/>
                      <w:divBdr>
                        <w:top w:val="none" w:sz="0" w:space="0" w:color="auto"/>
                        <w:left w:val="none" w:sz="0" w:space="0" w:color="auto"/>
                        <w:bottom w:val="none" w:sz="0" w:space="0" w:color="auto"/>
                        <w:right w:val="none" w:sz="0" w:space="0" w:color="auto"/>
                      </w:divBdr>
                      <w:divsChild>
                        <w:div w:id="1567456080">
                          <w:marLeft w:val="0"/>
                          <w:marRight w:val="0"/>
                          <w:marTop w:val="0"/>
                          <w:marBottom w:val="0"/>
                          <w:divBdr>
                            <w:top w:val="none" w:sz="0" w:space="0" w:color="auto"/>
                            <w:left w:val="none" w:sz="0" w:space="0" w:color="auto"/>
                            <w:bottom w:val="none" w:sz="0" w:space="0" w:color="auto"/>
                            <w:right w:val="none" w:sz="0" w:space="0" w:color="auto"/>
                          </w:divBdr>
                          <w:divsChild>
                            <w:div w:id="2033989124">
                              <w:marLeft w:val="0"/>
                              <w:marRight w:val="0"/>
                              <w:marTop w:val="0"/>
                              <w:marBottom w:val="0"/>
                              <w:divBdr>
                                <w:top w:val="none" w:sz="0" w:space="0" w:color="auto"/>
                                <w:left w:val="none" w:sz="0" w:space="0" w:color="auto"/>
                                <w:bottom w:val="none" w:sz="0" w:space="0" w:color="auto"/>
                                <w:right w:val="none" w:sz="0" w:space="0" w:color="auto"/>
                              </w:divBdr>
                              <w:divsChild>
                                <w:div w:id="8504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106496">
      <w:bodyDiv w:val="1"/>
      <w:marLeft w:val="0"/>
      <w:marRight w:val="0"/>
      <w:marTop w:val="0"/>
      <w:marBottom w:val="0"/>
      <w:divBdr>
        <w:top w:val="none" w:sz="0" w:space="0" w:color="auto"/>
        <w:left w:val="none" w:sz="0" w:space="0" w:color="auto"/>
        <w:bottom w:val="none" w:sz="0" w:space="0" w:color="auto"/>
        <w:right w:val="none" w:sz="0" w:space="0" w:color="auto"/>
      </w:divBdr>
      <w:divsChild>
        <w:div w:id="2070955306">
          <w:marLeft w:val="0"/>
          <w:marRight w:val="0"/>
          <w:marTop w:val="0"/>
          <w:marBottom w:val="0"/>
          <w:divBdr>
            <w:top w:val="none" w:sz="0" w:space="0" w:color="auto"/>
            <w:left w:val="none" w:sz="0" w:space="0" w:color="auto"/>
            <w:bottom w:val="none" w:sz="0" w:space="0" w:color="auto"/>
            <w:right w:val="none" w:sz="0" w:space="0" w:color="auto"/>
          </w:divBdr>
          <w:divsChild>
            <w:div w:id="1612740996">
              <w:marLeft w:val="0"/>
              <w:marRight w:val="0"/>
              <w:marTop w:val="0"/>
              <w:marBottom w:val="0"/>
              <w:divBdr>
                <w:top w:val="none" w:sz="0" w:space="0" w:color="auto"/>
                <w:left w:val="none" w:sz="0" w:space="0" w:color="auto"/>
                <w:bottom w:val="none" w:sz="0" w:space="0" w:color="auto"/>
                <w:right w:val="none" w:sz="0" w:space="0" w:color="auto"/>
              </w:divBdr>
              <w:divsChild>
                <w:div w:id="2111506391">
                  <w:marLeft w:val="0"/>
                  <w:marRight w:val="0"/>
                  <w:marTop w:val="0"/>
                  <w:marBottom w:val="0"/>
                  <w:divBdr>
                    <w:top w:val="none" w:sz="0" w:space="0" w:color="auto"/>
                    <w:left w:val="none" w:sz="0" w:space="0" w:color="auto"/>
                    <w:bottom w:val="none" w:sz="0" w:space="0" w:color="auto"/>
                    <w:right w:val="none" w:sz="0" w:space="0" w:color="auto"/>
                  </w:divBdr>
                  <w:divsChild>
                    <w:div w:id="1904558962">
                      <w:marLeft w:val="0"/>
                      <w:marRight w:val="0"/>
                      <w:marTop w:val="0"/>
                      <w:marBottom w:val="0"/>
                      <w:divBdr>
                        <w:top w:val="none" w:sz="0" w:space="0" w:color="auto"/>
                        <w:left w:val="none" w:sz="0" w:space="0" w:color="auto"/>
                        <w:bottom w:val="none" w:sz="0" w:space="0" w:color="auto"/>
                        <w:right w:val="none" w:sz="0" w:space="0" w:color="auto"/>
                      </w:divBdr>
                      <w:divsChild>
                        <w:div w:id="214396695">
                          <w:marLeft w:val="0"/>
                          <w:marRight w:val="0"/>
                          <w:marTop w:val="0"/>
                          <w:marBottom w:val="0"/>
                          <w:divBdr>
                            <w:top w:val="none" w:sz="0" w:space="0" w:color="auto"/>
                            <w:left w:val="none" w:sz="0" w:space="0" w:color="auto"/>
                            <w:bottom w:val="none" w:sz="0" w:space="0" w:color="auto"/>
                            <w:right w:val="none" w:sz="0" w:space="0" w:color="auto"/>
                          </w:divBdr>
                          <w:divsChild>
                            <w:div w:id="1939944338">
                              <w:marLeft w:val="0"/>
                              <w:marRight w:val="0"/>
                              <w:marTop w:val="0"/>
                              <w:marBottom w:val="0"/>
                              <w:divBdr>
                                <w:top w:val="none" w:sz="0" w:space="0" w:color="auto"/>
                                <w:left w:val="none" w:sz="0" w:space="0" w:color="auto"/>
                                <w:bottom w:val="none" w:sz="0" w:space="0" w:color="auto"/>
                                <w:right w:val="none" w:sz="0" w:space="0" w:color="auto"/>
                              </w:divBdr>
                              <w:divsChild>
                                <w:div w:id="1721319968">
                                  <w:marLeft w:val="0"/>
                                  <w:marRight w:val="0"/>
                                  <w:marTop w:val="0"/>
                                  <w:marBottom w:val="0"/>
                                  <w:divBdr>
                                    <w:top w:val="none" w:sz="0" w:space="0" w:color="auto"/>
                                    <w:left w:val="none" w:sz="0" w:space="0" w:color="auto"/>
                                    <w:bottom w:val="none" w:sz="0" w:space="0" w:color="auto"/>
                                    <w:right w:val="none" w:sz="0" w:space="0" w:color="auto"/>
                                  </w:divBdr>
                                  <w:divsChild>
                                    <w:div w:id="11690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468697">
          <w:marLeft w:val="0"/>
          <w:marRight w:val="0"/>
          <w:marTop w:val="0"/>
          <w:marBottom w:val="0"/>
          <w:divBdr>
            <w:top w:val="none" w:sz="0" w:space="0" w:color="auto"/>
            <w:left w:val="none" w:sz="0" w:space="0" w:color="auto"/>
            <w:bottom w:val="none" w:sz="0" w:space="0" w:color="auto"/>
            <w:right w:val="none" w:sz="0" w:space="0" w:color="auto"/>
          </w:divBdr>
          <w:divsChild>
            <w:div w:id="577833385">
              <w:marLeft w:val="0"/>
              <w:marRight w:val="0"/>
              <w:marTop w:val="0"/>
              <w:marBottom w:val="0"/>
              <w:divBdr>
                <w:top w:val="none" w:sz="0" w:space="0" w:color="auto"/>
                <w:left w:val="none" w:sz="0" w:space="0" w:color="auto"/>
                <w:bottom w:val="none" w:sz="0" w:space="0" w:color="auto"/>
                <w:right w:val="none" w:sz="0" w:space="0" w:color="auto"/>
              </w:divBdr>
              <w:divsChild>
                <w:div w:id="628513772">
                  <w:marLeft w:val="0"/>
                  <w:marRight w:val="0"/>
                  <w:marTop w:val="0"/>
                  <w:marBottom w:val="0"/>
                  <w:divBdr>
                    <w:top w:val="none" w:sz="0" w:space="0" w:color="auto"/>
                    <w:left w:val="none" w:sz="0" w:space="0" w:color="auto"/>
                    <w:bottom w:val="none" w:sz="0" w:space="0" w:color="auto"/>
                    <w:right w:val="none" w:sz="0" w:space="0" w:color="auto"/>
                  </w:divBdr>
                  <w:divsChild>
                    <w:div w:id="287316771">
                      <w:marLeft w:val="0"/>
                      <w:marRight w:val="0"/>
                      <w:marTop w:val="0"/>
                      <w:marBottom w:val="0"/>
                      <w:divBdr>
                        <w:top w:val="none" w:sz="0" w:space="0" w:color="auto"/>
                        <w:left w:val="none" w:sz="0" w:space="0" w:color="auto"/>
                        <w:bottom w:val="none" w:sz="0" w:space="0" w:color="auto"/>
                        <w:right w:val="none" w:sz="0" w:space="0" w:color="auto"/>
                      </w:divBdr>
                      <w:divsChild>
                        <w:div w:id="1361584885">
                          <w:marLeft w:val="0"/>
                          <w:marRight w:val="0"/>
                          <w:marTop w:val="0"/>
                          <w:marBottom w:val="0"/>
                          <w:divBdr>
                            <w:top w:val="none" w:sz="0" w:space="0" w:color="auto"/>
                            <w:left w:val="none" w:sz="0" w:space="0" w:color="auto"/>
                            <w:bottom w:val="none" w:sz="0" w:space="0" w:color="auto"/>
                            <w:right w:val="none" w:sz="0" w:space="0" w:color="auto"/>
                          </w:divBdr>
                          <w:divsChild>
                            <w:div w:id="1529638368">
                              <w:marLeft w:val="0"/>
                              <w:marRight w:val="0"/>
                              <w:marTop w:val="0"/>
                              <w:marBottom w:val="0"/>
                              <w:divBdr>
                                <w:top w:val="none" w:sz="0" w:space="0" w:color="auto"/>
                                <w:left w:val="none" w:sz="0" w:space="0" w:color="auto"/>
                                <w:bottom w:val="none" w:sz="0" w:space="0" w:color="auto"/>
                                <w:right w:val="none" w:sz="0" w:space="0" w:color="auto"/>
                              </w:divBdr>
                              <w:divsChild>
                                <w:div w:id="39790387">
                                  <w:marLeft w:val="0"/>
                                  <w:marRight w:val="0"/>
                                  <w:marTop w:val="0"/>
                                  <w:marBottom w:val="0"/>
                                  <w:divBdr>
                                    <w:top w:val="none" w:sz="0" w:space="0" w:color="auto"/>
                                    <w:left w:val="none" w:sz="0" w:space="0" w:color="auto"/>
                                    <w:bottom w:val="none" w:sz="0" w:space="0" w:color="auto"/>
                                    <w:right w:val="none" w:sz="0" w:space="0" w:color="auto"/>
                                  </w:divBdr>
                                  <w:divsChild>
                                    <w:div w:id="1993411678">
                                      <w:marLeft w:val="0"/>
                                      <w:marRight w:val="0"/>
                                      <w:marTop w:val="0"/>
                                      <w:marBottom w:val="0"/>
                                      <w:divBdr>
                                        <w:top w:val="none" w:sz="0" w:space="0" w:color="auto"/>
                                        <w:left w:val="none" w:sz="0" w:space="0" w:color="auto"/>
                                        <w:bottom w:val="none" w:sz="0" w:space="0" w:color="auto"/>
                                        <w:right w:val="none" w:sz="0" w:space="0" w:color="auto"/>
                                      </w:divBdr>
                                      <w:divsChild>
                                        <w:div w:id="2060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853320">
      <w:bodyDiv w:val="1"/>
      <w:marLeft w:val="0"/>
      <w:marRight w:val="0"/>
      <w:marTop w:val="0"/>
      <w:marBottom w:val="0"/>
      <w:divBdr>
        <w:top w:val="none" w:sz="0" w:space="0" w:color="auto"/>
        <w:left w:val="none" w:sz="0" w:space="0" w:color="auto"/>
        <w:bottom w:val="none" w:sz="0" w:space="0" w:color="auto"/>
        <w:right w:val="none" w:sz="0" w:space="0" w:color="auto"/>
      </w:divBdr>
      <w:divsChild>
        <w:div w:id="1517108784">
          <w:marLeft w:val="0"/>
          <w:marRight w:val="0"/>
          <w:marTop w:val="0"/>
          <w:marBottom w:val="0"/>
          <w:divBdr>
            <w:top w:val="none" w:sz="0" w:space="0" w:color="auto"/>
            <w:left w:val="none" w:sz="0" w:space="0" w:color="auto"/>
            <w:bottom w:val="none" w:sz="0" w:space="0" w:color="auto"/>
            <w:right w:val="none" w:sz="0" w:space="0" w:color="auto"/>
          </w:divBdr>
          <w:divsChild>
            <w:div w:id="1966885038">
              <w:marLeft w:val="0"/>
              <w:marRight w:val="0"/>
              <w:marTop w:val="0"/>
              <w:marBottom w:val="0"/>
              <w:divBdr>
                <w:top w:val="none" w:sz="0" w:space="0" w:color="auto"/>
                <w:left w:val="none" w:sz="0" w:space="0" w:color="auto"/>
                <w:bottom w:val="none" w:sz="0" w:space="0" w:color="auto"/>
                <w:right w:val="none" w:sz="0" w:space="0" w:color="auto"/>
              </w:divBdr>
              <w:divsChild>
                <w:div w:id="1177498704">
                  <w:marLeft w:val="0"/>
                  <w:marRight w:val="0"/>
                  <w:marTop w:val="0"/>
                  <w:marBottom w:val="0"/>
                  <w:divBdr>
                    <w:top w:val="none" w:sz="0" w:space="0" w:color="auto"/>
                    <w:left w:val="none" w:sz="0" w:space="0" w:color="auto"/>
                    <w:bottom w:val="none" w:sz="0" w:space="0" w:color="auto"/>
                    <w:right w:val="none" w:sz="0" w:space="0" w:color="auto"/>
                  </w:divBdr>
                  <w:divsChild>
                    <w:div w:id="1438989321">
                      <w:marLeft w:val="0"/>
                      <w:marRight w:val="0"/>
                      <w:marTop w:val="0"/>
                      <w:marBottom w:val="0"/>
                      <w:divBdr>
                        <w:top w:val="none" w:sz="0" w:space="0" w:color="auto"/>
                        <w:left w:val="none" w:sz="0" w:space="0" w:color="auto"/>
                        <w:bottom w:val="none" w:sz="0" w:space="0" w:color="auto"/>
                        <w:right w:val="none" w:sz="0" w:space="0" w:color="auto"/>
                      </w:divBdr>
                      <w:divsChild>
                        <w:div w:id="317392205">
                          <w:marLeft w:val="0"/>
                          <w:marRight w:val="0"/>
                          <w:marTop w:val="0"/>
                          <w:marBottom w:val="0"/>
                          <w:divBdr>
                            <w:top w:val="none" w:sz="0" w:space="0" w:color="auto"/>
                            <w:left w:val="none" w:sz="0" w:space="0" w:color="auto"/>
                            <w:bottom w:val="none" w:sz="0" w:space="0" w:color="auto"/>
                            <w:right w:val="none" w:sz="0" w:space="0" w:color="auto"/>
                          </w:divBdr>
                          <w:divsChild>
                            <w:div w:id="1476607658">
                              <w:marLeft w:val="0"/>
                              <w:marRight w:val="0"/>
                              <w:marTop w:val="0"/>
                              <w:marBottom w:val="0"/>
                              <w:divBdr>
                                <w:top w:val="none" w:sz="0" w:space="0" w:color="auto"/>
                                <w:left w:val="none" w:sz="0" w:space="0" w:color="auto"/>
                                <w:bottom w:val="none" w:sz="0" w:space="0" w:color="auto"/>
                                <w:right w:val="none" w:sz="0" w:space="0" w:color="auto"/>
                              </w:divBdr>
                              <w:divsChild>
                                <w:div w:id="1750729974">
                                  <w:marLeft w:val="0"/>
                                  <w:marRight w:val="0"/>
                                  <w:marTop w:val="0"/>
                                  <w:marBottom w:val="0"/>
                                  <w:divBdr>
                                    <w:top w:val="none" w:sz="0" w:space="0" w:color="auto"/>
                                    <w:left w:val="none" w:sz="0" w:space="0" w:color="auto"/>
                                    <w:bottom w:val="none" w:sz="0" w:space="0" w:color="auto"/>
                                    <w:right w:val="none" w:sz="0" w:space="0" w:color="auto"/>
                                  </w:divBdr>
                                  <w:divsChild>
                                    <w:div w:id="2868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94187441770812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4964</Words>
  <Characters>28297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MAGESH</cp:lastModifiedBy>
  <cp:revision>9</cp:revision>
  <dcterms:created xsi:type="dcterms:W3CDTF">2026-02-11T15:49:00Z</dcterms:created>
  <dcterms:modified xsi:type="dcterms:W3CDTF">2026-02-15T03:43:00Z</dcterms:modified>
</cp:coreProperties>
</file>