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674A" w14:textId="77777777" w:rsidR="001A0C16" w:rsidRDefault="001A0C16" w:rsidP="00EF0641">
      <w:pPr>
        <w:spacing w:after="0" w:line="360" w:lineRule="auto"/>
        <w:jc w:val="center"/>
        <w:rPr>
          <w:rFonts w:cs="Times New Roman"/>
          <w:b/>
          <w:bCs/>
        </w:rPr>
      </w:pPr>
      <w:r w:rsidRPr="004E1953">
        <w:rPr>
          <w:rFonts w:cs="Times New Roman"/>
          <w:b/>
          <w:bCs/>
        </w:rPr>
        <w:t>EVALUATION OF THE ACTIVITIES OF CREATININE KINASE (CK) AND LACTATE DEHYDROGENASE (LDH) IN APPARENTLY HEALTHY G</w:t>
      </w:r>
      <w:r>
        <w:rPr>
          <w:rFonts w:cs="Times New Roman"/>
          <w:b/>
          <w:bCs/>
        </w:rPr>
        <w:t>ERIATRICS IN EKPOMA, EDO STATE</w:t>
      </w:r>
    </w:p>
    <w:p w14:paraId="68A79AF7" w14:textId="77777777" w:rsidR="00C25341" w:rsidRDefault="00C25341" w:rsidP="00EF0641">
      <w:pPr>
        <w:spacing w:after="0" w:line="360" w:lineRule="auto"/>
        <w:jc w:val="center"/>
        <w:rPr>
          <w:rFonts w:cs="Times New Roman"/>
          <w:b/>
          <w:bCs/>
        </w:rPr>
      </w:pPr>
    </w:p>
    <w:p w14:paraId="54D9CB3B" w14:textId="77777777" w:rsidR="001A0C16" w:rsidRDefault="001A0C16" w:rsidP="00EF0641">
      <w:pPr>
        <w:spacing w:after="0" w:line="360" w:lineRule="auto"/>
        <w:jc w:val="both"/>
      </w:pPr>
    </w:p>
    <w:p w14:paraId="09B9381F" w14:textId="77777777" w:rsidR="001A0C16" w:rsidRDefault="001A0C16" w:rsidP="00EF0641">
      <w:pPr>
        <w:spacing w:after="0" w:line="360" w:lineRule="auto"/>
        <w:jc w:val="both"/>
      </w:pPr>
    </w:p>
    <w:p w14:paraId="57CE58B5" w14:textId="77777777" w:rsidR="001A0C16" w:rsidRPr="001A0C16" w:rsidRDefault="001A0C16" w:rsidP="00EF0641">
      <w:pPr>
        <w:spacing w:after="0" w:line="360" w:lineRule="auto"/>
        <w:jc w:val="center"/>
        <w:rPr>
          <w:b/>
        </w:rPr>
      </w:pPr>
      <w:r w:rsidRPr="001A0C16">
        <w:rPr>
          <w:b/>
        </w:rPr>
        <w:t>ABSTRACT</w:t>
      </w:r>
    </w:p>
    <w:p w14:paraId="222DEDC6" w14:textId="77777777" w:rsidR="001A0C16" w:rsidRPr="001A0C16" w:rsidRDefault="001A0C16" w:rsidP="00EF0641">
      <w:pPr>
        <w:spacing w:after="0" w:line="360" w:lineRule="auto"/>
        <w:jc w:val="both"/>
        <w:rPr>
          <w:b/>
        </w:rPr>
      </w:pPr>
      <w:r w:rsidRPr="001A0C16">
        <w:rPr>
          <w:bCs/>
        </w:rPr>
        <w:t xml:space="preserve">With the global increase in life expectancy, the aging population has become a </w:t>
      </w:r>
      <w:r w:rsidRPr="00992C99">
        <w:rPr>
          <w:bCs/>
          <w:color w:val="EE0000"/>
        </w:rPr>
        <w:t xml:space="preserve">growing demographic </w:t>
      </w:r>
      <w:r w:rsidRPr="001A0C16">
        <w:rPr>
          <w:bCs/>
        </w:rPr>
        <w:t xml:space="preserve">with unique healthcare needs. Among the major concerns in geriatric health is the often-silent progression of muscular and metabolic disorders, which can significantly affect quality of life and functional independence. </w:t>
      </w:r>
      <w:r w:rsidRPr="001A0C16">
        <w:t xml:space="preserve">The aim of this study is to evaluate the activities of creatinine kinase (CK) and lactate dehydrogenase (LDH) in apparently healthy geriatrics in </w:t>
      </w:r>
      <w:proofErr w:type="spellStart"/>
      <w:r w:rsidRPr="001A0C16">
        <w:t>Ekpoma</w:t>
      </w:r>
      <w:proofErr w:type="spellEnd"/>
      <w:r w:rsidRPr="001A0C16">
        <w:t xml:space="preserve">, Edo State. This study was conducted in </w:t>
      </w:r>
      <w:proofErr w:type="spellStart"/>
      <w:r w:rsidRPr="001A0C16">
        <w:t>Ekpoma</w:t>
      </w:r>
      <w:proofErr w:type="spellEnd"/>
      <w:r w:rsidRPr="001A0C16">
        <w:t>, the administrative headquarters of Esan West Local Government Area, Edo State, Nigeria. The specific location for the study was</w:t>
      </w:r>
      <w:r w:rsidRPr="00992C99">
        <w:rPr>
          <w:color w:val="EE0000"/>
        </w:rPr>
        <w:t xml:space="preserve"> be </w:t>
      </w:r>
      <w:r w:rsidRPr="001A0C16">
        <w:t xml:space="preserve">Ambrose Alli University, </w:t>
      </w:r>
      <w:proofErr w:type="spellStart"/>
      <w:r w:rsidRPr="001A0C16">
        <w:t>Ekpoma</w:t>
      </w:r>
      <w:proofErr w:type="spellEnd"/>
      <w:r w:rsidRPr="001A0C16">
        <w:t xml:space="preserve">. A total of two hundred (200) apparently healthy geriatric individuals aged 65 years and above </w:t>
      </w:r>
      <w:r w:rsidRPr="00992C99">
        <w:rPr>
          <w:color w:val="EE0000"/>
        </w:rPr>
        <w:t xml:space="preserve">will be </w:t>
      </w:r>
      <w:r w:rsidRPr="001A0C16">
        <w:t xml:space="preserve">recruited for this study. Participants </w:t>
      </w:r>
      <w:r w:rsidRPr="00992C99">
        <w:rPr>
          <w:color w:val="EE0000"/>
        </w:rPr>
        <w:t xml:space="preserve">will be </w:t>
      </w:r>
      <w:r w:rsidRPr="001A0C16">
        <w:t xml:space="preserve">randomly selected from various communities in </w:t>
      </w:r>
      <w:proofErr w:type="spellStart"/>
      <w:r w:rsidRPr="001A0C16">
        <w:t>Ekpoma</w:t>
      </w:r>
      <w:proofErr w:type="spellEnd"/>
      <w:r w:rsidRPr="001A0C16">
        <w:t xml:space="preserve">, including those affiliated with Ambrose Alli University. Ethical approval was obtained from the Health Research Ethics Committee of Ambrose Alli University, </w:t>
      </w:r>
      <w:proofErr w:type="spellStart"/>
      <w:r w:rsidRPr="001A0C16">
        <w:t>Ekpoma</w:t>
      </w:r>
      <w:proofErr w:type="spellEnd"/>
      <w:r w:rsidRPr="001A0C16">
        <w:t xml:space="preserve">. Participants </w:t>
      </w:r>
      <w:r w:rsidRPr="00992C99">
        <w:rPr>
          <w:color w:val="EE0000"/>
        </w:rPr>
        <w:t xml:space="preserve">will be </w:t>
      </w:r>
      <w:r w:rsidRPr="001A0C16">
        <w:t xml:space="preserve">provided with informed consent forms that explain the study's purpose, procedures, benefits, and risks. Only individuals who provide written consent was enrolled in the study. All data were kept confidential and used strictly for academic and research purposes.  The results show the comparison of Creatine Kinase and Lactate Dehydrogenase levels of healthy Geriatric study participants with apparently healthy young control participants. As expected the mean age of the control (24.56±5.08) was significantly lower than the Geriatric study participants (61.32±65.45) (p&lt;0.001). The mean creatine kinase level of Geriatrics (61.32±65.45) was higher than that of the young control participants (51.59±16.12).  There was a significant age-related decline in LDH levels among geriatric participants (165.53 ± 92.99 U/L) compared to the younger group (299.92 ± 96.34 U/L, p &lt; 0.001), with a strong negative correlation between LDH and age (r = -0.594, p &lt; 0.001). In contrast, CK levels remained stable across age groups, showing no significant difference between geriatric (61.32 ± 65.45 U/L) and younger controls (51.59 ± 16.12 U/L, p = 0.150). Gender-based analysis indicated no significant difference in CK between groups, </w:t>
      </w:r>
      <w:r w:rsidRPr="001A0C16">
        <w:lastRenderedPageBreak/>
        <w:t>while LDH was consistently lower in older adults regardless of sex. The study concludes that the significant and progressive decline in LDH levels with advancing age highlights its potential as a biomarker of physiological aging and calls for the adoption of age-adjusted reference intervals in clinical practice.</w:t>
      </w:r>
    </w:p>
    <w:p w14:paraId="2D5F07EB" w14:textId="77777777" w:rsidR="001A0C16" w:rsidRDefault="001A0C16" w:rsidP="00EF0641">
      <w:pPr>
        <w:spacing w:after="0" w:line="360" w:lineRule="auto"/>
        <w:jc w:val="both"/>
      </w:pPr>
    </w:p>
    <w:p w14:paraId="66893617" w14:textId="77777777" w:rsidR="001A0C16" w:rsidRPr="001A0C16" w:rsidRDefault="001A0C16" w:rsidP="00EF0641">
      <w:pPr>
        <w:spacing w:after="0" w:line="360" w:lineRule="auto"/>
        <w:jc w:val="both"/>
        <w:rPr>
          <w:b/>
          <w:bCs/>
        </w:rPr>
      </w:pPr>
      <w:r w:rsidRPr="001A0C16">
        <w:rPr>
          <w:b/>
          <w:bCs/>
        </w:rPr>
        <w:t>INTRODUCTION</w:t>
      </w:r>
    </w:p>
    <w:p w14:paraId="7689B144" w14:textId="00440E93" w:rsidR="001A0C16" w:rsidRPr="00331E80" w:rsidRDefault="001A0C16" w:rsidP="00EF0641">
      <w:pPr>
        <w:spacing w:after="0" w:line="360" w:lineRule="auto"/>
        <w:jc w:val="both"/>
        <w:rPr>
          <w:rFonts w:eastAsia="Times New Roman" w:cs="Times New Roman"/>
        </w:rPr>
      </w:pPr>
      <w:r w:rsidRPr="00331E80">
        <w:rPr>
          <w:rFonts w:eastAsia="Times New Roman" w:cs="Times New Roman"/>
        </w:rPr>
        <w:t>Aging is a complex, multifactorial biological process characterized by the progressive decline of physiological functions and increased vulnerability to diseases (Harman, 2001). It is marked by a gradual loss of cellular and organ function, reduced regenerative capacity, and accumulation of molecular damage over time (López-Otín</w:t>
      </w:r>
      <w:r w:rsidR="00904DEE">
        <w:rPr>
          <w:rFonts w:eastAsia="Times New Roman" w:cs="Times New Roman"/>
        </w:rPr>
        <w:t xml:space="preserve"> </w:t>
      </w:r>
      <w:r w:rsidR="00904DEE">
        <w:rPr>
          <w:rFonts w:eastAsia="Times New Roman" w:cs="Times New Roman"/>
          <w:i/>
          <w:iCs/>
        </w:rPr>
        <w:t xml:space="preserve">et al., </w:t>
      </w:r>
      <w:r w:rsidRPr="00331E80">
        <w:rPr>
          <w:rFonts w:eastAsia="Times New Roman" w:cs="Times New Roman"/>
        </w:rPr>
        <w:t>2013). The process of aging affects every system in the human body, leading to changes in metabolism, immune response, and musculoskeletal structure (Kirkwood, 2005).</w:t>
      </w:r>
    </w:p>
    <w:p w14:paraId="1B62718B" w14:textId="775829F6" w:rsidR="001A0C16" w:rsidRPr="00331E80" w:rsidRDefault="001A0C16" w:rsidP="00EF0641">
      <w:pPr>
        <w:spacing w:after="0" w:line="360" w:lineRule="auto"/>
        <w:jc w:val="both"/>
        <w:rPr>
          <w:rFonts w:eastAsia="Times New Roman" w:cs="Times New Roman"/>
        </w:rPr>
      </w:pPr>
      <w:r w:rsidRPr="00331E80">
        <w:rPr>
          <w:rFonts w:eastAsia="Times New Roman" w:cs="Times New Roman"/>
        </w:rPr>
        <w:t xml:space="preserve">The term </w:t>
      </w:r>
      <w:r w:rsidRPr="00331E80">
        <w:rPr>
          <w:rFonts w:eastAsia="Times New Roman" w:cs="Times New Roman"/>
          <w:bCs/>
        </w:rPr>
        <w:t>“geriatric population”</w:t>
      </w:r>
      <w:r w:rsidRPr="00331E80">
        <w:rPr>
          <w:rFonts w:eastAsia="Times New Roman" w:cs="Times New Roman"/>
        </w:rPr>
        <w:t xml:space="preserve"> generally refers to individuals aged 65 years and above, although this age threshold may vary across different regions and studies (World Health Organization [WHO], 2015). This demographic group is particularly susceptible to chronic illnesses, functional decline, and dependency, necessitating specialized healthcare approaches (Fried</w:t>
      </w:r>
      <w:r w:rsidR="008B0C13">
        <w:rPr>
          <w:rFonts w:eastAsia="Times New Roman" w:cs="Times New Roman"/>
        </w:rPr>
        <w:t xml:space="preserve"> </w:t>
      </w:r>
      <w:r w:rsidR="008B0C13">
        <w:rPr>
          <w:rFonts w:eastAsia="Times New Roman" w:cs="Times New Roman"/>
          <w:i/>
          <w:iCs/>
        </w:rPr>
        <w:t xml:space="preserve">et al., </w:t>
      </w:r>
      <w:r w:rsidRPr="00331E80">
        <w:rPr>
          <w:rFonts w:eastAsia="Times New Roman" w:cs="Times New Roman"/>
        </w:rPr>
        <w:t xml:space="preserve">2001). Geriatrics as a medical discipline focuses on promoting health, preventing disease, and managing complex health conditions in older adults (Rechel </w:t>
      </w:r>
      <w:r w:rsidRPr="00E85418">
        <w:rPr>
          <w:rFonts w:eastAsia="Times New Roman" w:cs="Times New Roman"/>
          <w:i/>
        </w:rPr>
        <w:t>et al.,</w:t>
      </w:r>
      <w:r w:rsidRPr="00331E80">
        <w:rPr>
          <w:rFonts w:eastAsia="Times New Roman" w:cs="Times New Roman"/>
        </w:rPr>
        <w:t xml:space="preserve"> 2013).</w:t>
      </w:r>
    </w:p>
    <w:p w14:paraId="2AAAB471" w14:textId="77777777" w:rsidR="001A0C16" w:rsidRPr="00331E80" w:rsidRDefault="001A0C16" w:rsidP="00EF0641">
      <w:pPr>
        <w:spacing w:after="0" w:line="360" w:lineRule="auto"/>
        <w:jc w:val="both"/>
        <w:rPr>
          <w:rFonts w:eastAsia="Times New Roman" w:cs="Times New Roman"/>
        </w:rPr>
      </w:pPr>
      <w:r w:rsidRPr="00331E80">
        <w:rPr>
          <w:rFonts w:eastAsia="Times New Roman" w:cs="Times New Roman"/>
        </w:rPr>
        <w:t xml:space="preserve">Globally, the proportion of older adults is rising due to increased life expectancy and declining fertility rates (United Nations, 2020). By 2050, the global population of individuals aged 60 years and above is expected to double, reaching approximately 2.1 billion (United Nations, 2020). This demographic shift presents both social and healthcare challenges, including a greater burden on healthcare systems, increased need for long-term care, and changes in disease epidemiology (Beard </w:t>
      </w:r>
      <w:r w:rsidRPr="00E85418">
        <w:rPr>
          <w:rFonts w:eastAsia="Times New Roman" w:cs="Times New Roman"/>
          <w:i/>
        </w:rPr>
        <w:t>et al.,</w:t>
      </w:r>
      <w:r w:rsidRPr="00331E80">
        <w:rPr>
          <w:rFonts w:eastAsia="Times New Roman" w:cs="Times New Roman"/>
        </w:rPr>
        <w:t xml:space="preserve"> 2016).</w:t>
      </w:r>
    </w:p>
    <w:p w14:paraId="4F58278F" w14:textId="77777777" w:rsidR="001A0C16" w:rsidRDefault="001A0C16" w:rsidP="00EF0641">
      <w:pPr>
        <w:spacing w:after="0" w:line="360" w:lineRule="auto"/>
        <w:jc w:val="both"/>
        <w:rPr>
          <w:rFonts w:eastAsia="Times New Roman" w:cs="Times New Roman"/>
        </w:rPr>
      </w:pPr>
      <w:r w:rsidRPr="00331E80">
        <w:rPr>
          <w:rFonts w:eastAsia="Times New Roman" w:cs="Times New Roman"/>
        </w:rPr>
        <w:t xml:space="preserve">In Nigeria, the elderly population is also growing, with projections indicating a rise in individuals aged 60 years and above from 9 million in 2020 to over 28 million by 2050 (National Population Commission [NPC], 2020). However, aging in Nigeria is often associated with inadequate access to healthcare, poor social support systems, and economic hardship (Aboderin, 2004). Despite these challenges, the health of older adults in Nigeria remains under-researched, particularly regarding baseline biochemical parameters and age-related physiological changes (Ogunniyi </w:t>
      </w:r>
      <w:r w:rsidRPr="00E85418">
        <w:rPr>
          <w:rFonts w:eastAsia="Times New Roman" w:cs="Times New Roman"/>
          <w:i/>
        </w:rPr>
        <w:t>et al.,</w:t>
      </w:r>
      <w:r w:rsidRPr="00331E80">
        <w:rPr>
          <w:rFonts w:eastAsia="Times New Roman" w:cs="Times New Roman"/>
        </w:rPr>
        <w:t xml:space="preserve"> 2001).</w:t>
      </w:r>
    </w:p>
    <w:p w14:paraId="071F735A" w14:textId="25A53E6A" w:rsidR="001A0C16" w:rsidRDefault="001A0C16" w:rsidP="00EF0641">
      <w:pPr>
        <w:spacing w:after="0" w:line="360" w:lineRule="auto"/>
        <w:jc w:val="both"/>
        <w:rPr>
          <w:rFonts w:eastAsia="Times New Roman" w:cs="Times New Roman"/>
        </w:rPr>
      </w:pPr>
      <w:r w:rsidRPr="00E338DB">
        <w:rPr>
          <w:rFonts w:eastAsia="Times New Roman" w:cs="Times New Roman"/>
        </w:rPr>
        <w:lastRenderedPageBreak/>
        <w:t xml:space="preserve">Creatinine kinase (CK), also known as creatine phosphokinase (CPK), is a key intracellular enzyme involved in energy metabolism, especially in tissues that have high and fluctuating energy demands (Wyss &amp; </w:t>
      </w:r>
      <w:proofErr w:type="spellStart"/>
      <w:r w:rsidRPr="00E338DB">
        <w:rPr>
          <w:rFonts w:eastAsia="Times New Roman" w:cs="Times New Roman"/>
        </w:rPr>
        <w:t>Kaddurah-Daouk</w:t>
      </w:r>
      <w:proofErr w:type="spellEnd"/>
      <w:r w:rsidRPr="00E338DB">
        <w:rPr>
          <w:rFonts w:eastAsia="Times New Roman" w:cs="Times New Roman"/>
        </w:rPr>
        <w:t>, 2000). It catalyzes the reversible conversion of creatine and adenosine triphosphate (ATP) into phosphocreatine and adenosine diphosphate (ADP), a process essential for the storage and transmission of energy in cells (</w:t>
      </w:r>
      <w:proofErr w:type="spellStart"/>
      <w:r w:rsidRPr="00E338DB">
        <w:rPr>
          <w:rFonts w:eastAsia="Times New Roman" w:cs="Times New Roman"/>
        </w:rPr>
        <w:t>Wallimann</w:t>
      </w:r>
      <w:proofErr w:type="spellEnd"/>
      <w:r>
        <w:rPr>
          <w:rFonts w:eastAsia="Times New Roman" w:cs="Times New Roman"/>
        </w:rPr>
        <w:t>, Tokarska-</w:t>
      </w:r>
      <w:proofErr w:type="spellStart"/>
      <w:r>
        <w:rPr>
          <w:rFonts w:eastAsia="Times New Roman" w:cs="Times New Roman"/>
        </w:rPr>
        <w:t>Schlattner</w:t>
      </w:r>
      <w:proofErr w:type="spellEnd"/>
      <w:r>
        <w:rPr>
          <w:rFonts w:eastAsia="Times New Roman" w:cs="Times New Roman"/>
        </w:rPr>
        <w:t xml:space="preserve"> &amp; </w:t>
      </w:r>
      <w:proofErr w:type="spellStart"/>
      <w:r>
        <w:rPr>
          <w:rFonts w:eastAsia="Times New Roman" w:cs="Times New Roman"/>
        </w:rPr>
        <w:t>Schlattner</w:t>
      </w:r>
      <w:proofErr w:type="spellEnd"/>
      <w:r>
        <w:rPr>
          <w:rFonts w:eastAsia="Times New Roman" w:cs="Times New Roman"/>
        </w:rPr>
        <w:t>,</w:t>
      </w:r>
      <w:r w:rsidRPr="00E338DB">
        <w:rPr>
          <w:rFonts w:eastAsia="Times New Roman" w:cs="Times New Roman"/>
        </w:rPr>
        <w:t xml:space="preserve"> 2011).</w:t>
      </w:r>
    </w:p>
    <w:p w14:paraId="660F5C12" w14:textId="557847B0" w:rsidR="00F65C47" w:rsidRDefault="00F65C47" w:rsidP="00EF0641">
      <w:pPr>
        <w:pStyle w:val="NormalWeb"/>
        <w:shd w:val="clear" w:color="auto" w:fill="FFFFFF"/>
        <w:spacing w:before="0" w:beforeAutospacing="0" w:after="0" w:afterAutospacing="0" w:line="360" w:lineRule="auto"/>
        <w:jc w:val="both"/>
      </w:pPr>
      <w:r w:rsidRPr="00F65C47">
        <w:rPr>
          <w:bCs/>
        </w:rPr>
        <w:t>Lactate dehydrogenase</w:t>
      </w:r>
      <w:r w:rsidRPr="00F65C47">
        <w:t> (</w:t>
      </w:r>
      <w:r w:rsidRPr="00F65C47">
        <w:rPr>
          <w:bCs/>
        </w:rPr>
        <w:t>LDH</w:t>
      </w:r>
      <w:r w:rsidRPr="00F65C47">
        <w:t> or </w:t>
      </w:r>
      <w:r w:rsidRPr="00F65C47">
        <w:rPr>
          <w:bCs/>
        </w:rPr>
        <w:t>LD</w:t>
      </w:r>
      <w:r w:rsidRPr="00F65C47">
        <w:t>) is an </w:t>
      </w:r>
      <w:hyperlink r:id="rId7" w:tooltip="Enzyme" w:history="1">
        <w:r w:rsidRPr="00F65C47">
          <w:rPr>
            <w:rStyle w:val="Hyperlink"/>
            <w:color w:val="auto"/>
            <w:u w:val="none"/>
          </w:rPr>
          <w:t>enzyme</w:t>
        </w:r>
      </w:hyperlink>
      <w:r w:rsidRPr="00F65C47">
        <w:t> found in nearly all living cells. LDH catalyzes the conversion of </w:t>
      </w:r>
      <w:hyperlink r:id="rId8" w:tooltip="Pyruvic acid" w:history="1">
        <w:r w:rsidRPr="00F65C47">
          <w:rPr>
            <w:rStyle w:val="Hyperlink"/>
            <w:color w:val="auto"/>
            <w:u w:val="none"/>
          </w:rPr>
          <w:t>pyruvate</w:t>
        </w:r>
      </w:hyperlink>
      <w:r w:rsidRPr="00F65C47">
        <w:t> to </w:t>
      </w:r>
      <w:hyperlink r:id="rId9" w:tooltip="Lactic acid" w:history="1">
        <w:r w:rsidRPr="00F65C47">
          <w:rPr>
            <w:rStyle w:val="Hyperlink"/>
            <w:color w:val="auto"/>
            <w:u w:val="none"/>
          </w:rPr>
          <w:t>lactate</w:t>
        </w:r>
      </w:hyperlink>
      <w:r w:rsidRPr="00F65C47">
        <w:t> and back, as it converts NAD</w:t>
      </w:r>
      <w:r w:rsidRPr="00F65C47">
        <w:rPr>
          <w:vertAlign w:val="superscript"/>
        </w:rPr>
        <w:t>+</w:t>
      </w:r>
      <w:r w:rsidRPr="00F65C47">
        <w:t> to </w:t>
      </w:r>
      <w:hyperlink r:id="rId10" w:tooltip="NADH" w:history="1">
        <w:r w:rsidRPr="00F65C47">
          <w:rPr>
            <w:rStyle w:val="Hyperlink"/>
            <w:color w:val="auto"/>
            <w:u w:val="none"/>
          </w:rPr>
          <w:t>NADH</w:t>
        </w:r>
      </w:hyperlink>
      <w:r w:rsidRPr="00F65C47">
        <w:t> and back</w:t>
      </w:r>
      <w:r w:rsidR="00CD236C">
        <w:t xml:space="preserve"> </w:t>
      </w:r>
      <w:r w:rsidR="00CD236C" w:rsidRPr="00CD236C">
        <w:t>(</w:t>
      </w:r>
      <w:r w:rsidR="00CD236C" w:rsidRPr="00AE5105">
        <w:t>Farhana &amp; Lappin,</w:t>
      </w:r>
      <w:r w:rsidR="00CD236C">
        <w:t xml:space="preserve"> </w:t>
      </w:r>
      <w:r w:rsidR="00CD236C" w:rsidRPr="00AE5105">
        <w:t>2023</w:t>
      </w:r>
      <w:r w:rsidR="00CD236C" w:rsidRPr="00CD236C">
        <w:t>)</w:t>
      </w:r>
      <w:r w:rsidRPr="00F65C47">
        <w:t>.</w:t>
      </w:r>
      <w:r>
        <w:t xml:space="preserve"> </w:t>
      </w:r>
      <w:r w:rsidRPr="00F65C47">
        <w:t>A </w:t>
      </w:r>
      <w:hyperlink r:id="rId11" w:tooltip="Dehydrogenase" w:history="1">
        <w:r w:rsidRPr="00F65C47">
          <w:rPr>
            <w:rStyle w:val="Hyperlink"/>
            <w:color w:val="auto"/>
            <w:u w:val="none"/>
          </w:rPr>
          <w:t>dehydrogenase</w:t>
        </w:r>
      </w:hyperlink>
      <w:r w:rsidRPr="00F65C47">
        <w:t> is an enzyme that transfers a </w:t>
      </w:r>
      <w:hyperlink r:id="rId12" w:tooltip="Hydride" w:history="1">
        <w:r w:rsidRPr="00F65C47">
          <w:rPr>
            <w:rStyle w:val="Hyperlink"/>
            <w:color w:val="auto"/>
            <w:u w:val="none"/>
          </w:rPr>
          <w:t>hydride</w:t>
        </w:r>
      </w:hyperlink>
      <w:r w:rsidRPr="00F65C47">
        <w:t> from one molecule to another.</w:t>
      </w:r>
      <w:r>
        <w:t xml:space="preserve"> </w:t>
      </w:r>
      <w:r w:rsidRPr="00F65C47">
        <w:t>LDH exists in four distinct enzyme classes</w:t>
      </w:r>
      <w:r w:rsidR="00B51B7F">
        <w:t xml:space="preserve"> (</w:t>
      </w:r>
      <w:r w:rsidR="00B51B7F" w:rsidRPr="00703A8F">
        <w:t>Khan</w:t>
      </w:r>
      <w:r w:rsidR="00B51B7F">
        <w:t xml:space="preserve"> </w:t>
      </w:r>
      <w:r w:rsidR="00B51B7F">
        <w:rPr>
          <w:i/>
          <w:iCs/>
        </w:rPr>
        <w:t>et al.,</w:t>
      </w:r>
      <w:r w:rsidR="00B51B7F">
        <w:t>2020</w:t>
      </w:r>
      <w:r w:rsidR="00CE40C5">
        <w:t xml:space="preserve">; </w:t>
      </w:r>
      <w:r w:rsidR="00CE40C5" w:rsidRPr="00703A8F">
        <w:t>Manea</w:t>
      </w:r>
      <w:r w:rsidR="00CE40C5">
        <w:t xml:space="preserve"> </w:t>
      </w:r>
      <w:r w:rsidR="00CE40C5">
        <w:rPr>
          <w:i/>
          <w:iCs/>
        </w:rPr>
        <w:t xml:space="preserve">et al., </w:t>
      </w:r>
      <w:r w:rsidR="00CE40C5">
        <w:t>2017</w:t>
      </w:r>
      <w:r w:rsidR="00B51B7F">
        <w:t>)</w:t>
      </w:r>
      <w:r w:rsidRPr="00F65C47">
        <w:t>.</w:t>
      </w:r>
      <w:r>
        <w:t xml:space="preserve"> </w:t>
      </w:r>
      <w:r w:rsidRPr="00EC2104">
        <w:t>LDH is expressed extensively in body tissues, such as blood cells and heart muscle. Because it is released during tissue damage, it is a marker of common injuries and disease such as heart failure</w:t>
      </w:r>
      <w:r w:rsidR="00CE40C5">
        <w:t xml:space="preserve"> (</w:t>
      </w:r>
      <w:r w:rsidR="00CE40C5" w:rsidRPr="00703A8F">
        <w:t>Brancaccio</w:t>
      </w:r>
      <w:r w:rsidR="00CE40C5">
        <w:t xml:space="preserve"> </w:t>
      </w:r>
      <w:r w:rsidR="00CE40C5">
        <w:rPr>
          <w:i/>
          <w:iCs/>
        </w:rPr>
        <w:t xml:space="preserve">et al., </w:t>
      </w:r>
      <w:r w:rsidR="00CE40C5">
        <w:t>2010)</w:t>
      </w:r>
      <w:r w:rsidRPr="00EC2104">
        <w:t>.</w:t>
      </w:r>
    </w:p>
    <w:p w14:paraId="69B68EE3" w14:textId="225D3032" w:rsidR="003471D2" w:rsidRDefault="003471D2" w:rsidP="00EF0641">
      <w:pPr>
        <w:pStyle w:val="NormalWeb"/>
        <w:shd w:val="clear" w:color="auto" w:fill="FFFFFF"/>
        <w:spacing w:before="0" w:beforeAutospacing="0" w:after="0" w:afterAutospacing="0" w:line="360" w:lineRule="auto"/>
        <w:jc w:val="both"/>
      </w:pPr>
      <w:r w:rsidRPr="003471D2">
        <w:t>Understanding the baseline activities of CK and LDH in apparently healthy elderly individuals offers a valuable benchmark for interpreting deviations in clinical scenarios. It also has broader implications for preventive health strategies aimed at enhancing musculoskeletal health and quality of life in older adults.</w:t>
      </w:r>
    </w:p>
    <w:p w14:paraId="7F65C8A3" w14:textId="35E21E00" w:rsidR="001A0C16" w:rsidRDefault="001A0C16" w:rsidP="00EF0641">
      <w:pPr>
        <w:spacing w:after="0" w:line="360" w:lineRule="auto"/>
        <w:jc w:val="both"/>
        <w:rPr>
          <w:rFonts w:eastAsia="Times New Roman" w:cs="Times New Roman"/>
          <w:b/>
          <w:bCs/>
        </w:rPr>
      </w:pPr>
      <w:r>
        <w:rPr>
          <w:rFonts w:eastAsia="Times New Roman" w:cs="Times New Roman"/>
          <w:b/>
          <w:bCs/>
        </w:rPr>
        <w:t>LITERATURE REVIEW</w:t>
      </w:r>
    </w:p>
    <w:p w14:paraId="256E4230" w14:textId="18F8A9C8" w:rsidR="001A0C16" w:rsidRDefault="001A0C16" w:rsidP="00EF0641">
      <w:pPr>
        <w:spacing w:after="0" w:line="360" w:lineRule="auto"/>
        <w:jc w:val="both"/>
        <w:rPr>
          <w:rFonts w:eastAsia="Times New Roman" w:cs="Times New Roman"/>
        </w:rPr>
      </w:pPr>
      <w:r w:rsidRPr="00E338DB">
        <w:rPr>
          <w:rFonts w:eastAsia="Times New Roman" w:cs="Times New Roman"/>
        </w:rPr>
        <w:t xml:space="preserve">Routine biochemical assessments are essential in geriatric care as they provide objective data for early detection of subclinical conditions and monitoring of chronic diseases (Ferrucci </w:t>
      </w:r>
      <w:r w:rsidRPr="00E85418">
        <w:rPr>
          <w:rFonts w:eastAsia="Times New Roman" w:cs="Times New Roman"/>
          <w:i/>
        </w:rPr>
        <w:t>et al.,</w:t>
      </w:r>
      <w:r w:rsidRPr="00E338DB">
        <w:rPr>
          <w:rFonts w:eastAsia="Times New Roman" w:cs="Times New Roman"/>
        </w:rPr>
        <w:t xml:space="preserve"> 2005). Biomarkers such as creatinine kinase (CK), lactate dehydrogenase (LDH), glucose, cholesterol, urea, and electrolytes can reveal metabolic, renal, hepatic, and muscular abnormalities before clinical symptoms manifest (López-Otín </w:t>
      </w:r>
      <w:r w:rsidRPr="00E85418">
        <w:rPr>
          <w:rFonts w:eastAsia="Times New Roman" w:cs="Times New Roman"/>
          <w:i/>
        </w:rPr>
        <w:t>et al.,</w:t>
      </w:r>
      <w:r w:rsidRPr="00E338DB">
        <w:rPr>
          <w:rFonts w:eastAsia="Times New Roman" w:cs="Times New Roman"/>
        </w:rPr>
        <w:t xml:space="preserve"> 2013). For instance, elevated CK and LDH levels may indicate muscle degeneration or hidden cardiac pathology, both of which are relevant in elderly individuals (Khosla</w:t>
      </w:r>
      <w:r w:rsidR="00EC620A">
        <w:rPr>
          <w:rFonts w:eastAsia="Times New Roman" w:cs="Times New Roman"/>
        </w:rPr>
        <w:t xml:space="preserve"> </w:t>
      </w:r>
      <w:r w:rsidR="00EC620A">
        <w:rPr>
          <w:rFonts w:eastAsia="Times New Roman" w:cs="Times New Roman"/>
          <w:i/>
          <w:iCs/>
        </w:rPr>
        <w:t>et al.</w:t>
      </w:r>
      <w:r w:rsidRPr="00E85418">
        <w:rPr>
          <w:rFonts w:eastAsia="Times New Roman" w:cs="Times New Roman"/>
          <w:i/>
        </w:rPr>
        <w:t>,</w:t>
      </w:r>
      <w:r w:rsidRPr="00E338DB">
        <w:rPr>
          <w:rFonts w:eastAsia="Times New Roman" w:cs="Times New Roman"/>
        </w:rPr>
        <w:t xml:space="preserve"> 2011).</w:t>
      </w:r>
    </w:p>
    <w:p w14:paraId="4AFDC87A" w14:textId="6EB1BCAF" w:rsidR="00F65C47" w:rsidRDefault="00F65C47" w:rsidP="00EF0641">
      <w:pPr>
        <w:spacing w:after="0" w:line="360" w:lineRule="auto"/>
        <w:jc w:val="both"/>
        <w:rPr>
          <w:rFonts w:cs="Times New Roman"/>
        </w:rPr>
      </w:pPr>
      <w:r w:rsidRPr="00F65C47">
        <w:rPr>
          <w:rFonts w:cs="Times New Roman"/>
        </w:rPr>
        <w:t xml:space="preserve">In </w:t>
      </w:r>
      <w:r w:rsidRPr="00F65C47">
        <w:rPr>
          <w:rStyle w:val="Strong"/>
          <w:rFonts w:cs="Times New Roman"/>
          <w:b w:val="0"/>
          <w:bCs w:val="0"/>
        </w:rPr>
        <w:t>myocardial infarction (MI)</w:t>
      </w:r>
      <w:r w:rsidRPr="00F65C47">
        <w:rPr>
          <w:rFonts w:cs="Times New Roman"/>
          <w:b/>
          <w:bCs/>
        </w:rPr>
        <w:t xml:space="preserve">, </w:t>
      </w:r>
      <w:r w:rsidRPr="00F65C47">
        <w:rPr>
          <w:rFonts w:cs="Times New Roman"/>
        </w:rPr>
        <w:t>especially ST</w:t>
      </w:r>
      <w:r w:rsidRPr="00F65C47">
        <w:rPr>
          <w:rFonts w:cs="Times New Roman"/>
          <w:b/>
          <w:bCs/>
        </w:rPr>
        <w:t>-</w:t>
      </w:r>
      <w:r w:rsidRPr="00052790">
        <w:rPr>
          <w:rFonts w:cs="Times New Roman"/>
        </w:rPr>
        <w:t xml:space="preserve">elevation MI (STEMI), CK and its MB isoenzyme (CK-MB) were historically used for diagnosis before cardiac troponins became the gold standard (Mair </w:t>
      </w:r>
      <w:r w:rsidRPr="00E85418">
        <w:rPr>
          <w:rFonts w:cs="Times New Roman"/>
          <w:i/>
        </w:rPr>
        <w:t>et al.,</w:t>
      </w:r>
      <w:r w:rsidRPr="00052790">
        <w:rPr>
          <w:rFonts w:cs="Times New Roman"/>
        </w:rPr>
        <w:t xml:space="preserve"> 2001). However, CK-MB still serves as a useful adjunct biomarker for diagnosing reinfarction or infarction extension due to its shorter half-life compared to troponins (Apple</w:t>
      </w:r>
      <w:r w:rsidR="00EC620A">
        <w:rPr>
          <w:rFonts w:cs="Times New Roman"/>
        </w:rPr>
        <w:t xml:space="preserve"> </w:t>
      </w:r>
      <w:r w:rsidR="00EC620A">
        <w:rPr>
          <w:rFonts w:cs="Times New Roman"/>
          <w:i/>
          <w:iCs/>
        </w:rPr>
        <w:t>et al.,</w:t>
      </w:r>
      <w:r w:rsidRPr="00052790">
        <w:rPr>
          <w:rFonts w:cs="Times New Roman"/>
        </w:rPr>
        <w:t xml:space="preserve"> 200</w:t>
      </w:r>
      <w:r w:rsidR="00EC620A">
        <w:rPr>
          <w:rFonts w:cs="Times New Roman"/>
        </w:rPr>
        <w:t>3</w:t>
      </w:r>
      <w:r w:rsidRPr="00052790">
        <w:rPr>
          <w:rFonts w:cs="Times New Roman"/>
        </w:rPr>
        <w:t>).</w:t>
      </w:r>
    </w:p>
    <w:p w14:paraId="65B9B11F" w14:textId="19FBD0C3" w:rsidR="00F65C47" w:rsidRPr="00E338DB" w:rsidRDefault="00F65C47" w:rsidP="00EF0641">
      <w:pPr>
        <w:spacing w:after="0" w:line="360" w:lineRule="auto"/>
        <w:jc w:val="both"/>
        <w:rPr>
          <w:rFonts w:eastAsia="Times New Roman" w:cs="Times New Roman"/>
        </w:rPr>
      </w:pPr>
      <w:r w:rsidRPr="006F120D">
        <w:rPr>
          <w:rFonts w:cs="Times New Roman"/>
        </w:rPr>
        <w:lastRenderedPageBreak/>
        <w:t xml:space="preserve">Lactate dehydrogenase (LDH) plays a central role in anaerobic glycolysis by catalyzing the reversible conversion of pyruvate to lactate, with simultaneous oxidation of NADH to NAD⁺ </w:t>
      </w:r>
      <w:r w:rsidRPr="00CD236C">
        <w:rPr>
          <w:rFonts w:cs="Times New Roman"/>
        </w:rPr>
        <w:t>(</w:t>
      </w:r>
      <w:r w:rsidR="00CD236C" w:rsidRPr="00AE5105">
        <w:rPr>
          <w:rFonts w:eastAsia="Times New Roman" w:cs="Times New Roman"/>
        </w:rPr>
        <w:t>Farhana &amp; Lappin,</w:t>
      </w:r>
      <w:r w:rsidR="00CD236C">
        <w:rPr>
          <w:rFonts w:eastAsia="Times New Roman" w:cs="Times New Roman"/>
        </w:rPr>
        <w:t xml:space="preserve"> </w:t>
      </w:r>
      <w:r w:rsidR="00CD236C" w:rsidRPr="00AE5105">
        <w:rPr>
          <w:rFonts w:eastAsia="Times New Roman" w:cs="Times New Roman"/>
        </w:rPr>
        <w:t>2023</w:t>
      </w:r>
      <w:r w:rsidRPr="00CD236C">
        <w:rPr>
          <w:rFonts w:cs="Times New Roman"/>
        </w:rPr>
        <w:t>). During high-energy demand or oxygen-deprived states, such as intense muscular activity or ischemia,</w:t>
      </w:r>
      <w:r>
        <w:rPr>
          <w:rFonts w:cs="Times New Roman"/>
        </w:rPr>
        <w:t xml:space="preserve"> </w:t>
      </w:r>
      <w:r w:rsidRPr="00F65C47">
        <w:rPr>
          <w:rFonts w:cs="Times New Roman"/>
        </w:rPr>
        <w:t>glycolysis becomes the primary ATP source, and LDH facilitates continued glucose catabolism by preventing NADH accumulation (Semenza</w:t>
      </w:r>
      <w:r w:rsidR="00684BF0">
        <w:rPr>
          <w:rFonts w:cs="Times New Roman"/>
        </w:rPr>
        <w:t xml:space="preserve"> </w:t>
      </w:r>
      <w:r w:rsidR="00684BF0">
        <w:rPr>
          <w:rFonts w:cs="Times New Roman"/>
          <w:i/>
          <w:iCs/>
        </w:rPr>
        <w:t>et al.</w:t>
      </w:r>
      <w:r w:rsidRPr="00F65C47">
        <w:rPr>
          <w:rFonts w:cs="Times New Roman"/>
        </w:rPr>
        <w:t xml:space="preserve">, </w:t>
      </w:r>
      <w:r w:rsidR="00684BF0">
        <w:rPr>
          <w:rFonts w:cs="Times New Roman"/>
        </w:rPr>
        <w:t>1996</w:t>
      </w:r>
      <w:r w:rsidRPr="00F65C47">
        <w:rPr>
          <w:rFonts w:cs="Times New Roman"/>
        </w:rPr>
        <w:t>).</w:t>
      </w:r>
    </w:p>
    <w:p w14:paraId="11EDF83E" w14:textId="77777777" w:rsidR="001A0C16" w:rsidRDefault="001A0C16" w:rsidP="00EF0641">
      <w:pPr>
        <w:spacing w:after="0" w:line="360" w:lineRule="auto"/>
        <w:jc w:val="both"/>
        <w:rPr>
          <w:rFonts w:eastAsia="Times New Roman" w:cs="Times New Roman"/>
        </w:rPr>
      </w:pPr>
      <w:r w:rsidRPr="00E338DB">
        <w:rPr>
          <w:rFonts w:eastAsia="Times New Roman" w:cs="Times New Roman"/>
        </w:rPr>
        <w:t xml:space="preserve">In aging individuals, biochemical parameters may deviate from adult reference ranges due to age-related physiological changes, hence the need for periodic evaluations tailored to geriatric norms (Weinstein &amp; Anderson, 2010). In Nigeria, where geriatric health services are still developing, regular biochemical assessments can enhance early diagnosis, reduce disease burden, and improve quality of life for older adults (Ajayi &amp; Akpan, 2021). Furthermore, local population-based data are vital to establishing age-specific reference values that reflect genetic, environmental, and dietary factors unique to Nigerian elderly (Ogunniyi </w:t>
      </w:r>
      <w:r w:rsidRPr="00E85418">
        <w:rPr>
          <w:rFonts w:eastAsia="Times New Roman" w:cs="Times New Roman"/>
          <w:i/>
        </w:rPr>
        <w:t>et al.,</w:t>
      </w:r>
      <w:r w:rsidRPr="00E338DB">
        <w:rPr>
          <w:rFonts w:eastAsia="Times New Roman" w:cs="Times New Roman"/>
        </w:rPr>
        <w:t xml:space="preserve"> 2001).</w:t>
      </w:r>
    </w:p>
    <w:p w14:paraId="5727FB40" w14:textId="110C2A21" w:rsidR="003471D2" w:rsidRDefault="003471D2" w:rsidP="00EF0641">
      <w:pPr>
        <w:spacing w:after="0" w:line="360" w:lineRule="auto"/>
        <w:jc w:val="both"/>
        <w:rPr>
          <w:rFonts w:cs="Times New Roman"/>
        </w:rPr>
      </w:pPr>
      <w:r>
        <w:rPr>
          <w:rFonts w:cs="Times New Roman"/>
        </w:rPr>
        <w:t>This study therefore aims t</w:t>
      </w:r>
      <w:r w:rsidRPr="00C93F48">
        <w:rPr>
          <w:rFonts w:cs="Times New Roman"/>
        </w:rPr>
        <w:t xml:space="preserve">o evaluate the activities of creatinine kinase (CK) and lactate dehydrogenase (LDH) in apparently healthy </w:t>
      </w:r>
      <w:r>
        <w:rPr>
          <w:rFonts w:cs="Times New Roman"/>
        </w:rPr>
        <w:t xml:space="preserve">geriatrics in </w:t>
      </w:r>
      <w:proofErr w:type="spellStart"/>
      <w:r>
        <w:rPr>
          <w:rFonts w:cs="Times New Roman"/>
        </w:rPr>
        <w:t>Ekpoma</w:t>
      </w:r>
      <w:proofErr w:type="spellEnd"/>
      <w:r>
        <w:rPr>
          <w:rFonts w:cs="Times New Roman"/>
        </w:rPr>
        <w:t>, Edo State.</w:t>
      </w:r>
    </w:p>
    <w:p w14:paraId="549ED6BC" w14:textId="77777777" w:rsidR="00C27574" w:rsidRDefault="00C27574" w:rsidP="00EF0641">
      <w:pPr>
        <w:spacing w:after="0" w:line="360" w:lineRule="auto"/>
        <w:jc w:val="both"/>
        <w:rPr>
          <w:rFonts w:cs="Times New Roman"/>
        </w:rPr>
      </w:pPr>
    </w:p>
    <w:p w14:paraId="13323B82" w14:textId="4575D5FB" w:rsidR="003471D2" w:rsidRPr="00C93F48" w:rsidRDefault="003471D2" w:rsidP="00EF0641">
      <w:pPr>
        <w:spacing w:after="0" w:line="360" w:lineRule="auto"/>
        <w:jc w:val="both"/>
        <w:rPr>
          <w:rFonts w:cs="Times New Roman"/>
        </w:rPr>
      </w:pPr>
      <w:r w:rsidRPr="003471D2">
        <w:rPr>
          <w:rFonts w:cs="Times New Roman"/>
          <w:b/>
          <w:bCs/>
        </w:rPr>
        <w:t>MATERIALS AND METHODS</w:t>
      </w:r>
    </w:p>
    <w:p w14:paraId="05ACAD61" w14:textId="77777777" w:rsidR="00F569D7" w:rsidRDefault="00F569D7" w:rsidP="00EF0641">
      <w:pPr>
        <w:spacing w:after="0" w:line="360" w:lineRule="auto"/>
        <w:jc w:val="both"/>
        <w:rPr>
          <w:rFonts w:cs="Times New Roman"/>
        </w:rPr>
      </w:pPr>
      <w:r w:rsidRPr="003B74B3">
        <w:rPr>
          <w:rFonts w:cs="Times New Roman"/>
          <w:b/>
          <w:bCs/>
        </w:rPr>
        <w:t>Study Area</w:t>
      </w:r>
    </w:p>
    <w:p w14:paraId="571B8E1E" w14:textId="2AC6DBC5" w:rsidR="003471D2" w:rsidRDefault="00F569D7" w:rsidP="00EF0641">
      <w:pPr>
        <w:spacing w:after="0" w:line="360" w:lineRule="auto"/>
        <w:jc w:val="both"/>
        <w:rPr>
          <w:rFonts w:eastAsia="Times New Roman" w:cs="Times New Roman"/>
        </w:rPr>
      </w:pPr>
      <w:r w:rsidRPr="00F569D7">
        <w:rPr>
          <w:rFonts w:eastAsia="Times New Roman" w:cs="Times New Roman"/>
        </w:rPr>
        <w:t xml:space="preserve">The study was carried out in </w:t>
      </w:r>
      <w:proofErr w:type="spellStart"/>
      <w:r w:rsidRPr="00F569D7">
        <w:rPr>
          <w:rFonts w:eastAsia="Times New Roman" w:cs="Times New Roman"/>
        </w:rPr>
        <w:t>Ekpoma</w:t>
      </w:r>
      <w:proofErr w:type="spellEnd"/>
      <w:r w:rsidRPr="00F569D7">
        <w:rPr>
          <w:rFonts w:eastAsia="Times New Roman" w:cs="Times New Roman"/>
        </w:rPr>
        <w:t xml:space="preserve">, the administrative center of Esan West Local Government Area in Edo State, Nigeria, with Ambrose Alli University serving as the specific study location. </w:t>
      </w:r>
      <w:proofErr w:type="spellStart"/>
      <w:r w:rsidRPr="00F569D7">
        <w:rPr>
          <w:rFonts w:eastAsia="Times New Roman" w:cs="Times New Roman"/>
        </w:rPr>
        <w:t>Ekpoma</w:t>
      </w:r>
      <w:proofErr w:type="spellEnd"/>
      <w:r w:rsidRPr="00F569D7">
        <w:rPr>
          <w:rFonts w:eastAsia="Times New Roman" w:cs="Times New Roman"/>
        </w:rPr>
        <w:t xml:space="preserve"> is geographically located between latitudes 6°43′–6°45′N and longitudes 6°5′–6°8′E, within the rainforest–savanna transitional zone of South-South Nigeria. The town has experienced population growth, increasing from 89,628 in 1991 to 127,718 in 2006, and is inhabited by a diverse population including academics, students, civil servants, farmers, artisans, and traders. </w:t>
      </w:r>
      <w:proofErr w:type="spellStart"/>
      <w:r w:rsidRPr="00F569D7">
        <w:rPr>
          <w:rFonts w:eastAsia="Times New Roman" w:cs="Times New Roman"/>
        </w:rPr>
        <w:t>Ekpoma</w:t>
      </w:r>
      <w:proofErr w:type="spellEnd"/>
      <w:r w:rsidRPr="00F569D7">
        <w:rPr>
          <w:rFonts w:eastAsia="Times New Roman" w:cs="Times New Roman"/>
        </w:rPr>
        <w:t xml:space="preserve"> comprises several notable quarters and is recognized for its academic importance due to the presence of Ambrose Alli University.</w:t>
      </w:r>
    </w:p>
    <w:p w14:paraId="34A20F24"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Study Population</w:t>
      </w:r>
    </w:p>
    <w:p w14:paraId="482BAE52" w14:textId="77777777" w:rsidR="00F569D7" w:rsidRPr="00443A45" w:rsidRDefault="00F569D7" w:rsidP="00EF0641">
      <w:pPr>
        <w:spacing w:after="0" w:line="360" w:lineRule="auto"/>
        <w:jc w:val="both"/>
        <w:rPr>
          <w:rFonts w:eastAsia="Times New Roman" w:cs="Times New Roman"/>
          <w:color w:val="EE0000"/>
        </w:rPr>
      </w:pPr>
      <w:r w:rsidRPr="00F569D7">
        <w:rPr>
          <w:rFonts w:eastAsia="Times New Roman" w:cs="Times New Roman"/>
        </w:rPr>
        <w:t xml:space="preserve">A total of two hundred (200) apparently healthy geriatric individuals aged 65 years and above </w:t>
      </w:r>
      <w:r w:rsidRPr="00443A45">
        <w:rPr>
          <w:rFonts w:eastAsia="Times New Roman" w:cs="Times New Roman"/>
          <w:color w:val="EE0000"/>
        </w:rPr>
        <w:t xml:space="preserve">will be </w:t>
      </w:r>
      <w:r w:rsidRPr="00F569D7">
        <w:rPr>
          <w:rFonts w:eastAsia="Times New Roman" w:cs="Times New Roman"/>
        </w:rPr>
        <w:t xml:space="preserve">recruited for this study. Participants </w:t>
      </w:r>
      <w:r w:rsidRPr="00443A45">
        <w:rPr>
          <w:rFonts w:eastAsia="Times New Roman" w:cs="Times New Roman"/>
          <w:color w:val="EE0000"/>
        </w:rPr>
        <w:t xml:space="preserve">will be </w:t>
      </w:r>
      <w:r w:rsidRPr="00F569D7">
        <w:rPr>
          <w:rFonts w:eastAsia="Times New Roman" w:cs="Times New Roman"/>
        </w:rPr>
        <w:t xml:space="preserve">randomly selected from various communities in </w:t>
      </w:r>
      <w:proofErr w:type="spellStart"/>
      <w:r w:rsidRPr="00F569D7">
        <w:rPr>
          <w:rFonts w:eastAsia="Times New Roman" w:cs="Times New Roman"/>
        </w:rPr>
        <w:t>Ekpoma</w:t>
      </w:r>
      <w:proofErr w:type="spellEnd"/>
      <w:r w:rsidRPr="00F569D7">
        <w:rPr>
          <w:rFonts w:eastAsia="Times New Roman" w:cs="Times New Roman"/>
        </w:rPr>
        <w:t xml:space="preserve">, including those affiliated with Ambrose Alli University. </w:t>
      </w:r>
      <w:r w:rsidRPr="00443A45">
        <w:rPr>
          <w:rFonts w:eastAsia="Times New Roman" w:cs="Times New Roman"/>
          <w:color w:val="EE0000"/>
        </w:rPr>
        <w:t>These individuals must not have any current diagnosis of chronic diseases or be under treatment for any metabolic or muscular disorder.</w:t>
      </w:r>
    </w:p>
    <w:p w14:paraId="4ECB5C40" w14:textId="5D7D3F5F"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lastRenderedPageBreak/>
        <w:t>Ethical Approval</w:t>
      </w:r>
    </w:p>
    <w:p w14:paraId="6A9EE2A2"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Ethical approval was obtained from the Health Research Ethics Committee of Ambrose Alli University, </w:t>
      </w:r>
      <w:proofErr w:type="spellStart"/>
      <w:r w:rsidRPr="00F569D7">
        <w:rPr>
          <w:rFonts w:eastAsia="Times New Roman" w:cs="Times New Roman"/>
        </w:rPr>
        <w:t>Ekpoma</w:t>
      </w:r>
      <w:proofErr w:type="spellEnd"/>
      <w:r w:rsidRPr="00F569D7">
        <w:rPr>
          <w:rFonts w:eastAsia="Times New Roman" w:cs="Times New Roman"/>
        </w:rPr>
        <w:t xml:space="preserve">. Participants </w:t>
      </w:r>
      <w:r w:rsidRPr="00443A45">
        <w:rPr>
          <w:rFonts w:eastAsia="Times New Roman" w:cs="Times New Roman"/>
          <w:color w:val="EE0000"/>
        </w:rPr>
        <w:t xml:space="preserve">will be </w:t>
      </w:r>
      <w:r w:rsidRPr="00F569D7">
        <w:rPr>
          <w:rFonts w:eastAsia="Times New Roman" w:cs="Times New Roman"/>
        </w:rPr>
        <w:t>provided with informed consent forms that explain the study's purpose, procedures, benefits, and risks. Only individuals who provide written consent was enrolled in the study. All data were kept confidential and used strictly for academic and research purposes.</w:t>
      </w:r>
    </w:p>
    <w:p w14:paraId="6C694374" w14:textId="5688E9C6"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Research Design</w:t>
      </w:r>
    </w:p>
    <w:p w14:paraId="1D4DBAD8"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The study was </w:t>
      </w:r>
      <w:proofErr w:type="gramStart"/>
      <w:r w:rsidRPr="002E0941">
        <w:rPr>
          <w:rFonts w:eastAsia="Times New Roman" w:cs="Times New Roman"/>
          <w:color w:val="EE0000"/>
        </w:rPr>
        <w:t>adopt</w:t>
      </w:r>
      <w:proofErr w:type="gramEnd"/>
      <w:r w:rsidRPr="00F569D7">
        <w:rPr>
          <w:rFonts w:eastAsia="Times New Roman" w:cs="Times New Roman"/>
        </w:rPr>
        <w:t xml:space="preserve"> a cross-sectional design, enabling the evaluation of serum CK and LDH enzyme activities among apparently healthy geriatrics at a specific point in time. This design is suitable for identifying variations related to age and gender without follow-up or interventions.</w:t>
      </w:r>
    </w:p>
    <w:p w14:paraId="4A05B421" w14:textId="4474F933"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Size Determination</w:t>
      </w:r>
    </w:p>
    <w:p w14:paraId="57DC30A6"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The sample size was determined using the formula for estimating a proportion in a cross-sectional study:</w:t>
      </w:r>
    </w:p>
    <w:p w14:paraId="35434844"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(Z²Pq) / d²</w:t>
      </w:r>
    </w:p>
    <w:p w14:paraId="71382B1F"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Where:</w:t>
      </w:r>
    </w:p>
    <w:p w14:paraId="12DB3CF9"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Z = 1.96 (confidence level at 95%)</w:t>
      </w:r>
    </w:p>
    <w:p w14:paraId="7FBEE7E8" w14:textId="77777777" w:rsidR="00F569D7" w:rsidRPr="00443A45" w:rsidRDefault="00F569D7" w:rsidP="00EF0641">
      <w:pPr>
        <w:numPr>
          <w:ilvl w:val="0"/>
          <w:numId w:val="1"/>
        </w:numPr>
        <w:spacing w:after="0" w:line="360" w:lineRule="auto"/>
        <w:jc w:val="both"/>
        <w:rPr>
          <w:rFonts w:eastAsia="Times New Roman" w:cs="Times New Roman"/>
          <w:color w:val="EE0000"/>
        </w:rPr>
      </w:pPr>
      <w:r w:rsidRPr="00F569D7">
        <w:rPr>
          <w:rFonts w:eastAsia="Times New Roman" w:cs="Times New Roman"/>
        </w:rPr>
        <w:t>P = prevalence of geriatrics = 20% = 0.20</w:t>
      </w:r>
      <w:r w:rsidRPr="00443A45">
        <w:rPr>
          <w:rFonts w:eastAsia="Times New Roman" w:cs="Times New Roman"/>
          <w:bCs/>
          <w:color w:val="EE0000"/>
        </w:rPr>
        <w:t>(Okafor &amp;</w:t>
      </w:r>
      <w:proofErr w:type="spellStart"/>
      <w:r w:rsidRPr="00443A45">
        <w:rPr>
          <w:rFonts w:eastAsia="Times New Roman" w:cs="Times New Roman"/>
          <w:bCs/>
          <w:color w:val="EE0000"/>
        </w:rPr>
        <w:t>Igbinoba</w:t>
      </w:r>
      <w:proofErr w:type="spellEnd"/>
      <w:r w:rsidRPr="00443A45">
        <w:rPr>
          <w:rFonts w:eastAsia="Times New Roman" w:cs="Times New Roman"/>
          <w:bCs/>
          <w:color w:val="EE0000"/>
        </w:rPr>
        <w:t>, 2018)</w:t>
      </w:r>
    </w:p>
    <w:p w14:paraId="59D3AC1C"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q = 1 – P = 0.80</w:t>
      </w:r>
    </w:p>
    <w:p w14:paraId="287E9FB1"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d = margin of error = 0.08</w:t>
      </w:r>
    </w:p>
    <w:p w14:paraId="1CC103E6"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(1.96² × 0.20 × 0.80) / 0.08²</w:t>
      </w:r>
    </w:p>
    <w:p w14:paraId="33BF43AE"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200</w:t>
      </w:r>
    </w:p>
    <w:p w14:paraId="4B943BBC" w14:textId="77777777" w:rsidR="00F569D7" w:rsidRPr="006575AF" w:rsidRDefault="00F569D7" w:rsidP="00EF0641">
      <w:pPr>
        <w:spacing w:after="0" w:line="360" w:lineRule="auto"/>
        <w:jc w:val="both"/>
        <w:rPr>
          <w:rFonts w:eastAsia="Times New Roman" w:cs="Times New Roman"/>
          <w:color w:val="EE0000"/>
        </w:rPr>
      </w:pPr>
      <w:r w:rsidRPr="00F569D7">
        <w:rPr>
          <w:rFonts w:eastAsia="Times New Roman" w:cs="Times New Roman"/>
        </w:rPr>
        <w:t xml:space="preserve">To account for potential attrition or unusable samples, the sample size will be rounded to 200 participants with </w:t>
      </w:r>
      <w:r w:rsidRPr="006575AF">
        <w:rPr>
          <w:rFonts w:eastAsia="Times New Roman" w:cs="Times New Roman"/>
          <w:color w:val="EE0000"/>
        </w:rPr>
        <w:t>100 adult controls ranging from 20 to 40 years and healthy geriatrics individuals    from age 65 and above.</w:t>
      </w:r>
    </w:p>
    <w:p w14:paraId="10C466C1" w14:textId="5293A5C9"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Inclusion Criteria</w:t>
      </w:r>
    </w:p>
    <w:p w14:paraId="59A6AA37"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Individuals aged 65 years and above.</w:t>
      </w:r>
    </w:p>
    <w:p w14:paraId="69DCF158"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Apparently healthy geriatrics without known chronic illness.</w:t>
      </w:r>
    </w:p>
    <w:p w14:paraId="5C23B65A"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Participants who provide informed consent.</w:t>
      </w:r>
    </w:p>
    <w:p w14:paraId="61177E6C"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Adult Individuals age 20 to 40 will be use as Control</w:t>
      </w:r>
    </w:p>
    <w:p w14:paraId="5D59EC5E" w14:textId="0A90081B"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Exclusion Criteria</w:t>
      </w:r>
    </w:p>
    <w:p w14:paraId="5DCDCB02"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Individuals younger than 65 years.</w:t>
      </w:r>
    </w:p>
    <w:p w14:paraId="3AF1E50B"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lastRenderedPageBreak/>
        <w:t>Those with diagnosed muscular, cardiac, or hepatic diseases.</w:t>
      </w:r>
    </w:p>
    <w:p w14:paraId="6CEC9E40"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Individuals on medications known to affect CK or LDH activity.</w:t>
      </w:r>
    </w:p>
    <w:p w14:paraId="4C7FF37D"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Those who decline to give informed consent.</w:t>
      </w:r>
    </w:p>
    <w:p w14:paraId="63ACCE29" w14:textId="6FC8EF44"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Collection</w:t>
      </w:r>
    </w:p>
    <w:p w14:paraId="776DED3B"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Five milliliters (5 mL) of venous blood was drawn aseptically from each participant using sterile syringes. The blood was collected into plain and Lithium heparin bottles. The samples in the heparin bottles </w:t>
      </w:r>
      <w:r w:rsidRPr="005F19EF">
        <w:rPr>
          <w:rFonts w:eastAsia="Times New Roman" w:cs="Times New Roman"/>
          <w:color w:val="EE0000"/>
        </w:rPr>
        <w:t xml:space="preserve">will be </w:t>
      </w:r>
      <w:r w:rsidRPr="00F569D7">
        <w:rPr>
          <w:rFonts w:eastAsia="Times New Roman" w:cs="Times New Roman"/>
        </w:rPr>
        <w:t xml:space="preserve">used for enzymatic assays, while those in plain bottles </w:t>
      </w:r>
      <w:r w:rsidRPr="005F19EF">
        <w:rPr>
          <w:rFonts w:eastAsia="Times New Roman" w:cs="Times New Roman"/>
          <w:color w:val="EE0000"/>
        </w:rPr>
        <w:t xml:space="preserve">will be </w:t>
      </w:r>
      <w:r w:rsidRPr="00F569D7">
        <w:rPr>
          <w:rFonts w:eastAsia="Times New Roman" w:cs="Times New Roman"/>
        </w:rPr>
        <w:t xml:space="preserve">centrifuged to obtain serum for further analysis. All samples </w:t>
      </w:r>
      <w:r w:rsidRPr="005F19EF">
        <w:rPr>
          <w:rFonts w:eastAsia="Times New Roman" w:cs="Times New Roman"/>
          <w:color w:val="EE0000"/>
        </w:rPr>
        <w:t xml:space="preserve">will be </w:t>
      </w:r>
      <w:r w:rsidRPr="00F569D7">
        <w:rPr>
          <w:rFonts w:eastAsia="Times New Roman" w:cs="Times New Roman"/>
        </w:rPr>
        <w:t>kept at 4°C and analyzed within 6 hours of collection.</w:t>
      </w:r>
    </w:p>
    <w:p w14:paraId="4F32F7AE" w14:textId="2036C24E"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Analysis</w:t>
      </w:r>
    </w:p>
    <w:p w14:paraId="56F69572" w14:textId="3F8D8FC3"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Blood samples </w:t>
      </w:r>
      <w:r w:rsidRPr="005F19EF">
        <w:rPr>
          <w:rFonts w:eastAsia="Times New Roman" w:cs="Times New Roman"/>
          <w:color w:val="EE0000"/>
        </w:rPr>
        <w:t xml:space="preserve">will be </w:t>
      </w:r>
      <w:r w:rsidRPr="00F569D7">
        <w:rPr>
          <w:rFonts w:eastAsia="Times New Roman" w:cs="Times New Roman"/>
        </w:rPr>
        <w:t>analyzed to determine the serum levels of Creatinine Kinase (CK) and Lactate Dehydrogenase (LDH).</w:t>
      </w:r>
    </w:p>
    <w:p w14:paraId="4CD023BC" w14:textId="3AFAB8BA"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Laboratory Analysis for Creatinine Kinase (CK)</w:t>
      </w:r>
    </w:p>
    <w:p w14:paraId="67F7BDA9" w14:textId="77777777" w:rsidR="00F569D7" w:rsidRPr="005F19EF" w:rsidRDefault="00F569D7" w:rsidP="00EF0641">
      <w:pPr>
        <w:spacing w:after="0" w:line="360" w:lineRule="auto"/>
        <w:jc w:val="both"/>
        <w:rPr>
          <w:rFonts w:eastAsia="Times New Roman" w:cs="Times New Roman"/>
          <w:color w:val="EE0000"/>
        </w:rPr>
      </w:pPr>
      <w:r w:rsidRPr="005F19EF">
        <w:rPr>
          <w:rFonts w:eastAsia="Times New Roman" w:cs="Times New Roman"/>
          <w:b/>
          <w:bCs/>
          <w:color w:val="EE0000"/>
        </w:rPr>
        <w:t>Principle:</w:t>
      </w:r>
      <w:r w:rsidRPr="005F19EF">
        <w:rPr>
          <w:rFonts w:eastAsia="Times New Roman" w:cs="Times New Roman"/>
          <w:color w:val="EE0000"/>
        </w:rPr>
        <w:t xml:space="preserve"> The CK assay is based on the enzyme’s ability to catalyze the reversible phosphorylation of creatine using ATP. The rate of NADPH formation in a coupled reaction system is proportional to CK activity and is measured spectrophotometrically at 340 nm.</w:t>
      </w:r>
    </w:p>
    <w:p w14:paraId="2633D87C" w14:textId="77777777" w:rsidR="00F569D7" w:rsidRPr="005F19EF" w:rsidRDefault="00F569D7" w:rsidP="00EF0641">
      <w:pPr>
        <w:spacing w:after="0" w:line="360" w:lineRule="auto"/>
        <w:jc w:val="both"/>
        <w:rPr>
          <w:rFonts w:eastAsia="Times New Roman" w:cs="Times New Roman"/>
          <w:color w:val="EE0000"/>
        </w:rPr>
      </w:pPr>
      <w:r w:rsidRPr="005F19EF">
        <w:rPr>
          <w:rFonts w:eastAsia="Times New Roman" w:cs="Times New Roman"/>
          <w:b/>
          <w:bCs/>
          <w:color w:val="EE0000"/>
        </w:rPr>
        <w:t>Procedure:</w:t>
      </w:r>
    </w:p>
    <w:p w14:paraId="2E04C997" w14:textId="77777777" w:rsidR="00F569D7" w:rsidRPr="005F19EF" w:rsidRDefault="00F569D7" w:rsidP="00EF0641">
      <w:pPr>
        <w:numPr>
          <w:ilvl w:val="0"/>
          <w:numId w:val="4"/>
        </w:numPr>
        <w:spacing w:after="0" w:line="360" w:lineRule="auto"/>
        <w:jc w:val="both"/>
        <w:rPr>
          <w:rFonts w:eastAsia="Times New Roman" w:cs="Times New Roman"/>
          <w:color w:val="EE0000"/>
        </w:rPr>
      </w:pPr>
      <w:r w:rsidRPr="005F19EF">
        <w:rPr>
          <w:rFonts w:eastAsia="Times New Roman" w:cs="Times New Roman"/>
          <w:color w:val="EE0000"/>
        </w:rPr>
        <w:t>Centrifuge collected blood at 3000 rpm for 10 minutes to obtain plasma.</w:t>
      </w:r>
    </w:p>
    <w:p w14:paraId="08B676B5" w14:textId="77777777" w:rsidR="00F569D7" w:rsidRPr="005F19EF" w:rsidRDefault="00F569D7" w:rsidP="00EF0641">
      <w:pPr>
        <w:numPr>
          <w:ilvl w:val="0"/>
          <w:numId w:val="4"/>
        </w:numPr>
        <w:spacing w:after="0" w:line="360" w:lineRule="auto"/>
        <w:jc w:val="both"/>
        <w:rPr>
          <w:rFonts w:eastAsia="Times New Roman" w:cs="Times New Roman"/>
          <w:color w:val="EE0000"/>
        </w:rPr>
      </w:pPr>
      <w:r w:rsidRPr="005F19EF">
        <w:rPr>
          <w:rFonts w:eastAsia="Times New Roman" w:cs="Times New Roman"/>
          <w:color w:val="EE0000"/>
        </w:rPr>
        <w:t>Prepare the CK reagent according to the kit manufacturer’s instructions.</w:t>
      </w:r>
    </w:p>
    <w:p w14:paraId="5AF4B0DB" w14:textId="77777777" w:rsidR="00F569D7" w:rsidRPr="005F19EF" w:rsidRDefault="00F569D7" w:rsidP="00EF0641">
      <w:pPr>
        <w:numPr>
          <w:ilvl w:val="0"/>
          <w:numId w:val="4"/>
        </w:numPr>
        <w:spacing w:after="0" w:line="360" w:lineRule="auto"/>
        <w:jc w:val="both"/>
        <w:rPr>
          <w:rFonts w:eastAsia="Times New Roman" w:cs="Times New Roman"/>
          <w:color w:val="EE0000"/>
        </w:rPr>
      </w:pPr>
      <w:r w:rsidRPr="005F19EF">
        <w:rPr>
          <w:rFonts w:eastAsia="Times New Roman" w:cs="Times New Roman"/>
          <w:color w:val="EE0000"/>
        </w:rPr>
        <w:t>Pipette plasma and reagents into the cuvette as specified.</w:t>
      </w:r>
    </w:p>
    <w:p w14:paraId="783196C0" w14:textId="77777777" w:rsidR="00F569D7" w:rsidRPr="005F19EF" w:rsidRDefault="00F569D7" w:rsidP="00EF0641">
      <w:pPr>
        <w:numPr>
          <w:ilvl w:val="0"/>
          <w:numId w:val="4"/>
        </w:numPr>
        <w:spacing w:after="0" w:line="360" w:lineRule="auto"/>
        <w:jc w:val="both"/>
        <w:rPr>
          <w:rFonts w:eastAsia="Times New Roman" w:cs="Times New Roman"/>
          <w:color w:val="EE0000"/>
        </w:rPr>
      </w:pPr>
      <w:r w:rsidRPr="005F19EF">
        <w:rPr>
          <w:rFonts w:eastAsia="Times New Roman" w:cs="Times New Roman"/>
          <w:color w:val="EE0000"/>
        </w:rPr>
        <w:t>Incubate at 37°C for 1-5 minutes.</w:t>
      </w:r>
    </w:p>
    <w:p w14:paraId="217131BF" w14:textId="77777777" w:rsidR="00F569D7" w:rsidRPr="005F19EF" w:rsidRDefault="00F569D7" w:rsidP="00EF0641">
      <w:pPr>
        <w:numPr>
          <w:ilvl w:val="0"/>
          <w:numId w:val="4"/>
        </w:numPr>
        <w:spacing w:after="0" w:line="360" w:lineRule="auto"/>
        <w:jc w:val="both"/>
        <w:rPr>
          <w:rFonts w:eastAsia="Times New Roman" w:cs="Times New Roman"/>
          <w:color w:val="EE0000"/>
        </w:rPr>
      </w:pPr>
      <w:r w:rsidRPr="005F19EF">
        <w:rPr>
          <w:rFonts w:eastAsia="Times New Roman" w:cs="Times New Roman"/>
          <w:color w:val="EE0000"/>
        </w:rPr>
        <w:t>Measure absorbance at 340 nm.</w:t>
      </w:r>
    </w:p>
    <w:p w14:paraId="0E8E38BE" w14:textId="77777777" w:rsidR="00F569D7" w:rsidRPr="005F19EF" w:rsidRDefault="00F569D7" w:rsidP="00EF0641">
      <w:pPr>
        <w:numPr>
          <w:ilvl w:val="0"/>
          <w:numId w:val="4"/>
        </w:numPr>
        <w:spacing w:after="0" w:line="360" w:lineRule="auto"/>
        <w:jc w:val="both"/>
        <w:rPr>
          <w:rFonts w:eastAsia="Times New Roman" w:cs="Times New Roman"/>
          <w:color w:val="EE0000"/>
        </w:rPr>
      </w:pPr>
      <w:r w:rsidRPr="005F19EF">
        <w:rPr>
          <w:rFonts w:eastAsia="Times New Roman" w:cs="Times New Roman"/>
          <w:color w:val="EE0000"/>
        </w:rPr>
        <w:t>Calculate enzyme activity using the change in absorbance per minute.</w:t>
      </w:r>
    </w:p>
    <w:p w14:paraId="01238806" w14:textId="25CBA71D" w:rsidR="00F569D7" w:rsidRPr="005F19EF" w:rsidRDefault="00F569D7" w:rsidP="00EF0641">
      <w:pPr>
        <w:spacing w:after="0" w:line="360" w:lineRule="auto"/>
        <w:jc w:val="both"/>
        <w:rPr>
          <w:rFonts w:eastAsia="Times New Roman" w:cs="Times New Roman"/>
          <w:color w:val="EE0000"/>
        </w:rPr>
      </w:pPr>
      <w:r w:rsidRPr="005F19EF">
        <w:rPr>
          <w:rFonts w:eastAsia="Times New Roman" w:cs="Times New Roman"/>
          <w:b/>
          <w:bCs/>
          <w:color w:val="EE0000"/>
        </w:rPr>
        <w:t>Laboratory Analysis for Lactate Dehydrogenase (LDH)</w:t>
      </w:r>
    </w:p>
    <w:p w14:paraId="4B260E18" w14:textId="77777777" w:rsidR="00F569D7" w:rsidRPr="005F19EF" w:rsidRDefault="00F569D7" w:rsidP="00EF0641">
      <w:pPr>
        <w:spacing w:after="0" w:line="360" w:lineRule="auto"/>
        <w:jc w:val="both"/>
        <w:rPr>
          <w:rFonts w:eastAsia="Times New Roman" w:cs="Times New Roman"/>
          <w:color w:val="EE0000"/>
        </w:rPr>
      </w:pPr>
      <w:r w:rsidRPr="005F19EF">
        <w:rPr>
          <w:rFonts w:eastAsia="Times New Roman" w:cs="Times New Roman"/>
          <w:b/>
          <w:bCs/>
          <w:color w:val="EE0000"/>
        </w:rPr>
        <w:t>Principle:</w:t>
      </w:r>
      <w:r w:rsidRPr="005F19EF">
        <w:rPr>
          <w:rFonts w:eastAsia="Times New Roman" w:cs="Times New Roman"/>
          <w:color w:val="EE0000"/>
        </w:rPr>
        <w:t xml:space="preserve"> LDH catalyzes the interconversion of pyruvate and lactate with concurrent interconversion of NADH and NAD⁺. The decrease in NADH absorbance at 340 nm reflects LDH activity.</w:t>
      </w:r>
    </w:p>
    <w:p w14:paraId="0DF7863D" w14:textId="77777777" w:rsidR="00F569D7" w:rsidRPr="005F19EF" w:rsidRDefault="00F569D7" w:rsidP="00EF0641">
      <w:pPr>
        <w:spacing w:after="0" w:line="360" w:lineRule="auto"/>
        <w:jc w:val="both"/>
        <w:rPr>
          <w:rFonts w:eastAsia="Times New Roman" w:cs="Times New Roman"/>
          <w:color w:val="EE0000"/>
        </w:rPr>
      </w:pPr>
      <w:r w:rsidRPr="005F19EF">
        <w:rPr>
          <w:rFonts w:eastAsia="Times New Roman" w:cs="Times New Roman"/>
          <w:b/>
          <w:bCs/>
          <w:color w:val="EE0000"/>
        </w:rPr>
        <w:t>Procedure:</w:t>
      </w:r>
    </w:p>
    <w:p w14:paraId="6BE59718" w14:textId="77777777" w:rsidR="00F569D7" w:rsidRPr="005F19EF" w:rsidRDefault="00F569D7" w:rsidP="00EF0641">
      <w:pPr>
        <w:numPr>
          <w:ilvl w:val="0"/>
          <w:numId w:val="5"/>
        </w:numPr>
        <w:spacing w:after="0" w:line="360" w:lineRule="auto"/>
        <w:jc w:val="both"/>
        <w:rPr>
          <w:rFonts w:eastAsia="Times New Roman" w:cs="Times New Roman"/>
          <w:color w:val="EE0000"/>
        </w:rPr>
      </w:pPr>
      <w:r w:rsidRPr="005F19EF">
        <w:rPr>
          <w:rFonts w:eastAsia="Times New Roman" w:cs="Times New Roman"/>
          <w:color w:val="EE0000"/>
        </w:rPr>
        <w:t>Centrifuge blood samples and separate plasma.</w:t>
      </w:r>
    </w:p>
    <w:p w14:paraId="61E251C1" w14:textId="77777777" w:rsidR="00F569D7" w:rsidRPr="005F19EF" w:rsidRDefault="00F569D7" w:rsidP="00EF0641">
      <w:pPr>
        <w:numPr>
          <w:ilvl w:val="0"/>
          <w:numId w:val="5"/>
        </w:numPr>
        <w:spacing w:after="0" w:line="360" w:lineRule="auto"/>
        <w:jc w:val="both"/>
        <w:rPr>
          <w:rFonts w:eastAsia="Times New Roman" w:cs="Times New Roman"/>
          <w:color w:val="EE0000"/>
        </w:rPr>
      </w:pPr>
      <w:r w:rsidRPr="005F19EF">
        <w:rPr>
          <w:rFonts w:eastAsia="Times New Roman" w:cs="Times New Roman"/>
          <w:color w:val="EE0000"/>
        </w:rPr>
        <w:t>Prepare LDH reagent containing NADH and pyruvate.</w:t>
      </w:r>
    </w:p>
    <w:p w14:paraId="42673174" w14:textId="77777777" w:rsidR="00F569D7" w:rsidRPr="005F19EF" w:rsidRDefault="00F569D7" w:rsidP="00EF0641">
      <w:pPr>
        <w:numPr>
          <w:ilvl w:val="0"/>
          <w:numId w:val="5"/>
        </w:numPr>
        <w:spacing w:after="0" w:line="360" w:lineRule="auto"/>
        <w:jc w:val="both"/>
        <w:rPr>
          <w:rFonts w:eastAsia="Times New Roman" w:cs="Times New Roman"/>
          <w:color w:val="EE0000"/>
        </w:rPr>
      </w:pPr>
      <w:r w:rsidRPr="005F19EF">
        <w:rPr>
          <w:rFonts w:eastAsia="Times New Roman" w:cs="Times New Roman"/>
          <w:color w:val="EE0000"/>
        </w:rPr>
        <w:t>Mix plasma and reagents in a cuvette.</w:t>
      </w:r>
    </w:p>
    <w:p w14:paraId="0BE10EE7" w14:textId="77777777" w:rsidR="00F569D7" w:rsidRPr="005F19EF" w:rsidRDefault="00F569D7" w:rsidP="00EF0641">
      <w:pPr>
        <w:numPr>
          <w:ilvl w:val="0"/>
          <w:numId w:val="5"/>
        </w:numPr>
        <w:spacing w:after="0" w:line="360" w:lineRule="auto"/>
        <w:jc w:val="both"/>
        <w:rPr>
          <w:rFonts w:eastAsia="Times New Roman" w:cs="Times New Roman"/>
          <w:color w:val="EE0000"/>
        </w:rPr>
      </w:pPr>
      <w:r w:rsidRPr="005F19EF">
        <w:rPr>
          <w:rFonts w:eastAsia="Times New Roman" w:cs="Times New Roman"/>
          <w:color w:val="EE0000"/>
        </w:rPr>
        <w:lastRenderedPageBreak/>
        <w:t>Incubate at 37°C and record absorbance at 340 nm.</w:t>
      </w:r>
    </w:p>
    <w:p w14:paraId="54056CA3" w14:textId="77777777" w:rsidR="00F569D7" w:rsidRPr="005F19EF" w:rsidRDefault="00F569D7" w:rsidP="00EF0641">
      <w:pPr>
        <w:numPr>
          <w:ilvl w:val="0"/>
          <w:numId w:val="5"/>
        </w:numPr>
        <w:spacing w:after="0" w:line="360" w:lineRule="auto"/>
        <w:jc w:val="both"/>
        <w:rPr>
          <w:rFonts w:eastAsia="Times New Roman" w:cs="Times New Roman"/>
          <w:color w:val="EE0000"/>
        </w:rPr>
      </w:pPr>
      <w:r w:rsidRPr="005F19EF">
        <w:rPr>
          <w:rFonts w:eastAsia="Times New Roman" w:cs="Times New Roman"/>
          <w:color w:val="EE0000"/>
        </w:rPr>
        <w:t>Calculate enzyme activity from the decrease in absorbance.</w:t>
      </w:r>
    </w:p>
    <w:p w14:paraId="6F25964F" w14:textId="6772D5ED"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Statistical Analysis</w:t>
      </w:r>
    </w:p>
    <w:p w14:paraId="01BB5C12" w14:textId="736EB1A6" w:rsidR="009D4B76" w:rsidRPr="00EF0641" w:rsidRDefault="00F569D7" w:rsidP="00EF0641">
      <w:pPr>
        <w:spacing w:after="0" w:line="360" w:lineRule="auto"/>
        <w:jc w:val="both"/>
        <w:rPr>
          <w:rFonts w:eastAsia="Times New Roman" w:cs="Times New Roman"/>
        </w:rPr>
      </w:pPr>
      <w:r w:rsidRPr="00F569D7">
        <w:rPr>
          <w:rFonts w:eastAsia="Times New Roman" w:cs="Times New Roman"/>
        </w:rPr>
        <w:t xml:space="preserve">All data was processed using SPSS version 21. Results </w:t>
      </w:r>
      <w:r w:rsidRPr="005F19EF">
        <w:rPr>
          <w:rFonts w:eastAsia="Times New Roman" w:cs="Times New Roman"/>
          <w:color w:val="EE0000"/>
        </w:rPr>
        <w:t xml:space="preserve">will be </w:t>
      </w:r>
      <w:r w:rsidRPr="00F569D7">
        <w:rPr>
          <w:rFonts w:eastAsia="Times New Roman" w:cs="Times New Roman"/>
        </w:rPr>
        <w:t xml:space="preserve">presented as mean ± standard deviation (SD). Descriptive statistics </w:t>
      </w:r>
      <w:r w:rsidRPr="005F19EF">
        <w:rPr>
          <w:rFonts w:eastAsia="Times New Roman" w:cs="Times New Roman"/>
          <w:color w:val="EE0000"/>
        </w:rPr>
        <w:t xml:space="preserve">will be </w:t>
      </w:r>
      <w:r w:rsidRPr="00F569D7">
        <w:rPr>
          <w:rFonts w:eastAsia="Times New Roman" w:cs="Times New Roman"/>
        </w:rPr>
        <w:t xml:space="preserve">used to summarize demographic data. Comparisons of enzyme activities between age groups and genders </w:t>
      </w:r>
      <w:r w:rsidRPr="005F19EF">
        <w:rPr>
          <w:rFonts w:eastAsia="Times New Roman" w:cs="Times New Roman"/>
          <w:color w:val="EE0000"/>
        </w:rPr>
        <w:t xml:space="preserve">will be </w:t>
      </w:r>
      <w:r w:rsidRPr="00F569D7">
        <w:rPr>
          <w:rFonts w:eastAsia="Times New Roman" w:cs="Times New Roman"/>
        </w:rPr>
        <w:t xml:space="preserve">done using one-way ANOVA and Student’s t-test. A p-value of ≤0.05 </w:t>
      </w:r>
      <w:r w:rsidRPr="005F19EF">
        <w:rPr>
          <w:rFonts w:eastAsia="Times New Roman" w:cs="Times New Roman"/>
          <w:color w:val="EE0000"/>
        </w:rPr>
        <w:t xml:space="preserve">will be </w:t>
      </w:r>
      <w:r w:rsidRPr="00F569D7">
        <w:rPr>
          <w:rFonts w:eastAsia="Times New Roman" w:cs="Times New Roman"/>
        </w:rPr>
        <w:t>considered statistically significant.</w:t>
      </w:r>
    </w:p>
    <w:p w14:paraId="68B1B12D" w14:textId="0CB11D3D" w:rsidR="00F569D7" w:rsidRDefault="009D4B76" w:rsidP="00EF0641">
      <w:pPr>
        <w:spacing w:after="0" w:line="360" w:lineRule="auto"/>
        <w:jc w:val="both"/>
        <w:rPr>
          <w:rFonts w:eastAsia="Times New Roman" w:cs="Times New Roman"/>
          <w:b/>
          <w:bCs/>
        </w:rPr>
      </w:pPr>
      <w:r w:rsidRPr="009D4B76">
        <w:rPr>
          <w:rFonts w:eastAsia="Times New Roman" w:cs="Times New Roman"/>
          <w:b/>
          <w:bCs/>
        </w:rPr>
        <w:t>RESULTS</w:t>
      </w:r>
    </w:p>
    <w:p w14:paraId="24573BEA" w14:textId="3EEEF5C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Figure 1 shows the demographic characteristics of Geriatric study population. From the total of 100(100%) study participants, 46% were males while 52% were females. Males between the age group of 61 – 70 years made up 24% while the females made up 36% of the Geriatric population which was the highest representation. In the age group of 71 – 80 years, 18% were males while 10% were females. Males within the age group of 81 – 90 years made up 4% of the population, while females within the age group of 81 – 90 years were 4% of the population. Females &gt;90 years made up 4% of the population while no male was recorded in this age group. </w:t>
      </w:r>
    </w:p>
    <w:p w14:paraId="006DE957" w14:textId="77777777" w:rsidR="00EF0641" w:rsidRDefault="009D4B76" w:rsidP="00EF0641">
      <w:pPr>
        <w:spacing w:after="0" w:line="360" w:lineRule="auto"/>
        <w:jc w:val="both"/>
        <w:rPr>
          <w:rFonts w:eastAsia="Times New Roman" w:cs="Times New Roman"/>
          <w:b/>
        </w:rPr>
      </w:pPr>
      <w:r w:rsidRPr="009D4B76">
        <w:rPr>
          <w:rFonts w:eastAsia="Times New Roman" w:cs="Times New Roman"/>
          <w:noProof/>
        </w:rPr>
        <w:drawing>
          <wp:inline distT="0" distB="0" distL="0" distR="0" wp14:anchorId="6E399662" wp14:editId="324B2184">
            <wp:extent cx="5516880" cy="40919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87A9D5" w14:textId="6B72075D" w:rsidR="00EF0641" w:rsidRDefault="0069470F" w:rsidP="00EF0641">
      <w:pPr>
        <w:spacing w:after="0" w:line="360" w:lineRule="auto"/>
        <w:jc w:val="both"/>
        <w:rPr>
          <w:rFonts w:eastAsia="Times New Roman" w:cs="Times New Roman"/>
        </w:rPr>
      </w:pPr>
      <w:r w:rsidRPr="0069470F">
        <w:rPr>
          <w:rFonts w:eastAsia="Times New Roman" w:cs="Times New Roman"/>
          <w:b/>
        </w:rPr>
        <w:lastRenderedPageBreak/>
        <w:t>Figure 1</w:t>
      </w:r>
      <w:r w:rsidR="009D4B76" w:rsidRPr="009D4B76">
        <w:rPr>
          <w:rFonts w:eastAsia="Times New Roman" w:cs="Times New Roman"/>
        </w:rPr>
        <w:t>: Demographic characteristics of Geriatric study population</w:t>
      </w:r>
    </w:p>
    <w:p w14:paraId="3872EE16" w14:textId="336B043C"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1</w:t>
      </w:r>
      <w:r w:rsidRPr="009D4B76">
        <w:rPr>
          <w:rFonts w:eastAsia="Times New Roman" w:cs="Times New Roman"/>
        </w:rPr>
        <w:t>: Distribution of Creatine kinase and Lactate dehydrogenase levels among the study participants according to the normal range</w:t>
      </w:r>
    </w:p>
    <w:tbl>
      <w:tblPr>
        <w:tblStyle w:val="TableGrid"/>
        <w:tblpPr w:leftFromText="180" w:rightFromText="180" w:vertAnchor="text" w:horzAnchor="margin" w:tblpY="240"/>
        <w:tblW w:w="5000" w:type="pct"/>
        <w:tblLook w:val="04A0" w:firstRow="1" w:lastRow="0" w:firstColumn="1" w:lastColumn="0" w:noHBand="0" w:noVBand="1"/>
      </w:tblPr>
      <w:tblGrid>
        <w:gridCol w:w="776"/>
        <w:gridCol w:w="965"/>
        <w:gridCol w:w="1074"/>
        <w:gridCol w:w="1075"/>
        <w:gridCol w:w="43"/>
        <w:gridCol w:w="240"/>
        <w:gridCol w:w="487"/>
        <w:gridCol w:w="891"/>
        <w:gridCol w:w="1075"/>
        <w:gridCol w:w="1075"/>
        <w:gridCol w:w="358"/>
        <w:gridCol w:w="238"/>
        <w:gridCol w:w="174"/>
        <w:gridCol w:w="71"/>
        <w:gridCol w:w="818"/>
      </w:tblGrid>
      <w:tr w:rsidR="009D4B76" w:rsidRPr="009D4B76" w14:paraId="4CDD5953" w14:textId="77777777" w:rsidTr="0069470F">
        <w:trPr>
          <w:trHeight w:val="405"/>
        </w:trPr>
        <w:tc>
          <w:tcPr>
            <w:tcW w:w="415" w:type="pct"/>
            <w:tcBorders>
              <w:left w:val="nil"/>
              <w:bottom w:val="single" w:sz="4" w:space="0" w:color="auto"/>
              <w:right w:val="nil"/>
            </w:tcBorders>
            <w:vAlign w:val="bottom"/>
          </w:tcPr>
          <w:p w14:paraId="2C2484FB" w14:textId="77777777" w:rsidR="009D4B76" w:rsidRPr="009D4B76" w:rsidRDefault="009D4B76" w:rsidP="00EF0641">
            <w:pPr>
              <w:spacing w:after="0" w:line="360" w:lineRule="auto"/>
              <w:jc w:val="both"/>
              <w:rPr>
                <w:rFonts w:eastAsia="Times New Roman" w:cs="Times New Roman"/>
                <w:lang w:val="en-GB"/>
              </w:rPr>
            </w:pPr>
          </w:p>
        </w:tc>
        <w:tc>
          <w:tcPr>
            <w:tcW w:w="516" w:type="pct"/>
            <w:tcBorders>
              <w:left w:val="nil"/>
              <w:bottom w:val="single" w:sz="4" w:space="0" w:color="auto"/>
              <w:right w:val="nil"/>
            </w:tcBorders>
          </w:tcPr>
          <w:p w14:paraId="100E5380" w14:textId="77777777" w:rsidR="009D4B76" w:rsidRPr="009D4B76" w:rsidRDefault="009D4B76" w:rsidP="00EF0641">
            <w:pPr>
              <w:spacing w:after="0" w:line="360" w:lineRule="auto"/>
              <w:jc w:val="both"/>
              <w:rPr>
                <w:rFonts w:eastAsia="Times New Roman" w:cs="Times New Roman"/>
                <w:b/>
                <w:lang w:val="en-GB"/>
              </w:rPr>
            </w:pPr>
          </w:p>
        </w:tc>
        <w:tc>
          <w:tcPr>
            <w:tcW w:w="1171" w:type="pct"/>
            <w:gridSpan w:val="3"/>
            <w:tcBorders>
              <w:left w:val="nil"/>
              <w:bottom w:val="single" w:sz="4" w:space="0" w:color="auto"/>
              <w:right w:val="nil"/>
            </w:tcBorders>
            <w:vAlign w:val="bottom"/>
          </w:tcPr>
          <w:p w14:paraId="10A5FF7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CK (u/L)</w:t>
            </w:r>
          </w:p>
        </w:tc>
        <w:tc>
          <w:tcPr>
            <w:tcW w:w="128" w:type="pct"/>
            <w:tcBorders>
              <w:left w:val="nil"/>
              <w:bottom w:val="single" w:sz="4" w:space="0" w:color="auto"/>
              <w:right w:val="nil"/>
            </w:tcBorders>
            <w:vAlign w:val="bottom"/>
          </w:tcPr>
          <w:p w14:paraId="4B4620EB" w14:textId="77777777" w:rsidR="009D4B76" w:rsidRPr="009D4B76" w:rsidRDefault="009D4B76" w:rsidP="00EF0641">
            <w:pPr>
              <w:spacing w:after="0" w:line="360" w:lineRule="auto"/>
              <w:jc w:val="both"/>
              <w:rPr>
                <w:rFonts w:eastAsia="Times New Roman" w:cs="Times New Roman"/>
                <w:b/>
                <w:lang w:val="en-GB"/>
              </w:rPr>
            </w:pPr>
          </w:p>
        </w:tc>
        <w:tc>
          <w:tcPr>
            <w:tcW w:w="260" w:type="pct"/>
            <w:tcBorders>
              <w:left w:val="nil"/>
              <w:bottom w:val="single" w:sz="4" w:space="0" w:color="auto"/>
              <w:right w:val="nil"/>
            </w:tcBorders>
          </w:tcPr>
          <w:p w14:paraId="5C69A30C" w14:textId="77777777" w:rsidR="009D4B76" w:rsidRPr="009D4B76" w:rsidRDefault="009D4B76" w:rsidP="00EF0641">
            <w:pPr>
              <w:spacing w:after="0" w:line="360" w:lineRule="auto"/>
              <w:jc w:val="both"/>
              <w:rPr>
                <w:rFonts w:eastAsia="Times New Roman" w:cs="Times New Roman"/>
                <w:b/>
                <w:lang w:val="en-GB"/>
              </w:rPr>
            </w:pPr>
          </w:p>
        </w:tc>
        <w:tc>
          <w:tcPr>
            <w:tcW w:w="476" w:type="pct"/>
            <w:tcBorders>
              <w:left w:val="nil"/>
              <w:bottom w:val="single" w:sz="4" w:space="0" w:color="auto"/>
              <w:right w:val="nil"/>
            </w:tcBorders>
          </w:tcPr>
          <w:p w14:paraId="5BA0EEBB" w14:textId="77777777" w:rsidR="009D4B76" w:rsidRPr="009D4B76" w:rsidRDefault="009D4B76" w:rsidP="00EF0641">
            <w:pPr>
              <w:spacing w:after="0" w:line="360" w:lineRule="auto"/>
              <w:jc w:val="both"/>
              <w:rPr>
                <w:rFonts w:eastAsia="Times New Roman" w:cs="Times New Roman"/>
                <w:b/>
                <w:lang w:val="en-GB"/>
              </w:rPr>
            </w:pPr>
          </w:p>
        </w:tc>
        <w:tc>
          <w:tcPr>
            <w:tcW w:w="1339" w:type="pct"/>
            <w:gridSpan w:val="3"/>
            <w:tcBorders>
              <w:left w:val="nil"/>
              <w:bottom w:val="single" w:sz="4" w:space="0" w:color="auto"/>
              <w:right w:val="nil"/>
            </w:tcBorders>
            <w:vAlign w:val="bottom"/>
          </w:tcPr>
          <w:p w14:paraId="47F360F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LD (u/L)</w:t>
            </w:r>
          </w:p>
        </w:tc>
        <w:tc>
          <w:tcPr>
            <w:tcW w:w="127" w:type="pct"/>
            <w:tcBorders>
              <w:left w:val="nil"/>
              <w:bottom w:val="single" w:sz="4" w:space="0" w:color="auto"/>
              <w:right w:val="nil"/>
            </w:tcBorders>
            <w:vAlign w:val="bottom"/>
          </w:tcPr>
          <w:p w14:paraId="5EDAAB55" w14:textId="77777777" w:rsidR="009D4B76" w:rsidRPr="009D4B76" w:rsidRDefault="009D4B76" w:rsidP="00EF0641">
            <w:pPr>
              <w:spacing w:after="0" w:line="360" w:lineRule="auto"/>
              <w:jc w:val="both"/>
              <w:rPr>
                <w:rFonts w:eastAsia="Times New Roman" w:cs="Times New Roman"/>
                <w:lang w:val="en-GB"/>
              </w:rPr>
            </w:pPr>
          </w:p>
        </w:tc>
        <w:tc>
          <w:tcPr>
            <w:tcW w:w="131" w:type="pct"/>
            <w:gridSpan w:val="2"/>
            <w:tcBorders>
              <w:left w:val="nil"/>
              <w:bottom w:val="single" w:sz="4" w:space="0" w:color="auto"/>
              <w:right w:val="nil"/>
            </w:tcBorders>
          </w:tcPr>
          <w:p w14:paraId="05EBB50C" w14:textId="77777777" w:rsidR="009D4B76" w:rsidRPr="009D4B76" w:rsidRDefault="009D4B76" w:rsidP="00EF0641">
            <w:pPr>
              <w:spacing w:after="0" w:line="360" w:lineRule="auto"/>
              <w:jc w:val="both"/>
              <w:rPr>
                <w:rFonts w:eastAsia="Times New Roman" w:cs="Times New Roman"/>
                <w:lang w:val="en-GB"/>
              </w:rPr>
            </w:pPr>
          </w:p>
        </w:tc>
        <w:tc>
          <w:tcPr>
            <w:tcW w:w="437" w:type="pct"/>
            <w:tcBorders>
              <w:left w:val="nil"/>
              <w:bottom w:val="single" w:sz="4" w:space="0" w:color="auto"/>
              <w:right w:val="nil"/>
            </w:tcBorders>
          </w:tcPr>
          <w:p w14:paraId="3E8D46A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75D519E" w14:textId="77777777" w:rsidTr="0069470F">
        <w:trPr>
          <w:trHeight w:val="733"/>
        </w:trPr>
        <w:tc>
          <w:tcPr>
            <w:tcW w:w="415" w:type="pct"/>
            <w:tcBorders>
              <w:left w:val="nil"/>
              <w:bottom w:val="nil"/>
              <w:right w:val="nil"/>
            </w:tcBorders>
            <w:vAlign w:val="bottom"/>
          </w:tcPr>
          <w:p w14:paraId="62B8B65E"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61 - 70 years</w:t>
            </w:r>
          </w:p>
        </w:tc>
        <w:tc>
          <w:tcPr>
            <w:tcW w:w="516" w:type="pct"/>
            <w:tcBorders>
              <w:left w:val="nil"/>
              <w:bottom w:val="nil"/>
              <w:right w:val="nil"/>
            </w:tcBorders>
          </w:tcPr>
          <w:p w14:paraId="63391F98" w14:textId="77777777" w:rsidR="009D4B76" w:rsidRPr="009D4B76" w:rsidRDefault="009D4B76" w:rsidP="00EF0641">
            <w:pPr>
              <w:spacing w:after="0" w:line="360" w:lineRule="auto"/>
              <w:jc w:val="both"/>
              <w:rPr>
                <w:rFonts w:eastAsia="Times New Roman" w:cs="Times New Roman"/>
                <w:b/>
                <w:lang w:val="en-GB"/>
              </w:rPr>
            </w:pPr>
          </w:p>
        </w:tc>
        <w:tc>
          <w:tcPr>
            <w:tcW w:w="574" w:type="pct"/>
            <w:tcBorders>
              <w:left w:val="nil"/>
              <w:bottom w:val="nil"/>
              <w:right w:val="nil"/>
            </w:tcBorders>
            <w:vAlign w:val="bottom"/>
          </w:tcPr>
          <w:p w14:paraId="217DF63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w:t>
            </w:r>
          </w:p>
        </w:tc>
        <w:tc>
          <w:tcPr>
            <w:tcW w:w="574" w:type="pct"/>
            <w:tcBorders>
              <w:left w:val="nil"/>
              <w:bottom w:val="nil"/>
              <w:right w:val="nil"/>
            </w:tcBorders>
            <w:vAlign w:val="bottom"/>
          </w:tcPr>
          <w:p w14:paraId="785A85D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w:t>
            </w:r>
          </w:p>
        </w:tc>
        <w:tc>
          <w:tcPr>
            <w:tcW w:w="411" w:type="pct"/>
            <w:gridSpan w:val="3"/>
            <w:tcBorders>
              <w:left w:val="nil"/>
              <w:bottom w:val="nil"/>
              <w:right w:val="nil"/>
            </w:tcBorders>
          </w:tcPr>
          <w:p w14:paraId="43CCC931" w14:textId="77777777" w:rsidR="009D4B76" w:rsidRPr="009D4B76" w:rsidRDefault="009D4B76" w:rsidP="00EF0641">
            <w:pPr>
              <w:spacing w:after="0" w:line="360" w:lineRule="auto"/>
              <w:jc w:val="both"/>
              <w:rPr>
                <w:rFonts w:eastAsia="Times New Roman" w:cs="Times New Roman"/>
                <w:b/>
                <w:lang w:val="en-GB"/>
              </w:rPr>
            </w:pPr>
          </w:p>
          <w:p w14:paraId="224F390A" w14:textId="77777777" w:rsidR="009D4B76" w:rsidRPr="009D4B76" w:rsidRDefault="009D4B76" w:rsidP="00EF0641">
            <w:pPr>
              <w:spacing w:after="0" w:line="360" w:lineRule="auto"/>
              <w:jc w:val="both"/>
              <w:rPr>
                <w:rFonts w:eastAsia="Times New Roman" w:cs="Times New Roman"/>
                <w:b/>
                <w:lang w:val="en-GB"/>
              </w:rPr>
            </w:pPr>
          </w:p>
          <w:p w14:paraId="544BFF1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χ2 </w:t>
            </w:r>
          </w:p>
        </w:tc>
        <w:tc>
          <w:tcPr>
            <w:tcW w:w="476" w:type="pct"/>
            <w:tcBorders>
              <w:left w:val="nil"/>
              <w:bottom w:val="nil"/>
              <w:right w:val="nil"/>
            </w:tcBorders>
          </w:tcPr>
          <w:p w14:paraId="0286C425" w14:textId="77777777" w:rsidR="009D4B76" w:rsidRPr="009D4B76" w:rsidRDefault="009D4B76" w:rsidP="00EF0641">
            <w:pPr>
              <w:spacing w:after="0" w:line="360" w:lineRule="auto"/>
              <w:jc w:val="both"/>
              <w:rPr>
                <w:rFonts w:eastAsia="Times New Roman" w:cs="Times New Roman"/>
                <w:b/>
                <w:lang w:val="en-GB"/>
              </w:rPr>
            </w:pPr>
          </w:p>
          <w:p w14:paraId="071F734C" w14:textId="77777777" w:rsidR="009D4B76" w:rsidRPr="009D4B76" w:rsidRDefault="009D4B76" w:rsidP="00EF0641">
            <w:pPr>
              <w:spacing w:after="0" w:line="360" w:lineRule="auto"/>
              <w:jc w:val="both"/>
              <w:rPr>
                <w:rFonts w:eastAsia="Times New Roman" w:cs="Times New Roman"/>
                <w:b/>
                <w:lang w:val="en-GB"/>
              </w:rPr>
            </w:pPr>
          </w:p>
          <w:p w14:paraId="5C96D26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c>
          <w:tcPr>
            <w:tcW w:w="574" w:type="pct"/>
            <w:tcBorders>
              <w:left w:val="nil"/>
              <w:bottom w:val="nil"/>
              <w:right w:val="nil"/>
            </w:tcBorders>
            <w:vAlign w:val="bottom"/>
          </w:tcPr>
          <w:p w14:paraId="21126ED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w:t>
            </w:r>
          </w:p>
        </w:tc>
        <w:tc>
          <w:tcPr>
            <w:tcW w:w="574" w:type="pct"/>
            <w:tcBorders>
              <w:left w:val="nil"/>
              <w:bottom w:val="nil"/>
              <w:right w:val="nil"/>
            </w:tcBorders>
            <w:vAlign w:val="bottom"/>
          </w:tcPr>
          <w:p w14:paraId="5B32BF7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w:t>
            </w:r>
          </w:p>
        </w:tc>
        <w:tc>
          <w:tcPr>
            <w:tcW w:w="411" w:type="pct"/>
            <w:gridSpan w:val="3"/>
            <w:tcBorders>
              <w:left w:val="nil"/>
              <w:bottom w:val="nil"/>
              <w:right w:val="nil"/>
            </w:tcBorders>
          </w:tcPr>
          <w:p w14:paraId="44E8FDA5" w14:textId="77777777" w:rsidR="009D4B76" w:rsidRPr="009D4B76" w:rsidRDefault="009D4B76" w:rsidP="00EF0641">
            <w:pPr>
              <w:spacing w:after="0" w:line="360" w:lineRule="auto"/>
              <w:jc w:val="both"/>
              <w:rPr>
                <w:rFonts w:eastAsia="Times New Roman" w:cs="Times New Roman"/>
                <w:b/>
                <w:lang w:val="en-GB"/>
              </w:rPr>
            </w:pPr>
          </w:p>
          <w:p w14:paraId="3957779C" w14:textId="77777777" w:rsidR="009D4B76" w:rsidRPr="009D4B76" w:rsidRDefault="009D4B76" w:rsidP="00EF0641">
            <w:pPr>
              <w:spacing w:after="0" w:line="360" w:lineRule="auto"/>
              <w:jc w:val="both"/>
              <w:rPr>
                <w:rFonts w:eastAsia="Times New Roman" w:cs="Times New Roman"/>
                <w:b/>
                <w:lang w:val="en-GB"/>
              </w:rPr>
            </w:pPr>
          </w:p>
          <w:p w14:paraId="6B947F4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χ2 </w:t>
            </w:r>
          </w:p>
        </w:tc>
        <w:tc>
          <w:tcPr>
            <w:tcW w:w="476" w:type="pct"/>
            <w:gridSpan w:val="2"/>
            <w:tcBorders>
              <w:left w:val="nil"/>
              <w:bottom w:val="nil"/>
              <w:right w:val="nil"/>
            </w:tcBorders>
          </w:tcPr>
          <w:p w14:paraId="3AE2A373" w14:textId="77777777" w:rsidR="009D4B76" w:rsidRPr="009D4B76" w:rsidRDefault="009D4B76" w:rsidP="00EF0641">
            <w:pPr>
              <w:spacing w:after="0" w:line="360" w:lineRule="auto"/>
              <w:jc w:val="both"/>
              <w:rPr>
                <w:rFonts w:eastAsia="Times New Roman" w:cs="Times New Roman"/>
                <w:b/>
                <w:lang w:val="en-GB"/>
              </w:rPr>
            </w:pPr>
          </w:p>
          <w:p w14:paraId="23A54D84" w14:textId="77777777" w:rsidR="009D4B76" w:rsidRPr="009D4B76" w:rsidRDefault="009D4B76" w:rsidP="00EF0641">
            <w:pPr>
              <w:spacing w:after="0" w:line="360" w:lineRule="auto"/>
              <w:jc w:val="both"/>
              <w:rPr>
                <w:rFonts w:eastAsia="Times New Roman" w:cs="Times New Roman"/>
                <w:b/>
                <w:lang w:val="en-GB"/>
              </w:rPr>
            </w:pPr>
          </w:p>
          <w:p w14:paraId="179B998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70D04E70" w14:textId="77777777" w:rsidTr="0069470F">
        <w:trPr>
          <w:trHeight w:val="405"/>
        </w:trPr>
        <w:tc>
          <w:tcPr>
            <w:tcW w:w="415" w:type="pct"/>
            <w:tcBorders>
              <w:top w:val="nil"/>
              <w:left w:val="nil"/>
              <w:bottom w:val="nil"/>
              <w:right w:val="nil"/>
            </w:tcBorders>
            <w:vAlign w:val="bottom"/>
          </w:tcPr>
          <w:p w14:paraId="6210ED1E"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3E65861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57D70E2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10(10%)</w:t>
            </w:r>
          </w:p>
        </w:tc>
        <w:tc>
          <w:tcPr>
            <w:tcW w:w="574" w:type="pct"/>
            <w:tcBorders>
              <w:top w:val="nil"/>
              <w:left w:val="nil"/>
              <w:bottom w:val="nil"/>
              <w:right w:val="nil"/>
            </w:tcBorders>
            <w:vAlign w:val="bottom"/>
          </w:tcPr>
          <w:p w14:paraId="7046E58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6AE05371" w14:textId="77777777" w:rsidR="009D4B76" w:rsidRPr="009D4B76" w:rsidRDefault="009D4B76" w:rsidP="00EF0641">
            <w:pPr>
              <w:spacing w:after="0" w:line="360" w:lineRule="auto"/>
              <w:jc w:val="both"/>
              <w:rPr>
                <w:rFonts w:eastAsia="Times New Roman" w:cs="Times New Roman"/>
                <w:lang w:val="en-GB"/>
              </w:rPr>
            </w:pPr>
          </w:p>
          <w:p w14:paraId="3AEE095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7.234</w:t>
            </w:r>
          </w:p>
        </w:tc>
        <w:tc>
          <w:tcPr>
            <w:tcW w:w="476" w:type="pct"/>
            <w:tcBorders>
              <w:top w:val="nil"/>
              <w:left w:val="nil"/>
              <w:bottom w:val="nil"/>
              <w:right w:val="nil"/>
            </w:tcBorders>
          </w:tcPr>
          <w:p w14:paraId="58EA239A" w14:textId="77777777" w:rsidR="009D4B76" w:rsidRPr="009D4B76" w:rsidRDefault="009D4B76" w:rsidP="00EF0641">
            <w:pPr>
              <w:spacing w:after="0" w:line="360" w:lineRule="auto"/>
              <w:jc w:val="both"/>
              <w:rPr>
                <w:rFonts w:eastAsia="Times New Roman" w:cs="Times New Roman"/>
                <w:lang w:val="en-GB"/>
              </w:rPr>
            </w:pPr>
          </w:p>
          <w:p w14:paraId="2964BD9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0.012*</w:t>
            </w:r>
          </w:p>
        </w:tc>
        <w:tc>
          <w:tcPr>
            <w:tcW w:w="574" w:type="pct"/>
            <w:tcBorders>
              <w:top w:val="nil"/>
              <w:left w:val="nil"/>
              <w:bottom w:val="nil"/>
              <w:right w:val="nil"/>
            </w:tcBorders>
            <w:vAlign w:val="bottom"/>
          </w:tcPr>
          <w:p w14:paraId="18C9F9E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574" w:type="pct"/>
            <w:tcBorders>
              <w:top w:val="nil"/>
              <w:left w:val="nil"/>
              <w:bottom w:val="nil"/>
              <w:right w:val="nil"/>
            </w:tcBorders>
            <w:vAlign w:val="bottom"/>
          </w:tcPr>
          <w:p w14:paraId="17843D8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10(10%)</w:t>
            </w:r>
          </w:p>
        </w:tc>
        <w:tc>
          <w:tcPr>
            <w:tcW w:w="411" w:type="pct"/>
            <w:gridSpan w:val="3"/>
            <w:tcBorders>
              <w:top w:val="nil"/>
              <w:left w:val="nil"/>
              <w:bottom w:val="nil"/>
              <w:right w:val="nil"/>
            </w:tcBorders>
          </w:tcPr>
          <w:p w14:paraId="47382EA4" w14:textId="77777777" w:rsidR="009D4B76" w:rsidRPr="009D4B76" w:rsidRDefault="009D4B76" w:rsidP="00EF0641">
            <w:pPr>
              <w:spacing w:after="0" w:line="360" w:lineRule="auto"/>
              <w:jc w:val="both"/>
              <w:rPr>
                <w:rFonts w:eastAsia="Times New Roman" w:cs="Times New Roman"/>
                <w:lang w:val="en-GB"/>
              </w:rPr>
            </w:pPr>
          </w:p>
          <w:p w14:paraId="51622CE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5.546</w:t>
            </w:r>
          </w:p>
        </w:tc>
        <w:tc>
          <w:tcPr>
            <w:tcW w:w="476" w:type="pct"/>
            <w:gridSpan w:val="2"/>
            <w:tcBorders>
              <w:top w:val="nil"/>
              <w:left w:val="nil"/>
              <w:bottom w:val="nil"/>
              <w:right w:val="nil"/>
            </w:tcBorders>
          </w:tcPr>
          <w:p w14:paraId="3E62A11E" w14:textId="77777777" w:rsidR="009D4B76" w:rsidRPr="009D4B76" w:rsidRDefault="009D4B76" w:rsidP="00EF0641">
            <w:pPr>
              <w:spacing w:after="0" w:line="360" w:lineRule="auto"/>
              <w:jc w:val="both"/>
              <w:rPr>
                <w:rFonts w:eastAsia="Times New Roman" w:cs="Times New Roman"/>
                <w:lang w:val="en-GB"/>
              </w:rPr>
            </w:pPr>
          </w:p>
          <w:p w14:paraId="68CBE2F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0.033*</w:t>
            </w:r>
          </w:p>
        </w:tc>
      </w:tr>
      <w:tr w:rsidR="009D4B76" w:rsidRPr="009D4B76" w14:paraId="18E8828B" w14:textId="77777777" w:rsidTr="0069470F">
        <w:trPr>
          <w:trHeight w:val="405"/>
        </w:trPr>
        <w:tc>
          <w:tcPr>
            <w:tcW w:w="415" w:type="pct"/>
            <w:tcBorders>
              <w:top w:val="nil"/>
              <w:left w:val="nil"/>
              <w:bottom w:val="nil"/>
              <w:right w:val="nil"/>
            </w:tcBorders>
            <w:vAlign w:val="bottom"/>
          </w:tcPr>
          <w:p w14:paraId="025E1DEB"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6FAE845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1517810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14(14%)</w:t>
            </w:r>
          </w:p>
        </w:tc>
        <w:tc>
          <w:tcPr>
            <w:tcW w:w="574" w:type="pct"/>
            <w:tcBorders>
              <w:top w:val="nil"/>
              <w:left w:val="nil"/>
              <w:bottom w:val="nil"/>
              <w:right w:val="nil"/>
            </w:tcBorders>
            <w:vAlign w:val="bottom"/>
          </w:tcPr>
          <w:p w14:paraId="41BECE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30(30%)</w:t>
            </w:r>
          </w:p>
        </w:tc>
        <w:tc>
          <w:tcPr>
            <w:tcW w:w="411" w:type="pct"/>
            <w:gridSpan w:val="3"/>
            <w:tcBorders>
              <w:top w:val="nil"/>
              <w:left w:val="nil"/>
              <w:bottom w:val="nil"/>
              <w:right w:val="nil"/>
            </w:tcBorders>
          </w:tcPr>
          <w:p w14:paraId="4FFC4B9D"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CEDAD5D"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5208EC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14(14%)</w:t>
            </w:r>
          </w:p>
        </w:tc>
        <w:tc>
          <w:tcPr>
            <w:tcW w:w="574" w:type="pct"/>
            <w:tcBorders>
              <w:top w:val="nil"/>
              <w:left w:val="nil"/>
              <w:bottom w:val="nil"/>
              <w:right w:val="nil"/>
            </w:tcBorders>
            <w:vAlign w:val="bottom"/>
          </w:tcPr>
          <w:p w14:paraId="2D11E81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18(18%)</w:t>
            </w:r>
          </w:p>
        </w:tc>
        <w:tc>
          <w:tcPr>
            <w:tcW w:w="411" w:type="pct"/>
            <w:gridSpan w:val="3"/>
            <w:tcBorders>
              <w:top w:val="nil"/>
              <w:left w:val="nil"/>
              <w:bottom w:val="nil"/>
              <w:right w:val="nil"/>
            </w:tcBorders>
          </w:tcPr>
          <w:p w14:paraId="2300BF7A"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6EBE62FD"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7A47B7A0" w14:textId="77777777" w:rsidTr="0069470F">
        <w:trPr>
          <w:trHeight w:val="405"/>
        </w:trPr>
        <w:tc>
          <w:tcPr>
            <w:tcW w:w="415" w:type="pct"/>
            <w:tcBorders>
              <w:top w:val="nil"/>
              <w:left w:val="nil"/>
              <w:bottom w:val="nil"/>
              <w:right w:val="nil"/>
            </w:tcBorders>
            <w:vAlign w:val="bottom"/>
          </w:tcPr>
          <w:p w14:paraId="2AE4C11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24CFC0A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511FB7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48D6CB0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7337C18D"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3D0941A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72847D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4F59927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8(8%)</w:t>
            </w:r>
          </w:p>
        </w:tc>
        <w:tc>
          <w:tcPr>
            <w:tcW w:w="411" w:type="pct"/>
            <w:gridSpan w:val="3"/>
            <w:tcBorders>
              <w:top w:val="nil"/>
              <w:left w:val="nil"/>
              <w:bottom w:val="nil"/>
              <w:right w:val="nil"/>
            </w:tcBorders>
          </w:tcPr>
          <w:p w14:paraId="3A55E83B"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0CBAEDF6"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81B4CBE" w14:textId="77777777" w:rsidTr="0069470F">
        <w:trPr>
          <w:trHeight w:val="733"/>
        </w:trPr>
        <w:tc>
          <w:tcPr>
            <w:tcW w:w="415" w:type="pct"/>
            <w:tcBorders>
              <w:top w:val="nil"/>
              <w:left w:val="nil"/>
              <w:bottom w:val="nil"/>
              <w:right w:val="nil"/>
            </w:tcBorders>
            <w:vAlign w:val="bottom"/>
          </w:tcPr>
          <w:p w14:paraId="2C5C7D5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71 - 80 years</w:t>
            </w:r>
          </w:p>
        </w:tc>
        <w:tc>
          <w:tcPr>
            <w:tcW w:w="516" w:type="pct"/>
            <w:tcBorders>
              <w:top w:val="nil"/>
              <w:left w:val="nil"/>
              <w:bottom w:val="nil"/>
              <w:right w:val="nil"/>
            </w:tcBorders>
          </w:tcPr>
          <w:p w14:paraId="73417B7F"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322BB1DF"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51537FDE"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0B5D48E9"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4C2BD4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0DE43433"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06B32F1F"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23235A48"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E4B4178"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62152320" w14:textId="77777777" w:rsidTr="0069470F">
        <w:trPr>
          <w:trHeight w:val="405"/>
        </w:trPr>
        <w:tc>
          <w:tcPr>
            <w:tcW w:w="415" w:type="pct"/>
            <w:tcBorders>
              <w:top w:val="nil"/>
              <w:left w:val="nil"/>
              <w:bottom w:val="nil"/>
              <w:right w:val="nil"/>
            </w:tcBorders>
            <w:vAlign w:val="bottom"/>
          </w:tcPr>
          <w:p w14:paraId="5A5BFF0C"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16544A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3AA899C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712039B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411" w:type="pct"/>
            <w:gridSpan w:val="3"/>
            <w:tcBorders>
              <w:top w:val="nil"/>
              <w:left w:val="nil"/>
              <w:bottom w:val="nil"/>
              <w:right w:val="nil"/>
            </w:tcBorders>
          </w:tcPr>
          <w:p w14:paraId="7C52F3D3" w14:textId="77777777" w:rsidR="009D4B76" w:rsidRPr="009D4B76" w:rsidRDefault="009D4B76" w:rsidP="00EF0641">
            <w:pPr>
              <w:spacing w:after="0" w:line="360" w:lineRule="auto"/>
              <w:jc w:val="both"/>
              <w:rPr>
                <w:rFonts w:eastAsia="Times New Roman" w:cs="Times New Roman"/>
                <w:lang w:val="en-GB"/>
              </w:rPr>
            </w:pPr>
          </w:p>
          <w:p w14:paraId="1560D77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4.829</w:t>
            </w:r>
          </w:p>
        </w:tc>
        <w:tc>
          <w:tcPr>
            <w:tcW w:w="476" w:type="pct"/>
            <w:tcBorders>
              <w:top w:val="nil"/>
              <w:left w:val="nil"/>
              <w:bottom w:val="nil"/>
              <w:right w:val="nil"/>
            </w:tcBorders>
          </w:tcPr>
          <w:p w14:paraId="3F36ED23" w14:textId="77777777" w:rsidR="009D4B76" w:rsidRPr="009D4B76" w:rsidRDefault="009D4B76" w:rsidP="00EF0641">
            <w:pPr>
              <w:spacing w:after="0" w:line="360" w:lineRule="auto"/>
              <w:jc w:val="both"/>
              <w:rPr>
                <w:rFonts w:eastAsia="Times New Roman" w:cs="Times New Roman"/>
                <w:lang w:val="en-GB"/>
              </w:rPr>
            </w:pPr>
          </w:p>
          <w:p w14:paraId="393429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0.041*</w:t>
            </w:r>
          </w:p>
        </w:tc>
        <w:tc>
          <w:tcPr>
            <w:tcW w:w="574" w:type="pct"/>
            <w:tcBorders>
              <w:top w:val="nil"/>
              <w:left w:val="nil"/>
              <w:bottom w:val="nil"/>
              <w:right w:val="nil"/>
            </w:tcBorders>
            <w:vAlign w:val="bottom"/>
          </w:tcPr>
          <w:p w14:paraId="213013D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4C75DCD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60A63E15" w14:textId="77777777" w:rsidR="009D4B76" w:rsidRPr="009D4B76" w:rsidRDefault="009D4B76" w:rsidP="00EF0641">
            <w:pPr>
              <w:spacing w:after="0" w:line="360" w:lineRule="auto"/>
              <w:jc w:val="both"/>
              <w:rPr>
                <w:rFonts w:eastAsia="Times New Roman" w:cs="Times New Roman"/>
                <w:lang w:val="en-GB"/>
              </w:rPr>
            </w:pPr>
          </w:p>
          <w:p w14:paraId="64A88FE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2.101</w:t>
            </w:r>
          </w:p>
        </w:tc>
        <w:tc>
          <w:tcPr>
            <w:tcW w:w="476" w:type="pct"/>
            <w:gridSpan w:val="2"/>
            <w:tcBorders>
              <w:top w:val="nil"/>
              <w:left w:val="nil"/>
              <w:bottom w:val="nil"/>
              <w:right w:val="nil"/>
            </w:tcBorders>
          </w:tcPr>
          <w:p w14:paraId="31A4AC4A" w14:textId="77777777" w:rsidR="009D4B76" w:rsidRPr="009D4B76" w:rsidRDefault="009D4B76" w:rsidP="00EF0641">
            <w:pPr>
              <w:spacing w:after="0" w:line="360" w:lineRule="auto"/>
              <w:jc w:val="both"/>
              <w:rPr>
                <w:rFonts w:eastAsia="Times New Roman" w:cs="Times New Roman"/>
                <w:lang w:val="en-GB"/>
              </w:rPr>
            </w:pPr>
          </w:p>
          <w:p w14:paraId="15726EE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0.059</w:t>
            </w:r>
          </w:p>
        </w:tc>
      </w:tr>
      <w:tr w:rsidR="009D4B76" w:rsidRPr="009D4B76" w14:paraId="29FE0048" w14:textId="77777777" w:rsidTr="0069470F">
        <w:trPr>
          <w:trHeight w:val="405"/>
        </w:trPr>
        <w:tc>
          <w:tcPr>
            <w:tcW w:w="415" w:type="pct"/>
            <w:tcBorders>
              <w:top w:val="nil"/>
              <w:left w:val="nil"/>
              <w:bottom w:val="nil"/>
              <w:right w:val="nil"/>
            </w:tcBorders>
            <w:vAlign w:val="bottom"/>
          </w:tcPr>
          <w:p w14:paraId="5FF17DF5"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E79F9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3855E66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12(12%)</w:t>
            </w:r>
          </w:p>
        </w:tc>
        <w:tc>
          <w:tcPr>
            <w:tcW w:w="574" w:type="pct"/>
            <w:tcBorders>
              <w:top w:val="nil"/>
              <w:left w:val="nil"/>
              <w:bottom w:val="nil"/>
              <w:right w:val="nil"/>
            </w:tcBorders>
            <w:vAlign w:val="bottom"/>
          </w:tcPr>
          <w:p w14:paraId="52760C8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15CCBAC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6A26C659"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C9444E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12(12%)</w:t>
            </w:r>
          </w:p>
        </w:tc>
        <w:tc>
          <w:tcPr>
            <w:tcW w:w="574" w:type="pct"/>
            <w:tcBorders>
              <w:top w:val="nil"/>
              <w:left w:val="nil"/>
              <w:bottom w:val="nil"/>
              <w:right w:val="nil"/>
            </w:tcBorders>
            <w:vAlign w:val="bottom"/>
          </w:tcPr>
          <w:p w14:paraId="0F246CC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411" w:type="pct"/>
            <w:gridSpan w:val="3"/>
            <w:tcBorders>
              <w:top w:val="nil"/>
              <w:left w:val="nil"/>
              <w:bottom w:val="nil"/>
              <w:right w:val="nil"/>
            </w:tcBorders>
          </w:tcPr>
          <w:p w14:paraId="036E92F9"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44090B29"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9CF6A83" w14:textId="77777777" w:rsidTr="0069470F">
        <w:trPr>
          <w:trHeight w:val="405"/>
        </w:trPr>
        <w:tc>
          <w:tcPr>
            <w:tcW w:w="415" w:type="pct"/>
            <w:tcBorders>
              <w:top w:val="nil"/>
              <w:left w:val="nil"/>
              <w:bottom w:val="nil"/>
              <w:right w:val="nil"/>
            </w:tcBorders>
            <w:vAlign w:val="bottom"/>
          </w:tcPr>
          <w:p w14:paraId="105DA29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7332A1C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7874B72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0A3B3E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13388EB1"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7BC6C881"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407038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6C1E7BC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68803EB0"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AF1D043"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50520CF" w14:textId="77777777" w:rsidTr="0069470F">
        <w:trPr>
          <w:trHeight w:val="733"/>
        </w:trPr>
        <w:tc>
          <w:tcPr>
            <w:tcW w:w="415" w:type="pct"/>
            <w:tcBorders>
              <w:top w:val="nil"/>
              <w:left w:val="nil"/>
              <w:bottom w:val="nil"/>
              <w:right w:val="nil"/>
            </w:tcBorders>
            <w:vAlign w:val="bottom"/>
          </w:tcPr>
          <w:p w14:paraId="35360B1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81 - 90 years</w:t>
            </w:r>
          </w:p>
        </w:tc>
        <w:tc>
          <w:tcPr>
            <w:tcW w:w="516" w:type="pct"/>
            <w:tcBorders>
              <w:top w:val="nil"/>
              <w:left w:val="nil"/>
              <w:bottom w:val="nil"/>
              <w:right w:val="nil"/>
            </w:tcBorders>
          </w:tcPr>
          <w:p w14:paraId="75535F1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A74065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02423B9"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357B7488"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5C3256DA"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23AD40C"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5E58495"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011C3920"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2C830C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E6F7554" w14:textId="77777777" w:rsidTr="0069470F">
        <w:trPr>
          <w:trHeight w:val="405"/>
        </w:trPr>
        <w:tc>
          <w:tcPr>
            <w:tcW w:w="415" w:type="pct"/>
            <w:tcBorders>
              <w:top w:val="nil"/>
              <w:left w:val="nil"/>
              <w:bottom w:val="nil"/>
              <w:right w:val="nil"/>
            </w:tcBorders>
            <w:vAlign w:val="bottom"/>
          </w:tcPr>
          <w:p w14:paraId="70C87F99"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56D4035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1E9237D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574" w:type="pct"/>
            <w:tcBorders>
              <w:top w:val="nil"/>
              <w:left w:val="nil"/>
              <w:bottom w:val="nil"/>
              <w:right w:val="nil"/>
            </w:tcBorders>
            <w:vAlign w:val="bottom"/>
          </w:tcPr>
          <w:p w14:paraId="6A75154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28BD833C" w14:textId="77777777" w:rsidR="009D4B76" w:rsidRPr="009D4B76" w:rsidRDefault="009D4B76" w:rsidP="00EF0641">
            <w:pPr>
              <w:spacing w:after="0" w:line="360" w:lineRule="auto"/>
              <w:jc w:val="both"/>
              <w:rPr>
                <w:rFonts w:eastAsia="Times New Roman" w:cs="Times New Roman"/>
                <w:lang w:val="en-GB"/>
              </w:rPr>
            </w:pPr>
          </w:p>
          <w:p w14:paraId="09604AC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1.435</w:t>
            </w:r>
          </w:p>
        </w:tc>
        <w:tc>
          <w:tcPr>
            <w:tcW w:w="476" w:type="pct"/>
            <w:tcBorders>
              <w:top w:val="nil"/>
              <w:left w:val="nil"/>
              <w:bottom w:val="nil"/>
              <w:right w:val="nil"/>
            </w:tcBorders>
          </w:tcPr>
          <w:p w14:paraId="4E2052D5" w14:textId="77777777" w:rsidR="009D4B76" w:rsidRPr="009D4B76" w:rsidRDefault="009D4B76" w:rsidP="00EF0641">
            <w:pPr>
              <w:spacing w:after="0" w:line="360" w:lineRule="auto"/>
              <w:jc w:val="both"/>
              <w:rPr>
                <w:rFonts w:eastAsia="Times New Roman" w:cs="Times New Roman"/>
                <w:lang w:val="en-GB"/>
              </w:rPr>
            </w:pPr>
          </w:p>
          <w:p w14:paraId="4916A03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0.112</w:t>
            </w:r>
          </w:p>
        </w:tc>
        <w:tc>
          <w:tcPr>
            <w:tcW w:w="574" w:type="pct"/>
            <w:tcBorders>
              <w:top w:val="nil"/>
              <w:left w:val="nil"/>
              <w:bottom w:val="nil"/>
              <w:right w:val="nil"/>
            </w:tcBorders>
            <w:vAlign w:val="bottom"/>
          </w:tcPr>
          <w:p w14:paraId="040DAB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574" w:type="pct"/>
            <w:tcBorders>
              <w:top w:val="nil"/>
              <w:left w:val="nil"/>
              <w:bottom w:val="nil"/>
              <w:right w:val="nil"/>
            </w:tcBorders>
            <w:vAlign w:val="bottom"/>
          </w:tcPr>
          <w:p w14:paraId="1B7F3D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7B54E5B8" w14:textId="77777777" w:rsidR="009D4B76" w:rsidRPr="009D4B76" w:rsidRDefault="009D4B76" w:rsidP="00EF0641">
            <w:pPr>
              <w:spacing w:after="0" w:line="360" w:lineRule="auto"/>
              <w:jc w:val="both"/>
              <w:rPr>
                <w:rFonts w:eastAsia="Times New Roman" w:cs="Times New Roman"/>
                <w:lang w:val="en-GB"/>
              </w:rPr>
            </w:pPr>
          </w:p>
          <w:p w14:paraId="02FDBC2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1.934</w:t>
            </w:r>
          </w:p>
        </w:tc>
        <w:tc>
          <w:tcPr>
            <w:tcW w:w="476" w:type="pct"/>
            <w:gridSpan w:val="2"/>
            <w:tcBorders>
              <w:top w:val="nil"/>
              <w:left w:val="nil"/>
              <w:bottom w:val="nil"/>
              <w:right w:val="nil"/>
            </w:tcBorders>
          </w:tcPr>
          <w:p w14:paraId="5B28FFC2" w14:textId="77777777" w:rsidR="009D4B76" w:rsidRPr="009D4B76" w:rsidRDefault="009D4B76" w:rsidP="00EF0641">
            <w:pPr>
              <w:spacing w:after="0" w:line="360" w:lineRule="auto"/>
              <w:jc w:val="both"/>
              <w:rPr>
                <w:rFonts w:eastAsia="Times New Roman" w:cs="Times New Roman"/>
                <w:lang w:val="en-GB"/>
              </w:rPr>
            </w:pPr>
          </w:p>
          <w:p w14:paraId="4EE8A78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0.087</w:t>
            </w:r>
          </w:p>
        </w:tc>
      </w:tr>
      <w:tr w:rsidR="009D4B76" w:rsidRPr="009D4B76" w14:paraId="79E0809B" w14:textId="77777777" w:rsidTr="0069470F">
        <w:trPr>
          <w:trHeight w:val="405"/>
        </w:trPr>
        <w:tc>
          <w:tcPr>
            <w:tcW w:w="415" w:type="pct"/>
            <w:tcBorders>
              <w:top w:val="nil"/>
              <w:left w:val="nil"/>
              <w:bottom w:val="nil"/>
              <w:right w:val="nil"/>
            </w:tcBorders>
            <w:vAlign w:val="bottom"/>
          </w:tcPr>
          <w:p w14:paraId="24F4F374"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642C7E1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19EED14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574" w:type="pct"/>
            <w:tcBorders>
              <w:top w:val="nil"/>
              <w:left w:val="nil"/>
              <w:bottom w:val="nil"/>
              <w:right w:val="nil"/>
            </w:tcBorders>
            <w:vAlign w:val="bottom"/>
          </w:tcPr>
          <w:p w14:paraId="79DED00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73E08552"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07678BB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A676E6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D03427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611A331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4526BAF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190FCCD4" w14:textId="77777777" w:rsidTr="0069470F">
        <w:trPr>
          <w:trHeight w:val="405"/>
        </w:trPr>
        <w:tc>
          <w:tcPr>
            <w:tcW w:w="415" w:type="pct"/>
            <w:tcBorders>
              <w:top w:val="nil"/>
              <w:left w:val="nil"/>
              <w:bottom w:val="nil"/>
              <w:right w:val="nil"/>
            </w:tcBorders>
            <w:vAlign w:val="bottom"/>
          </w:tcPr>
          <w:p w14:paraId="34B2AE7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5DB3A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0655DC1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26E89B4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449A76A5"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74C66F15"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BA05BF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1F5A6F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58142D0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910155A"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3C9CA64F" w14:textId="77777777" w:rsidTr="0069470F">
        <w:trPr>
          <w:trHeight w:val="733"/>
        </w:trPr>
        <w:tc>
          <w:tcPr>
            <w:tcW w:w="415" w:type="pct"/>
            <w:tcBorders>
              <w:top w:val="nil"/>
              <w:left w:val="nil"/>
              <w:bottom w:val="nil"/>
              <w:right w:val="nil"/>
            </w:tcBorders>
            <w:vAlign w:val="bottom"/>
          </w:tcPr>
          <w:p w14:paraId="0E319E2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&gt; 90 years</w:t>
            </w:r>
          </w:p>
        </w:tc>
        <w:tc>
          <w:tcPr>
            <w:tcW w:w="516" w:type="pct"/>
            <w:tcBorders>
              <w:top w:val="nil"/>
              <w:left w:val="nil"/>
              <w:bottom w:val="nil"/>
              <w:right w:val="nil"/>
            </w:tcBorders>
          </w:tcPr>
          <w:p w14:paraId="208D46C4"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6E085B2"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4E75FC38"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1F59C22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517AAC95"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A3BBC79"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0BA60D3"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5921439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6C2AAF86"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3C31250D" w14:textId="77777777" w:rsidTr="0069470F">
        <w:trPr>
          <w:trHeight w:val="405"/>
        </w:trPr>
        <w:tc>
          <w:tcPr>
            <w:tcW w:w="415" w:type="pct"/>
            <w:tcBorders>
              <w:top w:val="nil"/>
              <w:left w:val="nil"/>
              <w:bottom w:val="nil"/>
              <w:right w:val="nil"/>
            </w:tcBorders>
            <w:vAlign w:val="bottom"/>
          </w:tcPr>
          <w:p w14:paraId="60A4FDA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34A3475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76F5528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C6C41D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20278AF0" w14:textId="77777777" w:rsidR="009D4B76" w:rsidRPr="009D4B76" w:rsidRDefault="009D4B76" w:rsidP="00EF0641">
            <w:pPr>
              <w:spacing w:after="0" w:line="360" w:lineRule="auto"/>
              <w:jc w:val="both"/>
              <w:rPr>
                <w:rFonts w:eastAsia="Times New Roman" w:cs="Times New Roman"/>
                <w:lang w:val="en-GB"/>
              </w:rPr>
            </w:pPr>
          </w:p>
          <w:p w14:paraId="2809CFE3"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B7901DF" w14:textId="77777777" w:rsidR="009D4B76" w:rsidRPr="009D4B76" w:rsidRDefault="009D4B76" w:rsidP="00EF0641">
            <w:pPr>
              <w:spacing w:after="0" w:line="360" w:lineRule="auto"/>
              <w:jc w:val="both"/>
              <w:rPr>
                <w:rFonts w:eastAsia="Times New Roman" w:cs="Times New Roman"/>
                <w:lang w:val="en-GB"/>
              </w:rPr>
            </w:pPr>
          </w:p>
          <w:p w14:paraId="0C4989A7"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C3283A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8F0F8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411" w:type="pct"/>
            <w:gridSpan w:val="3"/>
            <w:tcBorders>
              <w:top w:val="nil"/>
              <w:left w:val="nil"/>
              <w:bottom w:val="nil"/>
              <w:right w:val="nil"/>
            </w:tcBorders>
          </w:tcPr>
          <w:p w14:paraId="0F748384" w14:textId="77777777" w:rsidR="009D4B76" w:rsidRPr="009D4B76" w:rsidRDefault="009D4B76" w:rsidP="00EF0641">
            <w:pPr>
              <w:spacing w:after="0" w:line="360" w:lineRule="auto"/>
              <w:jc w:val="both"/>
              <w:rPr>
                <w:rFonts w:eastAsia="Times New Roman" w:cs="Times New Roman"/>
                <w:lang w:val="en-GB"/>
              </w:rPr>
            </w:pPr>
          </w:p>
          <w:p w14:paraId="03E62B3C"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0154CD4"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64B2B6D3" w14:textId="77777777" w:rsidTr="0069470F">
        <w:trPr>
          <w:trHeight w:val="405"/>
        </w:trPr>
        <w:tc>
          <w:tcPr>
            <w:tcW w:w="415" w:type="pct"/>
            <w:tcBorders>
              <w:top w:val="nil"/>
              <w:left w:val="nil"/>
              <w:bottom w:val="nil"/>
              <w:right w:val="nil"/>
            </w:tcBorders>
            <w:vAlign w:val="bottom"/>
          </w:tcPr>
          <w:p w14:paraId="44673ADD"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74A13A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7FE04ED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B3EA81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411" w:type="pct"/>
            <w:gridSpan w:val="3"/>
            <w:tcBorders>
              <w:top w:val="nil"/>
              <w:left w:val="nil"/>
              <w:bottom w:val="nil"/>
              <w:right w:val="nil"/>
            </w:tcBorders>
          </w:tcPr>
          <w:p w14:paraId="0DC437F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3BA44AB0"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8D205C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1C3358F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78E9AB43"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75C22E0"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09B1FC63" w14:textId="77777777" w:rsidTr="0069470F">
        <w:trPr>
          <w:trHeight w:val="385"/>
        </w:trPr>
        <w:tc>
          <w:tcPr>
            <w:tcW w:w="415" w:type="pct"/>
            <w:tcBorders>
              <w:top w:val="nil"/>
              <w:left w:val="nil"/>
              <w:right w:val="nil"/>
            </w:tcBorders>
            <w:vAlign w:val="bottom"/>
          </w:tcPr>
          <w:p w14:paraId="371CB97C"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right w:val="nil"/>
            </w:tcBorders>
            <w:vAlign w:val="bottom"/>
          </w:tcPr>
          <w:p w14:paraId="6404950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right w:val="nil"/>
            </w:tcBorders>
            <w:vAlign w:val="bottom"/>
          </w:tcPr>
          <w:p w14:paraId="1ED6E6B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right w:val="nil"/>
            </w:tcBorders>
            <w:vAlign w:val="bottom"/>
          </w:tcPr>
          <w:p w14:paraId="355EEAC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right w:val="nil"/>
            </w:tcBorders>
          </w:tcPr>
          <w:p w14:paraId="1560BEE4"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right w:val="nil"/>
            </w:tcBorders>
          </w:tcPr>
          <w:p w14:paraId="3B87DCF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right w:val="nil"/>
            </w:tcBorders>
            <w:vAlign w:val="bottom"/>
          </w:tcPr>
          <w:p w14:paraId="6634A2A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right w:val="nil"/>
            </w:tcBorders>
            <w:vAlign w:val="bottom"/>
          </w:tcPr>
          <w:p w14:paraId="0C51DAD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right w:val="nil"/>
            </w:tcBorders>
          </w:tcPr>
          <w:p w14:paraId="3B44ED41"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right w:val="nil"/>
            </w:tcBorders>
          </w:tcPr>
          <w:p w14:paraId="5E4EA237" w14:textId="77777777" w:rsidR="009D4B76" w:rsidRPr="009D4B76" w:rsidRDefault="009D4B76" w:rsidP="00EF0641">
            <w:pPr>
              <w:spacing w:after="0" w:line="360" w:lineRule="auto"/>
              <w:jc w:val="both"/>
              <w:rPr>
                <w:rFonts w:eastAsia="Times New Roman" w:cs="Times New Roman"/>
                <w:lang w:val="en-GB"/>
              </w:rPr>
            </w:pPr>
          </w:p>
        </w:tc>
      </w:tr>
    </w:tbl>
    <w:p w14:paraId="0C2C24BB" w14:textId="77777777" w:rsidR="009D4B76" w:rsidRPr="009D4B76" w:rsidRDefault="009D4B76" w:rsidP="00EF0641">
      <w:pPr>
        <w:spacing w:after="0" w:line="360" w:lineRule="auto"/>
        <w:jc w:val="both"/>
        <w:rPr>
          <w:rFonts w:eastAsia="Times New Roman" w:cs="Times New Roman"/>
        </w:rPr>
      </w:pPr>
    </w:p>
    <w:p w14:paraId="1489C758"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*Chi square is significant at p &lt; 0.05</w:t>
      </w:r>
    </w:p>
    <w:p w14:paraId="04B1314C" w14:textId="77777777"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 xml:space="preserve">Normal Ranges: </w:t>
      </w:r>
      <w:r w:rsidRPr="009852C8">
        <w:rPr>
          <w:rFonts w:eastAsia="Times New Roman" w:cs="Times New Roman"/>
          <w:color w:val="EE0000"/>
        </w:rPr>
        <w:t>LD</w:t>
      </w:r>
      <w:r w:rsidRPr="009D4B76">
        <w:rPr>
          <w:rFonts w:eastAsia="Times New Roman" w:cs="Times New Roman"/>
        </w:rPr>
        <w:t>120 – 250 u/L</w:t>
      </w:r>
    </w:p>
    <w:p w14:paraId="1CBCD82D"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ab/>
        <w:t>CK male; 40 – 320 u/L, female; 30 – 200 u/L.</w:t>
      </w:r>
    </w:p>
    <w:p w14:paraId="13BDE63B"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ab/>
      </w:r>
    </w:p>
    <w:p w14:paraId="16299B11" w14:textId="77777777" w:rsidR="009D4B76" w:rsidRPr="009D4B76" w:rsidRDefault="009D4B76" w:rsidP="00EF0641">
      <w:pPr>
        <w:spacing w:after="0" w:line="360" w:lineRule="auto"/>
        <w:jc w:val="both"/>
        <w:rPr>
          <w:rFonts w:eastAsia="Times New Roman" w:cs="Times New Roman"/>
        </w:rPr>
      </w:pPr>
    </w:p>
    <w:p w14:paraId="7E3B2FB8" w14:textId="3A9DB730" w:rsidR="009D4B76" w:rsidRDefault="009D4B76" w:rsidP="00EF0641">
      <w:pPr>
        <w:spacing w:after="0" w:line="360" w:lineRule="auto"/>
        <w:jc w:val="both"/>
        <w:rPr>
          <w:rFonts w:eastAsia="Times New Roman" w:cs="Times New Roman"/>
        </w:rPr>
      </w:pPr>
      <w:r w:rsidRPr="009D4B76">
        <w:rPr>
          <w:rFonts w:eastAsia="Times New Roman" w:cs="Times New Roman"/>
        </w:rPr>
        <w:t>Table 2 shows the comparison of Creatine Kinase and Lactate Dehydrogenase levels of healthy Geriatric study participants with apparently healthy young control participants. As expected the mean age of the control (24.56±5.08) was significantly lower than the Geriatric study participants (61.32±65.45) (p&lt;0.001). The mean creatine kinase level of Geriatrics (61.32±65.45) was higher than that of the young control participants (51.59±16.12), but the difference was not statistically significant (p=0.150).  The mean lactate dehydrogenase level of Geriatrics (165.53±92.99) was significantly lower than that of the young healthy control (299.92±96.34) (p&lt;0.001).</w:t>
      </w:r>
    </w:p>
    <w:p w14:paraId="5C6A3BE2" w14:textId="77777777" w:rsidR="009D4B76" w:rsidRDefault="009D4B76" w:rsidP="00EF0641">
      <w:pPr>
        <w:spacing w:after="0" w:line="360" w:lineRule="auto"/>
        <w:jc w:val="both"/>
        <w:rPr>
          <w:rFonts w:eastAsia="Times New Roman" w:cs="Times New Roman"/>
          <w:b/>
        </w:rPr>
      </w:pPr>
    </w:p>
    <w:p w14:paraId="61B03990" w14:textId="68A3B2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2</w:t>
      </w:r>
      <w:r w:rsidRPr="009D4B76">
        <w:rPr>
          <w:rFonts w:eastAsia="Times New Roman" w:cs="Times New Roman"/>
        </w:rPr>
        <w:t>: Comparison of Creatine Kinase and Lactate Dehydrogenase levels of healthy Geriatric study participants with apparently healthy young control participants using Independent sample t-test</w:t>
      </w:r>
    </w:p>
    <w:p w14:paraId="409D288C" w14:textId="77777777" w:rsidR="009D4B76" w:rsidRPr="009D4B76" w:rsidRDefault="009D4B76" w:rsidP="00EF0641">
      <w:pPr>
        <w:spacing w:after="0" w:line="360" w:lineRule="auto"/>
        <w:jc w:val="both"/>
        <w:rPr>
          <w:rFonts w:eastAsia="Times New Roman" w:cs="Times New Roman"/>
        </w:rPr>
      </w:pPr>
    </w:p>
    <w:tbl>
      <w:tblPr>
        <w:tblStyle w:val="TableGrid"/>
        <w:tblW w:w="87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1754"/>
        <w:gridCol w:w="1946"/>
        <w:gridCol w:w="1563"/>
        <w:gridCol w:w="1755"/>
      </w:tblGrid>
      <w:tr w:rsidR="009D4B76" w:rsidRPr="009D4B76" w14:paraId="72366964" w14:textId="77777777" w:rsidTr="008E7938">
        <w:trPr>
          <w:trHeight w:val="863"/>
        </w:trPr>
        <w:tc>
          <w:tcPr>
            <w:tcW w:w="1754" w:type="dxa"/>
            <w:tcBorders>
              <w:top w:val="single" w:sz="4" w:space="0" w:color="auto"/>
              <w:bottom w:val="single" w:sz="4" w:space="0" w:color="auto"/>
            </w:tcBorders>
          </w:tcPr>
          <w:p w14:paraId="6829578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1754" w:type="dxa"/>
            <w:tcBorders>
              <w:top w:val="single" w:sz="4" w:space="0" w:color="auto"/>
              <w:bottom w:val="single" w:sz="4" w:space="0" w:color="auto"/>
            </w:tcBorders>
          </w:tcPr>
          <w:p w14:paraId="150FB9A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Control</w:t>
            </w:r>
          </w:p>
          <w:p w14:paraId="1750F1F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(n=100)</w:t>
            </w:r>
          </w:p>
        </w:tc>
        <w:tc>
          <w:tcPr>
            <w:tcW w:w="1946" w:type="dxa"/>
            <w:tcBorders>
              <w:top w:val="single" w:sz="4" w:space="0" w:color="auto"/>
              <w:bottom w:val="single" w:sz="4" w:space="0" w:color="auto"/>
            </w:tcBorders>
          </w:tcPr>
          <w:p w14:paraId="175F451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(Test)</w:t>
            </w:r>
          </w:p>
          <w:p w14:paraId="3CEAF56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(n=100)</w:t>
            </w:r>
          </w:p>
        </w:tc>
        <w:tc>
          <w:tcPr>
            <w:tcW w:w="1563" w:type="dxa"/>
            <w:tcBorders>
              <w:top w:val="single" w:sz="4" w:space="0" w:color="auto"/>
              <w:bottom w:val="single" w:sz="4" w:space="0" w:color="auto"/>
            </w:tcBorders>
          </w:tcPr>
          <w:p w14:paraId="1CD4322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t-value</w:t>
            </w:r>
          </w:p>
        </w:tc>
        <w:tc>
          <w:tcPr>
            <w:tcW w:w="1755" w:type="dxa"/>
            <w:tcBorders>
              <w:top w:val="single" w:sz="4" w:space="0" w:color="auto"/>
              <w:bottom w:val="single" w:sz="4" w:space="0" w:color="auto"/>
            </w:tcBorders>
          </w:tcPr>
          <w:p w14:paraId="1395BB1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26966E63" w14:textId="77777777" w:rsidTr="008E7938">
        <w:trPr>
          <w:trHeight w:val="747"/>
        </w:trPr>
        <w:tc>
          <w:tcPr>
            <w:tcW w:w="1754" w:type="dxa"/>
            <w:tcBorders>
              <w:top w:val="single" w:sz="4" w:space="0" w:color="auto"/>
            </w:tcBorders>
          </w:tcPr>
          <w:p w14:paraId="2C7628F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Age (years)</w:t>
            </w:r>
          </w:p>
        </w:tc>
        <w:tc>
          <w:tcPr>
            <w:tcW w:w="1754" w:type="dxa"/>
            <w:tcBorders>
              <w:top w:val="single" w:sz="4" w:space="0" w:color="auto"/>
            </w:tcBorders>
          </w:tcPr>
          <w:p w14:paraId="4C0DC36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24.56±5.08</w:t>
            </w:r>
          </w:p>
        </w:tc>
        <w:tc>
          <w:tcPr>
            <w:tcW w:w="1946" w:type="dxa"/>
            <w:tcBorders>
              <w:top w:val="single" w:sz="4" w:space="0" w:color="auto"/>
            </w:tcBorders>
          </w:tcPr>
          <w:p w14:paraId="470EFB9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71.92±8.48</w:t>
            </w:r>
          </w:p>
        </w:tc>
        <w:tc>
          <w:tcPr>
            <w:tcW w:w="1563" w:type="dxa"/>
            <w:tcBorders>
              <w:top w:val="single" w:sz="4" w:space="0" w:color="auto"/>
            </w:tcBorders>
          </w:tcPr>
          <w:p w14:paraId="24D5FB1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2292.052</w:t>
            </w:r>
          </w:p>
        </w:tc>
        <w:tc>
          <w:tcPr>
            <w:tcW w:w="1755" w:type="dxa"/>
            <w:tcBorders>
              <w:top w:val="single" w:sz="4" w:space="0" w:color="auto"/>
            </w:tcBorders>
          </w:tcPr>
          <w:p w14:paraId="400F50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792AE285" w14:textId="77777777" w:rsidTr="008E7938">
        <w:trPr>
          <w:trHeight w:val="747"/>
        </w:trPr>
        <w:tc>
          <w:tcPr>
            <w:tcW w:w="1754" w:type="dxa"/>
          </w:tcPr>
          <w:p w14:paraId="7415A3A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1754" w:type="dxa"/>
          </w:tcPr>
          <w:p w14:paraId="7D33454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51.59±16.12</w:t>
            </w:r>
          </w:p>
        </w:tc>
        <w:tc>
          <w:tcPr>
            <w:tcW w:w="1946" w:type="dxa"/>
          </w:tcPr>
          <w:p w14:paraId="32F4D2D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61.32±65.45</w:t>
            </w:r>
          </w:p>
        </w:tc>
        <w:tc>
          <w:tcPr>
            <w:tcW w:w="1563" w:type="dxa"/>
          </w:tcPr>
          <w:p w14:paraId="754A32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2.084</w:t>
            </w:r>
          </w:p>
        </w:tc>
        <w:tc>
          <w:tcPr>
            <w:tcW w:w="1755" w:type="dxa"/>
          </w:tcPr>
          <w:p w14:paraId="3A8771F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0.150</w:t>
            </w:r>
          </w:p>
        </w:tc>
      </w:tr>
      <w:tr w:rsidR="009D4B76" w:rsidRPr="009D4B76" w14:paraId="2C766F24" w14:textId="77777777" w:rsidTr="008E7938">
        <w:trPr>
          <w:trHeight w:val="747"/>
        </w:trPr>
        <w:tc>
          <w:tcPr>
            <w:tcW w:w="1754" w:type="dxa"/>
          </w:tcPr>
          <w:p w14:paraId="7D40FC7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 (u/L)</w:t>
            </w:r>
          </w:p>
        </w:tc>
        <w:tc>
          <w:tcPr>
            <w:tcW w:w="1754" w:type="dxa"/>
          </w:tcPr>
          <w:p w14:paraId="4121DCF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299.92±96.34</w:t>
            </w:r>
          </w:p>
        </w:tc>
        <w:tc>
          <w:tcPr>
            <w:tcW w:w="1946" w:type="dxa"/>
          </w:tcPr>
          <w:p w14:paraId="4B2695B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165.53±92.99</w:t>
            </w:r>
          </w:p>
        </w:tc>
        <w:tc>
          <w:tcPr>
            <w:tcW w:w="1563" w:type="dxa"/>
          </w:tcPr>
          <w:p w14:paraId="224A913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100.731</w:t>
            </w:r>
          </w:p>
        </w:tc>
        <w:tc>
          <w:tcPr>
            <w:tcW w:w="1755" w:type="dxa"/>
          </w:tcPr>
          <w:p w14:paraId="21B15E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bl>
    <w:p w14:paraId="5692718C" w14:textId="77777777" w:rsidR="009D4B76" w:rsidRPr="009D4B76" w:rsidRDefault="009D4B76" w:rsidP="00EF0641">
      <w:pPr>
        <w:spacing w:after="0" w:line="360" w:lineRule="auto"/>
        <w:jc w:val="both"/>
        <w:rPr>
          <w:rFonts w:eastAsia="Times New Roman" w:cs="Times New Roman"/>
          <w:b/>
        </w:rPr>
      </w:pPr>
    </w:p>
    <w:p w14:paraId="4B1AEDE9"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xml:space="preserve">: </w:t>
      </w:r>
    </w:p>
    <w:p w14:paraId="0553CCBE" w14:textId="77777777" w:rsidR="009D4B76" w:rsidRDefault="009D4B76" w:rsidP="00EF0641">
      <w:pPr>
        <w:spacing w:after="0" w:line="360" w:lineRule="auto"/>
        <w:jc w:val="both"/>
        <w:rPr>
          <w:rFonts w:eastAsia="Times New Roman" w:cs="Times New Roman"/>
        </w:rPr>
      </w:pPr>
      <w:r w:rsidRPr="009D4B76">
        <w:rPr>
          <w:rFonts w:eastAsia="Times New Roman" w:cs="Times New Roman"/>
        </w:rPr>
        <w:lastRenderedPageBreak/>
        <w:t xml:space="preserve">* Values are significant at p&lt; 0.05. </w:t>
      </w:r>
    </w:p>
    <w:p w14:paraId="63512E61" w14:textId="77777777" w:rsidR="00EF0641" w:rsidRDefault="00EF0641" w:rsidP="00EF0641">
      <w:pPr>
        <w:spacing w:after="0" w:line="360" w:lineRule="auto"/>
        <w:jc w:val="both"/>
        <w:rPr>
          <w:rFonts w:eastAsia="Times New Roman" w:cs="Times New Roman"/>
        </w:rPr>
      </w:pPr>
    </w:p>
    <w:p w14:paraId="7829F70B" w14:textId="56B4FB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Table 3 shows the gender comparison of Creatine Kinase and Lactate Dehydrogenase levels of healthy Geriatric study participants and apparently healthy young control participants. There was no significant difference between the mean </w:t>
      </w:r>
      <w:r w:rsidRPr="009852C8">
        <w:rPr>
          <w:rFonts w:eastAsia="Times New Roman" w:cs="Times New Roman"/>
          <w:color w:val="EE0000"/>
        </w:rPr>
        <w:t>ages</w:t>
      </w:r>
      <w:r w:rsidRPr="009D4B76">
        <w:rPr>
          <w:rFonts w:eastAsia="Times New Roman" w:cs="Times New Roman"/>
        </w:rPr>
        <w:t xml:space="preserve"> of the male geriatrics (72.30±7.16) when compared with that of the female Geriatrics (71.59±9.52) (p=0.603). There was no significant difference between the mean creatine kinase levels of young male control (49.87±17.79), female control (53.06±14.55), male Geriatrics (53.45±25.62) and female Geriatrics (47.52±19.24) (p=0.365). </w:t>
      </w:r>
    </w:p>
    <w:p w14:paraId="7CF759DA"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From the table also, lactate dehydrogenase level of the male control (291.53±75.43) was not significantly lower than that of the female control (307.07±111.32) (p=0.413), but male Geriatrics (181.20±99.46) had markedly higher values than the female Geriatrics (152.19±85.79</w:t>
      </w:r>
      <w:r w:rsidRPr="009D4B76">
        <w:rPr>
          <w:rFonts w:eastAsia="Times New Roman" w:cs="Times New Roman"/>
          <w:b/>
        </w:rPr>
        <w:t xml:space="preserve">) </w:t>
      </w:r>
      <w:r w:rsidRPr="009D4B76">
        <w:rPr>
          <w:rFonts w:eastAsia="Times New Roman" w:cs="Times New Roman"/>
        </w:rPr>
        <w:t>although the difference was not significant statistically (p=0.127). Male geriatrics had significantly lower lactate dehydrogenase level than male control (p= 0.000). Also, female geriatrics had significantly lower lactate dehydrogenase level than the female control (p=0.000).</w:t>
      </w:r>
    </w:p>
    <w:p w14:paraId="20C27B9D" w14:textId="77777777" w:rsidR="009D4B76" w:rsidRPr="009D4B76" w:rsidRDefault="009D4B76" w:rsidP="00EF0641">
      <w:pPr>
        <w:spacing w:after="0" w:line="360" w:lineRule="auto"/>
        <w:jc w:val="both"/>
        <w:rPr>
          <w:rFonts w:eastAsia="Times New Roman" w:cs="Times New Roman"/>
          <w:b/>
        </w:rPr>
      </w:pPr>
    </w:p>
    <w:p w14:paraId="600D0874" w14:textId="3ED6C36A"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3</w:t>
      </w:r>
      <w:r w:rsidR="00AE5FDE">
        <w:rPr>
          <w:rFonts w:eastAsia="Times New Roman" w:cs="Times New Roman"/>
          <w:b/>
        </w:rPr>
        <w:t>a</w:t>
      </w:r>
      <w:r w:rsidRPr="009D4B76">
        <w:rPr>
          <w:rFonts w:eastAsia="Times New Roman" w:cs="Times New Roman"/>
        </w:rPr>
        <w:t>: Gender comparison of Creatine Kinase and Lactate Dehydrogenase levels of healthy Geriatric study participants and apparently healthy young control participants using Analysis of Variance Statistics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19"/>
        <w:gridCol w:w="1739"/>
        <w:gridCol w:w="1628"/>
        <w:gridCol w:w="1628"/>
        <w:gridCol w:w="996"/>
        <w:gridCol w:w="763"/>
      </w:tblGrid>
      <w:tr w:rsidR="009D4B76" w:rsidRPr="009D4B76" w14:paraId="40633AE8" w14:textId="77777777" w:rsidTr="008E7938">
        <w:trPr>
          <w:trHeight w:val="1120"/>
        </w:trPr>
        <w:tc>
          <w:tcPr>
            <w:tcW w:w="1536" w:type="dxa"/>
            <w:tcBorders>
              <w:top w:val="single" w:sz="4" w:space="0" w:color="auto"/>
              <w:bottom w:val="single" w:sz="4" w:space="0" w:color="auto"/>
            </w:tcBorders>
          </w:tcPr>
          <w:p w14:paraId="6F0A42D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1499" w:type="dxa"/>
            <w:tcBorders>
              <w:top w:val="single" w:sz="4" w:space="0" w:color="auto"/>
              <w:bottom w:val="single" w:sz="4" w:space="0" w:color="auto"/>
            </w:tcBorders>
          </w:tcPr>
          <w:p w14:paraId="77B3709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Male </w:t>
            </w:r>
          </w:p>
          <w:p w14:paraId="39F2870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Control</w:t>
            </w:r>
          </w:p>
          <w:p w14:paraId="2833DAD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n=46</w:t>
            </w:r>
          </w:p>
        </w:tc>
        <w:tc>
          <w:tcPr>
            <w:tcW w:w="1609" w:type="dxa"/>
            <w:tcBorders>
              <w:top w:val="single" w:sz="4" w:space="0" w:color="auto"/>
              <w:bottom w:val="single" w:sz="4" w:space="0" w:color="auto"/>
            </w:tcBorders>
          </w:tcPr>
          <w:p w14:paraId="685FFB4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 Control</w:t>
            </w:r>
          </w:p>
          <w:p w14:paraId="4538502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n=54</w:t>
            </w:r>
          </w:p>
        </w:tc>
        <w:tc>
          <w:tcPr>
            <w:tcW w:w="1507" w:type="dxa"/>
            <w:tcBorders>
              <w:top w:val="single" w:sz="4" w:space="0" w:color="auto"/>
              <w:bottom w:val="single" w:sz="4" w:space="0" w:color="auto"/>
            </w:tcBorders>
          </w:tcPr>
          <w:p w14:paraId="1C66BA5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 Geriatrics</w:t>
            </w:r>
          </w:p>
          <w:p w14:paraId="2C073F7F"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n=46</w:t>
            </w:r>
          </w:p>
        </w:tc>
        <w:tc>
          <w:tcPr>
            <w:tcW w:w="1507" w:type="dxa"/>
            <w:tcBorders>
              <w:top w:val="single" w:sz="4" w:space="0" w:color="auto"/>
              <w:bottom w:val="single" w:sz="4" w:space="0" w:color="auto"/>
            </w:tcBorders>
          </w:tcPr>
          <w:p w14:paraId="2D1BC53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 Geriatrics</w:t>
            </w:r>
          </w:p>
          <w:p w14:paraId="1D691C1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n=54</w:t>
            </w:r>
          </w:p>
        </w:tc>
        <w:tc>
          <w:tcPr>
            <w:tcW w:w="931" w:type="dxa"/>
            <w:tcBorders>
              <w:top w:val="single" w:sz="4" w:space="0" w:color="auto"/>
              <w:bottom w:val="single" w:sz="4" w:space="0" w:color="auto"/>
            </w:tcBorders>
          </w:tcPr>
          <w:p w14:paraId="646804D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f-value</w:t>
            </w:r>
          </w:p>
        </w:tc>
        <w:tc>
          <w:tcPr>
            <w:tcW w:w="946" w:type="dxa"/>
            <w:tcBorders>
              <w:top w:val="single" w:sz="4" w:space="0" w:color="auto"/>
              <w:bottom w:val="single" w:sz="4" w:space="0" w:color="auto"/>
            </w:tcBorders>
          </w:tcPr>
          <w:p w14:paraId="058E5518"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4956A5DF" w14:textId="77777777" w:rsidTr="008E7938">
        <w:trPr>
          <w:trHeight w:val="829"/>
        </w:trPr>
        <w:tc>
          <w:tcPr>
            <w:tcW w:w="1536" w:type="dxa"/>
            <w:tcBorders>
              <w:top w:val="single" w:sz="4" w:space="0" w:color="auto"/>
            </w:tcBorders>
          </w:tcPr>
          <w:p w14:paraId="39D7B12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Age</w:t>
            </w:r>
          </w:p>
        </w:tc>
        <w:tc>
          <w:tcPr>
            <w:tcW w:w="1499" w:type="dxa"/>
            <w:tcBorders>
              <w:top w:val="single" w:sz="4" w:space="0" w:color="auto"/>
            </w:tcBorders>
          </w:tcPr>
          <w:p w14:paraId="22B4A52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27.17±5.65</w:t>
            </w:r>
            <w:r w:rsidRPr="009D4B76">
              <w:rPr>
                <w:rFonts w:eastAsia="Times New Roman" w:cs="Times New Roman"/>
                <w:vertAlign w:val="superscript"/>
                <w:lang w:val="en-GB"/>
              </w:rPr>
              <w:t>a</w:t>
            </w:r>
          </w:p>
        </w:tc>
        <w:tc>
          <w:tcPr>
            <w:tcW w:w="1609" w:type="dxa"/>
            <w:tcBorders>
              <w:top w:val="single" w:sz="4" w:space="0" w:color="auto"/>
            </w:tcBorders>
          </w:tcPr>
          <w:p w14:paraId="072F82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22.33±3.22</w:t>
            </w:r>
            <w:r w:rsidRPr="009D4B76">
              <w:rPr>
                <w:rFonts w:eastAsia="Times New Roman" w:cs="Times New Roman"/>
                <w:vertAlign w:val="superscript"/>
                <w:lang w:val="en-GB"/>
              </w:rPr>
              <w:t>b</w:t>
            </w:r>
          </w:p>
        </w:tc>
        <w:tc>
          <w:tcPr>
            <w:tcW w:w="1507" w:type="dxa"/>
            <w:tcBorders>
              <w:top w:val="single" w:sz="4" w:space="0" w:color="auto"/>
            </w:tcBorders>
          </w:tcPr>
          <w:p w14:paraId="44B5470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72.30±7.16</w:t>
            </w:r>
            <w:r w:rsidRPr="009D4B76">
              <w:rPr>
                <w:rFonts w:eastAsia="Times New Roman" w:cs="Times New Roman"/>
                <w:vertAlign w:val="superscript"/>
                <w:lang w:val="en-GB"/>
              </w:rPr>
              <w:t>c</w:t>
            </w:r>
          </w:p>
        </w:tc>
        <w:tc>
          <w:tcPr>
            <w:tcW w:w="1507" w:type="dxa"/>
            <w:tcBorders>
              <w:top w:val="single" w:sz="4" w:space="0" w:color="auto"/>
            </w:tcBorders>
          </w:tcPr>
          <w:p w14:paraId="797358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71.59±9.52</w:t>
            </w:r>
            <w:r w:rsidRPr="009D4B76">
              <w:rPr>
                <w:rFonts w:eastAsia="Times New Roman" w:cs="Times New Roman"/>
                <w:vertAlign w:val="superscript"/>
                <w:lang w:val="en-GB"/>
              </w:rPr>
              <w:t>c</w:t>
            </w:r>
          </w:p>
        </w:tc>
        <w:tc>
          <w:tcPr>
            <w:tcW w:w="931" w:type="dxa"/>
            <w:tcBorders>
              <w:top w:val="single" w:sz="4" w:space="0" w:color="auto"/>
            </w:tcBorders>
          </w:tcPr>
          <w:p w14:paraId="590A6E6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810.026</w:t>
            </w:r>
          </w:p>
        </w:tc>
        <w:tc>
          <w:tcPr>
            <w:tcW w:w="946" w:type="dxa"/>
            <w:tcBorders>
              <w:top w:val="single" w:sz="4" w:space="0" w:color="auto"/>
            </w:tcBorders>
          </w:tcPr>
          <w:p w14:paraId="0039ED7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9F75C89" w14:textId="77777777" w:rsidTr="008E7938">
        <w:trPr>
          <w:trHeight w:val="829"/>
        </w:trPr>
        <w:tc>
          <w:tcPr>
            <w:tcW w:w="1536" w:type="dxa"/>
          </w:tcPr>
          <w:p w14:paraId="1C2641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1499" w:type="dxa"/>
          </w:tcPr>
          <w:p w14:paraId="029BF8D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49.87±17.79</w:t>
            </w:r>
            <w:r w:rsidRPr="009D4B76">
              <w:rPr>
                <w:rFonts w:eastAsia="Times New Roman" w:cs="Times New Roman"/>
                <w:vertAlign w:val="superscript"/>
                <w:lang w:val="en-GB"/>
              </w:rPr>
              <w:t>a</w:t>
            </w:r>
          </w:p>
        </w:tc>
        <w:tc>
          <w:tcPr>
            <w:tcW w:w="1609" w:type="dxa"/>
          </w:tcPr>
          <w:p w14:paraId="34A6B9C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53.06±14.55</w:t>
            </w:r>
            <w:r w:rsidRPr="009D4B76">
              <w:rPr>
                <w:rFonts w:eastAsia="Times New Roman" w:cs="Times New Roman"/>
                <w:vertAlign w:val="superscript"/>
                <w:lang w:val="en-GB"/>
              </w:rPr>
              <w:t>a</w:t>
            </w:r>
          </w:p>
        </w:tc>
        <w:tc>
          <w:tcPr>
            <w:tcW w:w="1507" w:type="dxa"/>
          </w:tcPr>
          <w:p w14:paraId="7B3302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53.45±25.62</w:t>
            </w:r>
            <w:r w:rsidRPr="009D4B76">
              <w:rPr>
                <w:rFonts w:eastAsia="Times New Roman" w:cs="Times New Roman"/>
                <w:vertAlign w:val="superscript"/>
                <w:lang w:val="en-GB"/>
              </w:rPr>
              <w:t>a</w:t>
            </w:r>
          </w:p>
        </w:tc>
        <w:tc>
          <w:tcPr>
            <w:tcW w:w="1507" w:type="dxa"/>
          </w:tcPr>
          <w:p w14:paraId="6EEB6AF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47.52±19.24</w:t>
            </w:r>
            <w:r w:rsidRPr="009D4B76">
              <w:rPr>
                <w:rFonts w:eastAsia="Times New Roman" w:cs="Times New Roman"/>
                <w:vertAlign w:val="superscript"/>
                <w:lang w:val="en-GB"/>
              </w:rPr>
              <w:t>a</w:t>
            </w:r>
          </w:p>
        </w:tc>
        <w:tc>
          <w:tcPr>
            <w:tcW w:w="931" w:type="dxa"/>
          </w:tcPr>
          <w:p w14:paraId="58731AE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1.065</w:t>
            </w:r>
          </w:p>
        </w:tc>
        <w:tc>
          <w:tcPr>
            <w:tcW w:w="946" w:type="dxa"/>
          </w:tcPr>
          <w:p w14:paraId="52DD2C3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0.365</w:t>
            </w:r>
          </w:p>
        </w:tc>
      </w:tr>
      <w:tr w:rsidR="009D4B76" w:rsidRPr="009D4B76" w14:paraId="72852651" w14:textId="77777777" w:rsidTr="008E7938">
        <w:trPr>
          <w:trHeight w:val="829"/>
        </w:trPr>
        <w:tc>
          <w:tcPr>
            <w:tcW w:w="1536" w:type="dxa"/>
          </w:tcPr>
          <w:p w14:paraId="71A5999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w:t>
            </w:r>
          </w:p>
          <w:p w14:paraId="7902C5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(u/L)</w:t>
            </w:r>
          </w:p>
        </w:tc>
        <w:tc>
          <w:tcPr>
            <w:tcW w:w="1499" w:type="dxa"/>
          </w:tcPr>
          <w:p w14:paraId="7A5018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291.53±75.43</w:t>
            </w:r>
            <w:r w:rsidRPr="009D4B76">
              <w:rPr>
                <w:rFonts w:eastAsia="Times New Roman" w:cs="Times New Roman"/>
                <w:vertAlign w:val="superscript"/>
                <w:lang w:val="en-GB"/>
              </w:rPr>
              <w:t>a</w:t>
            </w:r>
          </w:p>
        </w:tc>
        <w:tc>
          <w:tcPr>
            <w:tcW w:w="1609" w:type="dxa"/>
          </w:tcPr>
          <w:p w14:paraId="6DBEB30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307.07±111.32</w:t>
            </w:r>
            <w:r w:rsidRPr="009D4B76">
              <w:rPr>
                <w:rFonts w:eastAsia="Times New Roman" w:cs="Times New Roman"/>
                <w:vertAlign w:val="superscript"/>
                <w:lang w:val="en-GB"/>
              </w:rPr>
              <w:t>a</w:t>
            </w:r>
          </w:p>
        </w:tc>
        <w:tc>
          <w:tcPr>
            <w:tcW w:w="1507" w:type="dxa"/>
          </w:tcPr>
          <w:p w14:paraId="47E5F4E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181.20±99.46</w:t>
            </w:r>
            <w:r w:rsidRPr="009D4B76">
              <w:rPr>
                <w:rFonts w:eastAsia="Times New Roman" w:cs="Times New Roman"/>
                <w:vertAlign w:val="superscript"/>
                <w:lang w:val="en-GB"/>
              </w:rPr>
              <w:t>b</w:t>
            </w:r>
          </w:p>
        </w:tc>
        <w:tc>
          <w:tcPr>
            <w:tcW w:w="1507" w:type="dxa"/>
          </w:tcPr>
          <w:p w14:paraId="5BF1C73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152.19±85.79</w:t>
            </w:r>
            <w:r w:rsidRPr="009D4B76">
              <w:rPr>
                <w:rFonts w:eastAsia="Times New Roman" w:cs="Times New Roman"/>
                <w:vertAlign w:val="superscript"/>
                <w:lang w:val="en-GB"/>
              </w:rPr>
              <w:t>b</w:t>
            </w:r>
          </w:p>
        </w:tc>
        <w:tc>
          <w:tcPr>
            <w:tcW w:w="931" w:type="dxa"/>
          </w:tcPr>
          <w:p w14:paraId="65738B4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34.755</w:t>
            </w:r>
          </w:p>
        </w:tc>
        <w:tc>
          <w:tcPr>
            <w:tcW w:w="946" w:type="dxa"/>
          </w:tcPr>
          <w:p w14:paraId="1CB1F80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bl>
    <w:p w14:paraId="791BE257" w14:textId="77777777" w:rsidR="009D4B76" w:rsidRPr="009D4B76" w:rsidRDefault="009D4B76" w:rsidP="00EF0641">
      <w:pPr>
        <w:spacing w:after="0" w:line="360" w:lineRule="auto"/>
        <w:jc w:val="both"/>
        <w:rPr>
          <w:rFonts w:eastAsia="Times New Roman" w:cs="Times New Roman"/>
        </w:rPr>
      </w:pPr>
    </w:p>
    <w:p w14:paraId="3DC7199E" w14:textId="77777777"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Key:</w:t>
      </w:r>
    </w:p>
    <w:p w14:paraId="768AB9B6" w14:textId="7AE25682" w:rsidR="009D4B76" w:rsidRPr="009D4B76" w:rsidRDefault="009D4B76" w:rsidP="00EF0641">
      <w:pPr>
        <w:spacing w:after="0" w:line="360" w:lineRule="auto"/>
        <w:jc w:val="both"/>
        <w:rPr>
          <w:rFonts w:eastAsia="Times New Roman" w:cs="Times New Roman"/>
        </w:rPr>
      </w:pPr>
      <w:r w:rsidRPr="009D4B76">
        <w:rPr>
          <w:rFonts w:eastAsia="Times New Roman" w:cs="Times New Roman"/>
        </w:rPr>
        <w:lastRenderedPageBreak/>
        <w:t xml:space="preserve">Values with different superscript </w:t>
      </w:r>
      <w:proofErr w:type="spellStart"/>
      <w:proofErr w:type="gramStart"/>
      <w:r w:rsidRPr="009D4B76">
        <w:rPr>
          <w:rFonts w:eastAsia="Times New Roman" w:cs="Times New Roman"/>
          <w:vertAlign w:val="superscript"/>
        </w:rPr>
        <w:t>a,b</w:t>
      </w:r>
      <w:proofErr w:type="gramEnd"/>
      <w:r w:rsidRPr="009D4B76">
        <w:rPr>
          <w:rFonts w:eastAsia="Times New Roman" w:cs="Times New Roman"/>
          <w:vertAlign w:val="superscript"/>
        </w:rPr>
        <w:t>,c</w:t>
      </w:r>
      <w:proofErr w:type="spellEnd"/>
      <w:r w:rsidRPr="009D4B76">
        <w:rPr>
          <w:rFonts w:eastAsia="Times New Roman" w:cs="Times New Roman"/>
        </w:rPr>
        <w:t xml:space="preserve"> are significantly different at p&lt;0.05.</w:t>
      </w:r>
    </w:p>
    <w:p w14:paraId="0858AED1" w14:textId="16FAB22F"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3b</w:t>
      </w:r>
      <w:r w:rsidRPr="009D4B76">
        <w:rPr>
          <w:rFonts w:eastAsia="Times New Roman" w:cs="Times New Roman"/>
        </w:rPr>
        <w:t xml:space="preserve">: Post hoc for gender comparison of Creatine Kinase and Lactate Dehydrogenase levels of healthy Geriatric study participants and apparently healthy young control participants </w:t>
      </w:r>
    </w:p>
    <w:tbl>
      <w:tblPr>
        <w:tblStyle w:val="TableGrid"/>
        <w:tblW w:w="78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1542"/>
        <w:gridCol w:w="2474"/>
      </w:tblGrid>
      <w:tr w:rsidR="009D4B76" w:rsidRPr="009D4B76" w14:paraId="4E87451C" w14:textId="77777777" w:rsidTr="008E7938">
        <w:trPr>
          <w:trHeight w:val="603"/>
        </w:trPr>
        <w:tc>
          <w:tcPr>
            <w:tcW w:w="3852" w:type="dxa"/>
            <w:tcBorders>
              <w:top w:val="single" w:sz="4" w:space="0" w:color="auto"/>
              <w:bottom w:val="single" w:sz="4" w:space="0" w:color="auto"/>
            </w:tcBorders>
          </w:tcPr>
          <w:p w14:paraId="4D3738A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Groups</w:t>
            </w:r>
          </w:p>
        </w:tc>
        <w:tc>
          <w:tcPr>
            <w:tcW w:w="1542" w:type="dxa"/>
            <w:tcBorders>
              <w:top w:val="single" w:sz="4" w:space="0" w:color="auto"/>
              <w:bottom w:val="single" w:sz="4" w:space="0" w:color="auto"/>
            </w:tcBorders>
          </w:tcPr>
          <w:p w14:paraId="5A8454E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Age (years)</w:t>
            </w:r>
          </w:p>
        </w:tc>
        <w:tc>
          <w:tcPr>
            <w:tcW w:w="2474" w:type="dxa"/>
            <w:tcBorders>
              <w:top w:val="single" w:sz="4" w:space="0" w:color="auto"/>
              <w:bottom w:val="single" w:sz="4" w:space="0" w:color="auto"/>
            </w:tcBorders>
          </w:tcPr>
          <w:p w14:paraId="21B8EDC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Lactate dehydrogenase</w:t>
            </w:r>
          </w:p>
        </w:tc>
      </w:tr>
      <w:tr w:rsidR="009D4B76" w:rsidRPr="009D4B76" w14:paraId="1408D7B4" w14:textId="77777777" w:rsidTr="008E7938">
        <w:trPr>
          <w:trHeight w:val="603"/>
        </w:trPr>
        <w:tc>
          <w:tcPr>
            <w:tcW w:w="3852" w:type="dxa"/>
            <w:tcBorders>
              <w:top w:val="single" w:sz="4" w:space="0" w:color="auto"/>
            </w:tcBorders>
          </w:tcPr>
          <w:p w14:paraId="36731E2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Female Control</w:t>
            </w:r>
          </w:p>
        </w:tc>
        <w:tc>
          <w:tcPr>
            <w:tcW w:w="1542" w:type="dxa"/>
            <w:tcBorders>
              <w:top w:val="single" w:sz="4" w:space="0" w:color="auto"/>
            </w:tcBorders>
          </w:tcPr>
          <w:p w14:paraId="7957EBD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Borders>
              <w:top w:val="single" w:sz="4" w:space="0" w:color="auto"/>
            </w:tcBorders>
          </w:tcPr>
          <w:p w14:paraId="3CFEBF9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0.413</w:t>
            </w:r>
          </w:p>
        </w:tc>
      </w:tr>
      <w:tr w:rsidR="009D4B76" w:rsidRPr="009D4B76" w14:paraId="39C09D80" w14:textId="77777777" w:rsidTr="008E7938">
        <w:trPr>
          <w:trHeight w:val="603"/>
        </w:trPr>
        <w:tc>
          <w:tcPr>
            <w:tcW w:w="3852" w:type="dxa"/>
          </w:tcPr>
          <w:p w14:paraId="3247D1A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Male Geriatrics</w:t>
            </w:r>
          </w:p>
        </w:tc>
        <w:tc>
          <w:tcPr>
            <w:tcW w:w="1542" w:type="dxa"/>
          </w:tcPr>
          <w:p w14:paraId="0843F06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31698FD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686918C" w14:textId="77777777" w:rsidTr="008E7938">
        <w:trPr>
          <w:trHeight w:val="603"/>
        </w:trPr>
        <w:tc>
          <w:tcPr>
            <w:tcW w:w="3852" w:type="dxa"/>
          </w:tcPr>
          <w:p w14:paraId="2D67024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Female Geriatrics</w:t>
            </w:r>
          </w:p>
        </w:tc>
        <w:tc>
          <w:tcPr>
            <w:tcW w:w="1542" w:type="dxa"/>
          </w:tcPr>
          <w:p w14:paraId="63CF424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212E412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CF28CDF" w14:textId="77777777" w:rsidTr="008E7938">
        <w:trPr>
          <w:trHeight w:val="603"/>
        </w:trPr>
        <w:tc>
          <w:tcPr>
            <w:tcW w:w="3852" w:type="dxa"/>
          </w:tcPr>
          <w:p w14:paraId="738A5E8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Female Control vs Male Geriatrics</w:t>
            </w:r>
          </w:p>
        </w:tc>
        <w:tc>
          <w:tcPr>
            <w:tcW w:w="1542" w:type="dxa"/>
          </w:tcPr>
          <w:p w14:paraId="1E5A5E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0BE28AC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5B81840F" w14:textId="77777777" w:rsidTr="008E7938">
        <w:trPr>
          <w:trHeight w:val="574"/>
        </w:trPr>
        <w:tc>
          <w:tcPr>
            <w:tcW w:w="3852" w:type="dxa"/>
          </w:tcPr>
          <w:p w14:paraId="501310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Female Control vs Female Geriatrics</w:t>
            </w:r>
          </w:p>
        </w:tc>
        <w:tc>
          <w:tcPr>
            <w:tcW w:w="1542" w:type="dxa"/>
          </w:tcPr>
          <w:p w14:paraId="067338C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0D56F1A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546B3DE6" w14:textId="77777777" w:rsidTr="008E7938">
        <w:trPr>
          <w:trHeight w:val="603"/>
        </w:trPr>
        <w:tc>
          <w:tcPr>
            <w:tcW w:w="3852" w:type="dxa"/>
          </w:tcPr>
          <w:p w14:paraId="12B41EF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 xml:space="preserve">Male Geriatrics vs Female Geriatrics </w:t>
            </w:r>
          </w:p>
        </w:tc>
        <w:tc>
          <w:tcPr>
            <w:tcW w:w="1542" w:type="dxa"/>
          </w:tcPr>
          <w:p w14:paraId="2315030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0.603</w:t>
            </w:r>
          </w:p>
        </w:tc>
        <w:tc>
          <w:tcPr>
            <w:tcW w:w="2474" w:type="dxa"/>
          </w:tcPr>
          <w:p w14:paraId="78223C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0.127</w:t>
            </w:r>
          </w:p>
        </w:tc>
      </w:tr>
    </w:tbl>
    <w:p w14:paraId="05F55302" w14:textId="77777777" w:rsidR="009D4B76" w:rsidRDefault="009D4B76" w:rsidP="00EF0641">
      <w:pPr>
        <w:spacing w:after="0" w:line="360" w:lineRule="auto"/>
        <w:jc w:val="both"/>
        <w:rPr>
          <w:rFonts w:eastAsia="Times New Roman" w:cs="Times New Roman"/>
        </w:rPr>
      </w:pPr>
    </w:p>
    <w:p w14:paraId="121F5469" w14:textId="4EF26D2F"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Table 4 shows the comparison of Creatine Kinase and Lactate Dehydrogenase levels of healthy Geriatric study participants &lt; 70 years of age and healthy Geriatrics ≥ 70 years of age. Geriatrics less than 70 years of age had a lower mean creatine kinase level (46.04±21.85) when compare with Geriatric of 70 years and older (54.82±22.52), although the difference was not statistically significant (p = 0.051).</w:t>
      </w:r>
    </w:p>
    <w:p w14:paraId="105AFC2B" w14:textId="4F2E818D"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The lactate dehydrogenase level of Geriatrics younger than 70 years (193.16±116.00) was significantly higher than that of Geriatrics ≥ 70 years (135.61±43.07) (p=0.000).</w:t>
      </w:r>
    </w:p>
    <w:p w14:paraId="0D88A94F" w14:textId="77777777" w:rsidR="009D4B76" w:rsidRPr="009D4B76" w:rsidRDefault="009D4B76" w:rsidP="00EF0641">
      <w:pPr>
        <w:spacing w:after="0" w:line="360" w:lineRule="auto"/>
        <w:jc w:val="both"/>
        <w:rPr>
          <w:rFonts w:eastAsia="Times New Roman" w:cs="Times New Roman"/>
          <w:b/>
        </w:rPr>
      </w:pPr>
    </w:p>
    <w:p w14:paraId="77856D1F" w14:textId="3287A3D9"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4</w:t>
      </w:r>
      <w:r w:rsidRPr="009D4B76">
        <w:rPr>
          <w:rFonts w:eastAsia="Times New Roman" w:cs="Times New Roman"/>
        </w:rPr>
        <w:t>: Comparison of Creatine Kinase and Lactate Dehydrogenase levels of healthy Geriatric study participants &lt; 70 years of age and healthy Geriatrics ≥ 70 years of age using Independent sample t-test</w:t>
      </w:r>
    </w:p>
    <w:p w14:paraId="54B837DF" w14:textId="77777777" w:rsidR="009D4B76" w:rsidRPr="009D4B76" w:rsidRDefault="009D4B76" w:rsidP="00EF0641">
      <w:pPr>
        <w:spacing w:after="0" w:line="360" w:lineRule="auto"/>
        <w:jc w:val="both"/>
        <w:rPr>
          <w:rFonts w:eastAsia="Times New Roman" w:cs="Times New Roman"/>
        </w:rPr>
      </w:pPr>
    </w:p>
    <w:tbl>
      <w:tblPr>
        <w:tblStyle w:val="TableGrid"/>
        <w:tblW w:w="8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362"/>
        <w:gridCol w:w="2407"/>
        <w:gridCol w:w="1018"/>
        <w:gridCol w:w="1041"/>
      </w:tblGrid>
      <w:tr w:rsidR="009D4B76" w:rsidRPr="009D4B76" w14:paraId="41565ECD" w14:textId="77777777" w:rsidTr="008E7938">
        <w:trPr>
          <w:trHeight w:val="1367"/>
        </w:trPr>
        <w:tc>
          <w:tcPr>
            <w:tcW w:w="1706" w:type="dxa"/>
            <w:tcBorders>
              <w:top w:val="single" w:sz="4" w:space="0" w:color="auto"/>
              <w:bottom w:val="single" w:sz="4" w:space="0" w:color="auto"/>
            </w:tcBorders>
          </w:tcPr>
          <w:p w14:paraId="3A44385C" w14:textId="77777777" w:rsidR="009D4B76" w:rsidRPr="009D4B76" w:rsidRDefault="009D4B76" w:rsidP="00EF0641">
            <w:pPr>
              <w:spacing w:after="0" w:line="360" w:lineRule="auto"/>
              <w:jc w:val="both"/>
              <w:rPr>
                <w:rFonts w:eastAsia="Times New Roman" w:cs="Times New Roman"/>
                <w:b/>
                <w:lang w:val="en-GB"/>
              </w:rPr>
            </w:pPr>
          </w:p>
          <w:p w14:paraId="6632ECC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2362" w:type="dxa"/>
            <w:tcBorders>
              <w:top w:val="single" w:sz="4" w:space="0" w:color="auto"/>
              <w:bottom w:val="single" w:sz="4" w:space="0" w:color="auto"/>
            </w:tcBorders>
          </w:tcPr>
          <w:p w14:paraId="4AB343F9" w14:textId="77777777" w:rsidR="009D4B76" w:rsidRPr="009D4B76" w:rsidRDefault="009D4B76" w:rsidP="00EF0641">
            <w:pPr>
              <w:spacing w:after="0" w:line="360" w:lineRule="auto"/>
              <w:jc w:val="both"/>
              <w:rPr>
                <w:rFonts w:eastAsia="Times New Roman" w:cs="Times New Roman"/>
                <w:b/>
                <w:lang w:val="en-GB"/>
              </w:rPr>
            </w:pPr>
          </w:p>
          <w:p w14:paraId="5A43769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&lt; 70 years</w:t>
            </w:r>
          </w:p>
          <w:p w14:paraId="692904C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(n=52)</w:t>
            </w:r>
          </w:p>
        </w:tc>
        <w:tc>
          <w:tcPr>
            <w:tcW w:w="2407" w:type="dxa"/>
            <w:tcBorders>
              <w:top w:val="single" w:sz="4" w:space="0" w:color="auto"/>
              <w:bottom w:val="single" w:sz="4" w:space="0" w:color="auto"/>
            </w:tcBorders>
          </w:tcPr>
          <w:p w14:paraId="65A9072E" w14:textId="77777777" w:rsidR="009D4B76" w:rsidRPr="009D4B76" w:rsidRDefault="009D4B76" w:rsidP="00EF0641">
            <w:pPr>
              <w:spacing w:after="0" w:line="360" w:lineRule="auto"/>
              <w:jc w:val="both"/>
              <w:rPr>
                <w:rFonts w:eastAsia="Times New Roman" w:cs="Times New Roman"/>
                <w:b/>
                <w:lang w:val="en-GB"/>
              </w:rPr>
            </w:pPr>
          </w:p>
          <w:p w14:paraId="2085551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 70 years</w:t>
            </w:r>
          </w:p>
          <w:p w14:paraId="361E23F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(n=48)</w:t>
            </w:r>
          </w:p>
        </w:tc>
        <w:tc>
          <w:tcPr>
            <w:tcW w:w="1018" w:type="dxa"/>
            <w:tcBorders>
              <w:top w:val="single" w:sz="4" w:space="0" w:color="auto"/>
              <w:bottom w:val="single" w:sz="4" w:space="0" w:color="auto"/>
            </w:tcBorders>
          </w:tcPr>
          <w:p w14:paraId="3D5718BE" w14:textId="77777777" w:rsidR="009D4B76" w:rsidRPr="009D4B76" w:rsidRDefault="009D4B76" w:rsidP="00EF0641">
            <w:pPr>
              <w:spacing w:after="0" w:line="360" w:lineRule="auto"/>
              <w:jc w:val="both"/>
              <w:rPr>
                <w:rFonts w:eastAsia="Times New Roman" w:cs="Times New Roman"/>
                <w:b/>
                <w:lang w:val="en-GB"/>
              </w:rPr>
            </w:pPr>
          </w:p>
          <w:p w14:paraId="515D129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t-value</w:t>
            </w:r>
          </w:p>
        </w:tc>
        <w:tc>
          <w:tcPr>
            <w:tcW w:w="1041" w:type="dxa"/>
            <w:tcBorders>
              <w:top w:val="single" w:sz="4" w:space="0" w:color="auto"/>
              <w:bottom w:val="single" w:sz="4" w:space="0" w:color="auto"/>
            </w:tcBorders>
          </w:tcPr>
          <w:p w14:paraId="7A9EA4A2" w14:textId="77777777" w:rsidR="009D4B76" w:rsidRPr="009D4B76" w:rsidRDefault="009D4B76" w:rsidP="00EF0641">
            <w:pPr>
              <w:spacing w:after="0" w:line="360" w:lineRule="auto"/>
              <w:jc w:val="both"/>
              <w:rPr>
                <w:rFonts w:eastAsia="Times New Roman" w:cs="Times New Roman"/>
                <w:b/>
                <w:lang w:val="en-GB"/>
              </w:rPr>
            </w:pPr>
          </w:p>
          <w:p w14:paraId="331ED82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64584185" w14:textId="77777777" w:rsidTr="008E7938">
        <w:trPr>
          <w:trHeight w:val="1053"/>
        </w:trPr>
        <w:tc>
          <w:tcPr>
            <w:tcW w:w="1706" w:type="dxa"/>
            <w:tcBorders>
              <w:top w:val="single" w:sz="4" w:space="0" w:color="auto"/>
            </w:tcBorders>
          </w:tcPr>
          <w:p w14:paraId="297FBF22" w14:textId="77777777" w:rsidR="009D4B76" w:rsidRPr="009D4B76" w:rsidRDefault="009D4B76" w:rsidP="00EF0641">
            <w:pPr>
              <w:spacing w:after="0" w:line="360" w:lineRule="auto"/>
              <w:jc w:val="both"/>
              <w:rPr>
                <w:rFonts w:eastAsia="Times New Roman" w:cs="Times New Roman"/>
                <w:lang w:val="en-GB"/>
              </w:rPr>
            </w:pPr>
          </w:p>
          <w:p w14:paraId="24D43AF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p w14:paraId="7CE6F7BC" w14:textId="77777777" w:rsidR="009D4B76" w:rsidRPr="009D4B76" w:rsidRDefault="009D4B76" w:rsidP="00EF0641">
            <w:pPr>
              <w:spacing w:after="0" w:line="360" w:lineRule="auto"/>
              <w:jc w:val="both"/>
              <w:rPr>
                <w:rFonts w:eastAsia="Times New Roman" w:cs="Times New Roman"/>
                <w:lang w:val="en-GB"/>
              </w:rPr>
            </w:pPr>
          </w:p>
        </w:tc>
        <w:tc>
          <w:tcPr>
            <w:tcW w:w="2362" w:type="dxa"/>
            <w:tcBorders>
              <w:top w:val="single" w:sz="4" w:space="0" w:color="auto"/>
            </w:tcBorders>
          </w:tcPr>
          <w:p w14:paraId="43BAD79D" w14:textId="77777777" w:rsidR="009D4B76" w:rsidRPr="009D4B76" w:rsidRDefault="009D4B76" w:rsidP="00EF0641">
            <w:pPr>
              <w:spacing w:after="0" w:line="360" w:lineRule="auto"/>
              <w:jc w:val="both"/>
              <w:rPr>
                <w:rFonts w:eastAsia="Times New Roman" w:cs="Times New Roman"/>
                <w:lang w:val="en-GB"/>
              </w:rPr>
            </w:pPr>
          </w:p>
          <w:p w14:paraId="71EE86A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46.04±21.85</w:t>
            </w:r>
          </w:p>
        </w:tc>
        <w:tc>
          <w:tcPr>
            <w:tcW w:w="2407" w:type="dxa"/>
            <w:tcBorders>
              <w:top w:val="single" w:sz="4" w:space="0" w:color="auto"/>
            </w:tcBorders>
          </w:tcPr>
          <w:p w14:paraId="66B0FF6C" w14:textId="77777777" w:rsidR="009D4B76" w:rsidRPr="009D4B76" w:rsidRDefault="009D4B76" w:rsidP="00EF0641">
            <w:pPr>
              <w:spacing w:after="0" w:line="360" w:lineRule="auto"/>
              <w:jc w:val="both"/>
              <w:rPr>
                <w:rFonts w:eastAsia="Times New Roman" w:cs="Times New Roman"/>
                <w:lang w:val="en-GB"/>
              </w:rPr>
            </w:pPr>
          </w:p>
          <w:p w14:paraId="2F43C02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54.82±22.52</w:t>
            </w:r>
          </w:p>
        </w:tc>
        <w:tc>
          <w:tcPr>
            <w:tcW w:w="1018" w:type="dxa"/>
            <w:tcBorders>
              <w:top w:val="single" w:sz="4" w:space="0" w:color="auto"/>
            </w:tcBorders>
          </w:tcPr>
          <w:p w14:paraId="552F83EA" w14:textId="77777777" w:rsidR="009D4B76" w:rsidRPr="009D4B76" w:rsidRDefault="009D4B76" w:rsidP="00EF0641">
            <w:pPr>
              <w:spacing w:after="0" w:line="360" w:lineRule="auto"/>
              <w:jc w:val="both"/>
              <w:rPr>
                <w:rFonts w:eastAsia="Times New Roman" w:cs="Times New Roman"/>
                <w:lang w:val="en-GB"/>
              </w:rPr>
            </w:pPr>
          </w:p>
          <w:p w14:paraId="1AE4897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1.979</w:t>
            </w:r>
          </w:p>
        </w:tc>
        <w:tc>
          <w:tcPr>
            <w:tcW w:w="1041" w:type="dxa"/>
            <w:tcBorders>
              <w:top w:val="single" w:sz="4" w:space="0" w:color="auto"/>
            </w:tcBorders>
          </w:tcPr>
          <w:p w14:paraId="4C7B6650" w14:textId="77777777" w:rsidR="009D4B76" w:rsidRPr="009D4B76" w:rsidRDefault="009D4B76" w:rsidP="00EF0641">
            <w:pPr>
              <w:spacing w:after="0" w:line="360" w:lineRule="auto"/>
              <w:jc w:val="both"/>
              <w:rPr>
                <w:rFonts w:eastAsia="Times New Roman" w:cs="Times New Roman"/>
                <w:lang w:val="en-GB"/>
              </w:rPr>
            </w:pPr>
          </w:p>
          <w:p w14:paraId="3510E61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0.051</w:t>
            </w:r>
          </w:p>
        </w:tc>
      </w:tr>
      <w:tr w:rsidR="009D4B76" w:rsidRPr="009D4B76" w14:paraId="21EAFE78" w14:textId="77777777" w:rsidTr="008E7938">
        <w:trPr>
          <w:trHeight w:val="1232"/>
        </w:trPr>
        <w:tc>
          <w:tcPr>
            <w:tcW w:w="1706" w:type="dxa"/>
          </w:tcPr>
          <w:p w14:paraId="28D66F7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w:t>
            </w:r>
          </w:p>
          <w:p w14:paraId="45802F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(u/L)</w:t>
            </w:r>
          </w:p>
        </w:tc>
        <w:tc>
          <w:tcPr>
            <w:tcW w:w="2362" w:type="dxa"/>
          </w:tcPr>
          <w:p w14:paraId="61A5963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193.16±116.00</w:t>
            </w:r>
          </w:p>
        </w:tc>
        <w:tc>
          <w:tcPr>
            <w:tcW w:w="2407" w:type="dxa"/>
          </w:tcPr>
          <w:p w14:paraId="287FB15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135.61±43.07</w:t>
            </w:r>
          </w:p>
        </w:tc>
        <w:tc>
          <w:tcPr>
            <w:tcW w:w="1018" w:type="dxa"/>
          </w:tcPr>
          <w:p w14:paraId="45C415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3.337</w:t>
            </w:r>
          </w:p>
        </w:tc>
        <w:tc>
          <w:tcPr>
            <w:tcW w:w="1041" w:type="dxa"/>
          </w:tcPr>
          <w:p w14:paraId="0E710C2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0.001*</w:t>
            </w:r>
          </w:p>
        </w:tc>
      </w:tr>
    </w:tbl>
    <w:p w14:paraId="4F310913" w14:textId="77777777" w:rsidR="009D4B76" w:rsidRPr="009D4B76" w:rsidRDefault="009D4B76" w:rsidP="00EF0641">
      <w:pPr>
        <w:spacing w:after="0" w:line="360" w:lineRule="auto"/>
        <w:jc w:val="both"/>
        <w:rPr>
          <w:rFonts w:eastAsia="Times New Roman" w:cs="Times New Roman"/>
        </w:rPr>
      </w:pPr>
    </w:p>
    <w:p w14:paraId="273602AF"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xml:space="preserve">: </w:t>
      </w:r>
    </w:p>
    <w:p w14:paraId="5E11B2D0"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 Values are significant at p&lt; 0.05. </w:t>
      </w:r>
    </w:p>
    <w:p w14:paraId="2B677B6B" w14:textId="77777777" w:rsidR="009D4B76" w:rsidRDefault="009D4B76" w:rsidP="00EF0641">
      <w:pPr>
        <w:spacing w:after="0" w:line="360" w:lineRule="auto"/>
        <w:jc w:val="both"/>
        <w:rPr>
          <w:rFonts w:eastAsia="Times New Roman" w:cs="Times New Roman"/>
        </w:rPr>
      </w:pPr>
    </w:p>
    <w:p w14:paraId="0AB4BA90" w14:textId="0A1B7EDE" w:rsidR="009D4B76" w:rsidRPr="009D4B76" w:rsidRDefault="009D4B76" w:rsidP="00EF0641">
      <w:pPr>
        <w:spacing w:after="0" w:line="360" w:lineRule="auto"/>
        <w:jc w:val="both"/>
        <w:rPr>
          <w:rFonts w:eastAsia="Times New Roman" w:cs="Times New Roman"/>
        </w:rPr>
      </w:pPr>
      <w:r w:rsidRPr="009D4B76">
        <w:rPr>
          <w:rFonts w:eastAsia="Times New Roman" w:cs="Times New Roman"/>
        </w:rPr>
        <w:t>Figure 2 shows the prediction of Geriatric status using Creatine kinase or Lactate dehydrogenase values of study participants</w:t>
      </w:r>
      <w:proofErr w:type="gramStart"/>
      <w:r w:rsidRPr="009D4B76">
        <w:rPr>
          <w:rFonts w:eastAsia="Times New Roman" w:cs="Times New Roman"/>
        </w:rPr>
        <w:t>. .</w:t>
      </w:r>
      <w:proofErr w:type="gramEnd"/>
      <w:r w:rsidRPr="009D4B76">
        <w:rPr>
          <w:rFonts w:eastAsia="Times New Roman" w:cs="Times New Roman"/>
        </w:rPr>
        <w:t xml:space="preserve"> With an area under curve (AUC) of 0.447(0.366 – 0.527), Creatine kinase was not a significant predictor of Geriatric status (p=0.192). With an area under curve (AUC) of 0.660 (0.602 – 0.719), lactate dehydrogenase was a significant predictor of Geriatric status (p &lt; 0.001).</w:t>
      </w:r>
    </w:p>
    <w:p w14:paraId="5265CBB3" w14:textId="77777777" w:rsidR="009D4B76" w:rsidRPr="009D4B76" w:rsidRDefault="009D4B76" w:rsidP="00EF0641">
      <w:pPr>
        <w:spacing w:after="0" w:line="360" w:lineRule="auto"/>
        <w:jc w:val="both"/>
        <w:rPr>
          <w:rFonts w:eastAsia="Times New Roman" w:cs="Times New Roman"/>
        </w:rPr>
      </w:pPr>
    </w:p>
    <w:p w14:paraId="2644845F" w14:textId="77777777" w:rsidR="009D4B76" w:rsidRPr="009D4B76" w:rsidRDefault="009D4B76" w:rsidP="00EF0641">
      <w:pPr>
        <w:spacing w:after="0" w:line="360" w:lineRule="auto"/>
        <w:jc w:val="both"/>
        <w:rPr>
          <w:rFonts w:eastAsia="Times New Roman" w:cs="Times New Roman"/>
        </w:rPr>
      </w:pPr>
    </w:p>
    <w:p w14:paraId="2D96EB08" w14:textId="77777777" w:rsidR="009D4B76" w:rsidRPr="009D4B76" w:rsidRDefault="009D4B76" w:rsidP="00EF0641">
      <w:pPr>
        <w:spacing w:after="0" w:line="360" w:lineRule="auto"/>
        <w:jc w:val="both"/>
        <w:rPr>
          <w:rFonts w:eastAsia="Times New Roman" w:cs="Times New Roman"/>
        </w:rPr>
      </w:pPr>
    </w:p>
    <w:p w14:paraId="11C3666E" w14:textId="77777777" w:rsidR="009D4B76" w:rsidRPr="009D4B76" w:rsidRDefault="009D4B76" w:rsidP="00EF0641">
      <w:pPr>
        <w:spacing w:after="0" w:line="360" w:lineRule="auto"/>
        <w:jc w:val="both"/>
        <w:rPr>
          <w:rFonts w:eastAsia="Times New Roman" w:cs="Times New Roman"/>
        </w:rPr>
      </w:pPr>
    </w:p>
    <w:p w14:paraId="2B99042B" w14:textId="77777777" w:rsidR="009D4B76" w:rsidRPr="009D4B76" w:rsidRDefault="009D4B76" w:rsidP="00EF0641">
      <w:pPr>
        <w:spacing w:after="0" w:line="360" w:lineRule="auto"/>
        <w:jc w:val="both"/>
        <w:rPr>
          <w:rFonts w:eastAsia="Times New Roman" w:cs="Times New Roman"/>
        </w:rPr>
      </w:pPr>
    </w:p>
    <w:p w14:paraId="04C4DBF3" w14:textId="3BF67D08" w:rsidR="009D4B76" w:rsidRPr="009D4B76" w:rsidRDefault="009D4B76" w:rsidP="00EF0641">
      <w:pPr>
        <w:spacing w:after="0" w:line="360" w:lineRule="auto"/>
        <w:jc w:val="both"/>
        <w:rPr>
          <w:rFonts w:eastAsia="Times New Roman" w:cs="Times New Roman"/>
        </w:rPr>
      </w:pPr>
      <w:r w:rsidRPr="009D4B76">
        <w:rPr>
          <w:rFonts w:eastAsia="Times New Roman" w:cs="Times New Roman"/>
          <w:noProof/>
        </w:rPr>
        <w:lastRenderedPageBreak/>
        <w:drawing>
          <wp:inline distT="0" distB="0" distL="0" distR="0" wp14:anchorId="07519ECC" wp14:editId="6145A36B">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54880"/>
                    </a:xfrm>
                    <a:prstGeom prst="rect">
                      <a:avLst/>
                    </a:prstGeom>
                    <a:noFill/>
                    <a:ln>
                      <a:noFill/>
                    </a:ln>
                  </pic:spPr>
                </pic:pic>
              </a:graphicData>
            </a:graphic>
          </wp:inline>
        </w:drawing>
      </w:r>
    </w:p>
    <w:p w14:paraId="0F36B692" w14:textId="0D612A15"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 xml:space="preserve">Figure 2: </w:t>
      </w:r>
      <w:r w:rsidRPr="009D4B76">
        <w:rPr>
          <w:rFonts w:eastAsia="Times New Roman" w:cs="Times New Roman"/>
        </w:rPr>
        <w:t xml:space="preserve">Prediction of Geriatric age using Creatine kinase or Lactate dehydrogenase values of study participants </w:t>
      </w:r>
    </w:p>
    <w:p w14:paraId="5E2499A7" w14:textId="22DBFFA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5:</w:t>
      </w:r>
      <w:r w:rsidRPr="009D4B76">
        <w:rPr>
          <w:rFonts w:eastAsia="Times New Roman" w:cs="Times New Roman"/>
        </w:rPr>
        <w:t xml:space="preserve"> Prediction of Geriatric age using Creatine kinase or Lactate dehydrogenase values of study participants as shown in Figure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070"/>
        <w:gridCol w:w="2250"/>
        <w:gridCol w:w="1012"/>
      </w:tblGrid>
      <w:tr w:rsidR="009D4B76" w:rsidRPr="009D4B76" w14:paraId="0C44E610" w14:textId="77777777" w:rsidTr="008E7938">
        <w:trPr>
          <w:trHeight w:val="683"/>
        </w:trPr>
        <w:tc>
          <w:tcPr>
            <w:tcW w:w="2965" w:type="dxa"/>
            <w:tcBorders>
              <w:top w:val="single" w:sz="4" w:space="0" w:color="auto"/>
              <w:bottom w:val="single" w:sz="4" w:space="0" w:color="auto"/>
            </w:tcBorders>
          </w:tcPr>
          <w:p w14:paraId="3D278564" w14:textId="77777777" w:rsidR="009D4B76" w:rsidRPr="009D4B76" w:rsidRDefault="009D4B76" w:rsidP="00EF0641">
            <w:pPr>
              <w:spacing w:after="0" w:line="360" w:lineRule="auto"/>
              <w:jc w:val="both"/>
              <w:rPr>
                <w:rFonts w:eastAsia="Times New Roman" w:cs="Times New Roman"/>
                <w:lang w:val="en-GB"/>
              </w:rPr>
            </w:pPr>
          </w:p>
        </w:tc>
        <w:tc>
          <w:tcPr>
            <w:tcW w:w="2070" w:type="dxa"/>
            <w:tcBorders>
              <w:top w:val="single" w:sz="4" w:space="0" w:color="auto"/>
              <w:bottom w:val="single" w:sz="4" w:space="0" w:color="auto"/>
            </w:tcBorders>
          </w:tcPr>
          <w:p w14:paraId="3035327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Area Under Curve (AUC)</w:t>
            </w:r>
          </w:p>
        </w:tc>
        <w:tc>
          <w:tcPr>
            <w:tcW w:w="2250" w:type="dxa"/>
            <w:tcBorders>
              <w:top w:val="single" w:sz="4" w:space="0" w:color="auto"/>
              <w:bottom w:val="single" w:sz="4" w:space="0" w:color="auto"/>
            </w:tcBorders>
          </w:tcPr>
          <w:p w14:paraId="03DE7AC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95% Confidence interval</w:t>
            </w:r>
          </w:p>
        </w:tc>
        <w:tc>
          <w:tcPr>
            <w:tcW w:w="1012" w:type="dxa"/>
            <w:tcBorders>
              <w:top w:val="single" w:sz="4" w:space="0" w:color="auto"/>
              <w:bottom w:val="single" w:sz="4" w:space="0" w:color="auto"/>
            </w:tcBorders>
          </w:tcPr>
          <w:p w14:paraId="0918822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17C28842" w14:textId="77777777" w:rsidTr="008E7938">
        <w:trPr>
          <w:trHeight w:val="800"/>
        </w:trPr>
        <w:tc>
          <w:tcPr>
            <w:tcW w:w="2965" w:type="dxa"/>
            <w:tcBorders>
              <w:top w:val="single" w:sz="4" w:space="0" w:color="auto"/>
            </w:tcBorders>
          </w:tcPr>
          <w:p w14:paraId="4A3A9E8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2070" w:type="dxa"/>
            <w:tcBorders>
              <w:top w:val="single" w:sz="4" w:space="0" w:color="auto"/>
            </w:tcBorders>
          </w:tcPr>
          <w:p w14:paraId="45E042B0" w14:textId="77777777" w:rsidR="009D4B76" w:rsidRPr="009D4B76" w:rsidRDefault="009D4B76" w:rsidP="00EF0641">
            <w:pPr>
              <w:spacing w:after="0" w:line="360" w:lineRule="auto"/>
              <w:jc w:val="both"/>
              <w:rPr>
                <w:rFonts w:eastAsia="Times New Roman" w:cs="Times New Roman"/>
                <w:lang w:val="en-GB"/>
              </w:rPr>
            </w:pPr>
          </w:p>
          <w:p w14:paraId="476B22C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0.447</w:t>
            </w:r>
          </w:p>
        </w:tc>
        <w:tc>
          <w:tcPr>
            <w:tcW w:w="2250" w:type="dxa"/>
            <w:tcBorders>
              <w:top w:val="single" w:sz="4" w:space="0" w:color="auto"/>
            </w:tcBorders>
          </w:tcPr>
          <w:p w14:paraId="7421A852" w14:textId="77777777" w:rsidR="009D4B76" w:rsidRPr="009D4B76" w:rsidRDefault="009D4B76" w:rsidP="00EF0641">
            <w:pPr>
              <w:spacing w:after="0" w:line="360" w:lineRule="auto"/>
              <w:jc w:val="both"/>
              <w:rPr>
                <w:rFonts w:eastAsia="Times New Roman" w:cs="Times New Roman"/>
                <w:lang w:val="en-GB"/>
              </w:rPr>
            </w:pPr>
          </w:p>
          <w:p w14:paraId="4A4339F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0.366 – 0.527</w:t>
            </w:r>
          </w:p>
        </w:tc>
        <w:tc>
          <w:tcPr>
            <w:tcW w:w="1012" w:type="dxa"/>
            <w:tcBorders>
              <w:top w:val="single" w:sz="4" w:space="0" w:color="auto"/>
            </w:tcBorders>
          </w:tcPr>
          <w:p w14:paraId="1012989D" w14:textId="77777777" w:rsidR="009D4B76" w:rsidRPr="009D4B76" w:rsidRDefault="009D4B76" w:rsidP="00EF0641">
            <w:pPr>
              <w:spacing w:after="0" w:line="360" w:lineRule="auto"/>
              <w:jc w:val="both"/>
              <w:rPr>
                <w:rFonts w:eastAsia="Times New Roman" w:cs="Times New Roman"/>
                <w:lang w:val="en-GB"/>
              </w:rPr>
            </w:pPr>
          </w:p>
          <w:p w14:paraId="34756C2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0.192</w:t>
            </w:r>
          </w:p>
        </w:tc>
      </w:tr>
      <w:tr w:rsidR="009D4B76" w:rsidRPr="009D4B76" w14:paraId="3C80D9E9" w14:textId="77777777" w:rsidTr="008E7938">
        <w:trPr>
          <w:trHeight w:val="539"/>
        </w:trPr>
        <w:tc>
          <w:tcPr>
            <w:tcW w:w="2965" w:type="dxa"/>
          </w:tcPr>
          <w:p w14:paraId="1CF204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 (u/L)</w:t>
            </w:r>
          </w:p>
        </w:tc>
        <w:tc>
          <w:tcPr>
            <w:tcW w:w="2070" w:type="dxa"/>
          </w:tcPr>
          <w:p w14:paraId="0B912EE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0.660</w:t>
            </w:r>
          </w:p>
        </w:tc>
        <w:tc>
          <w:tcPr>
            <w:tcW w:w="2250" w:type="dxa"/>
          </w:tcPr>
          <w:p w14:paraId="5BC1FE4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0.602 – 0.719</w:t>
            </w:r>
          </w:p>
        </w:tc>
        <w:tc>
          <w:tcPr>
            <w:tcW w:w="1012" w:type="dxa"/>
          </w:tcPr>
          <w:p w14:paraId="3C44F5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7050A950" w14:textId="77777777" w:rsidTr="008E7938">
        <w:trPr>
          <w:trHeight w:val="881"/>
        </w:trPr>
        <w:tc>
          <w:tcPr>
            <w:tcW w:w="2965" w:type="dxa"/>
          </w:tcPr>
          <w:p w14:paraId="363494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Sex</w:t>
            </w:r>
          </w:p>
        </w:tc>
        <w:tc>
          <w:tcPr>
            <w:tcW w:w="2070" w:type="dxa"/>
          </w:tcPr>
          <w:p w14:paraId="1A39040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0.041</w:t>
            </w:r>
          </w:p>
        </w:tc>
        <w:tc>
          <w:tcPr>
            <w:tcW w:w="2250" w:type="dxa"/>
          </w:tcPr>
          <w:p w14:paraId="185B22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0.420 – 0.580</w:t>
            </w:r>
          </w:p>
        </w:tc>
        <w:tc>
          <w:tcPr>
            <w:tcW w:w="1012" w:type="dxa"/>
          </w:tcPr>
          <w:p w14:paraId="7B3D0E0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0.989</w:t>
            </w:r>
          </w:p>
        </w:tc>
      </w:tr>
    </w:tbl>
    <w:p w14:paraId="3495524F" w14:textId="77777777" w:rsidR="009D4B76" w:rsidRPr="009D4B76" w:rsidRDefault="009D4B76" w:rsidP="00EF0641">
      <w:pPr>
        <w:spacing w:after="0" w:line="360" w:lineRule="auto"/>
        <w:jc w:val="both"/>
        <w:rPr>
          <w:rFonts w:eastAsia="Times New Roman" w:cs="Times New Roman"/>
        </w:rPr>
      </w:pPr>
    </w:p>
    <w:p w14:paraId="5F8379CA" w14:textId="77777777" w:rsidR="009D4B76" w:rsidRPr="009D4B76" w:rsidRDefault="009D4B76" w:rsidP="00EF0641">
      <w:pPr>
        <w:spacing w:after="0" w:line="360" w:lineRule="auto"/>
        <w:jc w:val="both"/>
        <w:rPr>
          <w:rFonts w:eastAsia="Times New Roman" w:cs="Times New Roman"/>
        </w:rPr>
      </w:pPr>
    </w:p>
    <w:p w14:paraId="32F0E2E4" w14:textId="7CD25E08" w:rsidR="009D4B76" w:rsidRPr="009D4B76" w:rsidRDefault="009D4B76" w:rsidP="00EF0641">
      <w:pPr>
        <w:spacing w:after="0" w:line="360" w:lineRule="auto"/>
        <w:jc w:val="both"/>
        <w:rPr>
          <w:rFonts w:eastAsia="Times New Roman" w:cs="Times New Roman"/>
        </w:rPr>
      </w:pPr>
      <w:r w:rsidRPr="009D4B76">
        <w:rPr>
          <w:rFonts w:eastAsia="Times New Roman" w:cs="Times New Roman"/>
        </w:rPr>
        <w:t>From figure</w:t>
      </w:r>
      <w:r w:rsidR="00AE5FDE">
        <w:rPr>
          <w:rFonts w:eastAsia="Times New Roman" w:cs="Times New Roman"/>
        </w:rPr>
        <w:t xml:space="preserve"> </w:t>
      </w:r>
      <w:r w:rsidRPr="009D4B76">
        <w:rPr>
          <w:rFonts w:eastAsia="Times New Roman" w:cs="Times New Roman"/>
        </w:rPr>
        <w:t>3 which is a scattered plot showing the correlation between lactate dehydrogenase and age, there was a significant negative Pearson’s correlation (Pearson’s = -0.594; Sig=0.000) between lactate dehydrogenase and age of study participants, as lactate dehydrogenase decreased with increasing age.</w:t>
      </w:r>
    </w:p>
    <w:p w14:paraId="5E3D2663"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noProof/>
        </w:rPr>
        <w:drawing>
          <wp:inline distT="0" distB="0" distL="0" distR="0" wp14:anchorId="479B1943" wp14:editId="2424ED91">
            <wp:extent cx="5417820" cy="51892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F68179" w14:textId="7E90EB2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Figure 3</w:t>
      </w:r>
      <w:r w:rsidRPr="009D4B76">
        <w:rPr>
          <w:rFonts w:eastAsia="Times New Roman" w:cs="Times New Roman"/>
        </w:rPr>
        <w:t xml:space="preserve">: Scattered plot show the correlation between lactate dehydrogenase and age </w:t>
      </w:r>
    </w:p>
    <w:p w14:paraId="0DD1F32D" w14:textId="77777777" w:rsidR="009D4B76" w:rsidRPr="009D4B76" w:rsidRDefault="009D4B76" w:rsidP="00EF0641">
      <w:pPr>
        <w:spacing w:after="0" w:line="360" w:lineRule="auto"/>
        <w:jc w:val="both"/>
        <w:rPr>
          <w:rFonts w:eastAsia="Times New Roman" w:cs="Times New Roman"/>
          <w:b/>
        </w:rPr>
      </w:pPr>
    </w:p>
    <w:p w14:paraId="79550A39" w14:textId="6315E0A3"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 xml:space="preserve">DISCUSSION </w:t>
      </w:r>
    </w:p>
    <w:p w14:paraId="4E761981"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This study evaluated the serum activities of Creatine Kinase (CK) and Lactate Dehydrogenase (LDH) in a cohort of apparently healthy geriatric individuals in </w:t>
      </w:r>
      <w:proofErr w:type="spellStart"/>
      <w:r w:rsidRPr="009D4B76">
        <w:rPr>
          <w:rFonts w:eastAsia="Times New Roman" w:cs="Times New Roman"/>
        </w:rPr>
        <w:t>Ekpoma</w:t>
      </w:r>
      <w:proofErr w:type="spellEnd"/>
      <w:r w:rsidRPr="009D4B76">
        <w:rPr>
          <w:rFonts w:eastAsia="Times New Roman" w:cs="Times New Roman"/>
        </w:rPr>
        <w:t xml:space="preserve">, Edo State. Our findings reveal clinically significant age-related alterations in these enzymes, which have profound </w:t>
      </w:r>
      <w:r w:rsidRPr="009D4B76">
        <w:rPr>
          <w:rFonts w:eastAsia="Times New Roman" w:cs="Times New Roman"/>
        </w:rPr>
        <w:lastRenderedPageBreak/>
        <w:t>implications for the interpretation of routine biochemistry in older adults. The most striking observation is the marked decline in LDH activity with advancing age, alongside the relative stability of CK levels in the absence of acute pathology.</w:t>
      </w:r>
    </w:p>
    <w:p w14:paraId="23BD39D0" w14:textId="76D53859"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The significant reduction in mean LDH levels observed in the geriatric cohort compared to younger controls aligns with emerging evidence that LDH decreases as part of normal physiological aging. This decline likely reflects a systemic downregulation of metabolic activity, reduced cellular turnover, and diminished tissue repair capacity in older adults, a concept supported by the work of (Monda</w:t>
      </w:r>
      <w:r w:rsidR="00103984">
        <w:rPr>
          <w:rFonts w:eastAsia="Times New Roman" w:cs="Times New Roman"/>
        </w:rPr>
        <w:t xml:space="preserve"> </w:t>
      </w:r>
      <w:r w:rsidR="00103984">
        <w:rPr>
          <w:rFonts w:eastAsia="Times New Roman" w:cs="Times New Roman"/>
          <w:i/>
          <w:iCs/>
        </w:rPr>
        <w:t xml:space="preserve">et al., </w:t>
      </w:r>
      <w:r w:rsidRPr="009D4B76">
        <w:rPr>
          <w:rFonts w:eastAsia="Times New Roman" w:cs="Times New Roman"/>
        </w:rPr>
        <w:t xml:space="preserve">2021), who similarly documented lower LDH activity in healthy elderly populations. The strong negative correlation between LDH and age further reinforces this physiological shift. Clinically, this challenges the universal application of standard adult reference ranges for LDH. As noted by </w:t>
      </w:r>
      <w:proofErr w:type="spellStart"/>
      <w:r w:rsidRPr="009D4B76">
        <w:rPr>
          <w:rFonts w:eastAsia="Times New Roman" w:cs="Times New Roman"/>
        </w:rPr>
        <w:t>Ozarda</w:t>
      </w:r>
      <w:proofErr w:type="spellEnd"/>
      <w:r w:rsidRPr="009D4B76">
        <w:rPr>
          <w:rFonts w:eastAsia="Times New Roman" w:cs="Times New Roman"/>
        </w:rPr>
        <w:t xml:space="preserve"> (2016), the use of age-stratified reference intervals is critical in geriatric medicine to avoid misinterpretation. A value within the conventional “normal” range for a young adult may, in fact, represent a significant elevation for a healthy older person, potentially masking underlying conditions such as occult hemolysis, malignancy, or ischemic injury.</w:t>
      </w:r>
    </w:p>
    <w:p w14:paraId="2D5FB323" w14:textId="45E2D8BB"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In contrast, the stability of serum CK levels across age groups in this healthy cohort is a reassuring and clinically vital finding. It indicates that in the absence of disease, muscle membrane integrity and myocyte health are largely preserved in aging. This supports the conclusions </w:t>
      </w:r>
      <w:proofErr w:type="gramStart"/>
      <w:r w:rsidRPr="009D4B76">
        <w:rPr>
          <w:rFonts w:eastAsia="Times New Roman" w:cs="Times New Roman"/>
        </w:rPr>
        <w:t>of  (</w:t>
      </w:r>
      <w:proofErr w:type="gramEnd"/>
      <w:r w:rsidRPr="009D4B76">
        <w:rPr>
          <w:rFonts w:eastAsia="Times New Roman" w:cs="Times New Roman"/>
        </w:rPr>
        <w:t>D’Ascoli et al. 2017), who found no significant age-related increase in CK over time in community-dwelling elders. This stability underscores that an elevated CK in an older adult remains a highly specific marker for acute pathology such as myocardial infarction, statin-induced myopathy, or trauma and should prompt the same clinical urgency as in younger patients, as emphasized by (Khan</w:t>
      </w:r>
      <w:r w:rsidR="00103984">
        <w:rPr>
          <w:rFonts w:eastAsia="Times New Roman" w:cs="Times New Roman"/>
        </w:rPr>
        <w:t xml:space="preserve"> </w:t>
      </w:r>
      <w:r w:rsidR="00103984">
        <w:rPr>
          <w:rFonts w:eastAsia="Times New Roman" w:cs="Times New Roman"/>
          <w:i/>
          <w:iCs/>
        </w:rPr>
        <w:t xml:space="preserve">et al., </w:t>
      </w:r>
      <w:r w:rsidRPr="009D4B76">
        <w:rPr>
          <w:rFonts w:eastAsia="Times New Roman" w:cs="Times New Roman"/>
        </w:rPr>
        <w:t>2022).</w:t>
      </w:r>
    </w:p>
    <w:p w14:paraId="4B67FFA2"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gender-based analyses revealed that while LDH levels were lower in all older adults, the trend toward higher LDH in male geriatrics compared to females may reflect baseline differences in lean body mass and metabolic rate, as suggested by (He </w:t>
      </w:r>
      <w:r w:rsidRPr="009D4B76">
        <w:rPr>
          <w:rFonts w:eastAsia="Times New Roman" w:cs="Times New Roman"/>
          <w:i/>
          <w:iCs/>
        </w:rPr>
        <w:t>et al.,</w:t>
      </w:r>
      <w:r w:rsidRPr="009D4B76">
        <w:rPr>
          <w:rFonts w:eastAsia="Times New Roman" w:cs="Times New Roman"/>
        </w:rPr>
        <w:t xml:space="preserve"> 2022). However, the overwhelming effect of age superseded gender differences, consistent with the broader understanding that chronological age is a stronger determinant of metabolic change than sex in later life. Furthermore, the significant drop in LDH in individuals aged 70 and above compared to those under 70 suggests a progressive, rather than linear, decline in enzyme activity with advancing decades. This may correlate with the concept of declining physiological reserve and increased vulnerability in the </w:t>
      </w:r>
      <w:r w:rsidRPr="009D4B76">
        <w:rPr>
          <w:rFonts w:eastAsia="Times New Roman" w:cs="Times New Roman"/>
        </w:rPr>
        <w:lastRenderedPageBreak/>
        <w:t>“oldest-old,” a population often characterized by heightened risk of frailty and functional decline (Clegg et al., 2013).</w:t>
      </w:r>
    </w:p>
    <w:p w14:paraId="6FC6D359" w14:textId="6E58DD1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predictive analysis confirmed the clinical relevance of LDH as a potential biomarker of biological aging. Its moderate ability to distinguish between young and older adults aligns with the </w:t>
      </w:r>
      <w:proofErr w:type="spellStart"/>
      <w:r w:rsidRPr="00913C8B">
        <w:rPr>
          <w:rFonts w:eastAsia="Times New Roman" w:cs="Times New Roman"/>
          <w:color w:val="EE0000"/>
        </w:rPr>
        <w:t>geroscience</w:t>
      </w:r>
      <w:proofErr w:type="spellEnd"/>
      <w:r w:rsidRPr="00913C8B">
        <w:rPr>
          <w:rFonts w:eastAsia="Times New Roman" w:cs="Times New Roman"/>
          <w:color w:val="EE0000"/>
        </w:rPr>
        <w:t xml:space="preserve"> framework </w:t>
      </w:r>
      <w:r w:rsidRPr="009D4B76">
        <w:rPr>
          <w:rFonts w:eastAsia="Times New Roman" w:cs="Times New Roman"/>
        </w:rPr>
        <w:t>proposed by (</w:t>
      </w:r>
      <w:proofErr w:type="spellStart"/>
      <w:r w:rsidRPr="009D4B76">
        <w:rPr>
          <w:rFonts w:eastAsia="Times New Roman" w:cs="Times New Roman"/>
        </w:rPr>
        <w:t>Jylhävä</w:t>
      </w:r>
      <w:proofErr w:type="spellEnd"/>
      <w:r w:rsidR="00CA5AFB">
        <w:rPr>
          <w:rFonts w:eastAsia="Times New Roman" w:cs="Times New Roman"/>
        </w:rPr>
        <w:t xml:space="preserve"> </w:t>
      </w:r>
      <w:r w:rsidRPr="009D4B76">
        <w:rPr>
          <w:rFonts w:eastAsia="Times New Roman" w:cs="Times New Roman"/>
        </w:rPr>
        <w:t>2017), which seeks biochemical markers that reflect biological rather than chronological age. In contrast, CK’s poor predictive performance reaffirms its role as an indicator of acute tissue injury rather than a marker of aging per se.</w:t>
      </w:r>
    </w:p>
    <w:p w14:paraId="39A6F3F2"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Our study provides compelling evidence for the need to reinterpret common biochemical parameters in geriatric care. The age-dependent decline in LDH calls for the adoption of age-adjusted reference ranges to improve diagnostic accuracy. Meanwhile, the stability of CK reaffirms its enduring value as a specific marker of acute cellular damage. Together, these findings advocate for a more nuanced, age-informed approach to laboratory medicine that better serves the health needs of the growing global elderly population.</w:t>
      </w:r>
    </w:p>
    <w:p w14:paraId="54E95312" w14:textId="649C611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CONCLUSION</w:t>
      </w:r>
    </w:p>
    <w:p w14:paraId="1624B04F"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This study demonstrates that the serum activities of Creatine Kinase (CK) and Lactate Dehydrogenase (LDH) exhibit distinct and clinically relevant patterns in healthy aging. The significant and progressive decline in LDH levels with advancing age highlights its potential as a biomarker of physiological aging and calls for the adoption of age-adjusted reference intervals in clinical practice. In contrast, the stability of CK levels reinforces its continued utility as a specific indicator of acute tissue injury, even in older adults.</w:t>
      </w:r>
    </w:p>
    <w:p w14:paraId="188C8737" w14:textId="77777777" w:rsidR="009D4B76" w:rsidRDefault="009D4B76" w:rsidP="00EF0641">
      <w:pPr>
        <w:spacing w:after="0" w:line="360" w:lineRule="auto"/>
        <w:jc w:val="both"/>
        <w:rPr>
          <w:rFonts w:eastAsia="Times New Roman" w:cs="Times New Roman"/>
        </w:rPr>
      </w:pPr>
      <w:r w:rsidRPr="009D4B76">
        <w:rPr>
          <w:rFonts w:eastAsia="Times New Roman" w:cs="Times New Roman"/>
        </w:rPr>
        <w:t xml:space="preserve">These findings show the necessity of an age-informed approach to laboratory interpretation in geriatric medicine. By recognizing the normal biochemical changes that accompany healthy aging, clinicians can enhance diagnostic accuracy, avoid misinterpretation of laboratory values, and provide more tailored and effective care for the growing elderly population. Future research should focus on validating age-stratified reference ranges and exploring the longitudinal relationship between these enzyme profiles and functional health outcomes in older adults. </w:t>
      </w:r>
    </w:p>
    <w:p w14:paraId="79411646" w14:textId="77777777" w:rsidR="0069470F" w:rsidRDefault="0069470F" w:rsidP="00EF0641">
      <w:pPr>
        <w:spacing w:after="0" w:line="360" w:lineRule="auto"/>
        <w:jc w:val="both"/>
        <w:rPr>
          <w:rFonts w:eastAsia="Times New Roman" w:cs="Times New Roman"/>
        </w:rPr>
      </w:pPr>
    </w:p>
    <w:p w14:paraId="5BC06E12" w14:textId="77777777" w:rsidR="0069470F" w:rsidRPr="0069470F" w:rsidRDefault="0069470F" w:rsidP="0069470F">
      <w:pPr>
        <w:spacing w:after="0" w:line="360" w:lineRule="auto"/>
        <w:jc w:val="both"/>
        <w:rPr>
          <w:rFonts w:eastAsia="Times New Roman" w:cs="Times New Roman"/>
        </w:rPr>
      </w:pPr>
      <w:r w:rsidRPr="0069470F">
        <w:rPr>
          <w:rFonts w:eastAsia="Times New Roman" w:cs="Times New Roman"/>
        </w:rPr>
        <w:t>COMPETING INTERESTS DISCLAIMER:</w:t>
      </w:r>
    </w:p>
    <w:p w14:paraId="17916A43" w14:textId="004B8587" w:rsidR="0069470F" w:rsidRPr="009D4B76" w:rsidRDefault="0069470F" w:rsidP="0069470F">
      <w:pPr>
        <w:spacing w:after="0" w:line="360" w:lineRule="auto"/>
        <w:jc w:val="both"/>
        <w:rPr>
          <w:rFonts w:eastAsia="Times New Roman" w:cs="Times New Roman"/>
        </w:rPr>
      </w:pPr>
      <w:r w:rsidRPr="0069470F">
        <w:rPr>
          <w:rFonts w:eastAsia="Times New Roman" w:cs="Times New Roman"/>
        </w:rPr>
        <w:t>Authors have declared that they have no known competing financial interests OR non-financial interests OR personal relationships that could have appeared to influence the work reported in this paper.</w:t>
      </w:r>
    </w:p>
    <w:p w14:paraId="49457233" w14:textId="59CDB3C6" w:rsidR="009A49B3" w:rsidRPr="009A49B3" w:rsidRDefault="009A49B3" w:rsidP="00EF0641">
      <w:pPr>
        <w:spacing w:after="0" w:line="360" w:lineRule="auto"/>
        <w:jc w:val="both"/>
        <w:rPr>
          <w:rFonts w:eastAsia="Times New Roman" w:cs="Times New Roman"/>
          <w:b/>
          <w:bCs/>
        </w:rPr>
      </w:pPr>
      <w:r>
        <w:rPr>
          <w:rFonts w:eastAsia="Times New Roman" w:cs="Times New Roman"/>
          <w:b/>
          <w:bCs/>
        </w:rPr>
        <w:lastRenderedPageBreak/>
        <w:t>REFERENCES</w:t>
      </w:r>
    </w:p>
    <w:p w14:paraId="737FAD9A" w14:textId="77777777" w:rsidR="009A49B3" w:rsidRDefault="009A49B3" w:rsidP="009A49B3">
      <w:pPr>
        <w:spacing w:after="0" w:line="360" w:lineRule="auto"/>
      </w:pPr>
    </w:p>
    <w:p w14:paraId="0433E8BB"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Aboderin, I. (2004). Decline in material family support for older people in urban Ghana: Understanding processes and causes of change. </w:t>
      </w:r>
      <w:r w:rsidRPr="006103F6">
        <w:rPr>
          <w:rFonts w:eastAsia="Times New Roman" w:cs="Times New Roman"/>
          <w:i/>
          <w:iCs/>
        </w:rPr>
        <w:t>The Journals of Gerontology Series B: Psychological Sciences and Social Sciences</w:t>
      </w:r>
      <w:r w:rsidRPr="006103F6">
        <w:rPr>
          <w:rFonts w:eastAsia="Times New Roman" w:cs="Times New Roman"/>
        </w:rPr>
        <w:t xml:space="preserve">, 59(3), S128–S137. </w:t>
      </w:r>
    </w:p>
    <w:p w14:paraId="5674041B"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Ajayi, A. I., &amp; Akpan, W. (2021). Health screening and healthcare access among older persons in Nigeria. </w:t>
      </w:r>
      <w:r w:rsidRPr="006103F6">
        <w:rPr>
          <w:rFonts w:eastAsia="Times New Roman" w:cs="Times New Roman"/>
          <w:i/>
          <w:iCs/>
        </w:rPr>
        <w:t>African Population Studies</w:t>
      </w:r>
      <w:r w:rsidRPr="006103F6">
        <w:rPr>
          <w:rFonts w:eastAsia="Times New Roman" w:cs="Times New Roman"/>
        </w:rPr>
        <w:t xml:space="preserve">, 35(1), 1–15. </w:t>
      </w:r>
    </w:p>
    <w:p w14:paraId="3BCE6629" w14:textId="77777777" w:rsidR="009A49B3" w:rsidRPr="008F492B" w:rsidRDefault="009A49B3" w:rsidP="009A49B3">
      <w:pPr>
        <w:spacing w:after="0" w:line="360" w:lineRule="auto"/>
        <w:ind w:left="540" w:hanging="540"/>
        <w:jc w:val="both"/>
        <w:rPr>
          <w:rFonts w:eastAsia="Times New Roman" w:cs="Times New Roman"/>
        </w:rPr>
      </w:pPr>
      <w:r w:rsidRPr="008F492B">
        <w:rPr>
          <w:rFonts w:eastAsia="Times New Roman" w:cs="Times New Roman"/>
        </w:rPr>
        <w:t xml:space="preserve">Apple, F. S., Wu, A. H. B., Jaffe, A. S., &amp; Morrow, D. A. (2003). Cardiac troponin and creatine kinase MB monitoring in hospital patients with myocardial infarction: A contemporary perspective. </w:t>
      </w:r>
      <w:r w:rsidRPr="008F492B">
        <w:rPr>
          <w:rFonts w:eastAsia="Times New Roman" w:cs="Times New Roman"/>
          <w:i/>
          <w:iCs/>
        </w:rPr>
        <w:t>Clinical Chemistry</w:t>
      </w:r>
      <w:r w:rsidRPr="008F492B">
        <w:rPr>
          <w:rFonts w:eastAsia="Times New Roman" w:cs="Times New Roman"/>
        </w:rPr>
        <w:t xml:space="preserve">, 49(4), 549–552. </w:t>
      </w:r>
    </w:p>
    <w:p w14:paraId="78321160"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Beard, J. R., Officer, A., de Carvalho, I. A., Sadana, R., Pot, A. M., Michel, J. P., </w:t>
      </w:r>
      <w:r w:rsidRPr="009E7513">
        <w:rPr>
          <w:rFonts w:eastAsia="Times New Roman" w:cs="Times New Roman"/>
          <w:color w:val="EE0000"/>
        </w:rPr>
        <w:t xml:space="preserve">... </w:t>
      </w:r>
      <w:r w:rsidRPr="006103F6">
        <w:rPr>
          <w:rFonts w:eastAsia="Times New Roman" w:cs="Times New Roman"/>
        </w:rPr>
        <w:t xml:space="preserve">&amp; Chatterji, S. (2016). The World report on ageing and health: A policy framework for healthy ageing. </w:t>
      </w:r>
      <w:r w:rsidRPr="006103F6">
        <w:rPr>
          <w:rFonts w:eastAsia="Times New Roman" w:cs="Times New Roman"/>
          <w:i/>
          <w:iCs/>
        </w:rPr>
        <w:t>The Lancet</w:t>
      </w:r>
      <w:r w:rsidRPr="006103F6">
        <w:rPr>
          <w:rFonts w:eastAsia="Times New Roman" w:cs="Times New Roman"/>
        </w:rPr>
        <w:t xml:space="preserve">, 387(10033), 2145–2154. </w:t>
      </w:r>
    </w:p>
    <w:p w14:paraId="33D191F4"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Brancaccio, P., Lippi, G., &amp; </w:t>
      </w:r>
      <w:proofErr w:type="spellStart"/>
      <w:r w:rsidRPr="00703A8F">
        <w:rPr>
          <w:rFonts w:eastAsia="Times New Roman" w:cs="Times New Roman"/>
        </w:rPr>
        <w:t>Maffulli</w:t>
      </w:r>
      <w:proofErr w:type="spellEnd"/>
      <w:r w:rsidRPr="00703A8F">
        <w:rPr>
          <w:rFonts w:eastAsia="Times New Roman" w:cs="Times New Roman"/>
        </w:rPr>
        <w:t>, N. (2010). Biochemical markers of muscular damage. </w:t>
      </w:r>
      <w:r w:rsidRPr="00703A8F">
        <w:rPr>
          <w:rFonts w:eastAsia="Times New Roman" w:cs="Times New Roman"/>
          <w:i/>
          <w:iCs/>
        </w:rPr>
        <w:t>Clinical Chemistry &amp; Laboratory Medicine</w:t>
      </w:r>
      <w:r w:rsidRPr="00703A8F">
        <w:rPr>
          <w:rFonts w:eastAsia="Times New Roman" w:cs="Times New Roman"/>
        </w:rPr>
        <w:t>, </w:t>
      </w:r>
      <w:r w:rsidRPr="00703A8F">
        <w:rPr>
          <w:rFonts w:eastAsia="Times New Roman" w:cs="Times New Roman"/>
          <w:i/>
          <w:iCs/>
        </w:rPr>
        <w:t>48</w:t>
      </w:r>
      <w:r w:rsidRPr="00703A8F">
        <w:rPr>
          <w:rFonts w:eastAsia="Times New Roman" w:cs="Times New Roman"/>
        </w:rPr>
        <w:t>(6).</w:t>
      </w:r>
    </w:p>
    <w:p w14:paraId="09D8FDB5"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Clegg, A., Young, J., Iliffe, S., Rikkert, M. O., &amp; Rockwood, K. (2013). Frailty in elderly people. </w:t>
      </w:r>
      <w:r w:rsidRPr="006103F6">
        <w:rPr>
          <w:rFonts w:eastAsia="Times New Roman" w:cs="Times New Roman"/>
          <w:i/>
          <w:iCs/>
        </w:rPr>
        <w:t>The Lancet</w:t>
      </w:r>
      <w:r w:rsidRPr="006103F6">
        <w:rPr>
          <w:rFonts w:eastAsia="Times New Roman" w:cs="Times New Roman"/>
        </w:rPr>
        <w:t xml:space="preserve">, 381(9868), 752–762. </w:t>
      </w:r>
    </w:p>
    <w:p w14:paraId="6489C7D7"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D’Ascoli, T. A., Pieper, C. F., Pieper, C. S., Morey, M. C., Cohen, H. J., &amp; Peterson, M. J. (2017). Creatine kinase and aging: A 16-year longitudinal study in community-dwelling older adults. </w:t>
      </w:r>
      <w:r w:rsidRPr="00A867DD">
        <w:rPr>
          <w:rStyle w:val="Emphasis"/>
          <w:rFonts w:eastAsiaTheme="majorEastAsia"/>
          <w:color w:val="0F1115"/>
        </w:rPr>
        <w:t>The Journals of Gerontology: Series A, 72</w:t>
      </w:r>
      <w:r w:rsidRPr="00A867DD">
        <w:rPr>
          <w:color w:val="0F1115"/>
        </w:rPr>
        <w:t xml:space="preserve">(7), 968–973.  </w:t>
      </w:r>
    </w:p>
    <w:p w14:paraId="14C48110" w14:textId="77777777" w:rsidR="009A49B3" w:rsidRPr="009E7513" w:rsidRDefault="009A49B3" w:rsidP="009A49B3">
      <w:pPr>
        <w:spacing w:after="0" w:line="360" w:lineRule="auto"/>
        <w:ind w:left="540" w:hanging="540"/>
        <w:jc w:val="both"/>
        <w:rPr>
          <w:rFonts w:eastAsia="Times New Roman" w:cs="Times New Roman"/>
          <w:color w:val="EE0000"/>
        </w:rPr>
      </w:pPr>
      <w:r w:rsidRPr="009E7513">
        <w:rPr>
          <w:rFonts w:eastAsia="Times New Roman" w:cs="Times New Roman"/>
          <w:color w:val="EE0000"/>
        </w:rPr>
        <w:t>Farhana, A., &amp; Lappin, S. L. (2023). Biochemistry, lactate dehydrogenase. In </w:t>
      </w:r>
      <w:proofErr w:type="spellStart"/>
      <w:r w:rsidRPr="009E7513">
        <w:rPr>
          <w:rFonts w:eastAsia="Times New Roman" w:cs="Times New Roman"/>
          <w:i/>
          <w:iCs/>
          <w:color w:val="EE0000"/>
        </w:rPr>
        <w:t>StatPearls</w:t>
      </w:r>
      <w:proofErr w:type="spellEnd"/>
      <w:r w:rsidRPr="009E7513">
        <w:rPr>
          <w:rFonts w:eastAsia="Times New Roman" w:cs="Times New Roman"/>
          <w:i/>
          <w:iCs/>
          <w:color w:val="EE0000"/>
        </w:rPr>
        <w:t xml:space="preserve"> [internet]</w:t>
      </w:r>
      <w:r w:rsidRPr="009E7513">
        <w:rPr>
          <w:rFonts w:eastAsia="Times New Roman" w:cs="Times New Roman"/>
          <w:color w:val="EE0000"/>
        </w:rPr>
        <w:t xml:space="preserve">. </w:t>
      </w:r>
      <w:proofErr w:type="spellStart"/>
      <w:r w:rsidRPr="009E7513">
        <w:rPr>
          <w:rFonts w:eastAsia="Times New Roman" w:cs="Times New Roman"/>
          <w:color w:val="EE0000"/>
        </w:rPr>
        <w:t>StatPearls</w:t>
      </w:r>
      <w:proofErr w:type="spellEnd"/>
      <w:r w:rsidRPr="009E7513">
        <w:rPr>
          <w:rFonts w:eastAsia="Times New Roman" w:cs="Times New Roman"/>
          <w:color w:val="EE0000"/>
        </w:rPr>
        <w:t xml:space="preserve"> Publishing.</w:t>
      </w:r>
    </w:p>
    <w:p w14:paraId="51980340"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Ferrucci, L., Guralnik, J. M., Studenski, S., Fried, L. P., Cutler, G. B., &amp; Walston, J. D. (2005). Designing randomized, controlled trials aimed at preventing or delaying functional decline and disability in frail, older persons: A consensus report. </w:t>
      </w:r>
      <w:r w:rsidRPr="006103F6">
        <w:rPr>
          <w:rFonts w:eastAsia="Times New Roman" w:cs="Times New Roman"/>
          <w:i/>
          <w:iCs/>
        </w:rPr>
        <w:t>Journal of the American Geriatrics Society</w:t>
      </w:r>
      <w:r w:rsidRPr="006103F6">
        <w:rPr>
          <w:rFonts w:eastAsia="Times New Roman" w:cs="Times New Roman"/>
        </w:rPr>
        <w:t xml:space="preserve">, 52(4), 625–634. </w:t>
      </w:r>
    </w:p>
    <w:p w14:paraId="4FC1902E"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Fried, L. P., Ferrucci, L., Darer, J., Williamson, J. D., &amp; Anderson, G. (2001). Untangling the concepts of disability, frailty, and comorbidity. </w:t>
      </w:r>
      <w:r w:rsidRPr="006103F6">
        <w:rPr>
          <w:rFonts w:eastAsia="Times New Roman" w:cs="Times New Roman"/>
          <w:i/>
          <w:iCs/>
        </w:rPr>
        <w:t>The Journals of Gerontology: Series A</w:t>
      </w:r>
      <w:r w:rsidRPr="006103F6">
        <w:rPr>
          <w:rFonts w:eastAsia="Times New Roman" w:cs="Times New Roman"/>
        </w:rPr>
        <w:t xml:space="preserve">, 56(3), M146–M157. </w:t>
      </w:r>
    </w:p>
    <w:p w14:paraId="4FC51E0F"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Harman, D. (2001). Aging: Overview. </w:t>
      </w:r>
      <w:r w:rsidRPr="006103F6">
        <w:rPr>
          <w:rFonts w:eastAsia="Times New Roman" w:cs="Times New Roman"/>
          <w:i/>
          <w:iCs/>
        </w:rPr>
        <w:t>Annals of the New York Academy of Sciences</w:t>
      </w:r>
      <w:r w:rsidRPr="006103F6">
        <w:rPr>
          <w:rFonts w:eastAsia="Times New Roman" w:cs="Times New Roman"/>
        </w:rPr>
        <w:t xml:space="preserve">, 928(1), 1–21. </w:t>
      </w:r>
    </w:p>
    <w:p w14:paraId="581F0E1F"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lastRenderedPageBreak/>
        <w:t>He, X., Li, Z., Tang, X., Zhang, L., Wang, L., He, Y., &amp; Jin, T. (2022). Age- and sex-related differences in body composition in healthy subjects aged 18–82 years. </w:t>
      </w:r>
      <w:r w:rsidRPr="00A867DD">
        <w:rPr>
          <w:rStyle w:val="Emphasis"/>
          <w:rFonts w:eastAsiaTheme="majorEastAsia"/>
          <w:color w:val="0F1115"/>
        </w:rPr>
        <w:t>Medicine, 101</w:t>
      </w:r>
      <w:r w:rsidRPr="00A867DD">
        <w:rPr>
          <w:color w:val="0F1115"/>
        </w:rPr>
        <w:t>(9), e28948. </w:t>
      </w:r>
      <w:hyperlink r:id="rId16" w:tgtFrame="_blank" w:history="1"/>
    </w:p>
    <w:p w14:paraId="3A6DB1F3"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proofErr w:type="spellStart"/>
      <w:r w:rsidRPr="00A867DD">
        <w:rPr>
          <w:color w:val="0F1115"/>
        </w:rPr>
        <w:t>Jylhävä</w:t>
      </w:r>
      <w:proofErr w:type="spellEnd"/>
      <w:r w:rsidRPr="00A867DD">
        <w:rPr>
          <w:color w:val="0F1115"/>
        </w:rPr>
        <w:t>, J., Pedersen, N. L., &amp; Hägg, S. (2017). Biological age predictors. </w:t>
      </w:r>
      <w:proofErr w:type="spellStart"/>
      <w:r w:rsidRPr="00A867DD">
        <w:rPr>
          <w:rStyle w:val="Emphasis"/>
          <w:rFonts w:eastAsiaTheme="majorEastAsia"/>
          <w:color w:val="0F1115"/>
        </w:rPr>
        <w:t>EBioMedicine</w:t>
      </w:r>
      <w:proofErr w:type="spellEnd"/>
      <w:r w:rsidRPr="00A867DD">
        <w:rPr>
          <w:rStyle w:val="Emphasis"/>
          <w:rFonts w:eastAsiaTheme="majorEastAsia"/>
          <w:color w:val="0F1115"/>
        </w:rPr>
        <w:t>, 21</w:t>
      </w:r>
      <w:r w:rsidRPr="00A867DD">
        <w:rPr>
          <w:color w:val="0F1115"/>
        </w:rPr>
        <w:t xml:space="preserve">, 29–36.  </w:t>
      </w:r>
    </w:p>
    <w:p w14:paraId="1D508654"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Khan, A. A., </w:t>
      </w:r>
      <w:proofErr w:type="spellStart"/>
      <w:r w:rsidRPr="00703A8F">
        <w:rPr>
          <w:rFonts w:eastAsia="Times New Roman" w:cs="Times New Roman"/>
        </w:rPr>
        <w:t>Allemailem</w:t>
      </w:r>
      <w:proofErr w:type="spellEnd"/>
      <w:r w:rsidRPr="00703A8F">
        <w:rPr>
          <w:rFonts w:eastAsia="Times New Roman" w:cs="Times New Roman"/>
        </w:rPr>
        <w:t>, K. S., Alhumaydhi, F. A., Gowder, S. J., &amp; Rahmani, A. H. (2020). The biochemical and clinical perspectives of lactate dehydrogenase: an enzyme of active metabolism. </w:t>
      </w:r>
      <w:r w:rsidRPr="00703A8F">
        <w:rPr>
          <w:rFonts w:eastAsia="Times New Roman" w:cs="Times New Roman"/>
          <w:i/>
          <w:iCs/>
        </w:rPr>
        <w:t>Endocrine, Metabolic &amp; Immune Disorders-Drug Targets (Formerly Current Drug Targets-Immune, Endocrine &amp; Metabolic Disorders)</w:t>
      </w:r>
      <w:r w:rsidRPr="00703A8F">
        <w:rPr>
          <w:rFonts w:eastAsia="Times New Roman" w:cs="Times New Roman"/>
        </w:rPr>
        <w:t>, </w:t>
      </w:r>
      <w:r w:rsidRPr="00703A8F">
        <w:rPr>
          <w:rFonts w:eastAsia="Times New Roman" w:cs="Times New Roman"/>
          <w:i/>
          <w:iCs/>
        </w:rPr>
        <w:t>20</w:t>
      </w:r>
      <w:r w:rsidRPr="00703A8F">
        <w:rPr>
          <w:rFonts w:eastAsia="Times New Roman" w:cs="Times New Roman"/>
        </w:rPr>
        <w:t>(6), 855-868.</w:t>
      </w:r>
    </w:p>
    <w:p w14:paraId="353E1032"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 xml:space="preserve">Khan, F. Y., </w:t>
      </w:r>
      <w:proofErr w:type="spellStart"/>
      <w:r w:rsidRPr="00A867DD">
        <w:rPr>
          <w:color w:val="0F1115"/>
        </w:rPr>
        <w:t>Aladab</w:t>
      </w:r>
      <w:proofErr w:type="spellEnd"/>
      <w:r w:rsidRPr="00A867DD">
        <w:rPr>
          <w:color w:val="0F1115"/>
        </w:rPr>
        <w:t>, A., &amp; Ali, M. A. (2022). Rhabdomyolysis: A review of causes, diagnosis, and management. </w:t>
      </w:r>
      <w:r w:rsidRPr="00A867DD">
        <w:rPr>
          <w:rStyle w:val="Emphasis"/>
          <w:rFonts w:eastAsiaTheme="majorEastAsia"/>
          <w:color w:val="0F1115"/>
        </w:rPr>
        <w:t>Journal of Clinical Medicine Research, 14</w:t>
      </w:r>
      <w:r w:rsidRPr="00A867DD">
        <w:rPr>
          <w:color w:val="0F1115"/>
        </w:rPr>
        <w:t>(5), 189–196.</w:t>
      </w:r>
    </w:p>
    <w:p w14:paraId="2900132D"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Khosla, S., Melton, L. J., &amp; Riggs, B. L. (2011). The unitary model for estrogen deficiency and the pathogenesis of osteoporosis. </w:t>
      </w:r>
      <w:r w:rsidRPr="006103F6">
        <w:rPr>
          <w:rFonts w:eastAsia="Times New Roman" w:cs="Times New Roman"/>
          <w:i/>
          <w:iCs/>
        </w:rPr>
        <w:t>Osteoporosis International</w:t>
      </w:r>
      <w:r w:rsidRPr="006103F6">
        <w:rPr>
          <w:rFonts w:eastAsia="Times New Roman" w:cs="Times New Roman"/>
        </w:rPr>
        <w:t xml:space="preserve">, 22(7), 1739–1750. </w:t>
      </w:r>
    </w:p>
    <w:p w14:paraId="02EC63FE"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Kirkwood, T. B. (2005). Understanding the odd science of aging. </w:t>
      </w:r>
      <w:r w:rsidRPr="006103F6">
        <w:rPr>
          <w:rFonts w:eastAsia="Times New Roman" w:cs="Times New Roman"/>
          <w:i/>
          <w:iCs/>
        </w:rPr>
        <w:t>Cell</w:t>
      </w:r>
      <w:r w:rsidRPr="006103F6">
        <w:rPr>
          <w:rFonts w:eastAsia="Times New Roman" w:cs="Times New Roman"/>
        </w:rPr>
        <w:t xml:space="preserve">, 120(4), 437–447. </w:t>
      </w:r>
    </w:p>
    <w:p w14:paraId="41C4B50E"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López-Otín, C., Blasco, M. A., Partridge, L., Serrano, M., &amp; Kroemer, G. (2013). The hallmarks of aging. </w:t>
      </w:r>
      <w:r w:rsidRPr="006103F6">
        <w:rPr>
          <w:rFonts w:eastAsia="Times New Roman" w:cs="Times New Roman"/>
          <w:i/>
          <w:iCs/>
        </w:rPr>
        <w:t>Cell</w:t>
      </w:r>
      <w:r w:rsidRPr="006103F6">
        <w:rPr>
          <w:rFonts w:eastAsia="Times New Roman" w:cs="Times New Roman"/>
        </w:rPr>
        <w:t xml:space="preserve">, 153(6), 1194–1217. </w:t>
      </w:r>
    </w:p>
    <w:p w14:paraId="3262B341" w14:textId="77777777" w:rsidR="009A49B3" w:rsidRPr="00932A93" w:rsidRDefault="009A49B3" w:rsidP="009A49B3">
      <w:pPr>
        <w:spacing w:after="0" w:line="360" w:lineRule="auto"/>
        <w:ind w:left="540" w:hanging="540"/>
        <w:jc w:val="both"/>
        <w:rPr>
          <w:rFonts w:eastAsia="Times New Roman" w:cs="Times New Roman"/>
        </w:rPr>
      </w:pPr>
      <w:r w:rsidRPr="00932A93">
        <w:rPr>
          <w:rFonts w:eastAsia="Times New Roman" w:cs="Times New Roman"/>
        </w:rPr>
        <w:t xml:space="preserve">Mair, J., Artner-Dworzak, E., Lechleitner, P., Haid, C., Loidl, R., &amp; Larue, C. (2001). Cardiac troponin I release correlates with myocardial damage in patients with severe muscle trauma. </w:t>
      </w:r>
      <w:r w:rsidRPr="00932A93">
        <w:rPr>
          <w:rFonts w:eastAsia="Times New Roman" w:cs="Times New Roman"/>
          <w:i/>
          <w:iCs/>
        </w:rPr>
        <w:t>Clinical Chemistry</w:t>
      </w:r>
      <w:r w:rsidRPr="00932A93">
        <w:rPr>
          <w:rFonts w:eastAsia="Times New Roman" w:cs="Times New Roman"/>
        </w:rPr>
        <w:t xml:space="preserve">, 47(3), 469–472. </w:t>
      </w:r>
    </w:p>
    <w:p w14:paraId="0F8394F1"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Manea, L., Manea, R., &amp; </w:t>
      </w:r>
      <w:proofErr w:type="spellStart"/>
      <w:r w:rsidRPr="00703A8F">
        <w:rPr>
          <w:rFonts w:eastAsia="Times New Roman" w:cs="Times New Roman"/>
        </w:rPr>
        <w:t>Eklo</w:t>
      </w:r>
      <w:proofErr w:type="spellEnd"/>
      <w:r w:rsidRPr="00703A8F">
        <w:rPr>
          <w:rFonts w:eastAsia="Times New Roman" w:cs="Times New Roman"/>
        </w:rPr>
        <w:t>, O. M. (2017). Lactate dehydrogenase enzyme and its implications in chemical stress situations. </w:t>
      </w:r>
      <w:r w:rsidRPr="00703A8F">
        <w:rPr>
          <w:rFonts w:eastAsia="Times New Roman" w:cs="Times New Roman"/>
          <w:i/>
          <w:iCs/>
        </w:rPr>
        <w:t>International Multidisciplinary Scientific GeoConference: SGEM</w:t>
      </w:r>
      <w:r w:rsidRPr="00703A8F">
        <w:rPr>
          <w:rFonts w:eastAsia="Times New Roman" w:cs="Times New Roman"/>
        </w:rPr>
        <w:t>, </w:t>
      </w:r>
      <w:r w:rsidRPr="00703A8F">
        <w:rPr>
          <w:rFonts w:eastAsia="Times New Roman" w:cs="Times New Roman"/>
          <w:i/>
          <w:iCs/>
        </w:rPr>
        <w:t>17</w:t>
      </w:r>
      <w:r w:rsidRPr="00703A8F">
        <w:rPr>
          <w:rFonts w:eastAsia="Times New Roman" w:cs="Times New Roman"/>
        </w:rPr>
        <w:t>, 783-790.</w:t>
      </w:r>
    </w:p>
    <w:p w14:paraId="45F58A3D"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Mondal, S., Das, S., &amp; Roy, A. (2021). A study of age-related changes in the activity of serum lactate dehydrogenase in healthy individuals. </w:t>
      </w:r>
      <w:r w:rsidRPr="00A867DD">
        <w:rPr>
          <w:rStyle w:val="Emphasis"/>
          <w:rFonts w:eastAsiaTheme="majorEastAsia"/>
          <w:color w:val="0F1115"/>
        </w:rPr>
        <w:t>Journal of Clinical and Diagnostic Research, 15</w:t>
      </w:r>
      <w:r w:rsidRPr="00A867DD">
        <w:rPr>
          <w:color w:val="0F1115"/>
        </w:rPr>
        <w:t xml:space="preserve">(1), BC01-BC03.  </w:t>
      </w:r>
    </w:p>
    <w:p w14:paraId="77C511D6"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National Population Commission (NPC). (2020). </w:t>
      </w:r>
      <w:r w:rsidRPr="006103F6">
        <w:rPr>
          <w:rFonts w:eastAsia="Times New Roman" w:cs="Times New Roman"/>
          <w:i/>
          <w:iCs/>
        </w:rPr>
        <w:t>Population projections for Nigeria: 2020–2050</w:t>
      </w:r>
      <w:r w:rsidRPr="006103F6">
        <w:rPr>
          <w:rFonts w:eastAsia="Times New Roman" w:cs="Times New Roman"/>
        </w:rPr>
        <w:t>. Abuja: NPC.</w:t>
      </w:r>
    </w:p>
    <w:p w14:paraId="5E4A2A1D"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Ogunniyi, A., </w:t>
      </w:r>
      <w:proofErr w:type="spellStart"/>
      <w:r w:rsidRPr="006103F6">
        <w:rPr>
          <w:rFonts w:eastAsia="Times New Roman" w:cs="Times New Roman"/>
        </w:rPr>
        <w:t>Gureje</w:t>
      </w:r>
      <w:proofErr w:type="spellEnd"/>
      <w:r w:rsidRPr="006103F6">
        <w:rPr>
          <w:rFonts w:eastAsia="Times New Roman" w:cs="Times New Roman"/>
        </w:rPr>
        <w:t xml:space="preserve">, O., </w:t>
      </w:r>
      <w:proofErr w:type="spellStart"/>
      <w:r w:rsidRPr="006103F6">
        <w:rPr>
          <w:rFonts w:eastAsia="Times New Roman" w:cs="Times New Roman"/>
        </w:rPr>
        <w:t>Baiyewu</w:t>
      </w:r>
      <w:proofErr w:type="spellEnd"/>
      <w:r w:rsidRPr="006103F6">
        <w:rPr>
          <w:rFonts w:eastAsia="Times New Roman" w:cs="Times New Roman"/>
        </w:rPr>
        <w:t xml:space="preserve">, O., Hall, K. S., Unverzagt, F. W., &amp; Hendrie, H. C. (2001). Profile of elderly Nigerians with dementia. </w:t>
      </w:r>
      <w:r w:rsidRPr="006103F6">
        <w:rPr>
          <w:rFonts w:eastAsia="Times New Roman" w:cs="Times New Roman"/>
          <w:i/>
          <w:iCs/>
        </w:rPr>
        <w:t>Journal of the American Geriatrics Society</w:t>
      </w:r>
      <w:r w:rsidRPr="006103F6">
        <w:rPr>
          <w:rFonts w:eastAsia="Times New Roman" w:cs="Times New Roman"/>
        </w:rPr>
        <w:t xml:space="preserve">, 49(7), 918–924. </w:t>
      </w:r>
    </w:p>
    <w:p w14:paraId="5E3E7F9D"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proofErr w:type="spellStart"/>
      <w:r w:rsidRPr="00A867DD">
        <w:rPr>
          <w:color w:val="0F1115"/>
        </w:rPr>
        <w:lastRenderedPageBreak/>
        <w:t>Ozarda</w:t>
      </w:r>
      <w:proofErr w:type="spellEnd"/>
      <w:r w:rsidRPr="00A867DD">
        <w:rPr>
          <w:color w:val="0F1115"/>
        </w:rPr>
        <w:t>, Y. (2016). Reference intervals: Current status, recent developments and future considerations. </w:t>
      </w:r>
      <w:proofErr w:type="spellStart"/>
      <w:r w:rsidRPr="00A867DD">
        <w:rPr>
          <w:rStyle w:val="Emphasis"/>
          <w:rFonts w:eastAsiaTheme="majorEastAsia"/>
          <w:color w:val="0F1115"/>
        </w:rPr>
        <w:t>Biochemia</w:t>
      </w:r>
      <w:proofErr w:type="spellEnd"/>
      <w:r w:rsidRPr="00A867DD">
        <w:rPr>
          <w:rStyle w:val="Emphasis"/>
          <w:rFonts w:eastAsiaTheme="majorEastAsia"/>
          <w:color w:val="0F1115"/>
        </w:rPr>
        <w:t xml:space="preserve"> Medica, 26</w:t>
      </w:r>
      <w:r w:rsidRPr="00A867DD">
        <w:rPr>
          <w:color w:val="0F1115"/>
        </w:rPr>
        <w:t>(1), 5–16.</w:t>
      </w:r>
    </w:p>
    <w:p w14:paraId="1EB28526"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Rechel, B., Grundy, E., Robine, J. M., Cylus, J., </w:t>
      </w:r>
      <w:proofErr w:type="spellStart"/>
      <w:r w:rsidRPr="006103F6">
        <w:rPr>
          <w:rFonts w:eastAsia="Times New Roman" w:cs="Times New Roman"/>
        </w:rPr>
        <w:t>Mackenbach</w:t>
      </w:r>
      <w:proofErr w:type="spellEnd"/>
      <w:r w:rsidRPr="006103F6">
        <w:rPr>
          <w:rFonts w:eastAsia="Times New Roman" w:cs="Times New Roman"/>
        </w:rPr>
        <w:t xml:space="preserve">, J. P., Knai, C., &amp; McKee, M. (2013). Ageing in the European Union. </w:t>
      </w:r>
      <w:r w:rsidRPr="006103F6">
        <w:rPr>
          <w:rFonts w:eastAsia="Times New Roman" w:cs="Times New Roman"/>
          <w:i/>
          <w:iCs/>
        </w:rPr>
        <w:t>The Lancet</w:t>
      </w:r>
      <w:r w:rsidRPr="006103F6">
        <w:rPr>
          <w:rFonts w:eastAsia="Times New Roman" w:cs="Times New Roman"/>
        </w:rPr>
        <w:t xml:space="preserve">, 381(9874), 1312–1322. </w:t>
      </w:r>
    </w:p>
    <w:p w14:paraId="41AAD7D9" w14:textId="77777777" w:rsidR="009A49B3" w:rsidRPr="00932A93" w:rsidRDefault="009A49B3" w:rsidP="009A49B3">
      <w:pPr>
        <w:spacing w:after="0" w:line="360" w:lineRule="auto"/>
        <w:ind w:left="540" w:hanging="540"/>
        <w:jc w:val="both"/>
        <w:rPr>
          <w:rFonts w:eastAsia="Times New Roman" w:cs="Times New Roman"/>
        </w:rPr>
      </w:pPr>
      <w:r w:rsidRPr="00932A93">
        <w:rPr>
          <w:rFonts w:eastAsia="Times New Roman" w:cs="Times New Roman"/>
        </w:rPr>
        <w:t xml:space="preserve">Semenza, G. L., Wang, G. L., &amp; Hoh, R. (1996). Hypoxia-inducible factor 1 and lactate dehydrogenase A: Key mediators of the hypoxic response. </w:t>
      </w:r>
      <w:r w:rsidRPr="00932A93">
        <w:rPr>
          <w:rFonts w:eastAsia="Times New Roman" w:cs="Times New Roman"/>
          <w:i/>
          <w:iCs/>
        </w:rPr>
        <w:t>Biochemical and Biophysical Research Communications</w:t>
      </w:r>
      <w:r w:rsidRPr="00932A93">
        <w:rPr>
          <w:rFonts w:eastAsia="Times New Roman" w:cs="Times New Roman"/>
        </w:rPr>
        <w:t xml:space="preserve">, 217(3), 1153–1157. </w:t>
      </w:r>
    </w:p>
    <w:p w14:paraId="52277FE4"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United Nations. (2020). </w:t>
      </w:r>
      <w:r w:rsidRPr="006103F6">
        <w:rPr>
          <w:rFonts w:eastAsia="Times New Roman" w:cs="Times New Roman"/>
          <w:i/>
          <w:iCs/>
        </w:rPr>
        <w:t>World population ageing 2020 highlights</w:t>
      </w:r>
      <w:r w:rsidRPr="006103F6">
        <w:rPr>
          <w:rFonts w:eastAsia="Times New Roman" w:cs="Times New Roman"/>
        </w:rPr>
        <w:t xml:space="preserve">. Department of Economic and Social Affairs, Population Division. </w:t>
      </w:r>
      <w:hyperlink r:id="rId17" w:tgtFrame="_new" w:history="1">
        <w:r w:rsidRPr="006103F6">
          <w:rPr>
            <w:rFonts w:eastAsia="Times New Roman" w:cs="Times New Roman"/>
            <w:color w:val="0000FF"/>
            <w:u w:val="single"/>
          </w:rPr>
          <w:t>https://www.un.org/development/desa/pd/sites/www.un.org.development.desa.pd/files/files/documents/2020/Jan/un_2020_worldpopulationageing_highlights.pdf</w:t>
        </w:r>
      </w:hyperlink>
    </w:p>
    <w:p w14:paraId="5062226C"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Wallimann, T., Tokarska-</w:t>
      </w:r>
      <w:proofErr w:type="spellStart"/>
      <w:r w:rsidRPr="006103F6">
        <w:rPr>
          <w:rFonts w:eastAsia="Times New Roman" w:cs="Times New Roman"/>
        </w:rPr>
        <w:t>Schlattner</w:t>
      </w:r>
      <w:proofErr w:type="spellEnd"/>
      <w:r w:rsidRPr="006103F6">
        <w:rPr>
          <w:rFonts w:eastAsia="Times New Roman" w:cs="Times New Roman"/>
        </w:rPr>
        <w:t xml:space="preserve">, M., &amp; </w:t>
      </w:r>
      <w:proofErr w:type="spellStart"/>
      <w:r w:rsidRPr="006103F6">
        <w:rPr>
          <w:rFonts w:eastAsia="Times New Roman" w:cs="Times New Roman"/>
        </w:rPr>
        <w:t>Schlattner</w:t>
      </w:r>
      <w:proofErr w:type="spellEnd"/>
      <w:r w:rsidRPr="006103F6">
        <w:rPr>
          <w:rFonts w:eastAsia="Times New Roman" w:cs="Times New Roman"/>
        </w:rPr>
        <w:t xml:space="preserve">, U. (2011). The creatine kinase system and pleiotropic effects of creatine. </w:t>
      </w:r>
      <w:r w:rsidRPr="006103F6">
        <w:rPr>
          <w:rFonts w:eastAsia="Times New Roman" w:cs="Times New Roman"/>
          <w:i/>
          <w:iCs/>
        </w:rPr>
        <w:t>Amino Acids</w:t>
      </w:r>
      <w:r w:rsidRPr="006103F6">
        <w:rPr>
          <w:rFonts w:eastAsia="Times New Roman" w:cs="Times New Roman"/>
        </w:rPr>
        <w:t xml:space="preserve">, 40(5), 1271–1296. </w:t>
      </w:r>
    </w:p>
    <w:p w14:paraId="5FCF65D8"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Weinstein, J. R., &amp; Anderson, S. (2010). The aging kidney: Physiological changes. </w:t>
      </w:r>
      <w:r w:rsidRPr="006103F6">
        <w:rPr>
          <w:rFonts w:eastAsia="Times New Roman" w:cs="Times New Roman"/>
          <w:i/>
          <w:iCs/>
        </w:rPr>
        <w:t>Advances in Chronic Kidney Disease</w:t>
      </w:r>
      <w:r w:rsidRPr="006103F6">
        <w:rPr>
          <w:rFonts w:eastAsia="Times New Roman" w:cs="Times New Roman"/>
        </w:rPr>
        <w:t>, 17(4), 302–307.</w:t>
      </w:r>
    </w:p>
    <w:p w14:paraId="3282FCCA"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World Health Organization. (2015). </w:t>
      </w:r>
      <w:r w:rsidRPr="006103F6">
        <w:rPr>
          <w:rFonts w:eastAsia="Times New Roman" w:cs="Times New Roman"/>
          <w:i/>
          <w:iCs/>
        </w:rPr>
        <w:t>World report on ageing and health</w:t>
      </w:r>
      <w:r w:rsidRPr="006103F6">
        <w:rPr>
          <w:rFonts w:eastAsia="Times New Roman" w:cs="Times New Roman"/>
        </w:rPr>
        <w:t xml:space="preserve">. </w:t>
      </w:r>
      <w:hyperlink r:id="rId18" w:tgtFrame="_new" w:history="1">
        <w:r w:rsidRPr="006103F6">
          <w:rPr>
            <w:rFonts w:eastAsia="Times New Roman" w:cs="Times New Roman"/>
            <w:color w:val="0000FF"/>
            <w:u w:val="single"/>
          </w:rPr>
          <w:t>https://www.who.int/publications/i/item/9789240694811</w:t>
        </w:r>
      </w:hyperlink>
    </w:p>
    <w:p w14:paraId="6628ABBF"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Wyss, M., &amp; Kaddurah-Daouk, R. (2000). Creatine and creatinine metabolism. </w:t>
      </w:r>
      <w:r w:rsidRPr="006103F6">
        <w:rPr>
          <w:rFonts w:eastAsia="Times New Roman" w:cs="Times New Roman"/>
          <w:i/>
          <w:iCs/>
        </w:rPr>
        <w:t>Physiological Reviews</w:t>
      </w:r>
      <w:r w:rsidRPr="006103F6">
        <w:rPr>
          <w:rFonts w:eastAsia="Times New Roman" w:cs="Times New Roman"/>
        </w:rPr>
        <w:t xml:space="preserve">, 80(3), 1107–1213. </w:t>
      </w:r>
    </w:p>
    <w:p w14:paraId="0D084B15" w14:textId="77777777" w:rsidR="001A0C16" w:rsidRDefault="001A0C16" w:rsidP="00EF0641">
      <w:pPr>
        <w:spacing w:after="0" w:line="360" w:lineRule="auto"/>
        <w:jc w:val="both"/>
      </w:pPr>
    </w:p>
    <w:p w14:paraId="2F23401A" w14:textId="77777777" w:rsidR="009A49B3" w:rsidRDefault="009A49B3" w:rsidP="00EF0641">
      <w:pPr>
        <w:spacing w:after="0" w:line="360" w:lineRule="auto"/>
        <w:jc w:val="both"/>
      </w:pPr>
    </w:p>
    <w:p w14:paraId="1B7FE33F" w14:textId="77777777" w:rsidR="001A0C16" w:rsidRDefault="001A0C16" w:rsidP="00EF0641">
      <w:pPr>
        <w:spacing w:after="0" w:line="360" w:lineRule="auto"/>
        <w:jc w:val="both"/>
      </w:pPr>
    </w:p>
    <w:p w14:paraId="1F54F8B8" w14:textId="77777777" w:rsidR="001A0C16" w:rsidRDefault="001A0C16" w:rsidP="00EF0641">
      <w:pPr>
        <w:spacing w:after="0" w:line="360" w:lineRule="auto"/>
        <w:jc w:val="both"/>
      </w:pPr>
    </w:p>
    <w:p w14:paraId="53E3F3CF" w14:textId="77777777" w:rsidR="001A0C16" w:rsidRDefault="001A0C16" w:rsidP="00EF0641">
      <w:pPr>
        <w:spacing w:after="0" w:line="360" w:lineRule="auto"/>
        <w:jc w:val="both"/>
      </w:pPr>
    </w:p>
    <w:p w14:paraId="72DDBAC7" w14:textId="77777777" w:rsidR="001A0C16" w:rsidRPr="001A0C16" w:rsidRDefault="001A0C16" w:rsidP="00EF0641">
      <w:pPr>
        <w:spacing w:after="0" w:line="360" w:lineRule="auto"/>
        <w:jc w:val="both"/>
      </w:pPr>
    </w:p>
    <w:sectPr w:rsidR="001A0C16" w:rsidRPr="001A0C1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81BB" w14:textId="77777777" w:rsidR="00B07C77" w:rsidRDefault="00B07C77" w:rsidP="00D61767">
      <w:pPr>
        <w:spacing w:after="0" w:line="240" w:lineRule="auto"/>
      </w:pPr>
      <w:r>
        <w:separator/>
      </w:r>
    </w:p>
  </w:endnote>
  <w:endnote w:type="continuationSeparator" w:id="0">
    <w:p w14:paraId="0671C99B" w14:textId="77777777" w:rsidR="00B07C77" w:rsidRDefault="00B07C77" w:rsidP="00D6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9DC0" w14:textId="77777777" w:rsidR="00D61767" w:rsidRDefault="00D6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31FD" w14:textId="77777777" w:rsidR="00D61767" w:rsidRDefault="00D61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9683" w14:textId="77777777" w:rsidR="00D61767" w:rsidRDefault="00D6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FF5E" w14:textId="77777777" w:rsidR="00B07C77" w:rsidRDefault="00B07C77" w:rsidP="00D61767">
      <w:pPr>
        <w:spacing w:after="0" w:line="240" w:lineRule="auto"/>
      </w:pPr>
      <w:r>
        <w:separator/>
      </w:r>
    </w:p>
  </w:footnote>
  <w:footnote w:type="continuationSeparator" w:id="0">
    <w:p w14:paraId="1517461A" w14:textId="77777777" w:rsidR="00B07C77" w:rsidRDefault="00B07C77" w:rsidP="00D6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5ECB" w14:textId="37037C7A" w:rsidR="00D61767" w:rsidRDefault="000A3D9E">
    <w:pPr>
      <w:pStyle w:val="Header"/>
    </w:pPr>
    <w:r>
      <w:rPr>
        <w:noProof/>
      </w:rPr>
      <w:pict w14:anchorId="1F4B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98F2" w14:textId="6366BD43" w:rsidR="00D61767" w:rsidRDefault="000A3D9E">
    <w:pPr>
      <w:pStyle w:val="Header"/>
    </w:pPr>
    <w:r>
      <w:rPr>
        <w:noProof/>
      </w:rPr>
      <w:pict w14:anchorId="2EE6B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C02" w14:textId="31142D45" w:rsidR="00D61767" w:rsidRDefault="000A3D9E">
    <w:pPr>
      <w:pStyle w:val="Header"/>
    </w:pPr>
    <w:r>
      <w:rPr>
        <w:noProof/>
      </w:rPr>
      <w:pict w14:anchorId="0E641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30F50"/>
    <w:multiLevelType w:val="multilevel"/>
    <w:tmpl w:val="3636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65308"/>
    <w:multiLevelType w:val="multilevel"/>
    <w:tmpl w:val="44F2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70516"/>
    <w:multiLevelType w:val="multilevel"/>
    <w:tmpl w:val="AE0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27861"/>
    <w:multiLevelType w:val="multilevel"/>
    <w:tmpl w:val="7A801A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740B8"/>
    <w:multiLevelType w:val="multilevel"/>
    <w:tmpl w:val="17C0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042413">
    <w:abstractNumId w:val="2"/>
  </w:num>
  <w:num w:numId="2" w16cid:durableId="1597442584">
    <w:abstractNumId w:val="3"/>
  </w:num>
  <w:num w:numId="3" w16cid:durableId="1164275115">
    <w:abstractNumId w:val="4"/>
  </w:num>
  <w:num w:numId="4" w16cid:durableId="1193542196">
    <w:abstractNumId w:val="0"/>
  </w:num>
  <w:num w:numId="5" w16cid:durableId="198832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16"/>
    <w:rsid w:val="000A3D9E"/>
    <w:rsid w:val="000E3FE9"/>
    <w:rsid w:val="00103984"/>
    <w:rsid w:val="001A0C16"/>
    <w:rsid w:val="002E0941"/>
    <w:rsid w:val="003471D2"/>
    <w:rsid w:val="00386D72"/>
    <w:rsid w:val="003D411C"/>
    <w:rsid w:val="00443A45"/>
    <w:rsid w:val="005705F5"/>
    <w:rsid w:val="0057508D"/>
    <w:rsid w:val="005F19EF"/>
    <w:rsid w:val="006575AF"/>
    <w:rsid w:val="00684BF0"/>
    <w:rsid w:val="0069470F"/>
    <w:rsid w:val="006B26C5"/>
    <w:rsid w:val="00752A35"/>
    <w:rsid w:val="00806999"/>
    <w:rsid w:val="008269F5"/>
    <w:rsid w:val="008B0C13"/>
    <w:rsid w:val="00902D70"/>
    <w:rsid w:val="00904DEE"/>
    <w:rsid w:val="00913C8B"/>
    <w:rsid w:val="009342AE"/>
    <w:rsid w:val="009852C8"/>
    <w:rsid w:val="00992C99"/>
    <w:rsid w:val="009A49B3"/>
    <w:rsid w:val="009D4B76"/>
    <w:rsid w:val="009E7513"/>
    <w:rsid w:val="00AE5FDE"/>
    <w:rsid w:val="00B07C77"/>
    <w:rsid w:val="00B415C5"/>
    <w:rsid w:val="00B51B7F"/>
    <w:rsid w:val="00C25341"/>
    <w:rsid w:val="00C27574"/>
    <w:rsid w:val="00CA5AFB"/>
    <w:rsid w:val="00CD236C"/>
    <w:rsid w:val="00CE40C5"/>
    <w:rsid w:val="00D61767"/>
    <w:rsid w:val="00D97E12"/>
    <w:rsid w:val="00EC620A"/>
    <w:rsid w:val="00EF0641"/>
    <w:rsid w:val="00F569D7"/>
    <w:rsid w:val="00F65C47"/>
    <w:rsid w:val="00F75C7C"/>
    <w:rsid w:val="00F93AF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509905"/>
  <w15:chartTrackingRefBased/>
  <w15:docId w15:val="{F7C49BD8-930A-4952-91C6-1BFBC19A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C16"/>
    <w:pPr>
      <w:spacing w:after="200" w:line="276" w:lineRule="auto"/>
    </w:pPr>
  </w:style>
  <w:style w:type="paragraph" w:styleId="Heading1">
    <w:name w:val="heading 1"/>
    <w:basedOn w:val="Normal"/>
    <w:next w:val="Normal"/>
    <w:link w:val="Heading1Char"/>
    <w:uiPriority w:val="9"/>
    <w:qFormat/>
    <w:rsid w:val="001A0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C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C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0C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0C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C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C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0C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0C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16"/>
    <w:pPr>
      <w:spacing w:before="160"/>
      <w:jc w:val="center"/>
    </w:pPr>
    <w:rPr>
      <w:i/>
      <w:iCs/>
      <w:color w:val="404040" w:themeColor="text1" w:themeTint="BF"/>
    </w:rPr>
  </w:style>
  <w:style w:type="character" w:customStyle="1" w:styleId="QuoteChar">
    <w:name w:val="Quote Char"/>
    <w:basedOn w:val="DefaultParagraphFont"/>
    <w:link w:val="Quote"/>
    <w:uiPriority w:val="29"/>
    <w:rsid w:val="001A0C16"/>
    <w:rPr>
      <w:i/>
      <w:iCs/>
      <w:color w:val="404040" w:themeColor="text1" w:themeTint="BF"/>
    </w:rPr>
  </w:style>
  <w:style w:type="paragraph" w:styleId="ListParagraph">
    <w:name w:val="List Paragraph"/>
    <w:basedOn w:val="Normal"/>
    <w:uiPriority w:val="34"/>
    <w:qFormat/>
    <w:rsid w:val="001A0C16"/>
    <w:pPr>
      <w:ind w:left="720"/>
      <w:contextualSpacing/>
    </w:pPr>
  </w:style>
  <w:style w:type="character" w:styleId="IntenseEmphasis">
    <w:name w:val="Intense Emphasis"/>
    <w:basedOn w:val="DefaultParagraphFont"/>
    <w:uiPriority w:val="21"/>
    <w:qFormat/>
    <w:rsid w:val="001A0C16"/>
    <w:rPr>
      <w:i/>
      <w:iCs/>
      <w:color w:val="2F5496" w:themeColor="accent1" w:themeShade="BF"/>
    </w:rPr>
  </w:style>
  <w:style w:type="paragraph" w:styleId="IntenseQuote">
    <w:name w:val="Intense Quote"/>
    <w:basedOn w:val="Normal"/>
    <w:next w:val="Normal"/>
    <w:link w:val="IntenseQuoteChar"/>
    <w:uiPriority w:val="30"/>
    <w:qFormat/>
    <w:rsid w:val="001A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C16"/>
    <w:rPr>
      <w:i/>
      <w:iCs/>
      <w:color w:val="2F5496" w:themeColor="accent1" w:themeShade="BF"/>
    </w:rPr>
  </w:style>
  <w:style w:type="character" w:styleId="IntenseReference">
    <w:name w:val="Intense Reference"/>
    <w:basedOn w:val="DefaultParagraphFont"/>
    <w:uiPriority w:val="32"/>
    <w:qFormat/>
    <w:rsid w:val="001A0C16"/>
    <w:rPr>
      <w:b/>
      <w:bCs/>
      <w:smallCaps/>
      <w:color w:val="2F5496" w:themeColor="accent1" w:themeShade="BF"/>
      <w:spacing w:val="5"/>
    </w:rPr>
  </w:style>
  <w:style w:type="character" w:styleId="Strong">
    <w:name w:val="Strong"/>
    <w:basedOn w:val="DefaultParagraphFont"/>
    <w:uiPriority w:val="22"/>
    <w:qFormat/>
    <w:rsid w:val="00F65C47"/>
    <w:rPr>
      <w:b/>
      <w:bCs/>
    </w:rPr>
  </w:style>
  <w:style w:type="character" w:styleId="Hyperlink">
    <w:name w:val="Hyperlink"/>
    <w:basedOn w:val="DefaultParagraphFont"/>
    <w:uiPriority w:val="99"/>
    <w:unhideWhenUsed/>
    <w:rsid w:val="00F65C47"/>
    <w:rPr>
      <w:color w:val="0563C1" w:themeColor="hyperlink"/>
      <w:u w:val="single"/>
    </w:rPr>
  </w:style>
  <w:style w:type="character" w:styleId="UnresolvedMention">
    <w:name w:val="Unresolved Mention"/>
    <w:basedOn w:val="DefaultParagraphFont"/>
    <w:uiPriority w:val="99"/>
    <w:semiHidden/>
    <w:unhideWhenUsed/>
    <w:rsid w:val="00F65C47"/>
    <w:rPr>
      <w:color w:val="605E5C"/>
      <w:shd w:val="clear" w:color="auto" w:fill="E1DFDD"/>
    </w:rPr>
  </w:style>
  <w:style w:type="paragraph" w:styleId="NormalWeb">
    <w:name w:val="Normal (Web)"/>
    <w:basedOn w:val="Normal"/>
    <w:uiPriority w:val="99"/>
    <w:unhideWhenUsed/>
    <w:rsid w:val="00F65C47"/>
    <w:pPr>
      <w:spacing w:before="100" w:beforeAutospacing="1" w:after="100" w:afterAutospacing="1" w:line="240" w:lineRule="auto"/>
    </w:pPr>
    <w:rPr>
      <w:rFonts w:eastAsia="Times New Roman" w:cs="Times New Roman"/>
    </w:rPr>
  </w:style>
  <w:style w:type="table" w:styleId="TableGrid">
    <w:name w:val="Table Grid"/>
    <w:basedOn w:val="TableNormal"/>
    <w:uiPriority w:val="39"/>
    <w:rsid w:val="009D4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A49B3"/>
    <w:pPr>
      <w:spacing w:before="100" w:beforeAutospacing="1" w:after="100" w:afterAutospacing="1" w:line="240" w:lineRule="auto"/>
    </w:pPr>
    <w:rPr>
      <w:rFonts w:eastAsia="Times New Roman" w:cs="Times New Roman"/>
    </w:rPr>
  </w:style>
  <w:style w:type="character" w:styleId="Emphasis">
    <w:name w:val="Emphasis"/>
    <w:basedOn w:val="DefaultParagraphFont"/>
    <w:uiPriority w:val="20"/>
    <w:qFormat/>
    <w:rsid w:val="009A49B3"/>
    <w:rPr>
      <w:i/>
      <w:iCs/>
    </w:rPr>
  </w:style>
  <w:style w:type="paragraph" w:styleId="Header">
    <w:name w:val="header"/>
    <w:basedOn w:val="Normal"/>
    <w:link w:val="HeaderChar"/>
    <w:uiPriority w:val="99"/>
    <w:unhideWhenUsed/>
    <w:rsid w:val="00D6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767"/>
  </w:style>
  <w:style w:type="paragraph" w:styleId="Footer">
    <w:name w:val="footer"/>
    <w:basedOn w:val="Normal"/>
    <w:link w:val="FooterChar"/>
    <w:uiPriority w:val="99"/>
    <w:unhideWhenUsed/>
    <w:rsid w:val="00D6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yruvic_acid" TargetMode="External"/><Relationship Id="rId13" Type="http://schemas.openxmlformats.org/officeDocument/2006/relationships/chart" Target="charts/chart1.xml"/><Relationship Id="rId18" Type="http://schemas.openxmlformats.org/officeDocument/2006/relationships/hyperlink" Target="https://www.who.int/publications/i/item/97892406948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Enzyme" TargetMode="External"/><Relationship Id="rId12" Type="http://schemas.openxmlformats.org/officeDocument/2006/relationships/hyperlink" Target="https://en.wikipedia.org/wiki/Hydride" TargetMode="External"/><Relationship Id="rId17" Type="http://schemas.openxmlformats.org/officeDocument/2006/relationships/hyperlink" Target="https://www.un.org/development/desa/pd/sites/www.un.org.development.desa.pd/files/files/documents/2020/Jan/un_2020_worldpopulationageing_highlight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MD.00000000000289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hydrogenas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en.wikipedia.org/wiki/NAD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Lactic_acid" TargetMode="External"/><Relationship Id="rId14" Type="http://schemas.openxmlformats.org/officeDocument/2006/relationships/image" Target="media/image1.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work\Miss%20Sylvia\project%20analysi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work\Miss%20Sylvia\project%20analysi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Sheet3!$E$5</c:f>
              <c:strCache>
                <c:ptCount val="1"/>
                <c:pt idx="0">
                  <c:v>Males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Sheet3!$D$6:$D$10</c:f>
              <c:strCache>
                <c:ptCount val="5"/>
                <c:pt idx="0">
                  <c:v>% of Sex</c:v>
                </c:pt>
                <c:pt idx="1">
                  <c:v>61 -70 years</c:v>
                </c:pt>
                <c:pt idx="2">
                  <c:v>71 - 80 years</c:v>
                </c:pt>
                <c:pt idx="3">
                  <c:v>81 - 90 years</c:v>
                </c:pt>
                <c:pt idx="4">
                  <c:v>&gt; 90 years</c:v>
                </c:pt>
              </c:strCache>
            </c:strRef>
          </c:cat>
          <c:val>
            <c:numRef>
              <c:f>Sheet3!$E$6:$E$10</c:f>
              <c:numCache>
                <c:formatCode>0%</c:formatCode>
                <c:ptCount val="5"/>
                <c:pt idx="0">
                  <c:v>0.46</c:v>
                </c:pt>
                <c:pt idx="1">
                  <c:v>0.2400000000000001</c:v>
                </c:pt>
                <c:pt idx="2">
                  <c:v>0.1800000000000001</c:v>
                </c:pt>
                <c:pt idx="3">
                  <c:v>4.0000000000000022E-2</c:v>
                </c:pt>
                <c:pt idx="4">
                  <c:v>0</c:v>
                </c:pt>
              </c:numCache>
            </c:numRef>
          </c:val>
          <c:extLst>
            <c:ext xmlns:c16="http://schemas.microsoft.com/office/drawing/2014/chart" uri="{C3380CC4-5D6E-409C-BE32-E72D297353CC}">
              <c16:uniqueId val="{00000000-86D7-47FA-901A-F167B18F1CE7}"/>
            </c:ext>
          </c:extLst>
        </c:ser>
        <c:ser>
          <c:idx val="1"/>
          <c:order val="1"/>
          <c:tx>
            <c:strRef>
              <c:f>Sheet3!$F$5</c:f>
              <c:strCache>
                <c:ptCount val="1"/>
                <c:pt idx="0">
                  <c:v>Females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Sheet3!$D$6:$D$10</c:f>
              <c:strCache>
                <c:ptCount val="5"/>
                <c:pt idx="0">
                  <c:v>% of Sex</c:v>
                </c:pt>
                <c:pt idx="1">
                  <c:v>61 -70 years</c:v>
                </c:pt>
                <c:pt idx="2">
                  <c:v>71 - 80 years</c:v>
                </c:pt>
                <c:pt idx="3">
                  <c:v>81 - 90 years</c:v>
                </c:pt>
                <c:pt idx="4">
                  <c:v>&gt; 90 years</c:v>
                </c:pt>
              </c:strCache>
            </c:strRef>
          </c:cat>
          <c:val>
            <c:numRef>
              <c:f>Sheet3!$F$6:$F$10</c:f>
              <c:numCache>
                <c:formatCode>0%</c:formatCode>
                <c:ptCount val="5"/>
                <c:pt idx="0">
                  <c:v>0.54</c:v>
                </c:pt>
                <c:pt idx="1">
                  <c:v>0.36000000000000021</c:v>
                </c:pt>
                <c:pt idx="2">
                  <c:v>0.1</c:v>
                </c:pt>
                <c:pt idx="3">
                  <c:v>4.0000000000000022E-2</c:v>
                </c:pt>
                <c:pt idx="4">
                  <c:v>4.0000000000000022E-2</c:v>
                </c:pt>
              </c:numCache>
            </c:numRef>
          </c:val>
          <c:extLst>
            <c:ext xmlns:c16="http://schemas.microsoft.com/office/drawing/2014/chart" uri="{C3380CC4-5D6E-409C-BE32-E72D297353CC}">
              <c16:uniqueId val="{00000001-86D7-47FA-901A-F167B18F1CE7}"/>
            </c:ext>
          </c:extLst>
        </c:ser>
        <c:dLbls>
          <c:showLegendKey val="0"/>
          <c:showVal val="1"/>
          <c:showCatName val="0"/>
          <c:showSerName val="0"/>
          <c:showPercent val="0"/>
          <c:showBubbleSize val="0"/>
        </c:dLbls>
        <c:gapWidth val="240"/>
        <c:overlap val="-12"/>
        <c:axId val="70413696"/>
        <c:axId val="72058752"/>
      </c:barChart>
      <c:catAx>
        <c:axId val="70413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058752"/>
        <c:crosses val="autoZero"/>
        <c:auto val="1"/>
        <c:lblAlgn val="ctr"/>
        <c:lblOffset val="100"/>
        <c:noMultiLvlLbl val="0"/>
      </c:catAx>
      <c:valAx>
        <c:axId val="72058752"/>
        <c:scaling>
          <c:orientation val="minMax"/>
        </c:scaling>
        <c:delete val="1"/>
        <c:axPos val="l"/>
        <c:numFmt formatCode="0%" sourceLinked="1"/>
        <c:majorTickMark val="none"/>
        <c:minorTickMark val="none"/>
        <c:tickLblPos val="nextTo"/>
        <c:crossAx val="7041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LD vs Age</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0110565307776896"/>
                  <c:y val="-0.15843543947250527"/>
                </c:manualLayout>
              </c:layout>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y = -2.7834x + 367</a:t>
                    </a:r>
                    <a:br>
                      <a:rPr lang="en-US" sz="1050"/>
                    </a:br>
                    <a:r>
                      <a:rPr lang="en-US" sz="1050"/>
                      <a:t>Pearson's Correlate= -0.594</a:t>
                    </a:r>
                  </a:p>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Sig. = 0.000</a:t>
                    </a:r>
                  </a:p>
                </c:rich>
              </c:tx>
              <c:numFmt formatCode="General" sourceLinked="0"/>
              <c:spPr>
                <a:noFill/>
                <a:ln>
                  <a:noFill/>
                </a:ln>
                <a:effectLst/>
              </c:spPr>
            </c:trendlineLbl>
          </c:trendline>
          <c:xVal>
            <c:numRef>
              <c:f>Sheet2!$D$2:$D$201</c:f>
              <c:numCache>
                <c:formatCode>General</c:formatCode>
                <c:ptCount val="200"/>
                <c:pt idx="0">
                  <c:v>21</c:v>
                </c:pt>
                <c:pt idx="1">
                  <c:v>21</c:v>
                </c:pt>
                <c:pt idx="2">
                  <c:v>23</c:v>
                </c:pt>
                <c:pt idx="3">
                  <c:v>25</c:v>
                </c:pt>
                <c:pt idx="4">
                  <c:v>21</c:v>
                </c:pt>
                <c:pt idx="5">
                  <c:v>22</c:v>
                </c:pt>
                <c:pt idx="6">
                  <c:v>32</c:v>
                </c:pt>
                <c:pt idx="7">
                  <c:v>24</c:v>
                </c:pt>
                <c:pt idx="8">
                  <c:v>22</c:v>
                </c:pt>
                <c:pt idx="9">
                  <c:v>24</c:v>
                </c:pt>
                <c:pt idx="10">
                  <c:v>40</c:v>
                </c:pt>
                <c:pt idx="11">
                  <c:v>39</c:v>
                </c:pt>
                <c:pt idx="12">
                  <c:v>35</c:v>
                </c:pt>
                <c:pt idx="13">
                  <c:v>30</c:v>
                </c:pt>
                <c:pt idx="14">
                  <c:v>26</c:v>
                </c:pt>
                <c:pt idx="15">
                  <c:v>27</c:v>
                </c:pt>
                <c:pt idx="16">
                  <c:v>30</c:v>
                </c:pt>
                <c:pt idx="17">
                  <c:v>35</c:v>
                </c:pt>
                <c:pt idx="18">
                  <c:v>23</c:v>
                </c:pt>
                <c:pt idx="19">
                  <c:v>23</c:v>
                </c:pt>
                <c:pt idx="20">
                  <c:v>27</c:v>
                </c:pt>
                <c:pt idx="21">
                  <c:v>26</c:v>
                </c:pt>
                <c:pt idx="22">
                  <c:v>29</c:v>
                </c:pt>
                <c:pt idx="23">
                  <c:v>21</c:v>
                </c:pt>
                <c:pt idx="24">
                  <c:v>21</c:v>
                </c:pt>
                <c:pt idx="25">
                  <c:v>23</c:v>
                </c:pt>
                <c:pt idx="26">
                  <c:v>25</c:v>
                </c:pt>
                <c:pt idx="27">
                  <c:v>21</c:v>
                </c:pt>
                <c:pt idx="28">
                  <c:v>22</c:v>
                </c:pt>
                <c:pt idx="29">
                  <c:v>32</c:v>
                </c:pt>
                <c:pt idx="30">
                  <c:v>24</c:v>
                </c:pt>
                <c:pt idx="31">
                  <c:v>22</c:v>
                </c:pt>
                <c:pt idx="32">
                  <c:v>24</c:v>
                </c:pt>
                <c:pt idx="33">
                  <c:v>40</c:v>
                </c:pt>
                <c:pt idx="34">
                  <c:v>39</c:v>
                </c:pt>
                <c:pt idx="35">
                  <c:v>35</c:v>
                </c:pt>
                <c:pt idx="36">
                  <c:v>30</c:v>
                </c:pt>
                <c:pt idx="37">
                  <c:v>26</c:v>
                </c:pt>
                <c:pt idx="38">
                  <c:v>27</c:v>
                </c:pt>
                <c:pt idx="39">
                  <c:v>30</c:v>
                </c:pt>
                <c:pt idx="40">
                  <c:v>35</c:v>
                </c:pt>
                <c:pt idx="41">
                  <c:v>23</c:v>
                </c:pt>
                <c:pt idx="42">
                  <c:v>23</c:v>
                </c:pt>
                <c:pt idx="43">
                  <c:v>27</c:v>
                </c:pt>
                <c:pt idx="44">
                  <c:v>26</c:v>
                </c:pt>
                <c:pt idx="45">
                  <c:v>29</c:v>
                </c:pt>
                <c:pt idx="46">
                  <c:v>21</c:v>
                </c:pt>
                <c:pt idx="47">
                  <c:v>21</c:v>
                </c:pt>
                <c:pt idx="48">
                  <c:v>31</c:v>
                </c:pt>
                <c:pt idx="49">
                  <c:v>22</c:v>
                </c:pt>
                <c:pt idx="50">
                  <c:v>20</c:v>
                </c:pt>
                <c:pt idx="51">
                  <c:v>20</c:v>
                </c:pt>
                <c:pt idx="52">
                  <c:v>20</c:v>
                </c:pt>
                <c:pt idx="53">
                  <c:v>20</c:v>
                </c:pt>
                <c:pt idx="54">
                  <c:v>26</c:v>
                </c:pt>
                <c:pt idx="55">
                  <c:v>22</c:v>
                </c:pt>
                <c:pt idx="56">
                  <c:v>23</c:v>
                </c:pt>
                <c:pt idx="57">
                  <c:v>23</c:v>
                </c:pt>
                <c:pt idx="58">
                  <c:v>20</c:v>
                </c:pt>
                <c:pt idx="59">
                  <c:v>22</c:v>
                </c:pt>
                <c:pt idx="60">
                  <c:v>20</c:v>
                </c:pt>
                <c:pt idx="61">
                  <c:v>21</c:v>
                </c:pt>
                <c:pt idx="62">
                  <c:v>20</c:v>
                </c:pt>
                <c:pt idx="63">
                  <c:v>22</c:v>
                </c:pt>
                <c:pt idx="64">
                  <c:v>20</c:v>
                </c:pt>
                <c:pt idx="65">
                  <c:v>21</c:v>
                </c:pt>
                <c:pt idx="66">
                  <c:v>20</c:v>
                </c:pt>
                <c:pt idx="67">
                  <c:v>22</c:v>
                </c:pt>
                <c:pt idx="68">
                  <c:v>23</c:v>
                </c:pt>
                <c:pt idx="69">
                  <c:v>26</c:v>
                </c:pt>
                <c:pt idx="70">
                  <c:v>33</c:v>
                </c:pt>
                <c:pt idx="71">
                  <c:v>22</c:v>
                </c:pt>
                <c:pt idx="72">
                  <c:v>22</c:v>
                </c:pt>
                <c:pt idx="73">
                  <c:v>21</c:v>
                </c:pt>
                <c:pt idx="74">
                  <c:v>21</c:v>
                </c:pt>
                <c:pt idx="75">
                  <c:v>31</c:v>
                </c:pt>
                <c:pt idx="76">
                  <c:v>22</c:v>
                </c:pt>
                <c:pt idx="77">
                  <c:v>20</c:v>
                </c:pt>
                <c:pt idx="78">
                  <c:v>20</c:v>
                </c:pt>
                <c:pt idx="79">
                  <c:v>20</c:v>
                </c:pt>
                <c:pt idx="80">
                  <c:v>20</c:v>
                </c:pt>
                <c:pt idx="81">
                  <c:v>26</c:v>
                </c:pt>
                <c:pt idx="82">
                  <c:v>22</c:v>
                </c:pt>
                <c:pt idx="83">
                  <c:v>23</c:v>
                </c:pt>
                <c:pt idx="84">
                  <c:v>23</c:v>
                </c:pt>
                <c:pt idx="85">
                  <c:v>20</c:v>
                </c:pt>
                <c:pt idx="86">
                  <c:v>22</c:v>
                </c:pt>
                <c:pt idx="87">
                  <c:v>20</c:v>
                </c:pt>
                <c:pt idx="88">
                  <c:v>21</c:v>
                </c:pt>
                <c:pt idx="89">
                  <c:v>20</c:v>
                </c:pt>
                <c:pt idx="90">
                  <c:v>22</c:v>
                </c:pt>
                <c:pt idx="91">
                  <c:v>20</c:v>
                </c:pt>
                <c:pt idx="92">
                  <c:v>21</c:v>
                </c:pt>
                <c:pt idx="93">
                  <c:v>20</c:v>
                </c:pt>
                <c:pt idx="94">
                  <c:v>22</c:v>
                </c:pt>
                <c:pt idx="95">
                  <c:v>23</c:v>
                </c:pt>
                <c:pt idx="96">
                  <c:v>26</c:v>
                </c:pt>
                <c:pt idx="97">
                  <c:v>33</c:v>
                </c:pt>
                <c:pt idx="98">
                  <c:v>22</c:v>
                </c:pt>
                <c:pt idx="99">
                  <c:v>22</c:v>
                </c:pt>
                <c:pt idx="100">
                  <c:v>61</c:v>
                </c:pt>
                <c:pt idx="101">
                  <c:v>61</c:v>
                </c:pt>
                <c:pt idx="102">
                  <c:v>65</c:v>
                </c:pt>
                <c:pt idx="103">
                  <c:v>65</c:v>
                </c:pt>
                <c:pt idx="104">
                  <c:v>65</c:v>
                </c:pt>
                <c:pt idx="105">
                  <c:v>65</c:v>
                </c:pt>
                <c:pt idx="106">
                  <c:v>65</c:v>
                </c:pt>
                <c:pt idx="107">
                  <c:v>65</c:v>
                </c:pt>
                <c:pt idx="108">
                  <c:v>65</c:v>
                </c:pt>
                <c:pt idx="109">
                  <c:v>65</c:v>
                </c:pt>
                <c:pt idx="110">
                  <c:v>65</c:v>
                </c:pt>
                <c:pt idx="111">
                  <c:v>65</c:v>
                </c:pt>
                <c:pt idx="112">
                  <c:v>65</c:v>
                </c:pt>
                <c:pt idx="113">
                  <c:v>65</c:v>
                </c:pt>
                <c:pt idx="114">
                  <c:v>65</c:v>
                </c:pt>
                <c:pt idx="115">
                  <c:v>65</c:v>
                </c:pt>
                <c:pt idx="116">
                  <c:v>65</c:v>
                </c:pt>
                <c:pt idx="117">
                  <c:v>65</c:v>
                </c:pt>
                <c:pt idx="118">
                  <c:v>65</c:v>
                </c:pt>
                <c:pt idx="119">
                  <c:v>65</c:v>
                </c:pt>
                <c:pt idx="120">
                  <c:v>65</c:v>
                </c:pt>
                <c:pt idx="121">
                  <c:v>65</c:v>
                </c:pt>
                <c:pt idx="122">
                  <c:v>65</c:v>
                </c:pt>
                <c:pt idx="123">
                  <c:v>65</c:v>
                </c:pt>
                <c:pt idx="124">
                  <c:v>65</c:v>
                </c:pt>
                <c:pt idx="125">
                  <c:v>65</c:v>
                </c:pt>
                <c:pt idx="126">
                  <c:v>65</c:v>
                </c:pt>
                <c:pt idx="127">
                  <c:v>65</c:v>
                </c:pt>
                <c:pt idx="128">
                  <c:v>66</c:v>
                </c:pt>
                <c:pt idx="129">
                  <c:v>66</c:v>
                </c:pt>
                <c:pt idx="130">
                  <c:v>66</c:v>
                </c:pt>
                <c:pt idx="131">
                  <c:v>66</c:v>
                </c:pt>
                <c:pt idx="132">
                  <c:v>66</c:v>
                </c:pt>
                <c:pt idx="133">
                  <c:v>66</c:v>
                </c:pt>
                <c:pt idx="134">
                  <c:v>66</c:v>
                </c:pt>
                <c:pt idx="135">
                  <c:v>66</c:v>
                </c:pt>
                <c:pt idx="136">
                  <c:v>67</c:v>
                </c:pt>
                <c:pt idx="137">
                  <c:v>67</c:v>
                </c:pt>
                <c:pt idx="138">
                  <c:v>67</c:v>
                </c:pt>
                <c:pt idx="139">
                  <c:v>67</c:v>
                </c:pt>
                <c:pt idx="140">
                  <c:v>68</c:v>
                </c:pt>
                <c:pt idx="141">
                  <c:v>68</c:v>
                </c:pt>
                <c:pt idx="142">
                  <c:v>68</c:v>
                </c:pt>
                <c:pt idx="143">
                  <c:v>68</c:v>
                </c:pt>
                <c:pt idx="144">
                  <c:v>68</c:v>
                </c:pt>
                <c:pt idx="145">
                  <c:v>68</c:v>
                </c:pt>
                <c:pt idx="146">
                  <c:v>68</c:v>
                </c:pt>
                <c:pt idx="147">
                  <c:v>68</c:v>
                </c:pt>
                <c:pt idx="148">
                  <c:v>68</c:v>
                </c:pt>
                <c:pt idx="149">
                  <c:v>68</c:v>
                </c:pt>
                <c:pt idx="150">
                  <c:v>69</c:v>
                </c:pt>
                <c:pt idx="151">
                  <c:v>69</c:v>
                </c:pt>
                <c:pt idx="152">
                  <c:v>70</c:v>
                </c:pt>
                <c:pt idx="153">
                  <c:v>70</c:v>
                </c:pt>
                <c:pt idx="154">
                  <c:v>70</c:v>
                </c:pt>
                <c:pt idx="155">
                  <c:v>70</c:v>
                </c:pt>
                <c:pt idx="156">
                  <c:v>70</c:v>
                </c:pt>
                <c:pt idx="157">
                  <c:v>70</c:v>
                </c:pt>
                <c:pt idx="158">
                  <c:v>70</c:v>
                </c:pt>
                <c:pt idx="159">
                  <c:v>70</c:v>
                </c:pt>
                <c:pt idx="160">
                  <c:v>72</c:v>
                </c:pt>
                <c:pt idx="161">
                  <c:v>72</c:v>
                </c:pt>
                <c:pt idx="162">
                  <c:v>72</c:v>
                </c:pt>
                <c:pt idx="163">
                  <c:v>72</c:v>
                </c:pt>
                <c:pt idx="164">
                  <c:v>73</c:v>
                </c:pt>
                <c:pt idx="165">
                  <c:v>73</c:v>
                </c:pt>
                <c:pt idx="166">
                  <c:v>73</c:v>
                </c:pt>
                <c:pt idx="167">
                  <c:v>73</c:v>
                </c:pt>
                <c:pt idx="168">
                  <c:v>74</c:v>
                </c:pt>
                <c:pt idx="169">
                  <c:v>74</c:v>
                </c:pt>
                <c:pt idx="170">
                  <c:v>75</c:v>
                </c:pt>
                <c:pt idx="171">
                  <c:v>75</c:v>
                </c:pt>
                <c:pt idx="172">
                  <c:v>76</c:v>
                </c:pt>
                <c:pt idx="173">
                  <c:v>76</c:v>
                </c:pt>
                <c:pt idx="174">
                  <c:v>77</c:v>
                </c:pt>
                <c:pt idx="175">
                  <c:v>77</c:v>
                </c:pt>
                <c:pt idx="176">
                  <c:v>77</c:v>
                </c:pt>
                <c:pt idx="177">
                  <c:v>77</c:v>
                </c:pt>
                <c:pt idx="178">
                  <c:v>77</c:v>
                </c:pt>
                <c:pt idx="179">
                  <c:v>77</c:v>
                </c:pt>
                <c:pt idx="180">
                  <c:v>78</c:v>
                </c:pt>
                <c:pt idx="181">
                  <c:v>78</c:v>
                </c:pt>
                <c:pt idx="182">
                  <c:v>79</c:v>
                </c:pt>
                <c:pt idx="183">
                  <c:v>79</c:v>
                </c:pt>
                <c:pt idx="184">
                  <c:v>79</c:v>
                </c:pt>
                <c:pt idx="185">
                  <c:v>79</c:v>
                </c:pt>
                <c:pt idx="186">
                  <c:v>80</c:v>
                </c:pt>
                <c:pt idx="187">
                  <c:v>80</c:v>
                </c:pt>
                <c:pt idx="188">
                  <c:v>83</c:v>
                </c:pt>
                <c:pt idx="189">
                  <c:v>83</c:v>
                </c:pt>
                <c:pt idx="190">
                  <c:v>87</c:v>
                </c:pt>
                <c:pt idx="191">
                  <c:v>87</c:v>
                </c:pt>
                <c:pt idx="192">
                  <c:v>87</c:v>
                </c:pt>
                <c:pt idx="193">
                  <c:v>87</c:v>
                </c:pt>
                <c:pt idx="194">
                  <c:v>89</c:v>
                </c:pt>
                <c:pt idx="195">
                  <c:v>89</c:v>
                </c:pt>
                <c:pt idx="196">
                  <c:v>93</c:v>
                </c:pt>
                <c:pt idx="197">
                  <c:v>93</c:v>
                </c:pt>
                <c:pt idx="198">
                  <c:v>102</c:v>
                </c:pt>
                <c:pt idx="199">
                  <c:v>102</c:v>
                </c:pt>
              </c:numCache>
            </c:numRef>
          </c:xVal>
          <c:yVal>
            <c:numRef>
              <c:f>Sheet2!$E$2:$E$201</c:f>
              <c:numCache>
                <c:formatCode>General</c:formatCode>
                <c:ptCount val="200"/>
                <c:pt idx="0">
                  <c:v>222.42000000000004</c:v>
                </c:pt>
                <c:pt idx="1">
                  <c:v>416.78</c:v>
                </c:pt>
                <c:pt idx="2">
                  <c:v>336.63</c:v>
                </c:pt>
                <c:pt idx="3">
                  <c:v>248.46</c:v>
                </c:pt>
                <c:pt idx="4">
                  <c:v>272.51</c:v>
                </c:pt>
                <c:pt idx="5">
                  <c:v>292.20999999999975</c:v>
                </c:pt>
                <c:pt idx="6">
                  <c:v>376.7</c:v>
                </c:pt>
                <c:pt idx="7">
                  <c:v>320.06</c:v>
                </c:pt>
                <c:pt idx="8">
                  <c:v>288.54000000000002</c:v>
                </c:pt>
                <c:pt idx="9">
                  <c:v>344.64000000000021</c:v>
                </c:pt>
                <c:pt idx="10">
                  <c:v>232.43</c:v>
                </c:pt>
                <c:pt idx="11">
                  <c:v>440.82</c:v>
                </c:pt>
                <c:pt idx="12">
                  <c:v>152.28</c:v>
                </c:pt>
                <c:pt idx="13">
                  <c:v>240.45000000000007</c:v>
                </c:pt>
                <c:pt idx="14">
                  <c:v>288.54000000000002</c:v>
                </c:pt>
                <c:pt idx="15">
                  <c:v>144.26999999999998</c:v>
                </c:pt>
                <c:pt idx="16">
                  <c:v>424.78999999999979</c:v>
                </c:pt>
                <c:pt idx="17">
                  <c:v>312.58</c:v>
                </c:pt>
                <c:pt idx="18">
                  <c:v>280.52</c:v>
                </c:pt>
                <c:pt idx="19">
                  <c:v>280.52</c:v>
                </c:pt>
                <c:pt idx="20">
                  <c:v>288.54000000000002</c:v>
                </c:pt>
                <c:pt idx="21">
                  <c:v>240.45000000000007</c:v>
                </c:pt>
                <c:pt idx="22">
                  <c:v>248.46</c:v>
                </c:pt>
                <c:pt idx="23">
                  <c:v>223.42000000000004</c:v>
                </c:pt>
                <c:pt idx="24">
                  <c:v>417.78</c:v>
                </c:pt>
                <c:pt idx="25">
                  <c:v>337.63</c:v>
                </c:pt>
                <c:pt idx="26">
                  <c:v>249.46</c:v>
                </c:pt>
                <c:pt idx="27">
                  <c:v>273.51</c:v>
                </c:pt>
                <c:pt idx="28">
                  <c:v>293.20999999999975</c:v>
                </c:pt>
                <c:pt idx="29">
                  <c:v>377.7</c:v>
                </c:pt>
                <c:pt idx="30">
                  <c:v>321.06</c:v>
                </c:pt>
                <c:pt idx="31">
                  <c:v>289.54000000000002</c:v>
                </c:pt>
                <c:pt idx="32">
                  <c:v>345.64000000000021</c:v>
                </c:pt>
                <c:pt idx="33">
                  <c:v>233.43</c:v>
                </c:pt>
                <c:pt idx="34">
                  <c:v>441.82</c:v>
                </c:pt>
                <c:pt idx="35">
                  <c:v>153.28</c:v>
                </c:pt>
                <c:pt idx="36">
                  <c:v>241.45000000000007</c:v>
                </c:pt>
                <c:pt idx="37">
                  <c:v>289.54000000000002</c:v>
                </c:pt>
                <c:pt idx="38">
                  <c:v>145.26999999999998</c:v>
                </c:pt>
                <c:pt idx="39">
                  <c:v>425.78999999999979</c:v>
                </c:pt>
                <c:pt idx="40">
                  <c:v>313.58</c:v>
                </c:pt>
                <c:pt idx="41">
                  <c:v>281.52</c:v>
                </c:pt>
                <c:pt idx="42">
                  <c:v>281.52</c:v>
                </c:pt>
                <c:pt idx="43">
                  <c:v>289.54000000000002</c:v>
                </c:pt>
                <c:pt idx="44">
                  <c:v>241.45000000000007</c:v>
                </c:pt>
                <c:pt idx="45">
                  <c:v>249.46</c:v>
                </c:pt>
                <c:pt idx="46">
                  <c:v>432.81</c:v>
                </c:pt>
                <c:pt idx="47">
                  <c:v>424.78999999999979</c:v>
                </c:pt>
                <c:pt idx="48">
                  <c:v>456.85</c:v>
                </c:pt>
                <c:pt idx="49">
                  <c:v>304.57</c:v>
                </c:pt>
                <c:pt idx="50">
                  <c:v>120.22</c:v>
                </c:pt>
                <c:pt idx="51">
                  <c:v>376.7</c:v>
                </c:pt>
                <c:pt idx="52">
                  <c:v>128.23999999999998</c:v>
                </c:pt>
                <c:pt idx="53">
                  <c:v>240.45000000000007</c:v>
                </c:pt>
                <c:pt idx="54">
                  <c:v>408.76</c:v>
                </c:pt>
                <c:pt idx="55">
                  <c:v>256.47999999999979</c:v>
                </c:pt>
                <c:pt idx="56">
                  <c:v>368.69</c:v>
                </c:pt>
                <c:pt idx="57">
                  <c:v>304.57</c:v>
                </c:pt>
                <c:pt idx="58">
                  <c:v>120.22</c:v>
                </c:pt>
                <c:pt idx="59">
                  <c:v>256.47999999999979</c:v>
                </c:pt>
                <c:pt idx="60">
                  <c:v>376.7</c:v>
                </c:pt>
                <c:pt idx="61">
                  <c:v>424.78999999999979</c:v>
                </c:pt>
                <c:pt idx="62">
                  <c:v>120.22</c:v>
                </c:pt>
                <c:pt idx="63">
                  <c:v>256.47999999999979</c:v>
                </c:pt>
                <c:pt idx="64">
                  <c:v>120.22</c:v>
                </c:pt>
                <c:pt idx="65">
                  <c:v>432.81</c:v>
                </c:pt>
                <c:pt idx="66">
                  <c:v>256.47999999999979</c:v>
                </c:pt>
                <c:pt idx="67">
                  <c:v>376.7</c:v>
                </c:pt>
                <c:pt idx="68">
                  <c:v>368.69</c:v>
                </c:pt>
                <c:pt idx="69">
                  <c:v>408.76</c:v>
                </c:pt>
                <c:pt idx="70">
                  <c:v>408.76</c:v>
                </c:pt>
                <c:pt idx="71">
                  <c:v>222.42000000000004</c:v>
                </c:pt>
                <c:pt idx="72">
                  <c:v>304.57</c:v>
                </c:pt>
                <c:pt idx="73">
                  <c:v>433.81</c:v>
                </c:pt>
                <c:pt idx="74">
                  <c:v>425.78999999999979</c:v>
                </c:pt>
                <c:pt idx="75">
                  <c:v>457.85</c:v>
                </c:pt>
                <c:pt idx="76">
                  <c:v>305.57</c:v>
                </c:pt>
                <c:pt idx="77">
                  <c:v>121.22</c:v>
                </c:pt>
                <c:pt idx="78">
                  <c:v>377.7</c:v>
                </c:pt>
                <c:pt idx="79">
                  <c:v>129.23999999999998</c:v>
                </c:pt>
                <c:pt idx="80">
                  <c:v>241.45000000000007</c:v>
                </c:pt>
                <c:pt idx="81">
                  <c:v>409.76</c:v>
                </c:pt>
                <c:pt idx="82">
                  <c:v>257.47999999999979</c:v>
                </c:pt>
                <c:pt idx="83">
                  <c:v>369.69</c:v>
                </c:pt>
                <c:pt idx="84">
                  <c:v>305.57</c:v>
                </c:pt>
                <c:pt idx="85">
                  <c:v>121.22</c:v>
                </c:pt>
                <c:pt idx="86">
                  <c:v>257.47999999999979</c:v>
                </c:pt>
                <c:pt idx="87">
                  <c:v>377.7</c:v>
                </c:pt>
                <c:pt idx="88">
                  <c:v>425.78999999999979</c:v>
                </c:pt>
                <c:pt idx="89">
                  <c:v>121.22</c:v>
                </c:pt>
                <c:pt idx="90">
                  <c:v>257.47999999999979</c:v>
                </c:pt>
                <c:pt idx="91">
                  <c:v>121.22</c:v>
                </c:pt>
                <c:pt idx="92">
                  <c:v>433.81</c:v>
                </c:pt>
                <c:pt idx="93">
                  <c:v>257.47999999999979</c:v>
                </c:pt>
                <c:pt idx="94">
                  <c:v>377.7</c:v>
                </c:pt>
                <c:pt idx="95">
                  <c:v>369.69</c:v>
                </c:pt>
                <c:pt idx="96">
                  <c:v>409.76</c:v>
                </c:pt>
                <c:pt idx="97">
                  <c:v>409.76</c:v>
                </c:pt>
                <c:pt idx="98">
                  <c:v>223.42000000000004</c:v>
                </c:pt>
                <c:pt idx="99">
                  <c:v>305.57</c:v>
                </c:pt>
                <c:pt idx="100">
                  <c:v>432.81</c:v>
                </c:pt>
                <c:pt idx="101">
                  <c:v>433.81</c:v>
                </c:pt>
                <c:pt idx="102">
                  <c:v>472.88</c:v>
                </c:pt>
                <c:pt idx="103">
                  <c:v>176.33</c:v>
                </c:pt>
                <c:pt idx="104">
                  <c:v>304.57</c:v>
                </c:pt>
                <c:pt idx="105">
                  <c:v>192.36</c:v>
                </c:pt>
                <c:pt idx="106">
                  <c:v>473.88</c:v>
                </c:pt>
                <c:pt idx="107">
                  <c:v>177.33</c:v>
                </c:pt>
                <c:pt idx="108">
                  <c:v>305.57</c:v>
                </c:pt>
                <c:pt idx="109">
                  <c:v>193.36</c:v>
                </c:pt>
                <c:pt idx="110">
                  <c:v>120.22</c:v>
                </c:pt>
                <c:pt idx="111">
                  <c:v>136.25</c:v>
                </c:pt>
                <c:pt idx="112">
                  <c:v>152.28</c:v>
                </c:pt>
                <c:pt idx="113">
                  <c:v>184.34</c:v>
                </c:pt>
                <c:pt idx="114">
                  <c:v>88.16</c:v>
                </c:pt>
                <c:pt idx="115">
                  <c:v>128.23999999999998</c:v>
                </c:pt>
                <c:pt idx="116">
                  <c:v>432.81</c:v>
                </c:pt>
                <c:pt idx="117">
                  <c:v>304.57</c:v>
                </c:pt>
                <c:pt idx="118">
                  <c:v>136.25</c:v>
                </c:pt>
                <c:pt idx="119">
                  <c:v>121.22</c:v>
                </c:pt>
                <c:pt idx="120">
                  <c:v>137.25</c:v>
                </c:pt>
                <c:pt idx="121">
                  <c:v>153.28</c:v>
                </c:pt>
                <c:pt idx="122">
                  <c:v>185.34</c:v>
                </c:pt>
                <c:pt idx="123">
                  <c:v>89.16</c:v>
                </c:pt>
                <c:pt idx="124">
                  <c:v>129.23999999999998</c:v>
                </c:pt>
                <c:pt idx="125">
                  <c:v>433.81</c:v>
                </c:pt>
                <c:pt idx="126">
                  <c:v>305.57</c:v>
                </c:pt>
                <c:pt idx="127">
                  <c:v>137.25</c:v>
                </c:pt>
                <c:pt idx="128">
                  <c:v>136.25</c:v>
                </c:pt>
                <c:pt idx="129">
                  <c:v>104.19</c:v>
                </c:pt>
                <c:pt idx="130">
                  <c:v>137.25</c:v>
                </c:pt>
                <c:pt idx="131">
                  <c:v>105.19</c:v>
                </c:pt>
                <c:pt idx="132">
                  <c:v>88.16</c:v>
                </c:pt>
                <c:pt idx="133">
                  <c:v>104.19</c:v>
                </c:pt>
                <c:pt idx="134">
                  <c:v>89.16</c:v>
                </c:pt>
                <c:pt idx="135">
                  <c:v>105.19</c:v>
                </c:pt>
                <c:pt idx="136">
                  <c:v>160.03</c:v>
                </c:pt>
                <c:pt idx="137">
                  <c:v>161.03</c:v>
                </c:pt>
                <c:pt idx="138">
                  <c:v>104.19</c:v>
                </c:pt>
                <c:pt idx="139">
                  <c:v>105.19</c:v>
                </c:pt>
                <c:pt idx="140">
                  <c:v>72.13</c:v>
                </c:pt>
                <c:pt idx="141">
                  <c:v>73.13</c:v>
                </c:pt>
                <c:pt idx="142">
                  <c:v>80.149999999999991</c:v>
                </c:pt>
                <c:pt idx="143">
                  <c:v>144.26999999999998</c:v>
                </c:pt>
                <c:pt idx="144">
                  <c:v>304.57</c:v>
                </c:pt>
                <c:pt idx="145">
                  <c:v>304.57</c:v>
                </c:pt>
                <c:pt idx="146">
                  <c:v>81.149999999999991</c:v>
                </c:pt>
                <c:pt idx="147">
                  <c:v>145.26999999999998</c:v>
                </c:pt>
                <c:pt idx="148">
                  <c:v>305.57</c:v>
                </c:pt>
                <c:pt idx="149">
                  <c:v>305.57</c:v>
                </c:pt>
                <c:pt idx="150">
                  <c:v>144.26999999999998</c:v>
                </c:pt>
                <c:pt idx="151">
                  <c:v>145.26999999999998</c:v>
                </c:pt>
                <c:pt idx="152">
                  <c:v>160.03</c:v>
                </c:pt>
                <c:pt idx="153">
                  <c:v>192.36</c:v>
                </c:pt>
                <c:pt idx="154">
                  <c:v>192.36</c:v>
                </c:pt>
                <c:pt idx="155">
                  <c:v>161.03</c:v>
                </c:pt>
                <c:pt idx="156">
                  <c:v>193.36</c:v>
                </c:pt>
                <c:pt idx="157">
                  <c:v>193.36</c:v>
                </c:pt>
                <c:pt idx="158">
                  <c:v>136.25</c:v>
                </c:pt>
                <c:pt idx="159">
                  <c:v>137.25</c:v>
                </c:pt>
                <c:pt idx="160">
                  <c:v>192.36</c:v>
                </c:pt>
                <c:pt idx="161">
                  <c:v>193.36</c:v>
                </c:pt>
                <c:pt idx="162">
                  <c:v>136.25</c:v>
                </c:pt>
                <c:pt idx="163">
                  <c:v>137.25</c:v>
                </c:pt>
                <c:pt idx="164">
                  <c:v>104.19</c:v>
                </c:pt>
                <c:pt idx="165">
                  <c:v>105.19</c:v>
                </c:pt>
                <c:pt idx="166">
                  <c:v>192.36</c:v>
                </c:pt>
                <c:pt idx="167">
                  <c:v>193.36</c:v>
                </c:pt>
                <c:pt idx="168">
                  <c:v>88.16</c:v>
                </c:pt>
                <c:pt idx="169">
                  <c:v>89.16</c:v>
                </c:pt>
                <c:pt idx="170">
                  <c:v>80.149999999999991</c:v>
                </c:pt>
                <c:pt idx="171">
                  <c:v>81.149999999999991</c:v>
                </c:pt>
                <c:pt idx="172">
                  <c:v>160.03</c:v>
                </c:pt>
                <c:pt idx="173">
                  <c:v>161.03</c:v>
                </c:pt>
                <c:pt idx="174">
                  <c:v>192.36</c:v>
                </c:pt>
                <c:pt idx="175">
                  <c:v>192.36</c:v>
                </c:pt>
                <c:pt idx="176">
                  <c:v>193.36</c:v>
                </c:pt>
                <c:pt idx="177">
                  <c:v>193.36</c:v>
                </c:pt>
                <c:pt idx="178">
                  <c:v>80.149999999999991</c:v>
                </c:pt>
                <c:pt idx="179">
                  <c:v>81.149999999999991</c:v>
                </c:pt>
                <c:pt idx="180">
                  <c:v>192.36</c:v>
                </c:pt>
                <c:pt idx="181">
                  <c:v>193.36</c:v>
                </c:pt>
                <c:pt idx="182">
                  <c:v>72.13</c:v>
                </c:pt>
                <c:pt idx="183">
                  <c:v>136.25</c:v>
                </c:pt>
                <c:pt idx="184">
                  <c:v>73.13</c:v>
                </c:pt>
                <c:pt idx="185">
                  <c:v>137.25</c:v>
                </c:pt>
                <c:pt idx="186">
                  <c:v>104.19</c:v>
                </c:pt>
                <c:pt idx="187">
                  <c:v>105.19</c:v>
                </c:pt>
                <c:pt idx="188">
                  <c:v>96.179999999999978</c:v>
                </c:pt>
                <c:pt idx="189">
                  <c:v>97.179999999999978</c:v>
                </c:pt>
                <c:pt idx="190">
                  <c:v>104.19</c:v>
                </c:pt>
                <c:pt idx="191">
                  <c:v>109.36</c:v>
                </c:pt>
                <c:pt idx="192">
                  <c:v>105.19</c:v>
                </c:pt>
                <c:pt idx="193">
                  <c:v>110.36</c:v>
                </c:pt>
                <c:pt idx="194">
                  <c:v>120.22</c:v>
                </c:pt>
                <c:pt idx="195">
                  <c:v>121.22</c:v>
                </c:pt>
                <c:pt idx="196">
                  <c:v>104.19</c:v>
                </c:pt>
                <c:pt idx="197">
                  <c:v>105.19</c:v>
                </c:pt>
                <c:pt idx="198">
                  <c:v>104.19</c:v>
                </c:pt>
                <c:pt idx="199">
                  <c:v>105.19</c:v>
                </c:pt>
              </c:numCache>
            </c:numRef>
          </c:yVal>
          <c:smooth val="0"/>
          <c:extLst>
            <c:ext xmlns:c16="http://schemas.microsoft.com/office/drawing/2014/chart" uri="{C3380CC4-5D6E-409C-BE32-E72D297353CC}">
              <c16:uniqueId val="{00000001-4F3D-44C6-93AB-8DC8ABA98BE9}"/>
            </c:ext>
          </c:extLst>
        </c:ser>
        <c:dLbls>
          <c:showLegendKey val="0"/>
          <c:showVal val="0"/>
          <c:showCatName val="0"/>
          <c:showSerName val="0"/>
          <c:showPercent val="0"/>
          <c:showBubbleSize val="0"/>
        </c:dLbls>
        <c:axId val="74627712"/>
        <c:axId val="75072640"/>
      </c:scatterChart>
      <c:valAx>
        <c:axId val="7462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Age (years)</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072640"/>
        <c:crosses val="autoZero"/>
        <c:crossBetween val="midCat"/>
      </c:valAx>
      <c:valAx>
        <c:axId val="7507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Lactate Dehydrogenase (u/L)</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627712"/>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19</Pages>
  <Words>4905</Words>
  <Characters>27960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 Gift Odijie</dc:creator>
  <cp:keywords/>
  <dc:description/>
  <cp:lastModifiedBy>Vinod Bhagwat</cp:lastModifiedBy>
  <cp:revision>20</cp:revision>
  <dcterms:created xsi:type="dcterms:W3CDTF">2026-01-16T20:55:00Z</dcterms:created>
  <dcterms:modified xsi:type="dcterms:W3CDTF">2026-01-19T17:23:00Z</dcterms:modified>
</cp:coreProperties>
</file>