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1D" w:rsidRDefault="006F6B1D">
      <w:pPr>
        <w:spacing w:before="96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F6B1D">
        <w:trPr>
          <w:trHeight w:val="290"/>
        </w:trPr>
        <w:tc>
          <w:tcPr>
            <w:tcW w:w="5168" w:type="dxa"/>
          </w:tcPr>
          <w:p w:rsidR="006F6B1D" w:rsidRDefault="002F7BA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6F6B1D" w:rsidRDefault="002F7BAD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800080"/>
                  <w:sz w:val="20"/>
                  <w:u w:val="single" w:color="800080"/>
                </w:rPr>
                <w:t>Asian</w:t>
              </w:r>
              <w:r>
                <w:rPr>
                  <w:rFonts w:ascii="Arial"/>
                  <w:b/>
                  <w:color w:val="800080"/>
                  <w:spacing w:val="-7"/>
                  <w:sz w:val="20"/>
                  <w:u w:val="single" w:color="800080"/>
                </w:rPr>
                <w:t xml:space="preserve"> </w:t>
              </w:r>
              <w:r>
                <w:rPr>
                  <w:rFonts w:ascii="Arial"/>
                  <w:b/>
                  <w:color w:val="800080"/>
                  <w:sz w:val="20"/>
                  <w:u w:val="single" w:color="800080"/>
                </w:rPr>
                <w:t>Journal</w:t>
              </w:r>
              <w:r>
                <w:rPr>
                  <w:rFonts w:ascii="Arial"/>
                  <w:b/>
                  <w:color w:val="800080"/>
                  <w:spacing w:val="-7"/>
                  <w:sz w:val="20"/>
                  <w:u w:val="single" w:color="800080"/>
                </w:rPr>
                <w:t xml:space="preserve"> </w:t>
              </w:r>
              <w:r>
                <w:rPr>
                  <w:rFonts w:ascii="Arial"/>
                  <w:b/>
                  <w:color w:val="800080"/>
                  <w:sz w:val="20"/>
                  <w:u w:val="single" w:color="800080"/>
                </w:rPr>
                <w:t>of</w:t>
              </w:r>
              <w:r>
                <w:rPr>
                  <w:rFonts w:ascii="Arial"/>
                  <w:b/>
                  <w:color w:val="800080"/>
                  <w:spacing w:val="-4"/>
                  <w:sz w:val="20"/>
                  <w:u w:val="single" w:color="800080"/>
                </w:rPr>
                <w:t xml:space="preserve"> </w:t>
              </w:r>
              <w:r>
                <w:rPr>
                  <w:rFonts w:ascii="Arial"/>
                  <w:b/>
                  <w:color w:val="800080"/>
                  <w:sz w:val="20"/>
                  <w:u w:val="single" w:color="800080"/>
                </w:rPr>
                <w:t>Education</w:t>
              </w:r>
              <w:r>
                <w:rPr>
                  <w:rFonts w:ascii="Arial"/>
                  <w:b/>
                  <w:color w:val="800080"/>
                  <w:spacing w:val="-6"/>
                  <w:sz w:val="20"/>
                  <w:u w:val="single" w:color="800080"/>
                </w:rPr>
                <w:t xml:space="preserve"> </w:t>
              </w:r>
              <w:r>
                <w:rPr>
                  <w:rFonts w:ascii="Arial"/>
                  <w:b/>
                  <w:color w:val="800080"/>
                  <w:sz w:val="20"/>
                  <w:u w:val="single" w:color="800080"/>
                </w:rPr>
                <w:t>and</w:t>
              </w:r>
              <w:r>
                <w:rPr>
                  <w:rFonts w:ascii="Arial"/>
                  <w:b/>
                  <w:color w:val="800080"/>
                  <w:spacing w:val="-6"/>
                  <w:sz w:val="20"/>
                  <w:u w:val="single" w:color="800080"/>
                </w:rPr>
                <w:t xml:space="preserve"> </w:t>
              </w:r>
              <w:r>
                <w:rPr>
                  <w:rFonts w:ascii="Arial"/>
                  <w:b/>
                  <w:color w:val="800080"/>
                  <w:sz w:val="20"/>
                  <w:u w:val="single" w:color="800080"/>
                </w:rPr>
                <w:t>Social</w:t>
              </w:r>
              <w:r>
                <w:rPr>
                  <w:rFonts w:ascii="Arial"/>
                  <w:b/>
                  <w:color w:val="800080"/>
                  <w:spacing w:val="-5"/>
                  <w:sz w:val="20"/>
                  <w:u w:val="single" w:color="800080"/>
                </w:rPr>
                <w:t xml:space="preserve"> </w:t>
              </w:r>
              <w:r>
                <w:rPr>
                  <w:rFonts w:ascii="Arial"/>
                  <w:b/>
                  <w:color w:val="800080"/>
                  <w:spacing w:val="-2"/>
                  <w:sz w:val="20"/>
                  <w:u w:val="single" w:color="800080"/>
                </w:rPr>
                <w:t>Studies</w:t>
              </w:r>
            </w:hyperlink>
          </w:p>
        </w:tc>
      </w:tr>
      <w:tr w:rsidR="006F6B1D">
        <w:trPr>
          <w:trHeight w:val="290"/>
        </w:trPr>
        <w:tc>
          <w:tcPr>
            <w:tcW w:w="5168" w:type="dxa"/>
          </w:tcPr>
          <w:p w:rsidR="006F6B1D" w:rsidRDefault="002F7BA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6F6B1D" w:rsidRDefault="002F7BAD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Ms_AJESS_152645</w:t>
            </w:r>
          </w:p>
        </w:tc>
      </w:tr>
      <w:tr w:rsidR="006F6B1D">
        <w:trPr>
          <w:trHeight w:val="650"/>
        </w:trPr>
        <w:tc>
          <w:tcPr>
            <w:tcW w:w="5168" w:type="dxa"/>
          </w:tcPr>
          <w:p w:rsidR="006F6B1D" w:rsidRDefault="002F7BA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6F6B1D" w:rsidRDefault="002F7BAD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Spintop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Embodied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Process-Oriented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Rethinking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Simple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Toys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Theory</w:t>
            </w:r>
          </w:p>
        </w:tc>
      </w:tr>
      <w:tr w:rsidR="006F6B1D">
        <w:trPr>
          <w:trHeight w:val="333"/>
        </w:trPr>
        <w:tc>
          <w:tcPr>
            <w:tcW w:w="5168" w:type="dxa"/>
          </w:tcPr>
          <w:p w:rsidR="006F6B1D" w:rsidRDefault="002F7BA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</w:tbl>
    <w:p w:rsidR="006F6B1D" w:rsidRDefault="006F6B1D">
      <w:pPr>
        <w:rPr>
          <w:sz w:val="20"/>
        </w:rPr>
      </w:pPr>
    </w:p>
    <w:p w:rsidR="006F6B1D" w:rsidRDefault="006F6B1D">
      <w:pPr>
        <w:spacing w:before="229"/>
        <w:rPr>
          <w:sz w:val="20"/>
        </w:rPr>
      </w:pPr>
    </w:p>
    <w:p w:rsidR="006F6B1D" w:rsidRDefault="002F7BAD">
      <w:pPr>
        <w:pStyle w:val="BodyText"/>
        <w:ind w:left="165"/>
      </w:pPr>
      <w:r>
        <w:rPr>
          <w:u w:val="single"/>
        </w:rPr>
        <w:t>General</w:t>
      </w:r>
      <w:r>
        <w:rPr>
          <w:spacing w:val="-7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6F6B1D" w:rsidRDefault="006F6B1D">
      <w:pPr>
        <w:rPr>
          <w:b/>
          <w:sz w:val="20"/>
        </w:rPr>
      </w:pPr>
    </w:p>
    <w:p w:rsidR="006F6B1D" w:rsidRDefault="002F7BAD">
      <w:pPr>
        <w:pStyle w:val="BodyText"/>
        <w:spacing w:before="1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6F6B1D" w:rsidRDefault="006F6B1D">
      <w:pPr>
        <w:spacing w:before="1"/>
        <w:rPr>
          <w:b/>
          <w:sz w:val="20"/>
        </w:rPr>
      </w:pPr>
    </w:p>
    <w:p w:rsidR="006F6B1D" w:rsidRDefault="002F7BAD">
      <w:pPr>
        <w:ind w:left="165" w:right="58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6F6B1D" w:rsidRDefault="002F7BAD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6F6B1D" w:rsidRDefault="006F6B1D">
      <w:pPr>
        <w:rPr>
          <w:sz w:val="20"/>
        </w:rPr>
      </w:pPr>
    </w:p>
    <w:p w:rsidR="006F6B1D" w:rsidRDefault="006F6B1D">
      <w:pPr>
        <w:spacing w:before="1"/>
        <w:rPr>
          <w:sz w:val="20"/>
        </w:rPr>
      </w:pPr>
    </w:p>
    <w:p w:rsidR="006F6B1D" w:rsidRDefault="002F7BAD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6F6B1D" w:rsidRDefault="002F7BAD">
      <w:pPr>
        <w:spacing w:before="229"/>
        <w:ind w:left="165" w:right="11775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</w:t>
        </w:r>
        <w:r>
          <w:rPr>
            <w:color w:val="0000FF"/>
            <w:sz w:val="20"/>
            <w:u w:val="single" w:color="0000FF"/>
          </w:rPr>
          <w:t>werhub.org/benefits-for-reviewers</w:t>
        </w:r>
      </w:hyperlink>
    </w:p>
    <w:p w:rsidR="006F6B1D" w:rsidRDefault="006F6B1D">
      <w:pPr>
        <w:rPr>
          <w:sz w:val="20"/>
        </w:rPr>
        <w:sectPr w:rsidR="006F6B1D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6F6B1D" w:rsidRDefault="006F6B1D">
      <w:pPr>
        <w:spacing w:before="10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F6B1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F6B1D" w:rsidRDefault="002F7BA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F6B1D">
        <w:trPr>
          <w:trHeight w:val="964"/>
        </w:trPr>
        <w:tc>
          <w:tcPr>
            <w:tcW w:w="5352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F6B1D" w:rsidRDefault="002F7BAD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F6B1D" w:rsidRDefault="002F7BAD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F6B1D">
        <w:trPr>
          <w:trHeight w:val="1264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The manuscript contributes to the scientific community by shifting the focus of play research from outcome- oriented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towa</w:t>
            </w:r>
            <w:r>
              <w:rPr>
                <w:sz w:val="20"/>
              </w:rPr>
              <w:t>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process-based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embodied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dimensions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simple toys such as the </w:t>
            </w:r>
            <w:proofErr w:type="spellStart"/>
            <w:r>
              <w:rPr>
                <w:sz w:val="20"/>
              </w:rPr>
              <w:t>spintop</w:t>
            </w:r>
            <w:proofErr w:type="spellEnd"/>
            <w:r>
              <w:rPr>
                <w:sz w:val="20"/>
              </w:rPr>
              <w:t xml:space="preserve"> offers relevance for play theory, education, and developmental research. The study has the potential to enrich interdisciplinary discourse if its t</w:t>
            </w:r>
            <w:r>
              <w:rPr>
                <w:sz w:val="20"/>
              </w:rPr>
              <w:t>heoretical contribution is clarified and strengthened.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1262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F6B1D" w:rsidRDefault="002F7BA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alternative title is suggested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1262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manuscript’s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primary</w:t>
            </w:r>
          </w:p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theoretical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clarity.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705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frameworks.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claims require clearer justification and improved internal coherence to meet publication standards.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702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6F6B1D" w:rsidRDefault="002F7BAD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foundational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embodied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play,</w:t>
            </w:r>
          </w:p>
          <w:p w:rsidR="006F6B1D" w:rsidRDefault="002F7BA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affordances,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 consistency are also required.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688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understandable.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typographical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inconsistent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terminology,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overly complex sentence constructions reduce clarity. Professional language editing is recommended.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1180"/>
        </w:trPr>
        <w:tc>
          <w:tcPr>
            <w:tcW w:w="5352" w:type="dxa"/>
          </w:tcPr>
          <w:p w:rsidR="006F6B1D" w:rsidRDefault="002F7BAD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F6B1D" w:rsidRDefault="002F7BAD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potential.</w:t>
            </w:r>
            <w:r w:rsidR="00A54805">
              <w:rPr>
                <w:spacing w:val="-4"/>
                <w:sz w:val="20"/>
              </w:rPr>
              <w:t xml:space="preserve"> </w:t>
            </w:r>
            <w:r w:rsidR="00A54805">
              <w:rPr>
                <w:sz w:val="20"/>
              </w:rPr>
              <w:t>Improved</w:t>
            </w:r>
            <w:r w:rsidR="00A54805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structure, illustrative examples, and careful language revision would significantly enhance overall quality.</w:t>
            </w:r>
          </w:p>
        </w:tc>
        <w:tc>
          <w:tcPr>
            <w:tcW w:w="6445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</w:tbl>
    <w:p w:rsidR="006F6B1D" w:rsidRDefault="006F6B1D">
      <w:pPr>
        <w:pStyle w:val="TableParagraph"/>
        <w:rPr>
          <w:sz w:val="18"/>
        </w:rPr>
        <w:sectPr w:rsidR="006F6B1D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F6B1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6F6B1D" w:rsidRDefault="002F7BA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6F6B1D">
        <w:trPr>
          <w:trHeight w:val="935"/>
        </w:trPr>
        <w:tc>
          <w:tcPr>
            <w:tcW w:w="6831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6F6B1D" w:rsidRDefault="002F7BA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6F6B1D" w:rsidRDefault="002F7BAD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F6B1D">
        <w:trPr>
          <w:trHeight w:val="918"/>
        </w:trPr>
        <w:tc>
          <w:tcPr>
            <w:tcW w:w="6831" w:type="dxa"/>
          </w:tcPr>
          <w:p w:rsidR="006F6B1D" w:rsidRDefault="006F6B1D">
            <w:pPr>
              <w:pStyle w:val="TableParagraph"/>
              <w:rPr>
                <w:sz w:val="20"/>
              </w:rPr>
            </w:pPr>
          </w:p>
          <w:p w:rsidR="006F6B1D" w:rsidRDefault="002F7BA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6F6B1D" w:rsidRDefault="006F6B1D">
            <w:pPr>
              <w:pStyle w:val="TableParagraph"/>
              <w:spacing w:before="113"/>
              <w:rPr>
                <w:sz w:val="20"/>
              </w:rPr>
            </w:pPr>
          </w:p>
          <w:p w:rsidR="006F6B1D" w:rsidRDefault="002F7BAD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No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identified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this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manuscript.</w:t>
            </w:r>
          </w:p>
        </w:tc>
        <w:tc>
          <w:tcPr>
            <w:tcW w:w="5678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697"/>
        </w:trPr>
        <w:tc>
          <w:tcPr>
            <w:tcW w:w="6831" w:type="dxa"/>
          </w:tcPr>
          <w:p w:rsidR="006F6B1D" w:rsidRDefault="006F6B1D">
            <w:pPr>
              <w:pStyle w:val="TableParagraph"/>
              <w:spacing w:before="3"/>
              <w:rPr>
                <w:sz w:val="20"/>
              </w:rPr>
            </w:pPr>
          </w:p>
          <w:p w:rsidR="006F6B1D" w:rsidRDefault="002F7BA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6F6B1D" w:rsidRDefault="006F6B1D">
            <w:pPr>
              <w:pStyle w:val="TableParagraph"/>
              <w:spacing w:before="3"/>
              <w:rPr>
                <w:sz w:val="20"/>
              </w:rPr>
            </w:pPr>
          </w:p>
          <w:p w:rsidR="006F6B1D" w:rsidRDefault="002F7BAD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No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competing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interest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are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identified.</w:t>
            </w:r>
          </w:p>
        </w:tc>
        <w:tc>
          <w:tcPr>
            <w:tcW w:w="5678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  <w:tr w:rsidR="006F6B1D">
        <w:trPr>
          <w:trHeight w:val="698"/>
        </w:trPr>
        <w:tc>
          <w:tcPr>
            <w:tcW w:w="6831" w:type="dxa"/>
          </w:tcPr>
          <w:p w:rsidR="006F6B1D" w:rsidRDefault="006F6B1D">
            <w:pPr>
              <w:pStyle w:val="TableParagraph"/>
              <w:spacing w:before="3"/>
              <w:rPr>
                <w:sz w:val="20"/>
              </w:rPr>
            </w:pPr>
          </w:p>
          <w:p w:rsidR="006F6B1D" w:rsidRDefault="002F7BA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6F6B1D" w:rsidRDefault="006F6B1D">
            <w:pPr>
              <w:pStyle w:val="TableParagraph"/>
              <w:spacing w:before="3"/>
              <w:rPr>
                <w:sz w:val="20"/>
              </w:rPr>
            </w:pPr>
          </w:p>
          <w:p w:rsidR="006F6B1D" w:rsidRDefault="002F7BAD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No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indication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of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plagiarism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observed.</w:t>
            </w:r>
          </w:p>
        </w:tc>
        <w:tc>
          <w:tcPr>
            <w:tcW w:w="5678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</w:tbl>
    <w:p w:rsidR="006F6B1D" w:rsidRDefault="006F6B1D">
      <w:pPr>
        <w:rPr>
          <w:sz w:val="20"/>
        </w:rPr>
      </w:pPr>
    </w:p>
    <w:p w:rsidR="006F6B1D" w:rsidRDefault="006F6B1D">
      <w:pPr>
        <w:spacing w:before="17"/>
        <w:rPr>
          <w:sz w:val="20"/>
        </w:rPr>
      </w:pPr>
    </w:p>
    <w:p w:rsidR="006F6B1D" w:rsidRDefault="002F7BAD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3: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u w:val="single"/>
        </w:rPr>
        <w:t>Declaration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Competing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Interest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the</w:t>
      </w:r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spacing w:val="-2"/>
          <w:u w:val="single"/>
        </w:rPr>
        <w:t>Reviewer:</w:t>
      </w:r>
    </w:p>
    <w:p w:rsidR="006F6B1D" w:rsidRDefault="002F7BAD">
      <w:pPr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149585</wp:posOffset>
                </wp:positionV>
                <wp:extent cx="13432790" cy="1524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6B1D" w:rsidRDefault="002F7BAD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“I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reviewer”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6pt;margin-top:11.8pt;width:1057.7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6F6B1D" w:rsidRDefault="002F7BAD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“I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reviewer”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6B1D" w:rsidRDefault="006F6B1D">
      <w:pPr>
        <w:rPr>
          <w:b/>
          <w:sz w:val="20"/>
        </w:rPr>
      </w:pPr>
    </w:p>
    <w:p w:rsidR="006F6B1D" w:rsidRDefault="006F6B1D">
      <w:pPr>
        <w:spacing w:before="8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6F6B1D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6F6B1D" w:rsidRDefault="002F7BA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6F6B1D">
        <w:trPr>
          <w:trHeight w:val="230"/>
        </w:trPr>
        <w:tc>
          <w:tcPr>
            <w:tcW w:w="11536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6F6B1D">
        <w:trPr>
          <w:trHeight w:val="2301"/>
        </w:trPr>
        <w:tc>
          <w:tcPr>
            <w:tcW w:w="11536" w:type="dxa"/>
          </w:tcPr>
          <w:p w:rsidR="006F6B1D" w:rsidRDefault="002F7BAD">
            <w:pPr>
              <w:pStyle w:val="TableParagraph"/>
              <w:ind w:left="107" w:right="6412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6F6B1D" w:rsidRDefault="006F6B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F6B1D" w:rsidRDefault="002F7B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6F6B1D" w:rsidRDefault="002F7BAD">
            <w:pPr>
              <w:pStyle w:val="TableParagraph"/>
              <w:ind w:left="107" w:right="905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6F6B1D" w:rsidRDefault="002F7BAD">
            <w:pPr>
              <w:pStyle w:val="TableParagraph"/>
              <w:ind w:left="107"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6F6B1D" w:rsidRDefault="002F7BAD">
            <w:pPr>
              <w:pStyle w:val="TableParagraph"/>
              <w:spacing w:line="230" w:lineRule="atLeast"/>
              <w:ind w:left="107"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6F6B1D" w:rsidRDefault="006F6B1D">
            <w:pPr>
              <w:pStyle w:val="TableParagraph"/>
              <w:rPr>
                <w:b/>
                <w:sz w:val="20"/>
              </w:rPr>
            </w:pPr>
          </w:p>
          <w:p w:rsidR="006F6B1D" w:rsidRDefault="006F6B1D">
            <w:pPr>
              <w:pStyle w:val="TableParagraph"/>
              <w:rPr>
                <w:b/>
                <w:sz w:val="20"/>
              </w:rPr>
            </w:pPr>
          </w:p>
          <w:p w:rsidR="006F6B1D" w:rsidRDefault="006F6B1D">
            <w:pPr>
              <w:pStyle w:val="TableParagraph"/>
              <w:rPr>
                <w:b/>
                <w:sz w:val="20"/>
              </w:rPr>
            </w:pPr>
          </w:p>
          <w:p w:rsidR="006F6B1D" w:rsidRDefault="006F6B1D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F6B1D" w:rsidRDefault="009F76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6F6B1D" w:rsidRDefault="006F6B1D">
      <w:pPr>
        <w:pStyle w:val="TableParagraph"/>
        <w:rPr>
          <w:sz w:val="20"/>
        </w:rPr>
        <w:sectPr w:rsidR="006F6B1D"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6F6B1D" w:rsidRDefault="006F6B1D">
      <w:pPr>
        <w:spacing w:before="56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6F6B1D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6F6B1D" w:rsidRDefault="002F7BA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6F6B1D">
        <w:trPr>
          <w:trHeight w:val="230"/>
        </w:trPr>
        <w:tc>
          <w:tcPr>
            <w:tcW w:w="11536" w:type="dxa"/>
          </w:tcPr>
          <w:p w:rsidR="006F6B1D" w:rsidRDefault="006F6B1D">
            <w:pPr>
              <w:pStyle w:val="TableParagraph"/>
              <w:rPr>
                <w:sz w:val="16"/>
              </w:rPr>
            </w:pPr>
          </w:p>
        </w:tc>
        <w:tc>
          <w:tcPr>
            <w:tcW w:w="961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6F6B1D">
        <w:trPr>
          <w:trHeight w:val="1840"/>
        </w:trPr>
        <w:tc>
          <w:tcPr>
            <w:tcW w:w="11536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  <w:tc>
          <w:tcPr>
            <w:tcW w:w="9618" w:type="dxa"/>
          </w:tcPr>
          <w:p w:rsidR="006F6B1D" w:rsidRDefault="006F6B1D">
            <w:pPr>
              <w:pStyle w:val="TableParagraph"/>
              <w:rPr>
                <w:sz w:val="18"/>
              </w:rPr>
            </w:pPr>
          </w:p>
        </w:tc>
      </w:tr>
    </w:tbl>
    <w:p w:rsidR="006F6B1D" w:rsidRDefault="006F6B1D">
      <w:pPr>
        <w:rPr>
          <w:b/>
          <w:sz w:val="20"/>
        </w:rPr>
      </w:pPr>
    </w:p>
    <w:p w:rsidR="006F6B1D" w:rsidRDefault="006F6B1D">
      <w:pPr>
        <w:rPr>
          <w:b/>
          <w:sz w:val="20"/>
        </w:rPr>
      </w:pPr>
    </w:p>
    <w:p w:rsidR="006F6B1D" w:rsidRDefault="006F6B1D">
      <w:pPr>
        <w:rPr>
          <w:b/>
          <w:sz w:val="20"/>
        </w:rPr>
      </w:pPr>
    </w:p>
    <w:p w:rsidR="006F6B1D" w:rsidRDefault="006F6B1D">
      <w:pPr>
        <w:rPr>
          <w:b/>
          <w:sz w:val="20"/>
        </w:rPr>
      </w:pPr>
    </w:p>
    <w:p w:rsidR="006F6B1D" w:rsidRDefault="006F6B1D">
      <w:pPr>
        <w:rPr>
          <w:b/>
          <w:sz w:val="20"/>
        </w:rPr>
      </w:pPr>
    </w:p>
    <w:p w:rsidR="006F6B1D" w:rsidRDefault="006F6B1D">
      <w:pPr>
        <w:spacing w:before="7"/>
        <w:rPr>
          <w:b/>
          <w:sz w:val="20"/>
        </w:rPr>
      </w:pPr>
    </w:p>
    <w:p w:rsidR="006F6B1D" w:rsidRDefault="002F7BAD">
      <w:pPr>
        <w:pStyle w:val="BodyText"/>
        <w:spacing w:line="229" w:lineRule="exac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6F6B1D" w:rsidRDefault="002F7BAD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6F6B1D" w:rsidRDefault="002F7BAD">
      <w:pPr>
        <w:pStyle w:val="BodyText"/>
        <w:ind w:left="165" w:right="1177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only. Your Certificate will be wrong, if you provide incorrect information.</w:t>
      </w:r>
    </w:p>
    <w:p w:rsidR="006F6B1D" w:rsidRDefault="002F7BAD">
      <w:pPr>
        <w:pStyle w:val="BodyText"/>
        <w:spacing w:before="1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6F6B1D" w:rsidRDefault="006F6B1D">
      <w:pPr>
        <w:spacing w:before="229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bookmarkStart w:id="0" w:name="_GoBack"/>
            <w:r>
              <w:rPr>
                <w:sz w:val="20"/>
              </w:rPr>
              <w:t>Moha</w:t>
            </w:r>
            <w:bookmarkEnd w:id="0"/>
            <w:r>
              <w:rPr>
                <w:sz w:val="20"/>
              </w:rPr>
              <w:t>mad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Da’i</w:t>
            </w:r>
            <w:proofErr w:type="spellEnd"/>
          </w:p>
        </w:tc>
      </w:tr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Recreation</w:t>
            </w:r>
          </w:p>
        </w:tc>
      </w:tr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Universitas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Nahdlatul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Ulama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Giri</w:t>
            </w:r>
            <w:proofErr w:type="spellEnd"/>
          </w:p>
        </w:tc>
      </w:tr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Indonesia</w:t>
            </w:r>
          </w:p>
        </w:tc>
      </w:tr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Lecturer</w:t>
            </w:r>
          </w:p>
        </w:tc>
      </w:tr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dai@unugiri.ac.id</w:t>
              </w:r>
            </w:hyperlink>
          </w:p>
          <w:p w:rsidR="00A2562B" w:rsidRDefault="00A2562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A2562B">
              <w:rPr>
                <w:sz w:val="20"/>
              </w:rPr>
              <w:t>dai@unugiri.ac.id</w:t>
            </w:r>
          </w:p>
        </w:tc>
      </w:tr>
      <w:tr w:rsidR="006F6B1D">
        <w:trPr>
          <w:trHeight w:val="23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F6B1D">
        <w:trPr>
          <w:trHeight w:val="460"/>
        </w:trPr>
        <w:tc>
          <w:tcPr>
            <w:tcW w:w="4428" w:type="dxa"/>
          </w:tcPr>
          <w:p w:rsidR="006F6B1D" w:rsidRDefault="002F7BAD">
            <w:pPr>
              <w:pStyle w:val="TableParagraph"/>
              <w:spacing w:line="230" w:lineRule="atLeast"/>
              <w:ind w:left="107" w:right="85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6F6B1D" w:rsidRDefault="002F7B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theory;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pedagogy;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Embodied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</w:tr>
    </w:tbl>
    <w:p w:rsidR="002F7BAD" w:rsidRDefault="002F7BAD"/>
    <w:sectPr w:rsidR="002F7BAD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BAD" w:rsidRDefault="002F7BAD">
      <w:r>
        <w:separator/>
      </w:r>
    </w:p>
  </w:endnote>
  <w:endnote w:type="continuationSeparator" w:id="0">
    <w:p w:rsidR="002F7BAD" w:rsidRDefault="002F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B1D" w:rsidRDefault="002F7B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B1D" w:rsidRDefault="002F7B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6F6B1D" w:rsidRDefault="002F7B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B1D" w:rsidRDefault="002F7B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07.95pt;margin-top:796.2pt;width:55.7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6F6B1D" w:rsidRDefault="002F7B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B1D" w:rsidRDefault="002F7B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47.75pt;margin-top:796.2pt;width:67.8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6F6B1D" w:rsidRDefault="002F7B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B1D" w:rsidRDefault="002F7B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539.05pt;margin-top:796.2pt;width:80.45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6F6B1D" w:rsidRDefault="002F7B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BAD" w:rsidRDefault="002F7BAD">
      <w:r>
        <w:separator/>
      </w:r>
    </w:p>
  </w:footnote>
  <w:footnote w:type="continuationSeparator" w:id="0">
    <w:p w:rsidR="002F7BAD" w:rsidRDefault="002F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B1D" w:rsidRDefault="002F7B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B1D" w:rsidRDefault="002F7BA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85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F6B1D" w:rsidRDefault="002F7BA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B1D"/>
    <w:rsid w:val="002F7BAD"/>
    <w:rsid w:val="006F6B1D"/>
    <w:rsid w:val="009F76F6"/>
    <w:rsid w:val="00A2562B"/>
    <w:rsid w:val="00A5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BE6F"/>
  <w15:docId w15:val="{DBF03797-5F0F-41D2-B69B-D24A3D69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dai@unugiri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4</cp:revision>
  <dcterms:created xsi:type="dcterms:W3CDTF">2026-01-30T11:15:00Z</dcterms:created>
  <dcterms:modified xsi:type="dcterms:W3CDTF">2026-01-30T11:19:00Z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2021</vt:lpwstr>
  </property>
</Properties>
</file>