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E83358" w:rsidRDefault="00E83358" w:rsidP="00441B6F">
      <w:pPr>
        <w:pStyle w:val="Author"/>
        <w:spacing w:line="240" w:lineRule="auto"/>
        <w:rPr>
          <w:rFonts w:ascii="Arial" w:hAnsi="Arial" w:cs="Arial"/>
          <w:bCs/>
          <w:iCs/>
          <w:kern w:val="28"/>
          <w:sz w:val="36"/>
        </w:rPr>
      </w:pPr>
      <w:r w:rsidRPr="00927601">
        <w:rPr>
          <w:rFonts w:ascii="Arial" w:hAnsi="Arial" w:cs="Arial"/>
          <w:sz w:val="20"/>
        </w:rPr>
        <w:t>Opinion Article</w:t>
      </w:r>
    </w:p>
    <w:p w:rsidR="00163BC4" w:rsidRPr="00163BC4" w:rsidRDefault="006C0C59" w:rsidP="00441B6F">
      <w:pPr>
        <w:pStyle w:val="Author"/>
        <w:spacing w:line="240" w:lineRule="auto"/>
        <w:rPr>
          <w:rFonts w:ascii="Arial" w:hAnsi="Arial" w:cs="Arial"/>
          <w:bCs/>
          <w:iCs/>
          <w:kern w:val="28"/>
          <w:sz w:val="36"/>
        </w:rPr>
      </w:pPr>
      <w:r w:rsidRPr="006C0C59">
        <w:rPr>
          <w:rFonts w:ascii="Arial" w:hAnsi="Arial" w:cs="Arial"/>
          <w:bCs/>
          <w:iCs/>
          <w:kern w:val="28"/>
          <w:sz w:val="36"/>
        </w:rPr>
        <w:t>Phytolith Carbon Sequestration as a Sustainable Pathway for Climate Change Mitigation</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4F19F2" w:rsidP="00441B6F">
      <w:pPr>
        <w:pStyle w:val="Copyright"/>
        <w:spacing w:after="0" w:line="240" w:lineRule="auto"/>
        <w:jc w:val="both"/>
        <w:rPr>
          <w:rFonts w:ascii="Arial" w:hAnsi="Arial" w:cs="Arial"/>
        </w:rPr>
        <w:sectPr w:rsidR="00B01FCD" w:rsidRPr="00FB3A86" w:rsidSect="00AC4A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6C0C59" w:rsidRPr="00BA1B01" w:rsidRDefault="006C0C59" w:rsidP="00441B6F">
            <w:pPr>
              <w:pStyle w:val="Body"/>
              <w:spacing w:after="0"/>
              <w:rPr>
                <w:rFonts w:ascii="Arial" w:eastAsia="Calibri" w:hAnsi="Arial" w:cs="Arial"/>
                <w:szCs w:val="22"/>
              </w:rPr>
            </w:pPr>
            <w:r w:rsidRPr="006C0C59">
              <w:rPr>
                <w:rFonts w:ascii="Arial" w:eastAsia="Calibri" w:hAnsi="Arial" w:cs="Arial"/>
                <w:szCs w:val="22"/>
              </w:rPr>
              <w:t>Phytolith carbon sequestration is one of the lesser-known long-term carbon storage mechanisms, where carbon is trapped inside the silica formed in plant tissues. Phytolith is strongly resistant to decomposition; hence, the carbon inside it can be trapped for millions of years. This process helps in a stable pathway for the reduction of the atmospheric carbon dioxide level. Phytolith formation is controlled by the uptake of monosilicic acid by plants and silica polymerization. And</w:t>
            </w:r>
            <w:r w:rsidR="002F7C2F">
              <w:rPr>
                <w:rFonts w:ascii="Arial" w:eastAsia="Calibri" w:hAnsi="Arial" w:cs="Arial"/>
                <w:szCs w:val="22"/>
              </w:rPr>
              <w:t>,</w:t>
            </w:r>
            <w:r w:rsidRPr="006C0C59">
              <w:rPr>
                <w:rFonts w:ascii="Arial" w:eastAsia="Calibri" w:hAnsi="Arial" w:cs="Arial"/>
                <w:szCs w:val="22"/>
              </w:rPr>
              <w:t xml:space="preserve"> the carbon occlusion depends on soil conditions, phytolith type, plant species, and environment. Phytolith contributes to carbon sequestration across ecosystems. For example, 1.7 Tg CO</w:t>
            </w:r>
            <w:r w:rsidRPr="006C0C59">
              <w:rPr>
                <w:rFonts w:ascii="Cambria Math" w:eastAsia="Calibri" w:hAnsi="Cambria Math" w:cs="Cambria Math"/>
                <w:szCs w:val="22"/>
              </w:rPr>
              <w:t>₂</w:t>
            </w:r>
            <w:r w:rsidRPr="006C0C59">
              <w:rPr>
                <w:rFonts w:ascii="Arial" w:eastAsia="Calibri" w:hAnsi="Arial" w:cs="Arial"/>
                <w:szCs w:val="22"/>
              </w:rPr>
              <w:t xml:space="preserve"> is trapped annually in China’s forests, where bamboo is the high contributor. Wetlands, particularly peat-forming wetlands (sequestering 0.003-0.077 t CO</w:t>
            </w:r>
            <w:r w:rsidRPr="006C0C59">
              <w:rPr>
                <w:rFonts w:ascii="Cambria Math" w:eastAsia="Calibri" w:hAnsi="Cambria Math" w:cs="Cambria Math"/>
                <w:szCs w:val="22"/>
              </w:rPr>
              <w:t>₂</w:t>
            </w:r>
            <w:r w:rsidRPr="006C0C59">
              <w:rPr>
                <w:rFonts w:ascii="Arial" w:eastAsia="Calibri" w:hAnsi="Arial" w:cs="Arial"/>
                <w:szCs w:val="22"/>
              </w:rPr>
              <w:t xml:space="preserve"> ha</w:t>
            </w:r>
            <w:r w:rsidRPr="00B42C26">
              <w:rPr>
                <w:rFonts w:ascii="Arial" w:eastAsia="Calibri" w:hAnsi="Arial" w:cs="Arial"/>
                <w:szCs w:val="22"/>
                <w:vertAlign w:val="superscript"/>
              </w:rPr>
              <w:t>-</w:t>
            </w:r>
            <w:r w:rsidRPr="006C0C59">
              <w:rPr>
                <w:rFonts w:ascii="Arial" w:eastAsia="Calibri" w:hAnsi="Arial" w:cs="Arial"/>
                <w:szCs w:val="22"/>
              </w:rPr>
              <w:t>¹ yr¹) and eelgrass beds, store high phytolith-occluded carbon. Phytoliths are a promising long-term carbon-capturing material. This paper provides a broader knowledge on phytolith carbon sequestration and their importance as a nature-based pathway for climate mitigation.</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132355">
        <w:rPr>
          <w:rFonts w:ascii="Arial" w:hAnsi="Arial" w:cs="Arial"/>
          <w:i/>
        </w:rPr>
        <w:t>Phytolith-occluded carbon</w:t>
      </w:r>
      <w:r w:rsidR="00132355" w:rsidRPr="00132355">
        <w:rPr>
          <w:rFonts w:ascii="Arial" w:hAnsi="Arial" w:cs="Arial"/>
          <w:i/>
        </w:rPr>
        <w:t>; Long-term carbon sequestration; Silicon biogeochemical cycle; Nature-based climate solutions; Terrestrial and wetland ecosystems</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commentRangeStart w:id="0"/>
      <w:r w:rsidR="00B01FCD" w:rsidRPr="00FB3A86">
        <w:rPr>
          <w:rFonts w:ascii="Arial" w:hAnsi="Arial" w:cs="Arial"/>
        </w:rPr>
        <w:t>INTRODUCTION</w:t>
      </w:r>
      <w:commentRangeEnd w:id="0"/>
      <w:r w:rsidR="00791B24">
        <w:rPr>
          <w:rStyle w:val="CommentReference"/>
          <w:rFonts w:ascii="Times New Roman" w:hAnsi="Times New Roman"/>
          <w:b w:val="0"/>
          <w:caps w:val="0"/>
          <w:lang w:val="nb-NO" w:eastAsia="nb-NO"/>
        </w:rPr>
        <w:commentReference w:id="0"/>
      </w:r>
    </w:p>
    <w:p w:rsidR="00790ADA" w:rsidRPr="00FB3A86" w:rsidRDefault="00790ADA" w:rsidP="00441B6F">
      <w:pPr>
        <w:pStyle w:val="AbstHead"/>
        <w:spacing w:after="0"/>
        <w:jc w:val="both"/>
        <w:rPr>
          <w:rFonts w:ascii="Arial" w:hAnsi="Arial" w:cs="Arial"/>
        </w:rPr>
      </w:pPr>
    </w:p>
    <w:p w:rsidR="00132355" w:rsidRPr="00132355" w:rsidRDefault="00132355" w:rsidP="00132355">
      <w:pPr>
        <w:pStyle w:val="Body"/>
        <w:rPr>
          <w:rFonts w:ascii="Arial" w:hAnsi="Arial" w:cs="Arial"/>
        </w:rPr>
      </w:pPr>
      <w:r w:rsidRPr="00132355">
        <w:rPr>
          <w:rFonts w:ascii="Arial" w:hAnsi="Arial" w:cs="Arial"/>
        </w:rPr>
        <w:t>Carbon sequestering in reducing atmospheric CO</w:t>
      </w:r>
      <w:r w:rsidRPr="00132355">
        <w:rPr>
          <w:rFonts w:ascii="Cambria Math" w:hAnsi="Cambria Math" w:cs="Cambria Math"/>
        </w:rPr>
        <w:t>₂</w:t>
      </w:r>
      <w:r w:rsidRPr="00132355">
        <w:rPr>
          <w:rFonts w:ascii="Arial" w:hAnsi="Arial" w:cs="Arial"/>
        </w:rPr>
        <w:t xml:space="preserve"> is a critical phenomenon in addressing global warming and climate change. Globally, both natural and man-made methods are studied to enhance carbon sequestration, including innovative technologies and sustainable land management practices. Natural ecosystems such as forests and oceans play a major role in absorbing substantial amounts of atmospheric CO</w:t>
      </w:r>
      <w:r w:rsidRPr="00132355">
        <w:rPr>
          <w:rFonts w:ascii="Cambria Math" w:hAnsi="Cambria Math" w:cs="Cambria Math"/>
        </w:rPr>
        <w:t>₂</w:t>
      </w:r>
      <w:r w:rsidR="00174B07">
        <w:rPr>
          <w:rFonts w:ascii="Arial" w:hAnsi="Arial" w:cs="Arial"/>
        </w:rPr>
        <w:t xml:space="preserve"> (Pasquier</w:t>
      </w:r>
      <w:r w:rsidRPr="00132355">
        <w:rPr>
          <w:rFonts w:ascii="Arial" w:hAnsi="Arial" w:cs="Arial"/>
        </w:rPr>
        <w:t xml:space="preserve"> et al., 2025</w:t>
      </w:r>
      <w:r w:rsidR="00174B07">
        <w:rPr>
          <w:rFonts w:ascii="Arial" w:hAnsi="Arial" w:cs="Arial"/>
        </w:rPr>
        <w:t>; Zhu et al., 2025</w:t>
      </w:r>
      <w:r w:rsidRPr="00132355">
        <w:rPr>
          <w:rFonts w:ascii="Arial" w:hAnsi="Arial" w:cs="Arial"/>
        </w:rPr>
        <w:t>). Agricultural activities also contribute to carbon sequestration; with improved land management, they can sequester potentially up to 0.75 Pg C annually (Kaur et al., 2023).</w:t>
      </w:r>
    </w:p>
    <w:p w:rsidR="00132355" w:rsidRDefault="00132355" w:rsidP="00132355">
      <w:pPr>
        <w:pStyle w:val="Body"/>
        <w:spacing w:after="0"/>
        <w:rPr>
          <w:rFonts w:ascii="Arial" w:hAnsi="Arial" w:cs="Arial"/>
        </w:rPr>
      </w:pPr>
      <w:r w:rsidRPr="00132355">
        <w:rPr>
          <w:rFonts w:ascii="Arial" w:hAnsi="Arial" w:cs="Arial"/>
        </w:rPr>
        <w:t>Engineered technologies like direct air capture (DAC) and bioenergy with carbon capture and storage (BECCS) have gained attention for reducing atmospheric CO</w:t>
      </w:r>
      <w:r w:rsidRPr="00132355">
        <w:rPr>
          <w:rFonts w:ascii="Cambria Math" w:hAnsi="Cambria Math" w:cs="Cambria Math"/>
        </w:rPr>
        <w:t>₂</w:t>
      </w:r>
      <w:r w:rsidRPr="00132355">
        <w:rPr>
          <w:rFonts w:ascii="Arial" w:hAnsi="Arial" w:cs="Arial"/>
        </w:rPr>
        <w:t xml:space="preserve"> while producing sustainable energy (Lefvert</w:t>
      </w:r>
      <w:r w:rsidR="00174B07">
        <w:rPr>
          <w:rFonts w:ascii="Arial" w:hAnsi="Arial" w:cs="Arial"/>
        </w:rPr>
        <w:t>&amp;</w:t>
      </w:r>
      <w:commentRangeStart w:id="1"/>
      <w:r w:rsidRPr="00132355">
        <w:rPr>
          <w:rFonts w:ascii="Arial" w:hAnsi="Arial" w:cs="Arial"/>
        </w:rPr>
        <w:t>Grönkvist</w:t>
      </w:r>
      <w:commentRangeEnd w:id="1"/>
      <w:r w:rsidR="00CA764F">
        <w:rPr>
          <w:rStyle w:val="CommentReference"/>
          <w:rFonts w:ascii="Times New Roman" w:hAnsi="Times New Roman"/>
          <w:lang w:val="nb-NO" w:eastAsia="nb-NO"/>
        </w:rPr>
        <w:commentReference w:id="1"/>
      </w:r>
      <w:r w:rsidRPr="00132355">
        <w:rPr>
          <w:rFonts w:ascii="Arial" w:hAnsi="Arial" w:cs="Arial"/>
        </w:rPr>
        <w:t>, 2024</w:t>
      </w:r>
      <w:r w:rsidR="00174B07">
        <w:rPr>
          <w:rFonts w:ascii="Arial" w:hAnsi="Arial" w:cs="Arial"/>
        </w:rPr>
        <w:t>; Ozkan, 2025</w:t>
      </w:r>
      <w:r w:rsidRPr="00132355">
        <w:rPr>
          <w:rFonts w:ascii="Arial" w:hAnsi="Arial" w:cs="Arial"/>
        </w:rPr>
        <w:t>). However, conventional carbon capture and storage (CCS) remains economically and technologically challenging, with costs ranging from 19 to 332.5 euros per metric ton of CO</w:t>
      </w:r>
      <w:r w:rsidRPr="00132355">
        <w:rPr>
          <w:rFonts w:ascii="Cambria Math" w:hAnsi="Cambria Math" w:cs="Cambria Math"/>
        </w:rPr>
        <w:t>₂</w:t>
      </w:r>
      <w:r w:rsidRPr="00132355">
        <w:rPr>
          <w:rFonts w:ascii="Arial" w:hAnsi="Arial" w:cs="Arial"/>
        </w:rPr>
        <w:t xml:space="preserve"> and risks associated with the long-term storage and leakage (Malz et al.</w:t>
      </w:r>
      <w:r w:rsidR="00174B07">
        <w:rPr>
          <w:rFonts w:ascii="Arial" w:hAnsi="Arial" w:cs="Arial"/>
        </w:rPr>
        <w:t>,</w:t>
      </w:r>
      <w:r w:rsidRPr="00132355">
        <w:rPr>
          <w:rFonts w:ascii="Arial" w:hAnsi="Arial" w:cs="Arial"/>
        </w:rPr>
        <w:t xml:space="preserve"> 2025). These limitations highlight the necessity for complementary, low-risk, nature-based solutions alongside emission reduction strategies (Thakur &amp; Pillai, 2024).</w:t>
      </w:r>
    </w:p>
    <w:p w:rsidR="00132355" w:rsidRDefault="00132355" w:rsidP="00132355">
      <w:pPr>
        <w:pStyle w:val="Body"/>
        <w:spacing w:after="0"/>
        <w:rPr>
          <w:rFonts w:ascii="Arial" w:hAnsi="Arial" w:cs="Arial"/>
        </w:rPr>
      </w:pPr>
    </w:p>
    <w:p w:rsidR="00132355" w:rsidRDefault="00132355" w:rsidP="00132355">
      <w:pPr>
        <w:pStyle w:val="Body"/>
        <w:spacing w:after="0"/>
        <w:rPr>
          <w:rFonts w:ascii="Arial" w:hAnsi="Arial" w:cs="Arial"/>
        </w:rPr>
      </w:pPr>
      <w:r w:rsidRPr="00132355">
        <w:rPr>
          <w:rFonts w:ascii="Arial" w:hAnsi="Arial" w:cs="Arial"/>
        </w:rPr>
        <w:lastRenderedPageBreak/>
        <w:t>Phytoliths, the silica-based structures formed in plant tissues, offer such a solution. During plant growth organic carbon is trapped within the phytoliths, which is commonly known as phytolith-occlud</w:t>
      </w:r>
      <w:r w:rsidR="005515B2">
        <w:rPr>
          <w:rFonts w:ascii="Arial" w:hAnsi="Arial" w:cs="Arial"/>
        </w:rPr>
        <w:t xml:space="preserve">ed carbon (PhytOC). This </w:t>
      </w:r>
      <w:r w:rsidRPr="00132355">
        <w:rPr>
          <w:rFonts w:ascii="Arial" w:hAnsi="Arial" w:cs="Arial"/>
        </w:rPr>
        <w:t>paper aims to provide a comprehensive understanding of the role of phytoliths in carbon sequestration and their potential as a sustainable way in mitigating climate change.</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132355" w:rsidRPr="00132355">
        <w:rPr>
          <w:rFonts w:ascii="Arial" w:hAnsi="Arial" w:cs="Arial"/>
        </w:rPr>
        <w:t>Phytolith Formation and Characteristics</w:t>
      </w:r>
    </w:p>
    <w:p w:rsidR="00790ADA" w:rsidRPr="00FB3A86" w:rsidRDefault="00790ADA" w:rsidP="00441B6F">
      <w:pPr>
        <w:pStyle w:val="AbstHead"/>
        <w:spacing w:after="0"/>
        <w:jc w:val="both"/>
        <w:rPr>
          <w:rFonts w:ascii="Arial" w:hAnsi="Arial" w:cs="Arial"/>
        </w:rPr>
      </w:pPr>
    </w:p>
    <w:p w:rsidR="00132355" w:rsidRDefault="00132355" w:rsidP="00A65146">
      <w:pPr>
        <w:pStyle w:val="Body"/>
        <w:spacing w:after="0"/>
        <w:rPr>
          <w:rFonts w:ascii="Arial" w:hAnsi="Arial" w:cs="Arial"/>
        </w:rPr>
      </w:pPr>
      <w:r w:rsidRPr="00132355">
        <w:rPr>
          <w:rFonts w:ascii="Arial" w:hAnsi="Arial" w:cs="Arial"/>
        </w:rPr>
        <w:t>Phytoliths are formed in over 50 families of higher plants, with particularly high abundance in grasses (Poaceae) and se</w:t>
      </w:r>
      <w:r w:rsidR="00174B07">
        <w:rPr>
          <w:rFonts w:ascii="Arial" w:hAnsi="Arial" w:cs="Arial"/>
        </w:rPr>
        <w:t>dges (Cyperaceae) (Blinnikov&amp;</w:t>
      </w:r>
      <w:r w:rsidRPr="00132355">
        <w:rPr>
          <w:rFonts w:ascii="Arial" w:hAnsi="Arial" w:cs="Arial"/>
        </w:rPr>
        <w:t xml:space="preserve"> Yost, 2025). They are formed by the uptake of monosilicic acid (H</w:t>
      </w:r>
      <w:r w:rsidRPr="00132355">
        <w:rPr>
          <w:rFonts w:ascii="Cambria Math" w:hAnsi="Cambria Math" w:cs="Cambria Math"/>
        </w:rPr>
        <w:t>₄</w:t>
      </w:r>
      <w:r w:rsidRPr="00132355">
        <w:rPr>
          <w:rFonts w:ascii="Arial" w:hAnsi="Arial" w:cs="Arial"/>
        </w:rPr>
        <w:t>SiO</w:t>
      </w:r>
      <w:r w:rsidRPr="00132355">
        <w:rPr>
          <w:rFonts w:ascii="Cambria Math" w:hAnsi="Cambria Math" w:cs="Cambria Math"/>
        </w:rPr>
        <w:t>₄</w:t>
      </w:r>
      <w:r w:rsidRPr="00132355">
        <w:rPr>
          <w:rFonts w:ascii="Arial" w:hAnsi="Arial" w:cs="Arial"/>
        </w:rPr>
        <w:t>) from the soil, which is transported through the vascular system (Shakoor et al., 2014). And, they are stored inside and outside plant cells, often in areas where water is absorbed or lost (Nawaz et al., 2019). Phytoliths are inorganic and resistant to decomposition, making them valuable for long-term preservation in various environmental conditions (Cabanes, 2020). They provide mechanical strength, enhance water balance, and offer protection against herbivores and pathogens (Shakoor et al., 2014). The morphology of phytoliths varies, helping in taxonomic studies and paleo-environmental reconstructions (Sha</w:t>
      </w:r>
      <w:r w:rsidR="00174B07">
        <w:rPr>
          <w:rFonts w:ascii="Arial" w:hAnsi="Arial" w:cs="Arial"/>
        </w:rPr>
        <w:t>koor et al., 2014; Blinnikov&amp;</w:t>
      </w:r>
      <w:r w:rsidRPr="00132355">
        <w:rPr>
          <w:rFonts w:ascii="Arial" w:hAnsi="Arial" w:cs="Arial"/>
        </w:rPr>
        <w:t xml:space="preserve"> Yost, 2025).</w:t>
      </w:r>
    </w:p>
    <w:p w:rsidR="00A65146" w:rsidRDefault="00A65146" w:rsidP="00A65146">
      <w:pPr>
        <w:pStyle w:val="Body"/>
        <w:spacing w:after="0"/>
        <w:rPr>
          <w:rFonts w:ascii="Arial" w:hAnsi="Arial" w:cs="Arial"/>
        </w:rPr>
      </w:pPr>
    </w:p>
    <w:p w:rsidR="00132355" w:rsidRDefault="00132355" w:rsidP="00A65146">
      <w:pPr>
        <w:pStyle w:val="Body"/>
        <w:spacing w:after="0"/>
        <w:rPr>
          <w:rFonts w:ascii="Arial" w:hAnsi="Arial" w:cs="Arial"/>
        </w:rPr>
      </w:pPr>
      <w:r w:rsidRPr="00132355">
        <w:rPr>
          <w:rFonts w:ascii="Arial" w:hAnsi="Arial" w:cs="Arial"/>
        </w:rPr>
        <w:t>Phytoliths play a significant role in carbon sequestration through the mechanism of phytolith-occluded carbon (PhytOC) (Figure 1). This process involves the trapping of carbon within phytoliths, creating a stable, long-term carbon sink in soil storage that helps in mitigating atmospheric CO</w:t>
      </w:r>
      <w:r w:rsidRPr="00132355">
        <w:rPr>
          <w:rFonts w:ascii="Cambria Math" w:hAnsi="Cambria Math" w:cs="Cambria Math"/>
        </w:rPr>
        <w:t>₂</w:t>
      </w:r>
      <w:r w:rsidRPr="00132355">
        <w:rPr>
          <w:rFonts w:ascii="Arial" w:hAnsi="Arial" w:cs="Arial"/>
        </w:rPr>
        <w:t xml:space="preserve"> levels. Phytoliths can enclose carbon during their formation, creating PhytOC. The efficiency of this occlusion depends on factors such as plant species, tissue type, and environmental conditions like precipitation and temperature. The primary producers of phytoliths are grasses which have diverse morphotypes like short-cell phytoliths and bulliform cells (Karmakar et al., 2024). Tree species like Norway spruce and other deciduous trees have also been reported to have distinct morphotypes (Lisztes-Szabo et al., 2019). Further, ferns and a few flowering plants have been reported to have</w:t>
      </w:r>
      <w:r w:rsidR="00174B07">
        <w:rPr>
          <w:rFonts w:ascii="Arial" w:hAnsi="Arial" w:cs="Arial"/>
        </w:rPr>
        <w:t xml:space="preserve"> phytoliths (Blinnikov&amp;</w:t>
      </w:r>
      <w:r w:rsidRPr="00132355">
        <w:rPr>
          <w:rFonts w:ascii="Arial" w:hAnsi="Arial" w:cs="Arial"/>
        </w:rPr>
        <w:t xml:space="preserve"> Yost, 2025). Morphotypes of phytoliths, particularly short-cell phytoliths are common in grasses, and this form is the essential one for identifying species (Karmakar et al., 2024). Also, blocky phytoliths found in coniferous species indicate specific plant types and their environmental adaptations (Lisztes-Szabo et al., 2019). Epidermal phytoliths identified in various plant tissues contribute to the understanding of plant responses to environmental stressors. Phytolith provides valid information about past ecosystems.</w:t>
      </w:r>
    </w:p>
    <w:p w:rsidR="00A65146" w:rsidRDefault="00671DF6" w:rsidP="00132355">
      <w:pPr>
        <w:pStyle w:val="Body"/>
        <w:rPr>
          <w:rFonts w:ascii="Arial" w:hAnsi="Arial" w:cs="Arial"/>
        </w:rPr>
      </w:pPr>
      <w:r w:rsidRPr="00671DF6">
        <w:rPr>
          <w:rFonts w:ascii="Arial" w:hAnsi="Arial" w:cs="Arial"/>
          <w:noProof/>
          <w:lang w:bidi="hi-IN"/>
        </w:rPr>
        <w:drawing>
          <wp:inline distT="0" distB="0" distL="0" distR="0">
            <wp:extent cx="5212080" cy="2910078"/>
            <wp:effectExtent l="0" t="0" r="0" b="0"/>
            <wp:docPr id="3" name="Picture 3" descr="F:\8.PUBLICATIONS\1.PAPER WORK\1.WRITING\1.Phytolith_RP\Images\New folder\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8.PUBLICATIONS\1.PAPER WORK\1.WRITING\1.Phytolith_RP\Images\New folder\Figure 1.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12080" cy="2910078"/>
                    </a:xfrm>
                    <a:prstGeom prst="rect">
                      <a:avLst/>
                    </a:prstGeom>
                    <a:noFill/>
                    <a:ln>
                      <a:noFill/>
                    </a:ln>
                  </pic:spPr>
                </pic:pic>
              </a:graphicData>
            </a:graphic>
          </wp:inline>
        </w:drawing>
      </w:r>
    </w:p>
    <w:p w:rsidR="00A65146" w:rsidRDefault="00A65146" w:rsidP="00A65146">
      <w:pPr>
        <w:pStyle w:val="Body"/>
        <w:jc w:val="center"/>
        <w:rPr>
          <w:rFonts w:ascii="Arial" w:hAnsi="Arial" w:cs="Arial"/>
        </w:rPr>
      </w:pPr>
      <w:r w:rsidRPr="00A65146">
        <w:rPr>
          <w:rFonts w:ascii="Arial" w:hAnsi="Arial" w:cs="Arial"/>
          <w:b/>
        </w:rPr>
        <w:t>Fig. 1.</w:t>
      </w:r>
      <w:r w:rsidRPr="00A65146">
        <w:rPr>
          <w:rFonts w:ascii="Arial" w:hAnsi="Arial" w:cs="Arial"/>
        </w:rPr>
        <w:t xml:space="preserve"> Mechanism of Carbon occlusion in phytoliths.</w:t>
      </w:r>
    </w:p>
    <w:p w:rsidR="00A65146" w:rsidRDefault="00A65146" w:rsidP="00132355">
      <w:pPr>
        <w:pStyle w:val="Body"/>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A65146" w:rsidRPr="00A65146">
        <w:rPr>
          <w:rFonts w:ascii="Arial" w:hAnsi="Arial" w:cs="Arial"/>
        </w:rPr>
        <w:t>Environmental Controls on Phytolith Development</w:t>
      </w:r>
    </w:p>
    <w:p w:rsidR="00790ADA" w:rsidRPr="00FB3A86" w:rsidRDefault="00790ADA" w:rsidP="00441B6F">
      <w:pPr>
        <w:pStyle w:val="Head1"/>
        <w:spacing w:after="0"/>
        <w:jc w:val="both"/>
        <w:rPr>
          <w:rFonts w:ascii="Arial" w:hAnsi="Arial" w:cs="Arial"/>
        </w:rPr>
      </w:pPr>
    </w:p>
    <w:p w:rsidR="00A65146" w:rsidRDefault="00A65146" w:rsidP="00441B6F">
      <w:pPr>
        <w:pStyle w:val="Body"/>
        <w:spacing w:after="0"/>
        <w:rPr>
          <w:rFonts w:ascii="Arial" w:hAnsi="Arial" w:cs="Arial"/>
        </w:rPr>
      </w:pPr>
      <w:r w:rsidRPr="00A65146">
        <w:rPr>
          <w:rFonts w:ascii="Arial" w:hAnsi="Arial" w:cs="Arial"/>
        </w:rPr>
        <w:t xml:space="preserve">Environmental factors like moisture levels and salinity significantly control the development of phytolith. These factors can affect the size and morphology of the phytolith, leading to variations in </w:t>
      </w:r>
      <w:r w:rsidR="00BB16CD">
        <w:rPr>
          <w:rFonts w:ascii="Arial" w:hAnsi="Arial" w:cs="Arial"/>
        </w:rPr>
        <w:t>phytolith</w:t>
      </w:r>
      <w:r w:rsidR="00174B07">
        <w:rPr>
          <w:rFonts w:ascii="Arial" w:hAnsi="Arial" w:cs="Arial"/>
        </w:rPr>
        <w:t xml:space="preserve"> size and morphology </w:t>
      </w:r>
      <w:r w:rsidR="00BB16CD">
        <w:rPr>
          <w:rFonts w:ascii="Arial" w:hAnsi="Arial" w:cs="Arial"/>
        </w:rPr>
        <w:t>within</w:t>
      </w:r>
      <w:r w:rsidRPr="00A65146">
        <w:rPr>
          <w:rFonts w:ascii="Arial" w:hAnsi="Arial" w:cs="Arial"/>
        </w:rPr>
        <w:t xml:space="preserve"> a single plant. For example, in </w:t>
      </w:r>
      <w:r w:rsidRPr="002F7C2F">
        <w:rPr>
          <w:rFonts w:ascii="Arial" w:hAnsi="Arial" w:cs="Arial"/>
          <w:i/>
        </w:rPr>
        <w:t>Phragmites australis</w:t>
      </w:r>
      <w:r w:rsidRPr="00A65146">
        <w:rPr>
          <w:rFonts w:ascii="Arial" w:hAnsi="Arial" w:cs="Arial"/>
        </w:rPr>
        <w:t>, plants grown in saline-alkaline environments produce larger but less abundant phytoliths, while those grown in wetter environments are smaller and fewer (Liu et al.</w:t>
      </w:r>
      <w:r w:rsidR="00196369">
        <w:rPr>
          <w:rFonts w:ascii="Arial" w:hAnsi="Arial" w:cs="Arial"/>
        </w:rPr>
        <w:t>,</w:t>
      </w:r>
      <w:r w:rsidRPr="00A65146">
        <w:rPr>
          <w:rFonts w:ascii="Arial" w:hAnsi="Arial" w:cs="Arial"/>
        </w:rPr>
        <w:t xml:space="preserve"> 2016). When the humidity level increases, the diversity of phytolith also increases, revealing the positive correlation between the moisture and phytolith diversity. Lanceolate phytoliths are particularly sensitive to humidity change (Liu et al.</w:t>
      </w:r>
      <w:r w:rsidR="00196369">
        <w:rPr>
          <w:rFonts w:ascii="Arial" w:hAnsi="Arial" w:cs="Arial"/>
        </w:rPr>
        <w:t>,</w:t>
      </w:r>
      <w:r w:rsidRPr="00A65146">
        <w:rPr>
          <w:rFonts w:ascii="Arial" w:hAnsi="Arial" w:cs="Arial"/>
        </w:rPr>
        <w:t xml:space="preserve"> 2016). Phytolith longevity is influenced by plant species, phytolith morphology, and environmental conditions (</w:t>
      </w:r>
      <w:r w:rsidR="00196369" w:rsidRPr="00A65146">
        <w:rPr>
          <w:rFonts w:ascii="Arial" w:hAnsi="Arial" w:cs="Arial"/>
        </w:rPr>
        <w:t>Solomonova et al.</w:t>
      </w:r>
      <w:r w:rsidR="00196369">
        <w:rPr>
          <w:rFonts w:ascii="Arial" w:hAnsi="Arial" w:cs="Arial"/>
        </w:rPr>
        <w:t>,</w:t>
      </w:r>
      <w:r w:rsidR="00196369" w:rsidRPr="00A65146">
        <w:rPr>
          <w:rFonts w:ascii="Arial" w:hAnsi="Arial" w:cs="Arial"/>
        </w:rPr>
        <w:t xml:space="preserve"> 2019</w:t>
      </w:r>
      <w:r w:rsidR="00196369">
        <w:rPr>
          <w:rFonts w:ascii="Arial" w:hAnsi="Arial" w:cs="Arial"/>
        </w:rPr>
        <w:t xml:space="preserve">; </w:t>
      </w:r>
      <w:r w:rsidRPr="00A65146">
        <w:rPr>
          <w:rFonts w:ascii="Arial" w:hAnsi="Arial" w:cs="Arial"/>
        </w:rPr>
        <w:t>Cabanes</w:t>
      </w:r>
      <w:r w:rsidR="00196369">
        <w:rPr>
          <w:rFonts w:ascii="Arial" w:hAnsi="Arial" w:cs="Arial"/>
        </w:rPr>
        <w:t>,</w:t>
      </w:r>
      <w:r w:rsidRPr="00A65146">
        <w:rPr>
          <w:rFonts w:ascii="Arial" w:hAnsi="Arial" w:cs="Arial"/>
        </w:rPr>
        <w:t xml:space="preserve"> 2020; de Tombeur et al.</w:t>
      </w:r>
      <w:r w:rsidR="00196369">
        <w:rPr>
          <w:rFonts w:ascii="Arial" w:hAnsi="Arial" w:cs="Arial"/>
        </w:rPr>
        <w:t>,</w:t>
      </w:r>
      <w:r w:rsidRPr="00A65146">
        <w:rPr>
          <w:rFonts w:ascii="Arial" w:hAnsi="Arial" w:cs="Arial"/>
        </w:rPr>
        <w:t xml:space="preserve"> 2021;</w:t>
      </w:r>
      <w:r w:rsidR="00196369">
        <w:rPr>
          <w:rFonts w:ascii="Arial" w:hAnsi="Arial" w:cs="Arial"/>
        </w:rPr>
        <w:t>Blinnikov&amp; Yost, 2025</w:t>
      </w:r>
      <w:r w:rsidRPr="00A65146">
        <w:rPr>
          <w:rFonts w:ascii="Arial" w:hAnsi="Arial" w:cs="Arial"/>
        </w:rPr>
        <w:t>). Grasses and sedges produce high phytoliths (Blinnikov</w:t>
      </w:r>
      <w:r w:rsidR="00196369">
        <w:rPr>
          <w:rFonts w:ascii="Arial" w:hAnsi="Arial" w:cs="Arial"/>
        </w:rPr>
        <w:t>&amp;</w:t>
      </w:r>
      <w:r w:rsidRPr="00A65146">
        <w:rPr>
          <w:rFonts w:ascii="Arial" w:hAnsi="Arial" w:cs="Arial"/>
        </w:rPr>
        <w:t xml:space="preserve"> Yost</w:t>
      </w:r>
      <w:r w:rsidR="00196369">
        <w:rPr>
          <w:rFonts w:ascii="Arial" w:hAnsi="Arial" w:cs="Arial"/>
        </w:rPr>
        <w:t>,</w:t>
      </w:r>
      <w:r w:rsidRPr="00A65146">
        <w:rPr>
          <w:rFonts w:ascii="Arial" w:hAnsi="Arial" w:cs="Arial"/>
        </w:rPr>
        <w:t xml:space="preserve"> 2023). Water balance of ecosystem influence phytolith production as well as dissolution rates (de Tombeur et al.</w:t>
      </w:r>
      <w:r w:rsidR="00196369">
        <w:rPr>
          <w:rFonts w:ascii="Arial" w:hAnsi="Arial" w:cs="Arial"/>
        </w:rPr>
        <w:t>,</w:t>
      </w:r>
      <w:r w:rsidRPr="00A65146">
        <w:rPr>
          <w:rFonts w:ascii="Arial" w:hAnsi="Arial" w:cs="Arial"/>
        </w:rPr>
        <w:t xml:space="preserve"> 2021). Temperature and moisture content also play a crucial role in phytolith morphotypes (Solomonova et al.</w:t>
      </w:r>
      <w:r w:rsidR="00196369">
        <w:rPr>
          <w:rFonts w:ascii="Arial" w:hAnsi="Arial" w:cs="Arial"/>
        </w:rPr>
        <w:t>,</w:t>
      </w:r>
      <w:r w:rsidRPr="00A65146">
        <w:rPr>
          <w:rFonts w:ascii="Arial" w:hAnsi="Arial" w:cs="Arial"/>
        </w:rPr>
        <w:t xml:space="preserve"> 2019) that affect phytolith longevity in mountain ecosystem</w:t>
      </w:r>
      <w:r>
        <w:rPr>
          <w:rFonts w:ascii="Arial" w:hAnsi="Arial" w:cs="Arial"/>
        </w:rPr>
        <w:t>.</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A65146" w:rsidRPr="00A65146">
        <w:rPr>
          <w:rFonts w:ascii="Arial" w:hAnsi="Arial" w:cs="Arial"/>
        </w:rPr>
        <w:t xml:space="preserve">Mechanisms of Carbon Sequestration in </w:t>
      </w:r>
      <w:commentRangeStart w:id="2"/>
      <w:r w:rsidR="00A65146" w:rsidRPr="00A65146">
        <w:rPr>
          <w:rFonts w:ascii="Arial" w:hAnsi="Arial" w:cs="Arial"/>
        </w:rPr>
        <w:t>Phytoliths</w:t>
      </w:r>
      <w:commentRangeEnd w:id="2"/>
      <w:r w:rsidR="006339D7">
        <w:rPr>
          <w:rStyle w:val="CommentReference"/>
          <w:rFonts w:ascii="Times New Roman" w:hAnsi="Times New Roman"/>
          <w:b w:val="0"/>
          <w:caps w:val="0"/>
          <w:lang w:val="nb-NO" w:eastAsia="nb-NO"/>
        </w:rPr>
        <w:commentReference w:id="2"/>
      </w:r>
    </w:p>
    <w:p w:rsidR="00790ADA" w:rsidRPr="00FB3A86" w:rsidRDefault="00790ADA" w:rsidP="00441B6F">
      <w:pPr>
        <w:pStyle w:val="ConcHead"/>
        <w:spacing w:after="0"/>
        <w:jc w:val="both"/>
        <w:rPr>
          <w:rFonts w:ascii="Arial" w:hAnsi="Arial" w:cs="Arial"/>
        </w:rPr>
      </w:pPr>
    </w:p>
    <w:p w:rsidR="00A65146" w:rsidRDefault="00A65146" w:rsidP="00441B6F">
      <w:pPr>
        <w:pStyle w:val="Body"/>
        <w:spacing w:after="0"/>
        <w:rPr>
          <w:rFonts w:ascii="Arial" w:hAnsi="Arial" w:cs="Arial"/>
        </w:rPr>
      </w:pPr>
      <w:r w:rsidRPr="00A65146">
        <w:rPr>
          <w:rFonts w:ascii="Arial" w:hAnsi="Arial" w:cs="Arial"/>
        </w:rPr>
        <w:t>Carbon sequestration through plant absorption is a key process that uses photosynthesis to convert atmospheric CO</w:t>
      </w:r>
      <w:r w:rsidRPr="00A65146">
        <w:rPr>
          <w:rFonts w:ascii="Cambria Math" w:hAnsi="Cambria Math" w:cs="Cambria Math"/>
        </w:rPr>
        <w:t>₂</w:t>
      </w:r>
      <w:r w:rsidRPr="00A65146">
        <w:rPr>
          <w:rFonts w:ascii="Arial" w:hAnsi="Arial" w:cs="Arial"/>
        </w:rPr>
        <w:t xml:space="preserve"> into organic compounds. Besides carbon sequestration, this process helps in enriching soil fertility. During photosynthesis plants absorb CO</w:t>
      </w:r>
      <w:r w:rsidRPr="00A65146">
        <w:rPr>
          <w:rFonts w:ascii="Cambria Math" w:hAnsi="Cambria Math" w:cs="Cambria Math"/>
        </w:rPr>
        <w:t>₂</w:t>
      </w:r>
      <w:r w:rsidRPr="00A65146">
        <w:rPr>
          <w:rFonts w:ascii="Arial" w:hAnsi="Arial" w:cs="Arial"/>
        </w:rPr>
        <w:t xml:space="preserve"> and convert it into carbohydrates and oxygen. This process takes place in leaves when CO</w:t>
      </w:r>
      <w:r w:rsidRPr="00A65146">
        <w:rPr>
          <w:rFonts w:ascii="Cambria Math" w:hAnsi="Cambria Math" w:cs="Cambria Math"/>
        </w:rPr>
        <w:t>₂</w:t>
      </w:r>
      <w:r w:rsidRPr="00A65146">
        <w:rPr>
          <w:rFonts w:ascii="Arial" w:hAnsi="Arial" w:cs="Arial"/>
        </w:rPr>
        <w:t xml:space="preserve"> diffuses into mesophyll cells (Flexas et al.</w:t>
      </w:r>
      <w:r w:rsidR="00196369">
        <w:rPr>
          <w:rFonts w:ascii="Arial" w:hAnsi="Arial" w:cs="Arial"/>
        </w:rPr>
        <w:t>,</w:t>
      </w:r>
      <w:r w:rsidRPr="00A65146">
        <w:rPr>
          <w:rFonts w:ascii="Arial" w:hAnsi="Arial" w:cs="Arial"/>
        </w:rPr>
        <w:t xml:space="preserve"> 2012). A major portion of the carbon captured is allocated to roots (Jansson et al., 2010; Siddique et al., 2024). Phytolith-occluded carbon is formed during plant growth and can remain stable even after plant decomposition, thereby serving as a long-term carbon sink (Ahla </w:t>
      </w:r>
      <w:r w:rsidR="00196369">
        <w:rPr>
          <w:rFonts w:ascii="Arial" w:hAnsi="Arial" w:cs="Arial"/>
        </w:rPr>
        <w:t>&amp;</w:t>
      </w:r>
      <w:r w:rsidRPr="00A65146">
        <w:rPr>
          <w:rFonts w:ascii="Arial" w:hAnsi="Arial" w:cs="Arial"/>
        </w:rPr>
        <w:t xml:space="preserve"> Swaroop, 2024). The incorporation of carbon into silica structures requires multiple processes that </w:t>
      </w:r>
      <w:r w:rsidR="00EA692C">
        <w:rPr>
          <w:rFonts w:ascii="Arial" w:hAnsi="Arial" w:cs="Arial"/>
        </w:rPr>
        <w:t xml:space="preserve">ultimately result in </w:t>
      </w:r>
      <w:r w:rsidRPr="00A65146">
        <w:rPr>
          <w:rFonts w:ascii="Arial" w:hAnsi="Arial" w:cs="Arial"/>
        </w:rPr>
        <w:t>novel materials with unique character</w:t>
      </w:r>
      <w:r w:rsidR="00EA692C">
        <w:rPr>
          <w:rFonts w:ascii="Arial" w:hAnsi="Arial" w:cs="Arial"/>
        </w:rPr>
        <w:t>istic</w:t>
      </w:r>
      <w:r w:rsidRPr="00A65146">
        <w:rPr>
          <w:rFonts w:ascii="Arial" w:hAnsi="Arial" w:cs="Arial"/>
        </w:rPr>
        <w:t>s.</w:t>
      </w:r>
    </w:p>
    <w:p w:rsidR="00790ADA" w:rsidRDefault="00790ADA" w:rsidP="00441B6F">
      <w:pPr>
        <w:pStyle w:val="Body"/>
        <w:spacing w:after="0"/>
        <w:rPr>
          <w:rFonts w:ascii="Arial" w:hAnsi="Arial" w:cs="Arial"/>
        </w:rPr>
      </w:pPr>
    </w:p>
    <w:p w:rsidR="00A65146" w:rsidRDefault="00A65146" w:rsidP="00A65146">
      <w:pPr>
        <w:pStyle w:val="ConcHead"/>
        <w:spacing w:after="0"/>
        <w:jc w:val="both"/>
        <w:rPr>
          <w:rFonts w:ascii="Arial" w:hAnsi="Arial" w:cs="Arial"/>
        </w:rPr>
      </w:pPr>
      <w:r>
        <w:rPr>
          <w:rFonts w:ascii="Arial" w:hAnsi="Arial" w:cs="Arial"/>
        </w:rPr>
        <w:t xml:space="preserve">5. </w:t>
      </w:r>
      <w:r w:rsidRPr="00A65146">
        <w:rPr>
          <w:rFonts w:ascii="Arial" w:hAnsi="Arial" w:cs="Arial"/>
        </w:rPr>
        <w:t>Stability and Longevity of Phytoliths in Soil</w:t>
      </w:r>
    </w:p>
    <w:p w:rsidR="00A65146" w:rsidRDefault="00A65146" w:rsidP="00A65146">
      <w:pPr>
        <w:pStyle w:val="ConcHead"/>
        <w:spacing w:after="0"/>
        <w:jc w:val="both"/>
        <w:rPr>
          <w:rFonts w:ascii="Arial" w:hAnsi="Arial" w:cs="Arial"/>
          <w:b w:val="0"/>
          <w:sz w:val="20"/>
        </w:rPr>
      </w:pPr>
    </w:p>
    <w:p w:rsidR="00A65146" w:rsidRPr="00A65146" w:rsidRDefault="00A65146" w:rsidP="00A65146">
      <w:pPr>
        <w:pStyle w:val="ConcHead"/>
        <w:spacing w:after="0"/>
        <w:jc w:val="both"/>
        <w:rPr>
          <w:rFonts w:ascii="Arial" w:hAnsi="Arial" w:cs="Arial"/>
          <w:b w:val="0"/>
          <w:caps w:val="0"/>
          <w:sz w:val="20"/>
        </w:rPr>
      </w:pPr>
      <w:r w:rsidRPr="00A65146">
        <w:rPr>
          <w:rFonts w:ascii="Arial" w:hAnsi="Arial" w:cs="Arial"/>
          <w:b w:val="0"/>
          <w:caps w:val="0"/>
          <w:sz w:val="20"/>
        </w:rPr>
        <w:t>Soil deposition plays a key role in long-term carbon sequestration. However, the stability of carbon storage in soil remains uncertain (Schmidt et al.</w:t>
      </w:r>
      <w:r w:rsidR="00EA692C">
        <w:rPr>
          <w:rFonts w:ascii="Arial" w:hAnsi="Arial" w:cs="Arial"/>
          <w:b w:val="0"/>
          <w:caps w:val="0"/>
          <w:sz w:val="20"/>
        </w:rPr>
        <w:t>,</w:t>
      </w:r>
      <w:r w:rsidRPr="00A65146">
        <w:rPr>
          <w:rFonts w:ascii="Arial" w:hAnsi="Arial" w:cs="Arial"/>
          <w:b w:val="0"/>
          <w:caps w:val="0"/>
          <w:sz w:val="20"/>
        </w:rPr>
        <w:t xml:space="preserve"> 2011). The deposited soil organic carbon can remain in </w:t>
      </w:r>
      <w:r w:rsidR="00EA692C">
        <w:rPr>
          <w:rFonts w:ascii="Arial" w:hAnsi="Arial" w:cs="Arial"/>
          <w:b w:val="0"/>
          <w:caps w:val="0"/>
          <w:sz w:val="20"/>
        </w:rPr>
        <w:t xml:space="preserve">the </w:t>
      </w:r>
      <w:r w:rsidRPr="00A65146">
        <w:rPr>
          <w:rFonts w:ascii="Arial" w:hAnsi="Arial" w:cs="Arial"/>
          <w:b w:val="0"/>
          <w:caps w:val="0"/>
          <w:sz w:val="20"/>
        </w:rPr>
        <w:t>soil for 300 to 1</w:t>
      </w:r>
      <w:r w:rsidR="00EA692C">
        <w:rPr>
          <w:rFonts w:ascii="Arial" w:hAnsi="Arial" w:cs="Arial"/>
          <w:b w:val="0"/>
          <w:caps w:val="0"/>
          <w:sz w:val="20"/>
        </w:rPr>
        <w:t>500 years, with 20-</w:t>
      </w:r>
      <w:r w:rsidRPr="00A65146">
        <w:rPr>
          <w:rFonts w:ascii="Arial" w:hAnsi="Arial" w:cs="Arial"/>
          <w:b w:val="0"/>
          <w:caps w:val="0"/>
          <w:sz w:val="20"/>
        </w:rPr>
        <w:t>50% retention at</w:t>
      </w:r>
      <w:r w:rsidR="00EA692C">
        <w:rPr>
          <w:rFonts w:ascii="Arial" w:hAnsi="Arial" w:cs="Arial"/>
          <w:b w:val="0"/>
          <w:caps w:val="0"/>
          <w:sz w:val="20"/>
        </w:rPr>
        <w:t xml:space="preserve"> equilibrium, highlighting its</w:t>
      </w:r>
      <w:r w:rsidRPr="00A65146">
        <w:rPr>
          <w:rFonts w:ascii="Arial" w:hAnsi="Arial" w:cs="Arial"/>
          <w:b w:val="0"/>
          <w:caps w:val="0"/>
          <w:sz w:val="20"/>
        </w:rPr>
        <w:t xml:space="preserve"> importance in the global carbon cycle (Schmidt et al.</w:t>
      </w:r>
      <w:r w:rsidR="00EA692C">
        <w:rPr>
          <w:rFonts w:ascii="Arial" w:hAnsi="Arial" w:cs="Arial"/>
          <w:b w:val="0"/>
          <w:caps w:val="0"/>
          <w:sz w:val="20"/>
        </w:rPr>
        <w:t>,</w:t>
      </w:r>
      <w:r w:rsidRPr="00A65146">
        <w:rPr>
          <w:rFonts w:ascii="Arial" w:hAnsi="Arial" w:cs="Arial"/>
          <w:b w:val="0"/>
          <w:caps w:val="0"/>
          <w:sz w:val="20"/>
        </w:rPr>
        <w:t xml:space="preserve"> 2011). Phytolith, the silica structure developed in plants, can remain intact for millions of years, contributing to long-term carbon sequestration. These resilient characters can be attributed to their inorganic nature and their protective interactions with organic matter, which can enhance their stability in various soil environments.</w:t>
      </w:r>
    </w:p>
    <w:p w:rsidR="00A65146" w:rsidRDefault="00A65146" w:rsidP="00A65146">
      <w:pPr>
        <w:pStyle w:val="ConcHead"/>
        <w:spacing w:after="0"/>
        <w:jc w:val="both"/>
        <w:rPr>
          <w:rFonts w:ascii="Arial" w:hAnsi="Arial" w:cs="Arial"/>
          <w:b w:val="0"/>
          <w:caps w:val="0"/>
          <w:sz w:val="20"/>
        </w:rPr>
      </w:pPr>
    </w:p>
    <w:p w:rsidR="00A65146" w:rsidRDefault="00A65146" w:rsidP="00A65146">
      <w:pPr>
        <w:pStyle w:val="ConcHead"/>
        <w:spacing w:after="0"/>
        <w:jc w:val="both"/>
        <w:rPr>
          <w:rFonts w:ascii="Arial" w:hAnsi="Arial" w:cs="Arial"/>
          <w:b w:val="0"/>
          <w:caps w:val="0"/>
          <w:sz w:val="20"/>
        </w:rPr>
      </w:pPr>
      <w:r w:rsidRPr="00A65146">
        <w:rPr>
          <w:rFonts w:ascii="Arial" w:hAnsi="Arial" w:cs="Arial"/>
          <w:b w:val="0"/>
          <w:caps w:val="0"/>
          <w:sz w:val="20"/>
        </w:rPr>
        <w:t>Phytoliths are hi</w:t>
      </w:r>
      <w:r w:rsidR="00EA692C">
        <w:rPr>
          <w:rFonts w:ascii="Arial" w:hAnsi="Arial" w:cs="Arial"/>
          <w:b w:val="0"/>
          <w:caps w:val="0"/>
          <w:sz w:val="20"/>
        </w:rPr>
        <w:t>ghly resistant to decomposition and</w:t>
      </w:r>
      <w:r w:rsidRPr="00A65146">
        <w:rPr>
          <w:rFonts w:ascii="Arial" w:hAnsi="Arial" w:cs="Arial"/>
          <w:b w:val="0"/>
          <w:caps w:val="0"/>
          <w:sz w:val="20"/>
        </w:rPr>
        <w:t xml:space="preserve"> can acco</w:t>
      </w:r>
      <w:r w:rsidR="00850C53">
        <w:rPr>
          <w:rFonts w:ascii="Arial" w:hAnsi="Arial" w:cs="Arial"/>
          <w:b w:val="0"/>
          <w:caps w:val="0"/>
          <w:sz w:val="20"/>
        </w:rPr>
        <w:t xml:space="preserve">unt for nearly 82% of the total </w:t>
      </w:r>
      <w:r w:rsidRPr="00A65146">
        <w:rPr>
          <w:rFonts w:ascii="Arial" w:hAnsi="Arial" w:cs="Arial"/>
          <w:b w:val="0"/>
          <w:caps w:val="0"/>
          <w:sz w:val="20"/>
        </w:rPr>
        <w:t>carbon</w:t>
      </w:r>
      <w:r w:rsidR="00850C53">
        <w:rPr>
          <w:rFonts w:ascii="Arial" w:hAnsi="Arial" w:cs="Arial"/>
          <w:b w:val="0"/>
          <w:caps w:val="0"/>
          <w:sz w:val="20"/>
        </w:rPr>
        <w:t xml:space="preserve"> in soil</w:t>
      </w:r>
      <w:r w:rsidR="00EA692C">
        <w:rPr>
          <w:rFonts w:ascii="Arial" w:hAnsi="Arial" w:cs="Arial"/>
          <w:b w:val="0"/>
          <w:caps w:val="0"/>
          <w:sz w:val="20"/>
        </w:rPr>
        <w:t xml:space="preserve">after </w:t>
      </w:r>
      <w:r w:rsidRPr="00A65146">
        <w:rPr>
          <w:rFonts w:ascii="Arial" w:hAnsi="Arial" w:cs="Arial"/>
          <w:b w:val="0"/>
          <w:caps w:val="0"/>
          <w:sz w:val="20"/>
        </w:rPr>
        <w:t>1000 years of organi</w:t>
      </w:r>
      <w:r w:rsidR="00EA692C">
        <w:rPr>
          <w:rFonts w:ascii="Arial" w:hAnsi="Arial" w:cs="Arial"/>
          <w:b w:val="0"/>
          <w:caps w:val="0"/>
          <w:sz w:val="20"/>
        </w:rPr>
        <w:t>c matter decomposition (Parr &amp;</w:t>
      </w:r>
      <w:r w:rsidRPr="00A65146">
        <w:rPr>
          <w:rFonts w:ascii="Arial" w:hAnsi="Arial" w:cs="Arial"/>
          <w:b w:val="0"/>
          <w:caps w:val="0"/>
          <w:sz w:val="20"/>
        </w:rPr>
        <w:t xml:space="preserve"> Sullivan</w:t>
      </w:r>
      <w:r w:rsidR="00EA692C">
        <w:rPr>
          <w:rFonts w:ascii="Arial" w:hAnsi="Arial" w:cs="Arial"/>
          <w:b w:val="0"/>
          <w:caps w:val="0"/>
          <w:sz w:val="20"/>
        </w:rPr>
        <w:t>,</w:t>
      </w:r>
      <w:r w:rsidRPr="00A65146">
        <w:rPr>
          <w:rFonts w:ascii="Arial" w:hAnsi="Arial" w:cs="Arial"/>
          <w:b w:val="0"/>
          <w:caps w:val="0"/>
          <w:sz w:val="20"/>
        </w:rPr>
        <w:t xml:space="preserve"> 2005). Phytoliths from certain plants like </w:t>
      </w:r>
      <w:r w:rsidRPr="002F7C2F">
        <w:rPr>
          <w:rFonts w:ascii="Arial" w:hAnsi="Arial" w:cs="Arial"/>
          <w:b w:val="0"/>
          <w:i/>
          <w:caps w:val="0"/>
          <w:sz w:val="20"/>
        </w:rPr>
        <w:t>Dicranopterislinearis</w:t>
      </w:r>
      <w:r w:rsidRPr="00A65146">
        <w:rPr>
          <w:rFonts w:ascii="Arial" w:hAnsi="Arial" w:cs="Arial"/>
          <w:b w:val="0"/>
          <w:caps w:val="0"/>
          <w:sz w:val="20"/>
        </w:rPr>
        <w:t xml:space="preserve"> have low dissolution rates (Nguyen et al.</w:t>
      </w:r>
      <w:r w:rsidR="00EA692C">
        <w:rPr>
          <w:rFonts w:ascii="Arial" w:hAnsi="Arial" w:cs="Arial"/>
          <w:b w:val="0"/>
          <w:caps w:val="0"/>
          <w:sz w:val="20"/>
        </w:rPr>
        <w:t>,</w:t>
      </w:r>
      <w:r w:rsidRPr="00A65146">
        <w:rPr>
          <w:rFonts w:ascii="Arial" w:hAnsi="Arial" w:cs="Arial"/>
          <w:b w:val="0"/>
          <w:caps w:val="0"/>
          <w:sz w:val="20"/>
        </w:rPr>
        <w:t xml:space="preserve"> 2019). Stability of phytoliths is influenced by soil characters such as pH, clay content, and organic carbon (Li et al.</w:t>
      </w:r>
      <w:r w:rsidR="00EA692C">
        <w:rPr>
          <w:rFonts w:ascii="Arial" w:hAnsi="Arial" w:cs="Arial"/>
          <w:b w:val="0"/>
          <w:caps w:val="0"/>
          <w:sz w:val="20"/>
        </w:rPr>
        <w:t>,</w:t>
      </w:r>
      <w:r w:rsidRPr="00A65146">
        <w:rPr>
          <w:rFonts w:ascii="Arial" w:hAnsi="Arial" w:cs="Arial"/>
          <w:b w:val="0"/>
          <w:caps w:val="0"/>
          <w:sz w:val="20"/>
        </w:rPr>
        <w:t xml:space="preserve"> 2013). Dissolution rates are higher in paddy soils than non-paddy soils (Koebernick et al.</w:t>
      </w:r>
      <w:r w:rsidR="00EA692C">
        <w:rPr>
          <w:rFonts w:ascii="Arial" w:hAnsi="Arial" w:cs="Arial"/>
          <w:b w:val="0"/>
          <w:caps w:val="0"/>
          <w:sz w:val="20"/>
        </w:rPr>
        <w:t>,</w:t>
      </w:r>
      <w:r w:rsidRPr="00A65146">
        <w:rPr>
          <w:rFonts w:ascii="Arial" w:hAnsi="Arial" w:cs="Arial"/>
          <w:b w:val="0"/>
          <w:caps w:val="0"/>
          <w:sz w:val="20"/>
        </w:rPr>
        <w:t xml:space="preserve"> 2024). Although phytoliths are resistant to degradation, they can be affected by the mechanical weathering process (Morgan-Edel et al.</w:t>
      </w:r>
      <w:r w:rsidR="00850C53">
        <w:rPr>
          <w:rFonts w:ascii="Arial" w:hAnsi="Arial" w:cs="Arial"/>
          <w:b w:val="0"/>
          <w:caps w:val="0"/>
          <w:sz w:val="20"/>
        </w:rPr>
        <w:t>,</w:t>
      </w:r>
      <w:r w:rsidRPr="00A65146">
        <w:rPr>
          <w:rFonts w:ascii="Arial" w:hAnsi="Arial" w:cs="Arial"/>
          <w:b w:val="0"/>
          <w:caps w:val="0"/>
          <w:sz w:val="20"/>
        </w:rPr>
        <w:t xml:space="preserve"> 2015). The parent soil material affects the durability of phytolith. For example, carbonate-rich soils </w:t>
      </w:r>
      <w:r w:rsidR="00850C53">
        <w:rPr>
          <w:rFonts w:ascii="Arial" w:hAnsi="Arial" w:cs="Arial"/>
          <w:b w:val="0"/>
          <w:caps w:val="0"/>
          <w:sz w:val="20"/>
        </w:rPr>
        <w:t xml:space="preserve">exhibit </w:t>
      </w:r>
      <w:r w:rsidRPr="00A65146">
        <w:rPr>
          <w:rFonts w:ascii="Arial" w:hAnsi="Arial" w:cs="Arial"/>
          <w:b w:val="0"/>
          <w:caps w:val="0"/>
          <w:sz w:val="20"/>
        </w:rPr>
        <w:t>differen</w:t>
      </w:r>
      <w:r w:rsidR="00850C53">
        <w:rPr>
          <w:rFonts w:ascii="Arial" w:hAnsi="Arial" w:cs="Arial"/>
          <w:b w:val="0"/>
          <w:caps w:val="0"/>
          <w:sz w:val="20"/>
        </w:rPr>
        <w:t>t</w:t>
      </w:r>
      <w:r w:rsidRPr="00A65146">
        <w:rPr>
          <w:rFonts w:ascii="Arial" w:hAnsi="Arial" w:cs="Arial"/>
          <w:b w:val="0"/>
          <w:caps w:val="0"/>
          <w:sz w:val="20"/>
        </w:rPr>
        <w:t xml:space="preserve"> dynamics compared to carbonate-poor soils (de Tombeur et al.</w:t>
      </w:r>
      <w:r w:rsidR="00850C53">
        <w:rPr>
          <w:rFonts w:ascii="Arial" w:hAnsi="Arial" w:cs="Arial"/>
          <w:b w:val="0"/>
          <w:caps w:val="0"/>
          <w:sz w:val="20"/>
        </w:rPr>
        <w:t>,</w:t>
      </w:r>
      <w:r w:rsidRPr="00A65146">
        <w:rPr>
          <w:rFonts w:ascii="Arial" w:hAnsi="Arial" w:cs="Arial"/>
          <w:b w:val="0"/>
          <w:caps w:val="0"/>
          <w:sz w:val="20"/>
        </w:rPr>
        <w:t xml:space="preserve"> 2021).</w:t>
      </w:r>
    </w:p>
    <w:p w:rsidR="00A65146" w:rsidRDefault="00A65146" w:rsidP="00A65146">
      <w:pPr>
        <w:pStyle w:val="ConcHead"/>
        <w:spacing w:after="0"/>
        <w:jc w:val="both"/>
        <w:rPr>
          <w:rFonts w:ascii="Arial" w:hAnsi="Arial" w:cs="Arial"/>
        </w:rPr>
      </w:pPr>
    </w:p>
    <w:p w:rsidR="00A65146" w:rsidRDefault="00A65146" w:rsidP="00A65146">
      <w:pPr>
        <w:pStyle w:val="ConcHead"/>
        <w:spacing w:after="0"/>
        <w:jc w:val="both"/>
        <w:rPr>
          <w:rFonts w:ascii="Arial" w:hAnsi="Arial" w:cs="Arial"/>
        </w:rPr>
      </w:pPr>
      <w:r>
        <w:rPr>
          <w:rFonts w:ascii="Arial" w:hAnsi="Arial" w:cs="Arial"/>
        </w:rPr>
        <w:t xml:space="preserve">6. </w:t>
      </w:r>
      <w:r w:rsidRPr="00A65146">
        <w:rPr>
          <w:rFonts w:ascii="Arial" w:hAnsi="Arial" w:cs="Arial"/>
        </w:rPr>
        <w:t xml:space="preserve">Ecosystem Contributions to Phytolith Carbon </w:t>
      </w:r>
      <w:commentRangeStart w:id="3"/>
      <w:r w:rsidRPr="00A65146">
        <w:rPr>
          <w:rFonts w:ascii="Arial" w:hAnsi="Arial" w:cs="Arial"/>
        </w:rPr>
        <w:t>Sequestration</w:t>
      </w:r>
      <w:commentRangeEnd w:id="3"/>
      <w:r w:rsidR="0028290E">
        <w:rPr>
          <w:rStyle w:val="CommentReference"/>
          <w:rFonts w:ascii="Times New Roman" w:hAnsi="Times New Roman"/>
          <w:b w:val="0"/>
          <w:caps w:val="0"/>
          <w:lang w:val="nb-NO" w:eastAsia="nb-NO"/>
        </w:rPr>
        <w:commentReference w:id="3"/>
      </w:r>
    </w:p>
    <w:p w:rsidR="00A65146" w:rsidRDefault="00A65146" w:rsidP="00A65146">
      <w:pPr>
        <w:pStyle w:val="ConcHead"/>
        <w:spacing w:after="0"/>
        <w:jc w:val="both"/>
        <w:rPr>
          <w:rFonts w:ascii="Arial" w:hAnsi="Arial" w:cs="Arial"/>
        </w:rPr>
      </w:pPr>
    </w:p>
    <w:p w:rsidR="00A65146" w:rsidRDefault="00C21605" w:rsidP="00A65146">
      <w:pPr>
        <w:pStyle w:val="ConcHead"/>
        <w:spacing w:after="0"/>
        <w:jc w:val="both"/>
        <w:rPr>
          <w:rFonts w:ascii="Arial" w:hAnsi="Arial" w:cs="Arial"/>
          <w:b w:val="0"/>
          <w:caps w:val="0"/>
          <w:sz w:val="20"/>
        </w:rPr>
      </w:pPr>
      <w:r w:rsidRPr="00C21605">
        <w:rPr>
          <w:rFonts w:ascii="Arial" w:hAnsi="Arial" w:cs="Arial"/>
          <w:b w:val="0"/>
          <w:caps w:val="0"/>
          <w:sz w:val="20"/>
        </w:rPr>
        <w:t xml:space="preserve">High phytolith accumulation increases soil carbon storage (Parr </w:t>
      </w:r>
      <w:r w:rsidR="00850C53">
        <w:rPr>
          <w:rFonts w:ascii="Arial" w:hAnsi="Arial" w:cs="Arial"/>
          <w:b w:val="0"/>
          <w:caps w:val="0"/>
          <w:sz w:val="20"/>
        </w:rPr>
        <w:t>&amp;</w:t>
      </w:r>
      <w:r w:rsidRPr="00C21605">
        <w:rPr>
          <w:rFonts w:ascii="Arial" w:hAnsi="Arial" w:cs="Arial"/>
          <w:b w:val="0"/>
          <w:caps w:val="0"/>
          <w:sz w:val="20"/>
        </w:rPr>
        <w:t xml:space="preserve"> Sullivan</w:t>
      </w:r>
      <w:r w:rsidR="00850C53">
        <w:rPr>
          <w:rFonts w:ascii="Arial" w:hAnsi="Arial" w:cs="Arial"/>
          <w:b w:val="0"/>
          <w:caps w:val="0"/>
          <w:sz w:val="20"/>
        </w:rPr>
        <w:t>,</w:t>
      </w:r>
      <w:r w:rsidRPr="00C21605">
        <w:rPr>
          <w:rFonts w:ascii="Arial" w:hAnsi="Arial" w:cs="Arial"/>
          <w:b w:val="0"/>
          <w:caps w:val="0"/>
          <w:sz w:val="20"/>
        </w:rPr>
        <w:t xml:space="preserve"> 2005). The long-term stability of phytoliths makes them special for understanding carbon dynamics in different ecosystems. Phytoliths have been reported to sequester between 11 and 190 Tg C annually (de Tombeur et al.</w:t>
      </w:r>
      <w:r w:rsidR="00850C53">
        <w:rPr>
          <w:rFonts w:ascii="Arial" w:hAnsi="Arial" w:cs="Arial"/>
          <w:b w:val="0"/>
          <w:caps w:val="0"/>
          <w:sz w:val="20"/>
        </w:rPr>
        <w:t>,</w:t>
      </w:r>
      <w:r w:rsidRPr="00C21605">
        <w:rPr>
          <w:rFonts w:ascii="Arial" w:hAnsi="Arial" w:cs="Arial"/>
          <w:b w:val="0"/>
          <w:caps w:val="0"/>
          <w:sz w:val="20"/>
        </w:rPr>
        <w:t xml:space="preserve"> 2024).</w:t>
      </w:r>
    </w:p>
    <w:p w:rsidR="00C21605" w:rsidRPr="00C21605" w:rsidRDefault="00C21605" w:rsidP="00C21605">
      <w:pPr>
        <w:pStyle w:val="ConcHead"/>
        <w:spacing w:after="0"/>
        <w:jc w:val="both"/>
        <w:rPr>
          <w:rFonts w:ascii="Arial" w:hAnsi="Arial" w:cs="Arial"/>
          <w:b w:val="0"/>
          <w:caps w:val="0"/>
          <w:sz w:val="20"/>
        </w:rPr>
      </w:pPr>
    </w:p>
    <w:p w:rsidR="00C21605" w:rsidRPr="00C21605" w:rsidRDefault="00C21605" w:rsidP="00C21605">
      <w:pPr>
        <w:contextualSpacing/>
        <w:jc w:val="both"/>
        <w:rPr>
          <w:rFonts w:ascii="Arial" w:hAnsi="Arial" w:cs="Arial"/>
          <w:b/>
          <w:sz w:val="22"/>
          <w:szCs w:val="22"/>
        </w:rPr>
      </w:pPr>
      <w:r w:rsidRPr="00C21605">
        <w:rPr>
          <w:rFonts w:ascii="Arial" w:hAnsi="Arial" w:cs="Arial"/>
          <w:b/>
          <w:sz w:val="22"/>
          <w:szCs w:val="22"/>
        </w:rPr>
        <w:t>6.1 Croplands</w:t>
      </w:r>
    </w:p>
    <w:p w:rsidR="00C21605" w:rsidRPr="00C21605" w:rsidRDefault="00C21605" w:rsidP="00C21605">
      <w:pPr>
        <w:contextualSpacing/>
        <w:jc w:val="both"/>
        <w:rPr>
          <w:rFonts w:ascii="Arial" w:hAnsi="Arial" w:cs="Arial"/>
        </w:rPr>
      </w:pPr>
    </w:p>
    <w:p w:rsidR="00C21605" w:rsidRPr="00C21605" w:rsidRDefault="00C21605" w:rsidP="00C21605">
      <w:pPr>
        <w:contextualSpacing/>
        <w:jc w:val="both"/>
        <w:rPr>
          <w:rFonts w:ascii="Arial" w:hAnsi="Arial" w:cs="Arial"/>
        </w:rPr>
      </w:pPr>
      <w:r w:rsidRPr="00C21605">
        <w:rPr>
          <w:rFonts w:ascii="Arial" w:hAnsi="Arial" w:cs="Arial"/>
        </w:rPr>
        <w:t>Buckwheat, a widely cultivated crop, is globally estimated to sequester 5102.09 t CO</w:t>
      </w:r>
      <w:r w:rsidRPr="00C21605">
        <w:rPr>
          <w:rFonts w:ascii="Cambria Math" w:hAnsi="Cambria Math" w:cs="Cambria Math"/>
        </w:rPr>
        <w:t>₂</w:t>
      </w:r>
      <w:r w:rsidRPr="00C21605">
        <w:rPr>
          <w:rFonts w:ascii="Arial" w:hAnsi="Arial" w:cs="Arial"/>
        </w:rPr>
        <w:t xml:space="preserve"> in 2018 through phytolith</w:t>
      </w:r>
      <w:r w:rsidR="00850C53">
        <w:rPr>
          <w:rFonts w:ascii="Arial" w:hAnsi="Arial" w:cs="Arial"/>
        </w:rPr>
        <w:t xml:space="preserve"> carbon sequestration (Wang &amp;</w:t>
      </w:r>
      <w:r w:rsidRPr="00C21605">
        <w:rPr>
          <w:rFonts w:ascii="Arial" w:hAnsi="Arial" w:cs="Arial"/>
        </w:rPr>
        <w:t xml:space="preserve"> Sheng</w:t>
      </w:r>
      <w:r w:rsidR="00850C53">
        <w:rPr>
          <w:rFonts w:ascii="Arial" w:hAnsi="Arial" w:cs="Arial"/>
        </w:rPr>
        <w:t>,</w:t>
      </w:r>
      <w:r w:rsidRPr="00C21605">
        <w:rPr>
          <w:rFonts w:ascii="Arial" w:hAnsi="Arial" w:cs="Arial"/>
        </w:rPr>
        <w:t xml:space="preserve"> 2022). Approximately 26.35 Tg of CO</w:t>
      </w:r>
      <w:r w:rsidRPr="00C21605">
        <w:rPr>
          <w:rFonts w:ascii="Cambria Math" w:hAnsi="Cambria Math" w:cs="Cambria Math"/>
        </w:rPr>
        <w:t>₂</w:t>
      </w:r>
      <w:r w:rsidR="00850C53">
        <w:rPr>
          <w:rFonts w:ascii="Arial" w:hAnsi="Arial" w:cs="Arial"/>
        </w:rPr>
        <w:t xml:space="preserve">is </w:t>
      </w:r>
      <w:r w:rsidRPr="00C21605">
        <w:rPr>
          <w:rFonts w:ascii="Arial" w:hAnsi="Arial" w:cs="Arial"/>
        </w:rPr>
        <w:t xml:space="preserve">reported to be sequestered </w:t>
      </w:r>
      <w:r w:rsidR="00850C53">
        <w:rPr>
          <w:rFonts w:ascii="Arial" w:hAnsi="Arial" w:cs="Arial"/>
        </w:rPr>
        <w:t xml:space="preserve">annually </w:t>
      </w:r>
      <w:r w:rsidRPr="00C21605">
        <w:rPr>
          <w:rFonts w:ascii="Arial" w:hAnsi="Arial" w:cs="Arial"/>
        </w:rPr>
        <w:t>in global cropland phytoliths</w:t>
      </w:r>
      <w:r w:rsidR="00850C53">
        <w:rPr>
          <w:rFonts w:ascii="Arial" w:hAnsi="Arial" w:cs="Arial"/>
        </w:rPr>
        <w:t>,</w:t>
      </w:r>
      <w:r w:rsidRPr="00C21605">
        <w:rPr>
          <w:rFonts w:ascii="Arial" w:hAnsi="Arial" w:cs="Arial"/>
        </w:rPr>
        <w:t xml:space="preserve"> primarily contributed by rice, wheat, and maize (Song et al.</w:t>
      </w:r>
      <w:r w:rsidR="00850C53">
        <w:rPr>
          <w:rFonts w:ascii="Arial" w:hAnsi="Arial" w:cs="Arial"/>
        </w:rPr>
        <w:t>,</w:t>
      </w:r>
      <w:r w:rsidRPr="00C21605">
        <w:rPr>
          <w:rFonts w:ascii="Arial" w:hAnsi="Arial" w:cs="Arial"/>
        </w:rPr>
        <w:t xml:space="preserve"> 2013). Since 1961, the applications of fertilizers and managed cropping systems have tripled phytolith carbon storage (Song et al.</w:t>
      </w:r>
      <w:r w:rsidR="00850C53">
        <w:rPr>
          <w:rFonts w:ascii="Arial" w:hAnsi="Arial" w:cs="Arial"/>
        </w:rPr>
        <w:t>,</w:t>
      </w:r>
      <w:r w:rsidRPr="00C21605">
        <w:rPr>
          <w:rFonts w:ascii="Arial" w:hAnsi="Arial" w:cs="Arial"/>
        </w:rPr>
        <w:t xml:space="preserve"> 2013). </w:t>
      </w:r>
      <w:r w:rsidR="00850C53">
        <w:rPr>
          <w:rFonts w:ascii="Arial" w:hAnsi="Arial" w:cs="Arial"/>
        </w:rPr>
        <w:t>A</w:t>
      </w:r>
      <w:r w:rsidRPr="00C21605">
        <w:rPr>
          <w:rFonts w:ascii="Arial" w:hAnsi="Arial" w:cs="Arial"/>
        </w:rPr>
        <w:t>t the global scale,</w:t>
      </w:r>
      <w:r w:rsidR="00850C53">
        <w:rPr>
          <w:rFonts w:ascii="Arial" w:hAnsi="Arial" w:cs="Arial"/>
        </w:rPr>
        <w:t xml:space="preserve"> r</w:t>
      </w:r>
      <w:r w:rsidR="00850C53" w:rsidRPr="00C21605">
        <w:rPr>
          <w:rFonts w:ascii="Arial" w:hAnsi="Arial" w:cs="Arial"/>
        </w:rPr>
        <w:t>ice crops alone</w:t>
      </w:r>
      <w:r w:rsidRPr="00C21605">
        <w:rPr>
          <w:rFonts w:ascii="Arial" w:hAnsi="Arial" w:cs="Arial"/>
        </w:rPr>
        <w:t xml:space="preserve"> sequester</w:t>
      </w:r>
      <w:r w:rsidR="00850C53">
        <w:rPr>
          <w:rFonts w:ascii="Arial" w:hAnsi="Arial" w:cs="Arial"/>
        </w:rPr>
        <w:t xml:space="preserve"> approximately</w:t>
      </w:r>
      <w:r w:rsidRPr="00C21605">
        <w:rPr>
          <w:rFonts w:ascii="Arial" w:hAnsi="Arial" w:cs="Arial"/>
        </w:rPr>
        <w:t xml:space="preserve"> 16.4 Tg e-CO</w:t>
      </w:r>
      <w:r w:rsidRPr="00C21605">
        <w:rPr>
          <w:rFonts w:ascii="Cambria Math" w:hAnsi="Cambria Math" w:cs="Cambria Math"/>
        </w:rPr>
        <w:t>₂</w:t>
      </w:r>
      <w:r w:rsidRPr="00C21605">
        <w:rPr>
          <w:rFonts w:ascii="Arial" w:hAnsi="Arial" w:cs="Arial"/>
        </w:rPr>
        <w:t xml:space="preserve"> annually </w:t>
      </w:r>
      <w:r w:rsidR="00850C53">
        <w:rPr>
          <w:rFonts w:ascii="Arial" w:hAnsi="Arial" w:cs="Arial"/>
        </w:rPr>
        <w:t xml:space="preserve">via </w:t>
      </w:r>
      <w:r w:rsidRPr="00C21605">
        <w:rPr>
          <w:rFonts w:ascii="Arial" w:hAnsi="Arial" w:cs="Arial"/>
        </w:rPr>
        <w:t xml:space="preserve">phytOC (Prajapati </w:t>
      </w:r>
      <w:r w:rsidR="006752F9">
        <w:rPr>
          <w:rFonts w:ascii="Arial" w:hAnsi="Arial" w:cs="Arial"/>
        </w:rPr>
        <w:t>et al.</w:t>
      </w:r>
      <w:r w:rsidR="00850C53">
        <w:rPr>
          <w:rFonts w:ascii="Arial" w:hAnsi="Arial" w:cs="Arial"/>
        </w:rPr>
        <w:t>,</w:t>
      </w:r>
      <w:r w:rsidRPr="00C21605">
        <w:rPr>
          <w:rFonts w:ascii="Arial" w:hAnsi="Arial" w:cs="Arial"/>
        </w:rPr>
        <w:t>2016).</w:t>
      </w:r>
    </w:p>
    <w:p w:rsidR="00C21605" w:rsidRPr="00C21605" w:rsidRDefault="00C21605" w:rsidP="00C21605">
      <w:pPr>
        <w:contextualSpacing/>
        <w:jc w:val="both"/>
        <w:rPr>
          <w:rFonts w:ascii="Arial" w:hAnsi="Arial" w:cs="Arial"/>
        </w:rPr>
      </w:pPr>
    </w:p>
    <w:p w:rsidR="00C21605" w:rsidRPr="00C21605" w:rsidRDefault="00C21605" w:rsidP="00C21605">
      <w:pPr>
        <w:contextualSpacing/>
        <w:jc w:val="both"/>
        <w:rPr>
          <w:rFonts w:ascii="Arial" w:hAnsi="Arial" w:cs="Arial"/>
          <w:b/>
          <w:sz w:val="22"/>
          <w:szCs w:val="22"/>
        </w:rPr>
      </w:pPr>
      <w:r w:rsidRPr="00C21605">
        <w:rPr>
          <w:rFonts w:ascii="Arial" w:hAnsi="Arial" w:cs="Arial"/>
          <w:b/>
          <w:sz w:val="22"/>
          <w:szCs w:val="22"/>
        </w:rPr>
        <w:t>6.2 Forests</w:t>
      </w:r>
    </w:p>
    <w:p w:rsidR="00C21605" w:rsidRPr="00C21605" w:rsidRDefault="00C21605" w:rsidP="00C21605">
      <w:pPr>
        <w:contextualSpacing/>
        <w:jc w:val="both"/>
        <w:rPr>
          <w:rFonts w:ascii="Arial" w:hAnsi="Arial" w:cs="Arial"/>
        </w:rPr>
      </w:pPr>
    </w:p>
    <w:p w:rsidR="00C21605" w:rsidRDefault="00C21605" w:rsidP="00C21605">
      <w:pPr>
        <w:contextualSpacing/>
        <w:jc w:val="both"/>
        <w:rPr>
          <w:rFonts w:ascii="Arial" w:hAnsi="Arial" w:cs="Arial"/>
        </w:rPr>
      </w:pPr>
      <w:r w:rsidRPr="00C21605">
        <w:rPr>
          <w:rFonts w:ascii="Arial" w:hAnsi="Arial" w:cs="Arial"/>
        </w:rPr>
        <w:t>Different forests store different quantities of phytOC. Bamboo forests sequester high phytOC content compared to fir and chestnut forests (Zhang et al.</w:t>
      </w:r>
      <w:r w:rsidR="00850C53">
        <w:rPr>
          <w:rFonts w:ascii="Arial" w:hAnsi="Arial" w:cs="Arial"/>
        </w:rPr>
        <w:t>,</w:t>
      </w:r>
      <w:r w:rsidRPr="00C21605">
        <w:rPr>
          <w:rFonts w:ascii="Arial" w:hAnsi="Arial" w:cs="Arial"/>
        </w:rPr>
        <w:t xml:space="preserve"> 2016). The total organic carbon </w:t>
      </w:r>
      <w:r w:rsidR="00850C53">
        <w:rPr>
          <w:rFonts w:ascii="Arial" w:hAnsi="Arial" w:cs="Arial"/>
        </w:rPr>
        <w:t>in</w:t>
      </w:r>
      <w:r w:rsidRPr="00C21605">
        <w:rPr>
          <w:rFonts w:ascii="Arial" w:hAnsi="Arial" w:cs="Arial"/>
        </w:rPr>
        <w:t xml:space="preserve"> phytoliths is significantly higher in bamboo forests than in other t</w:t>
      </w:r>
      <w:r w:rsidR="00580559">
        <w:rPr>
          <w:rFonts w:ascii="Arial" w:hAnsi="Arial" w:cs="Arial"/>
        </w:rPr>
        <w:t xml:space="preserve">errestrial ecosystems, including </w:t>
      </w:r>
      <w:r w:rsidRPr="00C21605">
        <w:rPr>
          <w:rFonts w:ascii="Arial" w:hAnsi="Arial" w:cs="Arial"/>
        </w:rPr>
        <w:t>grasslands, croplands</w:t>
      </w:r>
      <w:r w:rsidR="00580559">
        <w:rPr>
          <w:rFonts w:ascii="Arial" w:hAnsi="Arial" w:cs="Arial"/>
        </w:rPr>
        <w:t>,</w:t>
      </w:r>
      <w:r w:rsidRPr="00C21605">
        <w:rPr>
          <w:rFonts w:ascii="Arial" w:hAnsi="Arial" w:cs="Arial"/>
        </w:rPr>
        <w:t xml:space="preserve"> and forests (Cheng et al.</w:t>
      </w:r>
      <w:r w:rsidR="00850C53">
        <w:rPr>
          <w:rFonts w:ascii="Arial" w:hAnsi="Arial" w:cs="Arial"/>
        </w:rPr>
        <w:t>,</w:t>
      </w:r>
      <w:r w:rsidRPr="00C21605">
        <w:rPr>
          <w:rFonts w:ascii="Arial" w:hAnsi="Arial" w:cs="Arial"/>
        </w:rPr>
        <w:t xml:space="preserve"> 2023). Different ecosystems sequester varying amounts of phytolith-occluded carbon; bamboo forests are widely reported to sequester high amounts of phytolith-occluded carbon (Cheng et al.</w:t>
      </w:r>
      <w:r w:rsidR="00850C53">
        <w:rPr>
          <w:rFonts w:ascii="Arial" w:hAnsi="Arial" w:cs="Arial"/>
        </w:rPr>
        <w:t>,</w:t>
      </w:r>
      <w:r w:rsidRPr="00C21605">
        <w:rPr>
          <w:rFonts w:ascii="Arial" w:hAnsi="Arial" w:cs="Arial"/>
        </w:rPr>
        <w:t xml:space="preserve"> 2023; Zhen et al.</w:t>
      </w:r>
      <w:r w:rsidR="00850C53">
        <w:rPr>
          <w:rFonts w:ascii="Arial" w:hAnsi="Arial" w:cs="Arial"/>
        </w:rPr>
        <w:t>,</w:t>
      </w:r>
      <w:r w:rsidRPr="00C21605">
        <w:rPr>
          <w:rFonts w:ascii="Arial" w:hAnsi="Arial" w:cs="Arial"/>
        </w:rPr>
        <w:t xml:space="preserve"> 2024).</w:t>
      </w:r>
    </w:p>
    <w:p w:rsidR="007A6C40" w:rsidRDefault="007A6C40" w:rsidP="00C21605">
      <w:pPr>
        <w:contextualSpacing/>
        <w:jc w:val="both"/>
        <w:rPr>
          <w:rFonts w:ascii="Arial" w:hAnsi="Arial" w:cs="Arial"/>
        </w:rPr>
      </w:pPr>
    </w:p>
    <w:p w:rsidR="007A6C40" w:rsidRPr="00C21605" w:rsidRDefault="007A6C40" w:rsidP="00C21605">
      <w:pPr>
        <w:contextualSpacing/>
        <w:jc w:val="both"/>
        <w:rPr>
          <w:rFonts w:ascii="Arial" w:hAnsi="Arial" w:cs="Arial"/>
        </w:rPr>
      </w:pPr>
    </w:p>
    <w:p w:rsidR="00C21605" w:rsidRPr="00C21605" w:rsidRDefault="00C21605" w:rsidP="00C21605">
      <w:pPr>
        <w:contextualSpacing/>
        <w:jc w:val="both"/>
        <w:rPr>
          <w:rFonts w:ascii="Arial" w:hAnsi="Arial" w:cs="Arial"/>
        </w:rPr>
      </w:pPr>
    </w:p>
    <w:p w:rsidR="00C21605" w:rsidRPr="00C21605" w:rsidRDefault="00C21605" w:rsidP="00C21605">
      <w:pPr>
        <w:contextualSpacing/>
        <w:jc w:val="both"/>
        <w:rPr>
          <w:rFonts w:ascii="Arial" w:hAnsi="Arial" w:cs="Arial"/>
          <w:b/>
          <w:sz w:val="22"/>
          <w:szCs w:val="22"/>
        </w:rPr>
      </w:pPr>
      <w:r w:rsidRPr="00C21605">
        <w:rPr>
          <w:rFonts w:ascii="Arial" w:hAnsi="Arial" w:cs="Arial"/>
          <w:b/>
          <w:sz w:val="22"/>
          <w:szCs w:val="22"/>
        </w:rPr>
        <w:t>6.3 Wetlands</w:t>
      </w:r>
    </w:p>
    <w:p w:rsidR="00C21605" w:rsidRPr="00C21605" w:rsidRDefault="00C21605" w:rsidP="00C21605">
      <w:pPr>
        <w:contextualSpacing/>
        <w:jc w:val="both"/>
        <w:rPr>
          <w:rFonts w:ascii="Arial" w:hAnsi="Arial" w:cs="Arial"/>
        </w:rPr>
      </w:pPr>
    </w:p>
    <w:p w:rsidR="00C21605" w:rsidRPr="00C21605" w:rsidRDefault="00C21605" w:rsidP="00C21605">
      <w:pPr>
        <w:contextualSpacing/>
        <w:jc w:val="both"/>
        <w:rPr>
          <w:rFonts w:ascii="Arial" w:hAnsi="Arial" w:cs="Arial"/>
        </w:rPr>
      </w:pPr>
      <w:r w:rsidRPr="00C21605">
        <w:rPr>
          <w:rFonts w:ascii="Arial" w:hAnsi="Arial" w:cs="Arial"/>
        </w:rPr>
        <w:t>In wetlands, herb-dominated fens sequester high phytOC content up to 0.077 t-e-CO</w:t>
      </w:r>
      <w:r w:rsidRPr="00C21605">
        <w:rPr>
          <w:rFonts w:ascii="Cambria Math" w:hAnsi="Cambria Math" w:cs="Cambria Math"/>
        </w:rPr>
        <w:t>₂</w:t>
      </w:r>
      <w:r w:rsidRPr="00C21605">
        <w:rPr>
          <w:rFonts w:ascii="Arial" w:hAnsi="Arial" w:cs="Arial"/>
        </w:rPr>
        <w:t xml:space="preserve"> ha</w:t>
      </w:r>
      <w:r w:rsidRPr="00C21605">
        <w:rPr>
          <w:rFonts w:ascii="Arial" w:hAnsi="Arial" w:cs="Arial"/>
          <w:vertAlign w:val="superscript"/>
        </w:rPr>
        <w:t>-</w:t>
      </w:r>
      <w:r w:rsidRPr="00C21605">
        <w:rPr>
          <w:rFonts w:ascii="Arial" w:hAnsi="Arial" w:cs="Arial"/>
        </w:rPr>
        <w:t>¹ a</w:t>
      </w:r>
      <w:r w:rsidRPr="00C21605">
        <w:rPr>
          <w:rFonts w:ascii="Arial" w:hAnsi="Arial" w:cs="Arial"/>
          <w:vertAlign w:val="superscript"/>
        </w:rPr>
        <w:t>-</w:t>
      </w:r>
      <w:r w:rsidRPr="00C21605">
        <w:rPr>
          <w:rFonts w:ascii="Arial" w:hAnsi="Arial" w:cs="Arial"/>
        </w:rPr>
        <w:t>¹ (Li et al.</w:t>
      </w:r>
      <w:r w:rsidR="00580559">
        <w:rPr>
          <w:rFonts w:ascii="Arial" w:hAnsi="Arial" w:cs="Arial"/>
        </w:rPr>
        <w:t>, 2013). S</w:t>
      </w:r>
      <w:r w:rsidRPr="00C21605">
        <w:rPr>
          <w:rFonts w:ascii="Arial" w:hAnsi="Arial" w:cs="Arial"/>
        </w:rPr>
        <w:t>oil depth and vegetation types affect phytOC content (Yang et al.</w:t>
      </w:r>
      <w:r w:rsidR="00580559">
        <w:rPr>
          <w:rFonts w:ascii="Arial" w:hAnsi="Arial" w:cs="Arial"/>
        </w:rPr>
        <w:t>,</w:t>
      </w:r>
      <w:r w:rsidRPr="00C21605">
        <w:rPr>
          <w:rFonts w:ascii="Arial" w:hAnsi="Arial" w:cs="Arial"/>
        </w:rPr>
        <w:t xml:space="preserve"> 2019), as phytolith and phytOC content decreases from surface soil layer or litter layers to deeper soil layers, highlighting the importance of surface processes in carbon sequestration (Yang et al.</w:t>
      </w:r>
      <w:r w:rsidR="00580559">
        <w:rPr>
          <w:rFonts w:ascii="Arial" w:hAnsi="Arial" w:cs="Arial"/>
        </w:rPr>
        <w:t>,</w:t>
      </w:r>
      <w:r w:rsidRPr="00C21605">
        <w:rPr>
          <w:rFonts w:ascii="Arial" w:hAnsi="Arial" w:cs="Arial"/>
        </w:rPr>
        <w:t xml:space="preserve"> 2019). </w:t>
      </w:r>
    </w:p>
    <w:p w:rsidR="00A65146" w:rsidRPr="00A65146" w:rsidRDefault="00A65146" w:rsidP="00A65146">
      <w:pPr>
        <w:pStyle w:val="ConcHead"/>
        <w:spacing w:after="0"/>
        <w:jc w:val="both"/>
        <w:rPr>
          <w:rFonts w:ascii="Arial" w:hAnsi="Arial" w:cs="Arial"/>
          <w:b w:val="0"/>
          <w:sz w:val="20"/>
        </w:rPr>
      </w:pPr>
    </w:p>
    <w:p w:rsidR="00A65146" w:rsidRDefault="00C21605" w:rsidP="00A65146">
      <w:pPr>
        <w:pStyle w:val="ConcHead"/>
        <w:spacing w:after="0"/>
        <w:jc w:val="both"/>
        <w:rPr>
          <w:rFonts w:ascii="Arial" w:hAnsi="Arial" w:cs="Arial"/>
        </w:rPr>
      </w:pPr>
      <w:r>
        <w:rPr>
          <w:rFonts w:ascii="Arial" w:hAnsi="Arial" w:cs="Arial"/>
        </w:rPr>
        <w:t>7</w:t>
      </w:r>
      <w:r w:rsidR="00A65146">
        <w:rPr>
          <w:rFonts w:ascii="Arial" w:hAnsi="Arial" w:cs="Arial"/>
        </w:rPr>
        <w:t xml:space="preserve">. </w:t>
      </w:r>
      <w:r w:rsidRPr="00C21605">
        <w:rPr>
          <w:rFonts w:ascii="Arial" w:hAnsi="Arial" w:cs="Arial"/>
        </w:rPr>
        <w:t xml:space="preserve">Management Practices to Enhance Phytolith Carbon </w:t>
      </w:r>
      <w:commentRangeStart w:id="4"/>
      <w:r w:rsidRPr="00C21605">
        <w:rPr>
          <w:rFonts w:ascii="Arial" w:hAnsi="Arial" w:cs="Arial"/>
        </w:rPr>
        <w:t>Sequestration</w:t>
      </w:r>
      <w:commentRangeEnd w:id="4"/>
      <w:r w:rsidR="00791B24">
        <w:rPr>
          <w:rStyle w:val="CommentReference"/>
          <w:rFonts w:ascii="Times New Roman" w:hAnsi="Times New Roman"/>
          <w:b w:val="0"/>
          <w:caps w:val="0"/>
          <w:lang w:val="nb-NO" w:eastAsia="nb-NO"/>
        </w:rPr>
        <w:commentReference w:id="4"/>
      </w:r>
    </w:p>
    <w:p w:rsidR="00C21605" w:rsidRDefault="00C21605" w:rsidP="00C21605">
      <w:pPr>
        <w:pStyle w:val="Body"/>
        <w:spacing w:after="0"/>
        <w:rPr>
          <w:rFonts w:ascii="Arial" w:hAnsi="Arial" w:cs="Arial"/>
        </w:rPr>
      </w:pPr>
    </w:p>
    <w:p w:rsidR="00C21605" w:rsidRPr="00C21605" w:rsidRDefault="00C21605" w:rsidP="00C21605">
      <w:pPr>
        <w:pStyle w:val="Body"/>
        <w:spacing w:after="0"/>
        <w:rPr>
          <w:rFonts w:ascii="Arial" w:hAnsi="Arial" w:cs="Arial"/>
        </w:rPr>
      </w:pPr>
      <w:r w:rsidRPr="00C21605">
        <w:rPr>
          <w:rFonts w:ascii="Arial" w:hAnsi="Arial" w:cs="Arial"/>
        </w:rPr>
        <w:t xml:space="preserve">Agricultural practices, </w:t>
      </w:r>
      <w:r w:rsidR="00580559">
        <w:rPr>
          <w:rFonts w:ascii="Arial" w:hAnsi="Arial" w:cs="Arial"/>
        </w:rPr>
        <w:t>such as the</w:t>
      </w:r>
      <w:r w:rsidRPr="00C21605">
        <w:rPr>
          <w:rFonts w:ascii="Arial" w:hAnsi="Arial" w:cs="Arial"/>
        </w:rPr>
        <w:t xml:space="preserve"> us</w:t>
      </w:r>
      <w:r w:rsidR="00580559">
        <w:rPr>
          <w:rFonts w:ascii="Arial" w:hAnsi="Arial" w:cs="Arial"/>
        </w:rPr>
        <w:t>e of</w:t>
      </w:r>
      <w:r w:rsidRPr="00C21605">
        <w:rPr>
          <w:rFonts w:ascii="Arial" w:hAnsi="Arial" w:cs="Arial"/>
        </w:rPr>
        <w:t xml:space="preserve"> silicon fertilizer</w:t>
      </w:r>
      <w:r w:rsidR="00580559">
        <w:rPr>
          <w:rFonts w:ascii="Arial" w:hAnsi="Arial" w:cs="Arial"/>
        </w:rPr>
        <w:t>s</w:t>
      </w:r>
      <w:r w:rsidRPr="00C21605">
        <w:rPr>
          <w:rFonts w:ascii="Arial" w:hAnsi="Arial" w:cs="Arial"/>
        </w:rPr>
        <w:t xml:space="preserve"> and compost application, have the potential to increase phytolith production an</w:t>
      </w:r>
      <w:r w:rsidR="00580559">
        <w:rPr>
          <w:rFonts w:ascii="Arial" w:hAnsi="Arial" w:cs="Arial"/>
        </w:rPr>
        <w:t xml:space="preserve">d carbon sequestration rates in </w:t>
      </w:r>
      <w:r w:rsidRPr="00C21605">
        <w:rPr>
          <w:rFonts w:ascii="Arial" w:hAnsi="Arial" w:cs="Arial"/>
        </w:rPr>
        <w:t>agricultural systems (Rutkowska et al.</w:t>
      </w:r>
      <w:r w:rsidR="00580559">
        <w:rPr>
          <w:rFonts w:ascii="Arial" w:hAnsi="Arial" w:cs="Arial"/>
        </w:rPr>
        <w:t>,</w:t>
      </w:r>
      <w:r w:rsidRPr="00C21605">
        <w:rPr>
          <w:rFonts w:ascii="Arial" w:hAnsi="Arial" w:cs="Arial"/>
        </w:rPr>
        <w:t xml:space="preserve"> 2024). </w:t>
      </w:r>
      <w:r w:rsidR="00580559">
        <w:rPr>
          <w:rFonts w:ascii="Arial" w:hAnsi="Arial" w:cs="Arial"/>
        </w:rPr>
        <w:t>M</w:t>
      </w:r>
      <w:r w:rsidR="00580559" w:rsidRPr="00C21605">
        <w:rPr>
          <w:rFonts w:ascii="Arial" w:hAnsi="Arial" w:cs="Arial"/>
        </w:rPr>
        <w:t xml:space="preserve">aintaining the crop residues </w:t>
      </w:r>
      <w:r w:rsidR="00580559">
        <w:rPr>
          <w:rFonts w:ascii="Arial" w:hAnsi="Arial" w:cs="Arial"/>
        </w:rPr>
        <w:t>in the soil</w:t>
      </w:r>
      <w:r w:rsidRPr="00C21605">
        <w:rPr>
          <w:rFonts w:ascii="Arial" w:hAnsi="Arial" w:cs="Arial"/>
        </w:rPr>
        <w:t xml:space="preserve"> can increase soil organic carbon levels</w:t>
      </w:r>
      <w:r w:rsidR="00580559">
        <w:rPr>
          <w:rFonts w:ascii="Arial" w:hAnsi="Arial" w:cs="Arial"/>
        </w:rPr>
        <w:t xml:space="preserve"> and improve both </w:t>
      </w:r>
      <w:r w:rsidRPr="00C21605">
        <w:rPr>
          <w:rFonts w:ascii="Arial" w:hAnsi="Arial" w:cs="Arial"/>
        </w:rPr>
        <w:t xml:space="preserve">carbon sequestration </w:t>
      </w:r>
      <w:r w:rsidR="00580559">
        <w:rPr>
          <w:rFonts w:ascii="Arial" w:hAnsi="Arial" w:cs="Arial"/>
        </w:rPr>
        <w:t>and</w:t>
      </w:r>
      <w:r w:rsidRPr="00C21605">
        <w:rPr>
          <w:rFonts w:ascii="Arial" w:hAnsi="Arial" w:cs="Arial"/>
        </w:rPr>
        <w:t xml:space="preserve"> soil health. Agricultural practices like cover cropping and reduced tillage, besides increasing phytolith carbon sequestration improve soil structure, nutrient cycling, and water retention, supporting high crop yields (Pandao et al.</w:t>
      </w:r>
      <w:r w:rsidR="00580559">
        <w:rPr>
          <w:rFonts w:ascii="Arial" w:hAnsi="Arial" w:cs="Arial"/>
        </w:rPr>
        <w:t>,</w:t>
      </w:r>
      <w:r w:rsidRPr="00C21605">
        <w:rPr>
          <w:rFonts w:ascii="Arial" w:hAnsi="Arial" w:cs="Arial"/>
        </w:rPr>
        <w:t xml:space="preserve"> 2023; Patil et al.</w:t>
      </w:r>
      <w:r w:rsidR="00580559">
        <w:rPr>
          <w:rFonts w:ascii="Arial" w:hAnsi="Arial" w:cs="Arial"/>
        </w:rPr>
        <w:t>,</w:t>
      </w:r>
      <w:r w:rsidRPr="00C21605">
        <w:rPr>
          <w:rFonts w:ascii="Arial" w:hAnsi="Arial" w:cs="Arial"/>
        </w:rPr>
        <w:t xml:space="preserve"> 2024).</w:t>
      </w:r>
    </w:p>
    <w:p w:rsidR="00C21605" w:rsidRDefault="00C21605" w:rsidP="00C21605">
      <w:pPr>
        <w:pStyle w:val="Body"/>
        <w:spacing w:after="0"/>
        <w:rPr>
          <w:rFonts w:ascii="Arial" w:hAnsi="Arial" w:cs="Arial"/>
        </w:rPr>
      </w:pPr>
    </w:p>
    <w:p w:rsidR="00C21605" w:rsidRDefault="00C21605" w:rsidP="00C21605">
      <w:pPr>
        <w:pStyle w:val="Body"/>
        <w:spacing w:after="0"/>
        <w:rPr>
          <w:rFonts w:ascii="Arial" w:hAnsi="Arial" w:cs="Arial"/>
        </w:rPr>
      </w:pPr>
      <w:r w:rsidRPr="00C21605">
        <w:rPr>
          <w:rFonts w:ascii="Arial" w:hAnsi="Arial" w:cs="Arial"/>
        </w:rPr>
        <w:t>The quantity of phytolith carbon sequestration in croplands can be increased by silicate minerals-rich fertilizer usage (</w:t>
      </w:r>
      <w:r w:rsidR="00580559" w:rsidRPr="00C21605">
        <w:rPr>
          <w:rFonts w:ascii="Arial" w:hAnsi="Arial" w:cs="Arial"/>
        </w:rPr>
        <w:t>Kundu et al.</w:t>
      </w:r>
      <w:r w:rsidR="00580559">
        <w:rPr>
          <w:rFonts w:ascii="Arial" w:hAnsi="Arial" w:cs="Arial"/>
        </w:rPr>
        <w:t>,</w:t>
      </w:r>
      <w:r w:rsidR="00580559" w:rsidRPr="00C21605">
        <w:rPr>
          <w:rFonts w:ascii="Arial" w:hAnsi="Arial" w:cs="Arial"/>
        </w:rPr>
        <w:t xml:space="preserve"> 2020</w:t>
      </w:r>
      <w:r w:rsidR="00580559">
        <w:rPr>
          <w:rFonts w:ascii="Arial" w:hAnsi="Arial" w:cs="Arial"/>
        </w:rPr>
        <w:t xml:space="preserve">; </w:t>
      </w:r>
      <w:r w:rsidRPr="00C21605">
        <w:rPr>
          <w:rFonts w:ascii="Arial" w:hAnsi="Arial" w:cs="Arial"/>
        </w:rPr>
        <w:t>Rutkowska et al.</w:t>
      </w:r>
      <w:r w:rsidR="00580559">
        <w:rPr>
          <w:rFonts w:ascii="Arial" w:hAnsi="Arial" w:cs="Arial"/>
        </w:rPr>
        <w:t>,</w:t>
      </w:r>
      <w:r w:rsidRPr="00C21605">
        <w:rPr>
          <w:rFonts w:ascii="Arial" w:hAnsi="Arial" w:cs="Arial"/>
        </w:rPr>
        <w:t xml:space="preserve"> 2024; </w:t>
      </w:r>
      <w:r w:rsidR="00580559" w:rsidRPr="00C21605">
        <w:rPr>
          <w:rFonts w:ascii="Arial" w:hAnsi="Arial" w:cs="Arial"/>
        </w:rPr>
        <w:t>Wang et al.</w:t>
      </w:r>
      <w:r w:rsidR="00580559">
        <w:rPr>
          <w:rFonts w:ascii="Arial" w:hAnsi="Arial" w:cs="Arial"/>
        </w:rPr>
        <w:t>,</w:t>
      </w:r>
      <w:r w:rsidR="00580559" w:rsidRPr="00C21605">
        <w:rPr>
          <w:rFonts w:ascii="Arial" w:hAnsi="Arial" w:cs="Arial"/>
        </w:rPr>
        <w:t xml:space="preserve"> 2024</w:t>
      </w:r>
      <w:r w:rsidRPr="00C21605">
        <w:rPr>
          <w:rFonts w:ascii="Arial" w:hAnsi="Arial" w:cs="Arial"/>
        </w:rPr>
        <w:t>) crop rotation using high phytolith-producing plants such as rice, wheat, and maize (Song et al.</w:t>
      </w:r>
      <w:r w:rsidR="00580559">
        <w:rPr>
          <w:rFonts w:ascii="Arial" w:hAnsi="Arial" w:cs="Arial"/>
        </w:rPr>
        <w:t>,</w:t>
      </w:r>
      <w:r w:rsidRPr="00C21605">
        <w:rPr>
          <w:rFonts w:ascii="Arial" w:hAnsi="Arial" w:cs="Arial"/>
        </w:rPr>
        <w:t xml:space="preserve"> 2013). Further, controlling soil pH can increase silica availability for uptake by plants, thereby increasing phytolith formation and phytolith carbon sequestration (Huang et al.</w:t>
      </w:r>
      <w:r w:rsidR="00580559">
        <w:rPr>
          <w:rFonts w:ascii="Arial" w:hAnsi="Arial" w:cs="Arial"/>
        </w:rPr>
        <w:t>,</w:t>
      </w:r>
      <w:r w:rsidRPr="00C21605">
        <w:rPr>
          <w:rFonts w:ascii="Arial" w:hAnsi="Arial" w:cs="Arial"/>
        </w:rPr>
        <w:t xml:space="preserve"> 2020). Addition of organic matter improves soil structure and nutrient availability, leading to high phytolith production (Shakoor et al., 2014).</w:t>
      </w:r>
    </w:p>
    <w:p w:rsidR="00C21605" w:rsidRPr="00C21605" w:rsidRDefault="00C21605" w:rsidP="00C21605">
      <w:pPr>
        <w:pStyle w:val="Body"/>
        <w:spacing w:after="0"/>
        <w:rPr>
          <w:rFonts w:ascii="Arial" w:hAnsi="Arial" w:cs="Arial"/>
        </w:rPr>
      </w:pPr>
    </w:p>
    <w:p w:rsidR="00C21605" w:rsidRPr="00C21605" w:rsidRDefault="00C21605" w:rsidP="00C21605">
      <w:pPr>
        <w:pStyle w:val="Body"/>
        <w:spacing w:after="0"/>
        <w:rPr>
          <w:rFonts w:ascii="Arial" w:hAnsi="Arial" w:cs="Arial"/>
          <w:b/>
          <w:sz w:val="22"/>
          <w:szCs w:val="22"/>
        </w:rPr>
      </w:pPr>
      <w:r>
        <w:rPr>
          <w:rFonts w:ascii="Arial" w:hAnsi="Arial" w:cs="Arial"/>
          <w:b/>
          <w:sz w:val="22"/>
          <w:szCs w:val="22"/>
        </w:rPr>
        <w:t xml:space="preserve">8. </w:t>
      </w:r>
      <w:r w:rsidRPr="00C21605">
        <w:rPr>
          <w:rFonts w:ascii="Arial" w:hAnsi="Arial" w:cs="Arial"/>
          <w:b/>
          <w:sz w:val="22"/>
          <w:szCs w:val="22"/>
        </w:rPr>
        <w:t xml:space="preserve">ECOLOGICAL AND CLIMATE MITIGATION </w:t>
      </w:r>
      <w:commentRangeStart w:id="5"/>
      <w:r w:rsidRPr="00C21605">
        <w:rPr>
          <w:rFonts w:ascii="Arial" w:hAnsi="Arial" w:cs="Arial"/>
          <w:b/>
          <w:sz w:val="22"/>
          <w:szCs w:val="22"/>
        </w:rPr>
        <w:t>IMPLICATIONS</w:t>
      </w:r>
      <w:commentRangeEnd w:id="5"/>
      <w:r w:rsidR="00791B24">
        <w:rPr>
          <w:rStyle w:val="CommentReference"/>
          <w:rFonts w:ascii="Times New Roman" w:hAnsi="Times New Roman"/>
          <w:lang w:val="nb-NO" w:eastAsia="nb-NO"/>
        </w:rPr>
        <w:commentReference w:id="5"/>
      </w:r>
    </w:p>
    <w:p w:rsidR="00C21605" w:rsidRPr="00C21605" w:rsidRDefault="00C21605" w:rsidP="00C21605">
      <w:pPr>
        <w:pStyle w:val="Body"/>
        <w:spacing w:after="0"/>
        <w:rPr>
          <w:rFonts w:ascii="Arial" w:hAnsi="Arial" w:cs="Arial"/>
        </w:rPr>
      </w:pPr>
    </w:p>
    <w:p w:rsidR="00C21605" w:rsidRPr="00C21605" w:rsidRDefault="00C21605" w:rsidP="00C21605">
      <w:pPr>
        <w:pStyle w:val="Body"/>
        <w:spacing w:after="0"/>
        <w:rPr>
          <w:rFonts w:ascii="Arial" w:hAnsi="Arial" w:cs="Arial"/>
        </w:rPr>
      </w:pPr>
      <w:r w:rsidRPr="00C21605">
        <w:rPr>
          <w:rFonts w:ascii="Arial" w:hAnsi="Arial" w:cs="Arial"/>
        </w:rPr>
        <w:t xml:space="preserve">Phytoliths improve the soil structure and aeration, which help in root growth and improve nutrient uptake by the plants (Ahla </w:t>
      </w:r>
      <w:r w:rsidR="00B42C26">
        <w:rPr>
          <w:rFonts w:ascii="Arial" w:hAnsi="Arial" w:cs="Arial"/>
        </w:rPr>
        <w:t>&amp;</w:t>
      </w:r>
      <w:commentRangeStart w:id="6"/>
      <w:r w:rsidRPr="00C21605">
        <w:rPr>
          <w:rFonts w:ascii="Arial" w:hAnsi="Arial" w:cs="Arial"/>
        </w:rPr>
        <w:t>Swaroop</w:t>
      </w:r>
      <w:commentRangeEnd w:id="6"/>
      <w:r w:rsidR="006339D7">
        <w:rPr>
          <w:rStyle w:val="CommentReference"/>
          <w:rFonts w:ascii="Times New Roman" w:hAnsi="Times New Roman"/>
          <w:lang w:val="nb-NO" w:eastAsia="nb-NO"/>
        </w:rPr>
        <w:commentReference w:id="6"/>
      </w:r>
      <w:r w:rsidRPr="00C21605">
        <w:rPr>
          <w:rFonts w:ascii="Arial" w:hAnsi="Arial" w:cs="Arial"/>
        </w:rPr>
        <w:t>, 2024). Also, the presence of phytolith in soil increases the retention of moisture and nutrients, which ultimately helps in promoting healthier plant growth and higher agricultural yields (Song et al.</w:t>
      </w:r>
      <w:r w:rsidR="00B42C26">
        <w:rPr>
          <w:rFonts w:ascii="Arial" w:hAnsi="Arial" w:cs="Arial"/>
        </w:rPr>
        <w:t>,</w:t>
      </w:r>
      <w:r w:rsidRPr="00C21605">
        <w:rPr>
          <w:rFonts w:ascii="Arial" w:hAnsi="Arial" w:cs="Arial"/>
        </w:rPr>
        <w:t xml:space="preserve"> 2013). Management practices like optimizing cropping systems and proper soil management can increase phytolith carbon sequestration, which in turn helps improve soil health and fertility (Song et al.</w:t>
      </w:r>
      <w:r w:rsidR="00B42C26">
        <w:rPr>
          <w:rFonts w:ascii="Arial" w:hAnsi="Arial" w:cs="Arial"/>
        </w:rPr>
        <w:t>,</w:t>
      </w:r>
      <w:r w:rsidRPr="00C21605">
        <w:rPr>
          <w:rFonts w:ascii="Arial" w:hAnsi="Arial" w:cs="Arial"/>
        </w:rPr>
        <w:t xml:space="preserve"> 2013</w:t>
      </w:r>
      <w:r w:rsidR="00B42C26">
        <w:rPr>
          <w:rFonts w:ascii="Arial" w:hAnsi="Arial" w:cs="Arial"/>
        </w:rPr>
        <w:t xml:space="preserve">; </w:t>
      </w:r>
      <w:r w:rsidR="00B42C26" w:rsidRPr="00C21605">
        <w:rPr>
          <w:rFonts w:ascii="Arial" w:hAnsi="Arial" w:cs="Arial"/>
        </w:rPr>
        <w:t xml:space="preserve">Ahla </w:t>
      </w:r>
      <w:r w:rsidR="00B42C26">
        <w:rPr>
          <w:rFonts w:ascii="Arial" w:hAnsi="Arial" w:cs="Arial"/>
        </w:rPr>
        <w:t>&amp; Swaroop, 2024</w:t>
      </w:r>
      <w:r w:rsidRPr="00C21605">
        <w:rPr>
          <w:rFonts w:ascii="Arial" w:hAnsi="Arial" w:cs="Arial"/>
        </w:rPr>
        <w:t>). Land use practices, such as grazing and tillage, highly influence phytolith-occluded carbon dynamics. For example, in croplands, cutting and tillage can alter phytOC storage more than grazing (</w:t>
      </w:r>
      <w:r w:rsidR="00B42C26" w:rsidRPr="00C21605">
        <w:rPr>
          <w:rFonts w:ascii="Arial" w:hAnsi="Arial" w:cs="Arial"/>
        </w:rPr>
        <w:t>Kundu et al.</w:t>
      </w:r>
      <w:r w:rsidR="00B42C26">
        <w:rPr>
          <w:rFonts w:ascii="Arial" w:hAnsi="Arial" w:cs="Arial"/>
        </w:rPr>
        <w:t>,</w:t>
      </w:r>
      <w:r w:rsidR="00B42C26" w:rsidRPr="00C21605">
        <w:rPr>
          <w:rFonts w:ascii="Arial" w:hAnsi="Arial" w:cs="Arial"/>
        </w:rPr>
        <w:t xml:space="preserve"> 2020</w:t>
      </w:r>
      <w:r w:rsidR="00B42C26">
        <w:rPr>
          <w:rFonts w:ascii="Arial" w:hAnsi="Arial" w:cs="Arial"/>
        </w:rPr>
        <w:t xml:space="preserve">; </w:t>
      </w:r>
      <w:r w:rsidRPr="00C21605">
        <w:rPr>
          <w:rFonts w:ascii="Arial" w:hAnsi="Arial" w:cs="Arial"/>
        </w:rPr>
        <w:t>Cheng et al.</w:t>
      </w:r>
      <w:r w:rsidR="00B42C26">
        <w:rPr>
          <w:rFonts w:ascii="Arial" w:hAnsi="Arial" w:cs="Arial"/>
        </w:rPr>
        <w:t>, 2023</w:t>
      </w:r>
      <w:r w:rsidRPr="00C21605">
        <w:rPr>
          <w:rFonts w:ascii="Arial" w:hAnsi="Arial" w:cs="Arial"/>
        </w:rPr>
        <w:t>). In forests, management practices such as thinning and artificial tending can increase phytOC sequestration (Zheng et al.</w:t>
      </w:r>
      <w:r w:rsidR="00B42C26">
        <w:rPr>
          <w:rFonts w:ascii="Arial" w:hAnsi="Arial" w:cs="Arial"/>
        </w:rPr>
        <w:t>,</w:t>
      </w:r>
      <w:r w:rsidRPr="00C21605">
        <w:rPr>
          <w:rFonts w:ascii="Arial" w:hAnsi="Arial" w:cs="Arial"/>
        </w:rPr>
        <w:t xml:space="preserve"> 2024).</w:t>
      </w:r>
    </w:p>
    <w:p w:rsidR="00C21605" w:rsidRDefault="00C21605" w:rsidP="00C21605">
      <w:pPr>
        <w:pStyle w:val="Body"/>
        <w:spacing w:after="0"/>
        <w:rPr>
          <w:rFonts w:ascii="Arial" w:hAnsi="Arial" w:cs="Arial"/>
        </w:rPr>
      </w:pPr>
    </w:p>
    <w:p w:rsidR="00C21605" w:rsidRPr="00C21605" w:rsidRDefault="006752F9" w:rsidP="00C21605">
      <w:pPr>
        <w:pStyle w:val="Body"/>
        <w:spacing w:after="0"/>
        <w:rPr>
          <w:rFonts w:ascii="Arial" w:hAnsi="Arial" w:cs="Arial"/>
        </w:rPr>
      </w:pPr>
      <w:r>
        <w:rPr>
          <w:rFonts w:ascii="Arial" w:hAnsi="Arial" w:cs="Arial"/>
        </w:rPr>
        <w:t>Phytol</w:t>
      </w:r>
      <w:r w:rsidR="00C21605" w:rsidRPr="00C21605">
        <w:rPr>
          <w:rFonts w:ascii="Arial" w:hAnsi="Arial" w:cs="Arial"/>
        </w:rPr>
        <w:t>ith-occluded carbon improves soil fertility and stability, which helps in ecosystem resilience and biodiversity conservation (Luo et al.</w:t>
      </w:r>
      <w:r w:rsidR="00B42C26">
        <w:rPr>
          <w:rFonts w:ascii="Arial" w:hAnsi="Arial" w:cs="Arial"/>
        </w:rPr>
        <w:t>,</w:t>
      </w:r>
      <w:r w:rsidR="00C21605" w:rsidRPr="00C21605">
        <w:rPr>
          <w:rFonts w:ascii="Arial" w:hAnsi="Arial" w:cs="Arial"/>
        </w:rPr>
        <w:t xml:space="preserve"> 2024). It helps in climate change mitigation efforts by supporting the carbon cycle (Kundu et al.</w:t>
      </w:r>
      <w:r w:rsidR="00B42C26">
        <w:rPr>
          <w:rFonts w:ascii="Arial" w:hAnsi="Arial" w:cs="Arial"/>
        </w:rPr>
        <w:t>,</w:t>
      </w:r>
      <w:r w:rsidR="00C21605" w:rsidRPr="00C21605">
        <w:rPr>
          <w:rFonts w:ascii="Arial" w:hAnsi="Arial" w:cs="Arial"/>
        </w:rPr>
        <w:t xml:space="preserve"> 2020). There are challenges in accurately estimating phytOC storage, and its complex interaction within the ecosystems. Besides the benefits, there are challenges like economic constraints and policy support that would limit the widespread adoption of phytolith carbon sequestering strategies.</w:t>
      </w:r>
    </w:p>
    <w:p w:rsidR="00C21605" w:rsidRPr="00C21605" w:rsidRDefault="00C21605" w:rsidP="00C21605">
      <w:pPr>
        <w:pStyle w:val="Body"/>
        <w:spacing w:after="0"/>
        <w:rPr>
          <w:rFonts w:ascii="Arial" w:hAnsi="Arial" w:cs="Arial"/>
        </w:rPr>
      </w:pPr>
    </w:p>
    <w:p w:rsidR="00C21605" w:rsidRPr="00C21605" w:rsidRDefault="00C21605" w:rsidP="00C21605">
      <w:pPr>
        <w:pStyle w:val="Body"/>
        <w:spacing w:after="0"/>
        <w:rPr>
          <w:rFonts w:ascii="Arial" w:hAnsi="Arial" w:cs="Arial"/>
          <w:b/>
          <w:sz w:val="22"/>
          <w:szCs w:val="22"/>
        </w:rPr>
      </w:pPr>
      <w:r w:rsidRPr="00C21605">
        <w:rPr>
          <w:rFonts w:ascii="Arial" w:hAnsi="Arial" w:cs="Arial"/>
          <w:b/>
          <w:sz w:val="22"/>
          <w:szCs w:val="22"/>
        </w:rPr>
        <w:t xml:space="preserve">9. </w:t>
      </w:r>
      <w:commentRangeStart w:id="7"/>
      <w:r w:rsidRPr="00C21605">
        <w:rPr>
          <w:rFonts w:ascii="Arial" w:hAnsi="Arial" w:cs="Arial"/>
          <w:b/>
          <w:sz w:val="22"/>
          <w:szCs w:val="22"/>
        </w:rPr>
        <w:t>CONCLUSION</w:t>
      </w:r>
      <w:commentRangeEnd w:id="7"/>
      <w:r w:rsidR="00791B24">
        <w:rPr>
          <w:rStyle w:val="CommentReference"/>
          <w:rFonts w:ascii="Times New Roman" w:hAnsi="Times New Roman"/>
          <w:lang w:val="nb-NO" w:eastAsia="nb-NO"/>
        </w:rPr>
        <w:commentReference w:id="7"/>
      </w:r>
    </w:p>
    <w:p w:rsidR="00C21605" w:rsidRDefault="00C21605" w:rsidP="00C21605">
      <w:pPr>
        <w:pStyle w:val="Body"/>
        <w:spacing w:after="0"/>
        <w:rPr>
          <w:rFonts w:ascii="Arial" w:hAnsi="Arial" w:cs="Arial"/>
        </w:rPr>
      </w:pPr>
    </w:p>
    <w:p w:rsidR="00A65146" w:rsidRDefault="00C21605" w:rsidP="00C21605">
      <w:pPr>
        <w:pStyle w:val="Body"/>
        <w:spacing w:after="0"/>
        <w:rPr>
          <w:rFonts w:ascii="Arial" w:hAnsi="Arial" w:cs="Arial"/>
        </w:rPr>
      </w:pPr>
      <w:r w:rsidRPr="00C21605">
        <w:rPr>
          <w:rFonts w:ascii="Arial" w:hAnsi="Arial" w:cs="Arial"/>
        </w:rPr>
        <w:t>PhytOC is resilient to decomposition, making it a promising long-term carbon sequestration strategy in mitigation of climate change (Huang et al.</w:t>
      </w:r>
      <w:r w:rsidR="00B42C26">
        <w:rPr>
          <w:rFonts w:ascii="Arial" w:hAnsi="Arial" w:cs="Arial"/>
        </w:rPr>
        <w:t>,</w:t>
      </w:r>
      <w:r w:rsidRPr="00C21605">
        <w:rPr>
          <w:rFonts w:ascii="Arial" w:hAnsi="Arial" w:cs="Arial"/>
        </w:rPr>
        <w:t xml:space="preserve"> 2014; Zhao et al.</w:t>
      </w:r>
      <w:r w:rsidR="00B42C26">
        <w:rPr>
          <w:rFonts w:ascii="Arial" w:hAnsi="Arial" w:cs="Arial"/>
        </w:rPr>
        <w:t>,</w:t>
      </w:r>
      <w:r w:rsidRPr="00C21605">
        <w:rPr>
          <w:rFonts w:ascii="Arial" w:hAnsi="Arial" w:cs="Arial"/>
        </w:rPr>
        <w:t xml:space="preserve"> 2016). Further, bamboo forests can significantly trap atmospheric CO</w:t>
      </w:r>
      <w:r w:rsidRPr="00C21605">
        <w:rPr>
          <w:rFonts w:ascii="Cambria Math" w:hAnsi="Cambria Math" w:cs="Cambria Math"/>
        </w:rPr>
        <w:t>₂</w:t>
      </w:r>
      <w:r w:rsidRPr="00C21605">
        <w:rPr>
          <w:rFonts w:ascii="Arial" w:hAnsi="Arial" w:cs="Arial"/>
        </w:rPr>
        <w:t>, revealing their potential in the mitigation of climate change (Cheng et al.</w:t>
      </w:r>
      <w:r w:rsidR="00B42C26">
        <w:rPr>
          <w:rFonts w:ascii="Arial" w:hAnsi="Arial" w:cs="Arial"/>
        </w:rPr>
        <w:t>,</w:t>
      </w:r>
      <w:r w:rsidRPr="00C21605">
        <w:rPr>
          <w:rFonts w:ascii="Arial" w:hAnsi="Arial" w:cs="Arial"/>
        </w:rPr>
        <w:t xml:space="preserve"> 2023).</w:t>
      </w:r>
      <w:r w:rsidR="00B42C26">
        <w:rPr>
          <w:rFonts w:ascii="Arial" w:hAnsi="Arial" w:cs="Arial"/>
        </w:rPr>
        <w:t xml:space="preserve"> These findings highlight the importance of phytolith carbon and bamboo forest management as effective strategies for enhancing long-term carbon storage and mitigating climate change.</w:t>
      </w:r>
    </w:p>
    <w:p w:rsidR="00C21605" w:rsidRDefault="00C21605" w:rsidP="00C21605">
      <w:pPr>
        <w:pStyle w:val="Body"/>
        <w:spacing w:after="0"/>
        <w:rPr>
          <w:rFonts w:ascii="Arial" w:hAnsi="Arial" w:cs="Arial"/>
        </w:rPr>
      </w:pPr>
    </w:p>
    <w:p w:rsidR="002B685A" w:rsidRDefault="002B685A"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73348" w:rsidRPr="00FB3A86" w:rsidRDefault="00773348" w:rsidP="00773348">
      <w:pPr>
        <w:pStyle w:val="ReferHead"/>
        <w:spacing w:after="0"/>
        <w:jc w:val="both"/>
        <w:rPr>
          <w:rFonts w:ascii="Arial" w:hAnsi="Arial" w:cs="Arial"/>
        </w:rPr>
      </w:pPr>
    </w:p>
    <w:p w:rsid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Ahla, K., &amp; Swaroop, R. (2024). Phytolith-Mediated Biocarbon Sequestration. International Journal of Plant &amp; Soil Science, 36(10), 665-677. https://doi.org/10.9734/ijpss/2024/v36i105139</w:t>
      </w:r>
    </w:p>
    <w:p w:rsid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Blinnikov, M. S., Yost, C. L. (2025). Phytoliths. In Elias, S. (Ed.) Encyclopedia of Quaternary Science (Third edition), Elsevier (3rd edition), Pages 434-451. https://doi.org/10.1016/B978-0-323-99931-1.00097-0</w:t>
      </w:r>
    </w:p>
    <w:p w:rsid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Cabanes, D. (2020). Phytolith Analysis in Paleoecology and Archaeology. In Henry, A.G. (eds) Handbook for the Analysis of Micro-Particles in Archaeological Samples. Interdisciplinary Contributions to Archaeology. Springer, Cham., Pages 255-288. https://doi.org/10.1007/978-3-030-42622-4_11</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Cheng, X., Lv, H., Liu, S., Li, C., Li, P., Zhou, Y., ... &amp; Zhou, G. (2023). The phytolith carbon sequestration in terrestrial ecosystems: the underestimated potential of bamboo forest. Ecological Processes, 12(1), </w:t>
      </w:r>
      <w:commentRangeStart w:id="8"/>
      <w:r w:rsidRPr="00773348">
        <w:rPr>
          <w:rFonts w:ascii="Arial" w:hAnsi="Arial" w:cs="Arial"/>
          <w:color w:val="222222"/>
          <w:shd w:val="clear" w:color="auto" w:fill="FFFFFF"/>
        </w:rPr>
        <w:t>62</w:t>
      </w:r>
      <w:commentRangeEnd w:id="8"/>
      <w:r w:rsidR="006339D7">
        <w:rPr>
          <w:rStyle w:val="CommentReference"/>
          <w:rFonts w:ascii="Times New Roman" w:hAnsi="Times New Roman"/>
          <w:lang w:val="nb-NO" w:eastAsia="nb-NO"/>
        </w:rPr>
        <w:commentReference w:id="8"/>
      </w:r>
      <w:r w:rsidRPr="00773348">
        <w:rPr>
          <w:rFonts w:ascii="Arial" w:hAnsi="Arial" w:cs="Arial"/>
          <w:color w:val="222222"/>
          <w:shd w:val="clear" w:color="auto" w:fill="FFFFFF"/>
        </w:rPr>
        <w:t xml:space="preserve">. </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de Tombeur, F., Cornelis, J. T., Laliberté, E., Lambers, H., Mahy, G., Faucon, M. P., &amp; Turner, B. L. (2021). Impact of ecosystem water balance and soil parent material on silicon dynamics: insights from three long-term chronosequences. Biogeochemistry, 156(3), 335-350. https://doi.org/10.1007/s10533-021-00849-w</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de Tombeur, F., Hodson, M. J., Saunders, M., &amp;Clode, P. L. (2024). How important is carbon sequestration in phytoliths within the soil? Plant Soil. 505: 185-198. https://doi.org/10.1007/s11104-024-06700-z</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Flexas, J., Barbour, M. M., Brendel, O., Cabrera, H. M., Carriquí, M., Díaz-Espejo, A., ... &amp; Warren, C. R. (2012). Mesophyll diffusion conductance to CO2: an unappreciated central player in photosynthesis. Plant Science, 193, 70-84.</w:t>
      </w: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https://doi.org/10.1186/s13717-023-00476-3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Huang, C., Wang, L., Gong, X., Huang, Z., Zhou, M., Li, J., ... &amp; Jiang, P. (2020). Silicon fertilizer and biochar effects on plant and soil PhytOC concentration and soil PhytOC stability and fractionation in subtropical bamboo plantations. Science of The Total Environment, 715, 136846. https://doi.org/10.1016/j.scitotenv.2020.136846</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Huang, Z. T., Li, Y. F., Jiang, P. K., Chang, S. X., Song, Z. L., Liu, J., &amp; Zhou, G. M. (2014). Long-term intensive management increased carbon occluded in phytolith (PhytOC) in bamboo forest soils. Scientific reports, 4(1), 3602.</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Jansson, C., Wullschleger, S. D., Kalluri, U. C., &amp; Tuskan, G. A. (2010). Phytosequestration: carbon biosequestration by plants and the prospects of genetic engineering. Bioscience, 60(9), 685-696. https://doi.org/10.1525/BIO.2010.60.9.6</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Karmakar, M., Biswas, R., Mukherjee, B., Biswas, O., Naskar, M., Paruya, D. K., ... &amp; Bera, S. (2024). Chloridoideae grass phytoliths can distinguish two different rainfall zones: A case study from northern parts of Western Ghats, India. Quaternary International, 681, 11-23.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Kaur, R., Kaur, N., Kumar, S., Dass, A., &amp; Singh, T. (2023). Carbon capture and sequestration for sustainable land use – A review. Indian Journal of Agricultural Sciences, 93(1): 11-18. https://doi.org/10.56093/ijas.v93i1.124838</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Koebernick, N., Mikutta, R., Kaiser, K., Klotzbücher, A., Nguyen, A. T., Nguyen, M. N., &amp;Klotzbücher, T. (2024). Controls on phytolith stability upon exposure in paddy soils. Geoderma, 443, 116821. https://doi.org/10.1016/j.geoderma.2024.116821</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Kundu, S., Rajendiran, S., Coumar, M. V., Ajay (2020). Effect of Land Use and Management Practices on Quantifying Changes of Phytolith-Occluded Carbon in Arable Soils. In Ghosh, P., Mahanta, S., Mandal, D., Mandal, B., Ramakrishnan, S. (eds) Carbon Management in Tropical and Sub-Tropical Terrestrial Systems. Springer, Singapore. Pages 37-55. https://doi.org/10.1007/978-981-13-9628-1_3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Lefvert, A., &amp; Grönkvist, S. (2024). Lost in the scenarios of negative emissions: The role of bioenergy with carbon capture and storage (BECCS). Energy Policy, 184, 113882. https://doi.org/10.1016/j.enpol.2023.113882</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Li, Z., Song, Z., &amp; Jiang, P. (2013). Biogeochemical sequestration of carbon within phytoliths of wetland plants: a case study of Xixi wetland, China. Chinese Science Bulletin, 58(20), 2480-2487.  https://doi.org/10.1007/s11434-013-5785-3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Lisztes-Szabo, Z., Braun, M., Csík, A., &amp; Pető, Á. (2019). Phytoliths of six woody species important in the Carpathians: characteristic phytoliths in Norway spruce needles. Vegetation History and Archaeobotany, 28(6), 649-662. https://doi.org/10.1007/S00334-019-00720-X</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Liu, L., Jie, D., Liu, H., Gao, G., Gao, Z., Li, D., ... &amp; Guo, J. (2016). Response of phytoliths in Phragmites australis to environmental factors in northeast China. Ecological Engineering, 92, 119-131. http://dx.doi.org/10.1016/j.ecoleng.2016.03.027</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Luo, M., Wang, L., Liu, L., Song, L., Lu, X., &amp; Sheng, M. (2024). PhytOC sequestration characteristics and phytolith carbon sink capacity of the karst grasslands in southwest China. Science of The Total Environment, 955, 176949. https://doi.org/10.1016/j.scitotenv.2024.176949</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Morgan-Edel, K. D., Boston, P. J., Spilde, M. N., &amp; Reynolds, R. E. (2015). Phytoliths (plant-derived mineral bodies) as geobiological and climatic indicators in arid environments. New Mexico Geology, 37(1), 3-20.</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Nawaz, M. A., Zakharenko, A. M., Zemchenko, I. V., Haider, M. S., Ali, M. A., Imtiaz, M., ... &amp;Golokhvast, K. S. (2019). Phytolith formation in plants: from soil to cell. Plants, 8(8), 249. https://doi.org/10.3390/plants8080249</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Nguyen, M. N., Meharg, A. A., Carey, M., Dultz, S., Marone, F., Cichy, S. B., ... &amp; Nguyen, T. T. (2019). Fern, Dicranopterislinearis, derived phytoliths in soil: Morphotypes, solubility and content in relation to soil properties. European Journal of Soil Science, 70(3), 507-517. https://doi.org/10.1111/ejss.12754</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Ozkan, M. (2025). Atmospheric alchemy: The energy and cost dynamics of direct air carbon capture. MRS Energy &amp; Sustainability, 12(1), 46-61. https://doi.org/10.1557/s43581-024-00091-5</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Pandao, M. R., Jejal, A. D., Shukla, E. P., Prabhumitrareddy, S., Rout, S., Baral, K., &amp;Bhadani, M. (2023). Unlocking the benefits of carbon sequestration for enhancing soil health. Int J Environ Clim Change, 13(12), 1349-1359. https://doi.org/10.9734/ijecc/2023/v13i123803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Parr, J. F., &amp; Sullivan, L. A. (2005). Soil carbon sequestration in phytoliths. Soil Biology &amp; Biochemistry, 37(1), 117–124. https://doi.org/10.1016/J.SOILBIO.2004.06.013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Pasquier, B., Matear, R. J., Chamberlain, M. A., Ziehn, T., Hutchinson, D. K., Primeau, F. W., ... &amp; Bardin, A. (2025). The sequestration efficiency of the deep ocean. Geophysical Research Letters, 52(18), e2025GL116799. https://doi.org/10.1029/2025GL116799</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Patil, P., Deepika, J. T., Saniga, N. S., Kumar, S., Tejaswini, R., Siddiqua, A., &amp; Behera, H. S. (2024). Harnessing Earth’s Green Guardians: Exploring Carbon Sequestration in Agricultural Practices. International Journal of Environment and Climate Change, 14(6), 86-104. https://doi.org/10.9734/ijecc/2024/v14i64213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Prajapati, K., Rajendiran, S., Coumar, V., Dotaniya, M. L., Kumar, A., &amp; Kundu, S. (2016). Carbon occlusion potential of rice phytoliths: implications for global carbon cycle and climate change mitigation. Applied Ecology and Environmental Research, 14(2), 265–281. https://doi.org/10.15666/aeer/1402_265281</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Rutkowska, B., Schröder, P., Mench, M., Rineau, F., Szulc, W., Szulc, W., ... &amp; Loit, E. (2024). Role of phytolith occluded carbon of cereales plants for climate change mitigation. Journal of Water and Land Development, (60), 50-58. https://doi.org/10.24425/jwld.2023.148459</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Schmidt, M. W., Torn, M. S., Abiven, S., Dittmar, T., Guggenberger, G., Janssens, I. A., ... &amp; Trumbore, S. E. (2011). Persistence of soil organic matter as an ecosystem property. Nature, 478(7367), 49-56.</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Shakoor, S. A., Bhat, M. A., &amp; Mir, S. H. (2014). Phytoliths in Plants: A Review. Research &amp; Reviews: Journal of Botanical Sciences, 3(3), 10–24. </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Siddique, K. H., Bolan, N., Rehman, A., &amp; Farooq, M. (2024). Enhancing crop productivity for recarbonizing soil. Soil and Tillage Research, 235, 105863. https://doi.org/10.1016/j.still.2023.105863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Solomonova, M. Y., Blinnikov, M. S., Silantyeva, M. M., &amp;Speranskaja, N. Y. (2019). Influence of moisture and temperature regimes on the phytolith assemblage composition of mountain ecosystems of the mid latitudes: a case study from the Altay Mountains. Frontiers in Ecology and Evolution, 7, 2. https://doi.org/10.3389/fevo.2019.00002</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Song, Z., Liu, H., Li, B., &amp; Yang, X. (2013). The production of phytolith-occluded carbon in China’s forests: implications to biogeochemical carbon sequestration. Global Change Biology, 19(9), 2907–2915. https://doi.org/10.1111/gcb.12275</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Thakur, A., &amp; Pillai, A. K. S. (2024). Carbon dioxide sequestration, conversion and utilization. In Kulkarni, N. V., Kharissov, B. I. (eds), Handbook of Emerging Materials for Sustainable Energy, Elsevier, Pages 571–589. https://doi.org/10.1016/b978-0-323-96125-7.00031-9</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Wang, F., Zhu, F., Li, Y., Liu, D.-Z., Qu, Y.-Y., Qin, Y., Wang, Y., Wang, W., Xie, J., &amp; Fang, Y. (2024). Effect of enhanced silicate minerals weathering on carbon sequestration by plant-soil systems in rice fields. Chinese Journal of Applied Ecology, 35(10), 2733–2743. https://doi.org/10.13287/j.1001-9332.202410.017</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Wang, L., &amp; Sheng, M. (2022). Phytolith occluded organic carbon in Fagopyrum (Polygonaceae) plants: Insights on the carbon sink potential of cultivated buckwheat planting. Frontiers in Plant Science, 13: 1014980. https://doi.org/10.3389/fpls.2022.1014980</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Yang, Y., Wang, F., Jin, J., Hu, S., &amp; Gao, Y. (2019). Carbon storage potential and seasonal dynamics of phytolith from different vegetation types in a subtropical region, China. Environmental Science and Pollution Research, 26(29), 29834–29844. https://doi.org/10.1007/S11356-019-06143-5</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Zhang, X., Song, Z., McGrouther, K., Li, J., Li, Z., Ru, N., &amp; Wang, H. (2016). The impact of different forest types on phytolith-occluded carbon accumulation in subtropical forest soils. Journal of soils and sediments, 16(2), 461-466. https://doi.org/10.1007/s11368-015-1259-3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Zhao, Y., Song, Z., Xu, X., Liu, H., Wu, X., Li, Z., Guo, F., &amp; Pan, W. (2016). Nitrogen application increases phytolith carbon sequestration in degraded grasslands of North China. Ecological Research, 31(1), 117–123. https://doi.org/10.1007/S11284-015-1320-0</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Zheng, X., Sheng, M., Zhang, Y., Gong, Z., &amp; Wang, L. (2024). PhytOC sequestration characteristics and phytolith carbon sink potential of karst Masson pine forest in southern China. Science of the Total Environment, 913, 169688. https://doi.org/10.1016/j.scitotenv.2023.169688</w:t>
      </w:r>
    </w:p>
    <w:p w:rsidR="00773348" w:rsidRPr="00773348" w:rsidRDefault="00773348" w:rsidP="00773348">
      <w:pPr>
        <w:pStyle w:val="Body"/>
        <w:spacing w:after="0"/>
        <w:rPr>
          <w:rFonts w:ascii="Arial" w:hAnsi="Arial" w:cs="Arial"/>
          <w:color w:val="222222"/>
          <w:shd w:val="clear" w:color="auto" w:fill="FFFFFF"/>
        </w:rPr>
      </w:pPr>
    </w:p>
    <w:p w:rsid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Zhu, X., Long, Y., &amp; Zhang, H. (2025). Impact of carbon policies on forest carbon sequestration supply at intensive and extensive margins. Forest Policy and Economics, 181, 103665. https://doi.org/10.1016/j.forpol.2025.103665</w:t>
      </w:r>
    </w:p>
    <w:sectPr w:rsidR="00773348" w:rsidSect="00AC4A59">
      <w:type w:val="continuous"/>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cer" w:date="2026-02-10T11:08:00Z" w:initials="a">
    <w:p w:rsidR="00791B24" w:rsidRPr="00791B24" w:rsidRDefault="00791B24" w:rsidP="0028290E">
      <w:pPr>
        <w:pStyle w:val="Body"/>
        <w:spacing w:after="0"/>
        <w:jc w:val="left"/>
        <w:rPr>
          <w:rFonts w:ascii="Times New Roman" w:hAnsi="Times New Roman"/>
        </w:rPr>
      </w:pPr>
      <w:r>
        <w:rPr>
          <w:rStyle w:val="CommentReference"/>
        </w:rPr>
        <w:annotationRef/>
      </w:r>
      <w:r w:rsidR="0028290E">
        <w:rPr>
          <w:rFonts w:ascii="Times New Roman" w:hAnsi="Times New Roman"/>
        </w:rPr>
        <w:t>The manuscript requires additional details, pictorial representations and inclusion of key missing points and practical aspects to enhance its overall quality.</w:t>
      </w:r>
    </w:p>
    <w:p w:rsidR="00791B24" w:rsidRPr="00791B24" w:rsidRDefault="00791B24" w:rsidP="0028290E">
      <w:pPr>
        <w:pStyle w:val="CommentText"/>
      </w:pPr>
    </w:p>
  </w:comment>
  <w:comment w:id="1" w:author="acer" w:date="2026-02-10T10:36:00Z" w:initials="a">
    <w:p w:rsidR="00CA764F" w:rsidRDefault="00CA764F">
      <w:pPr>
        <w:pStyle w:val="CommentText"/>
      </w:pPr>
      <w:r>
        <w:rPr>
          <w:rStyle w:val="CommentReference"/>
        </w:rPr>
        <w:annotationRef/>
      </w:r>
      <w:r>
        <w:t>space</w:t>
      </w:r>
    </w:p>
  </w:comment>
  <w:comment w:id="2" w:author="acer" w:date="2026-02-10T10:47:00Z" w:initials="a">
    <w:p w:rsidR="006339D7" w:rsidRDefault="006339D7">
      <w:pPr>
        <w:pStyle w:val="CommentText"/>
      </w:pPr>
      <w:r>
        <w:rPr>
          <w:rStyle w:val="CommentReference"/>
        </w:rPr>
        <w:annotationRef/>
      </w:r>
      <w:r>
        <w:t>detailed explanation with graphical abstract</w:t>
      </w:r>
    </w:p>
  </w:comment>
  <w:comment w:id="3" w:author="acer" w:date="2026-02-10T11:09:00Z" w:initials="a">
    <w:p w:rsidR="0028290E" w:rsidRDefault="0028290E">
      <w:pPr>
        <w:pStyle w:val="CommentText"/>
      </w:pPr>
      <w:r>
        <w:rPr>
          <w:rStyle w:val="CommentReference"/>
        </w:rPr>
        <w:annotationRef/>
      </w:r>
      <w:r>
        <w:t>explain in details and focus on the main content of the sub head</w:t>
      </w:r>
    </w:p>
  </w:comment>
  <w:comment w:id="4" w:author="acer" w:date="2026-02-10T11:00:00Z" w:initials="a">
    <w:p w:rsidR="00791B24" w:rsidRDefault="00791B24">
      <w:pPr>
        <w:pStyle w:val="CommentText"/>
      </w:pPr>
      <w:r>
        <w:rPr>
          <w:rStyle w:val="CommentReference"/>
        </w:rPr>
        <w:annotationRef/>
      </w:r>
      <w:r>
        <w:t>please give management practices in points and add flow chart or diagrams for overview purpose.</w:t>
      </w:r>
    </w:p>
  </w:comment>
  <w:comment w:id="5" w:author="acer" w:date="2026-02-10T10:56:00Z" w:initials="a">
    <w:p w:rsidR="00791B24" w:rsidRDefault="00791B24">
      <w:pPr>
        <w:pStyle w:val="CommentText"/>
      </w:pPr>
      <w:r>
        <w:rPr>
          <w:rStyle w:val="CommentReference"/>
        </w:rPr>
        <w:annotationRef/>
      </w:r>
      <w:r>
        <w:t>can be improved by adding various processes, equations with respect to  sustainability area.</w:t>
      </w:r>
    </w:p>
  </w:comment>
  <w:comment w:id="6" w:author="acer" w:date="2026-02-10T10:55:00Z" w:initials="a">
    <w:p w:rsidR="006339D7" w:rsidRDefault="006339D7">
      <w:pPr>
        <w:pStyle w:val="CommentText"/>
      </w:pPr>
      <w:r>
        <w:rPr>
          <w:rStyle w:val="CommentReference"/>
        </w:rPr>
        <w:annotationRef/>
      </w:r>
      <w:r w:rsidR="00791B24">
        <w:t>space</w:t>
      </w:r>
    </w:p>
  </w:comment>
  <w:comment w:id="7" w:author="acer" w:date="2026-02-10T10:59:00Z" w:initials="a">
    <w:p w:rsidR="00791B24" w:rsidRDefault="00791B24">
      <w:pPr>
        <w:pStyle w:val="CommentText"/>
      </w:pPr>
      <w:r>
        <w:rPr>
          <w:rStyle w:val="CommentReference"/>
        </w:rPr>
        <w:annotationRef/>
      </w:r>
      <w:r>
        <w:t xml:space="preserve">please rewrite the conclusion according to the article and add future pathway. </w:t>
      </w:r>
    </w:p>
  </w:comment>
  <w:comment w:id="8" w:author="acer" w:date="2026-02-10T10:53:00Z" w:initials="a">
    <w:p w:rsidR="006339D7" w:rsidRDefault="006339D7">
      <w:pPr>
        <w:pStyle w:val="CommentText"/>
      </w:pPr>
      <w:r>
        <w:rPr>
          <w:rStyle w:val="CommentReference"/>
        </w:rPr>
        <w:annotationRef/>
      </w:r>
      <w:r>
        <w:t>check reference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D32" w:rsidRDefault="004A6D32" w:rsidP="00C37E61">
      <w:r>
        <w:separator/>
      </w:r>
    </w:p>
  </w:endnote>
  <w:endnote w:type="continuationSeparator" w:id="1">
    <w:p w:rsidR="004A6D32" w:rsidRDefault="004A6D32"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A8" w:rsidRDefault="00F96E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745362" w:rsidRDefault="00C37E61" w:rsidP="007453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D32" w:rsidRDefault="004A6D32" w:rsidP="00C37E61">
      <w:r>
        <w:separator/>
      </w:r>
    </w:p>
  </w:footnote>
  <w:footnote w:type="continuationSeparator" w:id="1">
    <w:p w:rsidR="004A6D32" w:rsidRDefault="004A6D32"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A8" w:rsidRDefault="004F1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93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A8" w:rsidRDefault="004F1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93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4F19F2" w:rsidP="00296529">
    <w:pPr>
      <w:ind w:left="2160"/>
      <w:jc w:val="center"/>
      <w:rPr>
        <w:rFonts w:ascii="Times New Roman" w:eastAsia="Calibri" w:hAnsi="Times New Roman"/>
        <w:i/>
        <w:sz w:val="18"/>
        <w:szCs w:val="22"/>
      </w:rPr>
    </w:pPr>
    <w:r w:rsidRPr="004F19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93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127CE"/>
    <w:rsid w:val="00030174"/>
    <w:rsid w:val="0004579C"/>
    <w:rsid w:val="000A47FA"/>
    <w:rsid w:val="000A65D3"/>
    <w:rsid w:val="000B1E33"/>
    <w:rsid w:val="000D689F"/>
    <w:rsid w:val="000E7B7B"/>
    <w:rsid w:val="000E7D62"/>
    <w:rsid w:val="000F0C31"/>
    <w:rsid w:val="00103357"/>
    <w:rsid w:val="00123C9F"/>
    <w:rsid w:val="00126190"/>
    <w:rsid w:val="00130F17"/>
    <w:rsid w:val="001320BF"/>
    <w:rsid w:val="00132355"/>
    <w:rsid w:val="00163BC4"/>
    <w:rsid w:val="00174B07"/>
    <w:rsid w:val="00191062"/>
    <w:rsid w:val="00192B72"/>
    <w:rsid w:val="00194734"/>
    <w:rsid w:val="00196369"/>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290E"/>
    <w:rsid w:val="00283105"/>
    <w:rsid w:val="00284C4C"/>
    <w:rsid w:val="00287E68"/>
    <w:rsid w:val="00296529"/>
    <w:rsid w:val="002B27FB"/>
    <w:rsid w:val="002B685A"/>
    <w:rsid w:val="002C2CA2"/>
    <w:rsid w:val="002C57D2"/>
    <w:rsid w:val="002E0D56"/>
    <w:rsid w:val="002F7C2F"/>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5048"/>
    <w:rsid w:val="00471A80"/>
    <w:rsid w:val="004A6D32"/>
    <w:rsid w:val="004D305E"/>
    <w:rsid w:val="004D4277"/>
    <w:rsid w:val="004F19F2"/>
    <w:rsid w:val="00500A30"/>
    <w:rsid w:val="00502516"/>
    <w:rsid w:val="00505F06"/>
    <w:rsid w:val="00506828"/>
    <w:rsid w:val="0053056E"/>
    <w:rsid w:val="005515B2"/>
    <w:rsid w:val="00554FDA"/>
    <w:rsid w:val="00580559"/>
    <w:rsid w:val="005A1B9B"/>
    <w:rsid w:val="005C784C"/>
    <w:rsid w:val="005D17F6"/>
    <w:rsid w:val="005E5539"/>
    <w:rsid w:val="00602BF5"/>
    <w:rsid w:val="00617FDD"/>
    <w:rsid w:val="00633614"/>
    <w:rsid w:val="006339D7"/>
    <w:rsid w:val="00633F68"/>
    <w:rsid w:val="00636EB2"/>
    <w:rsid w:val="006375B8"/>
    <w:rsid w:val="00650315"/>
    <w:rsid w:val="0066510A"/>
    <w:rsid w:val="00671DF6"/>
    <w:rsid w:val="00673F9F"/>
    <w:rsid w:val="006752F9"/>
    <w:rsid w:val="00686953"/>
    <w:rsid w:val="00687DEA"/>
    <w:rsid w:val="00687E67"/>
    <w:rsid w:val="006967F7"/>
    <w:rsid w:val="006A250C"/>
    <w:rsid w:val="006B21D3"/>
    <w:rsid w:val="006B57D0"/>
    <w:rsid w:val="006C0C59"/>
    <w:rsid w:val="006C763D"/>
    <w:rsid w:val="006D30FF"/>
    <w:rsid w:val="006D6940"/>
    <w:rsid w:val="006F11EC"/>
    <w:rsid w:val="0070082C"/>
    <w:rsid w:val="007369E6"/>
    <w:rsid w:val="00745362"/>
    <w:rsid w:val="00746E59"/>
    <w:rsid w:val="00754C9A"/>
    <w:rsid w:val="0075599A"/>
    <w:rsid w:val="00756503"/>
    <w:rsid w:val="00761D52"/>
    <w:rsid w:val="00773348"/>
    <w:rsid w:val="0077749E"/>
    <w:rsid w:val="00784C6B"/>
    <w:rsid w:val="00790ADA"/>
    <w:rsid w:val="00791B24"/>
    <w:rsid w:val="007A6C40"/>
    <w:rsid w:val="007D2288"/>
    <w:rsid w:val="007E088F"/>
    <w:rsid w:val="007F7B32"/>
    <w:rsid w:val="00804BC2"/>
    <w:rsid w:val="0081431A"/>
    <w:rsid w:val="00830025"/>
    <w:rsid w:val="0083216F"/>
    <w:rsid w:val="00850C53"/>
    <w:rsid w:val="00860000"/>
    <w:rsid w:val="00863BD3"/>
    <w:rsid w:val="008641ED"/>
    <w:rsid w:val="00866D66"/>
    <w:rsid w:val="008671C6"/>
    <w:rsid w:val="008732D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61E9"/>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146"/>
    <w:rsid w:val="00A94063"/>
    <w:rsid w:val="00AA527C"/>
    <w:rsid w:val="00AA6219"/>
    <w:rsid w:val="00AA74E0"/>
    <w:rsid w:val="00AB703F"/>
    <w:rsid w:val="00AC4A59"/>
    <w:rsid w:val="00AC6BB8"/>
    <w:rsid w:val="00AE008F"/>
    <w:rsid w:val="00B01FCD"/>
    <w:rsid w:val="00B1776C"/>
    <w:rsid w:val="00B42C26"/>
    <w:rsid w:val="00B52583"/>
    <w:rsid w:val="00B52896"/>
    <w:rsid w:val="00B83B67"/>
    <w:rsid w:val="00B95236"/>
    <w:rsid w:val="00B96BD9"/>
    <w:rsid w:val="00BA1B01"/>
    <w:rsid w:val="00BA2641"/>
    <w:rsid w:val="00BB16CD"/>
    <w:rsid w:val="00BB37AA"/>
    <w:rsid w:val="00BC53A0"/>
    <w:rsid w:val="00BE62AD"/>
    <w:rsid w:val="00BF121F"/>
    <w:rsid w:val="00BF1F80"/>
    <w:rsid w:val="00C166EF"/>
    <w:rsid w:val="00C17EB0"/>
    <w:rsid w:val="00C21605"/>
    <w:rsid w:val="00C27F5F"/>
    <w:rsid w:val="00C30A0F"/>
    <w:rsid w:val="00C37E61"/>
    <w:rsid w:val="00C70F1B"/>
    <w:rsid w:val="00C71A47"/>
    <w:rsid w:val="00C7464C"/>
    <w:rsid w:val="00C85588"/>
    <w:rsid w:val="00C93A08"/>
    <w:rsid w:val="00CA764F"/>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3358"/>
    <w:rsid w:val="00E8407C"/>
    <w:rsid w:val="00E84F3C"/>
    <w:rsid w:val="00EA012C"/>
    <w:rsid w:val="00EA2548"/>
    <w:rsid w:val="00EA692C"/>
    <w:rsid w:val="00EC6A55"/>
    <w:rsid w:val="00ED0288"/>
    <w:rsid w:val="00EE52CB"/>
    <w:rsid w:val="00EF5030"/>
    <w:rsid w:val="00EF581D"/>
    <w:rsid w:val="00EF7FD8"/>
    <w:rsid w:val="00F06F59"/>
    <w:rsid w:val="00F17988"/>
    <w:rsid w:val="00F469F0"/>
    <w:rsid w:val="00F53273"/>
    <w:rsid w:val="00F755E4"/>
    <w:rsid w:val="00F77D02"/>
    <w:rsid w:val="00F96EA8"/>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745362"/>
    <w:rPr>
      <w:color w:val="605E5C"/>
      <w:shd w:val="clear" w:color="auto" w:fill="E1DFDD"/>
    </w:rPr>
  </w:style>
  <w:style w:type="paragraph" w:styleId="CommentSubject">
    <w:name w:val="annotation subject"/>
    <w:basedOn w:val="CommentText"/>
    <w:next w:val="CommentText"/>
    <w:link w:val="CommentSubjectChar"/>
    <w:semiHidden/>
    <w:unhideWhenUsed/>
    <w:rsid w:val="00CA764F"/>
    <w:rPr>
      <w:rFonts w:ascii="Helvetica" w:hAnsi="Helvetica"/>
      <w:b/>
      <w:bCs/>
      <w:lang w:val="en-US" w:eastAsia="en-US"/>
    </w:rPr>
  </w:style>
  <w:style w:type="character" w:customStyle="1" w:styleId="CommentSubjectChar">
    <w:name w:val="Comment Subject Char"/>
    <w:basedOn w:val="CommentTextChar"/>
    <w:link w:val="CommentSubject"/>
    <w:semiHidden/>
    <w:rsid w:val="00CA764F"/>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C61F7-B6DF-4847-BC68-B037EAE8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197</TotalTime>
  <Pages>9</Pages>
  <Words>3780</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acer</cp:lastModifiedBy>
  <cp:revision>40</cp:revision>
  <cp:lastPrinted>1999-07-06T11:00:00Z</cp:lastPrinted>
  <dcterms:created xsi:type="dcterms:W3CDTF">2014-10-25T14:34:00Z</dcterms:created>
  <dcterms:modified xsi:type="dcterms:W3CDTF">2026-02-10T05:39:00Z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312b3508-db0f-40d4-9d34-78786c062b81</vt:lpwstr>
  </property>
</Properties>
</file>