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41DB7">
      <w:pPr>
        <w:spacing w:after="200" w:line="276" w:lineRule="auto"/>
        <w:jc w:val="center"/>
        <w:rPr>
          <w:rFonts w:ascii="Arial Narrow" w:hAnsi="Arial Narrow" w:eastAsia="SimSun" w:cs="Times New Roman"/>
          <w:b/>
          <w:bCs/>
          <w:sz w:val="28"/>
          <w:szCs w:val="28"/>
          <w:lang w:eastAsia="zh-CN"/>
        </w:rPr>
      </w:pPr>
      <w:bookmarkStart w:id="47" w:name="_GoBack"/>
      <w:r>
        <w:rPr>
          <w:rFonts w:ascii="Arial Narrow" w:hAnsi="Arial Narrow" w:eastAsia="SimSun" w:cs="Times New Roman"/>
          <w:b/>
          <w:bCs/>
          <w:sz w:val="28"/>
          <w:szCs w:val="28"/>
          <w:lang w:eastAsia="zh-CN"/>
        </w:rPr>
        <w:t xml:space="preserve">Determinants of Succession Planning Adoption in </w:t>
      </w:r>
      <w:bookmarkStart w:id="0" w:name="_Hlk221545854"/>
      <w:r>
        <w:rPr>
          <w:rFonts w:ascii="Arial Narrow" w:hAnsi="Arial Narrow" w:eastAsia="SimSun" w:cs="Times New Roman"/>
          <w:b/>
          <w:bCs/>
          <w:sz w:val="28"/>
          <w:szCs w:val="28"/>
          <w:lang w:eastAsia="zh-CN"/>
        </w:rPr>
        <w:t xml:space="preserve">Family-Owned Business Evidence from the Dodoma City Council </w:t>
      </w:r>
      <w:bookmarkEnd w:id="47"/>
    </w:p>
    <w:bookmarkEnd w:id="0"/>
    <w:p w14:paraId="6096A094">
      <w:pPr>
        <w:spacing w:after="0" w:line="276" w:lineRule="auto"/>
        <w:jc w:val="both"/>
        <w:rPr>
          <w:rFonts w:ascii="Arial Narrow" w:hAnsi="Arial Narrow" w:eastAsia="Calibri" w:cs="Times New Roman"/>
          <w:b/>
          <w:color w:val="000000"/>
          <w:sz w:val="24"/>
          <w:szCs w:val="24"/>
        </w:rPr>
      </w:pPr>
    </w:p>
    <w:p w14:paraId="046B5B03">
      <w:pPr>
        <w:spacing w:after="0" w:line="276" w:lineRule="auto"/>
        <w:jc w:val="both"/>
        <w:rPr>
          <w:rFonts w:ascii="Arial Narrow" w:hAnsi="Arial Narrow" w:eastAsia="Calibri" w:cs="Times New Roman"/>
          <w:b/>
          <w:color w:val="000000"/>
          <w:sz w:val="24"/>
          <w:szCs w:val="24"/>
        </w:rPr>
      </w:pPr>
    </w:p>
    <w:p w14:paraId="350658A5">
      <w:pPr>
        <w:spacing w:after="0" w:line="276" w:lineRule="auto"/>
        <w:jc w:val="both"/>
        <w:rPr>
          <w:rFonts w:ascii="Arial Narrow" w:hAnsi="Arial Narrow" w:cs="Times New Roman"/>
          <w:b/>
          <w:color w:val="000000"/>
          <w:sz w:val="24"/>
          <w:szCs w:val="24"/>
        </w:rPr>
      </w:pPr>
      <w:r>
        <w:rPr>
          <w:rFonts w:ascii="Arial Narrow" w:hAnsi="Arial Narrow" w:eastAsia="Calibri" w:cs="Times New Roman"/>
          <w:b/>
          <w:color w:val="000000"/>
          <w:sz w:val="24"/>
          <w:szCs w:val="24"/>
        </w:rPr>
        <w:t xml:space="preserve">Abstract </w:t>
      </w:r>
    </w:p>
    <w:p w14:paraId="4F837C7F">
      <w:pPr>
        <w:spacing w:line="360" w:lineRule="auto"/>
        <w:jc w:val="both"/>
        <w:rPr>
          <w:rFonts w:ascii="Arial Narrow" w:hAnsi="Arial Narrow" w:cs="Times New Roman"/>
          <w:i/>
          <w:sz w:val="24"/>
          <w:szCs w:val="24"/>
        </w:rPr>
      </w:pPr>
      <w:r>
        <w:rPr>
          <w:rFonts w:ascii="Arial Narrow" w:hAnsi="Arial Narrow" w:cs="Times New Roman"/>
          <w:i/>
          <w:sz w:val="24"/>
          <w:szCs w:val="24"/>
        </w:rPr>
        <w:t>Family-owned businesses are the most important source of employment and revenue worldwide. Family firms make up between 80% and 90% of private companies globally</w:t>
      </w:r>
      <w:r>
        <w:rPr>
          <w:rFonts w:ascii="Arial Narrow" w:hAnsi="Arial Narrow" w:cs="Times New Roman"/>
          <w:sz w:val="24"/>
          <w:szCs w:val="24"/>
        </w:rPr>
        <w:t xml:space="preserve">.  </w:t>
      </w:r>
      <w:r>
        <w:rPr>
          <w:rFonts w:ascii="Arial Narrow" w:hAnsi="Arial Narrow" w:cs="Times New Roman"/>
          <w:i/>
          <w:sz w:val="24"/>
          <w:szCs w:val="24"/>
        </w:rPr>
        <w:t xml:space="preserve">The study examines the factors influencing the adoption of succession planning in family owned business in Dodoma City Council. The study employed mixed-methods structured interviews, observation, and documentary methods to collect data. A cross-sectional design was used in the study, and 60 respondents were chosen from a list of registered family companies that were registered. IBM-SPSS software version 26 was used to evaluate the gathered data. Binary logistic regression showed that the chance of adopting succession planning was significantly influenced by gender, age, education level, business experience, and family size </w:t>
      </w:r>
      <w:bookmarkStart w:id="1" w:name="_Hlk221359559"/>
      <w:r>
        <w:rPr>
          <w:rFonts w:ascii="Arial Narrow" w:hAnsi="Arial Narrow" w:cs="Times New Roman"/>
          <w:i/>
          <w:sz w:val="24"/>
          <w:szCs w:val="24"/>
        </w:rPr>
        <w:t xml:space="preserve">(&lt;0.05). </w:t>
      </w:r>
      <w:bookmarkEnd w:id="1"/>
      <w:r>
        <w:rPr>
          <w:rFonts w:ascii="Arial Narrow" w:hAnsi="Arial Narrow" w:cs="Times New Roman"/>
          <w:i/>
          <w:sz w:val="24"/>
          <w:szCs w:val="24"/>
        </w:rPr>
        <w:t xml:space="preserve">The study revealed that most family business owners knew a lot about succession planning. Regarding social and cultural factors. At the beginning of a business, it is determined that socio-cultural elements have a substantial impact on the adoption of succession planning for family-owned businesses. Include sex, age, education level, business experience, and family size. The study concludes that </w:t>
      </w:r>
      <w:r>
        <w:rPr>
          <w:rFonts w:ascii="Arial Narrow" w:hAnsi="Arial Narrow" w:cs="Times New Roman"/>
          <w:i/>
          <w:iCs/>
          <w:color w:val="000000"/>
          <w:sz w:val="24"/>
          <w:szCs w:val="24"/>
        </w:rPr>
        <w:t>sociocultural factors have an impact on succession planning adoption. Finds that family size, sex, age, education, and business experience all significantly affect family-owned businesses (&lt;0.05). The survey finds that although firm owners are aware of succession planning and have a favorable attitude about it, however they have not put it into practice</w:t>
      </w:r>
      <w:r>
        <w:rPr>
          <w:rFonts w:ascii="Arial Narrow" w:hAnsi="Arial Narrow" w:cs="Times New Roman"/>
          <w:i/>
          <w:sz w:val="24"/>
          <w:szCs w:val="24"/>
        </w:rPr>
        <w:t>. The study recommends that the</w:t>
      </w:r>
      <w:r>
        <w:rPr>
          <w:rFonts w:ascii="Arial Narrow" w:hAnsi="Arial Narrow" w:cs="Times New Roman"/>
          <w:bCs/>
          <w:i/>
          <w:color w:val="000000"/>
          <w:sz w:val="24"/>
          <w:szCs w:val="24"/>
        </w:rPr>
        <w:t xml:space="preserve"> government should make sure that family business owners can learn about succession planning and receive training on how to use it. To reach a larger area, municipal governments could hire additional trainers and trade officers</w:t>
      </w:r>
      <w:r>
        <w:rPr>
          <w:rFonts w:ascii="Arial Narrow" w:hAnsi="Arial Narrow" w:cs="Times New Roman"/>
          <w:i/>
          <w:sz w:val="24"/>
          <w:szCs w:val="24"/>
        </w:rPr>
        <w:t>.</w:t>
      </w:r>
    </w:p>
    <w:p w14:paraId="024BE3B7">
      <w:pPr>
        <w:pBdr>
          <w:bottom w:val="single" w:color="auto" w:sz="4" w:space="1"/>
        </w:pBdr>
        <w:spacing w:line="360" w:lineRule="auto"/>
        <w:jc w:val="both"/>
        <w:rPr>
          <w:rFonts w:ascii="Arial Narrow" w:hAnsi="Arial Narrow" w:cs="Times New Roman"/>
          <w:i/>
          <w:color w:val="FF0000"/>
          <w:sz w:val="24"/>
          <w:szCs w:val="24"/>
        </w:rPr>
      </w:pPr>
      <w:r>
        <w:rPr>
          <w:rFonts w:ascii="Arial Narrow" w:hAnsi="Arial Narrow" w:eastAsia="SimSun" w:cs="Times New Roman"/>
          <w:b/>
          <w:sz w:val="24"/>
          <w:szCs w:val="24"/>
          <w:lang w:eastAsia="zh-CN"/>
        </w:rPr>
        <w:t>Keywords: Succession planning, socio-cultural factors, Adoption, Family-owned business, Small and Medium Enterprises (SMEs</w:t>
      </w:r>
    </w:p>
    <w:p w14:paraId="346B9336">
      <w:pPr>
        <w:spacing w:line="276" w:lineRule="auto"/>
        <w:rPr>
          <w:rFonts w:ascii="Arial Narrow" w:hAnsi="Arial Narrow" w:cs="Times New Roman"/>
          <w:b/>
          <w:sz w:val="24"/>
          <w:szCs w:val="24"/>
        </w:rPr>
      </w:pPr>
      <w:r>
        <w:rPr>
          <w:rFonts w:ascii="Arial Narrow" w:hAnsi="Arial Narrow" w:cs="Times New Roman"/>
          <w:b/>
          <w:sz w:val="24"/>
          <w:szCs w:val="24"/>
        </w:rPr>
        <w:t xml:space="preserve"> </w:t>
      </w:r>
    </w:p>
    <w:p w14:paraId="1DFB4D26">
      <w:pPr>
        <w:spacing w:line="276" w:lineRule="auto"/>
        <w:rPr>
          <w:rFonts w:ascii="Arial Narrow" w:hAnsi="Arial Narrow" w:cs="Times New Roman"/>
          <w:b/>
          <w:sz w:val="24"/>
          <w:szCs w:val="24"/>
        </w:rPr>
      </w:pPr>
    </w:p>
    <w:p w14:paraId="4CCB5CB5">
      <w:pPr>
        <w:spacing w:line="276" w:lineRule="auto"/>
        <w:rPr>
          <w:rFonts w:ascii="Arial Narrow" w:hAnsi="Arial Narrow" w:cs="Times New Roman"/>
          <w:b/>
          <w:sz w:val="24"/>
          <w:szCs w:val="24"/>
        </w:rPr>
      </w:pPr>
    </w:p>
    <w:p w14:paraId="30B0648C">
      <w:pPr>
        <w:spacing w:line="276" w:lineRule="auto"/>
        <w:rPr>
          <w:rFonts w:ascii="Arial Narrow" w:hAnsi="Arial Narrow" w:cs="Times New Roman"/>
          <w:b/>
          <w:sz w:val="24"/>
          <w:szCs w:val="24"/>
        </w:rPr>
      </w:pPr>
    </w:p>
    <w:p w14:paraId="7A0E0BB3">
      <w:pPr>
        <w:spacing w:line="276" w:lineRule="auto"/>
        <w:rPr>
          <w:rFonts w:ascii="Arial Narrow" w:hAnsi="Arial Narrow" w:cs="Times New Roman"/>
          <w:b/>
          <w:sz w:val="24"/>
          <w:szCs w:val="24"/>
        </w:rPr>
      </w:pPr>
    </w:p>
    <w:p w14:paraId="07E3BEC1">
      <w:pPr>
        <w:spacing w:line="276" w:lineRule="auto"/>
        <w:rPr>
          <w:rFonts w:ascii="Arial Narrow" w:hAnsi="Arial Narrow" w:cs="Times New Roman"/>
          <w:b/>
          <w:sz w:val="24"/>
          <w:szCs w:val="24"/>
        </w:rPr>
      </w:pPr>
    </w:p>
    <w:p w14:paraId="471994CE">
      <w:pPr>
        <w:spacing w:line="276" w:lineRule="auto"/>
        <w:rPr>
          <w:rFonts w:ascii="Arial Narrow" w:hAnsi="Arial Narrow" w:cs="Times New Roman"/>
          <w:b/>
          <w:sz w:val="24"/>
          <w:szCs w:val="24"/>
        </w:rPr>
      </w:pPr>
    </w:p>
    <w:p w14:paraId="3B6E807F">
      <w:pPr>
        <w:spacing w:line="276" w:lineRule="auto"/>
        <w:rPr>
          <w:rFonts w:ascii="Arial Narrow" w:hAnsi="Arial Narrow" w:cs="Times New Roman"/>
          <w:b/>
          <w:sz w:val="24"/>
          <w:szCs w:val="24"/>
        </w:rPr>
      </w:pPr>
    </w:p>
    <w:p w14:paraId="194463ED">
      <w:pPr>
        <w:spacing w:line="276" w:lineRule="auto"/>
        <w:rPr>
          <w:rFonts w:ascii="Arial Narrow" w:hAnsi="Arial Narrow" w:cs="Times New Roman"/>
          <w:b/>
          <w:sz w:val="24"/>
          <w:szCs w:val="24"/>
        </w:rPr>
      </w:pPr>
      <w:r>
        <w:rPr>
          <w:rFonts w:ascii="Arial Narrow" w:hAnsi="Arial Narrow" w:cs="Times New Roman"/>
          <w:b/>
          <w:sz w:val="24"/>
          <w:szCs w:val="24"/>
        </w:rPr>
        <w:t>1. INTRODUCTION</w:t>
      </w:r>
    </w:p>
    <w:p w14:paraId="6FBA4221">
      <w:pPr>
        <w:spacing w:line="360" w:lineRule="auto"/>
        <w:jc w:val="both"/>
        <w:rPr>
          <w:rFonts w:ascii="Arial Narrow" w:hAnsi="Arial Narrow" w:cs="Times New Roman"/>
          <w:sz w:val="24"/>
          <w:szCs w:val="24"/>
        </w:rPr>
      </w:pPr>
      <w:r>
        <w:rPr>
          <w:rFonts w:ascii="Arial Narrow" w:hAnsi="Arial Narrow" w:cs="Times New Roman"/>
          <w:sz w:val="24"/>
          <w:szCs w:val="24"/>
        </w:rPr>
        <w:t xml:space="preserve">Succession planning is a proactive strategy that entails the deliberate identification, evaluation, and training of people for future leadership roles to maintain leadership continuity within an organization (Phillips, 2020). According to Shahzad et al (2024), implementing a succession plan internationally can be difficult. Family-owned enterprises are the most important source of employment and revenue worldwide. Family firms make up between 80% and 90% of private companies globally (Miroshnychenko et al, 2020). More than 85% of all workers are employed by family businesses, which account for more than 75% of the GDP. Family firms make up between 80% and 90% of private companies in several countries </w:t>
      </w:r>
      <w:commentRangeStart w:id="0"/>
      <w:r>
        <w:rPr>
          <w:rFonts w:ascii="Arial Narrow" w:hAnsi="Arial Narrow" w:cs="Times New Roman"/>
          <w:sz w:val="24"/>
          <w:szCs w:val="24"/>
        </w:rPr>
        <w:t>(Miroshnychenko et al, 2020)</w:t>
      </w:r>
      <w:commentRangeEnd w:id="0"/>
      <w:r>
        <w:commentReference w:id="0"/>
      </w:r>
      <w:r>
        <w:rPr>
          <w:rFonts w:ascii="Arial Narrow" w:hAnsi="Arial Narrow" w:cs="Times New Roman"/>
          <w:sz w:val="24"/>
          <w:szCs w:val="24"/>
        </w:rPr>
        <w:t xml:space="preserve">.In the United States, family businesses account for about 85% of all employment and over 75% of GDP; for instance, 32.4 million family enterprises account for 87% of all business tax returns (Pieper et al., 2021). </w:t>
      </w:r>
    </w:p>
    <w:p w14:paraId="5787CD52">
      <w:pPr>
        <w:spacing w:line="360" w:lineRule="auto"/>
        <w:jc w:val="both"/>
        <w:rPr>
          <w:rFonts w:ascii="Arial Narrow" w:hAnsi="Arial Narrow" w:cs="Times New Roman"/>
          <w:sz w:val="24"/>
          <w:szCs w:val="24"/>
        </w:rPr>
      </w:pPr>
      <w:r>
        <w:rPr>
          <w:rFonts w:ascii="Arial Narrow" w:hAnsi="Arial Narrow" w:cs="Times New Roman"/>
          <w:sz w:val="24"/>
          <w:szCs w:val="24"/>
        </w:rPr>
        <w:t>Over 5.2 million people are employed by over three million SMEs in Tanzania, of which 45% are family-owned in rural areas, and 55% are headquartered in urban areas (World Bank, 2020). There are still barriers preventing family-owned small firms from implementing succession plans, even though family enterprises make a substantial economic contribution. According to Kiwia et al (2022), only 20% of family-owned enterprises in Tanzania persist into their second generation, 12% into their third, and 3% into their fourth. The majority of research suggests that family-owned firms encounter difficulties that lead to their failure to endure into the next generation following the death or retirement of the business owner. According to earlier research, family-owned businesses need to implement a succession planwhich involves passing on both management and ownership of the company to the following generation to survive and thrive (Davis, 2024).</w:t>
      </w:r>
    </w:p>
    <w:p w14:paraId="0FDC9AD5">
      <w:pPr>
        <w:spacing w:line="360" w:lineRule="auto"/>
        <w:jc w:val="both"/>
        <w:rPr>
          <w:rFonts w:ascii="Arial Narrow" w:hAnsi="Arial Narrow" w:cs="Times New Roman"/>
          <w:sz w:val="24"/>
          <w:szCs w:val="24"/>
        </w:rPr>
      </w:pPr>
      <w:commentRangeStart w:id="1"/>
      <w:r>
        <w:rPr>
          <w:rFonts w:ascii="Arial Narrow" w:hAnsi="Arial Narrow" w:cs="Times New Roman"/>
          <w:sz w:val="24"/>
          <w:szCs w:val="24"/>
        </w:rPr>
        <w:t>The family business sector in the United Kingdom (UK) (2020-21).</w:t>
      </w:r>
      <w:commentRangeEnd w:id="1"/>
      <w:r>
        <w:commentReference w:id="1"/>
      </w:r>
      <w:r>
        <w:rPr>
          <w:rFonts w:ascii="Arial Narrow" w:hAnsi="Arial Narrow" w:cs="Times New Roman"/>
          <w:sz w:val="24"/>
          <w:szCs w:val="24"/>
        </w:rPr>
        <w:t xml:space="preserve"> Family businesses are estimated to account for a third of the GDP; in 2019, for example, they contributed £637 billion to the UK's GDP (Priya, 2021). In 2019, family firms made up around one-third of the UK's GDP, or £637 billion. The £637 billion accounted for 29.3% of the country's 2019 GDP (UK Family Sector Business Sector, 2020-21).</w:t>
      </w:r>
    </w:p>
    <w:p w14:paraId="1D2CA144">
      <w:pPr>
        <w:spacing w:line="360" w:lineRule="auto"/>
        <w:jc w:val="both"/>
        <w:rPr>
          <w:rFonts w:ascii="Arial Narrow" w:hAnsi="Arial Narrow" w:cs="Times New Roman"/>
          <w:sz w:val="24"/>
          <w:szCs w:val="24"/>
        </w:rPr>
      </w:pPr>
      <w:r>
        <w:rPr>
          <w:rFonts w:ascii="Arial Narrow" w:hAnsi="Arial Narrow" w:cs="Times New Roman"/>
          <w:sz w:val="24"/>
          <w:szCs w:val="24"/>
        </w:rPr>
        <w:t>Family-owned firms in Tanzania continue to have significant challenges in surviving to the second generation, despite the government and other stakeholders' efforts to educate them on the value of succession plans in their companies (Magasi, 2021). The Tanzanian government has implemented a number of programs to promote, allow, and enable the participation of other companies and other investors in the businesses, of which 80% are family-owned and account for around 35% of the nation's GDP.</w:t>
      </w:r>
    </w:p>
    <w:p w14:paraId="543376E8">
      <w:pPr>
        <w:spacing w:line="360" w:lineRule="auto"/>
        <w:jc w:val="both"/>
        <w:rPr>
          <w:rFonts w:ascii="Arial Narrow" w:hAnsi="Arial Narrow" w:cs="Times New Roman"/>
          <w:color w:val="000000" w:themeColor="text1"/>
          <w:sz w:val="24"/>
          <w:szCs w:val="24"/>
          <w14:textFill>
            <w14:solidFill>
              <w14:schemeClr w14:val="tx1"/>
            </w14:solidFill>
          </w14:textFill>
        </w:rPr>
      </w:pPr>
      <w:r>
        <w:rPr>
          <w:rFonts w:ascii="Arial Narrow" w:hAnsi="Arial Narrow" w:eastAsia="Calibri" w:cs="Times New Roman"/>
          <w:color w:val="000000" w:themeColor="text1"/>
          <w:sz w:val="24"/>
          <w:szCs w:val="24"/>
          <w14:textFill>
            <w14:solidFill>
              <w14:schemeClr w14:val="tx1"/>
            </w14:solidFill>
          </w14:textFill>
        </w:rPr>
        <w:t xml:space="preserve">A lot of study conducted (Nkwabi and Mboya, 2019; Lwesya, 2021). Focused on </w:t>
      </w:r>
      <w:r>
        <w:rPr>
          <w:rFonts w:ascii="Arial Narrow" w:hAnsi="Arial Narrow" w:cs="Times New Roman"/>
          <w:color w:val="000000" w:themeColor="text1"/>
          <w:sz w:val="24"/>
          <w:szCs w:val="24"/>
          <w14:textFill>
            <w14:solidFill>
              <w14:schemeClr w14:val="tx1"/>
            </w14:solidFill>
          </w14:textFill>
        </w:rPr>
        <w:t>Review of Factors Affecting the Growth of Small and Medium Enterprises (SMEs) in Tanzania. This study did not documented on factor influencing the succession planning in family-owned businesses because the scope and content if greater differ greatly. This study intends to fill the knowledge gap on factors influencing the succession planning in family owned-bussiness on Dodoma city council.</w:t>
      </w:r>
    </w:p>
    <w:p w14:paraId="55658DE1">
      <w:pPr>
        <w:spacing w:line="360" w:lineRule="auto"/>
        <w:jc w:val="both"/>
        <w:rPr>
          <w:rFonts w:ascii="Arial Narrow" w:hAnsi="Arial Narrow"/>
          <w:sz w:val="24"/>
          <w:szCs w:val="24"/>
        </w:rPr>
      </w:pPr>
      <w:r>
        <w:rPr>
          <w:rFonts w:ascii="Arial Narrow" w:hAnsi="Arial Narrow"/>
          <w:b/>
          <w:bCs/>
          <w:sz w:val="24"/>
          <w:szCs w:val="24"/>
        </w:rPr>
        <w:t>2. METHODS</w:t>
      </w:r>
    </w:p>
    <w:p w14:paraId="3400C449">
      <w:pPr>
        <w:spacing w:line="360" w:lineRule="auto"/>
        <w:jc w:val="both"/>
        <w:rPr>
          <w:rFonts w:ascii="Arial Narrow" w:hAnsi="Arial Narrow"/>
          <w:sz w:val="24"/>
          <w:szCs w:val="24"/>
        </w:rPr>
      </w:pPr>
      <w:r>
        <w:rPr>
          <w:rFonts w:ascii="Arial Narrow" w:hAnsi="Arial Narrow"/>
          <w:sz w:val="24"/>
          <w:szCs w:val="24"/>
        </w:rPr>
        <w:t>The study used a cross-sectional design to examine the factors influencing the adoption of succession planning in family-owned businesses in Dodoma City Council, the cross-sectional design is chosen because it allows the collection of data at a single point in time, this design ensure the efficient collection of data without prolonged observation, it facilitate the analysis of multiple variables, which is crucial for understanding the factors influencing the adoption of succession planning on family-owned bussiness, the cross sectional design addressed its objective while maintaining high external validity and timely completion.</w:t>
      </w:r>
    </w:p>
    <w:p w14:paraId="1C76EC4E">
      <w:pPr>
        <w:spacing w:line="360" w:lineRule="auto"/>
        <w:jc w:val="both"/>
        <w:rPr>
          <w:rFonts w:ascii="Arial Narrow" w:hAnsi="Arial Narrow"/>
          <w:sz w:val="24"/>
          <w:szCs w:val="24"/>
        </w:rPr>
      </w:pPr>
      <w:r>
        <w:rPr>
          <w:rFonts w:ascii="Arial Narrow" w:hAnsi="Arial Narrow"/>
          <w:sz w:val="24"/>
          <w:szCs w:val="24"/>
        </w:rPr>
        <w:t>The research took place in Dodoma city council, the capital city of the United Republic of Tanzania, which is located in the center of the country, with the Morogoro area to the east, the Manyara region to the north, and the Iringa region to the south. The Dodoma region's semi-desert climate makes it a favorable place for businesses and other enterprises to invest. The Dodoma city council was chosen for the study because it has a population of businesses and easily accessible market infrastructure that helps them carry out their operations, making it a useful location for obtaining answers to research questions.</w:t>
      </w:r>
    </w:p>
    <w:p w14:paraId="19542044">
      <w:pPr>
        <w:spacing w:line="360" w:lineRule="auto"/>
        <w:jc w:val="both"/>
        <w:rPr>
          <w:rFonts w:ascii="Arial Narrow" w:hAnsi="Arial Narrow"/>
          <w:sz w:val="24"/>
          <w:szCs w:val="24"/>
        </w:rPr>
      </w:pPr>
      <w:r>
        <w:rPr>
          <w:rFonts w:ascii="Arial Narrow" w:hAnsi="Arial Narrow"/>
          <w:sz w:val="24"/>
          <w:szCs w:val="24"/>
        </w:rPr>
        <w:t>The study focused on individual family owned bussiness engaged in the Dodoma city council. The study population consisted of 60 family-owned businesses within the Dodoma City Council, which have been registered by BRELA (Business Registration and Licensing Agency) and have a capital ranging from Tanzanian Shillings 500 million to 800+ million. However, the study respondents comprised the owners or managers of family businesses as well as family members who are actively involved in the business.</w:t>
      </w:r>
    </w:p>
    <w:p w14:paraId="4B667F75">
      <w:pPr>
        <w:spacing w:line="360" w:lineRule="auto"/>
        <w:jc w:val="both"/>
        <w:rPr>
          <w:rFonts w:ascii="Arial Narrow" w:hAnsi="Arial Narrow"/>
          <w:b/>
          <w:sz w:val="24"/>
          <w:szCs w:val="24"/>
        </w:rPr>
      </w:pPr>
      <w:r>
        <w:rPr>
          <w:rFonts w:ascii="Arial Narrow" w:hAnsi="Arial Narrow"/>
          <w:b/>
          <w:sz w:val="24"/>
          <w:szCs w:val="24"/>
        </w:rPr>
        <w:t xml:space="preserve">Table 1: Respondent Composition </w:t>
      </w:r>
    </w:p>
    <w:tbl>
      <w:tblPr>
        <w:tblStyle w:val="12"/>
        <w:tblW w:w="0" w:type="auto"/>
        <w:tblInd w:w="0" w:type="dxa"/>
        <w:tblLayout w:type="autofit"/>
        <w:tblCellMar>
          <w:top w:w="0" w:type="dxa"/>
          <w:left w:w="108" w:type="dxa"/>
          <w:bottom w:w="0" w:type="dxa"/>
          <w:right w:w="108" w:type="dxa"/>
        </w:tblCellMar>
      </w:tblPr>
      <w:tblGrid>
        <w:gridCol w:w="1911"/>
        <w:gridCol w:w="1739"/>
        <w:gridCol w:w="2168"/>
        <w:gridCol w:w="1639"/>
        <w:gridCol w:w="1347"/>
      </w:tblGrid>
      <w:tr w14:paraId="5E060701">
        <w:tblPrEx>
          <w:tblCellMar>
            <w:top w:w="0" w:type="dxa"/>
            <w:left w:w="108" w:type="dxa"/>
            <w:bottom w:w="0" w:type="dxa"/>
            <w:right w:w="108" w:type="dxa"/>
          </w:tblCellMar>
        </w:tblPrEx>
        <w:trPr>
          <w:trHeight w:val="315" w:hRule="atLeast"/>
        </w:trPr>
        <w:tc>
          <w:tcPr>
            <w:tcW w:w="0" w:type="auto"/>
            <w:tcBorders>
              <w:top w:val="single" w:color="auto" w:sz="8" w:space="0"/>
              <w:left w:val="nil"/>
              <w:bottom w:val="single" w:color="auto" w:sz="8" w:space="0"/>
              <w:right w:val="nil"/>
            </w:tcBorders>
            <w:vAlign w:val="center"/>
          </w:tcPr>
          <w:p w14:paraId="36349288">
            <w:pPr>
              <w:spacing w:after="0" w:line="276" w:lineRule="auto"/>
              <w:rPr>
                <w:rFonts w:ascii="Arial Narrow" w:hAnsi="Arial Narrow" w:eastAsia="Times New Roman" w:cs="Times New Roman"/>
                <w:b/>
                <w:bCs/>
                <w:color w:val="000000"/>
                <w:sz w:val="20"/>
                <w:szCs w:val="20"/>
              </w:rPr>
            </w:pPr>
            <w:bookmarkStart w:id="2" w:name="RANGE!C3"/>
            <w:bookmarkStart w:id="3" w:name="_Hlk210923287" w:colFirst="1" w:colLast="4"/>
            <w:r>
              <w:rPr>
                <w:rFonts w:ascii="Arial Narrow" w:hAnsi="Arial Narrow" w:eastAsia="Times New Roman" w:cs="Times New Roman"/>
                <w:b/>
                <w:bCs/>
                <w:color w:val="000000"/>
                <w:sz w:val="20"/>
                <w:szCs w:val="20"/>
              </w:rPr>
              <w:t>Sector</w:t>
            </w:r>
            <w:bookmarkEnd w:id="2"/>
          </w:p>
        </w:tc>
        <w:tc>
          <w:tcPr>
            <w:tcW w:w="0" w:type="auto"/>
            <w:tcBorders>
              <w:top w:val="single" w:color="auto" w:sz="8" w:space="0"/>
              <w:left w:val="nil"/>
              <w:bottom w:val="single" w:color="auto" w:sz="8" w:space="0"/>
              <w:right w:val="nil"/>
            </w:tcBorders>
            <w:vAlign w:val="center"/>
          </w:tcPr>
          <w:p w14:paraId="19E63BE2">
            <w:pPr>
              <w:spacing w:after="0" w:line="276" w:lineRule="auto"/>
              <w:rPr>
                <w:rFonts w:ascii="Arial Narrow" w:hAnsi="Arial Narrow" w:eastAsia="Times New Roman" w:cs="Times New Roman"/>
                <w:b/>
                <w:bCs/>
                <w:color w:val="000000"/>
                <w:sz w:val="20"/>
                <w:szCs w:val="20"/>
              </w:rPr>
            </w:pPr>
            <w:r>
              <w:rPr>
                <w:rFonts w:ascii="Arial Narrow" w:hAnsi="Arial Narrow" w:eastAsia="Times New Roman" w:cs="Times New Roman"/>
                <w:b/>
                <w:bCs/>
                <w:color w:val="000000"/>
                <w:sz w:val="20"/>
                <w:szCs w:val="20"/>
              </w:rPr>
              <w:t>Business name</w:t>
            </w:r>
          </w:p>
        </w:tc>
        <w:tc>
          <w:tcPr>
            <w:tcW w:w="0" w:type="auto"/>
            <w:tcBorders>
              <w:top w:val="single" w:color="auto" w:sz="8" w:space="0"/>
              <w:left w:val="nil"/>
              <w:bottom w:val="single" w:color="auto" w:sz="8" w:space="0"/>
              <w:right w:val="nil"/>
            </w:tcBorders>
            <w:vAlign w:val="center"/>
          </w:tcPr>
          <w:p w14:paraId="309403BA">
            <w:pPr>
              <w:spacing w:after="0" w:line="276" w:lineRule="auto"/>
              <w:rPr>
                <w:rFonts w:ascii="Arial Narrow" w:hAnsi="Arial Narrow" w:eastAsia="Times New Roman" w:cs="Times New Roman"/>
                <w:b/>
                <w:bCs/>
                <w:color w:val="000000"/>
                <w:sz w:val="20"/>
                <w:szCs w:val="20"/>
              </w:rPr>
            </w:pPr>
            <w:r>
              <w:rPr>
                <w:rFonts w:ascii="Arial Narrow" w:hAnsi="Arial Narrow" w:eastAsia="Times New Roman" w:cs="Times New Roman"/>
                <w:b/>
                <w:bCs/>
                <w:color w:val="000000"/>
                <w:sz w:val="20"/>
                <w:szCs w:val="20"/>
              </w:rPr>
              <w:t>Services</w:t>
            </w:r>
          </w:p>
        </w:tc>
        <w:tc>
          <w:tcPr>
            <w:tcW w:w="0" w:type="auto"/>
            <w:tcBorders>
              <w:top w:val="single" w:color="auto" w:sz="8" w:space="0"/>
              <w:left w:val="nil"/>
              <w:bottom w:val="single" w:color="auto" w:sz="8" w:space="0"/>
              <w:right w:val="nil"/>
            </w:tcBorders>
            <w:vAlign w:val="center"/>
          </w:tcPr>
          <w:p w14:paraId="395FBA02">
            <w:pPr>
              <w:spacing w:after="0" w:line="276" w:lineRule="auto"/>
              <w:rPr>
                <w:rFonts w:ascii="Arial Narrow" w:hAnsi="Arial Narrow" w:eastAsia="Times New Roman" w:cs="Times New Roman"/>
                <w:b/>
                <w:bCs/>
                <w:color w:val="000000"/>
                <w:sz w:val="20"/>
                <w:szCs w:val="20"/>
              </w:rPr>
            </w:pPr>
            <w:r>
              <w:rPr>
                <w:rFonts w:ascii="Arial Narrow" w:hAnsi="Arial Narrow" w:eastAsia="Times New Roman" w:cs="Times New Roman"/>
                <w:b/>
                <w:bCs/>
                <w:color w:val="000000"/>
                <w:sz w:val="20"/>
                <w:szCs w:val="20"/>
              </w:rPr>
              <w:t>Business type</w:t>
            </w:r>
          </w:p>
        </w:tc>
        <w:tc>
          <w:tcPr>
            <w:tcW w:w="0" w:type="auto"/>
            <w:tcBorders>
              <w:top w:val="single" w:color="auto" w:sz="8" w:space="0"/>
              <w:left w:val="nil"/>
              <w:bottom w:val="single" w:color="auto" w:sz="8" w:space="0"/>
              <w:right w:val="nil"/>
            </w:tcBorders>
            <w:vAlign w:val="center"/>
          </w:tcPr>
          <w:p w14:paraId="286FA47D">
            <w:pPr>
              <w:spacing w:after="0" w:line="276" w:lineRule="auto"/>
              <w:rPr>
                <w:rFonts w:ascii="Arial Narrow" w:hAnsi="Arial Narrow" w:eastAsia="Times New Roman" w:cs="Times New Roman"/>
                <w:b/>
                <w:bCs/>
                <w:color w:val="000000"/>
                <w:sz w:val="20"/>
                <w:szCs w:val="20"/>
              </w:rPr>
            </w:pPr>
            <w:r>
              <w:rPr>
                <w:rFonts w:ascii="Arial Narrow" w:hAnsi="Arial Narrow" w:eastAsia="Times New Roman" w:cs="Times New Roman"/>
                <w:b/>
                <w:bCs/>
                <w:color w:val="000000"/>
                <w:sz w:val="20"/>
                <w:szCs w:val="20"/>
              </w:rPr>
              <w:t xml:space="preserve">Sample size </w:t>
            </w:r>
          </w:p>
        </w:tc>
      </w:tr>
      <w:bookmarkEnd w:id="3"/>
      <w:tr w14:paraId="122608E9">
        <w:tblPrEx>
          <w:tblCellMar>
            <w:top w:w="0" w:type="dxa"/>
            <w:left w:w="108" w:type="dxa"/>
            <w:bottom w:w="0" w:type="dxa"/>
            <w:right w:w="108" w:type="dxa"/>
          </w:tblCellMar>
        </w:tblPrEx>
        <w:trPr>
          <w:trHeight w:val="330" w:hRule="atLeast"/>
        </w:trPr>
        <w:tc>
          <w:tcPr>
            <w:tcW w:w="0" w:type="auto"/>
            <w:tcBorders>
              <w:top w:val="nil"/>
              <w:left w:val="nil"/>
              <w:bottom w:val="nil"/>
              <w:right w:val="nil"/>
            </w:tcBorders>
            <w:vAlign w:val="center"/>
          </w:tcPr>
          <w:p w14:paraId="2847A907">
            <w:pPr>
              <w:spacing w:after="0" w:line="276" w:lineRule="auto"/>
              <w:rPr>
                <w:rFonts w:ascii="Arial Narrow" w:hAnsi="Arial Narrow" w:eastAsia="Times New Roman" w:cs="Times New Roman"/>
                <w:b/>
                <w:bCs/>
                <w:color w:val="000000"/>
                <w:sz w:val="20"/>
                <w:szCs w:val="20"/>
              </w:rPr>
            </w:pPr>
            <w:r>
              <w:rPr>
                <w:rFonts w:ascii="Arial Narrow" w:hAnsi="Arial Narrow" w:eastAsia="Times New Roman" w:cs="Times New Roman"/>
                <w:b/>
                <w:bCs/>
                <w:color w:val="000000"/>
                <w:sz w:val="20"/>
                <w:szCs w:val="20"/>
              </w:rPr>
              <w:t>Transportation sector</w:t>
            </w:r>
          </w:p>
        </w:tc>
        <w:tc>
          <w:tcPr>
            <w:tcW w:w="0" w:type="auto"/>
            <w:tcBorders>
              <w:top w:val="nil"/>
              <w:left w:val="nil"/>
              <w:bottom w:val="nil"/>
              <w:right w:val="nil"/>
            </w:tcBorders>
            <w:vAlign w:val="center"/>
          </w:tcPr>
          <w:p w14:paraId="602C2817">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Shabiby online</w:t>
            </w:r>
          </w:p>
        </w:tc>
        <w:tc>
          <w:tcPr>
            <w:tcW w:w="0" w:type="auto"/>
            <w:tcBorders>
              <w:top w:val="nil"/>
              <w:left w:val="nil"/>
              <w:bottom w:val="nil"/>
              <w:right w:val="nil"/>
            </w:tcBorders>
            <w:vAlign w:val="center"/>
          </w:tcPr>
          <w:p w14:paraId="190ADD30">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transportation</w:t>
            </w:r>
          </w:p>
        </w:tc>
        <w:tc>
          <w:tcPr>
            <w:tcW w:w="0" w:type="auto"/>
            <w:tcBorders>
              <w:top w:val="nil"/>
              <w:left w:val="nil"/>
              <w:bottom w:val="nil"/>
              <w:right w:val="nil"/>
            </w:tcBorders>
            <w:vAlign w:val="center"/>
          </w:tcPr>
          <w:p w14:paraId="50D44451">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Company limited</w:t>
            </w:r>
          </w:p>
        </w:tc>
        <w:tc>
          <w:tcPr>
            <w:tcW w:w="0" w:type="auto"/>
            <w:tcBorders>
              <w:top w:val="nil"/>
              <w:left w:val="nil"/>
              <w:bottom w:val="nil"/>
              <w:right w:val="nil"/>
            </w:tcBorders>
            <w:vAlign w:val="center"/>
          </w:tcPr>
          <w:p w14:paraId="7A4DB502">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 xml:space="preserve">10 respondents </w:t>
            </w:r>
          </w:p>
        </w:tc>
      </w:tr>
      <w:tr w14:paraId="0B137A25">
        <w:tblPrEx>
          <w:tblCellMar>
            <w:top w:w="0" w:type="dxa"/>
            <w:left w:w="108" w:type="dxa"/>
            <w:bottom w:w="0" w:type="dxa"/>
            <w:right w:w="108" w:type="dxa"/>
          </w:tblCellMar>
        </w:tblPrEx>
        <w:trPr>
          <w:trHeight w:val="375" w:hRule="atLeast"/>
        </w:trPr>
        <w:tc>
          <w:tcPr>
            <w:tcW w:w="0" w:type="auto"/>
            <w:tcBorders>
              <w:top w:val="nil"/>
              <w:left w:val="nil"/>
              <w:bottom w:val="nil"/>
              <w:right w:val="nil"/>
            </w:tcBorders>
            <w:vAlign w:val="center"/>
          </w:tcPr>
          <w:p w14:paraId="58309DCC">
            <w:pPr>
              <w:spacing w:after="0" w:line="276" w:lineRule="auto"/>
              <w:rPr>
                <w:rFonts w:ascii="Arial Narrow" w:hAnsi="Arial Narrow" w:eastAsia="Times New Roman" w:cs="Times New Roman"/>
                <w:color w:val="000000"/>
                <w:sz w:val="20"/>
                <w:szCs w:val="20"/>
              </w:rPr>
            </w:pPr>
          </w:p>
        </w:tc>
        <w:tc>
          <w:tcPr>
            <w:tcW w:w="0" w:type="auto"/>
            <w:tcBorders>
              <w:top w:val="nil"/>
              <w:left w:val="nil"/>
              <w:bottom w:val="nil"/>
              <w:right w:val="nil"/>
            </w:tcBorders>
            <w:vAlign w:val="center"/>
          </w:tcPr>
          <w:p w14:paraId="5C227C11">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Kimbinyiko invest</w:t>
            </w:r>
          </w:p>
        </w:tc>
        <w:tc>
          <w:tcPr>
            <w:tcW w:w="0" w:type="auto"/>
            <w:tcBorders>
              <w:top w:val="nil"/>
              <w:left w:val="nil"/>
              <w:bottom w:val="nil"/>
              <w:right w:val="nil"/>
            </w:tcBorders>
            <w:vAlign w:val="center"/>
          </w:tcPr>
          <w:p w14:paraId="31FE73AA">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transportation</w:t>
            </w:r>
          </w:p>
        </w:tc>
        <w:tc>
          <w:tcPr>
            <w:tcW w:w="0" w:type="auto"/>
            <w:tcBorders>
              <w:top w:val="nil"/>
              <w:left w:val="nil"/>
              <w:bottom w:val="nil"/>
              <w:right w:val="nil"/>
            </w:tcBorders>
            <w:vAlign w:val="center"/>
          </w:tcPr>
          <w:p w14:paraId="09A81249">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Co-operate</w:t>
            </w:r>
          </w:p>
        </w:tc>
        <w:tc>
          <w:tcPr>
            <w:tcW w:w="0" w:type="auto"/>
            <w:tcBorders>
              <w:top w:val="nil"/>
              <w:left w:val="nil"/>
              <w:bottom w:val="nil"/>
              <w:right w:val="nil"/>
            </w:tcBorders>
            <w:vAlign w:val="center"/>
          </w:tcPr>
          <w:p w14:paraId="0FD21F9D">
            <w:pPr>
              <w:spacing w:after="0" w:line="276" w:lineRule="auto"/>
              <w:rPr>
                <w:rFonts w:ascii="Arial Narrow" w:hAnsi="Arial Narrow" w:eastAsia="Times New Roman" w:cs="Times New Roman"/>
                <w:color w:val="000000"/>
                <w:sz w:val="20"/>
                <w:szCs w:val="20"/>
              </w:rPr>
            </w:pPr>
          </w:p>
        </w:tc>
      </w:tr>
      <w:tr w14:paraId="0D1DF317">
        <w:tblPrEx>
          <w:tblCellMar>
            <w:top w:w="0" w:type="dxa"/>
            <w:left w:w="108" w:type="dxa"/>
            <w:bottom w:w="0" w:type="dxa"/>
            <w:right w:w="108" w:type="dxa"/>
          </w:tblCellMar>
        </w:tblPrEx>
        <w:trPr>
          <w:trHeight w:val="300" w:hRule="atLeast"/>
        </w:trPr>
        <w:tc>
          <w:tcPr>
            <w:tcW w:w="0" w:type="auto"/>
            <w:tcBorders>
              <w:top w:val="nil"/>
              <w:left w:val="nil"/>
              <w:bottom w:val="nil"/>
              <w:right w:val="nil"/>
            </w:tcBorders>
            <w:vAlign w:val="center"/>
          </w:tcPr>
          <w:p w14:paraId="05418216">
            <w:pPr>
              <w:spacing w:after="0" w:line="276" w:lineRule="auto"/>
              <w:rPr>
                <w:rFonts w:ascii="Arial Narrow" w:hAnsi="Arial Narrow" w:eastAsia="Times New Roman" w:cs="Times New Roman"/>
                <w:sz w:val="20"/>
                <w:szCs w:val="20"/>
              </w:rPr>
            </w:pPr>
          </w:p>
        </w:tc>
        <w:tc>
          <w:tcPr>
            <w:tcW w:w="0" w:type="auto"/>
            <w:tcBorders>
              <w:top w:val="nil"/>
              <w:left w:val="nil"/>
              <w:bottom w:val="nil"/>
              <w:right w:val="nil"/>
            </w:tcBorders>
            <w:vAlign w:val="center"/>
          </w:tcPr>
          <w:p w14:paraId="3D2832A6">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Satco express</w:t>
            </w:r>
          </w:p>
        </w:tc>
        <w:tc>
          <w:tcPr>
            <w:tcW w:w="0" w:type="auto"/>
            <w:tcBorders>
              <w:top w:val="nil"/>
              <w:left w:val="nil"/>
              <w:bottom w:val="nil"/>
              <w:right w:val="nil"/>
            </w:tcBorders>
            <w:vAlign w:val="center"/>
          </w:tcPr>
          <w:p w14:paraId="4A2BEE09">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transportation</w:t>
            </w:r>
          </w:p>
        </w:tc>
        <w:tc>
          <w:tcPr>
            <w:tcW w:w="0" w:type="auto"/>
            <w:tcBorders>
              <w:top w:val="nil"/>
              <w:left w:val="nil"/>
              <w:bottom w:val="nil"/>
              <w:right w:val="nil"/>
            </w:tcBorders>
            <w:vAlign w:val="center"/>
          </w:tcPr>
          <w:p w14:paraId="1257A00C">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Sole proprietorship</w:t>
            </w:r>
          </w:p>
        </w:tc>
        <w:tc>
          <w:tcPr>
            <w:tcW w:w="0" w:type="auto"/>
            <w:tcBorders>
              <w:top w:val="nil"/>
              <w:left w:val="nil"/>
              <w:bottom w:val="nil"/>
              <w:right w:val="nil"/>
            </w:tcBorders>
            <w:vAlign w:val="center"/>
          </w:tcPr>
          <w:p w14:paraId="46A3987E">
            <w:pPr>
              <w:spacing w:after="0" w:line="276" w:lineRule="auto"/>
              <w:rPr>
                <w:rFonts w:ascii="Arial Narrow" w:hAnsi="Arial Narrow" w:eastAsia="Times New Roman" w:cs="Times New Roman"/>
                <w:color w:val="000000"/>
                <w:sz w:val="20"/>
                <w:szCs w:val="20"/>
              </w:rPr>
            </w:pPr>
          </w:p>
        </w:tc>
      </w:tr>
      <w:tr w14:paraId="18AF2180">
        <w:tblPrEx>
          <w:tblCellMar>
            <w:top w:w="0" w:type="dxa"/>
            <w:left w:w="108" w:type="dxa"/>
            <w:bottom w:w="0" w:type="dxa"/>
            <w:right w:w="108" w:type="dxa"/>
          </w:tblCellMar>
        </w:tblPrEx>
        <w:trPr>
          <w:trHeight w:val="315" w:hRule="atLeast"/>
        </w:trPr>
        <w:tc>
          <w:tcPr>
            <w:tcW w:w="0" w:type="auto"/>
            <w:tcBorders>
              <w:top w:val="nil"/>
              <w:left w:val="nil"/>
              <w:bottom w:val="nil"/>
              <w:right w:val="nil"/>
            </w:tcBorders>
            <w:vAlign w:val="center"/>
          </w:tcPr>
          <w:p w14:paraId="5103809D">
            <w:pPr>
              <w:spacing w:after="0" w:line="276" w:lineRule="auto"/>
              <w:rPr>
                <w:rFonts w:ascii="Arial Narrow" w:hAnsi="Arial Narrow" w:eastAsia="Times New Roman" w:cs="Times New Roman"/>
                <w:sz w:val="20"/>
                <w:szCs w:val="20"/>
              </w:rPr>
            </w:pPr>
          </w:p>
        </w:tc>
        <w:tc>
          <w:tcPr>
            <w:tcW w:w="0" w:type="auto"/>
            <w:tcBorders>
              <w:top w:val="nil"/>
              <w:left w:val="nil"/>
              <w:bottom w:val="single" w:color="auto" w:sz="8" w:space="0"/>
              <w:right w:val="nil"/>
            </w:tcBorders>
            <w:vAlign w:val="center"/>
          </w:tcPr>
          <w:p w14:paraId="0E69D6E9">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 xml:space="preserve">Kiliki </w:t>
            </w:r>
          </w:p>
        </w:tc>
        <w:tc>
          <w:tcPr>
            <w:tcW w:w="0" w:type="auto"/>
            <w:tcBorders>
              <w:top w:val="nil"/>
              <w:left w:val="nil"/>
              <w:bottom w:val="single" w:color="auto" w:sz="8" w:space="0"/>
              <w:right w:val="nil"/>
            </w:tcBorders>
            <w:vAlign w:val="center"/>
          </w:tcPr>
          <w:p w14:paraId="0D667440">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transportation</w:t>
            </w:r>
          </w:p>
        </w:tc>
        <w:tc>
          <w:tcPr>
            <w:tcW w:w="0" w:type="auto"/>
            <w:tcBorders>
              <w:top w:val="nil"/>
              <w:left w:val="nil"/>
              <w:bottom w:val="single" w:color="auto" w:sz="8" w:space="0"/>
              <w:right w:val="nil"/>
            </w:tcBorders>
            <w:vAlign w:val="center"/>
          </w:tcPr>
          <w:p w14:paraId="2E86794B">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 Co-operate</w:t>
            </w:r>
          </w:p>
        </w:tc>
        <w:tc>
          <w:tcPr>
            <w:tcW w:w="0" w:type="auto"/>
            <w:tcBorders>
              <w:top w:val="nil"/>
              <w:left w:val="nil"/>
              <w:bottom w:val="single" w:color="auto" w:sz="8" w:space="0"/>
              <w:right w:val="nil"/>
            </w:tcBorders>
            <w:vAlign w:val="center"/>
          </w:tcPr>
          <w:p w14:paraId="77E7F501">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 </w:t>
            </w:r>
          </w:p>
        </w:tc>
      </w:tr>
      <w:tr w14:paraId="0CEAD89A">
        <w:tblPrEx>
          <w:tblCellMar>
            <w:top w:w="0" w:type="dxa"/>
            <w:left w:w="108" w:type="dxa"/>
            <w:bottom w:w="0" w:type="dxa"/>
            <w:right w:w="108" w:type="dxa"/>
          </w:tblCellMar>
        </w:tblPrEx>
        <w:trPr>
          <w:trHeight w:val="375" w:hRule="atLeast"/>
        </w:trPr>
        <w:tc>
          <w:tcPr>
            <w:tcW w:w="0" w:type="auto"/>
            <w:tcBorders>
              <w:top w:val="nil"/>
              <w:left w:val="nil"/>
              <w:bottom w:val="nil"/>
              <w:right w:val="nil"/>
            </w:tcBorders>
            <w:vAlign w:val="center"/>
          </w:tcPr>
          <w:p w14:paraId="11A4E1FA">
            <w:pPr>
              <w:spacing w:after="0" w:line="276" w:lineRule="auto"/>
              <w:rPr>
                <w:rFonts w:ascii="Arial Narrow" w:hAnsi="Arial Narrow" w:eastAsia="Times New Roman" w:cs="Times New Roman"/>
                <w:b/>
                <w:bCs/>
                <w:color w:val="000000"/>
                <w:sz w:val="20"/>
                <w:szCs w:val="20"/>
              </w:rPr>
            </w:pPr>
            <w:r>
              <w:rPr>
                <w:rFonts w:ascii="Arial Narrow" w:hAnsi="Arial Narrow" w:eastAsia="Times New Roman" w:cs="Times New Roman"/>
                <w:b/>
                <w:bCs/>
                <w:color w:val="000000"/>
                <w:sz w:val="20"/>
                <w:szCs w:val="20"/>
              </w:rPr>
              <w:t>Industry sector</w:t>
            </w:r>
          </w:p>
        </w:tc>
        <w:tc>
          <w:tcPr>
            <w:tcW w:w="0" w:type="auto"/>
            <w:tcBorders>
              <w:top w:val="nil"/>
              <w:left w:val="nil"/>
              <w:bottom w:val="nil"/>
              <w:right w:val="nil"/>
            </w:tcBorders>
            <w:vAlign w:val="center"/>
          </w:tcPr>
          <w:p w14:paraId="7D7DE951">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Mwatano sunflowers</w:t>
            </w:r>
          </w:p>
        </w:tc>
        <w:tc>
          <w:tcPr>
            <w:tcW w:w="0" w:type="auto"/>
            <w:tcBorders>
              <w:top w:val="nil"/>
              <w:left w:val="nil"/>
              <w:bottom w:val="nil"/>
              <w:right w:val="nil"/>
            </w:tcBorders>
            <w:vAlign w:val="center"/>
          </w:tcPr>
          <w:p w14:paraId="626CBCCA">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Industry</w:t>
            </w:r>
          </w:p>
        </w:tc>
        <w:tc>
          <w:tcPr>
            <w:tcW w:w="0" w:type="auto"/>
            <w:tcBorders>
              <w:top w:val="nil"/>
              <w:left w:val="nil"/>
              <w:bottom w:val="nil"/>
              <w:right w:val="nil"/>
            </w:tcBorders>
            <w:vAlign w:val="center"/>
          </w:tcPr>
          <w:p w14:paraId="00936EAC">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partnership</w:t>
            </w:r>
          </w:p>
        </w:tc>
        <w:tc>
          <w:tcPr>
            <w:tcW w:w="0" w:type="auto"/>
            <w:tcBorders>
              <w:top w:val="nil"/>
              <w:left w:val="nil"/>
              <w:bottom w:val="nil"/>
              <w:right w:val="nil"/>
            </w:tcBorders>
            <w:vAlign w:val="center"/>
          </w:tcPr>
          <w:p w14:paraId="3309756E">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 xml:space="preserve">10 respondents </w:t>
            </w:r>
          </w:p>
        </w:tc>
      </w:tr>
      <w:tr w14:paraId="5C2FE934">
        <w:tblPrEx>
          <w:tblCellMar>
            <w:top w:w="0" w:type="dxa"/>
            <w:left w:w="108" w:type="dxa"/>
            <w:bottom w:w="0" w:type="dxa"/>
            <w:right w:w="108" w:type="dxa"/>
          </w:tblCellMar>
        </w:tblPrEx>
        <w:trPr>
          <w:trHeight w:val="300" w:hRule="atLeast"/>
        </w:trPr>
        <w:tc>
          <w:tcPr>
            <w:tcW w:w="0" w:type="auto"/>
            <w:tcBorders>
              <w:top w:val="nil"/>
              <w:left w:val="nil"/>
              <w:bottom w:val="nil"/>
              <w:right w:val="nil"/>
            </w:tcBorders>
            <w:vAlign w:val="center"/>
          </w:tcPr>
          <w:p w14:paraId="2884508B">
            <w:pPr>
              <w:spacing w:after="0" w:line="276" w:lineRule="auto"/>
              <w:rPr>
                <w:rFonts w:ascii="Arial Narrow" w:hAnsi="Arial Narrow" w:eastAsia="Times New Roman" w:cs="Times New Roman"/>
                <w:color w:val="000000"/>
                <w:sz w:val="20"/>
                <w:szCs w:val="20"/>
              </w:rPr>
            </w:pPr>
          </w:p>
        </w:tc>
        <w:tc>
          <w:tcPr>
            <w:tcW w:w="0" w:type="auto"/>
            <w:tcBorders>
              <w:top w:val="nil"/>
              <w:left w:val="nil"/>
              <w:bottom w:val="nil"/>
              <w:right w:val="nil"/>
            </w:tcBorders>
            <w:vAlign w:val="center"/>
          </w:tcPr>
          <w:p w14:paraId="7712B65A">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Alko vintage</w:t>
            </w:r>
          </w:p>
        </w:tc>
        <w:tc>
          <w:tcPr>
            <w:tcW w:w="0" w:type="auto"/>
            <w:tcBorders>
              <w:top w:val="nil"/>
              <w:left w:val="nil"/>
              <w:bottom w:val="nil"/>
              <w:right w:val="nil"/>
            </w:tcBorders>
            <w:vAlign w:val="center"/>
          </w:tcPr>
          <w:p w14:paraId="23EA98B0">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Industry</w:t>
            </w:r>
          </w:p>
        </w:tc>
        <w:tc>
          <w:tcPr>
            <w:tcW w:w="0" w:type="auto"/>
            <w:tcBorders>
              <w:top w:val="nil"/>
              <w:left w:val="nil"/>
              <w:bottom w:val="nil"/>
              <w:right w:val="nil"/>
            </w:tcBorders>
            <w:vAlign w:val="center"/>
          </w:tcPr>
          <w:p w14:paraId="79F06F13">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Sole proprietorship</w:t>
            </w:r>
          </w:p>
        </w:tc>
        <w:tc>
          <w:tcPr>
            <w:tcW w:w="0" w:type="auto"/>
            <w:tcBorders>
              <w:top w:val="nil"/>
              <w:left w:val="nil"/>
              <w:bottom w:val="nil"/>
              <w:right w:val="nil"/>
            </w:tcBorders>
            <w:vAlign w:val="center"/>
          </w:tcPr>
          <w:p w14:paraId="17E235A0">
            <w:pPr>
              <w:spacing w:after="0" w:line="276" w:lineRule="auto"/>
              <w:rPr>
                <w:rFonts w:ascii="Arial Narrow" w:hAnsi="Arial Narrow" w:eastAsia="Times New Roman" w:cs="Times New Roman"/>
                <w:color w:val="000000"/>
                <w:sz w:val="20"/>
                <w:szCs w:val="20"/>
              </w:rPr>
            </w:pPr>
          </w:p>
        </w:tc>
      </w:tr>
      <w:tr w14:paraId="2E8A6A2A">
        <w:tblPrEx>
          <w:tblCellMar>
            <w:top w:w="0" w:type="dxa"/>
            <w:left w:w="108" w:type="dxa"/>
            <w:bottom w:w="0" w:type="dxa"/>
            <w:right w:w="108" w:type="dxa"/>
          </w:tblCellMar>
        </w:tblPrEx>
        <w:trPr>
          <w:trHeight w:val="300" w:hRule="atLeast"/>
        </w:trPr>
        <w:tc>
          <w:tcPr>
            <w:tcW w:w="0" w:type="auto"/>
            <w:tcBorders>
              <w:top w:val="nil"/>
              <w:left w:val="nil"/>
              <w:bottom w:val="nil"/>
              <w:right w:val="nil"/>
            </w:tcBorders>
            <w:vAlign w:val="center"/>
          </w:tcPr>
          <w:p w14:paraId="351264EE">
            <w:pPr>
              <w:spacing w:after="0" w:line="276" w:lineRule="auto"/>
              <w:rPr>
                <w:rFonts w:ascii="Arial Narrow" w:hAnsi="Arial Narrow" w:eastAsia="Times New Roman" w:cs="Times New Roman"/>
                <w:sz w:val="20"/>
                <w:szCs w:val="20"/>
              </w:rPr>
            </w:pPr>
          </w:p>
        </w:tc>
        <w:tc>
          <w:tcPr>
            <w:tcW w:w="0" w:type="auto"/>
            <w:tcBorders>
              <w:top w:val="nil"/>
              <w:left w:val="nil"/>
              <w:bottom w:val="nil"/>
              <w:right w:val="nil"/>
            </w:tcBorders>
            <w:vAlign w:val="center"/>
          </w:tcPr>
          <w:p w14:paraId="1DB6CDAA">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Domige milling</w:t>
            </w:r>
          </w:p>
        </w:tc>
        <w:tc>
          <w:tcPr>
            <w:tcW w:w="0" w:type="auto"/>
            <w:tcBorders>
              <w:top w:val="nil"/>
              <w:left w:val="nil"/>
              <w:bottom w:val="nil"/>
              <w:right w:val="nil"/>
            </w:tcBorders>
            <w:vAlign w:val="center"/>
          </w:tcPr>
          <w:p w14:paraId="08FCA603">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Industry</w:t>
            </w:r>
          </w:p>
        </w:tc>
        <w:tc>
          <w:tcPr>
            <w:tcW w:w="0" w:type="auto"/>
            <w:tcBorders>
              <w:top w:val="nil"/>
              <w:left w:val="nil"/>
              <w:bottom w:val="nil"/>
              <w:right w:val="nil"/>
            </w:tcBorders>
            <w:vAlign w:val="center"/>
          </w:tcPr>
          <w:p w14:paraId="5F797DDB">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 Sole proprietorship</w:t>
            </w:r>
          </w:p>
        </w:tc>
        <w:tc>
          <w:tcPr>
            <w:tcW w:w="0" w:type="auto"/>
            <w:tcBorders>
              <w:top w:val="nil"/>
              <w:left w:val="nil"/>
              <w:bottom w:val="nil"/>
              <w:right w:val="nil"/>
            </w:tcBorders>
            <w:vAlign w:val="center"/>
          </w:tcPr>
          <w:p w14:paraId="52DE204F">
            <w:pPr>
              <w:spacing w:after="0" w:line="276" w:lineRule="auto"/>
              <w:rPr>
                <w:rFonts w:ascii="Arial Narrow" w:hAnsi="Arial Narrow" w:eastAsia="Times New Roman" w:cs="Times New Roman"/>
                <w:color w:val="000000"/>
                <w:sz w:val="20"/>
                <w:szCs w:val="20"/>
              </w:rPr>
            </w:pPr>
          </w:p>
        </w:tc>
      </w:tr>
      <w:tr w14:paraId="562FBA8C">
        <w:tblPrEx>
          <w:tblCellMar>
            <w:top w:w="0" w:type="dxa"/>
            <w:left w:w="108" w:type="dxa"/>
            <w:bottom w:w="0" w:type="dxa"/>
            <w:right w:w="108" w:type="dxa"/>
          </w:tblCellMar>
        </w:tblPrEx>
        <w:trPr>
          <w:trHeight w:val="300" w:hRule="atLeast"/>
        </w:trPr>
        <w:tc>
          <w:tcPr>
            <w:tcW w:w="0" w:type="auto"/>
            <w:tcBorders>
              <w:top w:val="nil"/>
              <w:left w:val="nil"/>
              <w:bottom w:val="nil"/>
              <w:right w:val="nil"/>
            </w:tcBorders>
            <w:vAlign w:val="center"/>
          </w:tcPr>
          <w:p w14:paraId="0F17A394">
            <w:pPr>
              <w:spacing w:after="0" w:line="276" w:lineRule="auto"/>
              <w:rPr>
                <w:rFonts w:ascii="Arial Narrow" w:hAnsi="Arial Narrow" w:eastAsia="Times New Roman" w:cs="Times New Roman"/>
                <w:sz w:val="20"/>
                <w:szCs w:val="20"/>
              </w:rPr>
            </w:pPr>
          </w:p>
        </w:tc>
        <w:tc>
          <w:tcPr>
            <w:tcW w:w="0" w:type="auto"/>
            <w:tcBorders>
              <w:top w:val="nil"/>
              <w:left w:val="nil"/>
              <w:bottom w:val="nil"/>
              <w:right w:val="nil"/>
            </w:tcBorders>
            <w:vAlign w:val="center"/>
          </w:tcPr>
          <w:p w14:paraId="18EB21D6">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Gwandi milling</w:t>
            </w:r>
          </w:p>
        </w:tc>
        <w:tc>
          <w:tcPr>
            <w:tcW w:w="0" w:type="auto"/>
            <w:tcBorders>
              <w:top w:val="nil"/>
              <w:left w:val="nil"/>
              <w:bottom w:val="nil"/>
              <w:right w:val="nil"/>
            </w:tcBorders>
            <w:vAlign w:val="center"/>
          </w:tcPr>
          <w:p w14:paraId="0F7DC3A5">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Industry</w:t>
            </w:r>
          </w:p>
        </w:tc>
        <w:tc>
          <w:tcPr>
            <w:tcW w:w="0" w:type="auto"/>
            <w:tcBorders>
              <w:top w:val="nil"/>
              <w:left w:val="nil"/>
              <w:bottom w:val="nil"/>
              <w:right w:val="nil"/>
            </w:tcBorders>
            <w:vAlign w:val="center"/>
          </w:tcPr>
          <w:p w14:paraId="66C74D8E">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 Sole proprietorship</w:t>
            </w:r>
          </w:p>
        </w:tc>
        <w:tc>
          <w:tcPr>
            <w:tcW w:w="0" w:type="auto"/>
            <w:tcBorders>
              <w:top w:val="nil"/>
              <w:left w:val="nil"/>
              <w:bottom w:val="nil"/>
              <w:right w:val="nil"/>
            </w:tcBorders>
            <w:vAlign w:val="center"/>
          </w:tcPr>
          <w:p w14:paraId="06F73EC5">
            <w:pPr>
              <w:spacing w:after="0" w:line="276" w:lineRule="auto"/>
              <w:rPr>
                <w:rFonts w:ascii="Arial Narrow" w:hAnsi="Arial Narrow" w:eastAsia="Times New Roman" w:cs="Times New Roman"/>
                <w:color w:val="000000"/>
                <w:sz w:val="20"/>
                <w:szCs w:val="20"/>
              </w:rPr>
            </w:pPr>
          </w:p>
        </w:tc>
      </w:tr>
      <w:tr w14:paraId="739EDF26">
        <w:tblPrEx>
          <w:tblCellMar>
            <w:top w:w="0" w:type="dxa"/>
            <w:left w:w="108" w:type="dxa"/>
            <w:bottom w:w="0" w:type="dxa"/>
            <w:right w:w="108" w:type="dxa"/>
          </w:tblCellMar>
        </w:tblPrEx>
        <w:trPr>
          <w:trHeight w:val="315" w:hRule="atLeast"/>
        </w:trPr>
        <w:tc>
          <w:tcPr>
            <w:tcW w:w="0" w:type="auto"/>
            <w:tcBorders>
              <w:top w:val="nil"/>
              <w:left w:val="nil"/>
              <w:bottom w:val="nil"/>
              <w:right w:val="nil"/>
            </w:tcBorders>
            <w:vAlign w:val="center"/>
          </w:tcPr>
          <w:p w14:paraId="0014626F">
            <w:pPr>
              <w:spacing w:after="0" w:line="276" w:lineRule="auto"/>
              <w:rPr>
                <w:rFonts w:ascii="Arial Narrow" w:hAnsi="Arial Narrow" w:eastAsia="Times New Roman" w:cs="Times New Roman"/>
                <w:sz w:val="20"/>
                <w:szCs w:val="20"/>
              </w:rPr>
            </w:pPr>
          </w:p>
        </w:tc>
        <w:tc>
          <w:tcPr>
            <w:tcW w:w="0" w:type="auto"/>
            <w:tcBorders>
              <w:top w:val="nil"/>
              <w:left w:val="nil"/>
              <w:bottom w:val="single" w:color="auto" w:sz="8" w:space="0"/>
              <w:right w:val="nil"/>
            </w:tcBorders>
            <w:vAlign w:val="center"/>
          </w:tcPr>
          <w:p w14:paraId="2910DA13">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Danny</w:t>
            </w:r>
          </w:p>
        </w:tc>
        <w:tc>
          <w:tcPr>
            <w:tcW w:w="0" w:type="auto"/>
            <w:tcBorders>
              <w:top w:val="nil"/>
              <w:left w:val="nil"/>
              <w:bottom w:val="single" w:color="auto" w:sz="8" w:space="0"/>
              <w:right w:val="nil"/>
            </w:tcBorders>
            <w:vAlign w:val="center"/>
          </w:tcPr>
          <w:p w14:paraId="068AC2A7">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Industry</w:t>
            </w:r>
          </w:p>
        </w:tc>
        <w:tc>
          <w:tcPr>
            <w:tcW w:w="0" w:type="auto"/>
            <w:tcBorders>
              <w:top w:val="nil"/>
              <w:left w:val="nil"/>
              <w:bottom w:val="single" w:color="auto" w:sz="8" w:space="0"/>
              <w:right w:val="nil"/>
            </w:tcBorders>
            <w:vAlign w:val="center"/>
          </w:tcPr>
          <w:p w14:paraId="145A472E">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 Sole proprietorship</w:t>
            </w:r>
          </w:p>
        </w:tc>
        <w:tc>
          <w:tcPr>
            <w:tcW w:w="0" w:type="auto"/>
            <w:tcBorders>
              <w:top w:val="nil"/>
              <w:left w:val="nil"/>
              <w:bottom w:val="single" w:color="auto" w:sz="8" w:space="0"/>
              <w:right w:val="nil"/>
            </w:tcBorders>
            <w:vAlign w:val="center"/>
          </w:tcPr>
          <w:p w14:paraId="66696043">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 </w:t>
            </w:r>
          </w:p>
        </w:tc>
      </w:tr>
      <w:tr w14:paraId="2C0F7715">
        <w:tblPrEx>
          <w:tblCellMar>
            <w:top w:w="0" w:type="dxa"/>
            <w:left w:w="108" w:type="dxa"/>
            <w:bottom w:w="0" w:type="dxa"/>
            <w:right w:w="108" w:type="dxa"/>
          </w:tblCellMar>
        </w:tblPrEx>
        <w:trPr>
          <w:trHeight w:val="300" w:hRule="atLeast"/>
        </w:trPr>
        <w:tc>
          <w:tcPr>
            <w:tcW w:w="0" w:type="auto"/>
            <w:tcBorders>
              <w:top w:val="nil"/>
              <w:left w:val="nil"/>
              <w:bottom w:val="nil"/>
              <w:right w:val="nil"/>
            </w:tcBorders>
            <w:vAlign w:val="center"/>
          </w:tcPr>
          <w:p w14:paraId="30E3BBD4">
            <w:pPr>
              <w:spacing w:after="0" w:line="276" w:lineRule="auto"/>
              <w:rPr>
                <w:rFonts w:ascii="Arial Narrow" w:hAnsi="Arial Narrow" w:eastAsia="Times New Roman" w:cs="Times New Roman"/>
                <w:b/>
                <w:bCs/>
                <w:color w:val="000000"/>
                <w:sz w:val="20"/>
                <w:szCs w:val="20"/>
              </w:rPr>
            </w:pPr>
            <w:r>
              <w:rPr>
                <w:rFonts w:ascii="Arial Narrow" w:hAnsi="Arial Narrow" w:eastAsia="Times New Roman" w:cs="Times New Roman"/>
                <w:b/>
                <w:bCs/>
                <w:color w:val="000000"/>
                <w:sz w:val="20"/>
                <w:szCs w:val="20"/>
              </w:rPr>
              <w:t>Fuel station sector</w:t>
            </w:r>
          </w:p>
        </w:tc>
        <w:tc>
          <w:tcPr>
            <w:tcW w:w="0" w:type="auto"/>
            <w:tcBorders>
              <w:top w:val="nil"/>
              <w:left w:val="nil"/>
              <w:bottom w:val="nil"/>
              <w:right w:val="nil"/>
            </w:tcBorders>
            <w:vAlign w:val="center"/>
          </w:tcPr>
          <w:p w14:paraId="2BA973C8">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O-lake filling station</w:t>
            </w:r>
          </w:p>
        </w:tc>
        <w:tc>
          <w:tcPr>
            <w:tcW w:w="0" w:type="auto"/>
            <w:tcBorders>
              <w:top w:val="nil"/>
              <w:left w:val="nil"/>
              <w:bottom w:val="nil"/>
              <w:right w:val="nil"/>
            </w:tcBorders>
            <w:vAlign w:val="center"/>
          </w:tcPr>
          <w:p w14:paraId="1ECB893D">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Oil filling station</w:t>
            </w:r>
          </w:p>
        </w:tc>
        <w:tc>
          <w:tcPr>
            <w:tcW w:w="0" w:type="auto"/>
            <w:tcBorders>
              <w:top w:val="nil"/>
              <w:left w:val="nil"/>
              <w:bottom w:val="nil"/>
              <w:right w:val="nil"/>
            </w:tcBorders>
            <w:vAlign w:val="center"/>
          </w:tcPr>
          <w:p w14:paraId="015CAAE0">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corporate</w:t>
            </w:r>
          </w:p>
        </w:tc>
        <w:tc>
          <w:tcPr>
            <w:tcW w:w="0" w:type="auto"/>
            <w:tcBorders>
              <w:top w:val="nil"/>
              <w:left w:val="nil"/>
              <w:bottom w:val="nil"/>
              <w:right w:val="nil"/>
            </w:tcBorders>
            <w:vAlign w:val="center"/>
          </w:tcPr>
          <w:p w14:paraId="5B141250">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 xml:space="preserve">10 respondents </w:t>
            </w:r>
          </w:p>
        </w:tc>
      </w:tr>
      <w:tr w14:paraId="792E5935">
        <w:tblPrEx>
          <w:tblCellMar>
            <w:top w:w="0" w:type="dxa"/>
            <w:left w:w="108" w:type="dxa"/>
            <w:bottom w:w="0" w:type="dxa"/>
            <w:right w:w="108" w:type="dxa"/>
          </w:tblCellMar>
        </w:tblPrEx>
        <w:trPr>
          <w:trHeight w:val="300" w:hRule="atLeast"/>
        </w:trPr>
        <w:tc>
          <w:tcPr>
            <w:tcW w:w="0" w:type="auto"/>
            <w:tcBorders>
              <w:top w:val="nil"/>
              <w:left w:val="nil"/>
              <w:bottom w:val="nil"/>
              <w:right w:val="nil"/>
            </w:tcBorders>
            <w:vAlign w:val="center"/>
          </w:tcPr>
          <w:p w14:paraId="685834C5">
            <w:pPr>
              <w:spacing w:after="0" w:line="276" w:lineRule="auto"/>
              <w:rPr>
                <w:rFonts w:ascii="Arial Narrow" w:hAnsi="Arial Narrow" w:eastAsia="Times New Roman" w:cs="Times New Roman"/>
                <w:color w:val="000000"/>
                <w:sz w:val="20"/>
                <w:szCs w:val="20"/>
              </w:rPr>
            </w:pPr>
          </w:p>
        </w:tc>
        <w:tc>
          <w:tcPr>
            <w:tcW w:w="0" w:type="auto"/>
            <w:tcBorders>
              <w:top w:val="nil"/>
              <w:left w:val="nil"/>
              <w:bottom w:val="nil"/>
              <w:right w:val="nil"/>
            </w:tcBorders>
            <w:vAlign w:val="center"/>
          </w:tcPr>
          <w:p w14:paraId="1AED6919">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Afroil filling station</w:t>
            </w:r>
          </w:p>
        </w:tc>
        <w:tc>
          <w:tcPr>
            <w:tcW w:w="0" w:type="auto"/>
            <w:tcBorders>
              <w:top w:val="nil"/>
              <w:left w:val="nil"/>
              <w:bottom w:val="nil"/>
              <w:right w:val="nil"/>
            </w:tcBorders>
            <w:vAlign w:val="center"/>
          </w:tcPr>
          <w:p w14:paraId="20E59D68">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Oil filling station</w:t>
            </w:r>
          </w:p>
        </w:tc>
        <w:tc>
          <w:tcPr>
            <w:tcW w:w="0" w:type="auto"/>
            <w:tcBorders>
              <w:top w:val="nil"/>
              <w:left w:val="nil"/>
              <w:bottom w:val="nil"/>
              <w:right w:val="nil"/>
            </w:tcBorders>
            <w:vAlign w:val="center"/>
          </w:tcPr>
          <w:p w14:paraId="23D45089">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Sole proprietorship</w:t>
            </w:r>
          </w:p>
        </w:tc>
        <w:tc>
          <w:tcPr>
            <w:tcW w:w="0" w:type="auto"/>
            <w:tcBorders>
              <w:top w:val="nil"/>
              <w:left w:val="nil"/>
              <w:bottom w:val="nil"/>
              <w:right w:val="nil"/>
            </w:tcBorders>
            <w:vAlign w:val="center"/>
          </w:tcPr>
          <w:p w14:paraId="232262A0">
            <w:pPr>
              <w:spacing w:after="0" w:line="276" w:lineRule="auto"/>
              <w:rPr>
                <w:rFonts w:ascii="Arial Narrow" w:hAnsi="Arial Narrow" w:eastAsia="Times New Roman" w:cs="Times New Roman"/>
                <w:color w:val="000000"/>
                <w:sz w:val="20"/>
                <w:szCs w:val="20"/>
              </w:rPr>
            </w:pPr>
          </w:p>
        </w:tc>
      </w:tr>
      <w:tr w14:paraId="47A55E62">
        <w:tblPrEx>
          <w:tblCellMar>
            <w:top w:w="0" w:type="dxa"/>
            <w:left w:w="108" w:type="dxa"/>
            <w:bottom w:w="0" w:type="dxa"/>
            <w:right w:w="108" w:type="dxa"/>
          </w:tblCellMar>
        </w:tblPrEx>
        <w:trPr>
          <w:trHeight w:val="315" w:hRule="atLeast"/>
        </w:trPr>
        <w:tc>
          <w:tcPr>
            <w:tcW w:w="0" w:type="auto"/>
            <w:tcBorders>
              <w:top w:val="nil"/>
              <w:left w:val="nil"/>
              <w:bottom w:val="nil"/>
              <w:right w:val="nil"/>
            </w:tcBorders>
            <w:vAlign w:val="center"/>
          </w:tcPr>
          <w:p w14:paraId="0221323B">
            <w:pPr>
              <w:spacing w:after="0" w:line="276" w:lineRule="auto"/>
              <w:rPr>
                <w:rFonts w:ascii="Arial Narrow" w:hAnsi="Arial Narrow" w:eastAsia="Times New Roman" w:cs="Times New Roman"/>
                <w:sz w:val="20"/>
                <w:szCs w:val="20"/>
              </w:rPr>
            </w:pPr>
          </w:p>
        </w:tc>
        <w:tc>
          <w:tcPr>
            <w:tcW w:w="0" w:type="auto"/>
            <w:tcBorders>
              <w:top w:val="nil"/>
              <w:left w:val="nil"/>
              <w:bottom w:val="single" w:color="auto" w:sz="8" w:space="0"/>
              <w:right w:val="nil"/>
            </w:tcBorders>
            <w:vAlign w:val="center"/>
          </w:tcPr>
          <w:p w14:paraId="4E90AB2B">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Total energy</w:t>
            </w:r>
          </w:p>
        </w:tc>
        <w:tc>
          <w:tcPr>
            <w:tcW w:w="0" w:type="auto"/>
            <w:tcBorders>
              <w:top w:val="nil"/>
              <w:left w:val="nil"/>
              <w:bottom w:val="single" w:color="auto" w:sz="8" w:space="0"/>
              <w:right w:val="nil"/>
            </w:tcBorders>
            <w:vAlign w:val="center"/>
          </w:tcPr>
          <w:p w14:paraId="1F037122">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Oil filling station</w:t>
            </w:r>
          </w:p>
        </w:tc>
        <w:tc>
          <w:tcPr>
            <w:tcW w:w="0" w:type="auto"/>
            <w:tcBorders>
              <w:top w:val="nil"/>
              <w:left w:val="nil"/>
              <w:bottom w:val="single" w:color="auto" w:sz="8" w:space="0"/>
              <w:right w:val="nil"/>
            </w:tcBorders>
            <w:vAlign w:val="center"/>
          </w:tcPr>
          <w:p w14:paraId="6217EE08">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Corporate</w:t>
            </w:r>
          </w:p>
        </w:tc>
        <w:tc>
          <w:tcPr>
            <w:tcW w:w="0" w:type="auto"/>
            <w:tcBorders>
              <w:top w:val="nil"/>
              <w:left w:val="nil"/>
              <w:bottom w:val="single" w:color="auto" w:sz="8" w:space="0"/>
              <w:right w:val="nil"/>
            </w:tcBorders>
            <w:vAlign w:val="center"/>
          </w:tcPr>
          <w:p w14:paraId="4B138A17">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 </w:t>
            </w:r>
          </w:p>
        </w:tc>
      </w:tr>
      <w:tr w14:paraId="3A630A8A">
        <w:tblPrEx>
          <w:tblCellMar>
            <w:top w:w="0" w:type="dxa"/>
            <w:left w:w="108" w:type="dxa"/>
            <w:bottom w:w="0" w:type="dxa"/>
            <w:right w:w="108" w:type="dxa"/>
          </w:tblCellMar>
        </w:tblPrEx>
        <w:trPr>
          <w:trHeight w:val="300" w:hRule="atLeast"/>
        </w:trPr>
        <w:tc>
          <w:tcPr>
            <w:tcW w:w="0" w:type="auto"/>
            <w:tcBorders>
              <w:top w:val="nil"/>
              <w:left w:val="nil"/>
              <w:bottom w:val="nil"/>
              <w:right w:val="nil"/>
            </w:tcBorders>
            <w:vAlign w:val="center"/>
          </w:tcPr>
          <w:p w14:paraId="2E22C120">
            <w:pPr>
              <w:spacing w:after="0" w:line="276" w:lineRule="auto"/>
              <w:rPr>
                <w:rFonts w:ascii="Arial Narrow" w:hAnsi="Arial Narrow" w:eastAsia="Times New Roman" w:cs="Times New Roman"/>
                <w:b/>
                <w:bCs/>
                <w:color w:val="000000"/>
                <w:sz w:val="20"/>
                <w:szCs w:val="20"/>
              </w:rPr>
            </w:pPr>
            <w:r>
              <w:rPr>
                <w:rFonts w:ascii="Arial Narrow" w:hAnsi="Arial Narrow" w:eastAsia="Times New Roman" w:cs="Times New Roman"/>
                <w:b/>
                <w:bCs/>
                <w:color w:val="000000"/>
                <w:sz w:val="20"/>
                <w:szCs w:val="20"/>
              </w:rPr>
              <w:t>Hospitality sector</w:t>
            </w:r>
          </w:p>
        </w:tc>
        <w:tc>
          <w:tcPr>
            <w:tcW w:w="0" w:type="auto"/>
            <w:tcBorders>
              <w:top w:val="nil"/>
              <w:left w:val="nil"/>
              <w:bottom w:val="nil"/>
              <w:right w:val="nil"/>
            </w:tcBorders>
            <w:vAlign w:val="center"/>
          </w:tcPr>
          <w:p w14:paraId="0657B535">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Mwambao catering</w:t>
            </w:r>
          </w:p>
        </w:tc>
        <w:tc>
          <w:tcPr>
            <w:tcW w:w="0" w:type="auto"/>
            <w:tcBorders>
              <w:top w:val="nil"/>
              <w:left w:val="nil"/>
              <w:bottom w:val="nil"/>
              <w:right w:val="nil"/>
            </w:tcBorders>
            <w:vAlign w:val="center"/>
          </w:tcPr>
          <w:p w14:paraId="6DCF57CA">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Catering and food services</w:t>
            </w:r>
          </w:p>
        </w:tc>
        <w:tc>
          <w:tcPr>
            <w:tcW w:w="0" w:type="auto"/>
            <w:tcBorders>
              <w:top w:val="nil"/>
              <w:left w:val="nil"/>
              <w:bottom w:val="nil"/>
              <w:right w:val="nil"/>
            </w:tcBorders>
            <w:vAlign w:val="center"/>
          </w:tcPr>
          <w:p w14:paraId="4667E0A9">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 Co-operate</w:t>
            </w:r>
          </w:p>
        </w:tc>
        <w:tc>
          <w:tcPr>
            <w:tcW w:w="0" w:type="auto"/>
            <w:tcBorders>
              <w:top w:val="nil"/>
              <w:left w:val="nil"/>
              <w:bottom w:val="nil"/>
              <w:right w:val="nil"/>
            </w:tcBorders>
            <w:vAlign w:val="center"/>
          </w:tcPr>
          <w:p w14:paraId="1A228C0A">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 xml:space="preserve">10 respondents </w:t>
            </w:r>
          </w:p>
        </w:tc>
      </w:tr>
      <w:tr w14:paraId="3160788F">
        <w:tblPrEx>
          <w:tblCellMar>
            <w:top w:w="0" w:type="dxa"/>
            <w:left w:w="108" w:type="dxa"/>
            <w:bottom w:w="0" w:type="dxa"/>
            <w:right w:w="108" w:type="dxa"/>
          </w:tblCellMar>
        </w:tblPrEx>
        <w:trPr>
          <w:trHeight w:val="300" w:hRule="atLeast"/>
        </w:trPr>
        <w:tc>
          <w:tcPr>
            <w:tcW w:w="0" w:type="auto"/>
            <w:tcBorders>
              <w:top w:val="nil"/>
              <w:left w:val="nil"/>
              <w:bottom w:val="nil"/>
              <w:right w:val="nil"/>
            </w:tcBorders>
            <w:vAlign w:val="center"/>
          </w:tcPr>
          <w:p w14:paraId="04981EBD">
            <w:pPr>
              <w:spacing w:after="0" w:line="276" w:lineRule="auto"/>
              <w:rPr>
                <w:rFonts w:ascii="Arial Narrow" w:hAnsi="Arial Narrow" w:eastAsia="Times New Roman" w:cs="Times New Roman"/>
                <w:color w:val="000000"/>
                <w:sz w:val="20"/>
                <w:szCs w:val="20"/>
              </w:rPr>
            </w:pPr>
          </w:p>
        </w:tc>
        <w:tc>
          <w:tcPr>
            <w:tcW w:w="0" w:type="auto"/>
            <w:tcBorders>
              <w:top w:val="nil"/>
              <w:left w:val="nil"/>
              <w:bottom w:val="nil"/>
              <w:right w:val="nil"/>
            </w:tcBorders>
            <w:vAlign w:val="center"/>
          </w:tcPr>
          <w:p w14:paraId="5ADFDA87">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Royal village</w:t>
            </w:r>
          </w:p>
        </w:tc>
        <w:tc>
          <w:tcPr>
            <w:tcW w:w="0" w:type="auto"/>
            <w:tcBorders>
              <w:top w:val="nil"/>
              <w:left w:val="nil"/>
              <w:bottom w:val="nil"/>
              <w:right w:val="nil"/>
            </w:tcBorders>
            <w:vAlign w:val="center"/>
          </w:tcPr>
          <w:p w14:paraId="58CF4AC7">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Catering and food services</w:t>
            </w:r>
          </w:p>
        </w:tc>
        <w:tc>
          <w:tcPr>
            <w:tcW w:w="0" w:type="auto"/>
            <w:tcBorders>
              <w:top w:val="nil"/>
              <w:left w:val="nil"/>
              <w:bottom w:val="nil"/>
              <w:right w:val="nil"/>
            </w:tcBorders>
            <w:vAlign w:val="center"/>
          </w:tcPr>
          <w:p w14:paraId="2374970D">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  Co-operate</w:t>
            </w:r>
          </w:p>
        </w:tc>
        <w:tc>
          <w:tcPr>
            <w:tcW w:w="0" w:type="auto"/>
            <w:tcBorders>
              <w:top w:val="nil"/>
              <w:left w:val="nil"/>
              <w:bottom w:val="nil"/>
              <w:right w:val="nil"/>
            </w:tcBorders>
            <w:vAlign w:val="center"/>
          </w:tcPr>
          <w:p w14:paraId="4AD390A2">
            <w:pPr>
              <w:spacing w:after="0" w:line="276" w:lineRule="auto"/>
              <w:rPr>
                <w:rFonts w:ascii="Arial Narrow" w:hAnsi="Arial Narrow" w:eastAsia="Times New Roman" w:cs="Times New Roman"/>
                <w:color w:val="000000"/>
                <w:sz w:val="20"/>
                <w:szCs w:val="20"/>
              </w:rPr>
            </w:pPr>
          </w:p>
        </w:tc>
      </w:tr>
      <w:tr w14:paraId="6D45A9D2">
        <w:tblPrEx>
          <w:tblCellMar>
            <w:top w:w="0" w:type="dxa"/>
            <w:left w:w="108" w:type="dxa"/>
            <w:bottom w:w="0" w:type="dxa"/>
            <w:right w:w="108" w:type="dxa"/>
          </w:tblCellMar>
        </w:tblPrEx>
        <w:trPr>
          <w:trHeight w:val="300" w:hRule="atLeast"/>
        </w:trPr>
        <w:tc>
          <w:tcPr>
            <w:tcW w:w="0" w:type="auto"/>
            <w:tcBorders>
              <w:top w:val="nil"/>
              <w:left w:val="nil"/>
              <w:bottom w:val="nil"/>
              <w:right w:val="nil"/>
            </w:tcBorders>
            <w:vAlign w:val="center"/>
          </w:tcPr>
          <w:p w14:paraId="5CFDDA64">
            <w:pPr>
              <w:spacing w:after="0" w:line="276" w:lineRule="auto"/>
              <w:rPr>
                <w:rFonts w:ascii="Arial Narrow" w:hAnsi="Arial Narrow" w:eastAsia="Times New Roman" w:cs="Times New Roman"/>
                <w:sz w:val="20"/>
                <w:szCs w:val="20"/>
              </w:rPr>
            </w:pPr>
          </w:p>
        </w:tc>
        <w:tc>
          <w:tcPr>
            <w:tcW w:w="0" w:type="auto"/>
            <w:tcBorders>
              <w:top w:val="nil"/>
              <w:left w:val="nil"/>
              <w:bottom w:val="nil"/>
              <w:right w:val="nil"/>
            </w:tcBorders>
            <w:vAlign w:val="center"/>
          </w:tcPr>
          <w:p w14:paraId="11B0235F">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Chief asili</w:t>
            </w:r>
          </w:p>
        </w:tc>
        <w:tc>
          <w:tcPr>
            <w:tcW w:w="0" w:type="auto"/>
            <w:tcBorders>
              <w:top w:val="nil"/>
              <w:left w:val="nil"/>
              <w:bottom w:val="nil"/>
              <w:right w:val="nil"/>
            </w:tcBorders>
            <w:vAlign w:val="center"/>
          </w:tcPr>
          <w:p w14:paraId="2D499C59">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Catering and food services</w:t>
            </w:r>
          </w:p>
        </w:tc>
        <w:tc>
          <w:tcPr>
            <w:tcW w:w="0" w:type="auto"/>
            <w:tcBorders>
              <w:top w:val="nil"/>
              <w:left w:val="nil"/>
              <w:bottom w:val="nil"/>
              <w:right w:val="nil"/>
            </w:tcBorders>
            <w:vAlign w:val="center"/>
          </w:tcPr>
          <w:p w14:paraId="7BFFDBF1">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 Co-operate </w:t>
            </w:r>
          </w:p>
        </w:tc>
        <w:tc>
          <w:tcPr>
            <w:tcW w:w="0" w:type="auto"/>
            <w:tcBorders>
              <w:top w:val="nil"/>
              <w:left w:val="nil"/>
              <w:bottom w:val="nil"/>
              <w:right w:val="nil"/>
            </w:tcBorders>
            <w:vAlign w:val="center"/>
          </w:tcPr>
          <w:p w14:paraId="21A5B60C">
            <w:pPr>
              <w:spacing w:after="0" w:line="276" w:lineRule="auto"/>
              <w:rPr>
                <w:rFonts w:ascii="Arial Narrow" w:hAnsi="Arial Narrow" w:eastAsia="Times New Roman" w:cs="Times New Roman"/>
                <w:color w:val="000000"/>
                <w:sz w:val="20"/>
                <w:szCs w:val="20"/>
              </w:rPr>
            </w:pPr>
          </w:p>
        </w:tc>
      </w:tr>
      <w:tr w14:paraId="6A451998">
        <w:tblPrEx>
          <w:tblCellMar>
            <w:top w:w="0" w:type="dxa"/>
            <w:left w:w="108" w:type="dxa"/>
            <w:bottom w:w="0" w:type="dxa"/>
            <w:right w:w="108" w:type="dxa"/>
          </w:tblCellMar>
        </w:tblPrEx>
        <w:trPr>
          <w:trHeight w:val="300" w:hRule="atLeast"/>
        </w:trPr>
        <w:tc>
          <w:tcPr>
            <w:tcW w:w="0" w:type="auto"/>
            <w:tcBorders>
              <w:top w:val="nil"/>
              <w:left w:val="nil"/>
              <w:bottom w:val="nil"/>
              <w:right w:val="nil"/>
            </w:tcBorders>
            <w:vAlign w:val="center"/>
          </w:tcPr>
          <w:p w14:paraId="2490D7B9">
            <w:pPr>
              <w:spacing w:after="0" w:line="276" w:lineRule="auto"/>
              <w:rPr>
                <w:rFonts w:ascii="Arial Narrow" w:hAnsi="Arial Narrow" w:eastAsia="Times New Roman" w:cs="Times New Roman"/>
                <w:sz w:val="20"/>
                <w:szCs w:val="20"/>
              </w:rPr>
            </w:pPr>
          </w:p>
        </w:tc>
        <w:tc>
          <w:tcPr>
            <w:tcW w:w="0" w:type="auto"/>
            <w:tcBorders>
              <w:top w:val="nil"/>
              <w:left w:val="nil"/>
              <w:bottom w:val="nil"/>
              <w:right w:val="nil"/>
            </w:tcBorders>
            <w:vAlign w:val="center"/>
          </w:tcPr>
          <w:p w14:paraId="63B0A68D">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Residence hotel</w:t>
            </w:r>
          </w:p>
        </w:tc>
        <w:tc>
          <w:tcPr>
            <w:tcW w:w="0" w:type="auto"/>
            <w:tcBorders>
              <w:top w:val="nil"/>
              <w:left w:val="nil"/>
              <w:bottom w:val="nil"/>
              <w:right w:val="nil"/>
            </w:tcBorders>
            <w:vAlign w:val="center"/>
          </w:tcPr>
          <w:p w14:paraId="0AF260F8">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Catering and food services</w:t>
            </w:r>
          </w:p>
        </w:tc>
        <w:tc>
          <w:tcPr>
            <w:tcW w:w="0" w:type="auto"/>
            <w:tcBorders>
              <w:top w:val="nil"/>
              <w:left w:val="nil"/>
              <w:bottom w:val="nil"/>
              <w:right w:val="nil"/>
            </w:tcBorders>
            <w:vAlign w:val="center"/>
          </w:tcPr>
          <w:p w14:paraId="0F7EB33C">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  Co-operate</w:t>
            </w:r>
          </w:p>
        </w:tc>
        <w:tc>
          <w:tcPr>
            <w:tcW w:w="0" w:type="auto"/>
            <w:tcBorders>
              <w:top w:val="nil"/>
              <w:left w:val="nil"/>
              <w:bottom w:val="nil"/>
              <w:right w:val="nil"/>
            </w:tcBorders>
            <w:vAlign w:val="center"/>
          </w:tcPr>
          <w:p w14:paraId="0AAEAD90">
            <w:pPr>
              <w:spacing w:after="0" w:line="276" w:lineRule="auto"/>
              <w:rPr>
                <w:rFonts w:ascii="Arial Narrow" w:hAnsi="Arial Narrow" w:eastAsia="Times New Roman" w:cs="Times New Roman"/>
                <w:color w:val="000000"/>
                <w:sz w:val="20"/>
                <w:szCs w:val="20"/>
              </w:rPr>
            </w:pPr>
          </w:p>
        </w:tc>
      </w:tr>
      <w:tr w14:paraId="13AD9D5A">
        <w:tblPrEx>
          <w:tblCellMar>
            <w:top w:w="0" w:type="dxa"/>
            <w:left w:w="108" w:type="dxa"/>
            <w:bottom w:w="0" w:type="dxa"/>
            <w:right w:w="108" w:type="dxa"/>
          </w:tblCellMar>
        </w:tblPrEx>
        <w:trPr>
          <w:trHeight w:val="300" w:hRule="atLeast"/>
        </w:trPr>
        <w:tc>
          <w:tcPr>
            <w:tcW w:w="0" w:type="auto"/>
            <w:tcBorders>
              <w:top w:val="nil"/>
              <w:left w:val="nil"/>
              <w:bottom w:val="nil"/>
              <w:right w:val="nil"/>
            </w:tcBorders>
            <w:vAlign w:val="center"/>
          </w:tcPr>
          <w:p w14:paraId="77F3C378">
            <w:pPr>
              <w:spacing w:after="0" w:line="276" w:lineRule="auto"/>
              <w:rPr>
                <w:rFonts w:ascii="Arial Narrow" w:hAnsi="Arial Narrow" w:eastAsia="Times New Roman" w:cs="Times New Roman"/>
                <w:sz w:val="20"/>
                <w:szCs w:val="20"/>
              </w:rPr>
            </w:pPr>
          </w:p>
        </w:tc>
        <w:tc>
          <w:tcPr>
            <w:tcW w:w="0" w:type="auto"/>
            <w:tcBorders>
              <w:top w:val="nil"/>
              <w:left w:val="nil"/>
              <w:bottom w:val="nil"/>
              <w:right w:val="nil"/>
            </w:tcBorders>
            <w:vAlign w:val="center"/>
          </w:tcPr>
          <w:p w14:paraId="5D9EB7F8">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Simba hotel</w:t>
            </w:r>
          </w:p>
        </w:tc>
        <w:tc>
          <w:tcPr>
            <w:tcW w:w="0" w:type="auto"/>
            <w:tcBorders>
              <w:top w:val="nil"/>
              <w:left w:val="nil"/>
              <w:bottom w:val="nil"/>
              <w:right w:val="nil"/>
            </w:tcBorders>
            <w:vAlign w:val="center"/>
          </w:tcPr>
          <w:p w14:paraId="2D049C28">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Catering and food services</w:t>
            </w:r>
          </w:p>
        </w:tc>
        <w:tc>
          <w:tcPr>
            <w:tcW w:w="0" w:type="auto"/>
            <w:tcBorders>
              <w:top w:val="nil"/>
              <w:left w:val="nil"/>
              <w:bottom w:val="nil"/>
              <w:right w:val="nil"/>
            </w:tcBorders>
            <w:vAlign w:val="center"/>
          </w:tcPr>
          <w:p w14:paraId="24E77610">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Partnership</w:t>
            </w:r>
          </w:p>
        </w:tc>
        <w:tc>
          <w:tcPr>
            <w:tcW w:w="0" w:type="auto"/>
            <w:tcBorders>
              <w:top w:val="nil"/>
              <w:left w:val="nil"/>
              <w:bottom w:val="nil"/>
              <w:right w:val="nil"/>
            </w:tcBorders>
            <w:vAlign w:val="center"/>
          </w:tcPr>
          <w:p w14:paraId="5EA8FAE2">
            <w:pPr>
              <w:spacing w:after="0" w:line="276" w:lineRule="auto"/>
              <w:rPr>
                <w:rFonts w:ascii="Arial Narrow" w:hAnsi="Arial Narrow" w:eastAsia="Times New Roman" w:cs="Times New Roman"/>
                <w:color w:val="000000"/>
                <w:sz w:val="20"/>
                <w:szCs w:val="20"/>
              </w:rPr>
            </w:pPr>
          </w:p>
        </w:tc>
      </w:tr>
      <w:tr w14:paraId="540CB8C9">
        <w:tblPrEx>
          <w:tblCellMar>
            <w:top w:w="0" w:type="dxa"/>
            <w:left w:w="108" w:type="dxa"/>
            <w:bottom w:w="0" w:type="dxa"/>
            <w:right w:w="108" w:type="dxa"/>
          </w:tblCellMar>
        </w:tblPrEx>
        <w:trPr>
          <w:trHeight w:val="300" w:hRule="atLeast"/>
        </w:trPr>
        <w:tc>
          <w:tcPr>
            <w:tcW w:w="0" w:type="auto"/>
            <w:tcBorders>
              <w:top w:val="nil"/>
              <w:left w:val="nil"/>
              <w:bottom w:val="nil"/>
              <w:right w:val="nil"/>
            </w:tcBorders>
            <w:vAlign w:val="center"/>
          </w:tcPr>
          <w:p w14:paraId="067A32BB">
            <w:pPr>
              <w:spacing w:after="0" w:line="276" w:lineRule="auto"/>
              <w:rPr>
                <w:rFonts w:ascii="Arial Narrow" w:hAnsi="Arial Narrow" w:eastAsia="Times New Roman" w:cs="Times New Roman"/>
                <w:sz w:val="20"/>
                <w:szCs w:val="20"/>
              </w:rPr>
            </w:pPr>
          </w:p>
        </w:tc>
        <w:tc>
          <w:tcPr>
            <w:tcW w:w="0" w:type="auto"/>
            <w:tcBorders>
              <w:top w:val="nil"/>
              <w:left w:val="nil"/>
              <w:bottom w:val="nil"/>
              <w:right w:val="nil"/>
            </w:tcBorders>
            <w:vAlign w:val="center"/>
          </w:tcPr>
          <w:p w14:paraId="18F8E9C8">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Shishi food</w:t>
            </w:r>
          </w:p>
        </w:tc>
        <w:tc>
          <w:tcPr>
            <w:tcW w:w="0" w:type="auto"/>
            <w:tcBorders>
              <w:top w:val="nil"/>
              <w:left w:val="nil"/>
              <w:bottom w:val="nil"/>
              <w:right w:val="nil"/>
            </w:tcBorders>
            <w:vAlign w:val="center"/>
          </w:tcPr>
          <w:p w14:paraId="202D59D3">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Catering and food services</w:t>
            </w:r>
          </w:p>
        </w:tc>
        <w:tc>
          <w:tcPr>
            <w:tcW w:w="0" w:type="auto"/>
            <w:tcBorders>
              <w:top w:val="nil"/>
              <w:left w:val="nil"/>
              <w:bottom w:val="nil"/>
              <w:right w:val="nil"/>
            </w:tcBorders>
            <w:vAlign w:val="center"/>
          </w:tcPr>
          <w:p w14:paraId="06DBC807">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Sole proprietorship</w:t>
            </w:r>
          </w:p>
        </w:tc>
        <w:tc>
          <w:tcPr>
            <w:tcW w:w="0" w:type="auto"/>
            <w:tcBorders>
              <w:top w:val="nil"/>
              <w:left w:val="nil"/>
              <w:bottom w:val="nil"/>
              <w:right w:val="nil"/>
            </w:tcBorders>
            <w:vAlign w:val="center"/>
          </w:tcPr>
          <w:p w14:paraId="389555E3">
            <w:pPr>
              <w:spacing w:after="0" w:line="276" w:lineRule="auto"/>
              <w:rPr>
                <w:rFonts w:ascii="Arial Narrow" w:hAnsi="Arial Narrow" w:eastAsia="Times New Roman" w:cs="Times New Roman"/>
                <w:color w:val="000000"/>
                <w:sz w:val="20"/>
                <w:szCs w:val="20"/>
              </w:rPr>
            </w:pPr>
          </w:p>
        </w:tc>
      </w:tr>
      <w:tr w14:paraId="73F9C97F">
        <w:tblPrEx>
          <w:tblCellMar>
            <w:top w:w="0" w:type="dxa"/>
            <w:left w:w="108" w:type="dxa"/>
            <w:bottom w:w="0" w:type="dxa"/>
            <w:right w:w="108" w:type="dxa"/>
          </w:tblCellMar>
        </w:tblPrEx>
        <w:trPr>
          <w:trHeight w:val="300" w:hRule="atLeast"/>
        </w:trPr>
        <w:tc>
          <w:tcPr>
            <w:tcW w:w="0" w:type="auto"/>
            <w:tcBorders>
              <w:top w:val="nil"/>
              <w:left w:val="nil"/>
              <w:bottom w:val="nil"/>
              <w:right w:val="nil"/>
            </w:tcBorders>
            <w:vAlign w:val="center"/>
          </w:tcPr>
          <w:p w14:paraId="0719D043">
            <w:pPr>
              <w:spacing w:after="0" w:line="276" w:lineRule="auto"/>
              <w:rPr>
                <w:rFonts w:ascii="Arial Narrow" w:hAnsi="Arial Narrow" w:eastAsia="Times New Roman" w:cs="Times New Roman"/>
                <w:sz w:val="20"/>
                <w:szCs w:val="20"/>
              </w:rPr>
            </w:pPr>
          </w:p>
        </w:tc>
        <w:tc>
          <w:tcPr>
            <w:tcW w:w="0" w:type="auto"/>
            <w:tcBorders>
              <w:top w:val="nil"/>
              <w:left w:val="nil"/>
              <w:bottom w:val="nil"/>
              <w:right w:val="nil"/>
            </w:tcBorders>
            <w:vAlign w:val="center"/>
          </w:tcPr>
          <w:p w14:paraId="04575AA2">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Aslay mihogo</w:t>
            </w:r>
          </w:p>
        </w:tc>
        <w:tc>
          <w:tcPr>
            <w:tcW w:w="0" w:type="auto"/>
            <w:tcBorders>
              <w:top w:val="nil"/>
              <w:left w:val="nil"/>
              <w:bottom w:val="nil"/>
              <w:right w:val="nil"/>
            </w:tcBorders>
            <w:vAlign w:val="center"/>
          </w:tcPr>
          <w:p w14:paraId="263CA67C">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Catering and food services</w:t>
            </w:r>
          </w:p>
        </w:tc>
        <w:tc>
          <w:tcPr>
            <w:tcW w:w="0" w:type="auto"/>
            <w:tcBorders>
              <w:top w:val="nil"/>
              <w:left w:val="nil"/>
              <w:right w:val="nil"/>
            </w:tcBorders>
            <w:vAlign w:val="center"/>
          </w:tcPr>
          <w:p w14:paraId="7FCBAE45">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Sole proprietorship</w:t>
            </w:r>
          </w:p>
        </w:tc>
        <w:tc>
          <w:tcPr>
            <w:tcW w:w="0" w:type="auto"/>
            <w:tcBorders>
              <w:top w:val="nil"/>
              <w:left w:val="nil"/>
              <w:right w:val="nil"/>
            </w:tcBorders>
            <w:vAlign w:val="center"/>
          </w:tcPr>
          <w:p w14:paraId="43E99B5B">
            <w:pPr>
              <w:spacing w:after="0" w:line="276" w:lineRule="auto"/>
              <w:rPr>
                <w:rFonts w:ascii="Arial Narrow" w:hAnsi="Arial Narrow" w:eastAsia="Times New Roman" w:cs="Times New Roman"/>
                <w:color w:val="000000"/>
                <w:sz w:val="20"/>
                <w:szCs w:val="20"/>
              </w:rPr>
            </w:pPr>
          </w:p>
        </w:tc>
      </w:tr>
      <w:tr w14:paraId="560A7B80">
        <w:tblPrEx>
          <w:tblCellMar>
            <w:top w:w="0" w:type="dxa"/>
            <w:left w:w="108" w:type="dxa"/>
            <w:bottom w:w="0" w:type="dxa"/>
            <w:right w:w="108" w:type="dxa"/>
          </w:tblCellMar>
        </w:tblPrEx>
        <w:trPr>
          <w:trHeight w:val="315" w:hRule="atLeast"/>
        </w:trPr>
        <w:tc>
          <w:tcPr>
            <w:tcW w:w="0" w:type="auto"/>
            <w:tcBorders>
              <w:top w:val="nil"/>
              <w:left w:val="nil"/>
              <w:bottom w:val="nil"/>
              <w:right w:val="nil"/>
            </w:tcBorders>
            <w:noWrap/>
            <w:vAlign w:val="bottom"/>
          </w:tcPr>
          <w:p w14:paraId="50B40C5D">
            <w:pPr>
              <w:spacing w:after="0" w:line="276" w:lineRule="auto"/>
              <w:rPr>
                <w:rFonts w:ascii="Arial Narrow" w:hAnsi="Arial Narrow" w:eastAsia="Times New Roman" w:cs="Times New Roman"/>
                <w:sz w:val="20"/>
                <w:szCs w:val="20"/>
              </w:rPr>
            </w:pPr>
          </w:p>
        </w:tc>
        <w:tc>
          <w:tcPr>
            <w:tcW w:w="0" w:type="auto"/>
            <w:tcBorders>
              <w:top w:val="nil"/>
              <w:left w:val="nil"/>
              <w:bottom w:val="single" w:color="auto" w:sz="8" w:space="0"/>
              <w:right w:val="nil"/>
            </w:tcBorders>
            <w:vAlign w:val="center"/>
          </w:tcPr>
          <w:p w14:paraId="264B361C">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Alko vintage</w:t>
            </w:r>
          </w:p>
        </w:tc>
        <w:tc>
          <w:tcPr>
            <w:tcW w:w="0" w:type="auto"/>
            <w:tcBorders>
              <w:top w:val="nil"/>
              <w:left w:val="nil"/>
              <w:bottom w:val="single" w:color="auto" w:sz="8" w:space="0"/>
              <w:right w:val="nil"/>
            </w:tcBorders>
            <w:vAlign w:val="center"/>
          </w:tcPr>
          <w:p w14:paraId="2E67A059">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nil"/>
            </w:tcBorders>
            <w:vAlign w:val="center"/>
          </w:tcPr>
          <w:p w14:paraId="587F3772">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 Partnership</w:t>
            </w:r>
          </w:p>
        </w:tc>
        <w:tc>
          <w:tcPr>
            <w:tcW w:w="0" w:type="auto"/>
            <w:tcBorders>
              <w:top w:val="nil"/>
              <w:left w:val="nil"/>
              <w:bottom w:val="single" w:color="auto" w:sz="4" w:space="0"/>
              <w:right w:val="nil"/>
            </w:tcBorders>
            <w:vAlign w:val="center"/>
          </w:tcPr>
          <w:p w14:paraId="237EE456">
            <w:pPr>
              <w:spacing w:after="0" w:line="276" w:lineRule="auto"/>
              <w:rPr>
                <w:rFonts w:ascii="Arial Narrow" w:hAnsi="Arial Narrow" w:eastAsia="Times New Roman" w:cs="Times New Roman"/>
                <w:color w:val="000000"/>
                <w:sz w:val="20"/>
                <w:szCs w:val="20"/>
              </w:rPr>
            </w:pPr>
          </w:p>
        </w:tc>
      </w:tr>
      <w:tr w14:paraId="50996704">
        <w:tblPrEx>
          <w:tblCellMar>
            <w:top w:w="0" w:type="dxa"/>
            <w:left w:w="108" w:type="dxa"/>
            <w:bottom w:w="0" w:type="dxa"/>
            <w:right w:w="108" w:type="dxa"/>
          </w:tblCellMar>
        </w:tblPrEx>
        <w:trPr>
          <w:trHeight w:val="300" w:hRule="atLeast"/>
        </w:trPr>
        <w:tc>
          <w:tcPr>
            <w:tcW w:w="0" w:type="auto"/>
            <w:tcBorders>
              <w:top w:val="nil"/>
              <w:left w:val="nil"/>
              <w:bottom w:val="nil"/>
              <w:right w:val="nil"/>
            </w:tcBorders>
            <w:vAlign w:val="center"/>
          </w:tcPr>
          <w:p w14:paraId="6B30C98B">
            <w:pPr>
              <w:spacing w:after="0" w:line="276" w:lineRule="auto"/>
              <w:rPr>
                <w:rFonts w:ascii="Arial Narrow" w:hAnsi="Arial Narrow" w:eastAsia="Times New Roman" w:cs="Times New Roman"/>
                <w:b/>
                <w:bCs/>
                <w:color w:val="000000"/>
                <w:sz w:val="20"/>
                <w:szCs w:val="20"/>
              </w:rPr>
            </w:pPr>
            <w:r>
              <w:rPr>
                <w:rFonts w:ascii="Arial Narrow" w:hAnsi="Arial Narrow" w:eastAsia="Times New Roman" w:cs="Times New Roman"/>
                <w:b/>
                <w:bCs/>
                <w:color w:val="000000"/>
                <w:sz w:val="20"/>
                <w:szCs w:val="20"/>
              </w:rPr>
              <w:t>Agriculture sector</w:t>
            </w:r>
          </w:p>
        </w:tc>
        <w:tc>
          <w:tcPr>
            <w:tcW w:w="0" w:type="auto"/>
            <w:tcBorders>
              <w:top w:val="nil"/>
              <w:left w:val="nil"/>
              <w:bottom w:val="nil"/>
              <w:right w:val="nil"/>
            </w:tcBorders>
            <w:vAlign w:val="center"/>
          </w:tcPr>
          <w:p w14:paraId="49B0D6DA">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Gwandi milling</w:t>
            </w:r>
          </w:p>
        </w:tc>
        <w:tc>
          <w:tcPr>
            <w:tcW w:w="0" w:type="auto"/>
            <w:tcBorders>
              <w:top w:val="nil"/>
              <w:left w:val="nil"/>
              <w:bottom w:val="nil"/>
              <w:right w:val="nil"/>
            </w:tcBorders>
            <w:vAlign w:val="center"/>
          </w:tcPr>
          <w:p w14:paraId="202F3EB1">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Irrigation schemes</w:t>
            </w:r>
          </w:p>
        </w:tc>
        <w:tc>
          <w:tcPr>
            <w:tcW w:w="0" w:type="auto"/>
            <w:tcBorders>
              <w:top w:val="single" w:color="auto" w:sz="4" w:space="0"/>
              <w:left w:val="nil"/>
              <w:bottom w:val="nil"/>
              <w:right w:val="nil"/>
            </w:tcBorders>
            <w:vAlign w:val="center"/>
          </w:tcPr>
          <w:p w14:paraId="4F84C971">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 Partnership</w:t>
            </w:r>
          </w:p>
        </w:tc>
        <w:tc>
          <w:tcPr>
            <w:tcW w:w="0" w:type="auto"/>
            <w:tcBorders>
              <w:top w:val="single" w:color="auto" w:sz="4" w:space="0"/>
              <w:left w:val="nil"/>
              <w:bottom w:val="nil"/>
              <w:right w:val="nil"/>
            </w:tcBorders>
            <w:vAlign w:val="center"/>
          </w:tcPr>
          <w:p w14:paraId="3430D648">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 xml:space="preserve">10 respondents </w:t>
            </w:r>
          </w:p>
        </w:tc>
      </w:tr>
      <w:tr w14:paraId="7E56147E">
        <w:tblPrEx>
          <w:tblCellMar>
            <w:top w:w="0" w:type="dxa"/>
            <w:left w:w="108" w:type="dxa"/>
            <w:bottom w:w="0" w:type="dxa"/>
            <w:right w:w="108" w:type="dxa"/>
          </w:tblCellMar>
        </w:tblPrEx>
        <w:trPr>
          <w:trHeight w:val="300" w:hRule="atLeast"/>
        </w:trPr>
        <w:tc>
          <w:tcPr>
            <w:tcW w:w="0" w:type="auto"/>
            <w:tcBorders>
              <w:top w:val="nil"/>
              <w:left w:val="nil"/>
              <w:bottom w:val="nil"/>
              <w:right w:val="nil"/>
            </w:tcBorders>
            <w:vAlign w:val="center"/>
          </w:tcPr>
          <w:p w14:paraId="2811DCA5">
            <w:pPr>
              <w:spacing w:after="0" w:line="276" w:lineRule="auto"/>
              <w:rPr>
                <w:rFonts w:ascii="Arial Narrow" w:hAnsi="Arial Narrow" w:eastAsia="Times New Roman" w:cs="Times New Roman"/>
                <w:color w:val="000000"/>
                <w:sz w:val="20"/>
                <w:szCs w:val="20"/>
              </w:rPr>
            </w:pPr>
          </w:p>
        </w:tc>
        <w:tc>
          <w:tcPr>
            <w:tcW w:w="0" w:type="auto"/>
            <w:tcBorders>
              <w:top w:val="nil"/>
              <w:left w:val="nil"/>
              <w:bottom w:val="nil"/>
              <w:right w:val="nil"/>
            </w:tcBorders>
            <w:vAlign w:val="center"/>
          </w:tcPr>
          <w:p w14:paraId="504A77C3">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Gwandi milling</w:t>
            </w:r>
          </w:p>
        </w:tc>
        <w:tc>
          <w:tcPr>
            <w:tcW w:w="0" w:type="auto"/>
            <w:tcBorders>
              <w:top w:val="nil"/>
              <w:left w:val="nil"/>
              <w:bottom w:val="nil"/>
              <w:right w:val="nil"/>
            </w:tcBorders>
            <w:vAlign w:val="center"/>
          </w:tcPr>
          <w:p w14:paraId="53E15B2A">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 xml:space="preserve">Bee livestock </w:t>
            </w:r>
          </w:p>
        </w:tc>
        <w:tc>
          <w:tcPr>
            <w:tcW w:w="0" w:type="auto"/>
            <w:tcBorders>
              <w:top w:val="nil"/>
              <w:left w:val="nil"/>
              <w:bottom w:val="nil"/>
              <w:right w:val="nil"/>
            </w:tcBorders>
            <w:vAlign w:val="center"/>
          </w:tcPr>
          <w:p w14:paraId="0773469C">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foundation</w:t>
            </w:r>
          </w:p>
        </w:tc>
        <w:tc>
          <w:tcPr>
            <w:tcW w:w="0" w:type="auto"/>
            <w:tcBorders>
              <w:top w:val="nil"/>
              <w:left w:val="nil"/>
              <w:bottom w:val="nil"/>
              <w:right w:val="nil"/>
            </w:tcBorders>
            <w:vAlign w:val="center"/>
          </w:tcPr>
          <w:p w14:paraId="6C6874CF">
            <w:pPr>
              <w:spacing w:after="0" w:line="276" w:lineRule="auto"/>
              <w:rPr>
                <w:rFonts w:ascii="Arial Narrow" w:hAnsi="Arial Narrow" w:eastAsia="Times New Roman" w:cs="Times New Roman"/>
                <w:color w:val="000000"/>
                <w:sz w:val="20"/>
                <w:szCs w:val="20"/>
              </w:rPr>
            </w:pPr>
          </w:p>
        </w:tc>
      </w:tr>
      <w:tr w14:paraId="7D6A0F72">
        <w:tblPrEx>
          <w:tblCellMar>
            <w:top w:w="0" w:type="dxa"/>
            <w:left w:w="108" w:type="dxa"/>
            <w:bottom w:w="0" w:type="dxa"/>
            <w:right w:w="108" w:type="dxa"/>
          </w:tblCellMar>
        </w:tblPrEx>
        <w:trPr>
          <w:trHeight w:val="300" w:hRule="atLeast"/>
        </w:trPr>
        <w:tc>
          <w:tcPr>
            <w:tcW w:w="0" w:type="auto"/>
            <w:tcBorders>
              <w:top w:val="nil"/>
              <w:left w:val="nil"/>
              <w:bottom w:val="nil"/>
              <w:right w:val="nil"/>
            </w:tcBorders>
            <w:vAlign w:val="center"/>
          </w:tcPr>
          <w:p w14:paraId="475D2A2C">
            <w:pPr>
              <w:spacing w:after="0" w:line="276" w:lineRule="auto"/>
              <w:rPr>
                <w:rFonts w:ascii="Arial Narrow" w:hAnsi="Arial Narrow" w:eastAsia="Times New Roman" w:cs="Times New Roman"/>
                <w:sz w:val="20"/>
                <w:szCs w:val="20"/>
              </w:rPr>
            </w:pPr>
          </w:p>
        </w:tc>
        <w:tc>
          <w:tcPr>
            <w:tcW w:w="0" w:type="auto"/>
            <w:tcBorders>
              <w:top w:val="nil"/>
              <w:left w:val="nil"/>
              <w:bottom w:val="nil"/>
              <w:right w:val="nil"/>
            </w:tcBorders>
            <w:vAlign w:val="center"/>
          </w:tcPr>
          <w:p w14:paraId="5C27B253">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Rafiki udu</w:t>
            </w:r>
          </w:p>
        </w:tc>
        <w:tc>
          <w:tcPr>
            <w:tcW w:w="0" w:type="auto"/>
            <w:tcBorders>
              <w:top w:val="nil"/>
              <w:left w:val="nil"/>
              <w:bottom w:val="nil"/>
              <w:right w:val="nil"/>
            </w:tcBorders>
            <w:vAlign w:val="center"/>
          </w:tcPr>
          <w:p w14:paraId="79F0F9E8">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Animal livestock</w:t>
            </w:r>
          </w:p>
        </w:tc>
        <w:tc>
          <w:tcPr>
            <w:tcW w:w="0" w:type="auto"/>
            <w:tcBorders>
              <w:top w:val="nil"/>
              <w:left w:val="nil"/>
              <w:bottom w:val="nil"/>
              <w:right w:val="nil"/>
            </w:tcBorders>
            <w:vAlign w:val="center"/>
          </w:tcPr>
          <w:p w14:paraId="2CB03EBB">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Partnership</w:t>
            </w:r>
          </w:p>
        </w:tc>
        <w:tc>
          <w:tcPr>
            <w:tcW w:w="0" w:type="auto"/>
            <w:tcBorders>
              <w:top w:val="nil"/>
              <w:left w:val="nil"/>
              <w:bottom w:val="nil"/>
              <w:right w:val="nil"/>
            </w:tcBorders>
            <w:vAlign w:val="center"/>
          </w:tcPr>
          <w:p w14:paraId="006352BF">
            <w:pPr>
              <w:spacing w:after="0" w:line="276" w:lineRule="auto"/>
              <w:rPr>
                <w:rFonts w:ascii="Arial Narrow" w:hAnsi="Arial Narrow" w:eastAsia="Times New Roman" w:cs="Times New Roman"/>
                <w:color w:val="000000"/>
                <w:sz w:val="20"/>
                <w:szCs w:val="20"/>
              </w:rPr>
            </w:pPr>
          </w:p>
        </w:tc>
      </w:tr>
      <w:tr w14:paraId="2D346C66">
        <w:tblPrEx>
          <w:tblCellMar>
            <w:top w:w="0" w:type="dxa"/>
            <w:left w:w="108" w:type="dxa"/>
            <w:bottom w:w="0" w:type="dxa"/>
            <w:right w:w="108" w:type="dxa"/>
          </w:tblCellMar>
        </w:tblPrEx>
        <w:trPr>
          <w:trHeight w:val="300" w:hRule="atLeast"/>
        </w:trPr>
        <w:tc>
          <w:tcPr>
            <w:tcW w:w="0" w:type="auto"/>
            <w:tcBorders>
              <w:top w:val="nil"/>
              <w:left w:val="nil"/>
              <w:bottom w:val="nil"/>
              <w:right w:val="nil"/>
            </w:tcBorders>
            <w:vAlign w:val="center"/>
          </w:tcPr>
          <w:p w14:paraId="68DF931B">
            <w:pPr>
              <w:spacing w:after="0" w:line="276" w:lineRule="auto"/>
              <w:rPr>
                <w:rFonts w:ascii="Arial Narrow" w:hAnsi="Arial Narrow" w:eastAsia="Times New Roman" w:cs="Times New Roman"/>
                <w:sz w:val="20"/>
                <w:szCs w:val="20"/>
              </w:rPr>
            </w:pPr>
          </w:p>
        </w:tc>
        <w:tc>
          <w:tcPr>
            <w:tcW w:w="0" w:type="auto"/>
            <w:tcBorders>
              <w:top w:val="nil"/>
              <w:left w:val="nil"/>
              <w:bottom w:val="nil"/>
              <w:right w:val="nil"/>
            </w:tcBorders>
            <w:vAlign w:val="center"/>
          </w:tcPr>
          <w:p w14:paraId="641B636D">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Chonjo trader’s</w:t>
            </w:r>
          </w:p>
        </w:tc>
        <w:tc>
          <w:tcPr>
            <w:tcW w:w="0" w:type="auto"/>
            <w:tcBorders>
              <w:top w:val="nil"/>
              <w:left w:val="nil"/>
              <w:right w:val="nil"/>
            </w:tcBorders>
            <w:vAlign w:val="center"/>
          </w:tcPr>
          <w:p w14:paraId="09C226AA">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Whole traders</w:t>
            </w:r>
          </w:p>
        </w:tc>
        <w:tc>
          <w:tcPr>
            <w:tcW w:w="0" w:type="auto"/>
            <w:tcBorders>
              <w:top w:val="nil"/>
              <w:left w:val="nil"/>
              <w:right w:val="nil"/>
            </w:tcBorders>
            <w:vAlign w:val="center"/>
          </w:tcPr>
          <w:p w14:paraId="785207F8">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Sole</w:t>
            </w:r>
          </w:p>
        </w:tc>
        <w:tc>
          <w:tcPr>
            <w:tcW w:w="0" w:type="auto"/>
            <w:tcBorders>
              <w:top w:val="nil"/>
              <w:left w:val="nil"/>
              <w:right w:val="nil"/>
            </w:tcBorders>
            <w:noWrap/>
            <w:vAlign w:val="bottom"/>
          </w:tcPr>
          <w:p w14:paraId="7E08A87B">
            <w:pPr>
              <w:spacing w:after="0" w:line="276" w:lineRule="auto"/>
              <w:rPr>
                <w:rFonts w:ascii="Arial Narrow" w:hAnsi="Arial Narrow" w:eastAsia="Times New Roman" w:cs="Times New Roman"/>
                <w:color w:val="000000"/>
                <w:sz w:val="20"/>
                <w:szCs w:val="20"/>
              </w:rPr>
            </w:pPr>
          </w:p>
        </w:tc>
      </w:tr>
      <w:tr w14:paraId="578741B2">
        <w:tblPrEx>
          <w:tblCellMar>
            <w:top w:w="0" w:type="dxa"/>
            <w:left w:w="108" w:type="dxa"/>
            <w:bottom w:w="0" w:type="dxa"/>
            <w:right w:w="108" w:type="dxa"/>
          </w:tblCellMar>
        </w:tblPrEx>
        <w:trPr>
          <w:trHeight w:val="315" w:hRule="atLeast"/>
        </w:trPr>
        <w:tc>
          <w:tcPr>
            <w:tcW w:w="0" w:type="auto"/>
            <w:tcBorders>
              <w:top w:val="nil"/>
              <w:left w:val="nil"/>
              <w:bottom w:val="nil"/>
              <w:right w:val="nil"/>
            </w:tcBorders>
            <w:vAlign w:val="center"/>
          </w:tcPr>
          <w:p w14:paraId="4F2F4651">
            <w:pPr>
              <w:spacing w:after="0" w:line="276" w:lineRule="auto"/>
              <w:rPr>
                <w:rFonts w:ascii="Arial Narrow" w:hAnsi="Arial Narrow" w:eastAsia="Times New Roman" w:cs="Times New Roman"/>
                <w:sz w:val="20"/>
                <w:szCs w:val="20"/>
              </w:rPr>
            </w:pPr>
          </w:p>
        </w:tc>
        <w:tc>
          <w:tcPr>
            <w:tcW w:w="0" w:type="auto"/>
            <w:tcBorders>
              <w:top w:val="nil"/>
              <w:left w:val="nil"/>
              <w:bottom w:val="single" w:color="auto" w:sz="8" w:space="0"/>
              <w:right w:val="nil"/>
            </w:tcBorders>
            <w:vAlign w:val="center"/>
          </w:tcPr>
          <w:p w14:paraId="63A97348">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Meleck trader</w:t>
            </w:r>
          </w:p>
        </w:tc>
        <w:tc>
          <w:tcPr>
            <w:tcW w:w="0" w:type="auto"/>
            <w:tcBorders>
              <w:top w:val="nil"/>
              <w:left w:val="nil"/>
              <w:bottom w:val="single" w:color="auto" w:sz="4" w:space="0"/>
              <w:right w:val="nil"/>
            </w:tcBorders>
            <w:vAlign w:val="center"/>
          </w:tcPr>
          <w:p w14:paraId="76B87389">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Whole traders</w:t>
            </w:r>
          </w:p>
        </w:tc>
        <w:tc>
          <w:tcPr>
            <w:tcW w:w="0" w:type="auto"/>
            <w:tcBorders>
              <w:top w:val="nil"/>
              <w:left w:val="nil"/>
              <w:bottom w:val="single" w:color="auto" w:sz="4" w:space="0"/>
              <w:right w:val="nil"/>
            </w:tcBorders>
            <w:vAlign w:val="center"/>
          </w:tcPr>
          <w:p w14:paraId="1D353B91">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Sole</w:t>
            </w:r>
          </w:p>
        </w:tc>
        <w:tc>
          <w:tcPr>
            <w:tcW w:w="0" w:type="auto"/>
            <w:tcBorders>
              <w:top w:val="nil"/>
              <w:left w:val="nil"/>
              <w:bottom w:val="single" w:color="auto" w:sz="4" w:space="0"/>
              <w:right w:val="nil"/>
            </w:tcBorders>
            <w:vAlign w:val="center"/>
          </w:tcPr>
          <w:p w14:paraId="1E3AF9A0">
            <w:pPr>
              <w:spacing w:after="0" w:line="276" w:lineRule="auto"/>
              <w:rPr>
                <w:rFonts w:ascii="Arial Narrow" w:hAnsi="Arial Narrow" w:eastAsia="Times New Roman" w:cs="Times New Roman"/>
                <w:color w:val="000000"/>
                <w:sz w:val="20"/>
                <w:szCs w:val="20"/>
              </w:rPr>
            </w:pPr>
          </w:p>
        </w:tc>
      </w:tr>
      <w:tr w14:paraId="3CC80963">
        <w:tblPrEx>
          <w:tblCellMar>
            <w:top w:w="0" w:type="dxa"/>
            <w:left w:w="108" w:type="dxa"/>
            <w:bottom w:w="0" w:type="dxa"/>
            <w:right w:w="108" w:type="dxa"/>
          </w:tblCellMar>
        </w:tblPrEx>
        <w:trPr>
          <w:trHeight w:val="300" w:hRule="atLeast"/>
        </w:trPr>
        <w:tc>
          <w:tcPr>
            <w:tcW w:w="0" w:type="auto"/>
            <w:tcBorders>
              <w:top w:val="nil"/>
              <w:left w:val="nil"/>
              <w:bottom w:val="nil"/>
              <w:right w:val="nil"/>
            </w:tcBorders>
            <w:vAlign w:val="center"/>
          </w:tcPr>
          <w:p w14:paraId="7AF029F2">
            <w:pPr>
              <w:spacing w:after="0" w:line="276" w:lineRule="auto"/>
              <w:rPr>
                <w:rFonts w:ascii="Arial Narrow" w:hAnsi="Arial Narrow" w:eastAsia="Times New Roman" w:cs="Times New Roman"/>
                <w:b/>
                <w:bCs/>
                <w:color w:val="000000"/>
                <w:sz w:val="20"/>
                <w:szCs w:val="20"/>
              </w:rPr>
            </w:pPr>
            <w:r>
              <w:rPr>
                <w:rFonts w:ascii="Arial Narrow" w:hAnsi="Arial Narrow" w:eastAsia="Times New Roman" w:cs="Times New Roman"/>
                <w:b/>
                <w:bCs/>
                <w:color w:val="000000"/>
                <w:sz w:val="20"/>
                <w:szCs w:val="20"/>
              </w:rPr>
              <w:t>Whole sales</w:t>
            </w:r>
          </w:p>
        </w:tc>
        <w:tc>
          <w:tcPr>
            <w:tcW w:w="0" w:type="auto"/>
            <w:tcBorders>
              <w:top w:val="nil"/>
              <w:left w:val="nil"/>
              <w:bottom w:val="nil"/>
              <w:right w:val="nil"/>
            </w:tcBorders>
            <w:vAlign w:val="center"/>
          </w:tcPr>
          <w:p w14:paraId="6A861269">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White electronics</w:t>
            </w:r>
          </w:p>
        </w:tc>
        <w:tc>
          <w:tcPr>
            <w:tcW w:w="0" w:type="auto"/>
            <w:tcBorders>
              <w:top w:val="single" w:color="auto" w:sz="4" w:space="0"/>
              <w:left w:val="nil"/>
              <w:bottom w:val="nil"/>
              <w:right w:val="nil"/>
            </w:tcBorders>
            <w:vAlign w:val="center"/>
          </w:tcPr>
          <w:p w14:paraId="347D3CC2">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Whole traders</w:t>
            </w:r>
          </w:p>
        </w:tc>
        <w:tc>
          <w:tcPr>
            <w:tcW w:w="0" w:type="auto"/>
            <w:tcBorders>
              <w:top w:val="single" w:color="auto" w:sz="4" w:space="0"/>
              <w:left w:val="nil"/>
              <w:bottom w:val="nil"/>
              <w:right w:val="nil"/>
            </w:tcBorders>
            <w:vAlign w:val="center"/>
          </w:tcPr>
          <w:p w14:paraId="4390A68F">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partnership</w:t>
            </w:r>
          </w:p>
        </w:tc>
        <w:tc>
          <w:tcPr>
            <w:tcW w:w="0" w:type="auto"/>
            <w:tcBorders>
              <w:top w:val="single" w:color="auto" w:sz="4" w:space="0"/>
              <w:left w:val="nil"/>
              <w:bottom w:val="nil"/>
              <w:right w:val="nil"/>
            </w:tcBorders>
            <w:vAlign w:val="center"/>
          </w:tcPr>
          <w:p w14:paraId="1F528BC0">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 xml:space="preserve">10 respondents </w:t>
            </w:r>
          </w:p>
        </w:tc>
      </w:tr>
      <w:tr w14:paraId="5CBB6048">
        <w:tblPrEx>
          <w:tblCellMar>
            <w:top w:w="0" w:type="dxa"/>
            <w:left w:w="108" w:type="dxa"/>
            <w:bottom w:w="0" w:type="dxa"/>
            <w:right w:w="108" w:type="dxa"/>
          </w:tblCellMar>
        </w:tblPrEx>
        <w:trPr>
          <w:trHeight w:val="420" w:hRule="atLeast"/>
        </w:trPr>
        <w:tc>
          <w:tcPr>
            <w:tcW w:w="0" w:type="auto"/>
            <w:tcBorders>
              <w:top w:val="nil"/>
              <w:left w:val="nil"/>
              <w:bottom w:val="nil"/>
              <w:right w:val="nil"/>
            </w:tcBorders>
            <w:vAlign w:val="center"/>
          </w:tcPr>
          <w:p w14:paraId="611CDD20">
            <w:pPr>
              <w:spacing w:after="0" w:line="276" w:lineRule="auto"/>
              <w:rPr>
                <w:rFonts w:ascii="Arial Narrow" w:hAnsi="Arial Narrow" w:eastAsia="Times New Roman" w:cs="Times New Roman"/>
                <w:color w:val="000000"/>
                <w:sz w:val="20"/>
                <w:szCs w:val="20"/>
              </w:rPr>
            </w:pPr>
          </w:p>
        </w:tc>
        <w:tc>
          <w:tcPr>
            <w:tcW w:w="0" w:type="auto"/>
            <w:tcBorders>
              <w:top w:val="nil"/>
              <w:left w:val="nil"/>
              <w:bottom w:val="nil"/>
              <w:right w:val="nil"/>
            </w:tcBorders>
            <w:vAlign w:val="center"/>
          </w:tcPr>
          <w:p w14:paraId="2B5BFD60">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Makundi leather</w:t>
            </w:r>
          </w:p>
        </w:tc>
        <w:tc>
          <w:tcPr>
            <w:tcW w:w="0" w:type="auto"/>
            <w:tcBorders>
              <w:top w:val="nil"/>
              <w:left w:val="nil"/>
              <w:bottom w:val="nil"/>
              <w:right w:val="nil"/>
            </w:tcBorders>
            <w:vAlign w:val="center"/>
          </w:tcPr>
          <w:p w14:paraId="0314232C">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Whole traders</w:t>
            </w:r>
          </w:p>
        </w:tc>
        <w:tc>
          <w:tcPr>
            <w:tcW w:w="0" w:type="auto"/>
            <w:tcBorders>
              <w:top w:val="nil"/>
              <w:left w:val="nil"/>
              <w:bottom w:val="nil"/>
              <w:right w:val="nil"/>
            </w:tcBorders>
            <w:vAlign w:val="center"/>
          </w:tcPr>
          <w:p w14:paraId="3695F38D">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Sole proprietorship</w:t>
            </w:r>
          </w:p>
        </w:tc>
        <w:tc>
          <w:tcPr>
            <w:tcW w:w="0" w:type="auto"/>
            <w:tcBorders>
              <w:top w:val="nil"/>
              <w:left w:val="nil"/>
              <w:bottom w:val="nil"/>
              <w:right w:val="nil"/>
            </w:tcBorders>
            <w:vAlign w:val="center"/>
          </w:tcPr>
          <w:p w14:paraId="31AD3447">
            <w:pPr>
              <w:spacing w:after="0" w:line="276" w:lineRule="auto"/>
              <w:rPr>
                <w:rFonts w:ascii="Arial Narrow" w:hAnsi="Arial Narrow" w:eastAsia="Times New Roman" w:cs="Times New Roman"/>
                <w:color w:val="000000"/>
                <w:sz w:val="20"/>
                <w:szCs w:val="20"/>
              </w:rPr>
            </w:pPr>
          </w:p>
        </w:tc>
      </w:tr>
      <w:tr w14:paraId="2327AE4A">
        <w:tblPrEx>
          <w:tblCellMar>
            <w:top w:w="0" w:type="dxa"/>
            <w:left w:w="108" w:type="dxa"/>
            <w:bottom w:w="0" w:type="dxa"/>
            <w:right w:w="108" w:type="dxa"/>
          </w:tblCellMar>
        </w:tblPrEx>
        <w:trPr>
          <w:trHeight w:val="765" w:hRule="atLeast"/>
        </w:trPr>
        <w:tc>
          <w:tcPr>
            <w:tcW w:w="0" w:type="auto"/>
            <w:tcBorders>
              <w:top w:val="nil"/>
              <w:left w:val="nil"/>
              <w:bottom w:val="nil"/>
              <w:right w:val="nil"/>
            </w:tcBorders>
            <w:vAlign w:val="center"/>
          </w:tcPr>
          <w:p w14:paraId="1B6997DB">
            <w:pPr>
              <w:spacing w:after="0" w:line="276" w:lineRule="auto"/>
              <w:rPr>
                <w:rFonts w:ascii="Arial Narrow" w:hAnsi="Arial Narrow" w:eastAsia="Times New Roman" w:cs="Times New Roman"/>
                <w:sz w:val="20"/>
                <w:szCs w:val="20"/>
              </w:rPr>
            </w:pPr>
          </w:p>
        </w:tc>
        <w:tc>
          <w:tcPr>
            <w:tcW w:w="0" w:type="auto"/>
            <w:tcBorders>
              <w:top w:val="nil"/>
              <w:left w:val="nil"/>
              <w:bottom w:val="nil"/>
              <w:right w:val="nil"/>
            </w:tcBorders>
            <w:vAlign w:val="center"/>
          </w:tcPr>
          <w:p w14:paraId="3CF35D0A">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Kazimoto motorcycle</w:t>
            </w:r>
          </w:p>
        </w:tc>
        <w:tc>
          <w:tcPr>
            <w:tcW w:w="0" w:type="auto"/>
            <w:tcBorders>
              <w:top w:val="nil"/>
              <w:left w:val="nil"/>
              <w:bottom w:val="nil"/>
              <w:right w:val="nil"/>
            </w:tcBorders>
            <w:vAlign w:val="center"/>
          </w:tcPr>
          <w:p w14:paraId="5F45101D">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Whole traders</w:t>
            </w:r>
          </w:p>
        </w:tc>
        <w:tc>
          <w:tcPr>
            <w:tcW w:w="0" w:type="auto"/>
            <w:tcBorders>
              <w:top w:val="nil"/>
              <w:left w:val="nil"/>
              <w:bottom w:val="nil"/>
              <w:right w:val="nil"/>
            </w:tcBorders>
            <w:vAlign w:val="center"/>
          </w:tcPr>
          <w:p w14:paraId="77880D50">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Sole proprietorship</w:t>
            </w:r>
          </w:p>
        </w:tc>
        <w:tc>
          <w:tcPr>
            <w:tcW w:w="0" w:type="auto"/>
            <w:tcBorders>
              <w:top w:val="nil"/>
              <w:left w:val="nil"/>
              <w:bottom w:val="nil"/>
              <w:right w:val="nil"/>
            </w:tcBorders>
            <w:vAlign w:val="center"/>
          </w:tcPr>
          <w:p w14:paraId="39739BAA">
            <w:pPr>
              <w:spacing w:after="0" w:line="276" w:lineRule="auto"/>
              <w:rPr>
                <w:rFonts w:ascii="Arial Narrow" w:hAnsi="Arial Narrow" w:eastAsia="Times New Roman" w:cs="Times New Roman"/>
                <w:color w:val="000000"/>
                <w:sz w:val="20"/>
                <w:szCs w:val="20"/>
              </w:rPr>
            </w:pPr>
          </w:p>
        </w:tc>
      </w:tr>
      <w:tr w14:paraId="34F05149">
        <w:tblPrEx>
          <w:tblCellMar>
            <w:top w:w="0" w:type="dxa"/>
            <w:left w:w="108" w:type="dxa"/>
            <w:bottom w:w="0" w:type="dxa"/>
            <w:right w:w="108" w:type="dxa"/>
          </w:tblCellMar>
        </w:tblPrEx>
        <w:trPr>
          <w:trHeight w:val="780" w:hRule="atLeast"/>
        </w:trPr>
        <w:tc>
          <w:tcPr>
            <w:tcW w:w="0" w:type="auto"/>
            <w:tcBorders>
              <w:top w:val="nil"/>
              <w:left w:val="nil"/>
              <w:bottom w:val="single" w:color="auto" w:sz="8" w:space="0"/>
              <w:right w:val="nil"/>
            </w:tcBorders>
            <w:vAlign w:val="center"/>
          </w:tcPr>
          <w:p w14:paraId="44560514">
            <w:pPr>
              <w:spacing w:after="0" w:line="276" w:lineRule="auto"/>
              <w:rPr>
                <w:rFonts w:ascii="Arial Narrow" w:hAnsi="Arial Narrow" w:eastAsia="Times New Roman" w:cs="Times New Roman"/>
                <w:b/>
                <w:bCs/>
                <w:color w:val="000000"/>
                <w:sz w:val="20"/>
                <w:szCs w:val="20"/>
              </w:rPr>
            </w:pPr>
            <w:r>
              <w:rPr>
                <w:rFonts w:ascii="Arial Narrow" w:hAnsi="Arial Narrow" w:eastAsia="Times New Roman" w:cs="Times New Roman"/>
                <w:b/>
                <w:bCs/>
                <w:color w:val="000000"/>
                <w:sz w:val="20"/>
                <w:szCs w:val="20"/>
              </w:rPr>
              <w:t> </w:t>
            </w:r>
          </w:p>
        </w:tc>
        <w:tc>
          <w:tcPr>
            <w:tcW w:w="0" w:type="auto"/>
            <w:tcBorders>
              <w:top w:val="nil"/>
              <w:left w:val="nil"/>
              <w:bottom w:val="single" w:color="auto" w:sz="8" w:space="0"/>
              <w:right w:val="nil"/>
            </w:tcBorders>
            <w:vAlign w:val="center"/>
          </w:tcPr>
          <w:p w14:paraId="330DB2F3">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Bondo supplier store</w:t>
            </w:r>
          </w:p>
        </w:tc>
        <w:tc>
          <w:tcPr>
            <w:tcW w:w="0" w:type="auto"/>
            <w:tcBorders>
              <w:top w:val="nil"/>
              <w:left w:val="nil"/>
              <w:bottom w:val="single" w:color="auto" w:sz="8" w:space="0"/>
              <w:right w:val="nil"/>
            </w:tcBorders>
            <w:vAlign w:val="center"/>
          </w:tcPr>
          <w:p w14:paraId="2F96D039">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 </w:t>
            </w:r>
          </w:p>
        </w:tc>
        <w:tc>
          <w:tcPr>
            <w:tcW w:w="0" w:type="auto"/>
            <w:tcBorders>
              <w:top w:val="nil"/>
              <w:left w:val="nil"/>
              <w:bottom w:val="single" w:color="auto" w:sz="8" w:space="0"/>
              <w:right w:val="nil"/>
            </w:tcBorders>
            <w:vAlign w:val="center"/>
          </w:tcPr>
          <w:p w14:paraId="47BEDA2C">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Corporate</w:t>
            </w:r>
          </w:p>
        </w:tc>
        <w:tc>
          <w:tcPr>
            <w:tcW w:w="0" w:type="auto"/>
            <w:tcBorders>
              <w:top w:val="nil"/>
              <w:left w:val="nil"/>
              <w:bottom w:val="single" w:color="auto" w:sz="8" w:space="0"/>
              <w:right w:val="nil"/>
            </w:tcBorders>
            <w:vAlign w:val="center"/>
          </w:tcPr>
          <w:p w14:paraId="7FC49E0D">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 </w:t>
            </w:r>
          </w:p>
        </w:tc>
      </w:tr>
    </w:tbl>
    <w:p w14:paraId="026B1B0A">
      <w:pPr>
        <w:spacing w:line="360" w:lineRule="auto"/>
        <w:jc w:val="both"/>
        <w:rPr>
          <w:rFonts w:ascii="Arial Narrow" w:hAnsi="Arial Narrow"/>
          <w:b/>
          <w:sz w:val="24"/>
          <w:szCs w:val="24"/>
        </w:rPr>
      </w:pPr>
      <w:r>
        <w:commentReference w:id="2"/>
      </w:r>
    </w:p>
    <w:p w14:paraId="61F906FA">
      <w:pPr>
        <w:spacing w:line="360" w:lineRule="auto"/>
        <w:jc w:val="both"/>
        <w:rPr>
          <w:rFonts w:ascii="Arial Narrow" w:hAnsi="Arial Narrow"/>
          <w:sz w:val="24"/>
          <w:szCs w:val="24"/>
        </w:rPr>
      </w:pPr>
      <w:r>
        <w:rPr>
          <w:rFonts w:ascii="Arial Narrow" w:hAnsi="Arial Narrow"/>
          <w:sz w:val="24"/>
          <w:szCs w:val="24"/>
        </w:rPr>
        <w:t xml:space="preserve">The study used purposive sampling to obtain a sample size to represent the entire population. In each sector, 10 respondents were selected. A purposive sampling technique was used to select owners of the business or managers in all sectors and businesses selected in the Dodoma City Council; the study adopts purposive sampling since it involves only owners of the business with a capital of 500million to 800+million Tanzania shillings. </w:t>
      </w:r>
    </w:p>
    <w:p w14:paraId="298D9571">
      <w:pPr>
        <w:spacing w:line="360" w:lineRule="auto"/>
        <w:jc w:val="both"/>
        <w:rPr>
          <w:rFonts w:ascii="Arial Narrow" w:hAnsi="Arial Narrow"/>
          <w:sz w:val="24"/>
          <w:szCs w:val="24"/>
        </w:rPr>
      </w:pPr>
      <w:r>
        <w:rPr>
          <w:rFonts w:ascii="Arial Narrow" w:hAnsi="Arial Narrow"/>
          <w:sz w:val="24"/>
          <w:szCs w:val="24"/>
        </w:rPr>
        <w:t>The data were mainly gathered through structured interviews. The structured interview was conducted with selected family owned bussiness using a questionnaire for quantitative data. The questionnaire included closed-ended questions that assessed demographic information, also semi structured interview were conducted for qualitative data with the ward executive officer and the trade officer.</w:t>
      </w:r>
    </w:p>
    <w:p w14:paraId="37AADAC1">
      <w:pPr>
        <w:spacing w:line="360" w:lineRule="auto"/>
        <w:jc w:val="both"/>
        <w:rPr>
          <w:rFonts w:ascii="Arial Narrow" w:hAnsi="Arial Narrow"/>
          <w:sz w:val="24"/>
          <w:szCs w:val="24"/>
        </w:rPr>
      </w:pPr>
      <w:r>
        <w:rPr>
          <w:rFonts w:ascii="Arial Narrow" w:hAnsi="Arial Narrow"/>
          <w:sz w:val="24"/>
          <w:szCs w:val="24"/>
        </w:rPr>
        <w:t>Demographic characteristics of respondents among family-owned businesses were analyzed by using descriptive statistics. And sociocultural factors influencing the adoption of succession planning among family-owned businesses. Analyzed by using inferential statistics through multiple binary logistic regressions.</w:t>
      </w:r>
    </w:p>
    <w:p w14:paraId="3096FBA0">
      <w:pPr>
        <w:spacing w:line="360" w:lineRule="auto"/>
        <w:jc w:val="both"/>
        <w:rPr>
          <w:rFonts w:ascii="Arial Narrow" w:hAnsi="Arial Narrow"/>
          <w:sz w:val="24"/>
          <w:szCs w:val="24"/>
        </w:rPr>
      </w:pPr>
      <w:r>
        <w:rPr>
          <w:rFonts w:ascii="Arial Narrow" w:hAnsi="Arial Narrow"/>
          <w:sz w:val="24"/>
          <w:szCs w:val="24"/>
        </w:rPr>
        <w:t xml:space="preserve">This study used multiple binary logistic regression models to analyze factors influencing the succession planning on family-owned bussiness, this model was chosen because the dependent variable involves a binary variable based on the adoption status of succession planning (1=adopted, 0=Not adopted). Since each 1= represent adopted and 0 = represent not adopted. The LR model is suitable for this analysis. </w:t>
      </w:r>
    </w:p>
    <w:p w14:paraId="2B3FF6FA">
      <w:pPr>
        <w:spacing w:line="360" w:lineRule="auto"/>
        <w:jc w:val="both"/>
        <w:rPr>
          <w:rFonts w:ascii="Arial Narrow" w:hAnsi="Arial Narrow"/>
          <w:b/>
          <w:sz w:val="24"/>
          <w:szCs w:val="24"/>
        </w:rPr>
      </w:pPr>
      <w:r>
        <w:rPr>
          <w:rFonts w:ascii="Arial Narrow" w:hAnsi="Arial Narrow"/>
          <w:b/>
          <w:sz w:val="24"/>
          <w:szCs w:val="24"/>
        </w:rPr>
        <w:t xml:space="preserve">Table 2: Summary of Variables and Their Description for the Adoption of Succession Planning </w:t>
      </w:r>
    </w:p>
    <w:tbl>
      <w:tblPr>
        <w:tblStyle w:val="12"/>
        <w:tblW w:w="5000" w:type="pct"/>
        <w:tblInd w:w="0" w:type="dxa"/>
        <w:tblLayout w:type="autofit"/>
        <w:tblCellMar>
          <w:top w:w="0" w:type="dxa"/>
          <w:left w:w="108" w:type="dxa"/>
          <w:bottom w:w="0" w:type="dxa"/>
          <w:right w:w="108" w:type="dxa"/>
        </w:tblCellMar>
      </w:tblPr>
      <w:tblGrid>
        <w:gridCol w:w="1869"/>
        <w:gridCol w:w="1241"/>
        <w:gridCol w:w="2354"/>
        <w:gridCol w:w="1613"/>
        <w:gridCol w:w="2499"/>
      </w:tblGrid>
      <w:tr w14:paraId="58D6E9A7">
        <w:tblPrEx>
          <w:tblCellMar>
            <w:top w:w="0" w:type="dxa"/>
            <w:left w:w="108" w:type="dxa"/>
            <w:bottom w:w="0" w:type="dxa"/>
            <w:right w:w="108" w:type="dxa"/>
          </w:tblCellMar>
        </w:tblPrEx>
        <w:trPr>
          <w:trHeight w:val="390" w:hRule="atLeast"/>
        </w:trPr>
        <w:tc>
          <w:tcPr>
            <w:tcW w:w="976" w:type="pct"/>
            <w:tcBorders>
              <w:top w:val="single" w:color="auto" w:sz="4" w:space="0"/>
              <w:left w:val="nil"/>
              <w:bottom w:val="single" w:color="auto" w:sz="4" w:space="0"/>
              <w:right w:val="nil"/>
            </w:tcBorders>
            <w:vAlign w:val="center"/>
          </w:tcPr>
          <w:p w14:paraId="4FF2A418">
            <w:pPr>
              <w:spacing w:after="0" w:line="276" w:lineRule="auto"/>
              <w:jc w:val="both"/>
              <w:rPr>
                <w:rFonts w:ascii="Arial Narrow" w:hAnsi="Arial Narrow" w:eastAsia="Times New Roman" w:cs="Times New Roman"/>
                <w:b/>
                <w:bCs/>
                <w:color w:val="000000"/>
                <w:sz w:val="20"/>
                <w:szCs w:val="20"/>
              </w:rPr>
            </w:pPr>
            <w:r>
              <w:rPr>
                <w:rFonts w:ascii="Arial Narrow" w:hAnsi="Arial Narrow" w:eastAsia="Times New Roman" w:cs="Times New Roman"/>
                <w:b/>
                <w:bCs/>
                <w:color w:val="000000"/>
                <w:sz w:val="20"/>
                <w:szCs w:val="20"/>
              </w:rPr>
              <w:t>SN</w:t>
            </w:r>
          </w:p>
        </w:tc>
        <w:tc>
          <w:tcPr>
            <w:tcW w:w="648" w:type="pct"/>
            <w:tcBorders>
              <w:top w:val="single" w:color="auto" w:sz="4" w:space="0"/>
              <w:left w:val="nil"/>
              <w:bottom w:val="single" w:color="auto" w:sz="4" w:space="0"/>
              <w:right w:val="nil"/>
            </w:tcBorders>
            <w:vAlign w:val="center"/>
          </w:tcPr>
          <w:p w14:paraId="2A8E0D4E">
            <w:pPr>
              <w:spacing w:after="0" w:line="276" w:lineRule="auto"/>
              <w:jc w:val="both"/>
              <w:rPr>
                <w:rFonts w:ascii="Arial Narrow" w:hAnsi="Arial Narrow" w:eastAsia="Times New Roman" w:cs="Times New Roman"/>
                <w:b/>
                <w:bCs/>
                <w:color w:val="000000"/>
                <w:sz w:val="20"/>
                <w:szCs w:val="20"/>
              </w:rPr>
            </w:pPr>
            <w:r>
              <w:rPr>
                <w:rFonts w:ascii="Arial Narrow" w:hAnsi="Arial Narrow" w:eastAsia="Times New Roman" w:cs="Times New Roman"/>
                <w:b/>
                <w:bCs/>
                <w:color w:val="000000"/>
                <w:sz w:val="20"/>
                <w:szCs w:val="20"/>
              </w:rPr>
              <w:t>Variable name</w:t>
            </w:r>
          </w:p>
        </w:tc>
        <w:tc>
          <w:tcPr>
            <w:tcW w:w="1229" w:type="pct"/>
            <w:tcBorders>
              <w:top w:val="single" w:color="auto" w:sz="4" w:space="0"/>
              <w:left w:val="nil"/>
              <w:bottom w:val="single" w:color="auto" w:sz="4" w:space="0"/>
              <w:right w:val="nil"/>
            </w:tcBorders>
            <w:vAlign w:val="center"/>
          </w:tcPr>
          <w:p w14:paraId="26A121FC">
            <w:pPr>
              <w:spacing w:after="0" w:line="276" w:lineRule="auto"/>
              <w:jc w:val="both"/>
              <w:rPr>
                <w:rFonts w:ascii="Arial Narrow" w:hAnsi="Arial Narrow" w:eastAsia="Times New Roman" w:cs="Times New Roman"/>
                <w:b/>
                <w:bCs/>
                <w:color w:val="000000"/>
                <w:sz w:val="20"/>
                <w:szCs w:val="20"/>
              </w:rPr>
            </w:pPr>
            <w:r>
              <w:rPr>
                <w:rFonts w:ascii="Arial Narrow" w:hAnsi="Arial Narrow" w:eastAsia="Times New Roman" w:cs="Times New Roman"/>
                <w:b/>
                <w:bCs/>
                <w:color w:val="000000"/>
                <w:sz w:val="20"/>
                <w:szCs w:val="20"/>
              </w:rPr>
              <w:t>Description</w:t>
            </w:r>
          </w:p>
        </w:tc>
        <w:tc>
          <w:tcPr>
            <w:tcW w:w="842" w:type="pct"/>
            <w:tcBorders>
              <w:top w:val="single" w:color="auto" w:sz="4" w:space="0"/>
              <w:left w:val="nil"/>
              <w:bottom w:val="single" w:color="auto" w:sz="4" w:space="0"/>
              <w:right w:val="nil"/>
            </w:tcBorders>
            <w:vAlign w:val="center"/>
          </w:tcPr>
          <w:p w14:paraId="0EA18050">
            <w:pPr>
              <w:spacing w:after="0" w:line="276" w:lineRule="auto"/>
              <w:jc w:val="both"/>
              <w:rPr>
                <w:rFonts w:ascii="Arial Narrow" w:hAnsi="Arial Narrow" w:eastAsia="Times New Roman" w:cs="Times New Roman"/>
                <w:b/>
                <w:bCs/>
                <w:color w:val="000000"/>
                <w:sz w:val="20"/>
                <w:szCs w:val="20"/>
              </w:rPr>
            </w:pPr>
            <w:r>
              <w:rPr>
                <w:rFonts w:ascii="Arial Narrow" w:hAnsi="Arial Narrow" w:eastAsia="Times New Roman" w:cs="Times New Roman"/>
                <w:b/>
                <w:bCs/>
                <w:color w:val="000000"/>
                <w:sz w:val="20"/>
                <w:szCs w:val="20"/>
              </w:rPr>
              <w:t xml:space="preserve">Types </w:t>
            </w:r>
          </w:p>
        </w:tc>
        <w:tc>
          <w:tcPr>
            <w:tcW w:w="1305" w:type="pct"/>
            <w:tcBorders>
              <w:top w:val="single" w:color="auto" w:sz="4" w:space="0"/>
              <w:left w:val="nil"/>
              <w:bottom w:val="single" w:color="auto" w:sz="4" w:space="0"/>
              <w:right w:val="nil"/>
            </w:tcBorders>
            <w:vAlign w:val="center"/>
          </w:tcPr>
          <w:p w14:paraId="64C446A4">
            <w:pPr>
              <w:spacing w:after="0" w:line="276" w:lineRule="auto"/>
              <w:jc w:val="both"/>
              <w:rPr>
                <w:rFonts w:ascii="Arial Narrow" w:hAnsi="Arial Narrow" w:eastAsia="Times New Roman" w:cs="Times New Roman"/>
                <w:b/>
                <w:bCs/>
                <w:color w:val="000000"/>
                <w:sz w:val="20"/>
                <w:szCs w:val="20"/>
              </w:rPr>
            </w:pPr>
            <w:r>
              <w:rPr>
                <w:rFonts w:ascii="Arial Narrow" w:hAnsi="Arial Narrow" w:eastAsia="Times New Roman" w:cs="Times New Roman"/>
                <w:b/>
                <w:bCs/>
                <w:color w:val="000000"/>
                <w:sz w:val="20"/>
                <w:szCs w:val="20"/>
              </w:rPr>
              <w:t xml:space="preserve">Expected influence </w:t>
            </w:r>
          </w:p>
        </w:tc>
      </w:tr>
      <w:tr w14:paraId="0713030C">
        <w:tblPrEx>
          <w:tblCellMar>
            <w:top w:w="0" w:type="dxa"/>
            <w:left w:w="108" w:type="dxa"/>
            <w:bottom w:w="0" w:type="dxa"/>
            <w:right w:w="108" w:type="dxa"/>
          </w:tblCellMar>
        </w:tblPrEx>
        <w:trPr>
          <w:trHeight w:val="315" w:hRule="atLeast"/>
        </w:trPr>
        <w:tc>
          <w:tcPr>
            <w:tcW w:w="976" w:type="pct"/>
            <w:vMerge w:val="restart"/>
            <w:tcBorders>
              <w:top w:val="nil"/>
              <w:left w:val="nil"/>
              <w:bottom w:val="nil"/>
              <w:right w:val="nil"/>
            </w:tcBorders>
            <w:vAlign w:val="center"/>
          </w:tcPr>
          <w:p w14:paraId="47CE90F9">
            <w:pPr>
              <w:spacing w:after="0" w:line="276" w:lineRule="auto"/>
              <w:jc w:val="both"/>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1</w:t>
            </w:r>
          </w:p>
        </w:tc>
        <w:tc>
          <w:tcPr>
            <w:tcW w:w="648" w:type="pct"/>
            <w:vMerge w:val="restart"/>
            <w:tcBorders>
              <w:top w:val="nil"/>
              <w:left w:val="nil"/>
              <w:bottom w:val="nil"/>
              <w:right w:val="nil"/>
            </w:tcBorders>
            <w:vAlign w:val="center"/>
          </w:tcPr>
          <w:p w14:paraId="5A9C6A1C">
            <w:pPr>
              <w:spacing w:after="0" w:line="276" w:lineRule="auto"/>
              <w:jc w:val="both"/>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Adoption status</w:t>
            </w:r>
          </w:p>
        </w:tc>
        <w:tc>
          <w:tcPr>
            <w:tcW w:w="1229" w:type="pct"/>
            <w:tcBorders>
              <w:top w:val="nil"/>
              <w:left w:val="nil"/>
              <w:bottom w:val="nil"/>
              <w:right w:val="nil"/>
            </w:tcBorders>
            <w:vAlign w:val="center"/>
          </w:tcPr>
          <w:p w14:paraId="3D9FA337">
            <w:pPr>
              <w:spacing w:after="0" w:line="276" w:lineRule="auto"/>
              <w:jc w:val="both"/>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Dependent variable</w:t>
            </w:r>
          </w:p>
        </w:tc>
        <w:tc>
          <w:tcPr>
            <w:tcW w:w="842" w:type="pct"/>
            <w:vMerge w:val="restart"/>
            <w:tcBorders>
              <w:top w:val="nil"/>
              <w:left w:val="nil"/>
              <w:bottom w:val="nil"/>
              <w:right w:val="nil"/>
            </w:tcBorders>
            <w:vAlign w:val="center"/>
          </w:tcPr>
          <w:p w14:paraId="3045562A">
            <w:pPr>
              <w:spacing w:after="0" w:line="276" w:lineRule="auto"/>
              <w:jc w:val="both"/>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 xml:space="preserve">Categorical </w:t>
            </w:r>
          </w:p>
        </w:tc>
        <w:tc>
          <w:tcPr>
            <w:tcW w:w="1305" w:type="pct"/>
            <w:vMerge w:val="restart"/>
            <w:tcBorders>
              <w:top w:val="nil"/>
              <w:left w:val="nil"/>
              <w:bottom w:val="nil"/>
              <w:right w:val="nil"/>
            </w:tcBorders>
            <w:vAlign w:val="center"/>
          </w:tcPr>
          <w:p w14:paraId="6F075349">
            <w:pPr>
              <w:spacing w:after="0" w:line="276" w:lineRule="auto"/>
              <w:jc w:val="both"/>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N/A</w:t>
            </w:r>
          </w:p>
        </w:tc>
      </w:tr>
      <w:tr w14:paraId="3BB921BC">
        <w:tblPrEx>
          <w:tblCellMar>
            <w:top w:w="0" w:type="dxa"/>
            <w:left w:w="108" w:type="dxa"/>
            <w:bottom w:w="0" w:type="dxa"/>
            <w:right w:w="108" w:type="dxa"/>
          </w:tblCellMar>
        </w:tblPrEx>
        <w:trPr>
          <w:trHeight w:val="585" w:hRule="atLeast"/>
        </w:trPr>
        <w:tc>
          <w:tcPr>
            <w:tcW w:w="976" w:type="pct"/>
            <w:vMerge w:val="continue"/>
            <w:tcBorders>
              <w:top w:val="nil"/>
              <w:left w:val="nil"/>
              <w:bottom w:val="nil"/>
              <w:right w:val="nil"/>
            </w:tcBorders>
            <w:vAlign w:val="center"/>
          </w:tcPr>
          <w:p w14:paraId="7F6889A5">
            <w:pPr>
              <w:spacing w:after="0" w:line="276" w:lineRule="auto"/>
              <w:rPr>
                <w:rFonts w:ascii="Arial Narrow" w:hAnsi="Arial Narrow" w:eastAsia="Times New Roman" w:cs="Times New Roman"/>
                <w:color w:val="000000"/>
                <w:sz w:val="20"/>
                <w:szCs w:val="20"/>
              </w:rPr>
            </w:pPr>
          </w:p>
        </w:tc>
        <w:tc>
          <w:tcPr>
            <w:tcW w:w="648" w:type="pct"/>
            <w:vMerge w:val="continue"/>
            <w:tcBorders>
              <w:top w:val="nil"/>
              <w:left w:val="nil"/>
              <w:bottom w:val="nil"/>
              <w:right w:val="nil"/>
            </w:tcBorders>
            <w:vAlign w:val="center"/>
          </w:tcPr>
          <w:p w14:paraId="6875782C">
            <w:pPr>
              <w:spacing w:after="0" w:line="276" w:lineRule="auto"/>
              <w:rPr>
                <w:rFonts w:ascii="Arial Narrow" w:hAnsi="Arial Narrow" w:eastAsia="Times New Roman" w:cs="Times New Roman"/>
                <w:color w:val="000000"/>
                <w:sz w:val="20"/>
                <w:szCs w:val="20"/>
              </w:rPr>
            </w:pPr>
          </w:p>
        </w:tc>
        <w:tc>
          <w:tcPr>
            <w:tcW w:w="1229" w:type="pct"/>
            <w:tcBorders>
              <w:top w:val="nil"/>
              <w:left w:val="nil"/>
              <w:bottom w:val="nil"/>
              <w:right w:val="nil"/>
            </w:tcBorders>
            <w:vAlign w:val="center"/>
          </w:tcPr>
          <w:p w14:paraId="7D902C49">
            <w:pPr>
              <w:spacing w:after="0" w:line="276" w:lineRule="auto"/>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indicating (1= adopted, 0= not adopted)</w:t>
            </w:r>
          </w:p>
        </w:tc>
        <w:tc>
          <w:tcPr>
            <w:tcW w:w="842" w:type="pct"/>
            <w:vMerge w:val="continue"/>
            <w:tcBorders>
              <w:top w:val="nil"/>
              <w:left w:val="nil"/>
              <w:bottom w:val="nil"/>
              <w:right w:val="nil"/>
            </w:tcBorders>
            <w:vAlign w:val="center"/>
          </w:tcPr>
          <w:p w14:paraId="1EFFF9D6">
            <w:pPr>
              <w:spacing w:after="0" w:line="276" w:lineRule="auto"/>
              <w:rPr>
                <w:rFonts w:ascii="Arial Narrow" w:hAnsi="Arial Narrow" w:eastAsia="Times New Roman" w:cs="Times New Roman"/>
                <w:color w:val="000000"/>
                <w:sz w:val="20"/>
                <w:szCs w:val="20"/>
              </w:rPr>
            </w:pPr>
          </w:p>
        </w:tc>
        <w:tc>
          <w:tcPr>
            <w:tcW w:w="1305" w:type="pct"/>
            <w:vMerge w:val="continue"/>
            <w:tcBorders>
              <w:top w:val="nil"/>
              <w:left w:val="nil"/>
              <w:bottom w:val="nil"/>
              <w:right w:val="nil"/>
            </w:tcBorders>
            <w:vAlign w:val="center"/>
          </w:tcPr>
          <w:p w14:paraId="5D205065">
            <w:pPr>
              <w:spacing w:after="0" w:line="276" w:lineRule="auto"/>
              <w:rPr>
                <w:rFonts w:ascii="Arial Narrow" w:hAnsi="Arial Narrow" w:eastAsia="Times New Roman" w:cs="Times New Roman"/>
                <w:color w:val="000000"/>
                <w:sz w:val="20"/>
                <w:szCs w:val="20"/>
              </w:rPr>
            </w:pPr>
          </w:p>
        </w:tc>
      </w:tr>
      <w:tr w14:paraId="4DB1ECFB">
        <w:tblPrEx>
          <w:tblCellMar>
            <w:top w:w="0" w:type="dxa"/>
            <w:left w:w="108" w:type="dxa"/>
            <w:bottom w:w="0" w:type="dxa"/>
            <w:right w:w="108" w:type="dxa"/>
          </w:tblCellMar>
        </w:tblPrEx>
        <w:trPr>
          <w:trHeight w:val="503" w:hRule="atLeast"/>
        </w:trPr>
        <w:tc>
          <w:tcPr>
            <w:tcW w:w="976" w:type="pct"/>
            <w:tcBorders>
              <w:top w:val="nil"/>
              <w:left w:val="nil"/>
              <w:bottom w:val="nil"/>
              <w:right w:val="nil"/>
            </w:tcBorders>
            <w:vAlign w:val="center"/>
          </w:tcPr>
          <w:p w14:paraId="48500A7B">
            <w:pPr>
              <w:spacing w:after="0" w:line="276" w:lineRule="auto"/>
              <w:jc w:val="both"/>
              <w:rPr>
                <w:rFonts w:ascii="Arial Narrow" w:hAnsi="Arial Narrow" w:eastAsia="Times New Roman" w:cs="Times New Roman"/>
                <w:bCs/>
                <w:color w:val="000000"/>
                <w:sz w:val="20"/>
                <w:szCs w:val="20"/>
              </w:rPr>
            </w:pPr>
            <w:r>
              <w:rPr>
                <w:rFonts w:ascii="Arial Narrow" w:hAnsi="Arial Narrow" w:eastAsia="Times New Roman" w:cs="Times New Roman"/>
                <w:bCs/>
                <w:color w:val="000000"/>
                <w:sz w:val="20"/>
                <w:szCs w:val="20"/>
              </w:rPr>
              <w:t>2</w:t>
            </w:r>
          </w:p>
        </w:tc>
        <w:tc>
          <w:tcPr>
            <w:tcW w:w="648" w:type="pct"/>
            <w:tcBorders>
              <w:top w:val="nil"/>
              <w:left w:val="nil"/>
              <w:bottom w:val="nil"/>
              <w:right w:val="nil"/>
            </w:tcBorders>
            <w:vAlign w:val="center"/>
          </w:tcPr>
          <w:p w14:paraId="41AEDAB7">
            <w:pPr>
              <w:spacing w:after="0" w:line="276" w:lineRule="auto"/>
              <w:jc w:val="both"/>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 xml:space="preserve">Gender </w:t>
            </w:r>
          </w:p>
        </w:tc>
        <w:tc>
          <w:tcPr>
            <w:tcW w:w="1229" w:type="pct"/>
            <w:tcBorders>
              <w:top w:val="nil"/>
              <w:left w:val="nil"/>
              <w:bottom w:val="nil"/>
              <w:right w:val="nil"/>
            </w:tcBorders>
            <w:vAlign w:val="center"/>
          </w:tcPr>
          <w:p w14:paraId="6C0963A3">
            <w:pPr>
              <w:spacing w:after="0" w:line="276" w:lineRule="auto"/>
              <w:jc w:val="both"/>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1=male, 0= female</w:t>
            </w:r>
          </w:p>
        </w:tc>
        <w:tc>
          <w:tcPr>
            <w:tcW w:w="842" w:type="pct"/>
            <w:tcBorders>
              <w:top w:val="nil"/>
              <w:left w:val="nil"/>
              <w:bottom w:val="nil"/>
              <w:right w:val="nil"/>
            </w:tcBorders>
            <w:vAlign w:val="center"/>
          </w:tcPr>
          <w:p w14:paraId="3F405728">
            <w:pPr>
              <w:spacing w:after="0" w:line="276" w:lineRule="auto"/>
              <w:jc w:val="both"/>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Binary (0/1)</w:t>
            </w:r>
          </w:p>
        </w:tc>
        <w:tc>
          <w:tcPr>
            <w:tcW w:w="1305" w:type="pct"/>
            <w:tcBorders>
              <w:top w:val="nil"/>
              <w:left w:val="nil"/>
              <w:bottom w:val="nil"/>
              <w:right w:val="nil"/>
            </w:tcBorders>
            <w:vAlign w:val="center"/>
          </w:tcPr>
          <w:p w14:paraId="225C6596">
            <w:pPr>
              <w:spacing w:after="0" w:line="276" w:lineRule="auto"/>
              <w:jc w:val="both"/>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Male more likely to adopt succession planning than females</w:t>
            </w:r>
          </w:p>
        </w:tc>
      </w:tr>
      <w:tr w14:paraId="265BAB5A">
        <w:tblPrEx>
          <w:tblCellMar>
            <w:top w:w="0" w:type="dxa"/>
            <w:left w:w="108" w:type="dxa"/>
            <w:bottom w:w="0" w:type="dxa"/>
            <w:right w:w="108" w:type="dxa"/>
          </w:tblCellMar>
        </w:tblPrEx>
        <w:trPr>
          <w:trHeight w:val="1005" w:hRule="atLeast"/>
        </w:trPr>
        <w:tc>
          <w:tcPr>
            <w:tcW w:w="976" w:type="pct"/>
            <w:tcBorders>
              <w:top w:val="nil"/>
              <w:left w:val="nil"/>
              <w:bottom w:val="nil"/>
              <w:right w:val="nil"/>
            </w:tcBorders>
            <w:vAlign w:val="center"/>
          </w:tcPr>
          <w:p w14:paraId="3DDD2995">
            <w:pPr>
              <w:spacing w:after="0" w:line="276" w:lineRule="auto"/>
              <w:jc w:val="both"/>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3</w:t>
            </w:r>
          </w:p>
        </w:tc>
        <w:tc>
          <w:tcPr>
            <w:tcW w:w="648" w:type="pct"/>
            <w:tcBorders>
              <w:top w:val="nil"/>
              <w:left w:val="nil"/>
              <w:bottom w:val="nil"/>
              <w:right w:val="nil"/>
            </w:tcBorders>
            <w:vAlign w:val="center"/>
          </w:tcPr>
          <w:p w14:paraId="68910F25">
            <w:pPr>
              <w:spacing w:after="0" w:line="276" w:lineRule="auto"/>
              <w:jc w:val="both"/>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 xml:space="preserve">Age </w:t>
            </w:r>
          </w:p>
        </w:tc>
        <w:tc>
          <w:tcPr>
            <w:tcW w:w="1229" w:type="pct"/>
            <w:tcBorders>
              <w:top w:val="nil"/>
              <w:left w:val="nil"/>
              <w:bottom w:val="nil"/>
              <w:right w:val="nil"/>
            </w:tcBorders>
            <w:vAlign w:val="center"/>
          </w:tcPr>
          <w:p w14:paraId="1FFEEC5D">
            <w:pPr>
              <w:spacing w:after="0" w:line="276" w:lineRule="auto"/>
              <w:jc w:val="both"/>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1= older, 0=younger</w:t>
            </w:r>
          </w:p>
        </w:tc>
        <w:tc>
          <w:tcPr>
            <w:tcW w:w="842" w:type="pct"/>
            <w:tcBorders>
              <w:top w:val="nil"/>
              <w:left w:val="nil"/>
              <w:bottom w:val="nil"/>
              <w:right w:val="nil"/>
            </w:tcBorders>
            <w:vAlign w:val="center"/>
          </w:tcPr>
          <w:p w14:paraId="11BE712C">
            <w:pPr>
              <w:spacing w:after="0" w:line="276" w:lineRule="auto"/>
              <w:jc w:val="both"/>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Binary (0/1)</w:t>
            </w:r>
          </w:p>
        </w:tc>
        <w:tc>
          <w:tcPr>
            <w:tcW w:w="1305" w:type="pct"/>
            <w:tcBorders>
              <w:top w:val="nil"/>
              <w:left w:val="nil"/>
              <w:bottom w:val="nil"/>
              <w:right w:val="nil"/>
            </w:tcBorders>
            <w:vAlign w:val="center"/>
          </w:tcPr>
          <w:p w14:paraId="5208601A">
            <w:pPr>
              <w:spacing w:after="0" w:line="276" w:lineRule="auto"/>
              <w:jc w:val="both"/>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Older individuals are more likely to adopt succession planning compared to younger individuals.</w:t>
            </w:r>
          </w:p>
        </w:tc>
      </w:tr>
      <w:tr w14:paraId="312ABF3E">
        <w:tblPrEx>
          <w:tblCellMar>
            <w:top w:w="0" w:type="dxa"/>
            <w:left w:w="108" w:type="dxa"/>
            <w:bottom w:w="0" w:type="dxa"/>
            <w:right w:w="108" w:type="dxa"/>
          </w:tblCellMar>
        </w:tblPrEx>
        <w:trPr>
          <w:trHeight w:val="930" w:hRule="atLeast"/>
        </w:trPr>
        <w:tc>
          <w:tcPr>
            <w:tcW w:w="976" w:type="pct"/>
            <w:tcBorders>
              <w:top w:val="nil"/>
              <w:left w:val="nil"/>
              <w:bottom w:val="nil"/>
              <w:right w:val="nil"/>
            </w:tcBorders>
            <w:vAlign w:val="center"/>
          </w:tcPr>
          <w:p w14:paraId="25C9505F">
            <w:pPr>
              <w:spacing w:after="0" w:line="276" w:lineRule="auto"/>
              <w:jc w:val="both"/>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4</w:t>
            </w:r>
          </w:p>
        </w:tc>
        <w:tc>
          <w:tcPr>
            <w:tcW w:w="648" w:type="pct"/>
            <w:tcBorders>
              <w:top w:val="nil"/>
              <w:left w:val="nil"/>
              <w:bottom w:val="nil"/>
              <w:right w:val="nil"/>
            </w:tcBorders>
            <w:vAlign w:val="center"/>
          </w:tcPr>
          <w:p w14:paraId="371D1A96">
            <w:pPr>
              <w:spacing w:after="0" w:line="276" w:lineRule="auto"/>
              <w:jc w:val="both"/>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 xml:space="preserve">Education </w:t>
            </w:r>
          </w:p>
        </w:tc>
        <w:tc>
          <w:tcPr>
            <w:tcW w:w="1229" w:type="pct"/>
            <w:tcBorders>
              <w:top w:val="nil"/>
              <w:left w:val="nil"/>
              <w:bottom w:val="nil"/>
              <w:right w:val="nil"/>
            </w:tcBorders>
            <w:vAlign w:val="center"/>
          </w:tcPr>
          <w:p w14:paraId="7291D0AB">
            <w:pPr>
              <w:spacing w:after="0" w:line="276" w:lineRule="auto"/>
              <w:jc w:val="both"/>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1= secondary or higher,0= primary or none</w:t>
            </w:r>
          </w:p>
        </w:tc>
        <w:tc>
          <w:tcPr>
            <w:tcW w:w="842" w:type="pct"/>
            <w:tcBorders>
              <w:top w:val="nil"/>
              <w:left w:val="nil"/>
              <w:bottom w:val="nil"/>
              <w:right w:val="nil"/>
            </w:tcBorders>
            <w:vAlign w:val="center"/>
          </w:tcPr>
          <w:p w14:paraId="5EFF2AB4">
            <w:pPr>
              <w:spacing w:after="0" w:line="276" w:lineRule="auto"/>
              <w:jc w:val="both"/>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Binary (0/1)</w:t>
            </w:r>
          </w:p>
        </w:tc>
        <w:tc>
          <w:tcPr>
            <w:tcW w:w="1305" w:type="pct"/>
            <w:tcBorders>
              <w:top w:val="nil"/>
              <w:left w:val="nil"/>
              <w:bottom w:val="nil"/>
              <w:right w:val="nil"/>
            </w:tcBorders>
            <w:vAlign w:val="center"/>
          </w:tcPr>
          <w:p w14:paraId="7E161B85">
            <w:pPr>
              <w:spacing w:after="0" w:line="276" w:lineRule="auto"/>
              <w:jc w:val="both"/>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lang w:val="en-GB"/>
              </w:rPr>
              <w:t>Highly educated families are more likely to adopt succession planning than less educated households.</w:t>
            </w:r>
          </w:p>
        </w:tc>
      </w:tr>
      <w:tr w14:paraId="44BE639A">
        <w:tblPrEx>
          <w:tblCellMar>
            <w:top w:w="0" w:type="dxa"/>
            <w:left w:w="108" w:type="dxa"/>
            <w:bottom w:w="0" w:type="dxa"/>
            <w:right w:w="108" w:type="dxa"/>
          </w:tblCellMar>
        </w:tblPrEx>
        <w:trPr>
          <w:trHeight w:val="912" w:hRule="atLeast"/>
        </w:trPr>
        <w:tc>
          <w:tcPr>
            <w:tcW w:w="976" w:type="pct"/>
            <w:tcBorders>
              <w:top w:val="nil"/>
              <w:left w:val="nil"/>
              <w:bottom w:val="nil"/>
              <w:right w:val="nil"/>
            </w:tcBorders>
            <w:vAlign w:val="center"/>
          </w:tcPr>
          <w:p w14:paraId="4FF7862A">
            <w:pPr>
              <w:spacing w:after="0" w:line="276" w:lineRule="auto"/>
              <w:jc w:val="both"/>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5</w:t>
            </w:r>
          </w:p>
        </w:tc>
        <w:tc>
          <w:tcPr>
            <w:tcW w:w="648" w:type="pct"/>
            <w:tcBorders>
              <w:top w:val="nil"/>
              <w:left w:val="nil"/>
              <w:bottom w:val="nil"/>
              <w:right w:val="nil"/>
            </w:tcBorders>
            <w:vAlign w:val="center"/>
          </w:tcPr>
          <w:p w14:paraId="65E2CE86">
            <w:pPr>
              <w:spacing w:after="0" w:line="276" w:lineRule="auto"/>
              <w:jc w:val="both"/>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 xml:space="preserve">Marital </w:t>
            </w:r>
          </w:p>
        </w:tc>
        <w:tc>
          <w:tcPr>
            <w:tcW w:w="1229" w:type="pct"/>
            <w:tcBorders>
              <w:top w:val="nil"/>
              <w:left w:val="nil"/>
              <w:bottom w:val="nil"/>
              <w:right w:val="nil"/>
            </w:tcBorders>
            <w:vAlign w:val="center"/>
          </w:tcPr>
          <w:p w14:paraId="4919DFA4">
            <w:pPr>
              <w:spacing w:after="0" w:line="276" w:lineRule="auto"/>
              <w:jc w:val="both"/>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1= married, 0 = others</w:t>
            </w:r>
          </w:p>
        </w:tc>
        <w:tc>
          <w:tcPr>
            <w:tcW w:w="842" w:type="pct"/>
            <w:tcBorders>
              <w:top w:val="nil"/>
              <w:left w:val="nil"/>
              <w:bottom w:val="nil"/>
              <w:right w:val="nil"/>
            </w:tcBorders>
            <w:vAlign w:val="center"/>
          </w:tcPr>
          <w:p w14:paraId="00A5852D">
            <w:pPr>
              <w:spacing w:after="0" w:line="276" w:lineRule="auto"/>
              <w:jc w:val="both"/>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Binary (0/1)</w:t>
            </w:r>
          </w:p>
        </w:tc>
        <w:tc>
          <w:tcPr>
            <w:tcW w:w="1305" w:type="pct"/>
            <w:tcBorders>
              <w:top w:val="nil"/>
              <w:left w:val="nil"/>
              <w:bottom w:val="nil"/>
              <w:right w:val="nil"/>
            </w:tcBorders>
            <w:vAlign w:val="center"/>
          </w:tcPr>
          <w:p w14:paraId="68F2C6B8">
            <w:pPr>
              <w:spacing w:after="0" w:line="276" w:lineRule="auto"/>
              <w:jc w:val="both"/>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Married individuals are more likely to adopt succession planning compared to others.</w:t>
            </w:r>
          </w:p>
        </w:tc>
      </w:tr>
      <w:tr w14:paraId="18C6628E">
        <w:tblPrEx>
          <w:tblCellMar>
            <w:top w:w="0" w:type="dxa"/>
            <w:left w:w="108" w:type="dxa"/>
            <w:bottom w:w="0" w:type="dxa"/>
            <w:right w:w="108" w:type="dxa"/>
          </w:tblCellMar>
        </w:tblPrEx>
        <w:trPr>
          <w:trHeight w:val="1065" w:hRule="atLeast"/>
        </w:trPr>
        <w:tc>
          <w:tcPr>
            <w:tcW w:w="976" w:type="pct"/>
            <w:tcBorders>
              <w:top w:val="nil"/>
              <w:left w:val="nil"/>
              <w:bottom w:val="nil"/>
              <w:right w:val="nil"/>
            </w:tcBorders>
            <w:vAlign w:val="center"/>
          </w:tcPr>
          <w:p w14:paraId="56FFD952">
            <w:pPr>
              <w:spacing w:after="0" w:line="276" w:lineRule="auto"/>
              <w:jc w:val="both"/>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6</w:t>
            </w:r>
          </w:p>
        </w:tc>
        <w:tc>
          <w:tcPr>
            <w:tcW w:w="648" w:type="pct"/>
            <w:tcBorders>
              <w:top w:val="nil"/>
              <w:left w:val="nil"/>
              <w:bottom w:val="nil"/>
              <w:right w:val="nil"/>
            </w:tcBorders>
            <w:vAlign w:val="center"/>
          </w:tcPr>
          <w:p w14:paraId="3040F87B">
            <w:pPr>
              <w:spacing w:after="0" w:line="276" w:lineRule="auto"/>
              <w:jc w:val="both"/>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Household Size</w:t>
            </w:r>
          </w:p>
        </w:tc>
        <w:tc>
          <w:tcPr>
            <w:tcW w:w="1229" w:type="pct"/>
            <w:tcBorders>
              <w:top w:val="nil"/>
              <w:left w:val="nil"/>
              <w:bottom w:val="nil"/>
              <w:right w:val="nil"/>
            </w:tcBorders>
            <w:vAlign w:val="center"/>
          </w:tcPr>
          <w:p w14:paraId="47894A6B">
            <w:pPr>
              <w:spacing w:after="0" w:line="276" w:lineRule="auto"/>
              <w:jc w:val="both"/>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1= high size, 0= low size</w:t>
            </w:r>
          </w:p>
        </w:tc>
        <w:tc>
          <w:tcPr>
            <w:tcW w:w="842" w:type="pct"/>
            <w:tcBorders>
              <w:top w:val="nil"/>
              <w:left w:val="nil"/>
              <w:bottom w:val="nil"/>
              <w:right w:val="nil"/>
            </w:tcBorders>
            <w:vAlign w:val="center"/>
          </w:tcPr>
          <w:p w14:paraId="78F8CC80">
            <w:pPr>
              <w:spacing w:after="0" w:line="276" w:lineRule="auto"/>
              <w:jc w:val="both"/>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Binary (0/1)</w:t>
            </w:r>
          </w:p>
        </w:tc>
        <w:tc>
          <w:tcPr>
            <w:tcW w:w="1305" w:type="pct"/>
            <w:tcBorders>
              <w:top w:val="nil"/>
              <w:left w:val="nil"/>
              <w:bottom w:val="nil"/>
              <w:right w:val="nil"/>
            </w:tcBorders>
            <w:vAlign w:val="center"/>
          </w:tcPr>
          <w:p w14:paraId="7BCA3E56">
            <w:pPr>
              <w:spacing w:after="0" w:line="276" w:lineRule="auto"/>
              <w:jc w:val="both"/>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Households with a high household size are more likely to adopt a succession plan than those with a low household size.</w:t>
            </w:r>
          </w:p>
        </w:tc>
      </w:tr>
      <w:tr w14:paraId="7A0B2912">
        <w:tblPrEx>
          <w:tblCellMar>
            <w:top w:w="0" w:type="dxa"/>
            <w:left w:w="108" w:type="dxa"/>
            <w:bottom w:w="0" w:type="dxa"/>
            <w:right w:w="108" w:type="dxa"/>
          </w:tblCellMar>
        </w:tblPrEx>
        <w:trPr>
          <w:trHeight w:val="1095" w:hRule="atLeast"/>
        </w:trPr>
        <w:tc>
          <w:tcPr>
            <w:tcW w:w="976" w:type="pct"/>
            <w:tcBorders>
              <w:top w:val="nil"/>
              <w:left w:val="nil"/>
              <w:bottom w:val="single" w:color="auto" w:sz="4" w:space="0"/>
              <w:right w:val="nil"/>
            </w:tcBorders>
            <w:vAlign w:val="center"/>
          </w:tcPr>
          <w:p w14:paraId="0DBF9810">
            <w:pPr>
              <w:spacing w:after="0" w:line="276" w:lineRule="auto"/>
              <w:jc w:val="both"/>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7</w:t>
            </w:r>
          </w:p>
        </w:tc>
        <w:tc>
          <w:tcPr>
            <w:tcW w:w="648" w:type="pct"/>
            <w:tcBorders>
              <w:top w:val="nil"/>
              <w:left w:val="nil"/>
              <w:bottom w:val="single" w:color="auto" w:sz="4" w:space="0"/>
              <w:right w:val="nil"/>
            </w:tcBorders>
            <w:vAlign w:val="center"/>
          </w:tcPr>
          <w:p w14:paraId="0A395351">
            <w:pPr>
              <w:spacing w:after="0" w:line="276" w:lineRule="auto"/>
              <w:jc w:val="both"/>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Business experience</w:t>
            </w:r>
          </w:p>
        </w:tc>
        <w:tc>
          <w:tcPr>
            <w:tcW w:w="1229" w:type="pct"/>
            <w:tcBorders>
              <w:top w:val="nil"/>
              <w:left w:val="nil"/>
              <w:bottom w:val="single" w:color="auto" w:sz="4" w:space="0"/>
              <w:right w:val="nil"/>
            </w:tcBorders>
            <w:vAlign w:val="center"/>
          </w:tcPr>
          <w:p w14:paraId="543DF210">
            <w:pPr>
              <w:spacing w:after="0" w:line="276" w:lineRule="auto"/>
              <w:jc w:val="both"/>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1= experience, 0= not experience</w:t>
            </w:r>
          </w:p>
        </w:tc>
        <w:tc>
          <w:tcPr>
            <w:tcW w:w="842" w:type="pct"/>
            <w:tcBorders>
              <w:top w:val="nil"/>
              <w:left w:val="nil"/>
              <w:bottom w:val="single" w:color="auto" w:sz="4" w:space="0"/>
              <w:right w:val="nil"/>
            </w:tcBorders>
            <w:vAlign w:val="center"/>
          </w:tcPr>
          <w:p w14:paraId="677C2D05">
            <w:pPr>
              <w:spacing w:after="0" w:line="276" w:lineRule="auto"/>
              <w:jc w:val="both"/>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Binary (0/1)</w:t>
            </w:r>
          </w:p>
        </w:tc>
        <w:tc>
          <w:tcPr>
            <w:tcW w:w="1305" w:type="pct"/>
            <w:tcBorders>
              <w:top w:val="nil"/>
              <w:left w:val="nil"/>
              <w:bottom w:val="single" w:color="auto" w:sz="4" w:space="0"/>
              <w:right w:val="nil"/>
            </w:tcBorders>
            <w:vAlign w:val="center"/>
          </w:tcPr>
          <w:p w14:paraId="21D81786">
            <w:pPr>
              <w:spacing w:after="0" w:line="276" w:lineRule="auto"/>
              <w:jc w:val="both"/>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Experienced expected to adopt succession planning compared to not experienced</w:t>
            </w:r>
          </w:p>
        </w:tc>
      </w:tr>
    </w:tbl>
    <w:p w14:paraId="19339CFD">
      <w:pPr>
        <w:spacing w:after="0" w:line="240" w:lineRule="auto"/>
        <w:jc w:val="both"/>
        <w:rPr>
          <w:rFonts w:ascii="Arial Narrow" w:hAnsi="Arial Narrow"/>
          <w:b/>
          <w:sz w:val="24"/>
          <w:szCs w:val="24"/>
        </w:rPr>
      </w:pPr>
      <w:commentRangeStart w:id="3"/>
      <w:commentRangeStart w:id="4"/>
      <w:r>
        <w:commentReference w:id="3"/>
      </w:r>
      <w:commentRangeEnd w:id="3"/>
      <w:commentRangeEnd w:id="4"/>
      <w:r>
        <w:commentReference w:id="4"/>
      </w:r>
    </w:p>
    <w:p w14:paraId="6C1A5CB7">
      <w:pPr>
        <w:spacing w:after="0" w:line="240" w:lineRule="auto"/>
        <w:jc w:val="both"/>
        <w:rPr>
          <w:rFonts w:ascii="Arial Narrow" w:hAnsi="Arial Narrow" w:eastAsia="Calibri" w:cs="Arial"/>
          <w:sz w:val="18"/>
          <w:szCs w:val="18"/>
        </w:rPr>
      </w:pPr>
      <w:r>
        <w:rPr>
          <w:rFonts w:ascii="Arial Narrow" w:hAnsi="Arial Narrow" w:eastAsia="Calibri" w:cs="Arial"/>
          <w:sz w:val="18"/>
          <w:szCs w:val="18"/>
        </w:rPr>
        <w:t>Y=β0</w:t>
      </w:r>
      <w:r>
        <w:rPr>
          <w:rFonts w:ascii="Arial" w:hAnsi="Arial" w:eastAsia="Calibri" w:cs="Arial"/>
          <w:sz w:val="18"/>
          <w:szCs w:val="18"/>
        </w:rPr>
        <w:t>​</w:t>
      </w:r>
      <w:r>
        <w:rPr>
          <w:rFonts w:ascii="Arial Narrow" w:hAnsi="Arial Narrow" w:eastAsia="Calibri" w:cs="Arial"/>
          <w:sz w:val="18"/>
          <w:szCs w:val="18"/>
        </w:rPr>
        <w:t>+</w:t>
      </w:r>
      <w:bookmarkStart w:id="4" w:name="_Hlk211076579"/>
      <w:r>
        <w:rPr>
          <w:rFonts w:ascii="Arial Narrow" w:hAnsi="Arial Narrow" w:eastAsia="Calibri" w:cs="Arial Narrow"/>
          <w:sz w:val="18"/>
          <w:szCs w:val="18"/>
        </w:rPr>
        <w:t>β</w:t>
      </w:r>
      <w:bookmarkEnd w:id="4"/>
      <w:r>
        <w:rPr>
          <w:rFonts w:ascii="Arial Narrow" w:hAnsi="Arial Narrow" w:eastAsia="Calibri" w:cs="Arial"/>
          <w:sz w:val="18"/>
          <w:szCs w:val="18"/>
        </w:rPr>
        <w:t>1</w:t>
      </w:r>
      <w:r>
        <w:rPr>
          <w:rFonts w:ascii="Arial" w:hAnsi="Arial" w:eastAsia="Calibri" w:cs="Arial"/>
          <w:sz w:val="18"/>
          <w:szCs w:val="18"/>
        </w:rPr>
        <w:t>​</w:t>
      </w:r>
      <w:r>
        <w:rPr>
          <w:rFonts w:ascii="Arial Narrow" w:hAnsi="Arial Narrow" w:eastAsia="Calibri" w:cs="Arial"/>
          <w:sz w:val="18"/>
          <w:szCs w:val="18"/>
        </w:rPr>
        <w:t>X1</w:t>
      </w:r>
      <w:r>
        <w:rPr>
          <w:rFonts w:ascii="Arial" w:hAnsi="Arial" w:eastAsia="Calibri" w:cs="Arial"/>
          <w:sz w:val="18"/>
          <w:szCs w:val="18"/>
        </w:rPr>
        <w:t>​</w:t>
      </w:r>
      <w:r>
        <w:rPr>
          <w:rFonts w:ascii="Arial Narrow" w:hAnsi="Arial Narrow" w:eastAsia="Calibri" w:cs="Arial"/>
          <w:sz w:val="18"/>
          <w:szCs w:val="18"/>
        </w:rPr>
        <w:t>+</w:t>
      </w:r>
      <w:r>
        <w:rPr>
          <w:rFonts w:ascii="Arial Narrow" w:hAnsi="Arial Narrow" w:eastAsia="Calibri" w:cs="Arial Narrow"/>
          <w:sz w:val="18"/>
          <w:szCs w:val="18"/>
        </w:rPr>
        <w:t>β</w:t>
      </w:r>
      <w:r>
        <w:rPr>
          <w:rFonts w:ascii="Arial Narrow" w:hAnsi="Arial Narrow" w:eastAsia="Calibri" w:cs="Arial"/>
          <w:sz w:val="18"/>
          <w:szCs w:val="18"/>
        </w:rPr>
        <w:t>2</w:t>
      </w:r>
      <w:r>
        <w:rPr>
          <w:rFonts w:ascii="Arial" w:hAnsi="Arial" w:eastAsia="Calibri" w:cs="Arial"/>
          <w:sz w:val="18"/>
          <w:szCs w:val="18"/>
        </w:rPr>
        <w:t>​</w:t>
      </w:r>
      <w:r>
        <w:rPr>
          <w:rFonts w:ascii="Arial Narrow" w:hAnsi="Arial Narrow" w:eastAsia="Calibri" w:cs="Arial"/>
          <w:sz w:val="18"/>
          <w:szCs w:val="18"/>
        </w:rPr>
        <w:t>X2</w:t>
      </w:r>
      <w:r>
        <w:rPr>
          <w:rFonts w:ascii="Arial" w:hAnsi="Arial" w:eastAsia="Calibri" w:cs="Arial"/>
          <w:sz w:val="18"/>
          <w:szCs w:val="18"/>
        </w:rPr>
        <w:t>​</w:t>
      </w:r>
      <w:r>
        <w:rPr>
          <w:rFonts w:ascii="Arial Narrow" w:hAnsi="Arial Narrow" w:eastAsia="Calibri" w:cs="Arial"/>
          <w:sz w:val="18"/>
          <w:szCs w:val="18"/>
        </w:rPr>
        <w:t>+</w:t>
      </w:r>
      <w:r>
        <w:rPr>
          <w:rFonts w:ascii="Arial Narrow" w:hAnsi="Arial Narrow" w:eastAsia="Calibri" w:cs="Arial Narrow"/>
          <w:sz w:val="18"/>
          <w:szCs w:val="18"/>
        </w:rPr>
        <w:t>β</w:t>
      </w:r>
      <w:r>
        <w:rPr>
          <w:rFonts w:ascii="Arial Narrow" w:hAnsi="Arial Narrow" w:eastAsia="Calibri" w:cs="Arial"/>
          <w:sz w:val="18"/>
          <w:szCs w:val="18"/>
        </w:rPr>
        <w:t>3</w:t>
      </w:r>
      <w:r>
        <w:rPr>
          <w:rFonts w:ascii="Arial" w:hAnsi="Arial" w:eastAsia="Calibri" w:cs="Arial"/>
          <w:sz w:val="18"/>
          <w:szCs w:val="18"/>
        </w:rPr>
        <w:t>​</w:t>
      </w:r>
      <w:r>
        <w:rPr>
          <w:rFonts w:ascii="Arial Narrow" w:hAnsi="Arial Narrow" w:eastAsia="Calibri" w:cs="Arial"/>
          <w:sz w:val="18"/>
          <w:szCs w:val="18"/>
        </w:rPr>
        <w:t>X3</w:t>
      </w:r>
      <w:r>
        <w:rPr>
          <w:rFonts w:ascii="Arial" w:hAnsi="Arial" w:eastAsia="Calibri" w:cs="Arial"/>
          <w:sz w:val="18"/>
          <w:szCs w:val="18"/>
        </w:rPr>
        <w:t>​</w:t>
      </w:r>
      <w:r>
        <w:rPr>
          <w:rFonts w:ascii="Arial Narrow" w:hAnsi="Arial Narrow" w:eastAsia="Calibri" w:cs="Arial"/>
          <w:sz w:val="18"/>
          <w:szCs w:val="18"/>
        </w:rPr>
        <w:t>+</w:t>
      </w:r>
      <w:r>
        <w:rPr>
          <w:rFonts w:ascii="Arial Narrow" w:hAnsi="Arial Narrow" w:eastAsia="Calibri" w:cs="Arial Narrow"/>
          <w:sz w:val="18"/>
          <w:szCs w:val="18"/>
        </w:rPr>
        <w:t>β</w:t>
      </w:r>
      <w:r>
        <w:rPr>
          <w:rFonts w:ascii="Arial Narrow" w:hAnsi="Arial Narrow" w:eastAsia="Calibri" w:cs="Arial"/>
          <w:sz w:val="18"/>
          <w:szCs w:val="18"/>
        </w:rPr>
        <w:t>4</w:t>
      </w:r>
      <w:r>
        <w:rPr>
          <w:rFonts w:ascii="Arial" w:hAnsi="Arial" w:eastAsia="Calibri" w:cs="Arial"/>
          <w:sz w:val="18"/>
          <w:szCs w:val="18"/>
        </w:rPr>
        <w:t>​</w:t>
      </w:r>
      <w:r>
        <w:rPr>
          <w:rFonts w:ascii="Arial Narrow" w:hAnsi="Arial Narrow" w:eastAsia="Calibri" w:cs="Arial"/>
          <w:sz w:val="18"/>
          <w:szCs w:val="18"/>
        </w:rPr>
        <w:t>X4</w:t>
      </w:r>
      <w:r>
        <w:rPr>
          <w:rFonts w:ascii="Arial" w:hAnsi="Arial" w:eastAsia="Calibri" w:cs="Arial"/>
          <w:sz w:val="18"/>
          <w:szCs w:val="18"/>
        </w:rPr>
        <w:t>​</w:t>
      </w:r>
      <w:r>
        <w:rPr>
          <w:rFonts w:ascii="Arial Narrow" w:hAnsi="Arial Narrow" w:eastAsia="Calibri" w:cs="Arial"/>
          <w:sz w:val="18"/>
          <w:szCs w:val="18"/>
        </w:rPr>
        <w:t>+</w:t>
      </w:r>
      <w:r>
        <w:rPr>
          <w:rFonts w:ascii="Arial Narrow" w:hAnsi="Arial Narrow" w:eastAsia="Calibri" w:cs="Arial Narrow"/>
          <w:sz w:val="18"/>
          <w:szCs w:val="18"/>
        </w:rPr>
        <w:t>β</w:t>
      </w:r>
      <w:r>
        <w:rPr>
          <w:rFonts w:ascii="Arial Narrow" w:hAnsi="Arial Narrow" w:eastAsia="Calibri" w:cs="Arial"/>
          <w:sz w:val="18"/>
          <w:szCs w:val="18"/>
        </w:rPr>
        <w:t>5</w:t>
      </w:r>
      <w:r>
        <w:rPr>
          <w:rFonts w:ascii="Arial" w:hAnsi="Arial" w:eastAsia="Calibri" w:cs="Arial"/>
          <w:sz w:val="18"/>
          <w:szCs w:val="18"/>
        </w:rPr>
        <w:t>​</w:t>
      </w:r>
      <w:r>
        <w:rPr>
          <w:rFonts w:ascii="Arial Narrow" w:hAnsi="Arial Narrow" w:eastAsia="Calibri" w:cs="Arial"/>
          <w:sz w:val="18"/>
          <w:szCs w:val="18"/>
        </w:rPr>
        <w:t>X5</w:t>
      </w:r>
      <w:r>
        <w:rPr>
          <w:rFonts w:ascii="Arial" w:hAnsi="Arial" w:eastAsia="Calibri" w:cs="Arial"/>
          <w:sz w:val="18"/>
          <w:szCs w:val="18"/>
        </w:rPr>
        <w:t>​</w:t>
      </w:r>
      <w:r>
        <w:rPr>
          <w:rFonts w:ascii="Arial Narrow" w:hAnsi="Arial Narrow" w:eastAsia="Calibri" w:cs="Arial"/>
          <w:sz w:val="18"/>
          <w:szCs w:val="18"/>
        </w:rPr>
        <w:t>+</w:t>
      </w:r>
      <w:r>
        <w:rPr>
          <w:rFonts w:ascii="Arial Narrow" w:hAnsi="Arial Narrow" w:eastAsia="Calibri" w:cs="Arial Narrow"/>
          <w:sz w:val="18"/>
          <w:szCs w:val="18"/>
        </w:rPr>
        <w:t>β</w:t>
      </w:r>
      <w:r>
        <w:rPr>
          <w:rFonts w:ascii="Arial Narrow" w:hAnsi="Arial Narrow" w:eastAsia="Calibri" w:cs="Arial"/>
          <w:sz w:val="18"/>
          <w:szCs w:val="18"/>
        </w:rPr>
        <w:t>6</w:t>
      </w:r>
      <w:r>
        <w:rPr>
          <w:rFonts w:ascii="Arial" w:hAnsi="Arial" w:eastAsia="Calibri" w:cs="Arial"/>
          <w:sz w:val="18"/>
          <w:szCs w:val="18"/>
        </w:rPr>
        <w:t>​</w:t>
      </w:r>
      <w:r>
        <w:rPr>
          <w:rFonts w:ascii="Arial Narrow" w:hAnsi="Arial Narrow" w:eastAsia="Calibri" w:cs="Arial"/>
          <w:sz w:val="18"/>
          <w:szCs w:val="18"/>
        </w:rPr>
        <w:t>X6</w:t>
      </w:r>
      <w:r>
        <w:rPr>
          <w:rFonts w:ascii="Arial" w:hAnsi="Arial" w:eastAsia="Calibri" w:cs="Arial"/>
          <w:sz w:val="18"/>
          <w:szCs w:val="18"/>
        </w:rPr>
        <w:t>​</w:t>
      </w:r>
      <w:r>
        <w:rPr>
          <w:rFonts w:ascii="Arial Narrow" w:hAnsi="Arial Narrow" w:eastAsia="Calibri" w:cs="Arial"/>
          <w:sz w:val="18"/>
          <w:szCs w:val="18"/>
        </w:rPr>
        <w:t>+ε</w:t>
      </w:r>
    </w:p>
    <w:p w14:paraId="4A63CB45">
      <w:pPr>
        <w:spacing w:after="0" w:line="240" w:lineRule="auto"/>
        <w:jc w:val="both"/>
        <w:rPr>
          <w:rFonts w:ascii="Arial Narrow" w:hAnsi="Arial Narrow" w:eastAsia="Calibri" w:cs="Arial"/>
          <w:sz w:val="16"/>
          <w:szCs w:val="16"/>
        </w:rPr>
      </w:pPr>
    </w:p>
    <w:p w14:paraId="7179FA65">
      <w:pPr>
        <w:spacing w:after="0" w:line="240" w:lineRule="auto"/>
        <w:jc w:val="both"/>
        <w:rPr>
          <w:rFonts w:ascii="Arial Narrow" w:hAnsi="Arial Narrow" w:eastAsia="Times New Roman" w:cs="Arial"/>
          <w:sz w:val="20"/>
          <w:szCs w:val="20"/>
        </w:rPr>
      </w:pPr>
      <w:r>
        <w:rPr>
          <w:rFonts w:ascii="Arial Narrow" w:hAnsi="Arial Narrow" w:eastAsia="Times New Roman" w:cs="Arial"/>
          <w:sz w:val="20"/>
          <w:szCs w:val="20"/>
        </w:rPr>
        <w:t>Where:</w:t>
      </w:r>
    </w:p>
    <w:p w14:paraId="6F87D6D8">
      <w:pPr>
        <w:spacing w:after="0" w:line="240" w:lineRule="auto"/>
        <w:jc w:val="both"/>
        <w:rPr>
          <w:rFonts w:ascii="Arial Narrow" w:hAnsi="Arial Narrow" w:eastAsia="Times New Roman" w:cs="Arial"/>
          <w:sz w:val="16"/>
          <w:szCs w:val="16"/>
        </w:rPr>
      </w:pPr>
    </w:p>
    <w:p w14:paraId="494A1ADF">
      <w:pPr>
        <w:numPr>
          <w:ilvl w:val="0"/>
          <w:numId w:val="1"/>
        </w:numPr>
        <w:tabs>
          <w:tab w:val="clear" w:pos="720"/>
        </w:tabs>
        <w:spacing w:after="0" w:line="240" w:lineRule="auto"/>
        <w:ind w:left="360"/>
        <w:jc w:val="both"/>
        <w:rPr>
          <w:rFonts w:ascii="Arial Narrow" w:hAnsi="Arial Narrow" w:eastAsia="Times New Roman" w:cs="Arial"/>
          <w:sz w:val="20"/>
          <w:szCs w:val="20"/>
        </w:rPr>
      </w:pPr>
      <w:r>
        <w:rPr>
          <w:rFonts w:ascii="Arial Narrow" w:hAnsi="Arial Narrow" w:eastAsia="Times New Roman" w:cs="Arial"/>
          <w:b/>
          <w:bCs/>
          <w:sz w:val="20"/>
          <w:szCs w:val="20"/>
        </w:rPr>
        <w:t>Y</w:t>
      </w:r>
      <w:r>
        <w:rPr>
          <w:rFonts w:ascii="Arial Narrow" w:hAnsi="Arial Narrow" w:eastAsia="Times New Roman" w:cs="Arial"/>
          <w:sz w:val="20"/>
          <w:szCs w:val="20"/>
        </w:rPr>
        <w:t xml:space="preserve"> = Adoption of succession planning</w:t>
      </w:r>
    </w:p>
    <w:p w14:paraId="3AF5C756">
      <w:pPr>
        <w:numPr>
          <w:ilvl w:val="0"/>
          <w:numId w:val="1"/>
        </w:numPr>
        <w:tabs>
          <w:tab w:val="clear" w:pos="720"/>
        </w:tabs>
        <w:spacing w:after="0" w:line="240" w:lineRule="auto"/>
        <w:ind w:left="360"/>
        <w:jc w:val="both"/>
        <w:rPr>
          <w:rFonts w:ascii="Arial Narrow" w:hAnsi="Arial Narrow" w:eastAsia="Times New Roman" w:cs="Arial"/>
          <w:sz w:val="20"/>
          <w:szCs w:val="20"/>
        </w:rPr>
      </w:pPr>
      <w:r>
        <w:rPr>
          <w:rFonts w:ascii="Arial Narrow" w:hAnsi="Arial Narrow" w:eastAsia="Times New Roman" w:cs="Arial"/>
          <w:b/>
          <w:bCs/>
          <w:sz w:val="20"/>
          <w:szCs w:val="20"/>
        </w:rPr>
        <w:t>β</w:t>
      </w:r>
      <w:r>
        <w:rPr>
          <w:rFonts w:ascii="Cambria Math" w:hAnsi="Cambria Math" w:eastAsia="Times New Roman" w:cs="Cambria Math"/>
          <w:b/>
          <w:bCs/>
          <w:sz w:val="20"/>
          <w:szCs w:val="20"/>
        </w:rPr>
        <w:t>₀</w:t>
      </w:r>
      <w:r>
        <w:rPr>
          <w:rFonts w:ascii="Arial Narrow" w:hAnsi="Arial Narrow" w:eastAsia="Times New Roman" w:cs="Arial"/>
          <w:sz w:val="20"/>
          <w:szCs w:val="20"/>
        </w:rPr>
        <w:t xml:space="preserve"> = Constant (intercept)</w:t>
      </w:r>
    </w:p>
    <w:p w14:paraId="01ECFE6B">
      <w:pPr>
        <w:numPr>
          <w:ilvl w:val="0"/>
          <w:numId w:val="1"/>
        </w:numPr>
        <w:tabs>
          <w:tab w:val="clear" w:pos="720"/>
        </w:tabs>
        <w:spacing w:after="0" w:line="240" w:lineRule="auto"/>
        <w:ind w:left="360"/>
        <w:jc w:val="both"/>
        <w:rPr>
          <w:rFonts w:ascii="Arial Narrow" w:hAnsi="Arial Narrow" w:eastAsia="Times New Roman" w:cs="Arial"/>
          <w:sz w:val="20"/>
          <w:szCs w:val="20"/>
        </w:rPr>
      </w:pPr>
      <w:r>
        <w:rPr>
          <w:rFonts w:ascii="Arial Narrow" w:hAnsi="Arial Narrow" w:eastAsia="Times New Roman" w:cs="Arial"/>
          <w:b/>
          <w:bCs/>
          <w:sz w:val="20"/>
          <w:szCs w:val="20"/>
        </w:rPr>
        <w:t>β</w:t>
      </w:r>
      <w:r>
        <w:rPr>
          <w:rFonts w:ascii="Cambria Math" w:hAnsi="Cambria Math" w:eastAsia="Times New Roman" w:cs="Cambria Math"/>
          <w:b/>
          <w:bCs/>
          <w:sz w:val="20"/>
          <w:szCs w:val="20"/>
        </w:rPr>
        <w:t>₁</w:t>
      </w:r>
      <w:r>
        <w:rPr>
          <w:rFonts w:ascii="Arial Narrow" w:hAnsi="Arial Narrow" w:eastAsia="Times New Roman" w:cs="Arial"/>
          <w:b/>
          <w:bCs/>
          <w:sz w:val="20"/>
          <w:szCs w:val="20"/>
        </w:rPr>
        <w:t xml:space="preserve"> to β</w:t>
      </w:r>
      <w:r>
        <w:rPr>
          <w:rFonts w:ascii="Arial Narrow" w:hAnsi="Arial Narrow" w:eastAsia="Times New Roman" w:cs="Arial"/>
          <w:b/>
          <w:bCs/>
          <w:sz w:val="20"/>
          <w:szCs w:val="20"/>
          <w:vertAlign w:val="subscript"/>
        </w:rPr>
        <w:t>6</w:t>
      </w:r>
      <w:r>
        <w:rPr>
          <w:rFonts w:ascii="Arial Narrow" w:hAnsi="Arial Narrow" w:eastAsia="Times New Roman" w:cs="Arial"/>
          <w:sz w:val="20"/>
          <w:szCs w:val="20"/>
        </w:rPr>
        <w:t xml:space="preserve"> = Coefficients of the independent variables</w:t>
      </w:r>
    </w:p>
    <w:p w14:paraId="7BE90FFB">
      <w:pPr>
        <w:numPr>
          <w:ilvl w:val="0"/>
          <w:numId w:val="1"/>
        </w:numPr>
        <w:tabs>
          <w:tab w:val="clear" w:pos="720"/>
        </w:tabs>
        <w:spacing w:after="0" w:line="240" w:lineRule="auto"/>
        <w:ind w:left="360"/>
        <w:jc w:val="both"/>
        <w:rPr>
          <w:rFonts w:ascii="Arial Narrow" w:hAnsi="Arial Narrow" w:eastAsia="Times New Roman" w:cs="Arial"/>
          <w:sz w:val="20"/>
          <w:szCs w:val="20"/>
        </w:rPr>
      </w:pPr>
      <w:r>
        <w:rPr>
          <w:rFonts w:ascii="Arial Narrow" w:hAnsi="Arial Narrow" w:eastAsia="Times New Roman" w:cs="Arial"/>
          <w:b/>
          <w:bCs/>
          <w:sz w:val="20"/>
          <w:szCs w:val="20"/>
        </w:rPr>
        <w:t>ε</w:t>
      </w:r>
      <w:r>
        <w:rPr>
          <w:rFonts w:ascii="Arial Narrow" w:hAnsi="Arial Narrow" w:eastAsia="Times New Roman" w:cs="Arial"/>
          <w:sz w:val="20"/>
          <w:szCs w:val="20"/>
        </w:rPr>
        <w:t xml:space="preserve"> = Error term</w:t>
      </w:r>
    </w:p>
    <w:p w14:paraId="37170A78">
      <w:pPr>
        <w:numPr>
          <w:ilvl w:val="0"/>
          <w:numId w:val="1"/>
        </w:numPr>
        <w:tabs>
          <w:tab w:val="clear" w:pos="720"/>
        </w:tabs>
        <w:spacing w:after="0" w:line="240" w:lineRule="auto"/>
        <w:ind w:left="360"/>
        <w:jc w:val="both"/>
        <w:rPr>
          <w:rFonts w:ascii="Arial Narrow" w:hAnsi="Arial Narrow" w:eastAsia="Times New Roman" w:cs="Arial"/>
          <w:sz w:val="20"/>
          <w:szCs w:val="20"/>
        </w:rPr>
      </w:pPr>
    </w:p>
    <w:p w14:paraId="09F978EF">
      <w:pPr>
        <w:spacing w:line="360" w:lineRule="auto"/>
        <w:jc w:val="both"/>
        <w:rPr>
          <w:rFonts w:ascii="Arial Narrow" w:hAnsi="Arial Narrow"/>
          <w:sz w:val="24"/>
          <w:szCs w:val="24"/>
        </w:rPr>
      </w:pPr>
      <w:r>
        <w:rPr>
          <w:rFonts w:ascii="Arial Narrow" w:hAnsi="Arial Narrow"/>
          <w:sz w:val="24"/>
          <w:szCs w:val="24"/>
        </w:rPr>
        <w:t>The study analyses how demographic and social factors influence the adoption of succession planning in family-owned businesses</w:t>
      </w:r>
    </w:p>
    <w:p w14:paraId="42A12C69">
      <w:pPr>
        <w:spacing w:before="240" w:line="360" w:lineRule="auto"/>
        <w:contextualSpacing/>
        <w:rPr>
          <w:rFonts w:ascii="Arial Narrow" w:hAnsi="Arial Narrow" w:eastAsia="Times New Roman" w:cs="Times New Roman"/>
          <w:b/>
          <w:bCs/>
          <w:sz w:val="24"/>
          <w:szCs w:val="24"/>
          <w:lang w:val="en-GB"/>
        </w:rPr>
      </w:pPr>
      <w:r>
        <w:rPr>
          <w:rFonts w:ascii="Arial Narrow" w:hAnsi="Arial Narrow" w:eastAsia="Times New Roman" w:cs="Times New Roman"/>
          <w:b/>
          <w:bCs/>
          <w:sz w:val="24"/>
          <w:szCs w:val="24"/>
          <w:lang w:val="en-GB"/>
        </w:rPr>
        <w:t>3. RESULTS AND DISCUSSION</w:t>
      </w:r>
    </w:p>
    <w:p w14:paraId="3C318BD7">
      <w:pPr>
        <w:spacing w:before="240" w:line="360" w:lineRule="auto"/>
        <w:jc w:val="both"/>
        <w:rPr>
          <w:rFonts w:ascii="Arial Narrow" w:hAnsi="Arial Narrow" w:eastAsia="Times New Roman" w:cs="Times New Roman"/>
          <w:b/>
          <w:bCs/>
          <w:sz w:val="24"/>
          <w:szCs w:val="24"/>
          <w:lang w:val="en-GB"/>
        </w:rPr>
      </w:pPr>
      <w:r>
        <w:rPr>
          <w:rFonts w:ascii="Arial Narrow" w:hAnsi="Arial Narrow" w:eastAsia="Times New Roman" w:cs="Times New Roman"/>
          <w:b/>
          <w:bCs/>
          <w:sz w:val="24"/>
          <w:szCs w:val="24"/>
          <w:lang w:val="en-GB"/>
        </w:rPr>
        <w:t>Demographic Characteristics of Respondents</w:t>
      </w:r>
    </w:p>
    <w:p w14:paraId="53CE8CD3">
      <w:pPr>
        <w:spacing w:after="200" w:line="360" w:lineRule="auto"/>
        <w:jc w:val="both"/>
        <w:rPr>
          <w:rFonts w:ascii="Arial Narrow" w:hAnsi="Arial Narrow" w:eastAsia="SimSun" w:cs="Times New Roman"/>
          <w:sz w:val="24"/>
          <w:szCs w:val="24"/>
          <w:lang w:eastAsia="zh-CN"/>
        </w:rPr>
      </w:pPr>
      <w:r>
        <w:rPr>
          <w:rFonts w:ascii="Arial Narrow" w:hAnsi="Arial Narrow" w:eastAsia="SimSun" w:cs="Times New Roman"/>
          <w:sz w:val="24"/>
          <w:szCs w:val="24"/>
          <w:lang w:eastAsia="zh-CN"/>
        </w:rPr>
        <w:t>Descriptive statistics were calculated to provide a clear demographic overview, including percentage and frequency distribution. These statistics lay the groundwork for understanding the characteristics of the family-owned business, as shown in Table 3.</w:t>
      </w:r>
    </w:p>
    <w:p w14:paraId="35FD4CB3">
      <w:pPr>
        <w:spacing w:after="0" w:line="276" w:lineRule="auto"/>
        <w:jc w:val="both"/>
        <w:rPr>
          <w:rFonts w:ascii="Arial Narrow" w:hAnsi="Arial Narrow" w:cs="Times New Roman"/>
          <w:b/>
          <w:sz w:val="24"/>
          <w:szCs w:val="24"/>
          <w:lang w:val="en-GB"/>
        </w:rPr>
      </w:pPr>
      <w:r>
        <w:rPr>
          <w:rFonts w:ascii="Arial Narrow" w:hAnsi="Arial Narrow" w:cs="Times New Roman"/>
          <w:b/>
          <w:sz w:val="24"/>
          <w:szCs w:val="24"/>
          <w:lang w:val="en-GB"/>
        </w:rPr>
        <w:t>Table 3: Descriptive Results Respondent (n=60)</w:t>
      </w:r>
    </w:p>
    <w:tbl>
      <w:tblPr>
        <w:tblStyle w:val="12"/>
        <w:tblW w:w="5000"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10"/>
        <w:gridCol w:w="3191"/>
        <w:gridCol w:w="3175"/>
      </w:tblGrid>
      <w:tr w14:paraId="0E8D7D3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6" w:type="pct"/>
            <w:tcBorders>
              <w:bottom w:val="single" w:color="auto" w:sz="4" w:space="0"/>
            </w:tcBorders>
          </w:tcPr>
          <w:p w14:paraId="517444E5">
            <w:pPr>
              <w:spacing w:after="0" w:line="276" w:lineRule="auto"/>
              <w:jc w:val="both"/>
              <w:rPr>
                <w:rFonts w:ascii="Arial Narrow" w:hAnsi="Arial Narrow" w:cs="Times New Roman"/>
                <w:color w:val="000000"/>
                <w:sz w:val="20"/>
                <w:szCs w:val="20"/>
              </w:rPr>
            </w:pPr>
            <w:r>
              <w:rPr>
                <w:rFonts w:ascii="Arial Narrow" w:hAnsi="Arial Narrow" w:cs="Times New Roman"/>
                <w:b/>
                <w:color w:val="000000"/>
                <w:sz w:val="20"/>
                <w:szCs w:val="20"/>
              </w:rPr>
              <w:t>Characteristic</w:t>
            </w:r>
          </w:p>
        </w:tc>
        <w:tc>
          <w:tcPr>
            <w:tcW w:w="1666" w:type="pct"/>
            <w:tcBorders>
              <w:bottom w:val="single" w:color="auto" w:sz="4" w:space="0"/>
            </w:tcBorders>
          </w:tcPr>
          <w:p w14:paraId="7483E52C">
            <w:pPr>
              <w:spacing w:after="0" w:line="276" w:lineRule="auto"/>
              <w:jc w:val="center"/>
              <w:rPr>
                <w:rFonts w:ascii="Arial Narrow" w:hAnsi="Arial Narrow" w:cs="Times New Roman"/>
                <w:color w:val="000000"/>
                <w:sz w:val="20"/>
                <w:szCs w:val="20"/>
              </w:rPr>
            </w:pPr>
            <w:r>
              <w:rPr>
                <w:rFonts w:ascii="Arial Narrow" w:hAnsi="Arial Narrow" w:cs="Times New Roman"/>
                <w:b/>
                <w:color w:val="000000"/>
                <w:sz w:val="20"/>
                <w:szCs w:val="20"/>
              </w:rPr>
              <w:t>Frequency</w:t>
            </w:r>
          </w:p>
        </w:tc>
        <w:tc>
          <w:tcPr>
            <w:tcW w:w="1658" w:type="pct"/>
            <w:tcBorders>
              <w:bottom w:val="single" w:color="auto" w:sz="4" w:space="0"/>
            </w:tcBorders>
          </w:tcPr>
          <w:p w14:paraId="02FBBCFA">
            <w:pPr>
              <w:spacing w:after="0" w:line="276" w:lineRule="auto"/>
              <w:jc w:val="center"/>
              <w:rPr>
                <w:rFonts w:ascii="Arial Narrow" w:hAnsi="Arial Narrow" w:cs="Times New Roman"/>
                <w:color w:val="000000"/>
                <w:sz w:val="20"/>
                <w:szCs w:val="20"/>
              </w:rPr>
            </w:pPr>
            <w:r>
              <w:rPr>
                <w:rFonts w:ascii="Arial Narrow" w:hAnsi="Arial Narrow" w:cs="Times New Roman"/>
                <w:b/>
                <w:color w:val="000000"/>
                <w:sz w:val="20"/>
                <w:szCs w:val="20"/>
              </w:rPr>
              <w:t>Percent</w:t>
            </w:r>
          </w:p>
        </w:tc>
      </w:tr>
      <w:tr w14:paraId="1C28D92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 w:hRule="atLeast"/>
        </w:trPr>
        <w:tc>
          <w:tcPr>
            <w:tcW w:w="1676" w:type="pct"/>
            <w:tcBorders>
              <w:top w:val="single" w:color="auto" w:sz="4" w:space="0"/>
              <w:bottom w:val="nil"/>
            </w:tcBorders>
          </w:tcPr>
          <w:p w14:paraId="65088762">
            <w:pPr>
              <w:autoSpaceDE w:val="0"/>
              <w:autoSpaceDN w:val="0"/>
              <w:adjustRightInd w:val="0"/>
              <w:spacing w:after="0" w:line="276" w:lineRule="auto"/>
              <w:ind w:left="60" w:right="60"/>
              <w:jc w:val="both"/>
              <w:rPr>
                <w:rFonts w:ascii="Arial Narrow" w:hAnsi="Arial Narrow" w:cs="Times New Roman"/>
                <w:color w:val="000000"/>
                <w:sz w:val="20"/>
                <w:szCs w:val="20"/>
              </w:rPr>
            </w:pPr>
            <w:r>
              <w:rPr>
                <w:rFonts w:ascii="Arial Narrow" w:hAnsi="Arial Narrow" w:cs="Times New Roman"/>
                <w:b/>
                <w:color w:val="000000"/>
                <w:sz w:val="20"/>
                <w:szCs w:val="20"/>
              </w:rPr>
              <w:t>Age of respondents</w:t>
            </w:r>
          </w:p>
        </w:tc>
        <w:tc>
          <w:tcPr>
            <w:tcW w:w="1666" w:type="pct"/>
            <w:tcBorders>
              <w:top w:val="single" w:color="auto" w:sz="4" w:space="0"/>
              <w:bottom w:val="nil"/>
            </w:tcBorders>
          </w:tcPr>
          <w:p w14:paraId="133EAF7E">
            <w:pPr>
              <w:spacing w:after="0" w:line="276" w:lineRule="auto"/>
              <w:jc w:val="center"/>
              <w:rPr>
                <w:rFonts w:ascii="Arial Narrow" w:hAnsi="Arial Narrow" w:cs="Times New Roman"/>
                <w:color w:val="000000"/>
                <w:sz w:val="20"/>
                <w:szCs w:val="20"/>
              </w:rPr>
            </w:pPr>
          </w:p>
        </w:tc>
        <w:tc>
          <w:tcPr>
            <w:tcW w:w="1658" w:type="pct"/>
            <w:tcBorders>
              <w:top w:val="single" w:color="auto" w:sz="4" w:space="0"/>
              <w:bottom w:val="nil"/>
            </w:tcBorders>
          </w:tcPr>
          <w:p w14:paraId="66DF3609">
            <w:pPr>
              <w:spacing w:after="0" w:line="276" w:lineRule="auto"/>
              <w:jc w:val="center"/>
              <w:rPr>
                <w:rFonts w:ascii="Arial Narrow" w:hAnsi="Arial Narrow" w:cs="Times New Roman"/>
                <w:color w:val="000000"/>
                <w:sz w:val="20"/>
                <w:szCs w:val="20"/>
              </w:rPr>
            </w:pPr>
          </w:p>
        </w:tc>
      </w:tr>
      <w:tr w14:paraId="20834F0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6" w:type="pct"/>
            <w:tcBorders>
              <w:top w:val="nil"/>
            </w:tcBorders>
          </w:tcPr>
          <w:p w14:paraId="661E8301">
            <w:pPr>
              <w:spacing w:after="0" w:line="276" w:lineRule="auto"/>
              <w:jc w:val="both"/>
              <w:rPr>
                <w:rFonts w:ascii="Arial Narrow" w:hAnsi="Arial Narrow" w:cs="Times New Roman"/>
                <w:color w:val="000000"/>
                <w:sz w:val="20"/>
                <w:szCs w:val="20"/>
              </w:rPr>
            </w:pPr>
            <w:r>
              <w:rPr>
                <w:rFonts w:ascii="Arial Narrow" w:hAnsi="Arial Narrow" w:cs="Times New Roman"/>
                <w:color w:val="000000"/>
                <w:sz w:val="20"/>
                <w:szCs w:val="20"/>
              </w:rPr>
              <w:t>&lt;30</w:t>
            </w:r>
          </w:p>
        </w:tc>
        <w:tc>
          <w:tcPr>
            <w:tcW w:w="1666" w:type="pct"/>
            <w:tcBorders>
              <w:top w:val="nil"/>
            </w:tcBorders>
          </w:tcPr>
          <w:p w14:paraId="3B94AA29">
            <w:pPr>
              <w:spacing w:after="0" w:line="276" w:lineRule="auto"/>
              <w:jc w:val="center"/>
              <w:rPr>
                <w:rFonts w:ascii="Arial Narrow" w:hAnsi="Arial Narrow" w:cs="Times New Roman"/>
                <w:color w:val="000000"/>
                <w:sz w:val="20"/>
                <w:szCs w:val="20"/>
              </w:rPr>
            </w:pPr>
            <w:r>
              <w:rPr>
                <w:rFonts w:ascii="Arial Narrow" w:hAnsi="Arial Narrow" w:cs="Times New Roman"/>
                <w:color w:val="000000"/>
                <w:sz w:val="20"/>
                <w:szCs w:val="20"/>
              </w:rPr>
              <w:t>3</w:t>
            </w:r>
          </w:p>
        </w:tc>
        <w:tc>
          <w:tcPr>
            <w:tcW w:w="1658" w:type="pct"/>
            <w:tcBorders>
              <w:top w:val="nil"/>
            </w:tcBorders>
          </w:tcPr>
          <w:p w14:paraId="5150B6D8">
            <w:pPr>
              <w:spacing w:after="0" w:line="276" w:lineRule="auto"/>
              <w:jc w:val="center"/>
              <w:rPr>
                <w:rFonts w:ascii="Arial Narrow" w:hAnsi="Arial Narrow" w:cs="Times New Roman"/>
                <w:color w:val="000000"/>
                <w:sz w:val="20"/>
                <w:szCs w:val="20"/>
              </w:rPr>
            </w:pPr>
            <w:r>
              <w:rPr>
                <w:rFonts w:ascii="Arial Narrow" w:hAnsi="Arial Narrow" w:cs="Times New Roman"/>
                <w:color w:val="000000"/>
                <w:sz w:val="20"/>
                <w:szCs w:val="20"/>
              </w:rPr>
              <w:t>5.0</w:t>
            </w:r>
          </w:p>
        </w:tc>
      </w:tr>
      <w:tr w14:paraId="59B5F37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6" w:type="pct"/>
          </w:tcPr>
          <w:p w14:paraId="687C12EA">
            <w:pPr>
              <w:spacing w:after="0" w:line="276" w:lineRule="auto"/>
              <w:jc w:val="both"/>
              <w:rPr>
                <w:rFonts w:ascii="Arial Narrow" w:hAnsi="Arial Narrow" w:cs="Times New Roman"/>
                <w:color w:val="000000"/>
                <w:sz w:val="20"/>
                <w:szCs w:val="20"/>
              </w:rPr>
            </w:pPr>
            <w:r>
              <w:rPr>
                <w:rFonts w:ascii="Arial Narrow" w:hAnsi="Arial Narrow" w:cs="Times New Roman"/>
                <w:color w:val="000000"/>
                <w:sz w:val="20"/>
                <w:szCs w:val="20"/>
              </w:rPr>
              <w:t>30-50</w:t>
            </w:r>
          </w:p>
        </w:tc>
        <w:tc>
          <w:tcPr>
            <w:tcW w:w="1666" w:type="pct"/>
          </w:tcPr>
          <w:p w14:paraId="7AEE8481">
            <w:pPr>
              <w:spacing w:after="0" w:line="276" w:lineRule="auto"/>
              <w:jc w:val="center"/>
              <w:rPr>
                <w:rFonts w:ascii="Arial Narrow" w:hAnsi="Arial Narrow" w:cs="Times New Roman"/>
                <w:color w:val="000000"/>
                <w:sz w:val="20"/>
                <w:szCs w:val="20"/>
              </w:rPr>
            </w:pPr>
            <w:r>
              <w:rPr>
                <w:rFonts w:ascii="Arial Narrow" w:hAnsi="Arial Narrow" w:cs="Times New Roman"/>
                <w:color w:val="000000"/>
                <w:sz w:val="20"/>
                <w:szCs w:val="20"/>
              </w:rPr>
              <w:t>49</w:t>
            </w:r>
          </w:p>
        </w:tc>
        <w:tc>
          <w:tcPr>
            <w:tcW w:w="1658" w:type="pct"/>
          </w:tcPr>
          <w:p w14:paraId="2B5E3F7A">
            <w:pPr>
              <w:spacing w:after="0" w:line="276" w:lineRule="auto"/>
              <w:jc w:val="center"/>
              <w:rPr>
                <w:rFonts w:ascii="Arial Narrow" w:hAnsi="Arial Narrow" w:cs="Times New Roman"/>
                <w:color w:val="000000"/>
                <w:sz w:val="20"/>
                <w:szCs w:val="20"/>
              </w:rPr>
            </w:pPr>
            <w:r>
              <w:rPr>
                <w:rFonts w:ascii="Arial Narrow" w:hAnsi="Arial Narrow" w:cs="Times New Roman"/>
                <w:color w:val="000000"/>
                <w:sz w:val="20"/>
                <w:szCs w:val="20"/>
              </w:rPr>
              <w:t>81.7</w:t>
            </w:r>
          </w:p>
        </w:tc>
      </w:tr>
      <w:tr w14:paraId="0F5B791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6" w:type="pct"/>
          </w:tcPr>
          <w:p w14:paraId="344A6617">
            <w:pPr>
              <w:spacing w:after="0" w:line="276" w:lineRule="auto"/>
              <w:jc w:val="both"/>
              <w:rPr>
                <w:rFonts w:ascii="Arial Narrow" w:hAnsi="Arial Narrow" w:cs="Times New Roman"/>
                <w:color w:val="000000"/>
                <w:sz w:val="20"/>
                <w:szCs w:val="20"/>
              </w:rPr>
            </w:pPr>
            <w:r>
              <w:rPr>
                <w:rFonts w:ascii="Arial Narrow" w:hAnsi="Arial Narrow" w:cs="Times New Roman"/>
                <w:color w:val="000000"/>
                <w:sz w:val="20"/>
                <w:szCs w:val="20"/>
              </w:rPr>
              <w:t xml:space="preserve">50 &gt;                                            </w:t>
            </w:r>
          </w:p>
        </w:tc>
        <w:tc>
          <w:tcPr>
            <w:tcW w:w="1666" w:type="pct"/>
          </w:tcPr>
          <w:p w14:paraId="253B40DF">
            <w:pPr>
              <w:spacing w:after="0" w:line="276" w:lineRule="auto"/>
              <w:jc w:val="center"/>
              <w:rPr>
                <w:rFonts w:ascii="Arial Narrow" w:hAnsi="Arial Narrow" w:cs="Times New Roman"/>
                <w:color w:val="000000"/>
                <w:sz w:val="20"/>
                <w:szCs w:val="20"/>
              </w:rPr>
            </w:pPr>
            <w:r>
              <w:rPr>
                <w:rFonts w:ascii="Arial Narrow" w:hAnsi="Arial Narrow" w:cs="Times New Roman"/>
                <w:color w:val="000000"/>
                <w:sz w:val="20"/>
                <w:szCs w:val="20"/>
              </w:rPr>
              <w:t>8</w:t>
            </w:r>
          </w:p>
        </w:tc>
        <w:tc>
          <w:tcPr>
            <w:tcW w:w="1658" w:type="pct"/>
          </w:tcPr>
          <w:p w14:paraId="6D346D8C">
            <w:pPr>
              <w:spacing w:after="0" w:line="276" w:lineRule="auto"/>
              <w:jc w:val="center"/>
              <w:rPr>
                <w:rFonts w:ascii="Arial Narrow" w:hAnsi="Arial Narrow" w:cs="Times New Roman"/>
                <w:color w:val="000000"/>
                <w:sz w:val="20"/>
                <w:szCs w:val="20"/>
              </w:rPr>
            </w:pPr>
            <w:r>
              <w:rPr>
                <w:rFonts w:ascii="Arial Narrow" w:hAnsi="Arial Narrow" w:cs="Times New Roman"/>
                <w:color w:val="000000"/>
                <w:sz w:val="20"/>
                <w:szCs w:val="20"/>
              </w:rPr>
              <w:t>13.3</w:t>
            </w:r>
          </w:p>
        </w:tc>
      </w:tr>
      <w:tr w14:paraId="3DC8132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6" w:type="pct"/>
          </w:tcPr>
          <w:p w14:paraId="43412A1E">
            <w:pPr>
              <w:spacing w:after="0" w:line="276" w:lineRule="auto"/>
              <w:jc w:val="both"/>
              <w:rPr>
                <w:rFonts w:ascii="Arial Narrow" w:hAnsi="Arial Narrow" w:cs="Times New Roman"/>
                <w:color w:val="000000"/>
                <w:sz w:val="20"/>
                <w:szCs w:val="20"/>
              </w:rPr>
            </w:pPr>
            <w:bookmarkStart w:id="5" w:name="_Toc79369704"/>
            <w:r>
              <w:rPr>
                <w:rFonts w:ascii="Arial Narrow" w:hAnsi="Arial Narrow" w:cs="Times New Roman"/>
                <w:b/>
                <w:color w:val="000000"/>
                <w:sz w:val="20"/>
                <w:szCs w:val="20"/>
              </w:rPr>
              <w:t>Gender</w:t>
            </w:r>
            <w:bookmarkEnd w:id="5"/>
            <w:r>
              <w:rPr>
                <w:rFonts w:ascii="Arial Narrow" w:hAnsi="Arial Narrow" w:cs="Times New Roman"/>
                <w:b/>
                <w:color w:val="000000"/>
                <w:sz w:val="20"/>
                <w:szCs w:val="20"/>
              </w:rPr>
              <w:t xml:space="preserve"> of Respondents</w:t>
            </w:r>
          </w:p>
        </w:tc>
        <w:tc>
          <w:tcPr>
            <w:tcW w:w="1666" w:type="pct"/>
          </w:tcPr>
          <w:p w14:paraId="35F994AB">
            <w:pPr>
              <w:spacing w:after="0" w:line="276" w:lineRule="auto"/>
              <w:jc w:val="center"/>
              <w:rPr>
                <w:rFonts w:ascii="Arial Narrow" w:hAnsi="Arial Narrow" w:cs="Times New Roman"/>
                <w:color w:val="000000"/>
                <w:sz w:val="20"/>
                <w:szCs w:val="20"/>
              </w:rPr>
            </w:pPr>
          </w:p>
        </w:tc>
        <w:tc>
          <w:tcPr>
            <w:tcW w:w="1658" w:type="pct"/>
          </w:tcPr>
          <w:p w14:paraId="42C940CF">
            <w:pPr>
              <w:spacing w:after="0" w:line="276" w:lineRule="auto"/>
              <w:jc w:val="center"/>
              <w:rPr>
                <w:rFonts w:ascii="Arial Narrow" w:hAnsi="Arial Narrow" w:cs="Times New Roman"/>
                <w:color w:val="000000"/>
                <w:sz w:val="20"/>
                <w:szCs w:val="20"/>
              </w:rPr>
            </w:pPr>
          </w:p>
        </w:tc>
      </w:tr>
      <w:tr w14:paraId="4D8CE84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6" w:type="pct"/>
          </w:tcPr>
          <w:p w14:paraId="3F9288DE">
            <w:pPr>
              <w:spacing w:after="0" w:line="276" w:lineRule="auto"/>
              <w:jc w:val="both"/>
              <w:rPr>
                <w:rFonts w:ascii="Arial Narrow" w:hAnsi="Arial Narrow" w:cs="Times New Roman"/>
                <w:b/>
                <w:color w:val="000000"/>
                <w:sz w:val="20"/>
                <w:szCs w:val="20"/>
              </w:rPr>
            </w:pPr>
            <w:r>
              <w:rPr>
                <w:rFonts w:ascii="Arial Narrow" w:hAnsi="Arial Narrow" w:cs="Times New Roman"/>
                <w:color w:val="000000"/>
                <w:sz w:val="20"/>
                <w:szCs w:val="20"/>
              </w:rPr>
              <w:t xml:space="preserve">Male  </w:t>
            </w:r>
          </w:p>
        </w:tc>
        <w:tc>
          <w:tcPr>
            <w:tcW w:w="1666" w:type="pct"/>
          </w:tcPr>
          <w:p w14:paraId="7399891B">
            <w:pPr>
              <w:spacing w:after="0" w:line="276" w:lineRule="auto"/>
              <w:jc w:val="center"/>
              <w:rPr>
                <w:rFonts w:ascii="Arial Narrow" w:hAnsi="Arial Narrow" w:cs="Times New Roman"/>
                <w:color w:val="000000"/>
                <w:sz w:val="20"/>
                <w:szCs w:val="20"/>
              </w:rPr>
            </w:pPr>
            <w:r>
              <w:rPr>
                <w:rFonts w:ascii="Arial Narrow" w:hAnsi="Arial Narrow" w:cs="Times New Roman"/>
                <w:color w:val="000000"/>
                <w:sz w:val="20"/>
                <w:szCs w:val="20"/>
              </w:rPr>
              <w:t>42</w:t>
            </w:r>
          </w:p>
        </w:tc>
        <w:tc>
          <w:tcPr>
            <w:tcW w:w="1658" w:type="pct"/>
          </w:tcPr>
          <w:p w14:paraId="642DD68E">
            <w:pPr>
              <w:spacing w:after="0" w:line="276" w:lineRule="auto"/>
              <w:jc w:val="center"/>
              <w:rPr>
                <w:rFonts w:ascii="Arial Narrow" w:hAnsi="Arial Narrow" w:cs="Times New Roman"/>
                <w:color w:val="000000"/>
                <w:sz w:val="20"/>
                <w:szCs w:val="20"/>
              </w:rPr>
            </w:pPr>
            <w:r>
              <w:rPr>
                <w:rFonts w:ascii="Arial Narrow" w:hAnsi="Arial Narrow" w:cs="Times New Roman"/>
                <w:color w:val="000000"/>
                <w:sz w:val="20"/>
                <w:szCs w:val="20"/>
              </w:rPr>
              <w:t>70.0</w:t>
            </w:r>
          </w:p>
        </w:tc>
      </w:tr>
      <w:tr w14:paraId="087ED73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6" w:type="pct"/>
          </w:tcPr>
          <w:p w14:paraId="31B75B03">
            <w:pPr>
              <w:spacing w:after="0" w:line="276" w:lineRule="auto"/>
              <w:jc w:val="both"/>
              <w:rPr>
                <w:rFonts w:ascii="Arial Narrow" w:hAnsi="Arial Narrow" w:cs="Times New Roman"/>
                <w:color w:val="000000"/>
                <w:sz w:val="20"/>
                <w:szCs w:val="20"/>
              </w:rPr>
            </w:pPr>
            <w:r>
              <w:rPr>
                <w:rFonts w:ascii="Arial Narrow" w:hAnsi="Arial Narrow" w:cs="Times New Roman"/>
                <w:color w:val="000000"/>
                <w:sz w:val="20"/>
                <w:szCs w:val="20"/>
              </w:rPr>
              <w:t>Female</w:t>
            </w:r>
          </w:p>
        </w:tc>
        <w:tc>
          <w:tcPr>
            <w:tcW w:w="1666" w:type="pct"/>
          </w:tcPr>
          <w:p w14:paraId="622B418D">
            <w:pPr>
              <w:spacing w:after="0" w:line="276" w:lineRule="auto"/>
              <w:jc w:val="center"/>
              <w:rPr>
                <w:rFonts w:ascii="Arial Narrow" w:hAnsi="Arial Narrow" w:cs="Times New Roman"/>
                <w:color w:val="000000"/>
                <w:sz w:val="20"/>
                <w:szCs w:val="20"/>
              </w:rPr>
            </w:pPr>
            <w:r>
              <w:rPr>
                <w:rFonts w:ascii="Arial Narrow" w:hAnsi="Arial Narrow" w:cs="Times New Roman"/>
                <w:color w:val="000000"/>
                <w:sz w:val="20"/>
                <w:szCs w:val="20"/>
              </w:rPr>
              <w:t>18</w:t>
            </w:r>
          </w:p>
        </w:tc>
        <w:tc>
          <w:tcPr>
            <w:tcW w:w="1658" w:type="pct"/>
          </w:tcPr>
          <w:p w14:paraId="307EB8A8">
            <w:pPr>
              <w:spacing w:after="0" w:line="276" w:lineRule="auto"/>
              <w:jc w:val="center"/>
              <w:rPr>
                <w:rFonts w:ascii="Arial Narrow" w:hAnsi="Arial Narrow" w:cs="Times New Roman"/>
                <w:color w:val="000000"/>
                <w:sz w:val="20"/>
                <w:szCs w:val="20"/>
              </w:rPr>
            </w:pPr>
            <w:r>
              <w:rPr>
                <w:rFonts w:ascii="Arial Narrow" w:hAnsi="Arial Narrow" w:cs="Times New Roman"/>
                <w:color w:val="000000"/>
                <w:sz w:val="20"/>
                <w:szCs w:val="20"/>
              </w:rPr>
              <w:t>30.0</w:t>
            </w:r>
          </w:p>
        </w:tc>
      </w:tr>
      <w:tr w14:paraId="2ADE2C1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6" w:type="pct"/>
          </w:tcPr>
          <w:p w14:paraId="0513AFE1">
            <w:pPr>
              <w:spacing w:after="0" w:line="276" w:lineRule="auto"/>
              <w:jc w:val="both"/>
              <w:rPr>
                <w:rFonts w:ascii="Arial Narrow" w:hAnsi="Arial Narrow" w:cs="Times New Roman"/>
                <w:color w:val="000000"/>
                <w:sz w:val="20"/>
                <w:szCs w:val="20"/>
              </w:rPr>
            </w:pPr>
            <w:r>
              <w:rPr>
                <w:rFonts w:ascii="Arial Narrow" w:hAnsi="Arial Narrow" w:cs="Times New Roman"/>
                <w:b/>
                <w:color w:val="000000"/>
                <w:sz w:val="20"/>
                <w:szCs w:val="20"/>
              </w:rPr>
              <w:t>Marital Status of Respondents</w:t>
            </w:r>
          </w:p>
        </w:tc>
        <w:tc>
          <w:tcPr>
            <w:tcW w:w="1666" w:type="pct"/>
          </w:tcPr>
          <w:p w14:paraId="5F4EFC1D">
            <w:pPr>
              <w:spacing w:after="0" w:line="276" w:lineRule="auto"/>
              <w:jc w:val="center"/>
              <w:rPr>
                <w:rFonts w:ascii="Arial Narrow" w:hAnsi="Arial Narrow" w:cs="Times New Roman"/>
                <w:color w:val="000000"/>
                <w:sz w:val="20"/>
                <w:szCs w:val="20"/>
              </w:rPr>
            </w:pPr>
          </w:p>
        </w:tc>
        <w:tc>
          <w:tcPr>
            <w:tcW w:w="1658" w:type="pct"/>
          </w:tcPr>
          <w:p w14:paraId="742AD945">
            <w:pPr>
              <w:spacing w:after="0" w:line="276" w:lineRule="auto"/>
              <w:jc w:val="center"/>
              <w:rPr>
                <w:rFonts w:ascii="Arial Narrow" w:hAnsi="Arial Narrow" w:cs="Times New Roman"/>
                <w:color w:val="000000"/>
                <w:sz w:val="20"/>
                <w:szCs w:val="20"/>
              </w:rPr>
            </w:pPr>
          </w:p>
        </w:tc>
      </w:tr>
      <w:tr w14:paraId="1CB0D77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6" w:type="pct"/>
          </w:tcPr>
          <w:p w14:paraId="284F6513">
            <w:pPr>
              <w:spacing w:after="0" w:line="276" w:lineRule="auto"/>
              <w:jc w:val="both"/>
              <w:rPr>
                <w:rFonts w:ascii="Arial Narrow" w:hAnsi="Arial Narrow" w:cs="Times New Roman"/>
                <w:color w:val="000000"/>
                <w:sz w:val="20"/>
                <w:szCs w:val="20"/>
              </w:rPr>
            </w:pPr>
            <w:r>
              <w:rPr>
                <w:rFonts w:ascii="Arial Narrow" w:hAnsi="Arial Narrow" w:cs="Times New Roman"/>
                <w:color w:val="000000"/>
                <w:sz w:val="20"/>
                <w:szCs w:val="20"/>
              </w:rPr>
              <w:t xml:space="preserve">Single  </w:t>
            </w:r>
          </w:p>
        </w:tc>
        <w:tc>
          <w:tcPr>
            <w:tcW w:w="1666" w:type="pct"/>
          </w:tcPr>
          <w:p w14:paraId="08E54C25">
            <w:pPr>
              <w:spacing w:after="0" w:line="276" w:lineRule="auto"/>
              <w:jc w:val="center"/>
              <w:rPr>
                <w:rFonts w:ascii="Arial Narrow" w:hAnsi="Arial Narrow" w:cs="Times New Roman"/>
                <w:color w:val="000000"/>
                <w:sz w:val="20"/>
                <w:szCs w:val="20"/>
              </w:rPr>
            </w:pPr>
            <w:r>
              <w:rPr>
                <w:rFonts w:ascii="Arial Narrow" w:hAnsi="Arial Narrow" w:cs="Times New Roman"/>
                <w:color w:val="000000"/>
                <w:sz w:val="20"/>
                <w:szCs w:val="20"/>
              </w:rPr>
              <w:t>16</w:t>
            </w:r>
          </w:p>
        </w:tc>
        <w:tc>
          <w:tcPr>
            <w:tcW w:w="1658" w:type="pct"/>
          </w:tcPr>
          <w:p w14:paraId="5FA6CA6E">
            <w:pPr>
              <w:spacing w:after="0" w:line="276" w:lineRule="auto"/>
              <w:jc w:val="center"/>
              <w:rPr>
                <w:rFonts w:ascii="Arial Narrow" w:hAnsi="Arial Narrow" w:cs="Times New Roman"/>
                <w:color w:val="000000"/>
                <w:sz w:val="20"/>
                <w:szCs w:val="20"/>
              </w:rPr>
            </w:pPr>
            <w:r>
              <w:rPr>
                <w:rFonts w:ascii="Arial Narrow" w:hAnsi="Arial Narrow" w:cs="Times New Roman"/>
                <w:color w:val="000000"/>
                <w:sz w:val="20"/>
                <w:szCs w:val="20"/>
              </w:rPr>
              <w:t>26.7</w:t>
            </w:r>
          </w:p>
        </w:tc>
      </w:tr>
      <w:tr w14:paraId="3271B52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6" w:type="pct"/>
          </w:tcPr>
          <w:p w14:paraId="4747EE71">
            <w:pPr>
              <w:spacing w:after="0" w:line="276" w:lineRule="auto"/>
              <w:jc w:val="both"/>
              <w:rPr>
                <w:rFonts w:ascii="Arial Narrow" w:hAnsi="Arial Narrow" w:cs="Times New Roman"/>
                <w:color w:val="000000"/>
                <w:sz w:val="20"/>
                <w:szCs w:val="20"/>
              </w:rPr>
            </w:pPr>
            <w:r>
              <w:rPr>
                <w:rFonts w:ascii="Arial Narrow" w:hAnsi="Arial Narrow" w:cs="Times New Roman"/>
                <w:color w:val="000000"/>
                <w:sz w:val="20"/>
                <w:szCs w:val="20"/>
              </w:rPr>
              <w:t>Married</w:t>
            </w:r>
          </w:p>
        </w:tc>
        <w:tc>
          <w:tcPr>
            <w:tcW w:w="1666" w:type="pct"/>
          </w:tcPr>
          <w:p w14:paraId="2D932D95">
            <w:pPr>
              <w:spacing w:after="0" w:line="276" w:lineRule="auto"/>
              <w:jc w:val="center"/>
              <w:rPr>
                <w:rFonts w:ascii="Arial Narrow" w:hAnsi="Arial Narrow" w:cs="Times New Roman"/>
                <w:color w:val="000000"/>
                <w:sz w:val="20"/>
                <w:szCs w:val="20"/>
              </w:rPr>
            </w:pPr>
            <w:r>
              <w:rPr>
                <w:rFonts w:ascii="Arial Narrow" w:hAnsi="Arial Narrow" w:cs="Times New Roman"/>
                <w:color w:val="000000"/>
                <w:sz w:val="20"/>
                <w:szCs w:val="20"/>
              </w:rPr>
              <w:t>43</w:t>
            </w:r>
          </w:p>
        </w:tc>
        <w:tc>
          <w:tcPr>
            <w:tcW w:w="1658" w:type="pct"/>
          </w:tcPr>
          <w:p w14:paraId="02488061">
            <w:pPr>
              <w:spacing w:after="0" w:line="276" w:lineRule="auto"/>
              <w:jc w:val="center"/>
              <w:rPr>
                <w:rFonts w:ascii="Arial Narrow" w:hAnsi="Arial Narrow" w:cs="Times New Roman"/>
                <w:color w:val="000000"/>
                <w:sz w:val="20"/>
                <w:szCs w:val="20"/>
              </w:rPr>
            </w:pPr>
            <w:r>
              <w:rPr>
                <w:rFonts w:ascii="Arial Narrow" w:hAnsi="Arial Narrow" w:cs="Times New Roman"/>
                <w:color w:val="000000"/>
                <w:sz w:val="20"/>
                <w:szCs w:val="20"/>
              </w:rPr>
              <w:t>71.7</w:t>
            </w:r>
          </w:p>
        </w:tc>
      </w:tr>
      <w:tr w14:paraId="4D79054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6" w:type="pct"/>
          </w:tcPr>
          <w:p w14:paraId="4F3F3737">
            <w:pPr>
              <w:spacing w:after="0" w:line="276" w:lineRule="auto"/>
              <w:jc w:val="both"/>
              <w:rPr>
                <w:rFonts w:ascii="Arial Narrow" w:hAnsi="Arial Narrow" w:cs="Times New Roman"/>
                <w:color w:val="000000"/>
                <w:sz w:val="20"/>
                <w:szCs w:val="20"/>
              </w:rPr>
            </w:pPr>
            <w:r>
              <w:rPr>
                <w:rFonts w:ascii="Arial Narrow" w:hAnsi="Arial Narrow" w:cs="Times New Roman"/>
                <w:color w:val="000000"/>
                <w:sz w:val="20"/>
                <w:szCs w:val="20"/>
              </w:rPr>
              <w:t>Divorced</w:t>
            </w:r>
          </w:p>
        </w:tc>
        <w:tc>
          <w:tcPr>
            <w:tcW w:w="1666" w:type="pct"/>
          </w:tcPr>
          <w:p w14:paraId="4736239A">
            <w:pPr>
              <w:spacing w:after="0" w:line="276" w:lineRule="auto"/>
              <w:jc w:val="center"/>
              <w:rPr>
                <w:rFonts w:ascii="Arial Narrow" w:hAnsi="Arial Narrow" w:cs="Times New Roman"/>
                <w:color w:val="000000"/>
                <w:sz w:val="20"/>
                <w:szCs w:val="20"/>
              </w:rPr>
            </w:pPr>
            <w:r>
              <w:rPr>
                <w:rFonts w:ascii="Arial Narrow" w:hAnsi="Arial Narrow" w:cs="Times New Roman"/>
                <w:color w:val="000000"/>
                <w:sz w:val="20"/>
                <w:szCs w:val="20"/>
              </w:rPr>
              <w:t>1</w:t>
            </w:r>
          </w:p>
        </w:tc>
        <w:tc>
          <w:tcPr>
            <w:tcW w:w="1658" w:type="pct"/>
          </w:tcPr>
          <w:p w14:paraId="0300B6FF">
            <w:pPr>
              <w:spacing w:after="0" w:line="276" w:lineRule="auto"/>
              <w:jc w:val="center"/>
              <w:rPr>
                <w:rFonts w:ascii="Arial Narrow" w:hAnsi="Arial Narrow" w:cs="Times New Roman"/>
                <w:color w:val="000000"/>
                <w:sz w:val="20"/>
                <w:szCs w:val="20"/>
              </w:rPr>
            </w:pPr>
            <w:r>
              <w:rPr>
                <w:rFonts w:ascii="Arial Narrow" w:hAnsi="Arial Narrow" w:cs="Times New Roman"/>
                <w:color w:val="000000"/>
                <w:sz w:val="20"/>
                <w:szCs w:val="20"/>
              </w:rPr>
              <w:t>1.7</w:t>
            </w:r>
          </w:p>
        </w:tc>
      </w:tr>
      <w:tr w14:paraId="1F189DC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6" w:type="pct"/>
          </w:tcPr>
          <w:p w14:paraId="36CBD720">
            <w:pPr>
              <w:spacing w:after="0" w:line="276" w:lineRule="auto"/>
              <w:jc w:val="both"/>
              <w:rPr>
                <w:rFonts w:ascii="Arial Narrow" w:hAnsi="Arial Narrow" w:cs="Times New Roman"/>
                <w:color w:val="000000"/>
                <w:sz w:val="20"/>
                <w:szCs w:val="20"/>
              </w:rPr>
            </w:pPr>
            <w:r>
              <w:rPr>
                <w:rFonts w:ascii="Arial Narrow" w:hAnsi="Arial Narrow" w:cs="Times New Roman"/>
                <w:color w:val="000000"/>
                <w:sz w:val="20"/>
                <w:szCs w:val="20"/>
              </w:rPr>
              <w:t xml:space="preserve">Widow/er       Respondents            </w:t>
            </w:r>
          </w:p>
        </w:tc>
        <w:tc>
          <w:tcPr>
            <w:tcW w:w="1666" w:type="pct"/>
          </w:tcPr>
          <w:p w14:paraId="4508B3CD">
            <w:pPr>
              <w:spacing w:after="0" w:line="276" w:lineRule="auto"/>
              <w:jc w:val="center"/>
              <w:rPr>
                <w:rFonts w:ascii="Arial Narrow" w:hAnsi="Arial Narrow" w:cs="Times New Roman"/>
                <w:color w:val="000000"/>
                <w:sz w:val="20"/>
                <w:szCs w:val="20"/>
              </w:rPr>
            </w:pPr>
            <w:r>
              <w:rPr>
                <w:rFonts w:ascii="Arial Narrow" w:hAnsi="Arial Narrow" w:cs="Times New Roman"/>
                <w:color w:val="000000"/>
                <w:sz w:val="20"/>
                <w:szCs w:val="20"/>
              </w:rPr>
              <w:t>0</w:t>
            </w:r>
          </w:p>
        </w:tc>
        <w:tc>
          <w:tcPr>
            <w:tcW w:w="1658" w:type="pct"/>
          </w:tcPr>
          <w:p w14:paraId="79E69CC1">
            <w:pPr>
              <w:spacing w:after="0" w:line="276" w:lineRule="auto"/>
              <w:jc w:val="center"/>
              <w:rPr>
                <w:rFonts w:ascii="Arial Narrow" w:hAnsi="Arial Narrow" w:cs="Times New Roman"/>
                <w:color w:val="000000"/>
                <w:sz w:val="20"/>
                <w:szCs w:val="20"/>
              </w:rPr>
            </w:pPr>
            <w:r>
              <w:rPr>
                <w:rFonts w:ascii="Arial Narrow" w:hAnsi="Arial Narrow" w:cs="Times New Roman"/>
                <w:color w:val="000000"/>
                <w:sz w:val="20"/>
                <w:szCs w:val="20"/>
              </w:rPr>
              <w:t>0.0</w:t>
            </w:r>
          </w:p>
        </w:tc>
      </w:tr>
      <w:tr w14:paraId="172EA9C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6" w:type="pct"/>
          </w:tcPr>
          <w:p w14:paraId="0E6A03A9">
            <w:pPr>
              <w:spacing w:after="0" w:line="276" w:lineRule="auto"/>
              <w:jc w:val="both"/>
              <w:rPr>
                <w:rFonts w:ascii="Arial Narrow" w:hAnsi="Arial Narrow" w:cs="Times New Roman"/>
                <w:color w:val="000000"/>
                <w:sz w:val="20"/>
                <w:szCs w:val="20"/>
              </w:rPr>
            </w:pPr>
            <w:bookmarkStart w:id="6" w:name="_Toc79369705"/>
            <w:r>
              <w:rPr>
                <w:rFonts w:ascii="Arial Narrow" w:hAnsi="Arial Narrow" w:cs="Times New Roman"/>
                <w:b/>
                <w:color w:val="000000"/>
                <w:sz w:val="20"/>
                <w:szCs w:val="20"/>
              </w:rPr>
              <w:t>Education Level</w:t>
            </w:r>
            <w:bookmarkEnd w:id="6"/>
            <w:r>
              <w:rPr>
                <w:rFonts w:ascii="Arial Narrow" w:hAnsi="Arial Narrow" w:cs="Times New Roman"/>
                <w:b/>
                <w:color w:val="000000"/>
                <w:sz w:val="20"/>
                <w:szCs w:val="20"/>
              </w:rPr>
              <w:t xml:space="preserve"> of Respondents</w:t>
            </w:r>
          </w:p>
        </w:tc>
        <w:tc>
          <w:tcPr>
            <w:tcW w:w="1666" w:type="pct"/>
          </w:tcPr>
          <w:p w14:paraId="141B237E">
            <w:pPr>
              <w:spacing w:after="0" w:line="276" w:lineRule="auto"/>
              <w:jc w:val="center"/>
              <w:rPr>
                <w:rFonts w:ascii="Arial Narrow" w:hAnsi="Arial Narrow" w:cs="Times New Roman"/>
                <w:color w:val="000000"/>
                <w:sz w:val="20"/>
                <w:szCs w:val="20"/>
              </w:rPr>
            </w:pPr>
          </w:p>
        </w:tc>
        <w:tc>
          <w:tcPr>
            <w:tcW w:w="1658" w:type="pct"/>
          </w:tcPr>
          <w:p w14:paraId="702D5BFB">
            <w:pPr>
              <w:spacing w:after="0" w:line="276" w:lineRule="auto"/>
              <w:jc w:val="center"/>
              <w:rPr>
                <w:rFonts w:ascii="Arial Narrow" w:hAnsi="Arial Narrow" w:cs="Times New Roman"/>
                <w:color w:val="000000"/>
                <w:sz w:val="20"/>
                <w:szCs w:val="20"/>
              </w:rPr>
            </w:pPr>
          </w:p>
        </w:tc>
      </w:tr>
      <w:tr w14:paraId="72B32E6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6" w:type="pct"/>
          </w:tcPr>
          <w:p w14:paraId="74338829">
            <w:pPr>
              <w:spacing w:after="0" w:line="276"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College and above</w:t>
            </w:r>
          </w:p>
        </w:tc>
        <w:tc>
          <w:tcPr>
            <w:tcW w:w="1666" w:type="pct"/>
          </w:tcPr>
          <w:p w14:paraId="77FB836E">
            <w:pPr>
              <w:spacing w:after="0" w:line="276" w:lineRule="auto"/>
              <w:jc w:val="center"/>
              <w:rPr>
                <w:rFonts w:ascii="Arial Narrow" w:hAnsi="Arial Narrow" w:cs="Times New Roman"/>
                <w:color w:val="000000"/>
                <w:sz w:val="20"/>
                <w:szCs w:val="20"/>
              </w:rPr>
            </w:pPr>
            <w:r>
              <w:rPr>
                <w:rFonts w:ascii="Arial Narrow" w:hAnsi="Arial Narrow" w:cs="Times New Roman"/>
                <w:color w:val="000000"/>
                <w:sz w:val="20"/>
                <w:szCs w:val="20"/>
              </w:rPr>
              <w:t>24</w:t>
            </w:r>
          </w:p>
        </w:tc>
        <w:tc>
          <w:tcPr>
            <w:tcW w:w="1658" w:type="pct"/>
          </w:tcPr>
          <w:p w14:paraId="06EDFA97">
            <w:pPr>
              <w:spacing w:after="0" w:line="276" w:lineRule="auto"/>
              <w:jc w:val="center"/>
              <w:rPr>
                <w:rFonts w:ascii="Arial Narrow" w:hAnsi="Arial Narrow" w:cs="Times New Roman"/>
                <w:color w:val="000000"/>
                <w:sz w:val="20"/>
                <w:szCs w:val="20"/>
              </w:rPr>
            </w:pPr>
            <w:r>
              <w:rPr>
                <w:rFonts w:ascii="Arial Narrow" w:hAnsi="Arial Narrow" w:cs="Times New Roman"/>
                <w:color w:val="000000"/>
                <w:sz w:val="20"/>
                <w:szCs w:val="20"/>
              </w:rPr>
              <w:t>40.0</w:t>
            </w:r>
          </w:p>
        </w:tc>
      </w:tr>
      <w:tr w14:paraId="6E8A7CD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6" w:type="pct"/>
          </w:tcPr>
          <w:p w14:paraId="5F08CE95">
            <w:pPr>
              <w:spacing w:after="0" w:line="276" w:lineRule="auto"/>
              <w:jc w:val="both"/>
              <w:rPr>
                <w:rFonts w:ascii="Arial Narrow" w:hAnsi="Arial Narrow" w:cs="Times New Roman"/>
                <w:color w:val="000000"/>
                <w:sz w:val="20"/>
                <w:szCs w:val="20"/>
              </w:rPr>
            </w:pPr>
            <w:r>
              <w:rPr>
                <w:rFonts w:ascii="Arial Narrow" w:hAnsi="Arial Narrow" w:cs="Times New Roman"/>
                <w:color w:val="000000"/>
                <w:sz w:val="20"/>
                <w:szCs w:val="20"/>
              </w:rPr>
              <w:t>Secondary education</w:t>
            </w:r>
          </w:p>
        </w:tc>
        <w:tc>
          <w:tcPr>
            <w:tcW w:w="1666" w:type="pct"/>
          </w:tcPr>
          <w:p w14:paraId="6FEA12F3">
            <w:pPr>
              <w:spacing w:after="0" w:line="276" w:lineRule="auto"/>
              <w:jc w:val="center"/>
              <w:rPr>
                <w:rFonts w:ascii="Arial Narrow" w:hAnsi="Arial Narrow" w:cs="Times New Roman"/>
                <w:color w:val="000000"/>
                <w:sz w:val="20"/>
                <w:szCs w:val="20"/>
              </w:rPr>
            </w:pPr>
            <w:r>
              <w:rPr>
                <w:rFonts w:ascii="Arial Narrow" w:hAnsi="Arial Narrow" w:cs="Times New Roman"/>
                <w:color w:val="000000"/>
                <w:sz w:val="20"/>
                <w:szCs w:val="20"/>
              </w:rPr>
              <w:t>28</w:t>
            </w:r>
          </w:p>
        </w:tc>
        <w:tc>
          <w:tcPr>
            <w:tcW w:w="1658" w:type="pct"/>
          </w:tcPr>
          <w:p w14:paraId="01E5F8E8">
            <w:pPr>
              <w:spacing w:after="0" w:line="276" w:lineRule="auto"/>
              <w:jc w:val="center"/>
              <w:rPr>
                <w:rFonts w:ascii="Arial Narrow" w:hAnsi="Arial Narrow" w:cs="Times New Roman"/>
                <w:color w:val="000000"/>
                <w:sz w:val="20"/>
                <w:szCs w:val="20"/>
              </w:rPr>
            </w:pPr>
            <w:r>
              <w:rPr>
                <w:rFonts w:ascii="Arial Narrow" w:hAnsi="Arial Narrow" w:cs="Times New Roman"/>
                <w:color w:val="000000"/>
                <w:sz w:val="20"/>
                <w:szCs w:val="20"/>
              </w:rPr>
              <w:t>46.7</w:t>
            </w:r>
          </w:p>
        </w:tc>
      </w:tr>
      <w:tr w14:paraId="4EEE1F6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6" w:type="pct"/>
          </w:tcPr>
          <w:p w14:paraId="51E577BD">
            <w:pPr>
              <w:spacing w:after="0" w:line="276" w:lineRule="auto"/>
              <w:jc w:val="both"/>
              <w:rPr>
                <w:rFonts w:ascii="Arial Narrow" w:hAnsi="Arial Narrow" w:cs="Times New Roman"/>
                <w:color w:val="000000"/>
                <w:sz w:val="20"/>
                <w:szCs w:val="20"/>
              </w:rPr>
            </w:pPr>
            <w:r>
              <w:rPr>
                <w:rFonts w:ascii="Arial Narrow" w:hAnsi="Arial Narrow" w:cs="Times New Roman"/>
                <w:color w:val="000000"/>
                <w:sz w:val="20"/>
                <w:szCs w:val="20"/>
              </w:rPr>
              <w:t>Primary education</w:t>
            </w:r>
          </w:p>
        </w:tc>
        <w:tc>
          <w:tcPr>
            <w:tcW w:w="1666" w:type="pct"/>
          </w:tcPr>
          <w:p w14:paraId="6B2F80D3">
            <w:pPr>
              <w:spacing w:after="0" w:line="276" w:lineRule="auto"/>
              <w:jc w:val="center"/>
              <w:rPr>
                <w:rFonts w:ascii="Arial Narrow" w:hAnsi="Arial Narrow" w:cs="Times New Roman"/>
                <w:color w:val="000000"/>
                <w:sz w:val="20"/>
                <w:szCs w:val="20"/>
              </w:rPr>
            </w:pPr>
            <w:r>
              <w:rPr>
                <w:rFonts w:ascii="Arial Narrow" w:hAnsi="Arial Narrow" w:cs="Times New Roman"/>
                <w:color w:val="000000"/>
                <w:sz w:val="20"/>
                <w:szCs w:val="20"/>
              </w:rPr>
              <w:t>8</w:t>
            </w:r>
          </w:p>
        </w:tc>
        <w:tc>
          <w:tcPr>
            <w:tcW w:w="1658" w:type="pct"/>
          </w:tcPr>
          <w:p w14:paraId="186DFF76">
            <w:pPr>
              <w:spacing w:after="0" w:line="276" w:lineRule="auto"/>
              <w:jc w:val="center"/>
              <w:rPr>
                <w:rFonts w:ascii="Arial Narrow" w:hAnsi="Arial Narrow" w:cs="Times New Roman"/>
                <w:color w:val="000000"/>
                <w:sz w:val="20"/>
                <w:szCs w:val="20"/>
              </w:rPr>
            </w:pPr>
            <w:r>
              <w:rPr>
                <w:rFonts w:ascii="Arial Narrow" w:hAnsi="Arial Narrow" w:cs="Times New Roman"/>
                <w:color w:val="000000"/>
                <w:sz w:val="20"/>
                <w:szCs w:val="20"/>
              </w:rPr>
              <w:t>13.3</w:t>
            </w:r>
          </w:p>
        </w:tc>
      </w:tr>
      <w:tr w14:paraId="6E71D7F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6" w:type="pct"/>
          </w:tcPr>
          <w:p w14:paraId="203825A3">
            <w:pPr>
              <w:spacing w:after="0" w:line="276" w:lineRule="auto"/>
              <w:jc w:val="both"/>
              <w:rPr>
                <w:rFonts w:ascii="Arial Narrow" w:hAnsi="Arial Narrow" w:cs="Times New Roman"/>
                <w:color w:val="000000"/>
                <w:sz w:val="20"/>
                <w:szCs w:val="20"/>
              </w:rPr>
            </w:pPr>
            <w:r>
              <w:rPr>
                <w:rFonts w:ascii="Arial Narrow" w:hAnsi="Arial Narrow" w:cs="Times New Roman"/>
                <w:color w:val="000000"/>
                <w:sz w:val="20"/>
                <w:szCs w:val="20"/>
              </w:rPr>
              <w:t>Non-formal education</w:t>
            </w:r>
          </w:p>
        </w:tc>
        <w:tc>
          <w:tcPr>
            <w:tcW w:w="1666" w:type="pct"/>
          </w:tcPr>
          <w:p w14:paraId="2508A8EC">
            <w:pPr>
              <w:spacing w:after="0" w:line="276" w:lineRule="auto"/>
              <w:jc w:val="center"/>
              <w:rPr>
                <w:rFonts w:ascii="Arial Narrow" w:hAnsi="Arial Narrow" w:cs="Times New Roman"/>
                <w:color w:val="000000"/>
                <w:sz w:val="20"/>
                <w:szCs w:val="20"/>
              </w:rPr>
            </w:pPr>
            <w:r>
              <w:rPr>
                <w:rFonts w:ascii="Arial Narrow" w:hAnsi="Arial Narrow" w:cs="Times New Roman"/>
                <w:color w:val="000000"/>
                <w:sz w:val="20"/>
                <w:szCs w:val="20"/>
              </w:rPr>
              <w:t>0</w:t>
            </w:r>
          </w:p>
        </w:tc>
        <w:tc>
          <w:tcPr>
            <w:tcW w:w="1658" w:type="pct"/>
          </w:tcPr>
          <w:p w14:paraId="58451CE1">
            <w:pPr>
              <w:spacing w:after="0" w:line="276" w:lineRule="auto"/>
              <w:jc w:val="center"/>
              <w:rPr>
                <w:rFonts w:ascii="Arial Narrow" w:hAnsi="Arial Narrow" w:cs="Times New Roman"/>
                <w:color w:val="000000"/>
                <w:sz w:val="20"/>
                <w:szCs w:val="20"/>
              </w:rPr>
            </w:pPr>
            <w:r>
              <w:rPr>
                <w:rFonts w:ascii="Arial Narrow" w:hAnsi="Arial Narrow" w:cs="Times New Roman"/>
                <w:color w:val="000000"/>
                <w:sz w:val="20"/>
                <w:szCs w:val="20"/>
              </w:rPr>
              <w:t>0.0</w:t>
            </w:r>
          </w:p>
        </w:tc>
      </w:tr>
      <w:tr w14:paraId="64AB965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6" w:type="pct"/>
          </w:tcPr>
          <w:p w14:paraId="20767AEB">
            <w:pPr>
              <w:autoSpaceDE w:val="0"/>
              <w:autoSpaceDN w:val="0"/>
              <w:adjustRightInd w:val="0"/>
              <w:spacing w:after="0" w:line="276" w:lineRule="auto"/>
              <w:ind w:right="60"/>
              <w:jc w:val="both"/>
              <w:rPr>
                <w:rFonts w:ascii="Arial Narrow" w:hAnsi="Arial Narrow" w:cs="Times New Roman"/>
                <w:b/>
                <w:color w:val="000000"/>
                <w:sz w:val="20"/>
                <w:szCs w:val="20"/>
              </w:rPr>
            </w:pPr>
            <w:r>
              <w:rPr>
                <w:rFonts w:ascii="Arial Narrow" w:hAnsi="Arial Narrow" w:cs="Times New Roman"/>
                <w:b/>
                <w:color w:val="000000"/>
                <w:sz w:val="20"/>
                <w:szCs w:val="20"/>
              </w:rPr>
              <w:t>Household size of respondents</w:t>
            </w:r>
          </w:p>
        </w:tc>
        <w:tc>
          <w:tcPr>
            <w:tcW w:w="1666" w:type="pct"/>
          </w:tcPr>
          <w:p w14:paraId="7C5643BD">
            <w:pPr>
              <w:spacing w:after="0" w:line="276" w:lineRule="auto"/>
              <w:jc w:val="center"/>
              <w:rPr>
                <w:rFonts w:ascii="Arial Narrow" w:hAnsi="Arial Narrow" w:cs="Times New Roman"/>
                <w:color w:val="000000"/>
                <w:sz w:val="20"/>
                <w:szCs w:val="20"/>
              </w:rPr>
            </w:pPr>
          </w:p>
        </w:tc>
        <w:tc>
          <w:tcPr>
            <w:tcW w:w="1658" w:type="pct"/>
          </w:tcPr>
          <w:p w14:paraId="1471969C">
            <w:pPr>
              <w:autoSpaceDE w:val="0"/>
              <w:autoSpaceDN w:val="0"/>
              <w:adjustRightInd w:val="0"/>
              <w:spacing w:after="0" w:line="276" w:lineRule="auto"/>
              <w:ind w:right="60"/>
              <w:jc w:val="center"/>
              <w:rPr>
                <w:rFonts w:ascii="Arial Narrow" w:hAnsi="Arial Narrow" w:cs="Times New Roman"/>
                <w:color w:val="000000"/>
                <w:sz w:val="20"/>
                <w:szCs w:val="20"/>
              </w:rPr>
            </w:pPr>
          </w:p>
        </w:tc>
      </w:tr>
      <w:tr w14:paraId="3323066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6" w:type="pct"/>
          </w:tcPr>
          <w:p w14:paraId="25B3863C">
            <w:pPr>
              <w:autoSpaceDE w:val="0"/>
              <w:autoSpaceDN w:val="0"/>
              <w:adjustRightInd w:val="0"/>
              <w:spacing w:after="0" w:line="276" w:lineRule="auto"/>
              <w:ind w:right="60"/>
              <w:jc w:val="both"/>
              <w:rPr>
                <w:rFonts w:ascii="Arial Narrow" w:hAnsi="Arial Narrow" w:cs="Times New Roman"/>
                <w:b/>
                <w:color w:val="000000"/>
                <w:sz w:val="20"/>
                <w:szCs w:val="20"/>
              </w:rPr>
            </w:pPr>
            <w:r>
              <w:rPr>
                <w:rFonts w:ascii="Arial Narrow" w:hAnsi="Arial Narrow" w:cs="Times New Roman"/>
                <w:color w:val="000000"/>
                <w:sz w:val="20"/>
                <w:szCs w:val="20"/>
              </w:rPr>
              <w:t xml:space="preserve">1-5 </w:t>
            </w:r>
          </w:p>
        </w:tc>
        <w:tc>
          <w:tcPr>
            <w:tcW w:w="1666" w:type="pct"/>
          </w:tcPr>
          <w:p w14:paraId="73318496">
            <w:pPr>
              <w:spacing w:after="0" w:line="276" w:lineRule="auto"/>
              <w:jc w:val="center"/>
              <w:rPr>
                <w:rFonts w:ascii="Arial Narrow" w:hAnsi="Arial Narrow" w:cs="Times New Roman"/>
                <w:color w:val="000000"/>
                <w:sz w:val="20"/>
                <w:szCs w:val="20"/>
              </w:rPr>
            </w:pPr>
            <w:r>
              <w:rPr>
                <w:rFonts w:ascii="Arial Narrow" w:hAnsi="Arial Narrow" w:cs="Times New Roman"/>
                <w:color w:val="000000"/>
                <w:sz w:val="20"/>
                <w:szCs w:val="20"/>
              </w:rPr>
              <w:t>39</w:t>
            </w:r>
          </w:p>
        </w:tc>
        <w:tc>
          <w:tcPr>
            <w:tcW w:w="1658" w:type="pct"/>
          </w:tcPr>
          <w:p w14:paraId="4DB851B2">
            <w:pPr>
              <w:autoSpaceDE w:val="0"/>
              <w:autoSpaceDN w:val="0"/>
              <w:adjustRightInd w:val="0"/>
              <w:spacing w:after="0" w:line="276" w:lineRule="auto"/>
              <w:ind w:right="60"/>
              <w:jc w:val="center"/>
              <w:rPr>
                <w:rFonts w:ascii="Arial Narrow" w:hAnsi="Arial Narrow" w:cs="Times New Roman"/>
                <w:color w:val="000000"/>
                <w:sz w:val="20"/>
                <w:szCs w:val="20"/>
              </w:rPr>
            </w:pPr>
            <w:r>
              <w:rPr>
                <w:rFonts w:ascii="Arial Narrow" w:hAnsi="Arial Narrow" w:cs="Times New Roman"/>
                <w:color w:val="000000"/>
                <w:sz w:val="20"/>
                <w:szCs w:val="20"/>
              </w:rPr>
              <w:t>65.0</w:t>
            </w:r>
          </w:p>
        </w:tc>
      </w:tr>
      <w:tr w14:paraId="3ECA030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 w:hRule="atLeast"/>
        </w:trPr>
        <w:tc>
          <w:tcPr>
            <w:tcW w:w="1676" w:type="pct"/>
          </w:tcPr>
          <w:p w14:paraId="61B8CCF1">
            <w:pPr>
              <w:autoSpaceDE w:val="0"/>
              <w:autoSpaceDN w:val="0"/>
              <w:adjustRightInd w:val="0"/>
              <w:spacing w:after="0" w:line="276" w:lineRule="auto"/>
              <w:ind w:right="60"/>
              <w:jc w:val="both"/>
              <w:rPr>
                <w:rFonts w:ascii="Arial Narrow" w:hAnsi="Arial Narrow" w:cs="Times New Roman"/>
                <w:color w:val="000000"/>
                <w:sz w:val="20"/>
                <w:szCs w:val="20"/>
              </w:rPr>
            </w:pPr>
            <w:r>
              <w:rPr>
                <w:rFonts w:ascii="Arial Narrow" w:hAnsi="Arial Narrow" w:cs="Times New Roman"/>
                <w:color w:val="000000"/>
                <w:sz w:val="20"/>
                <w:szCs w:val="20"/>
              </w:rPr>
              <w:t xml:space="preserve">6-10                          </w:t>
            </w:r>
          </w:p>
        </w:tc>
        <w:tc>
          <w:tcPr>
            <w:tcW w:w="1666" w:type="pct"/>
          </w:tcPr>
          <w:p w14:paraId="099B369C">
            <w:pPr>
              <w:autoSpaceDE w:val="0"/>
              <w:autoSpaceDN w:val="0"/>
              <w:adjustRightInd w:val="0"/>
              <w:spacing w:after="0" w:line="276" w:lineRule="auto"/>
              <w:ind w:right="60"/>
              <w:jc w:val="center"/>
              <w:rPr>
                <w:rFonts w:ascii="Arial Narrow" w:hAnsi="Arial Narrow" w:cs="Times New Roman"/>
                <w:color w:val="000000"/>
                <w:sz w:val="20"/>
                <w:szCs w:val="20"/>
              </w:rPr>
            </w:pPr>
            <w:r>
              <w:rPr>
                <w:rFonts w:ascii="Arial Narrow" w:hAnsi="Arial Narrow" w:cs="Times New Roman"/>
                <w:color w:val="000000"/>
                <w:sz w:val="20"/>
                <w:szCs w:val="20"/>
              </w:rPr>
              <w:t>18</w:t>
            </w:r>
          </w:p>
        </w:tc>
        <w:tc>
          <w:tcPr>
            <w:tcW w:w="1658" w:type="pct"/>
          </w:tcPr>
          <w:p w14:paraId="228AB838">
            <w:pPr>
              <w:autoSpaceDE w:val="0"/>
              <w:autoSpaceDN w:val="0"/>
              <w:adjustRightInd w:val="0"/>
              <w:spacing w:after="0" w:line="276" w:lineRule="auto"/>
              <w:ind w:right="60"/>
              <w:jc w:val="center"/>
              <w:rPr>
                <w:rFonts w:ascii="Arial Narrow" w:hAnsi="Arial Narrow" w:cs="Times New Roman"/>
                <w:color w:val="000000"/>
                <w:sz w:val="20"/>
                <w:szCs w:val="20"/>
              </w:rPr>
            </w:pPr>
            <w:r>
              <w:rPr>
                <w:rFonts w:ascii="Arial Narrow" w:hAnsi="Arial Narrow" w:cs="Times New Roman"/>
                <w:color w:val="000000"/>
                <w:sz w:val="20"/>
                <w:szCs w:val="20"/>
              </w:rPr>
              <w:t>30.0</w:t>
            </w:r>
          </w:p>
        </w:tc>
      </w:tr>
      <w:tr w14:paraId="56C5F59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6" w:type="pct"/>
          </w:tcPr>
          <w:p w14:paraId="66E1FBDA">
            <w:pPr>
              <w:autoSpaceDE w:val="0"/>
              <w:autoSpaceDN w:val="0"/>
              <w:adjustRightInd w:val="0"/>
              <w:spacing w:after="0" w:line="276" w:lineRule="auto"/>
              <w:ind w:right="60"/>
              <w:jc w:val="both"/>
              <w:rPr>
                <w:rFonts w:ascii="Arial Narrow" w:hAnsi="Arial Narrow" w:cs="Times New Roman"/>
                <w:color w:val="000000"/>
                <w:sz w:val="20"/>
                <w:szCs w:val="20"/>
              </w:rPr>
            </w:pPr>
            <w:r>
              <w:rPr>
                <w:rFonts w:ascii="Arial Narrow" w:hAnsi="Arial Narrow" w:cs="Times New Roman"/>
                <w:color w:val="000000"/>
                <w:sz w:val="20"/>
                <w:szCs w:val="20"/>
              </w:rPr>
              <w:t xml:space="preserve">11-15                               </w:t>
            </w:r>
          </w:p>
        </w:tc>
        <w:tc>
          <w:tcPr>
            <w:tcW w:w="1666" w:type="pct"/>
          </w:tcPr>
          <w:p w14:paraId="0687C6C5">
            <w:pPr>
              <w:spacing w:after="0" w:line="276" w:lineRule="auto"/>
              <w:jc w:val="center"/>
              <w:rPr>
                <w:rFonts w:ascii="Arial Narrow" w:hAnsi="Arial Narrow" w:cs="Times New Roman"/>
                <w:color w:val="000000"/>
                <w:sz w:val="20"/>
                <w:szCs w:val="20"/>
              </w:rPr>
            </w:pPr>
            <w:r>
              <w:rPr>
                <w:rFonts w:ascii="Arial Narrow" w:hAnsi="Arial Narrow" w:cs="Times New Roman"/>
                <w:color w:val="000000"/>
                <w:sz w:val="20"/>
                <w:szCs w:val="20"/>
              </w:rPr>
              <w:t>3</w:t>
            </w:r>
          </w:p>
        </w:tc>
        <w:tc>
          <w:tcPr>
            <w:tcW w:w="1658" w:type="pct"/>
          </w:tcPr>
          <w:p w14:paraId="21E12E9D">
            <w:pPr>
              <w:autoSpaceDE w:val="0"/>
              <w:autoSpaceDN w:val="0"/>
              <w:adjustRightInd w:val="0"/>
              <w:spacing w:after="0" w:line="276" w:lineRule="auto"/>
              <w:ind w:right="60"/>
              <w:jc w:val="center"/>
              <w:rPr>
                <w:rFonts w:ascii="Arial Narrow" w:hAnsi="Arial Narrow" w:cs="Times New Roman"/>
                <w:color w:val="000000"/>
                <w:sz w:val="20"/>
                <w:szCs w:val="20"/>
              </w:rPr>
            </w:pPr>
            <w:r>
              <w:rPr>
                <w:rFonts w:ascii="Arial Narrow" w:hAnsi="Arial Narrow" w:cs="Times New Roman"/>
                <w:color w:val="000000"/>
                <w:sz w:val="20"/>
                <w:szCs w:val="20"/>
              </w:rPr>
              <w:t>5.0</w:t>
            </w:r>
          </w:p>
        </w:tc>
      </w:tr>
      <w:tr w14:paraId="784B93B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6" w:type="pct"/>
            <w:tcBorders>
              <w:top w:val="single" w:color="auto" w:sz="4" w:space="0"/>
              <w:bottom w:val="single" w:color="auto" w:sz="4" w:space="0"/>
            </w:tcBorders>
          </w:tcPr>
          <w:p w14:paraId="036C1A79">
            <w:pPr>
              <w:autoSpaceDE w:val="0"/>
              <w:autoSpaceDN w:val="0"/>
              <w:adjustRightInd w:val="0"/>
              <w:spacing w:after="0" w:line="276" w:lineRule="auto"/>
              <w:ind w:right="60"/>
              <w:jc w:val="both"/>
              <w:rPr>
                <w:rFonts w:ascii="Arial Narrow" w:hAnsi="Arial Narrow" w:cs="Times New Roman"/>
                <w:color w:val="000000"/>
                <w:sz w:val="20"/>
                <w:szCs w:val="20"/>
              </w:rPr>
            </w:pPr>
            <w:r>
              <w:rPr>
                <w:rFonts w:ascii="Arial Narrow" w:hAnsi="Arial Narrow" w:cs="Times New Roman"/>
                <w:color w:val="000000"/>
                <w:sz w:val="20"/>
                <w:szCs w:val="20"/>
              </w:rPr>
              <w:t xml:space="preserve">Total   </w:t>
            </w:r>
          </w:p>
        </w:tc>
        <w:tc>
          <w:tcPr>
            <w:tcW w:w="1666" w:type="pct"/>
            <w:tcBorders>
              <w:top w:val="single" w:color="auto" w:sz="4" w:space="0"/>
              <w:bottom w:val="single" w:color="auto" w:sz="4" w:space="0"/>
            </w:tcBorders>
          </w:tcPr>
          <w:p w14:paraId="65403B4B">
            <w:pPr>
              <w:autoSpaceDE w:val="0"/>
              <w:autoSpaceDN w:val="0"/>
              <w:adjustRightInd w:val="0"/>
              <w:spacing w:after="0" w:line="276" w:lineRule="auto"/>
              <w:ind w:right="60"/>
              <w:jc w:val="center"/>
              <w:rPr>
                <w:rFonts w:ascii="Arial Narrow" w:hAnsi="Arial Narrow" w:cs="Times New Roman"/>
                <w:color w:val="000000"/>
                <w:sz w:val="20"/>
                <w:szCs w:val="20"/>
              </w:rPr>
            </w:pPr>
            <w:r>
              <w:rPr>
                <w:rFonts w:ascii="Arial Narrow" w:hAnsi="Arial Narrow" w:cs="Times New Roman"/>
                <w:color w:val="000000"/>
                <w:sz w:val="20"/>
                <w:szCs w:val="20"/>
              </w:rPr>
              <w:t>60</w:t>
            </w:r>
          </w:p>
        </w:tc>
        <w:tc>
          <w:tcPr>
            <w:tcW w:w="1658" w:type="pct"/>
            <w:tcBorders>
              <w:top w:val="single" w:color="auto" w:sz="4" w:space="0"/>
              <w:bottom w:val="single" w:color="auto" w:sz="4" w:space="0"/>
            </w:tcBorders>
          </w:tcPr>
          <w:p w14:paraId="6C2F93F2">
            <w:pPr>
              <w:autoSpaceDE w:val="0"/>
              <w:autoSpaceDN w:val="0"/>
              <w:adjustRightInd w:val="0"/>
              <w:spacing w:after="0" w:line="276" w:lineRule="auto"/>
              <w:ind w:right="60"/>
              <w:jc w:val="center"/>
              <w:rPr>
                <w:rFonts w:ascii="Arial Narrow" w:hAnsi="Arial Narrow" w:cs="Times New Roman"/>
                <w:color w:val="000000"/>
                <w:sz w:val="20"/>
                <w:szCs w:val="20"/>
              </w:rPr>
            </w:pPr>
            <w:r>
              <w:rPr>
                <w:rFonts w:ascii="Arial Narrow" w:hAnsi="Arial Narrow" w:cs="Times New Roman"/>
                <w:color w:val="000000"/>
                <w:sz w:val="20"/>
                <w:szCs w:val="20"/>
              </w:rPr>
              <w:t>100</w:t>
            </w:r>
          </w:p>
        </w:tc>
      </w:tr>
    </w:tbl>
    <w:p w14:paraId="066F9800">
      <w:pPr>
        <w:spacing w:after="200" w:line="360" w:lineRule="auto"/>
        <w:jc w:val="both"/>
        <w:rPr>
          <w:rFonts w:ascii="Arial Narrow" w:hAnsi="Arial Narrow" w:eastAsia="Calibri" w:cs="Times New Roman"/>
          <w:b/>
          <w:sz w:val="24"/>
          <w:szCs w:val="24"/>
        </w:rPr>
      </w:pPr>
      <w:bookmarkStart w:id="7" w:name="_Toc112329847"/>
      <w:bookmarkStart w:id="8" w:name="_Toc112325870"/>
      <w:bookmarkStart w:id="9" w:name="_Toc112329693"/>
      <w:bookmarkStart w:id="10" w:name="_Toc210936512"/>
      <w:bookmarkStart w:id="11" w:name="_Toc112329539"/>
      <w:bookmarkStart w:id="12" w:name="_Toc112924392"/>
      <w:bookmarkStart w:id="13" w:name="_Toc112924058"/>
      <w:bookmarkStart w:id="14" w:name="_Toc112924225"/>
      <w:bookmarkStart w:id="15" w:name="_Toc112330000"/>
      <w:bookmarkStart w:id="16" w:name="_Toc112924559"/>
      <w:bookmarkStart w:id="17" w:name="_Hlk210836321"/>
      <w:r>
        <w:commentReference w:id="5"/>
      </w:r>
    </w:p>
    <w:p w14:paraId="0226DF7E">
      <w:pPr>
        <w:spacing w:after="200" w:line="360" w:lineRule="auto"/>
        <w:jc w:val="both"/>
        <w:rPr>
          <w:rFonts w:ascii="Arial Narrow" w:hAnsi="Arial Narrow" w:eastAsia="Calibri" w:cs="Times New Roman"/>
          <w:sz w:val="24"/>
          <w:szCs w:val="24"/>
        </w:rPr>
      </w:pPr>
      <w:r>
        <w:rPr>
          <w:rFonts w:ascii="Arial Narrow" w:hAnsi="Arial Narrow" w:eastAsia="Calibri" w:cs="Times New Roman"/>
          <w:sz w:val="24"/>
          <w:szCs w:val="24"/>
        </w:rPr>
        <w:t>The result from Table 3 shows that age influences people’s experiences and perspectives, especially concerning succession in family businesses. Table 3 shows that most respondents (81.7%) were aged between 30 and 50 years, while only 5.0% were under 30. This suggests that older family business owners are more likely to adopt succession plans. This finding agrees with Saan et al. (2020), who noted that older SME owners tend to focus more on succession planning as it becomes imminent.</w:t>
      </w:r>
      <w:bookmarkEnd w:id="7"/>
      <w:bookmarkEnd w:id="8"/>
      <w:bookmarkEnd w:id="9"/>
      <w:bookmarkEnd w:id="10"/>
      <w:bookmarkEnd w:id="11"/>
      <w:bookmarkEnd w:id="12"/>
      <w:bookmarkEnd w:id="13"/>
      <w:bookmarkEnd w:id="14"/>
      <w:bookmarkEnd w:id="15"/>
      <w:bookmarkEnd w:id="16"/>
      <w:bookmarkStart w:id="18" w:name="_Toc112325871"/>
      <w:bookmarkStart w:id="19" w:name="_Toc112329540"/>
      <w:bookmarkStart w:id="20" w:name="_Toc112924393"/>
      <w:bookmarkStart w:id="21" w:name="_Toc210936513"/>
      <w:bookmarkStart w:id="22" w:name="_Toc112329694"/>
      <w:bookmarkStart w:id="23" w:name="_Toc112924059"/>
      <w:bookmarkStart w:id="24" w:name="_Toc112330001"/>
      <w:bookmarkStart w:id="25" w:name="_Toc112924560"/>
      <w:bookmarkStart w:id="26" w:name="_Toc112329848"/>
      <w:bookmarkStart w:id="27" w:name="_Toc112924226"/>
      <w:bookmarkStart w:id="28" w:name="_Hlk210837596"/>
    </w:p>
    <w:p w14:paraId="28588DB0">
      <w:pPr>
        <w:spacing w:after="200" w:line="360" w:lineRule="auto"/>
        <w:jc w:val="both"/>
        <w:rPr>
          <w:rFonts w:ascii="Arial Narrow" w:hAnsi="Arial Narrow" w:eastAsia="Calibri" w:cs="Times New Roman"/>
          <w:sz w:val="24"/>
          <w:szCs w:val="24"/>
        </w:rPr>
      </w:pPr>
      <w:r>
        <w:rPr>
          <w:rFonts w:ascii="Arial Narrow" w:hAnsi="Arial Narrow" w:eastAsia="Calibri" w:cs="Times New Roman"/>
          <w:color w:val="000000"/>
          <w:sz w:val="24"/>
          <w:szCs w:val="24"/>
        </w:rPr>
        <w:t>Table 3 indicates that males made up about 70.0% of respondents. This reflects the common trend in many African communities where males mainly inherit family businesses. Gender significantly influences succession planning, with many owners preferring male successors. Mustafa et al. (2019) support this observation, revealing that male family business owners typically choose male heirs over females. This reflects ongoing gender inequality debates regarding equal inheritance rights.</w:t>
      </w:r>
      <w:bookmarkEnd w:id="18"/>
      <w:bookmarkEnd w:id="19"/>
      <w:bookmarkEnd w:id="20"/>
      <w:bookmarkEnd w:id="21"/>
      <w:bookmarkEnd w:id="22"/>
      <w:bookmarkEnd w:id="23"/>
      <w:bookmarkEnd w:id="24"/>
      <w:bookmarkEnd w:id="25"/>
      <w:bookmarkEnd w:id="26"/>
      <w:bookmarkEnd w:id="27"/>
      <w:bookmarkStart w:id="29" w:name="_Toc112924227"/>
      <w:bookmarkStart w:id="30" w:name="_Toc112924561"/>
      <w:bookmarkStart w:id="31" w:name="_Toc210936514"/>
      <w:bookmarkStart w:id="32" w:name="_Toc112924060"/>
      <w:bookmarkStart w:id="33" w:name="_Toc112924394"/>
    </w:p>
    <w:p w14:paraId="68405328">
      <w:pPr>
        <w:keepNext/>
        <w:keepLines/>
        <w:spacing w:before="40" w:after="0" w:line="360" w:lineRule="auto"/>
        <w:jc w:val="both"/>
        <w:outlineLvl w:val="2"/>
        <w:rPr>
          <w:rFonts w:ascii="Arial Narrow" w:hAnsi="Arial Narrow" w:eastAsia="Calibri" w:cs="Times New Roman"/>
          <w:color w:val="000000"/>
          <w:sz w:val="24"/>
          <w:szCs w:val="24"/>
          <w:lang w:val="en-GB"/>
        </w:rPr>
      </w:pPr>
      <w:r>
        <w:rPr>
          <w:rFonts w:ascii="Arial Narrow" w:hAnsi="Arial Narrow" w:eastAsia="Calibri" w:cs="Times New Roman"/>
          <w:color w:val="000000"/>
          <w:sz w:val="24"/>
          <w:szCs w:val="24"/>
          <w:lang w:val="en-GB"/>
        </w:rPr>
        <w:t>Respondents' marital statuses included single, married, divorced, or widowed. According to Table 3, most (71.7%) were married. This suggests that married individuals are often seen as more responsible and mature in managing businesses and succession planning. This aligns with Oguka (2020), who found marital status was a key factor encouraging succession planning in Nigerian family firms. Similarly, Magasi (2021) noted that 78% of Tanzanian farmers preferred married successors.</w:t>
      </w:r>
      <w:bookmarkEnd w:id="29"/>
      <w:bookmarkEnd w:id="30"/>
      <w:bookmarkEnd w:id="31"/>
      <w:bookmarkEnd w:id="32"/>
      <w:bookmarkEnd w:id="33"/>
    </w:p>
    <w:p w14:paraId="06C31B8C">
      <w:pPr>
        <w:spacing w:after="0" w:line="360" w:lineRule="auto"/>
        <w:jc w:val="both"/>
        <w:rPr>
          <w:rFonts w:ascii="Arial Narrow" w:hAnsi="Arial Narrow" w:eastAsia="Calibri" w:cs="Times New Roman"/>
          <w:b/>
          <w:color w:val="000000"/>
          <w:sz w:val="24"/>
          <w:szCs w:val="24"/>
          <w:lang w:val="en-GB"/>
        </w:rPr>
      </w:pPr>
    </w:p>
    <w:p w14:paraId="06048090">
      <w:pPr>
        <w:spacing w:after="0" w:line="360" w:lineRule="auto"/>
        <w:jc w:val="both"/>
        <w:rPr>
          <w:rFonts w:ascii="Arial Narrow" w:hAnsi="Arial Narrow" w:eastAsia="Calibri" w:cs="Times New Roman"/>
          <w:color w:val="000000"/>
          <w:sz w:val="24"/>
          <w:szCs w:val="24"/>
          <w:lang w:val="en-GB"/>
        </w:rPr>
      </w:pPr>
      <w:r>
        <w:rPr>
          <w:rFonts w:ascii="Arial Narrow" w:hAnsi="Arial Narrow" w:eastAsia="Calibri" w:cs="Times New Roman"/>
          <w:color w:val="000000"/>
          <w:sz w:val="24"/>
          <w:szCs w:val="24"/>
          <w:lang w:val="en-GB"/>
        </w:rPr>
        <w:t xml:space="preserve">Findings from Table 3 reveal the participation of business owners with various education levels, but those with secondary education (46.7%) were predominant. This indicates that many family business owners have the management skills necessary for long-term planning. Taysir et al. (2021) also found that higher education and </w:t>
      </w:r>
      <w:bookmarkStart w:id="34" w:name="_Toc112329696"/>
      <w:bookmarkStart w:id="35" w:name="_Toc112330003"/>
      <w:bookmarkStart w:id="36" w:name="_Toc112924395"/>
      <w:bookmarkStart w:id="37" w:name="_Toc112924562"/>
      <w:bookmarkStart w:id="38" w:name="_Toc210936515"/>
      <w:bookmarkStart w:id="39" w:name="_Toc112924228"/>
      <w:bookmarkStart w:id="40" w:name="_Toc112329542"/>
      <w:bookmarkStart w:id="41" w:name="_Toc112325873"/>
      <w:bookmarkStart w:id="42" w:name="_Toc112329850"/>
      <w:bookmarkStart w:id="43" w:name="_Toc112924061"/>
      <w:r>
        <w:rPr>
          <w:rFonts w:ascii="Arial Narrow" w:hAnsi="Arial Narrow" w:eastAsia="Calibri" w:cs="Times New Roman"/>
          <w:color w:val="000000"/>
          <w:sz w:val="24"/>
          <w:szCs w:val="24"/>
          <w:lang w:val="en-GB"/>
        </w:rPr>
        <w:t xml:space="preserve">family business owners had positive effects on succession planning support effective succession planning among SME owners, as shown by the presence of succession plans and fewer business closures during succession. </w:t>
      </w:r>
      <w:commentRangeStart w:id="6"/>
      <w:r>
        <w:rPr>
          <w:rFonts w:ascii="Arial Narrow" w:hAnsi="Arial Narrow" w:eastAsia="Calibri" w:cs="Times New Roman"/>
          <w:color w:val="000000"/>
          <w:sz w:val="24"/>
          <w:szCs w:val="24"/>
          <w:lang w:val="en-GB"/>
        </w:rPr>
        <w:t xml:space="preserve">These findings. </w:t>
      </w:r>
      <w:commentRangeEnd w:id="6"/>
      <w:r>
        <w:commentReference w:id="6"/>
      </w:r>
      <w:r>
        <w:rPr>
          <w:rFonts w:ascii="Arial Narrow" w:hAnsi="Arial Narrow" w:eastAsia="Calibri" w:cs="Times New Roman"/>
          <w:color w:val="000000"/>
          <w:sz w:val="24"/>
          <w:szCs w:val="24"/>
          <w:lang w:val="en-GB"/>
        </w:rPr>
        <w:t xml:space="preserve"> Owners of family businesses with high levels of education frequently use succession planning.  This is demonstrated by the availability of succession plans and the low rate of business closures at succession.</w:t>
      </w:r>
    </w:p>
    <w:bookmarkEnd w:id="17"/>
    <w:bookmarkEnd w:id="28"/>
    <w:bookmarkEnd w:id="34"/>
    <w:bookmarkEnd w:id="35"/>
    <w:bookmarkEnd w:id="36"/>
    <w:bookmarkEnd w:id="37"/>
    <w:bookmarkEnd w:id="38"/>
    <w:bookmarkEnd w:id="39"/>
    <w:bookmarkEnd w:id="40"/>
    <w:bookmarkEnd w:id="41"/>
    <w:bookmarkEnd w:id="42"/>
    <w:bookmarkEnd w:id="43"/>
    <w:p w14:paraId="75C4B85A">
      <w:pPr>
        <w:spacing w:after="200" w:line="360" w:lineRule="auto"/>
        <w:jc w:val="both"/>
        <w:rPr>
          <w:rFonts w:ascii="Arial Narrow" w:hAnsi="Arial Narrow" w:eastAsia="Calibri" w:cs="Times New Roman"/>
          <w:b/>
          <w:color w:val="000000"/>
          <w:sz w:val="24"/>
          <w:szCs w:val="24"/>
          <w:lang w:val="en-GB"/>
        </w:rPr>
      </w:pPr>
    </w:p>
    <w:p w14:paraId="16E13CB3">
      <w:pPr>
        <w:spacing w:after="200" w:line="360" w:lineRule="auto"/>
        <w:jc w:val="both"/>
        <w:rPr>
          <w:rFonts w:ascii="Arial Narrow" w:hAnsi="Arial Narrow" w:eastAsia="Calibri" w:cs="Times New Roman"/>
          <w:bCs/>
          <w:color w:val="000000"/>
          <w:sz w:val="24"/>
          <w:szCs w:val="24"/>
        </w:rPr>
      </w:pPr>
      <w:r>
        <w:rPr>
          <w:rFonts w:ascii="Arial Narrow" w:hAnsi="Arial Narrow" w:eastAsia="Calibri" w:cs="Times New Roman"/>
          <w:bCs/>
          <w:color w:val="000000"/>
          <w:sz w:val="24"/>
          <w:szCs w:val="24"/>
        </w:rPr>
        <w:t>According to Table 3's findings, most respondents (65.0%) had one to five people living in their homes, while a small percentage (5.0%) had as many as eleven to fifteen.  In contrast to a family with a modest number of members, this suggests that a large family makes it difficult to manage or choose a successor for the family business, making succession planning more difficult.  This outcome is consistent with research by Barnett and David (2021), which discovered that succession planning is significantly influenced by family size, specifically the number of members in a given family.</w:t>
      </w:r>
    </w:p>
    <w:p w14:paraId="59E256FF">
      <w:pPr>
        <w:spacing w:before="240" w:line="276" w:lineRule="auto"/>
        <w:jc w:val="both"/>
        <w:rPr>
          <w:rFonts w:ascii="Arial Narrow" w:hAnsi="Arial Narrow" w:eastAsia="Times New Roman" w:cs="Times New Roman"/>
          <w:bCs/>
          <w:sz w:val="24"/>
          <w:szCs w:val="24"/>
          <w:lang w:val="en-GB"/>
        </w:rPr>
      </w:pPr>
      <w:r>
        <w:commentReference w:id="7"/>
      </w:r>
      <w:r>
        <w:rPr>
          <w:rFonts w:ascii="Arial Narrow" w:hAnsi="Arial Narrow" w:eastAsia="Times New Roman" w:cs="Times New Roman"/>
          <w:b/>
          <w:bCs/>
          <w:sz w:val="24"/>
          <w:szCs w:val="24"/>
          <w:lang w:val="en-GB"/>
        </w:rPr>
        <w:t>Social and Cultural Factors Influencing Succession Planning in Family-owned Businesses</w:t>
      </w:r>
      <w:r>
        <w:rPr>
          <w:rFonts w:ascii="Arial Narrow" w:hAnsi="Arial Narrow" w:eastAsia="Times New Roman" w:cs="Times New Roman"/>
          <w:bCs/>
          <w:sz w:val="24"/>
          <w:szCs w:val="24"/>
          <w:lang w:val="en-GB"/>
        </w:rPr>
        <w:t xml:space="preserve"> </w:t>
      </w:r>
    </w:p>
    <w:p w14:paraId="5B3068C6">
      <w:pPr>
        <w:pStyle w:val="13"/>
        <w:spacing w:line="276" w:lineRule="auto"/>
        <w:rPr>
          <w:rFonts w:ascii="Arial Narrow" w:hAnsi="Arial Narrow" w:eastAsia="Calibri"/>
          <w:b/>
          <w:bCs/>
          <w:i w:val="0"/>
          <w:color w:val="auto"/>
          <w:sz w:val="24"/>
          <w:szCs w:val="24"/>
          <w:lang w:eastAsia="en-US"/>
        </w:rPr>
      </w:pPr>
      <w:r>
        <w:commentReference w:id="8"/>
      </w:r>
      <w:r>
        <w:rPr>
          <w:rFonts w:ascii="Arial Narrow" w:hAnsi="Arial Narrow"/>
          <w:b/>
          <w:i w:val="0"/>
          <w:color w:val="auto"/>
          <w:sz w:val="24"/>
          <w:szCs w:val="24"/>
        </w:rPr>
        <w:t xml:space="preserve">Table 4: </w:t>
      </w:r>
      <w:r>
        <w:rPr>
          <w:rFonts w:ascii="Arial Narrow" w:hAnsi="Arial Narrow" w:eastAsia="Calibri"/>
          <w:b/>
          <w:bCs/>
          <w:i w:val="0"/>
          <w:color w:val="auto"/>
          <w:sz w:val="24"/>
          <w:szCs w:val="24"/>
          <w:lang w:eastAsia="en-US"/>
        </w:rPr>
        <w:t xml:space="preserve"> Sociocultural Factors Influencing Adoption of Succession Planning (n=60)</w:t>
      </w:r>
    </w:p>
    <w:tbl>
      <w:tblPr>
        <w:tblStyle w:val="12"/>
        <w:tblpPr w:leftFromText="180" w:rightFromText="180" w:bottomFromText="160" w:vertAnchor="text" w:horzAnchor="margin" w:tblpY="-49"/>
        <w:tblW w:w="9090"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6"/>
        <w:gridCol w:w="1474"/>
        <w:gridCol w:w="900"/>
        <w:gridCol w:w="810"/>
        <w:gridCol w:w="900"/>
        <w:gridCol w:w="630"/>
        <w:gridCol w:w="810"/>
        <w:gridCol w:w="1260"/>
        <w:gridCol w:w="990"/>
        <w:gridCol w:w="1080"/>
      </w:tblGrid>
      <w:tr w14:paraId="7268714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710" w:type="dxa"/>
            <w:gridSpan w:val="2"/>
            <w:vMerge w:val="restart"/>
          </w:tcPr>
          <w:p w14:paraId="6B306299">
            <w:pPr>
              <w:autoSpaceDE w:val="0"/>
              <w:autoSpaceDN w:val="0"/>
              <w:adjustRightInd w:val="0"/>
              <w:spacing w:after="0" w:line="276" w:lineRule="auto"/>
              <w:ind w:right="60"/>
              <w:rPr>
                <w:rFonts w:ascii="Arial Narrow" w:hAnsi="Arial Narrow" w:cs="Times New Roman"/>
                <w:b/>
                <w:bCs/>
                <w:color w:val="000000"/>
                <w:sz w:val="24"/>
                <w:szCs w:val="24"/>
              </w:rPr>
            </w:pPr>
            <w:bookmarkStart w:id="44" w:name="_Hlk210895659"/>
            <w:r>
              <w:rPr>
                <w:rFonts w:ascii="Arial Narrow" w:hAnsi="Arial Narrow" w:cs="Times New Roman"/>
                <w:b/>
                <w:bCs/>
                <w:color w:val="000000"/>
                <w:sz w:val="24"/>
                <w:szCs w:val="24"/>
              </w:rPr>
              <w:t>Independent variables</w:t>
            </w:r>
          </w:p>
        </w:tc>
        <w:tc>
          <w:tcPr>
            <w:tcW w:w="900" w:type="dxa"/>
            <w:vMerge w:val="restart"/>
          </w:tcPr>
          <w:p w14:paraId="3A436C49">
            <w:pPr>
              <w:autoSpaceDE w:val="0"/>
              <w:autoSpaceDN w:val="0"/>
              <w:adjustRightInd w:val="0"/>
              <w:spacing w:after="0" w:line="276" w:lineRule="auto"/>
              <w:ind w:left="60" w:right="60"/>
              <w:jc w:val="center"/>
              <w:rPr>
                <w:rFonts w:ascii="Arial Narrow" w:hAnsi="Arial Narrow" w:cs="Times New Roman"/>
                <w:b/>
                <w:bCs/>
                <w:color w:val="000000"/>
                <w:sz w:val="24"/>
                <w:szCs w:val="24"/>
              </w:rPr>
            </w:pPr>
            <w:r>
              <w:rPr>
                <w:rFonts w:ascii="Arial Narrow" w:hAnsi="Arial Narrow" w:cs="Times New Roman"/>
                <w:b/>
                <w:bCs/>
                <w:color w:val="000000"/>
                <w:sz w:val="24"/>
                <w:szCs w:val="24"/>
              </w:rPr>
              <w:t>B</w:t>
            </w:r>
          </w:p>
        </w:tc>
        <w:tc>
          <w:tcPr>
            <w:tcW w:w="810" w:type="dxa"/>
            <w:vMerge w:val="restart"/>
          </w:tcPr>
          <w:p w14:paraId="479E0B27">
            <w:pPr>
              <w:autoSpaceDE w:val="0"/>
              <w:autoSpaceDN w:val="0"/>
              <w:adjustRightInd w:val="0"/>
              <w:spacing w:after="0" w:line="276" w:lineRule="auto"/>
              <w:ind w:left="60" w:right="60"/>
              <w:jc w:val="center"/>
              <w:rPr>
                <w:rFonts w:ascii="Arial Narrow" w:hAnsi="Arial Narrow" w:cs="Times New Roman"/>
                <w:b/>
                <w:bCs/>
                <w:color w:val="000000"/>
                <w:sz w:val="24"/>
                <w:szCs w:val="24"/>
              </w:rPr>
            </w:pPr>
            <w:r>
              <w:rPr>
                <w:rFonts w:ascii="Arial Narrow" w:hAnsi="Arial Narrow" w:cs="Times New Roman"/>
                <w:b/>
                <w:bCs/>
                <w:color w:val="000000"/>
                <w:sz w:val="24"/>
                <w:szCs w:val="24"/>
              </w:rPr>
              <w:t>S.E.</w:t>
            </w:r>
          </w:p>
        </w:tc>
        <w:tc>
          <w:tcPr>
            <w:tcW w:w="900" w:type="dxa"/>
            <w:vMerge w:val="restart"/>
          </w:tcPr>
          <w:p w14:paraId="151EC0D2">
            <w:pPr>
              <w:autoSpaceDE w:val="0"/>
              <w:autoSpaceDN w:val="0"/>
              <w:adjustRightInd w:val="0"/>
              <w:spacing w:after="0" w:line="276" w:lineRule="auto"/>
              <w:ind w:left="60" w:right="60"/>
              <w:jc w:val="center"/>
              <w:rPr>
                <w:rFonts w:ascii="Arial Narrow" w:hAnsi="Arial Narrow" w:cs="Times New Roman"/>
                <w:b/>
                <w:bCs/>
                <w:color w:val="000000"/>
                <w:sz w:val="24"/>
                <w:szCs w:val="24"/>
              </w:rPr>
            </w:pPr>
            <w:r>
              <w:rPr>
                <w:rFonts w:ascii="Arial Narrow" w:hAnsi="Arial Narrow" w:cs="Times New Roman"/>
                <w:b/>
                <w:bCs/>
                <w:color w:val="000000"/>
                <w:sz w:val="24"/>
                <w:szCs w:val="24"/>
              </w:rPr>
              <w:t>Wald</w:t>
            </w:r>
          </w:p>
        </w:tc>
        <w:tc>
          <w:tcPr>
            <w:tcW w:w="630" w:type="dxa"/>
            <w:vMerge w:val="restart"/>
          </w:tcPr>
          <w:p w14:paraId="57D7F01C">
            <w:pPr>
              <w:autoSpaceDE w:val="0"/>
              <w:autoSpaceDN w:val="0"/>
              <w:adjustRightInd w:val="0"/>
              <w:spacing w:after="0" w:line="276" w:lineRule="auto"/>
              <w:ind w:left="60" w:right="60"/>
              <w:jc w:val="center"/>
              <w:rPr>
                <w:rFonts w:ascii="Arial Narrow" w:hAnsi="Arial Narrow" w:cs="Times New Roman"/>
                <w:b/>
                <w:bCs/>
                <w:color w:val="000000"/>
                <w:sz w:val="24"/>
                <w:szCs w:val="24"/>
              </w:rPr>
            </w:pPr>
            <w:r>
              <w:rPr>
                <w:rFonts w:ascii="Arial Narrow" w:hAnsi="Arial Narrow" w:cs="Times New Roman"/>
                <w:b/>
                <w:bCs/>
                <w:color w:val="000000"/>
                <w:sz w:val="24"/>
                <w:szCs w:val="24"/>
              </w:rPr>
              <w:t>df</w:t>
            </w:r>
          </w:p>
        </w:tc>
        <w:tc>
          <w:tcPr>
            <w:tcW w:w="810" w:type="dxa"/>
            <w:vMerge w:val="restart"/>
          </w:tcPr>
          <w:p w14:paraId="12234861">
            <w:pPr>
              <w:autoSpaceDE w:val="0"/>
              <w:autoSpaceDN w:val="0"/>
              <w:adjustRightInd w:val="0"/>
              <w:spacing w:after="0" w:line="276" w:lineRule="auto"/>
              <w:ind w:left="60" w:right="60"/>
              <w:jc w:val="center"/>
              <w:rPr>
                <w:rFonts w:ascii="Arial Narrow" w:hAnsi="Arial Narrow" w:cs="Times New Roman"/>
                <w:b/>
                <w:bCs/>
                <w:color w:val="000000"/>
                <w:sz w:val="24"/>
                <w:szCs w:val="24"/>
              </w:rPr>
            </w:pPr>
            <w:r>
              <w:rPr>
                <w:rFonts w:ascii="Arial Narrow" w:hAnsi="Arial Narrow" w:cs="Times New Roman"/>
                <w:b/>
                <w:bCs/>
                <w:color w:val="000000"/>
                <w:sz w:val="24"/>
                <w:szCs w:val="24"/>
              </w:rPr>
              <w:t>Sig.</w:t>
            </w:r>
          </w:p>
        </w:tc>
        <w:tc>
          <w:tcPr>
            <w:tcW w:w="1260" w:type="dxa"/>
            <w:vMerge w:val="restart"/>
          </w:tcPr>
          <w:p w14:paraId="6E9C5B6C">
            <w:pPr>
              <w:autoSpaceDE w:val="0"/>
              <w:autoSpaceDN w:val="0"/>
              <w:adjustRightInd w:val="0"/>
              <w:spacing w:after="0" w:line="276" w:lineRule="auto"/>
              <w:ind w:right="60"/>
              <w:rPr>
                <w:rFonts w:ascii="Arial Narrow" w:hAnsi="Arial Narrow" w:cs="Times New Roman"/>
                <w:b/>
                <w:bCs/>
                <w:color w:val="000000"/>
                <w:sz w:val="24"/>
                <w:szCs w:val="24"/>
              </w:rPr>
            </w:pPr>
            <w:r>
              <w:rPr>
                <w:rFonts w:ascii="Arial Narrow" w:hAnsi="Arial Narrow" w:cs="Times New Roman"/>
                <w:b/>
                <w:bCs/>
                <w:color w:val="000000"/>
                <w:sz w:val="24"/>
                <w:szCs w:val="24"/>
              </w:rPr>
              <w:t>Exp (B)</w:t>
            </w:r>
          </w:p>
        </w:tc>
        <w:tc>
          <w:tcPr>
            <w:tcW w:w="2070" w:type="dxa"/>
            <w:gridSpan w:val="2"/>
            <w:tcBorders>
              <w:bottom w:val="single" w:color="auto" w:sz="4" w:space="0"/>
            </w:tcBorders>
          </w:tcPr>
          <w:p w14:paraId="7F6C222F">
            <w:pPr>
              <w:autoSpaceDE w:val="0"/>
              <w:autoSpaceDN w:val="0"/>
              <w:adjustRightInd w:val="0"/>
              <w:spacing w:after="0" w:line="276" w:lineRule="auto"/>
              <w:ind w:left="60" w:right="60"/>
              <w:jc w:val="center"/>
              <w:rPr>
                <w:rFonts w:ascii="Arial Narrow" w:hAnsi="Arial Narrow" w:cs="Times New Roman"/>
                <w:b/>
                <w:bCs/>
                <w:color w:val="000000"/>
                <w:sz w:val="24"/>
                <w:szCs w:val="24"/>
              </w:rPr>
            </w:pPr>
            <w:r>
              <w:rPr>
                <w:rFonts w:ascii="Arial Narrow" w:hAnsi="Arial Narrow" w:cs="Times New Roman"/>
                <w:b/>
                <w:bCs/>
                <w:color w:val="000000"/>
                <w:sz w:val="24"/>
                <w:szCs w:val="24"/>
              </w:rPr>
              <w:t>95% C.I. for Exp(B)</w:t>
            </w:r>
          </w:p>
        </w:tc>
      </w:tr>
      <w:tr w14:paraId="4975D01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710" w:type="dxa"/>
            <w:gridSpan w:val="2"/>
            <w:vMerge w:val="continue"/>
            <w:tcBorders>
              <w:bottom w:val="single" w:color="auto" w:sz="4" w:space="0"/>
            </w:tcBorders>
          </w:tcPr>
          <w:p w14:paraId="2BCE11D9">
            <w:pPr>
              <w:spacing w:after="0" w:line="276" w:lineRule="auto"/>
              <w:rPr>
                <w:rFonts w:ascii="Arial Narrow" w:hAnsi="Arial Narrow" w:cs="Times New Roman"/>
                <w:b/>
                <w:bCs/>
                <w:color w:val="000000"/>
                <w:sz w:val="24"/>
                <w:szCs w:val="24"/>
              </w:rPr>
            </w:pPr>
          </w:p>
        </w:tc>
        <w:tc>
          <w:tcPr>
            <w:tcW w:w="900" w:type="dxa"/>
            <w:vMerge w:val="continue"/>
            <w:tcBorders>
              <w:bottom w:val="single" w:color="auto" w:sz="4" w:space="0"/>
            </w:tcBorders>
          </w:tcPr>
          <w:p w14:paraId="1B8F8B13">
            <w:pPr>
              <w:spacing w:after="0" w:line="276" w:lineRule="auto"/>
              <w:rPr>
                <w:rFonts w:ascii="Arial Narrow" w:hAnsi="Arial Narrow" w:cs="Times New Roman"/>
                <w:b/>
                <w:bCs/>
                <w:color w:val="000000"/>
                <w:sz w:val="24"/>
                <w:szCs w:val="24"/>
              </w:rPr>
            </w:pPr>
          </w:p>
        </w:tc>
        <w:tc>
          <w:tcPr>
            <w:tcW w:w="810" w:type="dxa"/>
            <w:vMerge w:val="continue"/>
            <w:tcBorders>
              <w:bottom w:val="single" w:color="auto" w:sz="4" w:space="0"/>
            </w:tcBorders>
          </w:tcPr>
          <w:p w14:paraId="6CD71830">
            <w:pPr>
              <w:spacing w:after="0" w:line="276" w:lineRule="auto"/>
              <w:rPr>
                <w:rFonts w:ascii="Arial Narrow" w:hAnsi="Arial Narrow" w:cs="Times New Roman"/>
                <w:b/>
                <w:bCs/>
                <w:color w:val="000000"/>
                <w:sz w:val="24"/>
                <w:szCs w:val="24"/>
              </w:rPr>
            </w:pPr>
          </w:p>
        </w:tc>
        <w:tc>
          <w:tcPr>
            <w:tcW w:w="900" w:type="dxa"/>
            <w:vMerge w:val="continue"/>
            <w:tcBorders>
              <w:bottom w:val="single" w:color="auto" w:sz="4" w:space="0"/>
            </w:tcBorders>
          </w:tcPr>
          <w:p w14:paraId="12C7E3CC">
            <w:pPr>
              <w:spacing w:after="0" w:line="276" w:lineRule="auto"/>
              <w:rPr>
                <w:rFonts w:ascii="Arial Narrow" w:hAnsi="Arial Narrow" w:cs="Times New Roman"/>
                <w:b/>
                <w:bCs/>
                <w:color w:val="000000"/>
                <w:sz w:val="24"/>
                <w:szCs w:val="24"/>
              </w:rPr>
            </w:pPr>
          </w:p>
        </w:tc>
        <w:tc>
          <w:tcPr>
            <w:tcW w:w="630" w:type="dxa"/>
            <w:vMerge w:val="continue"/>
            <w:tcBorders>
              <w:bottom w:val="single" w:color="auto" w:sz="4" w:space="0"/>
            </w:tcBorders>
          </w:tcPr>
          <w:p w14:paraId="197AD46A">
            <w:pPr>
              <w:spacing w:after="0" w:line="276" w:lineRule="auto"/>
              <w:rPr>
                <w:rFonts w:ascii="Arial Narrow" w:hAnsi="Arial Narrow" w:cs="Times New Roman"/>
                <w:b/>
                <w:bCs/>
                <w:color w:val="000000"/>
                <w:sz w:val="24"/>
                <w:szCs w:val="24"/>
              </w:rPr>
            </w:pPr>
          </w:p>
        </w:tc>
        <w:tc>
          <w:tcPr>
            <w:tcW w:w="810" w:type="dxa"/>
            <w:vMerge w:val="continue"/>
            <w:tcBorders>
              <w:bottom w:val="single" w:color="auto" w:sz="4" w:space="0"/>
            </w:tcBorders>
          </w:tcPr>
          <w:p w14:paraId="1833AF0B">
            <w:pPr>
              <w:spacing w:after="0" w:line="276" w:lineRule="auto"/>
              <w:rPr>
                <w:rFonts w:ascii="Arial Narrow" w:hAnsi="Arial Narrow" w:cs="Times New Roman"/>
                <w:b/>
                <w:bCs/>
                <w:color w:val="000000"/>
                <w:sz w:val="24"/>
                <w:szCs w:val="24"/>
              </w:rPr>
            </w:pPr>
          </w:p>
        </w:tc>
        <w:tc>
          <w:tcPr>
            <w:tcW w:w="1260" w:type="dxa"/>
            <w:vMerge w:val="continue"/>
            <w:tcBorders>
              <w:bottom w:val="single" w:color="auto" w:sz="4" w:space="0"/>
            </w:tcBorders>
          </w:tcPr>
          <w:p w14:paraId="11CEE5E2">
            <w:pPr>
              <w:spacing w:after="0" w:line="276" w:lineRule="auto"/>
              <w:rPr>
                <w:rFonts w:ascii="Arial Narrow" w:hAnsi="Arial Narrow" w:cs="Times New Roman"/>
                <w:b/>
                <w:bCs/>
                <w:color w:val="000000"/>
                <w:sz w:val="24"/>
                <w:szCs w:val="24"/>
              </w:rPr>
            </w:pPr>
          </w:p>
        </w:tc>
        <w:tc>
          <w:tcPr>
            <w:tcW w:w="990" w:type="dxa"/>
            <w:tcBorders>
              <w:top w:val="single" w:color="auto" w:sz="4" w:space="0"/>
              <w:bottom w:val="single" w:color="auto" w:sz="4" w:space="0"/>
            </w:tcBorders>
          </w:tcPr>
          <w:p w14:paraId="4955BB02">
            <w:pPr>
              <w:autoSpaceDE w:val="0"/>
              <w:autoSpaceDN w:val="0"/>
              <w:adjustRightInd w:val="0"/>
              <w:spacing w:after="0" w:line="276" w:lineRule="auto"/>
              <w:ind w:left="60" w:right="60"/>
              <w:jc w:val="center"/>
              <w:rPr>
                <w:rFonts w:ascii="Arial Narrow" w:hAnsi="Arial Narrow" w:cs="Times New Roman"/>
                <w:b/>
                <w:bCs/>
                <w:color w:val="000000"/>
                <w:sz w:val="24"/>
                <w:szCs w:val="24"/>
              </w:rPr>
            </w:pPr>
            <w:r>
              <w:rPr>
                <w:rFonts w:ascii="Arial Narrow" w:hAnsi="Arial Narrow" w:cs="Times New Roman"/>
                <w:b/>
                <w:bCs/>
                <w:color w:val="000000"/>
                <w:sz w:val="24"/>
                <w:szCs w:val="24"/>
              </w:rPr>
              <w:t>Lower</w:t>
            </w:r>
          </w:p>
        </w:tc>
        <w:tc>
          <w:tcPr>
            <w:tcW w:w="1080" w:type="dxa"/>
            <w:tcBorders>
              <w:top w:val="single" w:color="auto" w:sz="4" w:space="0"/>
              <w:bottom w:val="single" w:color="auto" w:sz="4" w:space="0"/>
            </w:tcBorders>
          </w:tcPr>
          <w:p w14:paraId="78F4267F">
            <w:pPr>
              <w:autoSpaceDE w:val="0"/>
              <w:autoSpaceDN w:val="0"/>
              <w:adjustRightInd w:val="0"/>
              <w:spacing w:after="0" w:line="276" w:lineRule="auto"/>
              <w:ind w:left="60" w:right="60"/>
              <w:jc w:val="center"/>
              <w:rPr>
                <w:rFonts w:ascii="Arial Narrow" w:hAnsi="Arial Narrow" w:cs="Times New Roman"/>
                <w:b/>
                <w:bCs/>
                <w:color w:val="000000"/>
                <w:sz w:val="24"/>
                <w:szCs w:val="24"/>
              </w:rPr>
            </w:pPr>
            <w:r>
              <w:rPr>
                <w:rFonts w:ascii="Arial Narrow" w:hAnsi="Arial Narrow" w:cs="Times New Roman"/>
                <w:b/>
                <w:bCs/>
                <w:color w:val="000000"/>
                <w:sz w:val="24"/>
                <w:szCs w:val="24"/>
              </w:rPr>
              <w:t>Upper</w:t>
            </w:r>
          </w:p>
        </w:tc>
      </w:tr>
      <w:tr w14:paraId="6B9DF7D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236" w:type="dxa"/>
            <w:vMerge w:val="restart"/>
          </w:tcPr>
          <w:p w14:paraId="47BE0403">
            <w:pPr>
              <w:autoSpaceDE w:val="0"/>
              <w:autoSpaceDN w:val="0"/>
              <w:adjustRightInd w:val="0"/>
              <w:spacing w:after="0" w:line="276" w:lineRule="auto"/>
              <w:ind w:right="60"/>
              <w:rPr>
                <w:rFonts w:ascii="Arial Narrow" w:hAnsi="Arial Narrow" w:cs="Times New Roman"/>
                <w:color w:val="000000"/>
                <w:sz w:val="24"/>
                <w:szCs w:val="24"/>
              </w:rPr>
            </w:pPr>
          </w:p>
        </w:tc>
        <w:tc>
          <w:tcPr>
            <w:tcW w:w="1474" w:type="dxa"/>
          </w:tcPr>
          <w:p w14:paraId="5FACBD41">
            <w:pPr>
              <w:autoSpaceDE w:val="0"/>
              <w:autoSpaceDN w:val="0"/>
              <w:adjustRightInd w:val="0"/>
              <w:spacing w:after="0" w:line="276" w:lineRule="auto"/>
              <w:ind w:left="60" w:right="60"/>
              <w:rPr>
                <w:rFonts w:ascii="Arial Narrow" w:hAnsi="Arial Narrow" w:cs="Times New Roman"/>
                <w:color w:val="000000"/>
                <w:sz w:val="24"/>
                <w:szCs w:val="24"/>
              </w:rPr>
            </w:pPr>
            <w:r>
              <w:rPr>
                <w:rFonts w:ascii="Arial Narrow" w:hAnsi="Arial Narrow" w:cs="Times New Roman"/>
                <w:color w:val="000000"/>
                <w:sz w:val="24"/>
                <w:szCs w:val="24"/>
              </w:rPr>
              <w:t>Sex</w:t>
            </w:r>
          </w:p>
        </w:tc>
        <w:tc>
          <w:tcPr>
            <w:tcW w:w="900" w:type="dxa"/>
          </w:tcPr>
          <w:p w14:paraId="00E56279">
            <w:pPr>
              <w:autoSpaceDE w:val="0"/>
              <w:autoSpaceDN w:val="0"/>
              <w:adjustRightInd w:val="0"/>
              <w:spacing w:after="0" w:line="276" w:lineRule="auto"/>
              <w:ind w:left="60" w:right="60"/>
              <w:jc w:val="right"/>
              <w:rPr>
                <w:rFonts w:ascii="Arial Narrow" w:hAnsi="Arial Narrow" w:cs="Times New Roman"/>
                <w:color w:val="000000"/>
                <w:sz w:val="24"/>
                <w:szCs w:val="24"/>
              </w:rPr>
            </w:pPr>
            <w:r>
              <w:rPr>
                <w:rFonts w:ascii="Arial Narrow" w:hAnsi="Arial Narrow" w:cs="Times New Roman"/>
                <w:color w:val="000000"/>
                <w:sz w:val="24"/>
                <w:szCs w:val="24"/>
              </w:rPr>
              <w:t>1.808</w:t>
            </w:r>
          </w:p>
        </w:tc>
        <w:tc>
          <w:tcPr>
            <w:tcW w:w="810" w:type="dxa"/>
          </w:tcPr>
          <w:p w14:paraId="7AFF7918">
            <w:pPr>
              <w:autoSpaceDE w:val="0"/>
              <w:autoSpaceDN w:val="0"/>
              <w:adjustRightInd w:val="0"/>
              <w:spacing w:after="0" w:line="276" w:lineRule="auto"/>
              <w:ind w:left="60" w:right="60"/>
              <w:jc w:val="right"/>
              <w:rPr>
                <w:rFonts w:ascii="Arial Narrow" w:hAnsi="Arial Narrow" w:cs="Times New Roman"/>
                <w:color w:val="000000"/>
                <w:sz w:val="24"/>
                <w:szCs w:val="24"/>
              </w:rPr>
            </w:pPr>
            <w:r>
              <w:rPr>
                <w:rFonts w:ascii="Arial Narrow" w:hAnsi="Arial Narrow" w:cs="Times New Roman"/>
                <w:color w:val="000000"/>
                <w:sz w:val="24"/>
                <w:szCs w:val="24"/>
              </w:rPr>
              <w:t>.805</w:t>
            </w:r>
          </w:p>
        </w:tc>
        <w:tc>
          <w:tcPr>
            <w:tcW w:w="900" w:type="dxa"/>
          </w:tcPr>
          <w:p w14:paraId="35D59651">
            <w:pPr>
              <w:autoSpaceDE w:val="0"/>
              <w:autoSpaceDN w:val="0"/>
              <w:adjustRightInd w:val="0"/>
              <w:spacing w:after="0" w:line="276" w:lineRule="auto"/>
              <w:ind w:left="60" w:right="60"/>
              <w:jc w:val="right"/>
              <w:rPr>
                <w:rFonts w:ascii="Arial Narrow" w:hAnsi="Arial Narrow" w:cs="Times New Roman"/>
                <w:color w:val="000000"/>
                <w:sz w:val="24"/>
                <w:szCs w:val="24"/>
              </w:rPr>
            </w:pPr>
            <w:r>
              <w:rPr>
                <w:rFonts w:ascii="Arial Narrow" w:hAnsi="Arial Narrow" w:cs="Times New Roman"/>
                <w:color w:val="000000"/>
                <w:sz w:val="24"/>
                <w:szCs w:val="24"/>
              </w:rPr>
              <w:t>5.043</w:t>
            </w:r>
          </w:p>
        </w:tc>
        <w:tc>
          <w:tcPr>
            <w:tcW w:w="630" w:type="dxa"/>
          </w:tcPr>
          <w:p w14:paraId="5DF46589">
            <w:pPr>
              <w:autoSpaceDE w:val="0"/>
              <w:autoSpaceDN w:val="0"/>
              <w:adjustRightInd w:val="0"/>
              <w:spacing w:after="0" w:line="276" w:lineRule="auto"/>
              <w:ind w:left="60" w:right="60"/>
              <w:jc w:val="right"/>
              <w:rPr>
                <w:rFonts w:ascii="Arial Narrow" w:hAnsi="Arial Narrow" w:cs="Times New Roman"/>
                <w:color w:val="000000"/>
                <w:sz w:val="24"/>
                <w:szCs w:val="24"/>
              </w:rPr>
            </w:pPr>
            <w:r>
              <w:rPr>
                <w:rFonts w:ascii="Arial Narrow" w:hAnsi="Arial Narrow" w:cs="Times New Roman"/>
                <w:color w:val="000000"/>
                <w:sz w:val="24"/>
                <w:szCs w:val="24"/>
              </w:rPr>
              <w:t>1</w:t>
            </w:r>
          </w:p>
        </w:tc>
        <w:tc>
          <w:tcPr>
            <w:tcW w:w="810" w:type="dxa"/>
          </w:tcPr>
          <w:p w14:paraId="03E816E2">
            <w:pPr>
              <w:autoSpaceDE w:val="0"/>
              <w:autoSpaceDN w:val="0"/>
              <w:adjustRightInd w:val="0"/>
              <w:spacing w:after="0" w:line="276" w:lineRule="auto"/>
              <w:ind w:left="60" w:right="60"/>
              <w:jc w:val="right"/>
              <w:rPr>
                <w:rFonts w:ascii="Arial Narrow" w:hAnsi="Arial Narrow" w:cs="Times New Roman"/>
                <w:color w:val="000000"/>
                <w:sz w:val="24"/>
                <w:szCs w:val="24"/>
              </w:rPr>
            </w:pPr>
            <w:r>
              <w:rPr>
                <w:rFonts w:ascii="Arial Narrow" w:hAnsi="Arial Narrow" w:cs="Times New Roman"/>
                <w:color w:val="000000"/>
                <w:sz w:val="24"/>
                <w:szCs w:val="24"/>
              </w:rPr>
              <w:t>.025</w:t>
            </w:r>
          </w:p>
        </w:tc>
        <w:tc>
          <w:tcPr>
            <w:tcW w:w="1260" w:type="dxa"/>
          </w:tcPr>
          <w:p w14:paraId="79C294F8">
            <w:pPr>
              <w:autoSpaceDE w:val="0"/>
              <w:autoSpaceDN w:val="0"/>
              <w:adjustRightInd w:val="0"/>
              <w:spacing w:after="0" w:line="276" w:lineRule="auto"/>
              <w:ind w:left="60" w:right="60"/>
              <w:jc w:val="right"/>
              <w:rPr>
                <w:rFonts w:ascii="Arial Narrow" w:hAnsi="Arial Narrow" w:cs="Times New Roman"/>
                <w:color w:val="000000"/>
                <w:sz w:val="24"/>
                <w:szCs w:val="24"/>
              </w:rPr>
            </w:pPr>
            <w:r>
              <w:rPr>
                <w:rFonts w:ascii="Arial Narrow" w:hAnsi="Arial Narrow" w:cs="Times New Roman"/>
                <w:color w:val="000000"/>
                <w:sz w:val="24"/>
                <w:szCs w:val="24"/>
              </w:rPr>
              <w:t>6.101</w:t>
            </w:r>
          </w:p>
        </w:tc>
        <w:tc>
          <w:tcPr>
            <w:tcW w:w="990" w:type="dxa"/>
          </w:tcPr>
          <w:p w14:paraId="38D9E920">
            <w:pPr>
              <w:autoSpaceDE w:val="0"/>
              <w:autoSpaceDN w:val="0"/>
              <w:adjustRightInd w:val="0"/>
              <w:spacing w:after="0" w:line="276" w:lineRule="auto"/>
              <w:ind w:left="60" w:right="60"/>
              <w:jc w:val="right"/>
              <w:rPr>
                <w:rFonts w:ascii="Arial Narrow" w:hAnsi="Arial Narrow" w:cs="Times New Roman"/>
                <w:color w:val="000000"/>
                <w:sz w:val="24"/>
                <w:szCs w:val="24"/>
              </w:rPr>
            </w:pPr>
            <w:r>
              <w:rPr>
                <w:rFonts w:ascii="Arial Narrow" w:hAnsi="Arial Narrow" w:cs="Times New Roman"/>
                <w:color w:val="000000"/>
                <w:sz w:val="24"/>
                <w:szCs w:val="24"/>
              </w:rPr>
              <w:t>1.259</w:t>
            </w:r>
          </w:p>
        </w:tc>
        <w:tc>
          <w:tcPr>
            <w:tcW w:w="1080" w:type="dxa"/>
          </w:tcPr>
          <w:p w14:paraId="1AD1545B">
            <w:pPr>
              <w:autoSpaceDE w:val="0"/>
              <w:autoSpaceDN w:val="0"/>
              <w:adjustRightInd w:val="0"/>
              <w:spacing w:after="0" w:line="276" w:lineRule="auto"/>
              <w:ind w:left="60" w:right="60"/>
              <w:jc w:val="right"/>
              <w:rPr>
                <w:rFonts w:ascii="Arial Narrow" w:hAnsi="Arial Narrow" w:cs="Times New Roman"/>
                <w:color w:val="000000"/>
                <w:sz w:val="24"/>
                <w:szCs w:val="24"/>
              </w:rPr>
            </w:pPr>
            <w:r>
              <w:rPr>
                <w:rFonts w:ascii="Arial Narrow" w:hAnsi="Arial Narrow" w:cs="Times New Roman"/>
                <w:color w:val="000000"/>
                <w:sz w:val="24"/>
                <w:szCs w:val="24"/>
              </w:rPr>
              <w:t>29.570</w:t>
            </w:r>
          </w:p>
        </w:tc>
      </w:tr>
      <w:tr w14:paraId="7B2E497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6" w:type="dxa"/>
            <w:vMerge w:val="continue"/>
          </w:tcPr>
          <w:p w14:paraId="263978E0">
            <w:pPr>
              <w:spacing w:after="0" w:line="276" w:lineRule="auto"/>
              <w:rPr>
                <w:rFonts w:ascii="Arial Narrow" w:hAnsi="Arial Narrow" w:cs="Times New Roman"/>
                <w:color w:val="000000"/>
                <w:sz w:val="24"/>
                <w:szCs w:val="24"/>
              </w:rPr>
            </w:pPr>
          </w:p>
        </w:tc>
        <w:tc>
          <w:tcPr>
            <w:tcW w:w="1474" w:type="dxa"/>
          </w:tcPr>
          <w:p w14:paraId="05DF02C5">
            <w:pPr>
              <w:autoSpaceDE w:val="0"/>
              <w:autoSpaceDN w:val="0"/>
              <w:adjustRightInd w:val="0"/>
              <w:spacing w:after="0" w:line="276" w:lineRule="auto"/>
              <w:ind w:left="60" w:right="60"/>
              <w:rPr>
                <w:rFonts w:ascii="Arial Narrow" w:hAnsi="Arial Narrow" w:cs="Times New Roman"/>
                <w:color w:val="000000"/>
                <w:sz w:val="24"/>
                <w:szCs w:val="24"/>
              </w:rPr>
            </w:pPr>
            <w:r>
              <w:rPr>
                <w:rFonts w:ascii="Arial Narrow" w:hAnsi="Arial Narrow" w:cs="Times New Roman"/>
                <w:color w:val="000000"/>
                <w:sz w:val="24"/>
                <w:szCs w:val="24"/>
              </w:rPr>
              <w:t>Age</w:t>
            </w:r>
          </w:p>
        </w:tc>
        <w:tc>
          <w:tcPr>
            <w:tcW w:w="900" w:type="dxa"/>
          </w:tcPr>
          <w:p w14:paraId="5779E76D">
            <w:pPr>
              <w:autoSpaceDE w:val="0"/>
              <w:autoSpaceDN w:val="0"/>
              <w:adjustRightInd w:val="0"/>
              <w:spacing w:after="0" w:line="276" w:lineRule="auto"/>
              <w:ind w:left="60" w:right="60"/>
              <w:jc w:val="right"/>
              <w:rPr>
                <w:rFonts w:ascii="Arial Narrow" w:hAnsi="Arial Narrow" w:cs="Times New Roman"/>
                <w:color w:val="000000"/>
                <w:sz w:val="24"/>
                <w:szCs w:val="24"/>
              </w:rPr>
            </w:pPr>
            <w:r>
              <w:rPr>
                <w:rFonts w:ascii="Arial Narrow" w:hAnsi="Arial Narrow" w:cs="Times New Roman"/>
                <w:color w:val="000000"/>
                <w:sz w:val="24"/>
                <w:szCs w:val="24"/>
              </w:rPr>
              <w:t>-.120</w:t>
            </w:r>
          </w:p>
        </w:tc>
        <w:tc>
          <w:tcPr>
            <w:tcW w:w="810" w:type="dxa"/>
          </w:tcPr>
          <w:p w14:paraId="7AB032B6">
            <w:pPr>
              <w:autoSpaceDE w:val="0"/>
              <w:autoSpaceDN w:val="0"/>
              <w:adjustRightInd w:val="0"/>
              <w:spacing w:after="0" w:line="276" w:lineRule="auto"/>
              <w:ind w:left="60" w:right="60"/>
              <w:jc w:val="right"/>
              <w:rPr>
                <w:rFonts w:ascii="Arial Narrow" w:hAnsi="Arial Narrow" w:cs="Times New Roman"/>
                <w:color w:val="000000"/>
                <w:sz w:val="24"/>
                <w:szCs w:val="24"/>
              </w:rPr>
            </w:pPr>
            <w:r>
              <w:rPr>
                <w:rFonts w:ascii="Arial Narrow" w:hAnsi="Arial Narrow" w:cs="Times New Roman"/>
                <w:color w:val="000000"/>
                <w:sz w:val="24"/>
                <w:szCs w:val="24"/>
              </w:rPr>
              <w:t>.054</w:t>
            </w:r>
          </w:p>
        </w:tc>
        <w:tc>
          <w:tcPr>
            <w:tcW w:w="900" w:type="dxa"/>
          </w:tcPr>
          <w:p w14:paraId="54966275">
            <w:pPr>
              <w:autoSpaceDE w:val="0"/>
              <w:autoSpaceDN w:val="0"/>
              <w:adjustRightInd w:val="0"/>
              <w:spacing w:after="0" w:line="276" w:lineRule="auto"/>
              <w:ind w:left="60" w:right="60"/>
              <w:jc w:val="right"/>
              <w:rPr>
                <w:rFonts w:ascii="Arial Narrow" w:hAnsi="Arial Narrow" w:cs="Times New Roman"/>
                <w:color w:val="000000"/>
                <w:sz w:val="24"/>
                <w:szCs w:val="24"/>
              </w:rPr>
            </w:pPr>
            <w:r>
              <w:rPr>
                <w:rFonts w:ascii="Arial Narrow" w:hAnsi="Arial Narrow" w:cs="Times New Roman"/>
                <w:color w:val="000000"/>
                <w:sz w:val="24"/>
                <w:szCs w:val="24"/>
              </w:rPr>
              <w:t>4.945</w:t>
            </w:r>
          </w:p>
        </w:tc>
        <w:tc>
          <w:tcPr>
            <w:tcW w:w="630" w:type="dxa"/>
          </w:tcPr>
          <w:p w14:paraId="284C038A">
            <w:pPr>
              <w:autoSpaceDE w:val="0"/>
              <w:autoSpaceDN w:val="0"/>
              <w:adjustRightInd w:val="0"/>
              <w:spacing w:after="0" w:line="276" w:lineRule="auto"/>
              <w:ind w:left="60" w:right="60"/>
              <w:jc w:val="right"/>
              <w:rPr>
                <w:rFonts w:ascii="Arial Narrow" w:hAnsi="Arial Narrow" w:cs="Times New Roman"/>
                <w:color w:val="000000"/>
                <w:sz w:val="24"/>
                <w:szCs w:val="24"/>
              </w:rPr>
            </w:pPr>
            <w:r>
              <w:rPr>
                <w:rFonts w:ascii="Arial Narrow" w:hAnsi="Arial Narrow" w:cs="Times New Roman"/>
                <w:color w:val="000000"/>
                <w:sz w:val="24"/>
                <w:szCs w:val="24"/>
              </w:rPr>
              <w:t>1</w:t>
            </w:r>
          </w:p>
        </w:tc>
        <w:tc>
          <w:tcPr>
            <w:tcW w:w="810" w:type="dxa"/>
          </w:tcPr>
          <w:p w14:paraId="0730813B">
            <w:pPr>
              <w:autoSpaceDE w:val="0"/>
              <w:autoSpaceDN w:val="0"/>
              <w:adjustRightInd w:val="0"/>
              <w:spacing w:after="0" w:line="276" w:lineRule="auto"/>
              <w:ind w:left="60" w:right="60"/>
              <w:jc w:val="right"/>
              <w:rPr>
                <w:rFonts w:ascii="Arial Narrow" w:hAnsi="Arial Narrow" w:cs="Times New Roman"/>
                <w:color w:val="000000"/>
                <w:sz w:val="24"/>
                <w:szCs w:val="24"/>
              </w:rPr>
            </w:pPr>
            <w:r>
              <w:rPr>
                <w:rFonts w:ascii="Arial Narrow" w:hAnsi="Arial Narrow" w:cs="Times New Roman"/>
                <w:color w:val="000000"/>
                <w:sz w:val="24"/>
                <w:szCs w:val="24"/>
              </w:rPr>
              <w:t>.026</w:t>
            </w:r>
          </w:p>
        </w:tc>
        <w:tc>
          <w:tcPr>
            <w:tcW w:w="1260" w:type="dxa"/>
          </w:tcPr>
          <w:p w14:paraId="6ADA5B78">
            <w:pPr>
              <w:autoSpaceDE w:val="0"/>
              <w:autoSpaceDN w:val="0"/>
              <w:adjustRightInd w:val="0"/>
              <w:spacing w:after="0" w:line="276" w:lineRule="auto"/>
              <w:ind w:left="60" w:right="60"/>
              <w:jc w:val="right"/>
              <w:rPr>
                <w:rFonts w:ascii="Arial Narrow" w:hAnsi="Arial Narrow" w:cs="Times New Roman"/>
                <w:color w:val="000000"/>
                <w:sz w:val="24"/>
                <w:szCs w:val="24"/>
              </w:rPr>
            </w:pPr>
            <w:r>
              <w:rPr>
                <w:rFonts w:ascii="Arial Narrow" w:hAnsi="Arial Narrow" w:cs="Times New Roman"/>
                <w:color w:val="000000"/>
                <w:sz w:val="24"/>
                <w:szCs w:val="24"/>
              </w:rPr>
              <w:t>.887</w:t>
            </w:r>
          </w:p>
        </w:tc>
        <w:tc>
          <w:tcPr>
            <w:tcW w:w="990" w:type="dxa"/>
          </w:tcPr>
          <w:p w14:paraId="55F3FCC9">
            <w:pPr>
              <w:autoSpaceDE w:val="0"/>
              <w:autoSpaceDN w:val="0"/>
              <w:adjustRightInd w:val="0"/>
              <w:spacing w:after="0" w:line="276" w:lineRule="auto"/>
              <w:ind w:left="60" w:right="60"/>
              <w:jc w:val="right"/>
              <w:rPr>
                <w:rFonts w:ascii="Arial Narrow" w:hAnsi="Arial Narrow" w:cs="Times New Roman"/>
                <w:color w:val="000000"/>
                <w:sz w:val="24"/>
                <w:szCs w:val="24"/>
              </w:rPr>
            </w:pPr>
            <w:r>
              <w:rPr>
                <w:rFonts w:ascii="Arial Narrow" w:hAnsi="Arial Narrow" w:cs="Times New Roman"/>
                <w:color w:val="000000"/>
                <w:sz w:val="24"/>
                <w:szCs w:val="24"/>
              </w:rPr>
              <w:t>.798</w:t>
            </w:r>
          </w:p>
        </w:tc>
        <w:tc>
          <w:tcPr>
            <w:tcW w:w="1080" w:type="dxa"/>
          </w:tcPr>
          <w:p w14:paraId="0C357DF8">
            <w:pPr>
              <w:autoSpaceDE w:val="0"/>
              <w:autoSpaceDN w:val="0"/>
              <w:adjustRightInd w:val="0"/>
              <w:spacing w:after="0" w:line="276" w:lineRule="auto"/>
              <w:ind w:left="60" w:right="60"/>
              <w:jc w:val="right"/>
              <w:rPr>
                <w:rFonts w:ascii="Arial Narrow" w:hAnsi="Arial Narrow" w:cs="Times New Roman"/>
                <w:color w:val="000000"/>
                <w:sz w:val="24"/>
                <w:szCs w:val="24"/>
              </w:rPr>
            </w:pPr>
            <w:r>
              <w:rPr>
                <w:rFonts w:ascii="Arial Narrow" w:hAnsi="Arial Narrow" w:cs="Times New Roman"/>
                <w:color w:val="000000"/>
                <w:sz w:val="24"/>
                <w:szCs w:val="24"/>
              </w:rPr>
              <w:t>.986</w:t>
            </w:r>
          </w:p>
        </w:tc>
      </w:tr>
      <w:tr w14:paraId="65C083D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36" w:type="dxa"/>
            <w:vMerge w:val="continue"/>
          </w:tcPr>
          <w:p w14:paraId="39C63BAB">
            <w:pPr>
              <w:spacing w:after="0" w:line="276" w:lineRule="auto"/>
              <w:rPr>
                <w:rFonts w:ascii="Arial Narrow" w:hAnsi="Arial Narrow" w:cs="Times New Roman"/>
                <w:color w:val="000000"/>
                <w:sz w:val="24"/>
                <w:szCs w:val="24"/>
              </w:rPr>
            </w:pPr>
          </w:p>
        </w:tc>
        <w:tc>
          <w:tcPr>
            <w:tcW w:w="1474" w:type="dxa"/>
          </w:tcPr>
          <w:p w14:paraId="04EBE152">
            <w:pPr>
              <w:autoSpaceDE w:val="0"/>
              <w:autoSpaceDN w:val="0"/>
              <w:adjustRightInd w:val="0"/>
              <w:spacing w:after="0" w:line="276" w:lineRule="auto"/>
              <w:ind w:left="60" w:right="60"/>
              <w:rPr>
                <w:rFonts w:ascii="Arial Narrow" w:hAnsi="Arial Narrow" w:cs="Times New Roman"/>
                <w:color w:val="000000"/>
                <w:sz w:val="24"/>
                <w:szCs w:val="24"/>
              </w:rPr>
            </w:pPr>
            <w:r>
              <w:rPr>
                <w:rFonts w:ascii="Arial Narrow" w:hAnsi="Arial Narrow" w:cs="Times New Roman"/>
                <w:color w:val="000000"/>
                <w:sz w:val="24"/>
                <w:szCs w:val="24"/>
              </w:rPr>
              <w:t>Marital</w:t>
            </w:r>
          </w:p>
        </w:tc>
        <w:tc>
          <w:tcPr>
            <w:tcW w:w="900" w:type="dxa"/>
          </w:tcPr>
          <w:p w14:paraId="682FC43A">
            <w:pPr>
              <w:autoSpaceDE w:val="0"/>
              <w:autoSpaceDN w:val="0"/>
              <w:adjustRightInd w:val="0"/>
              <w:spacing w:after="0" w:line="276" w:lineRule="auto"/>
              <w:ind w:left="60" w:right="60"/>
              <w:jc w:val="right"/>
              <w:rPr>
                <w:rFonts w:ascii="Arial Narrow" w:hAnsi="Arial Narrow" w:cs="Times New Roman"/>
                <w:color w:val="000000"/>
                <w:sz w:val="24"/>
                <w:szCs w:val="24"/>
              </w:rPr>
            </w:pPr>
            <w:r>
              <w:rPr>
                <w:rFonts w:ascii="Arial Narrow" w:hAnsi="Arial Narrow" w:cs="Times New Roman"/>
                <w:color w:val="000000"/>
                <w:sz w:val="24"/>
                <w:szCs w:val="24"/>
              </w:rPr>
              <w:t>.477</w:t>
            </w:r>
          </w:p>
        </w:tc>
        <w:tc>
          <w:tcPr>
            <w:tcW w:w="810" w:type="dxa"/>
          </w:tcPr>
          <w:p w14:paraId="0B87E32E">
            <w:pPr>
              <w:autoSpaceDE w:val="0"/>
              <w:autoSpaceDN w:val="0"/>
              <w:adjustRightInd w:val="0"/>
              <w:spacing w:after="0" w:line="276" w:lineRule="auto"/>
              <w:ind w:left="60" w:right="60"/>
              <w:jc w:val="right"/>
              <w:rPr>
                <w:rFonts w:ascii="Arial Narrow" w:hAnsi="Arial Narrow" w:cs="Times New Roman"/>
                <w:color w:val="000000"/>
                <w:sz w:val="24"/>
                <w:szCs w:val="24"/>
              </w:rPr>
            </w:pPr>
            <w:r>
              <w:rPr>
                <w:rFonts w:ascii="Arial Narrow" w:hAnsi="Arial Narrow" w:cs="Times New Roman"/>
                <w:color w:val="000000"/>
                <w:sz w:val="24"/>
                <w:szCs w:val="24"/>
              </w:rPr>
              <w:t>.778</w:t>
            </w:r>
          </w:p>
        </w:tc>
        <w:tc>
          <w:tcPr>
            <w:tcW w:w="900" w:type="dxa"/>
          </w:tcPr>
          <w:p w14:paraId="772303B8">
            <w:pPr>
              <w:autoSpaceDE w:val="0"/>
              <w:autoSpaceDN w:val="0"/>
              <w:adjustRightInd w:val="0"/>
              <w:spacing w:after="0" w:line="276" w:lineRule="auto"/>
              <w:ind w:left="60" w:right="60"/>
              <w:jc w:val="right"/>
              <w:rPr>
                <w:rFonts w:ascii="Arial Narrow" w:hAnsi="Arial Narrow" w:cs="Times New Roman"/>
                <w:color w:val="000000"/>
                <w:sz w:val="24"/>
                <w:szCs w:val="24"/>
              </w:rPr>
            </w:pPr>
            <w:r>
              <w:rPr>
                <w:rFonts w:ascii="Arial Narrow" w:hAnsi="Arial Narrow" w:cs="Times New Roman"/>
                <w:color w:val="000000"/>
                <w:sz w:val="24"/>
                <w:szCs w:val="24"/>
              </w:rPr>
              <w:t>.375</w:t>
            </w:r>
          </w:p>
        </w:tc>
        <w:tc>
          <w:tcPr>
            <w:tcW w:w="630" w:type="dxa"/>
          </w:tcPr>
          <w:p w14:paraId="1552A9E6">
            <w:pPr>
              <w:autoSpaceDE w:val="0"/>
              <w:autoSpaceDN w:val="0"/>
              <w:adjustRightInd w:val="0"/>
              <w:spacing w:after="0" w:line="276" w:lineRule="auto"/>
              <w:ind w:left="60" w:right="60"/>
              <w:jc w:val="right"/>
              <w:rPr>
                <w:rFonts w:ascii="Arial Narrow" w:hAnsi="Arial Narrow" w:cs="Times New Roman"/>
                <w:color w:val="000000"/>
                <w:sz w:val="24"/>
                <w:szCs w:val="24"/>
              </w:rPr>
            </w:pPr>
            <w:r>
              <w:rPr>
                <w:rFonts w:ascii="Arial Narrow" w:hAnsi="Arial Narrow" w:cs="Times New Roman"/>
                <w:color w:val="000000"/>
                <w:sz w:val="24"/>
                <w:szCs w:val="24"/>
              </w:rPr>
              <w:t>1</w:t>
            </w:r>
          </w:p>
        </w:tc>
        <w:tc>
          <w:tcPr>
            <w:tcW w:w="810" w:type="dxa"/>
          </w:tcPr>
          <w:p w14:paraId="1F4CA05E">
            <w:pPr>
              <w:autoSpaceDE w:val="0"/>
              <w:autoSpaceDN w:val="0"/>
              <w:adjustRightInd w:val="0"/>
              <w:spacing w:after="0" w:line="276" w:lineRule="auto"/>
              <w:ind w:left="60" w:right="60"/>
              <w:jc w:val="right"/>
              <w:rPr>
                <w:rFonts w:ascii="Arial Narrow" w:hAnsi="Arial Narrow" w:cs="Times New Roman"/>
                <w:color w:val="000000"/>
                <w:sz w:val="24"/>
                <w:szCs w:val="24"/>
              </w:rPr>
            </w:pPr>
            <w:r>
              <w:rPr>
                <w:rFonts w:ascii="Arial Narrow" w:hAnsi="Arial Narrow" w:cs="Times New Roman"/>
                <w:color w:val="000000"/>
                <w:sz w:val="24"/>
                <w:szCs w:val="24"/>
              </w:rPr>
              <w:t>.540</w:t>
            </w:r>
          </w:p>
        </w:tc>
        <w:tc>
          <w:tcPr>
            <w:tcW w:w="1260" w:type="dxa"/>
          </w:tcPr>
          <w:p w14:paraId="59B0F862">
            <w:pPr>
              <w:autoSpaceDE w:val="0"/>
              <w:autoSpaceDN w:val="0"/>
              <w:adjustRightInd w:val="0"/>
              <w:spacing w:after="0" w:line="276" w:lineRule="auto"/>
              <w:ind w:left="60" w:right="60"/>
              <w:jc w:val="right"/>
              <w:rPr>
                <w:rFonts w:ascii="Arial Narrow" w:hAnsi="Arial Narrow" w:cs="Times New Roman"/>
                <w:color w:val="000000"/>
                <w:sz w:val="24"/>
                <w:szCs w:val="24"/>
              </w:rPr>
            </w:pPr>
            <w:r>
              <w:rPr>
                <w:rFonts w:ascii="Arial Narrow" w:hAnsi="Arial Narrow" w:cs="Times New Roman"/>
                <w:color w:val="000000"/>
                <w:sz w:val="24"/>
                <w:szCs w:val="24"/>
              </w:rPr>
              <w:t>1.611</w:t>
            </w:r>
          </w:p>
        </w:tc>
        <w:tc>
          <w:tcPr>
            <w:tcW w:w="990" w:type="dxa"/>
          </w:tcPr>
          <w:p w14:paraId="7535B751">
            <w:pPr>
              <w:autoSpaceDE w:val="0"/>
              <w:autoSpaceDN w:val="0"/>
              <w:adjustRightInd w:val="0"/>
              <w:spacing w:after="0" w:line="276" w:lineRule="auto"/>
              <w:ind w:left="60" w:right="60"/>
              <w:jc w:val="right"/>
              <w:rPr>
                <w:rFonts w:ascii="Arial Narrow" w:hAnsi="Arial Narrow" w:cs="Times New Roman"/>
                <w:color w:val="000000"/>
                <w:sz w:val="24"/>
                <w:szCs w:val="24"/>
              </w:rPr>
            </w:pPr>
            <w:r>
              <w:rPr>
                <w:rFonts w:ascii="Arial Narrow" w:hAnsi="Arial Narrow" w:cs="Times New Roman"/>
                <w:color w:val="000000"/>
                <w:sz w:val="24"/>
                <w:szCs w:val="24"/>
              </w:rPr>
              <w:t>.350</w:t>
            </w:r>
          </w:p>
        </w:tc>
        <w:tc>
          <w:tcPr>
            <w:tcW w:w="1080" w:type="dxa"/>
          </w:tcPr>
          <w:p w14:paraId="28C697F6">
            <w:pPr>
              <w:autoSpaceDE w:val="0"/>
              <w:autoSpaceDN w:val="0"/>
              <w:adjustRightInd w:val="0"/>
              <w:spacing w:after="0" w:line="276" w:lineRule="auto"/>
              <w:ind w:left="60" w:right="60"/>
              <w:jc w:val="right"/>
              <w:rPr>
                <w:rFonts w:ascii="Arial Narrow" w:hAnsi="Arial Narrow" w:cs="Times New Roman"/>
                <w:color w:val="000000"/>
                <w:sz w:val="24"/>
                <w:szCs w:val="24"/>
              </w:rPr>
            </w:pPr>
            <w:r>
              <w:rPr>
                <w:rFonts w:ascii="Arial Narrow" w:hAnsi="Arial Narrow" w:cs="Times New Roman"/>
                <w:color w:val="000000"/>
                <w:sz w:val="24"/>
                <w:szCs w:val="24"/>
              </w:rPr>
              <w:t>7.405</w:t>
            </w:r>
          </w:p>
        </w:tc>
      </w:tr>
      <w:tr w14:paraId="04FA00F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36" w:type="dxa"/>
            <w:vMerge w:val="continue"/>
          </w:tcPr>
          <w:p w14:paraId="258DE5C2">
            <w:pPr>
              <w:spacing w:after="0" w:line="276" w:lineRule="auto"/>
              <w:rPr>
                <w:rFonts w:ascii="Arial Narrow" w:hAnsi="Arial Narrow" w:cs="Times New Roman"/>
                <w:color w:val="000000"/>
                <w:sz w:val="24"/>
                <w:szCs w:val="24"/>
              </w:rPr>
            </w:pPr>
          </w:p>
        </w:tc>
        <w:tc>
          <w:tcPr>
            <w:tcW w:w="1474" w:type="dxa"/>
          </w:tcPr>
          <w:p w14:paraId="4FB40E7B">
            <w:pPr>
              <w:autoSpaceDE w:val="0"/>
              <w:autoSpaceDN w:val="0"/>
              <w:adjustRightInd w:val="0"/>
              <w:spacing w:after="0" w:line="276" w:lineRule="auto"/>
              <w:ind w:left="60" w:right="60"/>
              <w:rPr>
                <w:rFonts w:ascii="Arial Narrow" w:hAnsi="Arial Narrow" w:cs="Times New Roman"/>
                <w:color w:val="000000"/>
                <w:sz w:val="24"/>
                <w:szCs w:val="24"/>
              </w:rPr>
            </w:pPr>
            <w:r>
              <w:rPr>
                <w:rFonts w:ascii="Arial Narrow" w:hAnsi="Arial Narrow" w:cs="Times New Roman"/>
                <w:color w:val="000000"/>
                <w:sz w:val="24"/>
                <w:szCs w:val="24"/>
              </w:rPr>
              <w:t>Education level</w:t>
            </w:r>
          </w:p>
        </w:tc>
        <w:tc>
          <w:tcPr>
            <w:tcW w:w="900" w:type="dxa"/>
          </w:tcPr>
          <w:p w14:paraId="499C57B4">
            <w:pPr>
              <w:autoSpaceDE w:val="0"/>
              <w:autoSpaceDN w:val="0"/>
              <w:adjustRightInd w:val="0"/>
              <w:spacing w:after="0" w:line="276" w:lineRule="auto"/>
              <w:ind w:left="60" w:right="60"/>
              <w:jc w:val="right"/>
              <w:rPr>
                <w:rFonts w:ascii="Arial Narrow" w:hAnsi="Arial Narrow" w:cs="Times New Roman"/>
                <w:color w:val="000000"/>
                <w:sz w:val="24"/>
                <w:szCs w:val="24"/>
              </w:rPr>
            </w:pPr>
            <w:r>
              <w:rPr>
                <w:rFonts w:ascii="Arial Narrow" w:hAnsi="Arial Narrow" w:cs="Times New Roman"/>
                <w:color w:val="000000"/>
                <w:sz w:val="24"/>
                <w:szCs w:val="24"/>
              </w:rPr>
              <w:t>-.480</w:t>
            </w:r>
          </w:p>
        </w:tc>
        <w:tc>
          <w:tcPr>
            <w:tcW w:w="810" w:type="dxa"/>
          </w:tcPr>
          <w:p w14:paraId="0DDD7820">
            <w:pPr>
              <w:autoSpaceDE w:val="0"/>
              <w:autoSpaceDN w:val="0"/>
              <w:adjustRightInd w:val="0"/>
              <w:spacing w:after="0" w:line="276" w:lineRule="auto"/>
              <w:ind w:left="60" w:right="60"/>
              <w:jc w:val="right"/>
              <w:rPr>
                <w:rFonts w:ascii="Arial Narrow" w:hAnsi="Arial Narrow" w:cs="Times New Roman"/>
                <w:color w:val="000000"/>
                <w:sz w:val="24"/>
                <w:szCs w:val="24"/>
              </w:rPr>
            </w:pPr>
            <w:r>
              <w:rPr>
                <w:rFonts w:ascii="Arial Narrow" w:hAnsi="Arial Narrow" w:cs="Times New Roman"/>
                <w:color w:val="000000"/>
                <w:sz w:val="24"/>
                <w:szCs w:val="24"/>
              </w:rPr>
              <w:t>.151</w:t>
            </w:r>
          </w:p>
        </w:tc>
        <w:tc>
          <w:tcPr>
            <w:tcW w:w="900" w:type="dxa"/>
          </w:tcPr>
          <w:p w14:paraId="04560E0A">
            <w:pPr>
              <w:autoSpaceDE w:val="0"/>
              <w:autoSpaceDN w:val="0"/>
              <w:adjustRightInd w:val="0"/>
              <w:spacing w:after="0" w:line="276" w:lineRule="auto"/>
              <w:ind w:left="60" w:right="60"/>
              <w:jc w:val="right"/>
              <w:rPr>
                <w:rFonts w:ascii="Arial Narrow" w:hAnsi="Arial Narrow" w:cs="Times New Roman"/>
                <w:color w:val="000000"/>
                <w:sz w:val="24"/>
                <w:szCs w:val="24"/>
              </w:rPr>
            </w:pPr>
            <w:r>
              <w:rPr>
                <w:rFonts w:ascii="Arial Narrow" w:hAnsi="Arial Narrow" w:cs="Times New Roman"/>
                <w:color w:val="000000"/>
                <w:sz w:val="24"/>
                <w:szCs w:val="24"/>
              </w:rPr>
              <w:t>10.096</w:t>
            </w:r>
          </w:p>
        </w:tc>
        <w:tc>
          <w:tcPr>
            <w:tcW w:w="630" w:type="dxa"/>
          </w:tcPr>
          <w:p w14:paraId="746541C3">
            <w:pPr>
              <w:autoSpaceDE w:val="0"/>
              <w:autoSpaceDN w:val="0"/>
              <w:adjustRightInd w:val="0"/>
              <w:spacing w:after="0" w:line="276" w:lineRule="auto"/>
              <w:ind w:left="60" w:right="60"/>
              <w:jc w:val="right"/>
              <w:rPr>
                <w:rFonts w:ascii="Arial Narrow" w:hAnsi="Arial Narrow" w:cs="Times New Roman"/>
                <w:color w:val="000000"/>
                <w:sz w:val="24"/>
                <w:szCs w:val="24"/>
              </w:rPr>
            </w:pPr>
            <w:r>
              <w:rPr>
                <w:rFonts w:ascii="Arial Narrow" w:hAnsi="Arial Narrow" w:cs="Times New Roman"/>
                <w:color w:val="000000"/>
                <w:sz w:val="24"/>
                <w:szCs w:val="24"/>
              </w:rPr>
              <w:t>1</w:t>
            </w:r>
          </w:p>
        </w:tc>
        <w:tc>
          <w:tcPr>
            <w:tcW w:w="810" w:type="dxa"/>
          </w:tcPr>
          <w:p w14:paraId="6B98D584">
            <w:pPr>
              <w:autoSpaceDE w:val="0"/>
              <w:autoSpaceDN w:val="0"/>
              <w:adjustRightInd w:val="0"/>
              <w:spacing w:after="0" w:line="276" w:lineRule="auto"/>
              <w:ind w:left="60" w:right="60"/>
              <w:jc w:val="right"/>
              <w:rPr>
                <w:rFonts w:ascii="Arial Narrow" w:hAnsi="Arial Narrow" w:cs="Times New Roman"/>
                <w:color w:val="000000"/>
                <w:sz w:val="24"/>
                <w:szCs w:val="24"/>
              </w:rPr>
            </w:pPr>
            <w:r>
              <w:rPr>
                <w:rFonts w:ascii="Arial Narrow" w:hAnsi="Arial Narrow" w:cs="Times New Roman"/>
                <w:color w:val="000000"/>
                <w:sz w:val="24"/>
                <w:szCs w:val="24"/>
              </w:rPr>
              <w:t>.001</w:t>
            </w:r>
          </w:p>
        </w:tc>
        <w:tc>
          <w:tcPr>
            <w:tcW w:w="1260" w:type="dxa"/>
          </w:tcPr>
          <w:p w14:paraId="61441692">
            <w:pPr>
              <w:autoSpaceDE w:val="0"/>
              <w:autoSpaceDN w:val="0"/>
              <w:adjustRightInd w:val="0"/>
              <w:spacing w:after="0" w:line="276" w:lineRule="auto"/>
              <w:ind w:left="60" w:right="60"/>
              <w:jc w:val="right"/>
              <w:rPr>
                <w:rFonts w:ascii="Arial Narrow" w:hAnsi="Arial Narrow" w:cs="Times New Roman"/>
                <w:color w:val="000000"/>
                <w:sz w:val="24"/>
                <w:szCs w:val="24"/>
              </w:rPr>
            </w:pPr>
            <w:r>
              <w:rPr>
                <w:rFonts w:ascii="Arial Narrow" w:hAnsi="Arial Narrow" w:cs="Times New Roman"/>
                <w:color w:val="000000"/>
                <w:sz w:val="24"/>
                <w:szCs w:val="24"/>
              </w:rPr>
              <w:t>.619</w:t>
            </w:r>
          </w:p>
        </w:tc>
        <w:tc>
          <w:tcPr>
            <w:tcW w:w="990" w:type="dxa"/>
          </w:tcPr>
          <w:p w14:paraId="0C22D55B">
            <w:pPr>
              <w:autoSpaceDE w:val="0"/>
              <w:autoSpaceDN w:val="0"/>
              <w:adjustRightInd w:val="0"/>
              <w:spacing w:after="0" w:line="276" w:lineRule="auto"/>
              <w:ind w:left="60" w:right="60"/>
              <w:jc w:val="right"/>
              <w:rPr>
                <w:rFonts w:ascii="Arial Narrow" w:hAnsi="Arial Narrow" w:cs="Times New Roman"/>
                <w:color w:val="000000"/>
                <w:sz w:val="24"/>
                <w:szCs w:val="24"/>
              </w:rPr>
            </w:pPr>
            <w:r>
              <w:rPr>
                <w:rFonts w:ascii="Arial Narrow" w:hAnsi="Arial Narrow" w:cs="Times New Roman"/>
                <w:color w:val="000000"/>
                <w:sz w:val="24"/>
                <w:szCs w:val="24"/>
              </w:rPr>
              <w:t>.460</w:t>
            </w:r>
          </w:p>
        </w:tc>
        <w:tc>
          <w:tcPr>
            <w:tcW w:w="1080" w:type="dxa"/>
          </w:tcPr>
          <w:p w14:paraId="2F5FB045">
            <w:pPr>
              <w:autoSpaceDE w:val="0"/>
              <w:autoSpaceDN w:val="0"/>
              <w:adjustRightInd w:val="0"/>
              <w:spacing w:after="0" w:line="276" w:lineRule="auto"/>
              <w:ind w:left="60" w:right="60"/>
              <w:jc w:val="right"/>
              <w:rPr>
                <w:rFonts w:ascii="Arial Narrow" w:hAnsi="Arial Narrow" w:cs="Times New Roman"/>
                <w:color w:val="000000"/>
                <w:sz w:val="24"/>
                <w:szCs w:val="24"/>
              </w:rPr>
            </w:pPr>
            <w:r>
              <w:rPr>
                <w:rFonts w:ascii="Arial Narrow" w:hAnsi="Arial Narrow" w:cs="Times New Roman"/>
                <w:color w:val="000000"/>
                <w:sz w:val="24"/>
                <w:szCs w:val="24"/>
              </w:rPr>
              <w:t>.832</w:t>
            </w:r>
          </w:p>
        </w:tc>
      </w:tr>
      <w:tr w14:paraId="0B60ACF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36" w:type="dxa"/>
            <w:vMerge w:val="continue"/>
          </w:tcPr>
          <w:p w14:paraId="0604AD0D">
            <w:pPr>
              <w:spacing w:after="0" w:line="276" w:lineRule="auto"/>
              <w:rPr>
                <w:rFonts w:ascii="Arial Narrow" w:hAnsi="Arial Narrow" w:cs="Times New Roman"/>
                <w:color w:val="000000"/>
                <w:sz w:val="24"/>
                <w:szCs w:val="24"/>
              </w:rPr>
            </w:pPr>
          </w:p>
        </w:tc>
        <w:tc>
          <w:tcPr>
            <w:tcW w:w="1474" w:type="dxa"/>
          </w:tcPr>
          <w:p w14:paraId="7C6F759B">
            <w:pPr>
              <w:autoSpaceDE w:val="0"/>
              <w:autoSpaceDN w:val="0"/>
              <w:adjustRightInd w:val="0"/>
              <w:spacing w:after="0" w:line="276" w:lineRule="auto"/>
              <w:ind w:left="60" w:right="60"/>
              <w:rPr>
                <w:rFonts w:ascii="Arial Narrow" w:hAnsi="Arial Narrow" w:cs="Times New Roman"/>
                <w:color w:val="000000"/>
                <w:sz w:val="24"/>
                <w:szCs w:val="24"/>
              </w:rPr>
            </w:pPr>
            <w:r>
              <w:rPr>
                <w:rFonts w:ascii="Arial Narrow" w:hAnsi="Arial Narrow" w:cs="Times New Roman"/>
                <w:color w:val="000000"/>
                <w:sz w:val="24"/>
                <w:szCs w:val="24"/>
              </w:rPr>
              <w:t>Family size</w:t>
            </w:r>
          </w:p>
        </w:tc>
        <w:tc>
          <w:tcPr>
            <w:tcW w:w="900" w:type="dxa"/>
          </w:tcPr>
          <w:p w14:paraId="5AFFA9C0">
            <w:pPr>
              <w:autoSpaceDE w:val="0"/>
              <w:autoSpaceDN w:val="0"/>
              <w:adjustRightInd w:val="0"/>
              <w:spacing w:after="0" w:line="276" w:lineRule="auto"/>
              <w:ind w:left="60" w:right="60"/>
              <w:jc w:val="right"/>
              <w:rPr>
                <w:rFonts w:ascii="Arial Narrow" w:hAnsi="Arial Narrow" w:cs="Times New Roman"/>
                <w:color w:val="000000"/>
                <w:sz w:val="24"/>
                <w:szCs w:val="24"/>
              </w:rPr>
            </w:pPr>
            <w:r>
              <w:rPr>
                <w:rFonts w:ascii="Arial Narrow" w:hAnsi="Arial Narrow" w:cs="Times New Roman"/>
                <w:color w:val="000000"/>
                <w:sz w:val="24"/>
                <w:szCs w:val="24"/>
              </w:rPr>
              <w:t>.351</w:t>
            </w:r>
          </w:p>
        </w:tc>
        <w:tc>
          <w:tcPr>
            <w:tcW w:w="810" w:type="dxa"/>
          </w:tcPr>
          <w:p w14:paraId="1D202110">
            <w:pPr>
              <w:autoSpaceDE w:val="0"/>
              <w:autoSpaceDN w:val="0"/>
              <w:adjustRightInd w:val="0"/>
              <w:spacing w:after="0" w:line="276" w:lineRule="auto"/>
              <w:ind w:left="60" w:right="60"/>
              <w:jc w:val="right"/>
              <w:rPr>
                <w:rFonts w:ascii="Arial Narrow" w:hAnsi="Arial Narrow" w:cs="Times New Roman"/>
                <w:color w:val="000000"/>
                <w:sz w:val="24"/>
                <w:szCs w:val="24"/>
              </w:rPr>
            </w:pPr>
            <w:r>
              <w:rPr>
                <w:rFonts w:ascii="Arial Narrow" w:hAnsi="Arial Narrow" w:cs="Times New Roman"/>
                <w:color w:val="000000"/>
                <w:sz w:val="24"/>
                <w:szCs w:val="24"/>
              </w:rPr>
              <w:t>.175</w:t>
            </w:r>
          </w:p>
        </w:tc>
        <w:tc>
          <w:tcPr>
            <w:tcW w:w="900" w:type="dxa"/>
          </w:tcPr>
          <w:p w14:paraId="74A13561">
            <w:pPr>
              <w:autoSpaceDE w:val="0"/>
              <w:autoSpaceDN w:val="0"/>
              <w:adjustRightInd w:val="0"/>
              <w:spacing w:after="0" w:line="276" w:lineRule="auto"/>
              <w:ind w:left="60" w:right="60"/>
              <w:jc w:val="right"/>
              <w:rPr>
                <w:rFonts w:ascii="Arial Narrow" w:hAnsi="Arial Narrow" w:cs="Times New Roman"/>
                <w:color w:val="000000"/>
                <w:sz w:val="24"/>
                <w:szCs w:val="24"/>
              </w:rPr>
            </w:pPr>
            <w:r>
              <w:rPr>
                <w:rFonts w:ascii="Arial Narrow" w:hAnsi="Arial Narrow" w:cs="Times New Roman"/>
                <w:color w:val="000000"/>
                <w:sz w:val="24"/>
                <w:szCs w:val="24"/>
              </w:rPr>
              <w:t>4.006</w:t>
            </w:r>
          </w:p>
        </w:tc>
        <w:tc>
          <w:tcPr>
            <w:tcW w:w="630" w:type="dxa"/>
          </w:tcPr>
          <w:p w14:paraId="6789D0E2">
            <w:pPr>
              <w:autoSpaceDE w:val="0"/>
              <w:autoSpaceDN w:val="0"/>
              <w:adjustRightInd w:val="0"/>
              <w:spacing w:after="0" w:line="276" w:lineRule="auto"/>
              <w:ind w:left="60" w:right="60"/>
              <w:jc w:val="right"/>
              <w:rPr>
                <w:rFonts w:ascii="Arial Narrow" w:hAnsi="Arial Narrow" w:cs="Times New Roman"/>
                <w:color w:val="000000"/>
                <w:sz w:val="24"/>
                <w:szCs w:val="24"/>
              </w:rPr>
            </w:pPr>
            <w:r>
              <w:rPr>
                <w:rFonts w:ascii="Arial Narrow" w:hAnsi="Arial Narrow" w:cs="Times New Roman"/>
                <w:color w:val="000000"/>
                <w:sz w:val="24"/>
                <w:szCs w:val="24"/>
              </w:rPr>
              <w:t>1</w:t>
            </w:r>
          </w:p>
        </w:tc>
        <w:tc>
          <w:tcPr>
            <w:tcW w:w="810" w:type="dxa"/>
          </w:tcPr>
          <w:p w14:paraId="2D1F57AD">
            <w:pPr>
              <w:autoSpaceDE w:val="0"/>
              <w:autoSpaceDN w:val="0"/>
              <w:adjustRightInd w:val="0"/>
              <w:spacing w:after="0" w:line="276" w:lineRule="auto"/>
              <w:ind w:left="60" w:right="60"/>
              <w:jc w:val="right"/>
              <w:rPr>
                <w:rFonts w:ascii="Arial Narrow" w:hAnsi="Arial Narrow" w:cs="Times New Roman"/>
                <w:color w:val="000000"/>
                <w:sz w:val="24"/>
                <w:szCs w:val="24"/>
              </w:rPr>
            </w:pPr>
            <w:r>
              <w:rPr>
                <w:rFonts w:ascii="Arial Narrow" w:hAnsi="Arial Narrow" w:cs="Times New Roman"/>
                <w:color w:val="000000"/>
                <w:sz w:val="24"/>
                <w:szCs w:val="24"/>
              </w:rPr>
              <w:t>.045</w:t>
            </w:r>
          </w:p>
        </w:tc>
        <w:tc>
          <w:tcPr>
            <w:tcW w:w="1260" w:type="dxa"/>
          </w:tcPr>
          <w:p w14:paraId="26735F11">
            <w:pPr>
              <w:autoSpaceDE w:val="0"/>
              <w:autoSpaceDN w:val="0"/>
              <w:adjustRightInd w:val="0"/>
              <w:spacing w:after="0" w:line="276" w:lineRule="auto"/>
              <w:ind w:left="60" w:right="60"/>
              <w:jc w:val="right"/>
              <w:rPr>
                <w:rFonts w:ascii="Arial Narrow" w:hAnsi="Arial Narrow" w:cs="Times New Roman"/>
                <w:color w:val="000000"/>
                <w:sz w:val="24"/>
                <w:szCs w:val="24"/>
              </w:rPr>
            </w:pPr>
            <w:r>
              <w:rPr>
                <w:rFonts w:ascii="Arial Narrow" w:hAnsi="Arial Narrow" w:cs="Times New Roman"/>
                <w:color w:val="000000"/>
                <w:sz w:val="24"/>
                <w:szCs w:val="24"/>
              </w:rPr>
              <w:t>1.420</w:t>
            </w:r>
          </w:p>
        </w:tc>
        <w:tc>
          <w:tcPr>
            <w:tcW w:w="990" w:type="dxa"/>
          </w:tcPr>
          <w:p w14:paraId="3312D323">
            <w:pPr>
              <w:autoSpaceDE w:val="0"/>
              <w:autoSpaceDN w:val="0"/>
              <w:adjustRightInd w:val="0"/>
              <w:spacing w:after="0" w:line="276" w:lineRule="auto"/>
              <w:ind w:left="60" w:right="60"/>
              <w:jc w:val="right"/>
              <w:rPr>
                <w:rFonts w:ascii="Arial Narrow" w:hAnsi="Arial Narrow" w:cs="Times New Roman"/>
                <w:color w:val="000000"/>
                <w:sz w:val="24"/>
                <w:szCs w:val="24"/>
              </w:rPr>
            </w:pPr>
            <w:r>
              <w:rPr>
                <w:rFonts w:ascii="Arial Narrow" w:hAnsi="Arial Narrow" w:cs="Times New Roman"/>
                <w:color w:val="000000"/>
                <w:sz w:val="24"/>
                <w:szCs w:val="24"/>
              </w:rPr>
              <w:t>1.007</w:t>
            </w:r>
          </w:p>
        </w:tc>
        <w:tc>
          <w:tcPr>
            <w:tcW w:w="1080" w:type="dxa"/>
          </w:tcPr>
          <w:p w14:paraId="743AB5E3">
            <w:pPr>
              <w:autoSpaceDE w:val="0"/>
              <w:autoSpaceDN w:val="0"/>
              <w:adjustRightInd w:val="0"/>
              <w:spacing w:after="0" w:line="276" w:lineRule="auto"/>
              <w:ind w:left="60" w:right="60"/>
              <w:jc w:val="right"/>
              <w:rPr>
                <w:rFonts w:ascii="Arial Narrow" w:hAnsi="Arial Narrow" w:cs="Times New Roman"/>
                <w:color w:val="000000"/>
                <w:sz w:val="24"/>
                <w:szCs w:val="24"/>
              </w:rPr>
            </w:pPr>
            <w:r>
              <w:rPr>
                <w:rFonts w:ascii="Arial Narrow" w:hAnsi="Arial Narrow" w:cs="Times New Roman"/>
                <w:color w:val="000000"/>
                <w:sz w:val="24"/>
                <w:szCs w:val="24"/>
              </w:rPr>
              <w:t>2.003</w:t>
            </w:r>
          </w:p>
        </w:tc>
      </w:tr>
      <w:tr w14:paraId="4E90BC9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6" w:type="dxa"/>
            <w:vMerge w:val="continue"/>
          </w:tcPr>
          <w:p w14:paraId="16D76D8C">
            <w:pPr>
              <w:spacing w:after="0" w:line="276" w:lineRule="auto"/>
              <w:rPr>
                <w:rFonts w:ascii="Arial Narrow" w:hAnsi="Arial Narrow" w:cs="Times New Roman"/>
                <w:color w:val="000000"/>
                <w:sz w:val="24"/>
                <w:szCs w:val="24"/>
              </w:rPr>
            </w:pPr>
          </w:p>
        </w:tc>
        <w:tc>
          <w:tcPr>
            <w:tcW w:w="1474" w:type="dxa"/>
          </w:tcPr>
          <w:p w14:paraId="61925F16">
            <w:pPr>
              <w:autoSpaceDE w:val="0"/>
              <w:autoSpaceDN w:val="0"/>
              <w:adjustRightInd w:val="0"/>
              <w:spacing w:after="0" w:line="276" w:lineRule="auto"/>
              <w:ind w:left="60" w:right="60"/>
              <w:rPr>
                <w:rFonts w:ascii="Arial Narrow" w:hAnsi="Arial Narrow" w:cs="Times New Roman"/>
                <w:color w:val="000000"/>
                <w:sz w:val="24"/>
                <w:szCs w:val="24"/>
              </w:rPr>
            </w:pPr>
            <w:r>
              <w:rPr>
                <w:rFonts w:ascii="Arial Narrow" w:hAnsi="Arial Narrow" w:cs="Times New Roman"/>
                <w:color w:val="000000"/>
                <w:sz w:val="24"/>
                <w:szCs w:val="24"/>
              </w:rPr>
              <w:t>Business experiences</w:t>
            </w:r>
          </w:p>
        </w:tc>
        <w:tc>
          <w:tcPr>
            <w:tcW w:w="900" w:type="dxa"/>
          </w:tcPr>
          <w:p w14:paraId="4756B6EB">
            <w:pPr>
              <w:autoSpaceDE w:val="0"/>
              <w:autoSpaceDN w:val="0"/>
              <w:adjustRightInd w:val="0"/>
              <w:spacing w:after="0" w:line="276" w:lineRule="auto"/>
              <w:ind w:left="60" w:right="60"/>
              <w:jc w:val="right"/>
              <w:rPr>
                <w:rFonts w:ascii="Arial Narrow" w:hAnsi="Arial Narrow" w:cs="Times New Roman"/>
                <w:color w:val="000000"/>
                <w:sz w:val="24"/>
                <w:szCs w:val="24"/>
              </w:rPr>
            </w:pPr>
            <w:r>
              <w:rPr>
                <w:rFonts w:ascii="Arial Narrow" w:hAnsi="Arial Narrow" w:cs="Times New Roman"/>
                <w:color w:val="000000"/>
                <w:sz w:val="24"/>
                <w:szCs w:val="24"/>
              </w:rPr>
              <w:t>1.582</w:t>
            </w:r>
          </w:p>
        </w:tc>
        <w:tc>
          <w:tcPr>
            <w:tcW w:w="810" w:type="dxa"/>
          </w:tcPr>
          <w:p w14:paraId="64B42CBC">
            <w:pPr>
              <w:autoSpaceDE w:val="0"/>
              <w:autoSpaceDN w:val="0"/>
              <w:adjustRightInd w:val="0"/>
              <w:spacing w:after="0" w:line="276" w:lineRule="auto"/>
              <w:ind w:left="60" w:right="60"/>
              <w:jc w:val="right"/>
              <w:rPr>
                <w:rFonts w:ascii="Arial Narrow" w:hAnsi="Arial Narrow" w:cs="Times New Roman"/>
                <w:color w:val="000000"/>
                <w:sz w:val="24"/>
                <w:szCs w:val="24"/>
              </w:rPr>
            </w:pPr>
            <w:r>
              <w:rPr>
                <w:rFonts w:ascii="Arial Narrow" w:hAnsi="Arial Narrow" w:cs="Times New Roman"/>
                <w:color w:val="000000"/>
                <w:sz w:val="24"/>
                <w:szCs w:val="24"/>
              </w:rPr>
              <w:t>.760</w:t>
            </w:r>
          </w:p>
        </w:tc>
        <w:tc>
          <w:tcPr>
            <w:tcW w:w="900" w:type="dxa"/>
          </w:tcPr>
          <w:p w14:paraId="6F25208E">
            <w:pPr>
              <w:autoSpaceDE w:val="0"/>
              <w:autoSpaceDN w:val="0"/>
              <w:adjustRightInd w:val="0"/>
              <w:spacing w:after="0" w:line="276" w:lineRule="auto"/>
              <w:ind w:left="60" w:right="60"/>
              <w:jc w:val="right"/>
              <w:rPr>
                <w:rFonts w:ascii="Arial Narrow" w:hAnsi="Arial Narrow" w:cs="Times New Roman"/>
                <w:color w:val="000000"/>
                <w:sz w:val="24"/>
                <w:szCs w:val="24"/>
              </w:rPr>
            </w:pPr>
            <w:r>
              <w:rPr>
                <w:rFonts w:ascii="Arial Narrow" w:hAnsi="Arial Narrow" w:cs="Times New Roman"/>
                <w:color w:val="000000"/>
                <w:sz w:val="24"/>
                <w:szCs w:val="24"/>
              </w:rPr>
              <w:t>4.335</w:t>
            </w:r>
          </w:p>
        </w:tc>
        <w:tc>
          <w:tcPr>
            <w:tcW w:w="630" w:type="dxa"/>
          </w:tcPr>
          <w:p w14:paraId="7E5ED5E0">
            <w:pPr>
              <w:autoSpaceDE w:val="0"/>
              <w:autoSpaceDN w:val="0"/>
              <w:adjustRightInd w:val="0"/>
              <w:spacing w:after="0" w:line="276" w:lineRule="auto"/>
              <w:ind w:left="60" w:right="60"/>
              <w:jc w:val="right"/>
              <w:rPr>
                <w:rFonts w:ascii="Arial Narrow" w:hAnsi="Arial Narrow" w:cs="Times New Roman"/>
                <w:color w:val="000000"/>
                <w:sz w:val="24"/>
                <w:szCs w:val="24"/>
              </w:rPr>
            </w:pPr>
            <w:r>
              <w:rPr>
                <w:rFonts w:ascii="Arial Narrow" w:hAnsi="Arial Narrow" w:cs="Times New Roman"/>
                <w:color w:val="000000"/>
                <w:sz w:val="24"/>
                <w:szCs w:val="24"/>
              </w:rPr>
              <w:t>1</w:t>
            </w:r>
          </w:p>
        </w:tc>
        <w:tc>
          <w:tcPr>
            <w:tcW w:w="810" w:type="dxa"/>
          </w:tcPr>
          <w:p w14:paraId="174000F7">
            <w:pPr>
              <w:autoSpaceDE w:val="0"/>
              <w:autoSpaceDN w:val="0"/>
              <w:adjustRightInd w:val="0"/>
              <w:spacing w:after="0" w:line="276" w:lineRule="auto"/>
              <w:ind w:left="60" w:right="60"/>
              <w:jc w:val="right"/>
              <w:rPr>
                <w:rFonts w:ascii="Arial Narrow" w:hAnsi="Arial Narrow" w:cs="Times New Roman"/>
                <w:color w:val="000000"/>
                <w:sz w:val="24"/>
                <w:szCs w:val="24"/>
              </w:rPr>
            </w:pPr>
            <w:r>
              <w:rPr>
                <w:rFonts w:ascii="Arial Narrow" w:hAnsi="Arial Narrow" w:cs="Times New Roman"/>
                <w:color w:val="000000"/>
                <w:sz w:val="24"/>
                <w:szCs w:val="24"/>
              </w:rPr>
              <w:t>.037</w:t>
            </w:r>
          </w:p>
        </w:tc>
        <w:tc>
          <w:tcPr>
            <w:tcW w:w="1260" w:type="dxa"/>
          </w:tcPr>
          <w:p w14:paraId="0D71D0AF">
            <w:pPr>
              <w:autoSpaceDE w:val="0"/>
              <w:autoSpaceDN w:val="0"/>
              <w:adjustRightInd w:val="0"/>
              <w:spacing w:after="0" w:line="276" w:lineRule="auto"/>
              <w:ind w:left="60" w:right="60"/>
              <w:jc w:val="right"/>
              <w:rPr>
                <w:rFonts w:ascii="Arial Narrow" w:hAnsi="Arial Narrow" w:cs="Times New Roman"/>
                <w:color w:val="000000"/>
                <w:sz w:val="24"/>
                <w:szCs w:val="24"/>
              </w:rPr>
            </w:pPr>
            <w:r>
              <w:rPr>
                <w:rFonts w:ascii="Arial Narrow" w:hAnsi="Arial Narrow" w:cs="Times New Roman"/>
                <w:color w:val="000000"/>
                <w:sz w:val="24"/>
                <w:szCs w:val="24"/>
              </w:rPr>
              <w:t>4.866</w:t>
            </w:r>
          </w:p>
        </w:tc>
        <w:tc>
          <w:tcPr>
            <w:tcW w:w="990" w:type="dxa"/>
          </w:tcPr>
          <w:p w14:paraId="625F91F4">
            <w:pPr>
              <w:autoSpaceDE w:val="0"/>
              <w:autoSpaceDN w:val="0"/>
              <w:adjustRightInd w:val="0"/>
              <w:spacing w:after="0" w:line="276" w:lineRule="auto"/>
              <w:ind w:left="60" w:right="60"/>
              <w:jc w:val="right"/>
              <w:rPr>
                <w:rFonts w:ascii="Arial Narrow" w:hAnsi="Arial Narrow" w:cs="Times New Roman"/>
                <w:color w:val="000000"/>
                <w:sz w:val="24"/>
                <w:szCs w:val="24"/>
              </w:rPr>
            </w:pPr>
            <w:r>
              <w:rPr>
                <w:rFonts w:ascii="Arial Narrow" w:hAnsi="Arial Narrow" w:cs="Times New Roman"/>
                <w:color w:val="000000"/>
                <w:sz w:val="24"/>
                <w:szCs w:val="24"/>
              </w:rPr>
              <w:t>1.097</w:t>
            </w:r>
          </w:p>
        </w:tc>
        <w:tc>
          <w:tcPr>
            <w:tcW w:w="1080" w:type="dxa"/>
          </w:tcPr>
          <w:p w14:paraId="076F2951">
            <w:pPr>
              <w:autoSpaceDE w:val="0"/>
              <w:autoSpaceDN w:val="0"/>
              <w:adjustRightInd w:val="0"/>
              <w:spacing w:after="0" w:line="276" w:lineRule="auto"/>
              <w:ind w:left="60" w:right="60"/>
              <w:jc w:val="right"/>
              <w:rPr>
                <w:rFonts w:ascii="Arial Narrow" w:hAnsi="Arial Narrow" w:cs="Times New Roman"/>
                <w:color w:val="000000"/>
                <w:sz w:val="24"/>
                <w:szCs w:val="24"/>
              </w:rPr>
            </w:pPr>
            <w:r>
              <w:rPr>
                <w:rFonts w:ascii="Arial Narrow" w:hAnsi="Arial Narrow" w:cs="Times New Roman"/>
                <w:color w:val="000000"/>
                <w:sz w:val="24"/>
                <w:szCs w:val="24"/>
              </w:rPr>
              <w:t>21.576</w:t>
            </w:r>
          </w:p>
        </w:tc>
      </w:tr>
      <w:tr w14:paraId="4C11799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36" w:type="dxa"/>
            <w:vMerge w:val="continue"/>
          </w:tcPr>
          <w:p w14:paraId="219F3D6E">
            <w:pPr>
              <w:spacing w:after="0" w:line="276" w:lineRule="auto"/>
              <w:rPr>
                <w:rFonts w:ascii="Arial Narrow" w:hAnsi="Arial Narrow" w:cs="Times New Roman"/>
                <w:color w:val="000000"/>
                <w:sz w:val="24"/>
                <w:szCs w:val="24"/>
              </w:rPr>
            </w:pPr>
          </w:p>
        </w:tc>
        <w:tc>
          <w:tcPr>
            <w:tcW w:w="1474" w:type="dxa"/>
          </w:tcPr>
          <w:p w14:paraId="75045942">
            <w:pPr>
              <w:autoSpaceDE w:val="0"/>
              <w:autoSpaceDN w:val="0"/>
              <w:adjustRightInd w:val="0"/>
              <w:spacing w:after="0" w:line="276" w:lineRule="auto"/>
              <w:ind w:left="60" w:right="60"/>
              <w:rPr>
                <w:rFonts w:ascii="Arial Narrow" w:hAnsi="Arial Narrow" w:cs="Times New Roman"/>
                <w:color w:val="000000"/>
                <w:sz w:val="24"/>
                <w:szCs w:val="24"/>
              </w:rPr>
            </w:pPr>
            <w:r>
              <w:rPr>
                <w:rFonts w:ascii="Arial Narrow" w:hAnsi="Arial Narrow" w:cs="Times New Roman"/>
                <w:color w:val="000000"/>
                <w:sz w:val="24"/>
                <w:szCs w:val="24"/>
              </w:rPr>
              <w:t>Constant</w:t>
            </w:r>
          </w:p>
        </w:tc>
        <w:tc>
          <w:tcPr>
            <w:tcW w:w="900" w:type="dxa"/>
          </w:tcPr>
          <w:p w14:paraId="42E130F0">
            <w:pPr>
              <w:autoSpaceDE w:val="0"/>
              <w:autoSpaceDN w:val="0"/>
              <w:adjustRightInd w:val="0"/>
              <w:spacing w:after="0" w:line="276" w:lineRule="auto"/>
              <w:ind w:left="60" w:right="60"/>
              <w:jc w:val="right"/>
              <w:rPr>
                <w:rFonts w:ascii="Arial Narrow" w:hAnsi="Arial Narrow" w:cs="Times New Roman"/>
                <w:color w:val="000000"/>
                <w:sz w:val="24"/>
                <w:szCs w:val="24"/>
              </w:rPr>
            </w:pPr>
            <w:r>
              <w:rPr>
                <w:rFonts w:ascii="Arial Narrow" w:hAnsi="Arial Narrow" w:cs="Times New Roman"/>
                <w:color w:val="000000"/>
                <w:sz w:val="24"/>
                <w:szCs w:val="24"/>
              </w:rPr>
              <w:t>7.510</w:t>
            </w:r>
          </w:p>
        </w:tc>
        <w:tc>
          <w:tcPr>
            <w:tcW w:w="810" w:type="dxa"/>
          </w:tcPr>
          <w:p w14:paraId="541F39AF">
            <w:pPr>
              <w:autoSpaceDE w:val="0"/>
              <w:autoSpaceDN w:val="0"/>
              <w:adjustRightInd w:val="0"/>
              <w:spacing w:after="0" w:line="276" w:lineRule="auto"/>
              <w:ind w:left="60" w:right="60"/>
              <w:jc w:val="right"/>
              <w:rPr>
                <w:rFonts w:ascii="Arial Narrow" w:hAnsi="Arial Narrow" w:cs="Times New Roman"/>
                <w:color w:val="000000"/>
                <w:sz w:val="24"/>
                <w:szCs w:val="24"/>
              </w:rPr>
            </w:pPr>
            <w:r>
              <w:rPr>
                <w:rFonts w:ascii="Arial Narrow" w:hAnsi="Arial Narrow" w:cs="Times New Roman"/>
                <w:color w:val="000000"/>
                <w:sz w:val="24"/>
                <w:szCs w:val="24"/>
              </w:rPr>
              <w:t>3.231</w:t>
            </w:r>
          </w:p>
        </w:tc>
        <w:tc>
          <w:tcPr>
            <w:tcW w:w="900" w:type="dxa"/>
          </w:tcPr>
          <w:p w14:paraId="4CF4C7E3">
            <w:pPr>
              <w:autoSpaceDE w:val="0"/>
              <w:autoSpaceDN w:val="0"/>
              <w:adjustRightInd w:val="0"/>
              <w:spacing w:after="0" w:line="276" w:lineRule="auto"/>
              <w:ind w:left="60" w:right="60"/>
              <w:jc w:val="right"/>
              <w:rPr>
                <w:rFonts w:ascii="Arial Narrow" w:hAnsi="Arial Narrow" w:cs="Times New Roman"/>
                <w:color w:val="000000"/>
                <w:sz w:val="24"/>
                <w:szCs w:val="24"/>
              </w:rPr>
            </w:pPr>
            <w:r>
              <w:rPr>
                <w:rFonts w:ascii="Arial Narrow" w:hAnsi="Arial Narrow" w:cs="Times New Roman"/>
                <w:color w:val="000000"/>
                <w:sz w:val="24"/>
                <w:szCs w:val="24"/>
              </w:rPr>
              <w:t>5.401</w:t>
            </w:r>
          </w:p>
        </w:tc>
        <w:tc>
          <w:tcPr>
            <w:tcW w:w="630" w:type="dxa"/>
          </w:tcPr>
          <w:p w14:paraId="65A53D15">
            <w:pPr>
              <w:autoSpaceDE w:val="0"/>
              <w:autoSpaceDN w:val="0"/>
              <w:adjustRightInd w:val="0"/>
              <w:spacing w:after="0" w:line="276" w:lineRule="auto"/>
              <w:ind w:left="60" w:right="60"/>
              <w:jc w:val="right"/>
              <w:rPr>
                <w:rFonts w:ascii="Arial Narrow" w:hAnsi="Arial Narrow" w:cs="Times New Roman"/>
                <w:color w:val="000000"/>
                <w:sz w:val="24"/>
                <w:szCs w:val="24"/>
              </w:rPr>
            </w:pPr>
            <w:r>
              <w:rPr>
                <w:rFonts w:ascii="Arial Narrow" w:hAnsi="Arial Narrow" w:cs="Times New Roman"/>
                <w:color w:val="000000"/>
                <w:sz w:val="24"/>
                <w:szCs w:val="24"/>
              </w:rPr>
              <w:t>1</w:t>
            </w:r>
          </w:p>
        </w:tc>
        <w:tc>
          <w:tcPr>
            <w:tcW w:w="810" w:type="dxa"/>
          </w:tcPr>
          <w:p w14:paraId="0F2544DE">
            <w:pPr>
              <w:autoSpaceDE w:val="0"/>
              <w:autoSpaceDN w:val="0"/>
              <w:adjustRightInd w:val="0"/>
              <w:spacing w:after="0" w:line="276" w:lineRule="auto"/>
              <w:ind w:left="60" w:right="60"/>
              <w:jc w:val="right"/>
              <w:rPr>
                <w:rFonts w:ascii="Arial Narrow" w:hAnsi="Arial Narrow" w:cs="Times New Roman"/>
                <w:color w:val="000000"/>
                <w:sz w:val="24"/>
                <w:szCs w:val="24"/>
              </w:rPr>
            </w:pPr>
            <w:r>
              <w:rPr>
                <w:rFonts w:ascii="Arial Narrow" w:hAnsi="Arial Narrow" w:cs="Times New Roman"/>
                <w:color w:val="000000"/>
                <w:sz w:val="24"/>
                <w:szCs w:val="24"/>
              </w:rPr>
              <w:t>.020</w:t>
            </w:r>
          </w:p>
        </w:tc>
        <w:tc>
          <w:tcPr>
            <w:tcW w:w="1260" w:type="dxa"/>
          </w:tcPr>
          <w:p w14:paraId="23CFC441">
            <w:pPr>
              <w:autoSpaceDE w:val="0"/>
              <w:autoSpaceDN w:val="0"/>
              <w:adjustRightInd w:val="0"/>
              <w:spacing w:after="0" w:line="276" w:lineRule="auto"/>
              <w:ind w:left="60" w:right="60"/>
              <w:jc w:val="right"/>
              <w:rPr>
                <w:rFonts w:ascii="Arial Narrow" w:hAnsi="Arial Narrow" w:cs="Times New Roman"/>
                <w:color w:val="000000"/>
                <w:sz w:val="24"/>
                <w:szCs w:val="24"/>
              </w:rPr>
            </w:pPr>
            <w:r>
              <w:rPr>
                <w:rFonts w:ascii="Arial Narrow" w:hAnsi="Arial Narrow" w:cs="Times New Roman"/>
                <w:color w:val="000000"/>
                <w:sz w:val="24"/>
                <w:szCs w:val="24"/>
              </w:rPr>
              <w:t>1826.456</w:t>
            </w:r>
          </w:p>
        </w:tc>
        <w:tc>
          <w:tcPr>
            <w:tcW w:w="990" w:type="dxa"/>
          </w:tcPr>
          <w:p w14:paraId="74A8AFA7">
            <w:pPr>
              <w:autoSpaceDE w:val="0"/>
              <w:autoSpaceDN w:val="0"/>
              <w:adjustRightInd w:val="0"/>
              <w:spacing w:after="0" w:line="276" w:lineRule="auto"/>
              <w:rPr>
                <w:rFonts w:ascii="Arial Narrow" w:hAnsi="Arial Narrow" w:cs="Times New Roman"/>
                <w:sz w:val="24"/>
                <w:szCs w:val="24"/>
              </w:rPr>
            </w:pPr>
          </w:p>
        </w:tc>
        <w:tc>
          <w:tcPr>
            <w:tcW w:w="1080" w:type="dxa"/>
          </w:tcPr>
          <w:p w14:paraId="066782CC">
            <w:pPr>
              <w:autoSpaceDE w:val="0"/>
              <w:autoSpaceDN w:val="0"/>
              <w:adjustRightInd w:val="0"/>
              <w:spacing w:after="0" w:line="276" w:lineRule="auto"/>
              <w:rPr>
                <w:rFonts w:ascii="Arial Narrow" w:hAnsi="Arial Narrow" w:cs="Times New Roman"/>
                <w:sz w:val="24"/>
                <w:szCs w:val="24"/>
              </w:rPr>
            </w:pPr>
          </w:p>
        </w:tc>
      </w:tr>
      <w:bookmarkEnd w:id="44"/>
    </w:tbl>
    <w:p w14:paraId="55727982">
      <w:pPr>
        <w:spacing w:after="0" w:line="276" w:lineRule="auto"/>
        <w:jc w:val="both"/>
        <w:rPr>
          <w:rFonts w:ascii="Arial Narrow" w:hAnsi="Arial Narrow" w:cs="Times New Roman"/>
        </w:rPr>
      </w:pPr>
      <w:r>
        <w:rPr>
          <w:rFonts w:ascii="Arial Narrow" w:hAnsi="Arial Narrow" w:cs="Times New Roman"/>
          <w:b/>
          <w:bCs/>
          <w:color w:val="000000"/>
          <w:sz w:val="24"/>
          <w:szCs w:val="24"/>
        </w:rPr>
        <w:t>Nagelkerke (R</w:t>
      </w:r>
      <w:r>
        <w:rPr>
          <w:rFonts w:ascii="Arial Narrow" w:hAnsi="Arial Narrow" w:cs="Times New Roman"/>
          <w:b/>
          <w:bCs/>
          <w:color w:val="000000"/>
          <w:sz w:val="24"/>
          <w:szCs w:val="24"/>
          <w:vertAlign w:val="superscript"/>
        </w:rPr>
        <w:t>2</w:t>
      </w:r>
      <w:r>
        <w:rPr>
          <w:rFonts w:ascii="Arial Narrow" w:hAnsi="Arial Narrow" w:cs="Times New Roman"/>
          <w:b/>
          <w:bCs/>
          <w:color w:val="000000"/>
          <w:sz w:val="24"/>
          <w:szCs w:val="24"/>
        </w:rPr>
        <w:t xml:space="preserve">) </w:t>
      </w:r>
      <w:bookmarkStart w:id="45" w:name="_Hlk211258926"/>
      <w:r>
        <w:rPr>
          <w:rFonts w:ascii="Arial Narrow" w:hAnsi="Arial Narrow" w:cs="Times New Roman"/>
          <w:b/>
          <w:bCs/>
          <w:color w:val="000000"/>
          <w:sz w:val="24"/>
          <w:szCs w:val="24"/>
        </w:rPr>
        <w:t>= 0.527</w:t>
      </w:r>
      <w:r>
        <w:rPr>
          <w:rFonts w:ascii="Arial Narrow" w:hAnsi="Arial Narrow" w:cs="Times New Roman"/>
        </w:rPr>
        <w:t xml:space="preserve"> </w:t>
      </w:r>
      <w:bookmarkEnd w:id="45"/>
    </w:p>
    <w:p w14:paraId="23AC6065">
      <w:pPr>
        <w:spacing w:before="240" w:line="360" w:lineRule="auto"/>
        <w:jc w:val="both"/>
        <w:rPr>
          <w:rFonts w:ascii="Arial Narrow" w:hAnsi="Arial Narrow" w:eastAsia="Times New Roman" w:cs="Times New Roman"/>
          <w:bCs/>
          <w:sz w:val="24"/>
          <w:szCs w:val="24"/>
          <w:lang w:val="en-GB"/>
        </w:rPr>
      </w:pPr>
      <w:r>
        <w:rPr>
          <w:rFonts w:ascii="Arial Narrow" w:hAnsi="Arial Narrow" w:eastAsia="Times New Roman" w:cs="Times New Roman"/>
          <w:bCs/>
          <w:sz w:val="24"/>
          <w:szCs w:val="24"/>
          <w:lang w:val="en-GB"/>
        </w:rPr>
        <w:t>The sociocultural factors affecting the adoption of succession planning in family-owned enterprises were determined by using binary multiple logistic regression analysis. The results show in Table 4, the variables in the equation and the model summary demonstrate that the factors in the model were good predictors of the adoption of succession planning (</w:t>
      </w:r>
      <w:commentRangeStart w:id="9"/>
      <w:r>
        <w:rPr>
          <w:rFonts w:ascii="Arial Narrow" w:hAnsi="Arial Narrow" w:eastAsia="Times New Roman" w:cs="Times New Roman"/>
          <w:bCs/>
          <w:sz w:val="24"/>
          <w:szCs w:val="24"/>
          <w:lang w:val="en-GB"/>
        </w:rPr>
        <w:t>Nagelkerke</w:t>
      </w:r>
      <w:commentRangeEnd w:id="9"/>
      <w:r>
        <w:commentReference w:id="9"/>
      </w:r>
      <w:r>
        <w:rPr>
          <w:rFonts w:ascii="Arial Narrow" w:hAnsi="Arial Narrow" w:eastAsia="Times New Roman" w:cs="Times New Roman"/>
          <w:bCs/>
          <w:sz w:val="24"/>
          <w:szCs w:val="24"/>
          <w:lang w:val="en-GB"/>
        </w:rPr>
        <w:t xml:space="preserve"> R2=0.527). Additionally, sex (P=0.025), age (P=0.026), education level (P=0.001), business experience (P=0.037), and family size (P=0.045) all significantly increase the likelihood of adoption succession planning (P&lt;0.05), according to the Wald chi-square test results. Marital status did not, however, have a significant impact (P&gt;0.05).</w:t>
      </w:r>
    </w:p>
    <w:p w14:paraId="26FAD94F">
      <w:pPr>
        <w:spacing w:before="240" w:line="360" w:lineRule="auto"/>
        <w:jc w:val="both"/>
        <w:rPr>
          <w:rFonts w:ascii="Arial Narrow" w:hAnsi="Arial Narrow" w:eastAsia="Times New Roman" w:cs="Times New Roman"/>
          <w:b/>
          <w:bCs/>
          <w:sz w:val="24"/>
          <w:szCs w:val="24"/>
        </w:rPr>
      </w:pPr>
      <w:r>
        <w:rPr>
          <w:rFonts w:ascii="Arial Narrow" w:hAnsi="Arial Narrow" w:eastAsia="Times New Roman" w:cs="Times New Roman"/>
          <w:b/>
          <w:bCs/>
          <w:sz w:val="24"/>
          <w:szCs w:val="24"/>
          <w:lang w:val="en-GB"/>
        </w:rPr>
        <w:t>3.1 Sex</w:t>
      </w:r>
    </w:p>
    <w:p w14:paraId="006F84A5">
      <w:pPr>
        <w:spacing w:before="240" w:line="360" w:lineRule="auto"/>
        <w:jc w:val="both"/>
        <w:rPr>
          <w:rFonts w:ascii="Arial Narrow" w:hAnsi="Arial Narrow" w:cs="Times New Roman"/>
          <w:bCs/>
          <w:color w:val="000000"/>
          <w:sz w:val="24"/>
          <w:szCs w:val="24"/>
        </w:rPr>
      </w:pPr>
      <w:r>
        <w:rPr>
          <w:rFonts w:ascii="Arial Narrow" w:hAnsi="Arial Narrow" w:eastAsia="Times New Roman" w:cs="Times New Roman"/>
          <w:bCs/>
          <w:sz w:val="24"/>
          <w:szCs w:val="24"/>
        </w:rPr>
        <w:t xml:space="preserve">Regarding sex revealed in Table 4, that Men were associated with a 6.101-fold increase in the likelihood of adopting succession planning compared to women (OR = 6.101, 95% CI). The findings show that the adoption of succession planning is positively and significantly influenced by sex (p = 0.025). The majority of family business owners prefer males to females for their successors. Additionally, it is more common for male family business owners to make succession plans. This discovery aligns with the findings of </w:t>
      </w:r>
      <w:commentRangeStart w:id="10"/>
      <w:r>
        <w:rPr>
          <w:rFonts w:ascii="Arial Narrow" w:hAnsi="Arial Narrow" w:eastAsia="Times New Roman" w:cs="Times New Roman"/>
          <w:bCs/>
          <w:sz w:val="24"/>
          <w:szCs w:val="24"/>
        </w:rPr>
        <w:t xml:space="preserve">Jones and Li (2020), </w:t>
      </w:r>
      <w:commentRangeEnd w:id="10"/>
      <w:r>
        <w:commentReference w:id="10"/>
      </w:r>
      <w:r>
        <w:rPr>
          <w:rFonts w:ascii="Arial Narrow" w:hAnsi="Arial Narrow" w:eastAsia="Times New Roman" w:cs="Times New Roman"/>
          <w:bCs/>
          <w:sz w:val="24"/>
          <w:szCs w:val="24"/>
        </w:rPr>
        <w:t xml:space="preserve">who discovered that gender roles in particular cultures can influence the selection of individuals for leadership positions. Certain cultures have gender-based assumptions that make it less likely for women to be considered for succession, even if they are capable. This makes succession planning in </w:t>
      </w:r>
      <w:r>
        <w:rPr>
          <w:rFonts w:ascii="Arial Narrow" w:hAnsi="Arial Narrow" w:cs="Times New Roman"/>
          <w:bCs/>
          <w:color w:val="000000"/>
          <w:sz w:val="24"/>
          <w:szCs w:val="24"/>
        </w:rPr>
        <w:t xml:space="preserve">businesses where gender bias is common. Also, concur with Oguka </w:t>
      </w:r>
      <w:r>
        <w:rPr>
          <w:rFonts w:ascii="Arial Narrow" w:hAnsi="Arial Narrow" w:cs="Times New Roman"/>
          <w:bCs/>
          <w:i/>
          <w:color w:val="000000"/>
          <w:sz w:val="24"/>
          <w:szCs w:val="24"/>
        </w:rPr>
        <w:t>et al.</w:t>
      </w:r>
      <w:r>
        <w:rPr>
          <w:rFonts w:ascii="Arial Narrow" w:hAnsi="Arial Narrow" w:cs="Times New Roman"/>
          <w:bCs/>
          <w:color w:val="000000"/>
          <w:sz w:val="24"/>
          <w:szCs w:val="24"/>
        </w:rPr>
        <w:t xml:space="preserve"> (2020) finding that the gender of a successor has a significant impact on succession planning in family-owned enterprises. Many business leaders, for instance, favor male successors over female successors.</w:t>
      </w:r>
    </w:p>
    <w:p w14:paraId="5140525B">
      <w:pPr>
        <w:spacing w:before="240" w:line="360" w:lineRule="auto"/>
        <w:jc w:val="both"/>
        <w:rPr>
          <w:rFonts w:ascii="Arial Narrow" w:hAnsi="Arial Narrow" w:cs="Times New Roman"/>
          <w:b/>
          <w:bCs/>
          <w:color w:val="000000"/>
          <w:sz w:val="24"/>
          <w:szCs w:val="24"/>
        </w:rPr>
      </w:pPr>
      <w:r>
        <w:rPr>
          <w:rFonts w:ascii="Arial Narrow" w:hAnsi="Arial Narrow" w:cs="Times New Roman"/>
          <w:b/>
          <w:bCs/>
          <w:color w:val="000000"/>
          <w:sz w:val="24"/>
          <w:szCs w:val="24"/>
        </w:rPr>
        <w:t xml:space="preserve">3.2 Age </w:t>
      </w:r>
    </w:p>
    <w:p w14:paraId="2BA4518A">
      <w:pPr>
        <w:spacing w:before="240" w:line="360" w:lineRule="auto"/>
        <w:jc w:val="both"/>
        <w:rPr>
          <w:rFonts w:ascii="Arial Narrow" w:hAnsi="Arial Narrow" w:cs="Times New Roman"/>
          <w:bCs/>
          <w:color w:val="000000"/>
          <w:sz w:val="24"/>
          <w:szCs w:val="24"/>
        </w:rPr>
      </w:pPr>
      <w:r>
        <w:rPr>
          <w:rFonts w:ascii="Arial Narrow" w:hAnsi="Arial Narrow" w:cs="Times New Roman"/>
          <w:bCs/>
          <w:color w:val="000000"/>
          <w:sz w:val="24"/>
          <w:szCs w:val="24"/>
        </w:rPr>
        <w:t xml:space="preserve">Age of respondent in table 4 shows that it was significantly associated with a 0.887-fold increase in the likelihood of implementing succession planning (OR = 0.887, 95% CI). This indicates that there was a correlation (p = 0.026) between the age of family business owners and their use of succession planning. This implies that a family business owner's age may have an effect on how succession planning is carried out. As a result, the possibility of implementing succession planning rises with the age of business owners, and most elderly or near-retired individuals create a succession plan more often than younger ones. Mwangi and Wanyama (2021) provide additional support for this fact, showing that age has a positive effect on corporate succession planning. Also, in line with other studies conducted by Saan </w:t>
      </w:r>
      <w:r>
        <w:rPr>
          <w:rFonts w:ascii="Arial Narrow" w:hAnsi="Arial Narrow" w:cs="Times New Roman"/>
          <w:bCs/>
          <w:i/>
          <w:color w:val="000000"/>
          <w:sz w:val="24"/>
          <w:szCs w:val="24"/>
        </w:rPr>
        <w:t>et al</w:t>
      </w:r>
      <w:r>
        <w:rPr>
          <w:rFonts w:ascii="Arial Narrow" w:hAnsi="Arial Narrow" w:cs="Times New Roman"/>
          <w:bCs/>
          <w:color w:val="000000"/>
          <w:sz w:val="24"/>
          <w:szCs w:val="24"/>
        </w:rPr>
        <w:t>. (2020), which found that the age of a SME owner affects business succession planning, the results also indicate that business succession planning is influenced by the age of a SME owner.</w:t>
      </w:r>
    </w:p>
    <w:p w14:paraId="59D8F053">
      <w:pPr>
        <w:spacing w:before="240" w:line="276" w:lineRule="auto"/>
        <w:jc w:val="both"/>
        <w:rPr>
          <w:rFonts w:ascii="Arial Narrow" w:hAnsi="Arial Narrow" w:cs="Times New Roman"/>
          <w:b/>
          <w:bCs/>
          <w:color w:val="000000"/>
          <w:sz w:val="24"/>
          <w:szCs w:val="24"/>
        </w:rPr>
      </w:pPr>
      <w:r>
        <w:rPr>
          <w:rFonts w:ascii="Arial Narrow" w:hAnsi="Arial Narrow" w:cs="Times New Roman"/>
          <w:b/>
          <w:bCs/>
          <w:color w:val="000000"/>
          <w:sz w:val="24"/>
          <w:szCs w:val="24"/>
        </w:rPr>
        <w:t>3.3 Education Level</w:t>
      </w:r>
    </w:p>
    <w:p w14:paraId="72888E25">
      <w:pPr>
        <w:spacing w:before="240" w:line="360" w:lineRule="auto"/>
        <w:jc w:val="both"/>
        <w:rPr>
          <w:rFonts w:ascii="Arial Narrow" w:hAnsi="Arial Narrow" w:cs="Times New Roman"/>
          <w:bCs/>
          <w:color w:val="000000"/>
          <w:sz w:val="24"/>
          <w:szCs w:val="24"/>
          <w:lang w:val="en-GB"/>
        </w:rPr>
      </w:pPr>
      <w:r>
        <w:rPr>
          <w:rFonts w:ascii="Arial Narrow" w:hAnsi="Arial Narrow" w:cs="Times New Roman"/>
          <w:bCs/>
          <w:color w:val="000000"/>
          <w:sz w:val="24"/>
          <w:szCs w:val="24"/>
          <w:lang w:val="en-GB"/>
        </w:rPr>
        <w:t xml:space="preserve">Education level, the likelihood of succession planning adoption is higher among family business owners with higher educational attainment than among those with lower educational attainment (OR=0.619, 95% CI). This suggests that family business owners' adoption of succession planning is influenced by their educational attainment (p = 0.001). This indicates that the more educated a person is, the more likely they are to implement succession planning. Family business owners who have finished at least primary education are more likely to implement succession planning. These results support the finding by Taysir et al. (2021) that succession planning benefits from the owners of family-owned SMEs having higher educational attainment. Also, findings supported by Saan </w:t>
      </w:r>
      <w:r>
        <w:rPr>
          <w:rFonts w:ascii="Arial Narrow" w:hAnsi="Arial Narrow" w:cs="Times New Roman"/>
          <w:bCs/>
          <w:i/>
          <w:color w:val="000000"/>
          <w:sz w:val="24"/>
          <w:szCs w:val="24"/>
          <w:lang w:val="en-GB"/>
        </w:rPr>
        <w:t>et al.</w:t>
      </w:r>
      <w:r>
        <w:rPr>
          <w:rFonts w:ascii="Arial Narrow" w:hAnsi="Arial Narrow" w:cs="Times New Roman"/>
          <w:bCs/>
          <w:color w:val="000000"/>
          <w:sz w:val="24"/>
          <w:szCs w:val="24"/>
          <w:lang w:val="en-GB"/>
        </w:rPr>
        <w:t xml:space="preserve"> (2020), who discovered a significant relationship (p = 0.001) between the decision to plan for succession and the owner’s level of education.</w:t>
      </w:r>
    </w:p>
    <w:p w14:paraId="7BC21427">
      <w:pPr>
        <w:spacing w:before="240" w:line="360" w:lineRule="auto"/>
        <w:jc w:val="both"/>
        <w:rPr>
          <w:rFonts w:ascii="Arial Narrow" w:hAnsi="Arial Narrow" w:cs="Times New Roman"/>
          <w:b/>
          <w:bCs/>
          <w:color w:val="000000"/>
          <w:sz w:val="24"/>
          <w:szCs w:val="24"/>
          <w:lang w:val="en-GB"/>
        </w:rPr>
      </w:pPr>
      <w:r>
        <w:rPr>
          <w:rFonts w:ascii="Arial Narrow" w:hAnsi="Arial Narrow" w:cs="Times New Roman"/>
          <w:b/>
          <w:bCs/>
          <w:color w:val="000000"/>
          <w:sz w:val="24"/>
          <w:szCs w:val="24"/>
          <w:lang w:val="en-GB"/>
        </w:rPr>
        <w:t>3.4 Household Size</w:t>
      </w:r>
    </w:p>
    <w:p w14:paraId="5F8C1FF7">
      <w:pPr>
        <w:spacing w:before="240" w:line="360" w:lineRule="auto"/>
        <w:jc w:val="both"/>
        <w:rPr>
          <w:rFonts w:ascii="Arial Narrow" w:hAnsi="Arial Narrow" w:cs="Times New Roman"/>
          <w:bCs/>
          <w:color w:val="000000"/>
          <w:sz w:val="24"/>
          <w:szCs w:val="24"/>
          <w:lang w:val="en-GB"/>
        </w:rPr>
      </w:pPr>
      <w:r>
        <w:rPr>
          <w:rFonts w:ascii="Arial Narrow" w:hAnsi="Arial Narrow" w:cs="Times New Roman"/>
          <w:bCs/>
          <w:color w:val="000000"/>
          <w:sz w:val="24"/>
          <w:szCs w:val="24"/>
          <w:lang w:val="en-GB"/>
        </w:rPr>
        <w:t>Household size. The result from Table 4 demonstrates that having fewer family members or children in the home is associated with a 1 times greater likelihood of adoption of succession planning (OR=</w:t>
      </w:r>
      <w:r>
        <w:rPr>
          <w:rFonts w:ascii="Arial Narrow" w:hAnsi="Arial Narrow" w:cs="Times New Roman"/>
          <w:bCs/>
          <w:color w:val="000000"/>
          <w:sz w:val="24"/>
          <w:szCs w:val="24"/>
        </w:rPr>
        <w:t>1.420</w:t>
      </w:r>
      <w:r>
        <w:rPr>
          <w:rFonts w:ascii="Arial Narrow" w:hAnsi="Arial Narrow" w:cs="Times New Roman"/>
          <w:bCs/>
          <w:color w:val="000000"/>
          <w:sz w:val="24"/>
          <w:szCs w:val="24"/>
          <w:lang w:val="en-GB"/>
        </w:rPr>
        <w:t xml:space="preserve">, 95% C.I.). These findings indicate that being from a family with a small size was associated with an increase in the likelihood of adopting succession planning </w:t>
      </w:r>
      <w:r>
        <w:rPr>
          <w:rFonts w:ascii="Arial Narrow" w:hAnsi="Arial Narrow" w:cs="Times New Roman"/>
          <w:bCs/>
          <w:color w:val="000000"/>
          <w:sz w:val="24"/>
          <w:szCs w:val="24"/>
        </w:rPr>
        <w:t>(p = 0.045).</w:t>
      </w:r>
      <w:r>
        <w:rPr>
          <w:rFonts w:ascii="Arial Narrow" w:hAnsi="Arial Narrow" w:cs="Times New Roman"/>
          <w:bCs/>
          <w:color w:val="000000"/>
          <w:sz w:val="24"/>
          <w:szCs w:val="24"/>
          <w:lang w:val="en-GB"/>
        </w:rPr>
        <w:t xml:space="preserve"> This suggests that a large family size makes it more difficult to select a successor for the family business, and therefore, it becomes hard to practise succession planning, compared to a small family size</w:t>
      </w:r>
      <w:r>
        <w:rPr>
          <w:rFonts w:ascii="Arial Narrow" w:hAnsi="Arial Narrow" w:cs="Times New Roman"/>
          <w:bCs/>
          <w:color w:val="000000"/>
          <w:sz w:val="24"/>
          <w:szCs w:val="24"/>
        </w:rPr>
        <w:t xml:space="preserve">. </w:t>
      </w:r>
      <w:r>
        <w:rPr>
          <w:rFonts w:ascii="Arial Narrow" w:hAnsi="Arial Narrow" w:cs="Times New Roman"/>
          <w:bCs/>
          <w:color w:val="000000"/>
          <w:sz w:val="24"/>
          <w:szCs w:val="24"/>
          <w:lang w:val="en-GB"/>
        </w:rPr>
        <w:t xml:space="preserve">The findings are consistent with the findings of Clegg (2018), who discovered that families with a small number of members could easily adopt succession plans. </w:t>
      </w:r>
    </w:p>
    <w:p w14:paraId="1DB3340E">
      <w:pPr>
        <w:spacing w:before="240" w:line="360" w:lineRule="auto"/>
        <w:jc w:val="both"/>
        <w:rPr>
          <w:rFonts w:ascii="Arial Narrow" w:hAnsi="Arial Narrow" w:cs="Times New Roman"/>
          <w:b/>
          <w:bCs/>
          <w:color w:val="000000"/>
          <w:sz w:val="24"/>
          <w:szCs w:val="24"/>
          <w:lang w:val="en-GB"/>
        </w:rPr>
      </w:pPr>
      <w:r>
        <w:rPr>
          <w:rFonts w:ascii="Arial Narrow" w:hAnsi="Arial Narrow" w:cs="Times New Roman"/>
          <w:b/>
          <w:bCs/>
          <w:color w:val="000000"/>
          <w:sz w:val="24"/>
          <w:szCs w:val="24"/>
          <w:lang w:val="en-GB"/>
        </w:rPr>
        <w:t xml:space="preserve">3.5 </w:t>
      </w:r>
      <w:commentRangeStart w:id="11"/>
      <w:r>
        <w:rPr>
          <w:rFonts w:ascii="Arial Narrow" w:hAnsi="Arial Narrow" w:cs="Times New Roman"/>
          <w:b/>
          <w:bCs/>
          <w:color w:val="000000"/>
          <w:sz w:val="24"/>
          <w:szCs w:val="24"/>
          <w:lang w:val="en-GB"/>
        </w:rPr>
        <w:t xml:space="preserve">Bussiness </w:t>
      </w:r>
      <w:commentRangeEnd w:id="11"/>
      <w:r>
        <w:commentReference w:id="11"/>
      </w:r>
      <w:r>
        <w:rPr>
          <w:rFonts w:ascii="Arial Narrow" w:hAnsi="Arial Narrow" w:cs="Times New Roman"/>
          <w:b/>
          <w:bCs/>
          <w:color w:val="000000"/>
          <w:sz w:val="24"/>
          <w:szCs w:val="24"/>
          <w:lang w:val="en-GB"/>
        </w:rPr>
        <w:t>Experience</w:t>
      </w:r>
    </w:p>
    <w:p w14:paraId="7EE0B115">
      <w:pPr>
        <w:spacing w:before="240" w:line="360" w:lineRule="auto"/>
        <w:jc w:val="both"/>
        <w:rPr>
          <w:rFonts w:ascii="Arial Narrow" w:hAnsi="Arial Narrow" w:cs="Times New Roman"/>
          <w:bCs/>
          <w:color w:val="000000"/>
          <w:sz w:val="24"/>
          <w:szCs w:val="24"/>
        </w:rPr>
      </w:pPr>
      <w:r>
        <w:rPr>
          <w:rFonts w:ascii="Arial Narrow" w:hAnsi="Arial Narrow" w:cs="Times New Roman"/>
          <w:bCs/>
          <w:color w:val="000000"/>
          <w:sz w:val="24"/>
          <w:szCs w:val="24"/>
        </w:rPr>
        <w:t xml:space="preserve">Business experience, The results in Table 4 show that family business owners with more than five years of business experience were significantly more likely to adopt succession planning (OR = 4.866, 95% C.I.) than those with less than five years of business experience. Business experience is equivalent to the adoption of succession planning. This implies that, in comparison to those with fewer years of business experience, people with more years of business experience have a favorable impact on the adoption of succession planning in a company (p = 0.037). These findings are consistent with those of Oguka et al. (2020), who found that a key element in supporting succession planning in family-owned enterprises is the successor's business expertise. Furthermore, 67% of Tanzanian family company owners prefer someone with business expertise, which is consistent with Magasi (2021). Experience in a certain family-owned firm is crucial for succession planning. In a similar vein, Umans et al, (2023) discovered that 79.8% of family members who had enough expertise running the family business were left in command. Additionally, </w:t>
      </w:r>
      <w:commentRangeStart w:id="12"/>
      <w:r>
        <w:rPr>
          <w:rFonts w:ascii="Arial Narrow" w:hAnsi="Arial Narrow" w:cs="Times New Roman"/>
          <w:bCs/>
          <w:color w:val="000000"/>
          <w:sz w:val="24"/>
          <w:szCs w:val="24"/>
        </w:rPr>
        <w:t>Aderonke (2014)</w:t>
      </w:r>
      <w:commentRangeEnd w:id="12"/>
      <w:r>
        <w:commentReference w:id="12"/>
      </w:r>
      <w:r>
        <w:rPr>
          <w:rFonts w:ascii="Arial Narrow" w:hAnsi="Arial Narrow" w:cs="Times New Roman"/>
          <w:bCs/>
          <w:color w:val="000000"/>
          <w:sz w:val="24"/>
          <w:szCs w:val="24"/>
        </w:rPr>
        <w:t xml:space="preserve"> discovered that family values, particularly justice and trust, have a significant influence on succession planning because the founders of most family-owned businesses are reluctant to cede power.</w:t>
      </w:r>
    </w:p>
    <w:p w14:paraId="0CF67515">
      <w:pPr>
        <w:spacing w:line="360" w:lineRule="auto"/>
        <w:rPr>
          <w:rFonts w:ascii="Arial Narrow" w:hAnsi="Arial Narrow" w:cs="Times New Roman"/>
          <w:b/>
          <w:sz w:val="24"/>
          <w:szCs w:val="24"/>
        </w:rPr>
      </w:pPr>
      <w:r>
        <w:rPr>
          <w:rFonts w:ascii="Arial Narrow" w:hAnsi="Arial Narrow" w:cs="Times New Roman"/>
          <w:b/>
          <w:sz w:val="24"/>
          <w:szCs w:val="24"/>
        </w:rPr>
        <w:t xml:space="preserve">4. CONCLUSION </w:t>
      </w:r>
    </w:p>
    <w:p w14:paraId="65F6633E">
      <w:pPr>
        <w:spacing w:line="360" w:lineRule="auto"/>
        <w:jc w:val="both"/>
        <w:rPr>
          <w:rFonts w:ascii="Arial Narrow" w:hAnsi="Arial Narrow" w:cs="Times New Roman"/>
          <w:b/>
          <w:sz w:val="24"/>
          <w:szCs w:val="24"/>
        </w:rPr>
      </w:pPr>
      <w:r>
        <w:rPr>
          <w:rFonts w:ascii="Arial Narrow" w:hAnsi="Arial Narrow" w:cs="Times New Roman"/>
          <w:sz w:val="24"/>
          <w:szCs w:val="24"/>
        </w:rPr>
        <w:t xml:space="preserve">Binary logistic regression showed that the chance of adopting succession planning was significantly influenced by gender, age, education level, business experience, and family size (&lt;0.05). The study revealed that most family business owners knew a lot about succession planning. Regarding social and cultural factors. At the beginning of a business, it is determined that socio-cultural elements have a substantial impact on the adoption of succession planning for family-owned businesses. Include sex, age, education level, business experience, and family size. </w:t>
      </w:r>
    </w:p>
    <w:p w14:paraId="384A3FB4">
      <w:pPr>
        <w:spacing w:line="360" w:lineRule="auto"/>
        <w:jc w:val="both"/>
        <w:rPr>
          <w:rFonts w:ascii="Arial Narrow" w:hAnsi="Arial Narrow" w:cs="Times New Roman"/>
          <w:b/>
          <w:sz w:val="24"/>
          <w:szCs w:val="24"/>
        </w:rPr>
      </w:pPr>
      <w:r>
        <w:rPr>
          <w:rFonts w:ascii="Arial Narrow" w:hAnsi="Arial Narrow" w:cs="Times New Roman"/>
          <w:iCs/>
          <w:color w:val="000000"/>
          <w:sz w:val="24"/>
          <w:szCs w:val="24"/>
        </w:rPr>
        <w:t>The study concludes that the sociocultural factors have an impact on succession planning adoption. Finds that family size, sex, age, education, and business experience all significantly affect whether or not family-owned enterprises use succession planning. Additionally, the survey finds that although firm owners are aware of succession planning and have a favorable attitude about it, they have not put it into practice. The study limit on Dodoma city council.</w:t>
      </w:r>
    </w:p>
    <w:p w14:paraId="137AB1BD">
      <w:pPr>
        <w:spacing w:after="0" w:line="360" w:lineRule="auto"/>
        <w:jc w:val="both"/>
        <w:rPr>
          <w:rFonts w:ascii="Arial Narrow" w:hAnsi="Arial Narrow" w:cs="Times New Roman"/>
          <w:b/>
          <w:iCs/>
          <w:color w:val="000000"/>
          <w:sz w:val="24"/>
          <w:szCs w:val="24"/>
        </w:rPr>
      </w:pPr>
      <w:r>
        <w:rPr>
          <w:rFonts w:ascii="Arial Narrow" w:hAnsi="Arial Narrow" w:cs="Times New Roman"/>
          <w:b/>
          <w:iCs/>
          <w:color w:val="000000"/>
          <w:sz w:val="24"/>
          <w:szCs w:val="24"/>
        </w:rPr>
        <w:t>5. RECOMMENDATION</w:t>
      </w:r>
    </w:p>
    <w:p w14:paraId="65014EDD">
      <w:pPr>
        <w:spacing w:after="0" w:line="360" w:lineRule="auto"/>
        <w:jc w:val="both"/>
        <w:rPr>
          <w:rFonts w:ascii="Arial Narrow" w:hAnsi="Arial Narrow" w:cs="Times New Roman"/>
          <w:iCs/>
          <w:color w:val="000000"/>
          <w:sz w:val="24"/>
          <w:szCs w:val="24"/>
        </w:rPr>
      </w:pPr>
      <w:r>
        <w:rPr>
          <w:rFonts w:ascii="Arial Narrow" w:hAnsi="Arial Narrow" w:cs="Times New Roman"/>
          <w:iCs/>
          <w:color w:val="000000"/>
          <w:sz w:val="24"/>
          <w:szCs w:val="24"/>
        </w:rPr>
        <w:t xml:space="preserve">The study recommends that the government should make sure family business owners are taught succession planning and have access to information about it. To cover large areas, the Dodoma city councils ought to hire more trade officials and </w:t>
      </w:r>
      <w:bookmarkStart w:id="46" w:name="_Hlk105657254"/>
      <w:r>
        <w:rPr>
          <w:rFonts w:ascii="Arial Narrow" w:hAnsi="Arial Narrow" w:cs="Times New Roman"/>
          <w:iCs/>
          <w:color w:val="000000"/>
          <w:sz w:val="24"/>
          <w:szCs w:val="24"/>
        </w:rPr>
        <w:t>trainers.</w:t>
      </w:r>
      <w:r>
        <w:rPr>
          <w:rFonts w:ascii="Arial Narrow" w:hAnsi="Arial Narrow" w:cs="Times New Roman"/>
          <w:bCs/>
          <w:color w:val="000000"/>
          <w:sz w:val="24"/>
          <w:szCs w:val="24"/>
        </w:rPr>
        <w:t xml:space="preserve"> The government should make sure that family business owners can learn about succession planning and receive training on how to use it. To reach a larger area, municipal governments could hire additional trainers and trade officers.</w:t>
      </w:r>
    </w:p>
    <w:p w14:paraId="7E3B5EC1">
      <w:pPr>
        <w:spacing w:after="0" w:line="360" w:lineRule="auto"/>
        <w:jc w:val="both"/>
        <w:rPr>
          <w:rFonts w:ascii="Arial Narrow" w:hAnsi="Arial Narrow" w:cs="Times New Roman"/>
          <w:bCs/>
          <w:color w:val="000000"/>
          <w:sz w:val="24"/>
          <w:szCs w:val="24"/>
        </w:rPr>
      </w:pPr>
    </w:p>
    <w:p w14:paraId="46AF1696">
      <w:pPr>
        <w:spacing w:after="0" w:line="360" w:lineRule="auto"/>
        <w:jc w:val="both"/>
        <w:rPr>
          <w:rFonts w:ascii="Arial Narrow" w:hAnsi="Arial Narrow" w:cs="Times New Roman"/>
          <w:bCs/>
          <w:color w:val="000000"/>
          <w:sz w:val="24"/>
          <w:szCs w:val="24"/>
        </w:rPr>
      </w:pPr>
      <w:r>
        <w:rPr>
          <w:rFonts w:ascii="Arial Narrow" w:hAnsi="Arial Narrow" w:cs="Times New Roman"/>
          <w:bCs/>
          <w:color w:val="000000"/>
          <w:sz w:val="24"/>
          <w:szCs w:val="24"/>
        </w:rPr>
        <w:t>Non-governmental organizations ought to focus more on increasing knowledge and fostering expertise in the application of succession planning in family-owned businesses. Working together with different government agencies and family business owners can help achieve this. The number of family business owners who employ succession planning in their companies will rise as a result. Owners of family businesses should have a different perspective on succession planning. This will improve family businesses' chances of surviving from the first generation towards the second and third generations.</w:t>
      </w:r>
      <w:bookmarkEnd w:id="46"/>
    </w:p>
    <w:p w14:paraId="460257BA">
      <w:pPr>
        <w:spacing w:after="0" w:line="360" w:lineRule="auto"/>
        <w:jc w:val="both"/>
        <w:rPr>
          <w:rFonts w:ascii="Arial Narrow" w:hAnsi="Arial Narrow" w:cs="Times New Roman"/>
          <w:b/>
          <w:bCs/>
          <w:color w:val="000000"/>
          <w:sz w:val="24"/>
          <w:szCs w:val="24"/>
        </w:rPr>
      </w:pPr>
      <w:r>
        <w:rPr>
          <w:rFonts w:ascii="Arial Narrow" w:hAnsi="Arial Narrow" w:cs="Times New Roman"/>
          <w:b/>
          <w:bCs/>
          <w:color w:val="000000"/>
          <w:sz w:val="24"/>
          <w:szCs w:val="24"/>
        </w:rPr>
        <w:t xml:space="preserve">Recommendation for Further Study </w:t>
      </w:r>
    </w:p>
    <w:p w14:paraId="62EC4F3D">
      <w:pPr>
        <w:spacing w:after="0" w:line="360" w:lineRule="auto"/>
        <w:jc w:val="both"/>
        <w:rPr>
          <w:rFonts w:ascii="Arial Narrow" w:hAnsi="Arial Narrow" w:cs="Times New Roman"/>
          <w:bCs/>
          <w:color w:val="000000"/>
          <w:sz w:val="24"/>
          <w:szCs w:val="24"/>
        </w:rPr>
      </w:pPr>
      <w:r>
        <w:rPr>
          <w:rFonts w:ascii="Arial Narrow" w:hAnsi="Arial Narrow" w:cs="Times New Roman"/>
          <w:b/>
          <w:bCs/>
          <w:color w:val="000000"/>
          <w:sz w:val="24"/>
          <w:szCs w:val="24"/>
        </w:rPr>
        <w:t>E</w:t>
      </w:r>
      <w:r>
        <w:rPr>
          <w:rFonts w:ascii="Arial Narrow" w:hAnsi="Arial Narrow" w:cs="Times New Roman"/>
          <w:bCs/>
          <w:color w:val="000000"/>
          <w:sz w:val="24"/>
          <w:szCs w:val="24"/>
        </w:rPr>
        <w:t xml:space="preserve">ffectiveness of succession planning of family business on economic growth </w:t>
      </w:r>
    </w:p>
    <w:p w14:paraId="1EA8BABE">
      <w:pPr>
        <w:spacing w:after="0" w:line="360" w:lineRule="auto"/>
        <w:jc w:val="both"/>
        <w:rPr>
          <w:rFonts w:ascii="Arial Narrow" w:hAnsi="Arial Narrow" w:cs="Times New Roman"/>
          <w:bCs/>
          <w:color w:val="000000"/>
          <w:sz w:val="24"/>
          <w:szCs w:val="24"/>
        </w:rPr>
      </w:pPr>
      <w:r>
        <w:rPr>
          <w:rFonts w:ascii="Arial Narrow" w:hAnsi="Arial Narrow" w:cs="Times New Roman"/>
          <w:bCs/>
          <w:color w:val="000000"/>
          <w:sz w:val="24"/>
          <w:szCs w:val="24"/>
        </w:rPr>
        <w:t xml:space="preserve">Technical factors influencing the adoption of succession planning </w:t>
      </w:r>
    </w:p>
    <w:p w14:paraId="4A10CDDC">
      <w:pPr>
        <w:spacing w:after="0" w:line="360" w:lineRule="auto"/>
        <w:jc w:val="both"/>
        <w:rPr>
          <w:rFonts w:ascii="Arial Narrow" w:hAnsi="Arial Narrow" w:cs="Times New Roman"/>
          <w:bCs/>
          <w:color w:val="000000"/>
          <w:sz w:val="24"/>
          <w:szCs w:val="24"/>
        </w:rPr>
      </w:pPr>
    </w:p>
    <w:p w14:paraId="01B64BAA">
      <w:pPr>
        <w:spacing w:after="0" w:line="360" w:lineRule="auto"/>
        <w:rPr>
          <w:rFonts w:ascii="Arial Narrow" w:hAnsi="Arial Narrow" w:cs="Times New Roman"/>
          <w:b/>
          <w:color w:val="000000"/>
          <w:sz w:val="24"/>
          <w:szCs w:val="24"/>
          <w:lang w:val="en-GB"/>
        </w:rPr>
      </w:pPr>
      <w:r>
        <w:rPr>
          <w:rFonts w:ascii="Arial Narrow" w:hAnsi="Arial Narrow" w:cs="Times New Roman"/>
          <w:b/>
          <w:color w:val="000000"/>
          <w:sz w:val="24"/>
          <w:szCs w:val="24"/>
          <w:lang w:val="en-GB"/>
        </w:rPr>
        <w:t>DISCLAIMER (ARTIFICIAL INTELLIGENCE)</w:t>
      </w:r>
    </w:p>
    <w:p w14:paraId="49816AF6">
      <w:pPr>
        <w:spacing w:after="0" w:line="240" w:lineRule="auto"/>
        <w:jc w:val="both"/>
        <w:rPr>
          <w:rFonts w:ascii="Arial Narrow" w:hAnsi="Arial Narrow" w:eastAsia="Calibri" w:cs="Arial"/>
          <w:kern w:val="2"/>
          <w:sz w:val="24"/>
          <w:szCs w:val="24"/>
        </w:rPr>
      </w:pPr>
      <w:r>
        <w:rPr>
          <w:rFonts w:ascii="Arial Narrow" w:hAnsi="Arial Narrow" w:eastAsia="Calibri" w:cs="Arial"/>
          <w:kern w:val="2"/>
          <w:sz w:val="24"/>
          <w:szCs w:val="24"/>
        </w:rPr>
        <w:t xml:space="preserve">Author(s) hereby declare that NO generative AI technologies such as Large Language Models (ChatGPT, COPILOT, etc.) and text-to-image generators have been used during the writing or editing of this manuscript. </w:t>
      </w:r>
    </w:p>
    <w:p w14:paraId="04F12DAC">
      <w:pPr>
        <w:spacing w:after="0" w:line="240" w:lineRule="auto"/>
        <w:jc w:val="both"/>
        <w:rPr>
          <w:rFonts w:ascii="Arial Narrow" w:hAnsi="Arial Narrow" w:eastAsia="Calibri" w:cs="Arial"/>
          <w:kern w:val="2"/>
          <w:sz w:val="24"/>
          <w:szCs w:val="24"/>
        </w:rPr>
      </w:pPr>
    </w:p>
    <w:p w14:paraId="3371E2D9">
      <w:pPr>
        <w:spacing w:after="0" w:line="360" w:lineRule="auto"/>
        <w:rPr>
          <w:rFonts w:ascii="Times New Roman" w:hAnsi="Times New Roman" w:cs="Times New Roman"/>
          <w:b/>
          <w:color w:val="000000"/>
          <w:sz w:val="24"/>
          <w:szCs w:val="24"/>
          <w:lang w:val="en-GB"/>
        </w:rPr>
      </w:pPr>
      <w:r>
        <w:rPr>
          <w:rFonts w:ascii="Times New Roman" w:hAnsi="Times New Roman" w:cs="Times New Roman"/>
          <w:b/>
          <w:color w:val="000000"/>
          <w:sz w:val="24"/>
          <w:szCs w:val="24"/>
          <w:lang w:val="en-GB"/>
        </w:rPr>
        <w:t>COMPETING INTEREST</w:t>
      </w:r>
    </w:p>
    <w:p w14:paraId="33185DA0">
      <w:pPr>
        <w:spacing w:after="0" w:line="240" w:lineRule="auto"/>
        <w:jc w:val="both"/>
        <w:rPr>
          <w:rFonts w:ascii="Arial Narrow" w:hAnsi="Arial Narrow" w:eastAsia="Times New Roman" w:cs="Arial"/>
          <w:sz w:val="24"/>
          <w:szCs w:val="24"/>
        </w:rPr>
      </w:pPr>
      <w:r>
        <w:rPr>
          <w:rFonts w:ascii="Arial Narrow" w:hAnsi="Arial Narrow" w:eastAsia="Times New Roman" w:cs="Arial"/>
          <w:sz w:val="24"/>
          <w:szCs w:val="24"/>
        </w:rPr>
        <w:t>Authors have declared that they have no known competing financial interests or non-financial interests or personal relationships that could have appeared to influence the work reported in this paper.</w:t>
      </w:r>
    </w:p>
    <w:p w14:paraId="0B17FFC8">
      <w:pPr>
        <w:spacing w:after="0" w:line="240" w:lineRule="auto"/>
        <w:jc w:val="both"/>
        <w:rPr>
          <w:rFonts w:ascii="Arial Narrow" w:hAnsi="Arial Narrow" w:eastAsia="Times New Roman" w:cs="Arial"/>
          <w:sz w:val="24"/>
          <w:szCs w:val="24"/>
        </w:rPr>
      </w:pPr>
    </w:p>
    <w:p w14:paraId="7BA22F20">
      <w:pPr>
        <w:spacing w:after="0" w:line="240" w:lineRule="auto"/>
        <w:jc w:val="both"/>
        <w:rPr>
          <w:rFonts w:ascii="Arial Narrow" w:hAnsi="Arial Narrow" w:eastAsia="Times New Roman" w:cs="Arial"/>
          <w:sz w:val="24"/>
          <w:szCs w:val="24"/>
        </w:rPr>
      </w:pPr>
    </w:p>
    <w:p w14:paraId="48CC7ED8">
      <w:pPr>
        <w:spacing w:after="0" w:line="360" w:lineRule="auto"/>
        <w:rPr>
          <w:rFonts w:ascii="Times New Roman" w:hAnsi="Times New Roman" w:cs="Times New Roman"/>
          <w:b/>
          <w:color w:val="000000"/>
          <w:sz w:val="24"/>
          <w:szCs w:val="24"/>
          <w:lang w:val="en-GB"/>
        </w:rPr>
      </w:pPr>
    </w:p>
    <w:p w14:paraId="682AF564">
      <w:pPr>
        <w:spacing w:after="0" w:line="360" w:lineRule="auto"/>
        <w:jc w:val="center"/>
        <w:rPr>
          <w:rFonts w:ascii="Arial Narrow" w:hAnsi="Arial Narrow" w:cs="Times New Roman"/>
          <w:b/>
          <w:color w:val="000000"/>
          <w:sz w:val="24"/>
          <w:szCs w:val="24"/>
          <w:lang w:val="en-GB"/>
        </w:rPr>
      </w:pPr>
    </w:p>
    <w:p w14:paraId="5314DDC3">
      <w:pPr>
        <w:spacing w:after="0" w:line="276" w:lineRule="auto"/>
        <w:rPr>
          <w:rFonts w:ascii="Arial Narrow" w:hAnsi="Arial Narrow" w:cs="Times New Roman"/>
          <w:b/>
          <w:color w:val="000000"/>
          <w:sz w:val="24"/>
          <w:szCs w:val="24"/>
          <w:lang w:val="en-GB"/>
        </w:rPr>
      </w:pPr>
    </w:p>
    <w:p w14:paraId="628C52E9">
      <w:pPr>
        <w:spacing w:after="0" w:line="276" w:lineRule="auto"/>
        <w:rPr>
          <w:rFonts w:ascii="Arial Narrow" w:hAnsi="Arial Narrow" w:cs="Times New Roman"/>
          <w:b/>
          <w:color w:val="000000"/>
          <w:sz w:val="24"/>
          <w:szCs w:val="24"/>
          <w:lang w:val="en-GB"/>
        </w:rPr>
      </w:pPr>
    </w:p>
    <w:p w14:paraId="3C55A304">
      <w:pPr>
        <w:spacing w:after="0" w:line="276" w:lineRule="auto"/>
        <w:rPr>
          <w:rFonts w:ascii="Arial Narrow" w:hAnsi="Arial Narrow" w:cs="Times New Roman"/>
          <w:b/>
          <w:color w:val="000000"/>
          <w:sz w:val="24"/>
          <w:szCs w:val="24"/>
          <w:lang w:val="en-GB"/>
        </w:rPr>
      </w:pPr>
    </w:p>
    <w:p w14:paraId="3C5B9949">
      <w:pPr>
        <w:spacing w:after="0" w:line="276" w:lineRule="auto"/>
        <w:rPr>
          <w:rFonts w:ascii="Arial Narrow" w:hAnsi="Arial Narrow" w:cs="Times New Roman"/>
          <w:b/>
          <w:color w:val="000000"/>
          <w:sz w:val="24"/>
          <w:szCs w:val="24"/>
          <w:lang w:val="en-GB"/>
        </w:rPr>
      </w:pPr>
    </w:p>
    <w:p w14:paraId="21144E47">
      <w:pPr>
        <w:spacing w:after="0" w:line="276" w:lineRule="auto"/>
        <w:rPr>
          <w:rFonts w:ascii="Arial Narrow" w:hAnsi="Arial Narrow" w:cs="Times New Roman"/>
          <w:b/>
          <w:color w:val="000000"/>
          <w:sz w:val="24"/>
          <w:szCs w:val="24"/>
          <w:lang w:val="en-GB"/>
        </w:rPr>
      </w:pPr>
    </w:p>
    <w:p w14:paraId="230BBB95">
      <w:pPr>
        <w:spacing w:after="0" w:line="276" w:lineRule="auto"/>
        <w:rPr>
          <w:rFonts w:ascii="Arial Narrow" w:hAnsi="Arial Narrow" w:cs="Times New Roman"/>
          <w:b/>
          <w:color w:val="000000"/>
          <w:sz w:val="24"/>
          <w:szCs w:val="24"/>
          <w:lang w:val="en-GB"/>
        </w:rPr>
      </w:pPr>
    </w:p>
    <w:p w14:paraId="1428090A">
      <w:pPr>
        <w:spacing w:after="0" w:line="276" w:lineRule="auto"/>
        <w:rPr>
          <w:rFonts w:ascii="Arial Narrow" w:hAnsi="Arial Narrow" w:cs="Times New Roman"/>
          <w:b/>
          <w:color w:val="000000"/>
          <w:sz w:val="24"/>
          <w:szCs w:val="24"/>
          <w:lang w:val="en-GB"/>
        </w:rPr>
      </w:pPr>
    </w:p>
    <w:p w14:paraId="5EEF8A2A">
      <w:pPr>
        <w:spacing w:after="0" w:line="276" w:lineRule="auto"/>
        <w:rPr>
          <w:rFonts w:ascii="Arial Narrow" w:hAnsi="Arial Narrow" w:cs="Times New Roman"/>
          <w:b/>
          <w:color w:val="000000"/>
          <w:sz w:val="24"/>
          <w:szCs w:val="24"/>
          <w:lang w:val="en-GB"/>
        </w:rPr>
      </w:pPr>
    </w:p>
    <w:p w14:paraId="26945CAE">
      <w:pPr>
        <w:spacing w:after="0" w:line="276" w:lineRule="auto"/>
        <w:jc w:val="center"/>
        <w:rPr>
          <w:rFonts w:ascii="Arial Narrow" w:hAnsi="Arial Narrow" w:cs="Times New Roman"/>
          <w:b/>
          <w:color w:val="000000"/>
          <w:sz w:val="24"/>
          <w:szCs w:val="24"/>
          <w:lang w:val="en-GB"/>
        </w:rPr>
      </w:pPr>
    </w:p>
    <w:p w14:paraId="24B43683">
      <w:pPr>
        <w:spacing w:after="0" w:line="276" w:lineRule="auto"/>
        <w:jc w:val="center"/>
        <w:rPr>
          <w:rFonts w:ascii="Arial Narrow" w:hAnsi="Arial Narrow" w:cs="Times New Roman"/>
          <w:b/>
          <w:color w:val="000000"/>
          <w:sz w:val="24"/>
          <w:szCs w:val="24"/>
          <w:lang w:val="en-GB"/>
        </w:rPr>
      </w:pPr>
      <w:r>
        <w:rPr>
          <w:rFonts w:ascii="Arial Narrow" w:hAnsi="Arial Narrow" w:cs="Times New Roman"/>
          <w:b/>
          <w:color w:val="000000"/>
          <w:sz w:val="24"/>
          <w:szCs w:val="24"/>
          <w:lang w:val="en-GB"/>
        </w:rPr>
        <w:t>REFERENCES</w:t>
      </w:r>
    </w:p>
    <w:p w14:paraId="309BF504">
      <w:pPr>
        <w:widowControl w:val="0"/>
        <w:autoSpaceDE w:val="0"/>
        <w:autoSpaceDN w:val="0"/>
        <w:adjustRightInd w:val="0"/>
        <w:spacing w:after="0" w:line="360" w:lineRule="auto"/>
        <w:ind w:left="480" w:hanging="720"/>
        <w:jc w:val="both"/>
        <w:rPr>
          <w:rFonts w:ascii="Arial Narrow" w:hAnsi="Arial Narrow" w:cs="Times New Roman"/>
          <w:sz w:val="24"/>
          <w:szCs w:val="24"/>
        </w:rPr>
      </w:pPr>
      <w:r>
        <w:rPr>
          <w:rFonts w:ascii="Arial Narrow" w:hAnsi="Arial Narrow" w:cs="Times New Roman"/>
          <w:sz w:val="24"/>
          <w:szCs w:val="24"/>
        </w:rPr>
        <w:t>Barnett, R. and Davis, S. (2021). Creating Greater Success in Succession Planning in Jordan. Adv Dev. Hum. Resource, 10: 721–739.</w:t>
      </w:r>
    </w:p>
    <w:p w14:paraId="6A13617C">
      <w:pPr>
        <w:widowControl w:val="0"/>
        <w:autoSpaceDE w:val="0"/>
        <w:autoSpaceDN w:val="0"/>
        <w:adjustRightInd w:val="0"/>
        <w:spacing w:after="0" w:line="360" w:lineRule="auto"/>
        <w:ind w:left="480" w:hanging="720"/>
        <w:jc w:val="both"/>
        <w:rPr>
          <w:rFonts w:ascii="Arial Narrow" w:hAnsi="Arial Narrow" w:cs="Times New Roman"/>
          <w:sz w:val="24"/>
          <w:szCs w:val="24"/>
        </w:rPr>
      </w:pPr>
      <w:r>
        <w:rPr>
          <w:rFonts w:ascii="Arial Narrow" w:hAnsi="Arial Narrow" w:cs="Times New Roman"/>
          <w:sz w:val="24"/>
          <w:szCs w:val="24"/>
        </w:rPr>
        <w:t xml:space="preserve">Clegg, B. (2018). Perceptions of growth-impeding constraints acting upon SMEs’ operations and the identification and use of transitional paths to elevate them. International Journal of Operations and Production Management, 38(3), 756–783. </w:t>
      </w:r>
      <w:r>
        <w:fldChar w:fldCharType="begin"/>
      </w:r>
      <w:r>
        <w:instrText xml:space="preserve"> HYPERLINK "https://doi.org/10.1108/IJOPM-12-2015-0736" </w:instrText>
      </w:r>
      <w:r>
        <w:fldChar w:fldCharType="separate"/>
      </w:r>
      <w:r>
        <w:rPr>
          <w:rFonts w:ascii="Arial Narrow" w:hAnsi="Arial Narrow" w:cs="Times New Roman"/>
          <w:sz w:val="24"/>
          <w:szCs w:val="24"/>
        </w:rPr>
        <w:t>https://doi.org/10.1108/IJOPM-12-2015-0736</w:t>
      </w:r>
      <w:r>
        <w:rPr>
          <w:rFonts w:ascii="Arial Narrow" w:hAnsi="Arial Narrow" w:cs="Times New Roman"/>
          <w:sz w:val="24"/>
          <w:szCs w:val="24"/>
        </w:rPr>
        <w:fldChar w:fldCharType="end"/>
      </w:r>
    </w:p>
    <w:p w14:paraId="048FB362">
      <w:pPr>
        <w:widowControl w:val="0"/>
        <w:autoSpaceDE w:val="0"/>
        <w:autoSpaceDN w:val="0"/>
        <w:adjustRightInd w:val="0"/>
        <w:spacing w:after="0" w:line="360" w:lineRule="auto"/>
        <w:ind w:left="480" w:hanging="720"/>
        <w:jc w:val="both"/>
        <w:rPr>
          <w:rFonts w:ascii="Arial Narrow" w:hAnsi="Arial Narrow" w:cs="Times New Roman"/>
          <w:sz w:val="24"/>
          <w:szCs w:val="24"/>
        </w:rPr>
      </w:pPr>
      <w:r>
        <w:rPr>
          <w:rFonts w:ascii="Arial Narrow" w:hAnsi="Arial Narrow" w:eastAsia="SimSun" w:cs="Times New Roman"/>
          <w:sz w:val="24"/>
          <w:szCs w:val="24"/>
          <w:lang w:eastAsia="zh-CN"/>
        </w:rPr>
        <w:t>Davis, L. (2024). Social networks and succession plan in family businesses. Journal of Business and Social Networks, 29(2), 210-225.</w:t>
      </w:r>
    </w:p>
    <w:p w14:paraId="17E16835">
      <w:pPr>
        <w:spacing w:line="360" w:lineRule="auto"/>
        <w:ind w:hanging="720"/>
        <w:jc w:val="both"/>
        <w:rPr>
          <w:rFonts w:ascii="Arial Narrow" w:hAnsi="Arial Narrow" w:cs="Times New Roman"/>
          <w:color w:val="000000" w:themeColor="text1"/>
          <w:sz w:val="24"/>
          <w:szCs w:val="24"/>
          <w14:textFill>
            <w14:solidFill>
              <w14:schemeClr w14:val="tx1"/>
            </w14:solidFill>
          </w14:textFill>
        </w:rPr>
      </w:pPr>
      <w:commentRangeStart w:id="13"/>
      <w:r>
        <w:rPr>
          <w:rFonts w:ascii="Arial Narrow" w:hAnsi="Arial Narrow" w:cs="Times New Roman"/>
          <w:color w:val="000000" w:themeColor="text1"/>
          <w:sz w:val="24"/>
          <w:szCs w:val="24"/>
          <w14:textFill>
            <w14:solidFill>
              <w14:schemeClr w14:val="tx1"/>
            </w14:solidFill>
          </w14:textFill>
        </w:rPr>
        <w:t>Kiwia, R</w:t>
      </w:r>
      <w:commentRangeEnd w:id="13"/>
      <w:r>
        <w:commentReference w:id="13"/>
      </w:r>
      <w:r>
        <w:rPr>
          <w:rFonts w:ascii="Arial Narrow" w:hAnsi="Arial Narrow" w:cs="Times New Roman"/>
          <w:color w:val="000000" w:themeColor="text1"/>
          <w:sz w:val="24"/>
          <w:szCs w:val="24"/>
          <w14:textFill>
            <w14:solidFill>
              <w14:schemeClr w14:val="tx1"/>
            </w14:solidFill>
          </w14:textFill>
        </w:rPr>
        <w:t>., Bengesi, K., &amp; Ndyetabula, D. (2022). Influence of Successors’ Entrepreneurial Competencies on Performance in Family-Owned Small and Medium Enterprises in Arusha City, Tanzania. </w:t>
      </w:r>
      <w:r>
        <w:rPr>
          <w:rFonts w:ascii="Arial Narrow" w:hAnsi="Arial Narrow" w:cs="Times New Roman"/>
          <w:i/>
          <w:iCs/>
          <w:color w:val="000000" w:themeColor="text1"/>
          <w:sz w:val="24"/>
          <w:szCs w:val="24"/>
          <w14:textFill>
            <w14:solidFill>
              <w14:schemeClr w14:val="tx1"/>
            </w14:solidFill>
          </w14:textFill>
        </w:rPr>
        <w:t>African Journal of Accounting and Social Science Studies</w:t>
      </w:r>
      <w:r>
        <w:rPr>
          <w:rFonts w:ascii="Arial Narrow" w:hAnsi="Arial Narrow" w:cs="Times New Roman"/>
          <w:color w:val="000000" w:themeColor="text1"/>
          <w:sz w:val="24"/>
          <w:szCs w:val="24"/>
          <w14:textFill>
            <w14:solidFill>
              <w14:schemeClr w14:val="tx1"/>
            </w14:solidFill>
          </w14:textFill>
        </w:rPr>
        <w:t>. https://doi.org/10.4314/ajasss.v4i1.12.</w:t>
      </w:r>
    </w:p>
    <w:p w14:paraId="3D67762C">
      <w:pPr>
        <w:widowControl w:val="0"/>
        <w:autoSpaceDE w:val="0"/>
        <w:autoSpaceDN w:val="0"/>
        <w:adjustRightInd w:val="0"/>
        <w:spacing w:after="0" w:line="360" w:lineRule="auto"/>
        <w:ind w:left="480" w:hanging="720"/>
        <w:jc w:val="both"/>
        <w:rPr>
          <w:rFonts w:ascii="Arial Narrow" w:hAnsi="Arial Narrow" w:cs="Times New Roman"/>
          <w:sz w:val="24"/>
          <w:szCs w:val="24"/>
        </w:rPr>
      </w:pPr>
      <w:r>
        <w:rPr>
          <w:rFonts w:ascii="Arial Narrow" w:hAnsi="Arial Narrow" w:cs="Times New Roman"/>
          <w:sz w:val="24"/>
          <w:szCs w:val="24"/>
        </w:rPr>
        <w:t>Lwesya, F. (2021). SMEs’ competitiveness and international trade in the era of Global Value Chains (GVCs) in Tanzania: An assessment and future challenges. Small Business International Review, 5(1), e325.</w:t>
      </w:r>
      <w:r>
        <w:rPr>
          <w:rFonts w:ascii="Arial Narrow" w:hAnsi="Arial Narrow" w:cs="Times New Roman"/>
          <w:color w:val="000000" w:themeColor="text1"/>
          <w:sz w:val="24"/>
          <w:szCs w:val="24"/>
          <w14:textFill>
            <w14:solidFill>
              <w14:schemeClr w14:val="tx1"/>
            </w14:solidFill>
          </w14:textFill>
        </w:rPr>
        <w:t xml:space="preserve"> </w:t>
      </w:r>
      <w:r>
        <w:fldChar w:fldCharType="begin"/>
      </w:r>
      <w:r>
        <w:instrText xml:space="preserve"> HYPERLINK "https://doi.org/10.26784/sbir.v5i1.325" </w:instrText>
      </w:r>
      <w:r>
        <w:fldChar w:fldCharType="separate"/>
      </w:r>
      <w:r>
        <w:rPr>
          <w:rStyle w:val="17"/>
          <w:rFonts w:ascii="Arial Narrow" w:hAnsi="Arial Narrow" w:cs="Times New Roman"/>
          <w:color w:val="000000" w:themeColor="text1"/>
          <w:sz w:val="24"/>
          <w:szCs w:val="24"/>
          <w:u w:val="none"/>
          <w14:textFill>
            <w14:solidFill>
              <w14:schemeClr w14:val="tx1"/>
            </w14:solidFill>
          </w14:textFill>
        </w:rPr>
        <w:t>https://doi.org/10.26784/sbir.v5i1.325</w:t>
      </w:r>
      <w:r>
        <w:rPr>
          <w:rStyle w:val="17"/>
          <w:rFonts w:ascii="Arial Narrow" w:hAnsi="Arial Narrow" w:cs="Times New Roman"/>
          <w:color w:val="000000" w:themeColor="text1"/>
          <w:sz w:val="24"/>
          <w:szCs w:val="24"/>
          <w:u w:val="none"/>
          <w14:textFill>
            <w14:solidFill>
              <w14:schemeClr w14:val="tx1"/>
            </w14:solidFill>
          </w14:textFill>
        </w:rPr>
        <w:fldChar w:fldCharType="end"/>
      </w:r>
    </w:p>
    <w:p w14:paraId="452D434F">
      <w:pPr>
        <w:widowControl w:val="0"/>
        <w:autoSpaceDE w:val="0"/>
        <w:autoSpaceDN w:val="0"/>
        <w:adjustRightInd w:val="0"/>
        <w:spacing w:after="0" w:line="360" w:lineRule="auto"/>
        <w:ind w:left="480" w:hanging="720"/>
        <w:jc w:val="both"/>
        <w:rPr>
          <w:rFonts w:ascii="Arial Narrow" w:hAnsi="Arial Narrow" w:cs="Times New Roman"/>
          <w:sz w:val="24"/>
          <w:szCs w:val="24"/>
        </w:rPr>
      </w:pPr>
      <w:r>
        <w:rPr>
          <w:rFonts w:ascii="Arial Narrow" w:hAnsi="Arial Narrow" w:cs="Times New Roman"/>
          <w:sz w:val="24"/>
          <w:szCs w:val="24"/>
        </w:rPr>
        <w:t>Magasi, C. (2021). Investigation of Successor Selection Determinants and Their Effect on Family Business Survival. Dodoma, Tanzania: African Journal of Applied Research Vol. 7, No. 2 (2021), Pp. 57-70</w:t>
      </w:r>
    </w:p>
    <w:p w14:paraId="747C18EB">
      <w:pPr>
        <w:widowControl w:val="0"/>
        <w:autoSpaceDE w:val="0"/>
        <w:autoSpaceDN w:val="0"/>
        <w:adjustRightInd w:val="0"/>
        <w:spacing w:after="0" w:line="360" w:lineRule="auto"/>
        <w:ind w:left="480" w:hanging="720"/>
        <w:jc w:val="both"/>
        <w:rPr>
          <w:rFonts w:ascii="Arial Narrow" w:hAnsi="Arial Narrow" w:cs="Times New Roman"/>
          <w:sz w:val="24"/>
          <w:szCs w:val="24"/>
        </w:rPr>
      </w:pPr>
      <w:r>
        <w:rPr>
          <w:rFonts w:ascii="Arial Narrow" w:hAnsi="Arial Narrow" w:cs="Times New Roman"/>
          <w:sz w:val="24"/>
          <w:szCs w:val="24"/>
        </w:rPr>
        <w:t>Magasi, C. (2021). Management succession plan and family-owned manufacturing businesses' survival: The moderating role of the firm’s background variables. International Journal of Research in Business and Social Science, 10(8), 1224.https://doi.org/10.20525/ijr.bs.v10i8.1486.</w:t>
      </w:r>
    </w:p>
    <w:p w14:paraId="57D4ECCD">
      <w:pPr>
        <w:widowControl w:val="0"/>
        <w:autoSpaceDE w:val="0"/>
        <w:autoSpaceDN w:val="0"/>
        <w:adjustRightInd w:val="0"/>
        <w:spacing w:after="0" w:line="360" w:lineRule="auto"/>
        <w:ind w:left="480" w:hanging="720"/>
        <w:jc w:val="both"/>
        <w:rPr>
          <w:rFonts w:ascii="Arial Narrow" w:hAnsi="Arial Narrow" w:cs="Times New Roman"/>
          <w:sz w:val="24"/>
          <w:szCs w:val="24"/>
        </w:rPr>
      </w:pPr>
      <w:r>
        <w:rPr>
          <w:rFonts w:ascii="Arial Narrow" w:hAnsi="Arial Narrow" w:cs="Times New Roman"/>
          <w:sz w:val="24"/>
          <w:szCs w:val="24"/>
        </w:rPr>
        <w:t>Miroshnychenko, I., De Massis, A., Miller, D., &amp; Barontini, R. (2020). Family Business Growth Around the World. Entrepreneurship Theory and Practice, 45, 682 - 708. https://doi.org/10.1177/1042258720913028.</w:t>
      </w:r>
    </w:p>
    <w:p w14:paraId="1E8D5103">
      <w:pPr>
        <w:widowControl w:val="0"/>
        <w:autoSpaceDE w:val="0"/>
        <w:autoSpaceDN w:val="0"/>
        <w:adjustRightInd w:val="0"/>
        <w:spacing w:after="0" w:line="360" w:lineRule="auto"/>
        <w:ind w:left="480" w:hanging="720"/>
        <w:jc w:val="both"/>
        <w:rPr>
          <w:rFonts w:ascii="Arial Narrow" w:hAnsi="Arial Narrow" w:cs="Times New Roman"/>
          <w:sz w:val="24"/>
          <w:szCs w:val="24"/>
        </w:rPr>
      </w:pPr>
      <w:r>
        <w:rPr>
          <w:rFonts w:ascii="Arial Narrow" w:hAnsi="Arial Narrow" w:cs="Times New Roman"/>
          <w:sz w:val="24"/>
          <w:szCs w:val="24"/>
        </w:rPr>
        <w:t xml:space="preserve">Mustafa, M., Elliott, C., and Zhou, L. (2019). Succession in Chinese family-SMEs: a gendered analysis of successor learning and development. </w:t>
      </w:r>
      <w:r>
        <w:rPr>
          <w:rFonts w:ascii="Arial Narrow" w:hAnsi="Arial Narrow" w:cs="Times New Roman"/>
          <w:i/>
          <w:iCs/>
          <w:sz w:val="24"/>
          <w:szCs w:val="24"/>
        </w:rPr>
        <w:t>Human Resource Development International</w:t>
      </w:r>
      <w:r>
        <w:rPr>
          <w:rFonts w:ascii="Arial Narrow" w:hAnsi="Arial Narrow" w:cs="Times New Roman"/>
          <w:sz w:val="24"/>
          <w:szCs w:val="24"/>
        </w:rPr>
        <w:t xml:space="preserve">, </w:t>
      </w:r>
      <w:r>
        <w:rPr>
          <w:rFonts w:ascii="Arial Narrow" w:hAnsi="Arial Narrow" w:cs="Times New Roman"/>
          <w:i/>
          <w:iCs/>
          <w:sz w:val="24"/>
          <w:szCs w:val="24"/>
        </w:rPr>
        <w:t>22</w:t>
      </w:r>
      <w:r>
        <w:rPr>
          <w:rFonts w:ascii="Arial Narrow" w:hAnsi="Arial Narrow" w:cs="Times New Roman"/>
          <w:sz w:val="24"/>
          <w:szCs w:val="24"/>
        </w:rPr>
        <w:t xml:space="preserve">(5), 504–525. </w:t>
      </w:r>
      <w:r>
        <w:fldChar w:fldCharType="begin"/>
      </w:r>
      <w:r>
        <w:instrText xml:space="preserve"> HYPERLINK "https://doi.org/10.1080/13678868.2019.1608123" </w:instrText>
      </w:r>
      <w:r>
        <w:fldChar w:fldCharType="separate"/>
      </w:r>
      <w:r>
        <w:rPr>
          <w:rStyle w:val="17"/>
          <w:rFonts w:ascii="Arial Narrow" w:hAnsi="Arial Narrow" w:cs="Times New Roman"/>
          <w:color w:val="auto"/>
          <w:sz w:val="24"/>
          <w:szCs w:val="24"/>
          <w:u w:val="none"/>
        </w:rPr>
        <w:t>https://doi.org/10.1080/13678868.2019.1608123</w:t>
      </w:r>
      <w:r>
        <w:rPr>
          <w:rStyle w:val="17"/>
          <w:rFonts w:ascii="Arial Narrow" w:hAnsi="Arial Narrow" w:cs="Times New Roman"/>
          <w:color w:val="auto"/>
          <w:sz w:val="24"/>
          <w:szCs w:val="24"/>
          <w:u w:val="none"/>
        </w:rPr>
        <w:fldChar w:fldCharType="end"/>
      </w:r>
      <w:r>
        <w:rPr>
          <w:rFonts w:ascii="Arial Narrow" w:hAnsi="Arial Narrow" w:cs="Times New Roman"/>
          <w:sz w:val="24"/>
          <w:szCs w:val="24"/>
        </w:rPr>
        <w:t>.</w:t>
      </w:r>
    </w:p>
    <w:p w14:paraId="2E69A014">
      <w:pPr>
        <w:widowControl w:val="0"/>
        <w:autoSpaceDE w:val="0"/>
        <w:autoSpaceDN w:val="0"/>
        <w:adjustRightInd w:val="0"/>
        <w:spacing w:after="0" w:line="360" w:lineRule="auto"/>
        <w:ind w:left="480" w:hanging="720"/>
        <w:jc w:val="both"/>
        <w:rPr>
          <w:rFonts w:ascii="Arial Narrow" w:hAnsi="Arial Narrow" w:cs="Times New Roman"/>
          <w:bCs/>
          <w:sz w:val="24"/>
          <w:szCs w:val="24"/>
        </w:rPr>
      </w:pPr>
      <w:r>
        <w:rPr>
          <w:rFonts w:ascii="Arial Narrow" w:hAnsi="Arial Narrow" w:cs="Times New Roman"/>
          <w:bCs/>
          <w:sz w:val="24"/>
          <w:szCs w:val="24"/>
        </w:rPr>
        <w:t>Mwangi, M., &amp; Wanyama, J. (2021). Effect of Human Resource Planning on Organizational Performance of Deloitte Kenya. </w:t>
      </w:r>
      <w:r>
        <w:rPr>
          <w:rFonts w:ascii="Arial Narrow" w:hAnsi="Arial Narrow" w:cs="Times New Roman"/>
          <w:bCs/>
          <w:i/>
          <w:iCs/>
          <w:sz w:val="24"/>
          <w:szCs w:val="24"/>
        </w:rPr>
        <w:t>Human Resource and Leadership</w:t>
      </w:r>
      <w:r>
        <w:rPr>
          <w:rFonts w:ascii="Arial Narrow" w:hAnsi="Arial Narrow" w:cs="Times New Roman"/>
          <w:bCs/>
          <w:sz w:val="24"/>
          <w:szCs w:val="24"/>
        </w:rPr>
        <w:t>. https://doi.org/10.70619/vol1iss1pp32-38.</w:t>
      </w:r>
    </w:p>
    <w:p w14:paraId="252EFDC1">
      <w:pPr>
        <w:widowControl w:val="0"/>
        <w:autoSpaceDE w:val="0"/>
        <w:autoSpaceDN w:val="0"/>
        <w:adjustRightInd w:val="0"/>
        <w:spacing w:after="0" w:line="360" w:lineRule="auto"/>
        <w:ind w:left="480" w:hanging="720"/>
        <w:jc w:val="both"/>
        <w:rPr>
          <w:rFonts w:ascii="Arial Narrow" w:hAnsi="Arial Narrow" w:eastAsia="Calibri" w:cs="Times New Roman"/>
          <w:color w:val="000000"/>
          <w:sz w:val="24"/>
          <w:szCs w:val="24"/>
        </w:rPr>
      </w:pPr>
      <w:r>
        <w:rPr>
          <w:rFonts w:ascii="Arial Narrow" w:hAnsi="Arial Narrow" w:cs="Times New Roman"/>
          <w:sz w:val="24"/>
          <w:szCs w:val="24"/>
        </w:rPr>
        <w:t xml:space="preserve">Nkwabi, J.M. and Mboya, L.B. (2019). A Review of Factors Affecting the Growth of Small and Medium Enterprises (SMEs) in Tanzania. European Journal of Business and Management, 11(33), 1–8. </w:t>
      </w:r>
      <w:r>
        <w:fldChar w:fldCharType="begin"/>
      </w:r>
      <w:r>
        <w:instrText xml:space="preserve"> HYPERLINK "https://doi.org/10.7176/ejbm/11-33-01" </w:instrText>
      </w:r>
      <w:r>
        <w:fldChar w:fldCharType="separate"/>
      </w:r>
      <w:r>
        <w:rPr>
          <w:rFonts w:ascii="Arial Narrow" w:hAnsi="Arial Narrow" w:cs="Times New Roman"/>
          <w:sz w:val="24"/>
          <w:szCs w:val="24"/>
        </w:rPr>
        <w:t>https://doi.org/10.7176/ejbm/11-33-01</w:t>
      </w:r>
      <w:r>
        <w:rPr>
          <w:rFonts w:ascii="Arial Narrow" w:hAnsi="Arial Narrow" w:cs="Times New Roman"/>
          <w:sz w:val="24"/>
          <w:szCs w:val="24"/>
        </w:rPr>
        <w:fldChar w:fldCharType="end"/>
      </w:r>
      <w:r>
        <w:rPr>
          <w:rFonts w:ascii="Arial Narrow" w:hAnsi="Arial Narrow" w:cs="Times New Roman"/>
          <w:sz w:val="24"/>
          <w:szCs w:val="24"/>
        </w:rPr>
        <w:t>.</w:t>
      </w:r>
    </w:p>
    <w:p w14:paraId="16C98A77">
      <w:pPr>
        <w:widowControl w:val="0"/>
        <w:autoSpaceDE w:val="0"/>
        <w:autoSpaceDN w:val="0"/>
        <w:adjustRightInd w:val="0"/>
        <w:spacing w:after="0" w:line="360" w:lineRule="auto"/>
        <w:ind w:left="480" w:hanging="720"/>
        <w:jc w:val="both"/>
        <w:rPr>
          <w:rFonts w:ascii="Arial Narrow" w:hAnsi="Arial Narrow" w:cs="Times New Roman"/>
          <w:sz w:val="24"/>
          <w:szCs w:val="24"/>
        </w:rPr>
      </w:pPr>
      <w:r>
        <w:rPr>
          <w:rFonts w:ascii="Arial Narrow" w:hAnsi="Arial Narrow" w:cs="Times New Roman"/>
          <w:sz w:val="24"/>
          <w:szCs w:val="24"/>
        </w:rPr>
        <w:t>Oguka E.T, (2020). Entrepreneurship as Radical Change in the Family Business in Nigeria: Exploring the Role of Cultural Patterns. Family Business Review.</w:t>
      </w:r>
    </w:p>
    <w:p w14:paraId="4CD1B74B">
      <w:pPr>
        <w:widowControl w:val="0"/>
        <w:autoSpaceDE w:val="0"/>
        <w:autoSpaceDN w:val="0"/>
        <w:adjustRightInd w:val="0"/>
        <w:spacing w:after="0" w:line="360" w:lineRule="auto"/>
        <w:ind w:left="480" w:hanging="720"/>
        <w:jc w:val="both"/>
        <w:rPr>
          <w:rFonts w:ascii="Arial Narrow" w:hAnsi="Arial Narrow" w:cs="Times New Roman"/>
          <w:sz w:val="24"/>
          <w:szCs w:val="24"/>
        </w:rPr>
      </w:pPr>
      <w:r>
        <w:rPr>
          <w:rFonts w:ascii="Arial Narrow" w:hAnsi="Arial Narrow" w:cs="Times New Roman"/>
          <w:sz w:val="24"/>
          <w:szCs w:val="24"/>
        </w:rPr>
        <w:t xml:space="preserve">Phillips, L. (2020). Concept analysis: Succession plan. Nursing forum. </w:t>
      </w:r>
      <w:r>
        <w:fldChar w:fldCharType="begin"/>
      </w:r>
      <w:r>
        <w:instrText xml:space="preserve"> HYPERLINK "https://doi.org/10.1111/nuf.12490" </w:instrText>
      </w:r>
      <w:r>
        <w:fldChar w:fldCharType="separate"/>
      </w:r>
      <w:r>
        <w:rPr>
          <w:rFonts w:ascii="Arial Narrow" w:hAnsi="Arial Narrow" w:cs="Times New Roman"/>
          <w:sz w:val="24"/>
          <w:szCs w:val="24"/>
        </w:rPr>
        <w:t>https://doi.org/10.1111/nuf.12490</w:t>
      </w:r>
      <w:r>
        <w:rPr>
          <w:rFonts w:ascii="Arial Narrow" w:hAnsi="Arial Narrow" w:cs="Times New Roman"/>
          <w:sz w:val="24"/>
          <w:szCs w:val="24"/>
        </w:rPr>
        <w:fldChar w:fldCharType="end"/>
      </w:r>
      <w:r>
        <w:rPr>
          <w:rFonts w:ascii="Arial Narrow" w:hAnsi="Arial Narrow" w:cs="Times New Roman"/>
          <w:sz w:val="24"/>
          <w:szCs w:val="24"/>
        </w:rPr>
        <w:t>.</w:t>
      </w:r>
    </w:p>
    <w:p w14:paraId="24719DB3">
      <w:pPr>
        <w:widowControl w:val="0"/>
        <w:autoSpaceDE w:val="0"/>
        <w:autoSpaceDN w:val="0"/>
        <w:adjustRightInd w:val="0"/>
        <w:spacing w:after="0" w:line="360" w:lineRule="auto"/>
        <w:ind w:left="480" w:hanging="720"/>
        <w:jc w:val="both"/>
        <w:rPr>
          <w:rFonts w:ascii="Arial Narrow" w:hAnsi="Arial Narrow" w:cs="Times New Roman"/>
          <w:sz w:val="24"/>
          <w:szCs w:val="24"/>
        </w:rPr>
      </w:pPr>
      <w:r>
        <w:rPr>
          <w:rFonts w:ascii="Arial Narrow" w:hAnsi="Arial Narrow" w:cs="Times New Roman"/>
          <w:sz w:val="24"/>
          <w:szCs w:val="24"/>
        </w:rPr>
        <w:t>Pieper, T.M., Kellermanns, F.W. and Astrachan, J.H. (2021), “Update 2021: family businesses’ contribution to the US economy”, Family Enterprise USA, Vol. 704, pp. 1-29</w:t>
      </w:r>
    </w:p>
    <w:p w14:paraId="35BBB39F">
      <w:pPr>
        <w:spacing w:line="360" w:lineRule="auto"/>
        <w:ind w:hanging="720"/>
        <w:jc w:val="both"/>
        <w:rPr>
          <w:rFonts w:ascii="Arial Narrow" w:hAnsi="Arial Narrow" w:cs="Times New Roman"/>
          <w:sz w:val="24"/>
          <w:szCs w:val="24"/>
        </w:rPr>
      </w:pPr>
      <w:r>
        <w:rPr>
          <w:rFonts w:ascii="Arial Narrow" w:hAnsi="Arial Narrow" w:cs="Times New Roman"/>
          <w:sz w:val="24"/>
          <w:szCs w:val="24"/>
        </w:rPr>
        <w:t>Priya, A. (2021). Globalization of the Family Business - Public Policies, Innovation, Firm Growth, and Contribution in Gdp. , 10, 1-3. https://doi.org/10.37421/2169-026x.2021.10.318.</w:t>
      </w:r>
    </w:p>
    <w:p w14:paraId="7CE69B32">
      <w:pPr>
        <w:widowControl w:val="0"/>
        <w:autoSpaceDE w:val="0"/>
        <w:autoSpaceDN w:val="0"/>
        <w:adjustRightInd w:val="0"/>
        <w:spacing w:after="0" w:line="360" w:lineRule="auto"/>
        <w:ind w:left="480" w:hanging="720"/>
        <w:jc w:val="both"/>
        <w:rPr>
          <w:rFonts w:ascii="Arial Narrow" w:hAnsi="Arial Narrow" w:cs="Times New Roman"/>
          <w:sz w:val="24"/>
          <w:szCs w:val="24"/>
        </w:rPr>
      </w:pPr>
      <w:r>
        <w:rPr>
          <w:rFonts w:ascii="Arial Narrow" w:hAnsi="Arial Narrow" w:cs="Times New Roman"/>
          <w:sz w:val="24"/>
          <w:szCs w:val="24"/>
        </w:rPr>
        <w:t xml:space="preserve">Saan, R., Enu-Kwesi, F., and Faadiwie, N.R. (2020). Factors Influencing Succession Planning for Continuity of Family-owned Businesses in the Wa Municipality, Ghana. </w:t>
      </w:r>
      <w:r>
        <w:rPr>
          <w:rFonts w:ascii="Arial Narrow" w:hAnsi="Arial Narrow" w:cs="Times New Roman"/>
          <w:i/>
          <w:iCs/>
          <w:sz w:val="24"/>
          <w:szCs w:val="24"/>
        </w:rPr>
        <w:t>Universal Journal of Management</w:t>
      </w:r>
      <w:r>
        <w:rPr>
          <w:rFonts w:ascii="Arial Narrow" w:hAnsi="Arial Narrow" w:cs="Times New Roman"/>
          <w:sz w:val="24"/>
          <w:szCs w:val="24"/>
        </w:rPr>
        <w:t xml:space="preserve">, </w:t>
      </w:r>
      <w:r>
        <w:rPr>
          <w:rFonts w:ascii="Arial Narrow" w:hAnsi="Arial Narrow" w:cs="Times New Roman"/>
          <w:i/>
          <w:iCs/>
          <w:sz w:val="24"/>
          <w:szCs w:val="24"/>
        </w:rPr>
        <w:t>6</w:t>
      </w:r>
      <w:r>
        <w:rPr>
          <w:rFonts w:ascii="Arial Narrow" w:hAnsi="Arial Narrow" w:cs="Times New Roman"/>
          <w:sz w:val="24"/>
          <w:szCs w:val="24"/>
        </w:rPr>
        <w:t xml:space="preserve">(5), 165–177. </w:t>
      </w:r>
      <w:r>
        <w:fldChar w:fldCharType="begin"/>
      </w:r>
      <w:r>
        <w:instrText xml:space="preserve"> HYPERLINK "https://doi.org/10.13189/ujm.2020.060504" </w:instrText>
      </w:r>
      <w:r>
        <w:fldChar w:fldCharType="separate"/>
      </w:r>
      <w:r>
        <w:rPr>
          <w:rStyle w:val="17"/>
          <w:rFonts w:ascii="Arial Narrow" w:hAnsi="Arial Narrow" w:cs="Times New Roman"/>
          <w:color w:val="auto"/>
          <w:sz w:val="24"/>
          <w:szCs w:val="24"/>
          <w:u w:val="none"/>
        </w:rPr>
        <w:t>https://doi.org/10.13189/ujm.2020.060504</w:t>
      </w:r>
      <w:r>
        <w:rPr>
          <w:rStyle w:val="17"/>
          <w:rFonts w:ascii="Arial Narrow" w:hAnsi="Arial Narrow" w:cs="Times New Roman"/>
          <w:color w:val="auto"/>
          <w:sz w:val="24"/>
          <w:szCs w:val="24"/>
          <w:u w:val="none"/>
        </w:rPr>
        <w:fldChar w:fldCharType="end"/>
      </w:r>
      <w:r>
        <w:rPr>
          <w:rFonts w:ascii="Arial Narrow" w:hAnsi="Arial Narrow" w:cs="Times New Roman"/>
          <w:sz w:val="24"/>
          <w:szCs w:val="24"/>
        </w:rPr>
        <w:t>.</w:t>
      </w:r>
    </w:p>
    <w:p w14:paraId="35DCD576">
      <w:pPr>
        <w:widowControl w:val="0"/>
        <w:autoSpaceDE w:val="0"/>
        <w:autoSpaceDN w:val="0"/>
        <w:adjustRightInd w:val="0"/>
        <w:spacing w:after="0" w:line="360" w:lineRule="auto"/>
        <w:ind w:left="480" w:hanging="720"/>
        <w:jc w:val="both"/>
        <w:rPr>
          <w:rFonts w:ascii="Arial Narrow" w:hAnsi="Arial Narrow" w:cs="Times New Roman"/>
          <w:color w:val="000000" w:themeColor="text1"/>
          <w:sz w:val="24"/>
          <w:szCs w:val="24"/>
          <w14:textFill>
            <w14:solidFill>
              <w14:schemeClr w14:val="tx1"/>
            </w14:solidFill>
          </w14:textFill>
        </w:rPr>
      </w:pPr>
      <w:r>
        <w:rPr>
          <w:rFonts w:ascii="Arial Narrow" w:hAnsi="Arial Narrow" w:cs="Times New Roman"/>
          <w:color w:val="000000" w:themeColor="text1"/>
          <w:sz w:val="24"/>
          <w:szCs w:val="24"/>
          <w14:textFill>
            <w14:solidFill>
              <w14:schemeClr w14:val="tx1"/>
            </w14:solidFill>
          </w14:textFill>
        </w:rPr>
        <w:t>Shahzad, F., Akhlaq, A., &amp; Ghaffar, C. (2024). Exploring business succession dynamics in family-owned businesses: lessons from Pakistani case studies. </w:t>
      </w:r>
      <w:r>
        <w:rPr>
          <w:rFonts w:ascii="Arial Narrow" w:hAnsi="Arial Narrow" w:cs="Times New Roman"/>
          <w:i/>
          <w:iCs/>
          <w:color w:val="000000" w:themeColor="text1"/>
          <w:sz w:val="24"/>
          <w:szCs w:val="24"/>
          <w14:textFill>
            <w14:solidFill>
              <w14:schemeClr w14:val="tx1"/>
            </w14:solidFill>
          </w14:textFill>
        </w:rPr>
        <w:t>Journal of Family Business Management</w:t>
      </w:r>
      <w:r>
        <w:rPr>
          <w:rFonts w:ascii="Arial Narrow" w:hAnsi="Arial Narrow" w:cs="Times New Roman"/>
          <w:color w:val="000000" w:themeColor="text1"/>
          <w:sz w:val="24"/>
          <w:szCs w:val="24"/>
          <w14:textFill>
            <w14:solidFill>
              <w14:schemeClr w14:val="tx1"/>
            </w14:solidFill>
          </w14:textFill>
        </w:rPr>
        <w:t xml:space="preserve">. </w:t>
      </w:r>
      <w:r>
        <w:fldChar w:fldCharType="begin"/>
      </w:r>
      <w:r>
        <w:instrText xml:space="preserve"> HYPERLINK "https://doi.org/10.1108/jfbm-09-2024-0214" </w:instrText>
      </w:r>
      <w:r>
        <w:fldChar w:fldCharType="separate"/>
      </w:r>
      <w:r>
        <w:rPr>
          <w:rStyle w:val="17"/>
          <w:rFonts w:ascii="Arial Narrow" w:hAnsi="Arial Narrow" w:cs="Times New Roman"/>
          <w:color w:val="000000" w:themeColor="text1"/>
          <w:sz w:val="24"/>
          <w:szCs w:val="24"/>
          <w:u w:val="none"/>
          <w14:textFill>
            <w14:solidFill>
              <w14:schemeClr w14:val="tx1"/>
            </w14:solidFill>
          </w14:textFill>
        </w:rPr>
        <w:t>https://doi.org/10.1108/jfbm-09-2024-0214</w:t>
      </w:r>
      <w:r>
        <w:rPr>
          <w:rStyle w:val="17"/>
          <w:rFonts w:ascii="Arial Narrow" w:hAnsi="Arial Narrow" w:cs="Times New Roman"/>
          <w:color w:val="000000" w:themeColor="text1"/>
          <w:sz w:val="24"/>
          <w:szCs w:val="24"/>
          <w:u w:val="none"/>
          <w14:textFill>
            <w14:solidFill>
              <w14:schemeClr w14:val="tx1"/>
            </w14:solidFill>
          </w14:textFill>
        </w:rPr>
        <w:fldChar w:fldCharType="end"/>
      </w:r>
      <w:r>
        <w:rPr>
          <w:rFonts w:ascii="Arial Narrow" w:hAnsi="Arial Narrow" w:cs="Times New Roman"/>
          <w:color w:val="000000" w:themeColor="text1"/>
          <w:sz w:val="24"/>
          <w:szCs w:val="24"/>
          <w14:textFill>
            <w14:solidFill>
              <w14:schemeClr w14:val="tx1"/>
            </w14:solidFill>
          </w14:textFill>
        </w:rPr>
        <w:t>.</w:t>
      </w:r>
    </w:p>
    <w:p w14:paraId="73F5D2ED">
      <w:pPr>
        <w:spacing w:after="0" w:line="360" w:lineRule="auto"/>
        <w:ind w:hanging="720"/>
        <w:jc w:val="center"/>
        <w:rPr>
          <w:rFonts w:ascii="Arial Narrow" w:hAnsi="Arial Narrow" w:cs="Times New Roman"/>
          <w:color w:val="000000"/>
          <w:sz w:val="24"/>
          <w:szCs w:val="24"/>
        </w:rPr>
      </w:pPr>
      <w:r>
        <w:rPr>
          <w:rFonts w:ascii="Arial Narrow" w:hAnsi="Arial Narrow" w:cs="Times New Roman"/>
          <w:color w:val="000000"/>
          <w:sz w:val="24"/>
          <w:szCs w:val="24"/>
        </w:rPr>
        <w:t xml:space="preserve">Taysir, K., Drammeh, A., and Taysir, N.K. (2021). </w:t>
      </w:r>
      <w:r>
        <w:rPr>
          <w:rFonts w:ascii="Arial Narrow" w:hAnsi="Arial Narrow" w:cs="Times New Roman"/>
          <w:i/>
          <w:iCs/>
          <w:color w:val="000000"/>
          <w:sz w:val="24"/>
          <w:szCs w:val="24"/>
        </w:rPr>
        <w:t>Family business succession planning in the Gambia textile market</w:t>
      </w:r>
      <w:r>
        <w:rPr>
          <w:rFonts w:ascii="Arial Narrow" w:hAnsi="Arial Narrow" w:cs="Times New Roman"/>
          <w:color w:val="000000"/>
          <w:sz w:val="24"/>
          <w:szCs w:val="24"/>
        </w:rPr>
        <w:t xml:space="preserve">. </w:t>
      </w:r>
      <w:r>
        <w:rPr>
          <w:rFonts w:ascii="Arial Narrow" w:hAnsi="Arial Narrow" w:cs="Times New Roman"/>
          <w:i/>
          <w:iCs/>
          <w:color w:val="000000"/>
          <w:sz w:val="24"/>
          <w:szCs w:val="24"/>
        </w:rPr>
        <w:t>13</w:t>
      </w:r>
      <w:r>
        <w:rPr>
          <w:rFonts w:ascii="Arial Narrow" w:hAnsi="Arial Narrow" w:cs="Times New Roman"/>
          <w:color w:val="000000"/>
          <w:sz w:val="24"/>
          <w:szCs w:val="24"/>
        </w:rPr>
        <w:t>(10), 48–51. https://doi.org/10.17261/Pressacademia.2021.1421.</w:t>
      </w:r>
    </w:p>
    <w:p w14:paraId="38A9BDBE">
      <w:pPr>
        <w:widowControl w:val="0"/>
        <w:autoSpaceDE w:val="0"/>
        <w:autoSpaceDN w:val="0"/>
        <w:adjustRightInd w:val="0"/>
        <w:spacing w:after="0" w:line="360" w:lineRule="auto"/>
        <w:ind w:left="480" w:hanging="720"/>
        <w:jc w:val="both"/>
        <w:rPr>
          <w:rFonts w:ascii="Arial Narrow" w:hAnsi="Arial Narrow" w:cs="Times New Roman"/>
          <w:bCs/>
          <w:sz w:val="24"/>
          <w:szCs w:val="24"/>
        </w:rPr>
      </w:pPr>
      <w:r>
        <w:rPr>
          <w:rFonts w:ascii="Arial Narrow" w:hAnsi="Arial Narrow" w:cs="Times New Roman"/>
          <w:bCs/>
          <w:sz w:val="24"/>
          <w:szCs w:val="24"/>
        </w:rPr>
        <w:t>Umans, I., Lybaert, N., Steijvers, T., Voordeckers, W., &amp; Laveren, E. (2023). Performance below and above aspirations as an antecedent of succession planning in family firms: A socio-emotional wealth mixed gamble approach. </w:t>
      </w:r>
      <w:r>
        <w:rPr>
          <w:rFonts w:ascii="Arial Narrow" w:hAnsi="Arial Narrow" w:cs="Times New Roman"/>
          <w:bCs/>
          <w:i/>
          <w:iCs/>
          <w:sz w:val="24"/>
          <w:szCs w:val="24"/>
        </w:rPr>
        <w:t>Review of Managerial Science</w:t>
      </w:r>
      <w:r>
        <w:rPr>
          <w:rFonts w:ascii="Arial Narrow" w:hAnsi="Arial Narrow" w:cs="Times New Roman"/>
          <w:bCs/>
          <w:sz w:val="24"/>
          <w:szCs w:val="24"/>
        </w:rPr>
        <w:t>, 1-32. https://doi.org/10.1007/s11846-023-00662-9.</w:t>
      </w:r>
    </w:p>
    <w:p w14:paraId="62E0EE60">
      <w:pPr>
        <w:widowControl w:val="0"/>
        <w:autoSpaceDE w:val="0"/>
        <w:autoSpaceDN w:val="0"/>
        <w:adjustRightInd w:val="0"/>
        <w:spacing w:after="0" w:line="360" w:lineRule="auto"/>
        <w:ind w:left="480" w:hanging="720"/>
        <w:jc w:val="both"/>
        <w:rPr>
          <w:rFonts w:ascii="Arial Narrow" w:hAnsi="Arial Narrow" w:cs="Times New Roman"/>
          <w:sz w:val="24"/>
          <w:szCs w:val="24"/>
        </w:rPr>
      </w:pPr>
      <w:r>
        <w:rPr>
          <w:rFonts w:ascii="Arial Narrow" w:hAnsi="Arial Narrow" w:cs="Times New Roman"/>
          <w:sz w:val="24"/>
          <w:szCs w:val="24"/>
        </w:rPr>
        <w:t>Word Bank. (2020). Tanzania: Doing Business 2020. World Bank, 1–67.</w:t>
      </w:r>
    </w:p>
    <w:p w14:paraId="6A25B63C">
      <w:pPr>
        <w:widowControl w:val="0"/>
        <w:autoSpaceDE w:val="0"/>
        <w:autoSpaceDN w:val="0"/>
        <w:adjustRightInd w:val="0"/>
        <w:spacing w:after="0" w:line="360" w:lineRule="auto"/>
        <w:ind w:left="480" w:hanging="480"/>
        <w:jc w:val="both"/>
        <w:rPr>
          <w:rFonts w:ascii="Arial Narrow" w:hAnsi="Arial Narrow" w:cs="Times New Roman"/>
          <w:sz w:val="24"/>
          <w:szCs w:val="24"/>
        </w:rPr>
      </w:pPr>
    </w:p>
    <w:p w14:paraId="43CD0213">
      <w:pPr>
        <w:widowControl w:val="0"/>
        <w:autoSpaceDE w:val="0"/>
        <w:autoSpaceDN w:val="0"/>
        <w:adjustRightInd w:val="0"/>
        <w:spacing w:after="0" w:line="360" w:lineRule="auto"/>
        <w:ind w:left="480" w:hanging="480"/>
        <w:jc w:val="both"/>
        <w:rPr>
          <w:rFonts w:ascii="Arial Narrow" w:hAnsi="Arial Narrow" w:cs="Times New Roman"/>
          <w:sz w:val="24"/>
          <w:szCs w:val="24"/>
        </w:rPr>
      </w:pPr>
    </w:p>
    <w:p w14:paraId="2AD56A6C">
      <w:pPr>
        <w:widowControl w:val="0"/>
        <w:autoSpaceDE w:val="0"/>
        <w:autoSpaceDN w:val="0"/>
        <w:adjustRightInd w:val="0"/>
        <w:spacing w:after="0" w:line="480" w:lineRule="auto"/>
        <w:ind w:left="480" w:hanging="480"/>
        <w:jc w:val="both"/>
        <w:rPr>
          <w:rFonts w:ascii="Arial Narrow" w:hAnsi="Arial Narrow" w:cs="Times New Roman"/>
          <w:color w:val="000000"/>
          <w:sz w:val="24"/>
          <w:szCs w:val="24"/>
        </w:rPr>
      </w:pPr>
    </w:p>
    <w:p w14:paraId="58606AB4">
      <w:pPr>
        <w:widowControl w:val="0"/>
        <w:autoSpaceDE w:val="0"/>
        <w:autoSpaceDN w:val="0"/>
        <w:adjustRightInd w:val="0"/>
        <w:spacing w:after="0" w:line="480" w:lineRule="auto"/>
        <w:ind w:left="480" w:hanging="480"/>
        <w:jc w:val="both"/>
        <w:rPr>
          <w:rFonts w:ascii="Arial Narrow" w:hAnsi="Arial Narrow" w:cs="Times New Roman"/>
          <w:color w:val="000000"/>
          <w:sz w:val="24"/>
          <w:szCs w:val="24"/>
        </w:rPr>
      </w:pPr>
    </w:p>
    <w:p w14:paraId="05EA6172">
      <w:pPr>
        <w:rPr>
          <w:rFonts w:ascii="Arial Narrow" w:hAnsi="Arial Narrow" w:cs="Times New Roman"/>
        </w:rPr>
      </w:pPr>
    </w:p>
    <w:p w14:paraId="396A831A">
      <w:pPr>
        <w:spacing w:after="0" w:line="276" w:lineRule="auto"/>
        <w:jc w:val="both"/>
        <w:rPr>
          <w:rFonts w:ascii="Arial Narrow" w:hAnsi="Arial Narrow" w:cs="Times New Roman"/>
        </w:rPr>
      </w:pPr>
    </w:p>
    <w:sectPr>
      <w:headerReference r:id="rId9" w:type="first"/>
      <w:footerReference r:id="rId12" w:type="first"/>
      <w:headerReference r:id="rId7" w:type="default"/>
      <w:footerReference r:id="rId10" w:type="default"/>
      <w:headerReference r:id="rId8" w:type="even"/>
      <w:footerReference r:id="rId11" w:type="even"/>
      <w:pgSz w:w="12240" w:h="15840"/>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EEMA MALIK" w:date="2026-02-10T16:05:34Z" w:initials="">
    <w:p w14:paraId="6BBDAB6C">
      <w:pPr>
        <w:pStyle w:val="14"/>
        <w:rPr>
          <w:rFonts w:hint="default"/>
          <w:lang w:val="en-US"/>
        </w:rPr>
      </w:pPr>
      <w:r>
        <w:rPr>
          <w:rFonts w:hint="default"/>
          <w:lang w:val="en-US"/>
        </w:rPr>
        <w:t>Repetitive citation</w:t>
      </w:r>
    </w:p>
  </w:comment>
  <w:comment w:id="1" w:author="SEEMA MALIK" w:date="2026-02-10T16:06:02Z" w:initials="">
    <w:p w14:paraId="1939862E">
      <w:pPr>
        <w:pStyle w:val="14"/>
        <w:rPr>
          <w:rFonts w:hint="default"/>
          <w:lang w:val="en-US"/>
        </w:rPr>
      </w:pPr>
      <w:r>
        <w:rPr>
          <w:rFonts w:hint="default"/>
          <w:lang w:val="en-US"/>
        </w:rPr>
        <w:t>Sentence is not clear</w:t>
      </w:r>
    </w:p>
  </w:comment>
  <w:comment w:id="2" w:author="SEEMA MALIK" w:date="2026-02-10T16:08:39Z" w:initials="">
    <w:p w14:paraId="27BA5893">
      <w:pPr>
        <w:pStyle w:val="14"/>
        <w:rPr>
          <w:rFonts w:hint="default"/>
          <w:lang w:val="en-US"/>
        </w:rPr>
      </w:pPr>
      <w:r>
        <w:rPr>
          <w:rFonts w:hint="default"/>
          <w:lang w:val="en-US"/>
        </w:rPr>
        <w:t>Mention source of table</w:t>
      </w:r>
    </w:p>
  </w:comment>
  <w:comment w:id="3" w:author="SEEMA MALIK" w:date="2026-02-10T16:09:40Z" w:initials="">
    <w:p w14:paraId="334763E0">
      <w:pPr>
        <w:pStyle w:val="14"/>
        <w:rPr>
          <w:rFonts w:hint="default"/>
          <w:lang w:val="en-US"/>
        </w:rPr>
      </w:pPr>
      <w:r>
        <w:rPr>
          <w:rFonts w:hint="default"/>
          <w:lang w:val="en-US"/>
        </w:rPr>
        <w:t>Source of table</w:t>
      </w:r>
    </w:p>
  </w:comment>
  <w:comment w:id="4" w:author="SEEMA MALIK" w:date="2026-02-10T16:10:34Z" w:initials="">
    <w:p w14:paraId="11E8A953">
      <w:pPr>
        <w:pStyle w:val="14"/>
      </w:pPr>
      <w:r>
        <w:annotationRef/>
      </w:r>
    </w:p>
  </w:comment>
  <w:comment w:id="5" w:author="SEEMA MALIK" w:date="2026-02-10T16:10:41Z" w:initials="">
    <w:p w14:paraId="5BE1632D">
      <w:pPr>
        <w:pStyle w:val="14"/>
        <w:rPr>
          <w:rFonts w:hint="default"/>
          <w:lang w:val="en-US"/>
        </w:rPr>
      </w:pPr>
      <w:r>
        <w:rPr>
          <w:rFonts w:hint="default"/>
          <w:lang w:val="en-US"/>
        </w:rPr>
        <w:t>Source of table</w:t>
      </w:r>
    </w:p>
  </w:comment>
  <w:comment w:id="6" w:author="SEEMA MALIK" w:date="2026-02-10T16:14:52Z" w:initials="">
    <w:p w14:paraId="4C99A92E">
      <w:pPr>
        <w:pStyle w:val="14"/>
        <w:rPr>
          <w:rFonts w:hint="default"/>
          <w:lang w:val="en-US"/>
        </w:rPr>
      </w:pPr>
      <w:r>
        <w:rPr>
          <w:rFonts w:hint="default"/>
          <w:lang w:val="en-US"/>
        </w:rPr>
        <w:t>Unclear sentence</w:t>
      </w:r>
    </w:p>
  </w:comment>
  <w:comment w:id="7" w:author="SEEMA MALIK" w:date="2026-02-10T16:15:12Z" w:initials="">
    <w:p w14:paraId="78285C66">
      <w:pPr>
        <w:pStyle w:val="14"/>
        <w:rPr>
          <w:rFonts w:hint="default"/>
          <w:lang w:val="en-US"/>
        </w:rPr>
      </w:pPr>
      <w:r>
        <w:rPr>
          <w:rFonts w:hint="default"/>
          <w:lang w:val="en-US"/>
        </w:rPr>
        <w:t>Mention table number</w:t>
      </w:r>
    </w:p>
  </w:comment>
  <w:comment w:id="8" w:author="SEEMA MALIK" w:date="2026-02-10T16:16:13Z" w:initials="">
    <w:p w14:paraId="1B2B1376">
      <w:pPr>
        <w:pStyle w:val="14"/>
        <w:rPr>
          <w:rFonts w:hint="default"/>
          <w:lang w:val="en-US"/>
        </w:rPr>
      </w:pPr>
      <w:r>
        <w:rPr>
          <w:rFonts w:hint="default"/>
          <w:lang w:val="en-US"/>
        </w:rPr>
        <w:t>Mention source here</w:t>
      </w:r>
    </w:p>
  </w:comment>
  <w:comment w:id="9" w:author="SEEMA MALIK" w:date="2026-02-10T16:31:53Z" w:initials="">
    <w:p w14:paraId="32D28AD9">
      <w:pPr>
        <w:pStyle w:val="14"/>
        <w:rPr>
          <w:rFonts w:hint="default"/>
          <w:lang w:val="en-US"/>
        </w:rPr>
      </w:pPr>
      <w:r>
        <w:rPr>
          <w:rFonts w:hint="default"/>
          <w:lang w:val="en-US"/>
        </w:rPr>
        <w:t>Not understandable</w:t>
      </w:r>
    </w:p>
  </w:comment>
  <w:comment w:id="10" w:author="SEEMA MALIK" w:date="2026-02-10T16:30:01Z" w:initials="">
    <w:p w14:paraId="6E58297B">
      <w:pPr>
        <w:pStyle w:val="14"/>
        <w:rPr>
          <w:rFonts w:hint="default"/>
          <w:lang w:val="en-US"/>
        </w:rPr>
      </w:pPr>
      <w:r>
        <w:rPr>
          <w:rFonts w:hint="default"/>
          <w:lang w:val="en-US"/>
        </w:rPr>
        <w:t>No reference</w:t>
      </w:r>
    </w:p>
  </w:comment>
  <w:comment w:id="11" w:author="SEEMA MALIK" w:date="2026-02-10T16:19:54Z" w:initials="">
    <w:p w14:paraId="329E9684">
      <w:pPr>
        <w:pStyle w:val="14"/>
        <w:rPr>
          <w:rFonts w:hint="default"/>
          <w:lang w:val="en-US"/>
        </w:rPr>
      </w:pPr>
      <w:r>
        <w:rPr>
          <w:rFonts w:hint="default"/>
          <w:lang w:val="en-US"/>
        </w:rPr>
        <w:t>Spelling mistake</w:t>
      </w:r>
    </w:p>
  </w:comment>
  <w:comment w:id="12" w:author="SEEMA MALIK" w:date="2026-02-10T16:30:26Z" w:initials="">
    <w:p w14:paraId="64DE648C">
      <w:pPr>
        <w:pStyle w:val="14"/>
        <w:rPr>
          <w:rFonts w:hint="default"/>
          <w:lang w:val="en-US"/>
        </w:rPr>
      </w:pPr>
      <w:r>
        <w:rPr>
          <w:rFonts w:hint="default"/>
          <w:lang w:val="en-US"/>
        </w:rPr>
        <w:t xml:space="preserve">No reference </w:t>
      </w:r>
    </w:p>
  </w:comment>
  <w:comment w:id="13" w:author="SEEMA MALIK" w:date="2026-02-10T16:22:51Z" w:initials="">
    <w:p w14:paraId="0E48F022">
      <w:pPr>
        <w:pStyle w:val="14"/>
        <w:rPr>
          <w:rFonts w:hint="default"/>
          <w:lang w:val="en-US"/>
        </w:rPr>
      </w:pPr>
      <w:r>
        <w:rPr>
          <w:rFonts w:hint="default"/>
          <w:lang w:val="en-US"/>
        </w:rPr>
        <w:t xml:space="preserve">Match the Alignmnet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BBDAB6C" w15:done="0"/>
  <w15:commentEx w15:paraId="1939862E" w15:done="0"/>
  <w15:commentEx w15:paraId="27BA5893" w15:done="0"/>
  <w15:commentEx w15:paraId="334763E0" w15:done="0"/>
  <w15:commentEx w15:paraId="11E8A953" w15:done="0" w15:paraIdParent="334763E0"/>
  <w15:commentEx w15:paraId="5BE1632D" w15:done="0"/>
  <w15:commentEx w15:paraId="4C99A92E" w15:done="0"/>
  <w15:commentEx w15:paraId="78285C66" w15:done="0"/>
  <w15:commentEx w15:paraId="1B2B1376" w15:done="0"/>
  <w15:commentEx w15:paraId="32D28AD9" w15:done="0"/>
  <w15:commentEx w15:paraId="6E58297B" w15:done="0"/>
  <w15:commentEx w15:paraId="329E9684" w15:done="0"/>
  <w15:commentEx w15:paraId="64DE648C" w15:done="0"/>
  <w15:commentEx w15:paraId="0E48F02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9BD32">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4291C">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95FBB">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57FF9">
    <w:pPr>
      <w:pStyle w:val="16"/>
    </w:pPr>
    <w:r>
      <w:pict>
        <v:shape id="_x0000_s2051" o:spid="_x0000_s2051" o:spt="136" type="#_x0000_t136" style="position:absolute;left:0pt;height:104.65pt;width:555.0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9266A">
    <w:pPr>
      <w:pStyle w:val="16"/>
    </w:pPr>
    <w:r>
      <w:pict>
        <v:shape id="_x0000_s2050" o:spid="_x0000_s2050" o:spt="136" type="#_x0000_t136" style="position:absolute;left:0pt;height:104.65pt;width:555.0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9D2D8">
    <w:pPr>
      <w:pStyle w:val="16"/>
    </w:pPr>
    <w:r>
      <w:pict>
        <v:shape id="PowerPlusWaterMarkObject" o:spid="_x0000_s2049" o:spt="136" type="#_x0000_t136" style="position:absolute;left:0pt;height:104.65pt;width:555.0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EEMA MALIK">
    <w15:presenceInfo w15:providerId="WPS Office" w15:userId="12196129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680"/>
    <w:rsid w:val="00002E10"/>
    <w:rsid w:val="00007187"/>
    <w:rsid w:val="00026909"/>
    <w:rsid w:val="000375B2"/>
    <w:rsid w:val="00043714"/>
    <w:rsid w:val="00064254"/>
    <w:rsid w:val="00071FCE"/>
    <w:rsid w:val="000A13BE"/>
    <w:rsid w:val="000B2F58"/>
    <w:rsid w:val="000C2A64"/>
    <w:rsid w:val="000C3FE9"/>
    <w:rsid w:val="000D1DF9"/>
    <w:rsid w:val="000F4BFA"/>
    <w:rsid w:val="00100021"/>
    <w:rsid w:val="0010641D"/>
    <w:rsid w:val="00107056"/>
    <w:rsid w:val="0012777B"/>
    <w:rsid w:val="00135451"/>
    <w:rsid w:val="001419BB"/>
    <w:rsid w:val="001469B6"/>
    <w:rsid w:val="001546AA"/>
    <w:rsid w:val="001666C9"/>
    <w:rsid w:val="00177E85"/>
    <w:rsid w:val="0018148B"/>
    <w:rsid w:val="0018749C"/>
    <w:rsid w:val="00193FA3"/>
    <w:rsid w:val="001C0B7C"/>
    <w:rsid w:val="001C7818"/>
    <w:rsid w:val="001D022E"/>
    <w:rsid w:val="001D6196"/>
    <w:rsid w:val="001D67D7"/>
    <w:rsid w:val="001F3B5C"/>
    <w:rsid w:val="001F497E"/>
    <w:rsid w:val="001F5EA9"/>
    <w:rsid w:val="00206ABD"/>
    <w:rsid w:val="00207E9A"/>
    <w:rsid w:val="00240FAD"/>
    <w:rsid w:val="00244CFD"/>
    <w:rsid w:val="002514B8"/>
    <w:rsid w:val="002834E3"/>
    <w:rsid w:val="00286A7B"/>
    <w:rsid w:val="002C45A9"/>
    <w:rsid w:val="002D7E40"/>
    <w:rsid w:val="002F5765"/>
    <w:rsid w:val="0030553F"/>
    <w:rsid w:val="00306533"/>
    <w:rsid w:val="003127B1"/>
    <w:rsid w:val="00320090"/>
    <w:rsid w:val="0032293B"/>
    <w:rsid w:val="00325F97"/>
    <w:rsid w:val="003372D9"/>
    <w:rsid w:val="00337CBC"/>
    <w:rsid w:val="003662D7"/>
    <w:rsid w:val="00376CF3"/>
    <w:rsid w:val="0038453C"/>
    <w:rsid w:val="00390022"/>
    <w:rsid w:val="003A1B37"/>
    <w:rsid w:val="003B07EA"/>
    <w:rsid w:val="003B371F"/>
    <w:rsid w:val="003D455F"/>
    <w:rsid w:val="003D706F"/>
    <w:rsid w:val="003E0DF1"/>
    <w:rsid w:val="003E57B4"/>
    <w:rsid w:val="003E662F"/>
    <w:rsid w:val="00403130"/>
    <w:rsid w:val="004048DA"/>
    <w:rsid w:val="00420D0B"/>
    <w:rsid w:val="00423EA3"/>
    <w:rsid w:val="00426EA0"/>
    <w:rsid w:val="00450C4C"/>
    <w:rsid w:val="00453970"/>
    <w:rsid w:val="00474391"/>
    <w:rsid w:val="00484D44"/>
    <w:rsid w:val="004B72CB"/>
    <w:rsid w:val="00501503"/>
    <w:rsid w:val="0050258C"/>
    <w:rsid w:val="00517FE8"/>
    <w:rsid w:val="00521B04"/>
    <w:rsid w:val="005245CC"/>
    <w:rsid w:val="00525B29"/>
    <w:rsid w:val="00533A33"/>
    <w:rsid w:val="00546BBB"/>
    <w:rsid w:val="005527F8"/>
    <w:rsid w:val="00555BD8"/>
    <w:rsid w:val="00555E05"/>
    <w:rsid w:val="0057670D"/>
    <w:rsid w:val="00583FC8"/>
    <w:rsid w:val="0059038E"/>
    <w:rsid w:val="005B564F"/>
    <w:rsid w:val="005B5A40"/>
    <w:rsid w:val="005D4404"/>
    <w:rsid w:val="005E7893"/>
    <w:rsid w:val="005F36B6"/>
    <w:rsid w:val="00600633"/>
    <w:rsid w:val="00600C2A"/>
    <w:rsid w:val="00603610"/>
    <w:rsid w:val="00612EB7"/>
    <w:rsid w:val="0061481A"/>
    <w:rsid w:val="006173D6"/>
    <w:rsid w:val="00617B94"/>
    <w:rsid w:val="006542A2"/>
    <w:rsid w:val="00656AB2"/>
    <w:rsid w:val="00656DBB"/>
    <w:rsid w:val="00663026"/>
    <w:rsid w:val="006672CD"/>
    <w:rsid w:val="006971C2"/>
    <w:rsid w:val="006A7D0D"/>
    <w:rsid w:val="006D15D1"/>
    <w:rsid w:val="006D527D"/>
    <w:rsid w:val="006E17C7"/>
    <w:rsid w:val="006E642A"/>
    <w:rsid w:val="006E7CB3"/>
    <w:rsid w:val="006F095F"/>
    <w:rsid w:val="006F16F7"/>
    <w:rsid w:val="007016A7"/>
    <w:rsid w:val="00717A9E"/>
    <w:rsid w:val="00722421"/>
    <w:rsid w:val="00734661"/>
    <w:rsid w:val="0073679F"/>
    <w:rsid w:val="00772C20"/>
    <w:rsid w:val="007857AE"/>
    <w:rsid w:val="0079786F"/>
    <w:rsid w:val="007A6B39"/>
    <w:rsid w:val="007F0EA7"/>
    <w:rsid w:val="0080360F"/>
    <w:rsid w:val="00805F50"/>
    <w:rsid w:val="00820C2C"/>
    <w:rsid w:val="008216EC"/>
    <w:rsid w:val="008411B3"/>
    <w:rsid w:val="008438A4"/>
    <w:rsid w:val="00843BCA"/>
    <w:rsid w:val="00855C06"/>
    <w:rsid w:val="00876B09"/>
    <w:rsid w:val="00882A5B"/>
    <w:rsid w:val="008B1ED4"/>
    <w:rsid w:val="008E3D95"/>
    <w:rsid w:val="008F489D"/>
    <w:rsid w:val="0094014B"/>
    <w:rsid w:val="00942177"/>
    <w:rsid w:val="009527B6"/>
    <w:rsid w:val="00954940"/>
    <w:rsid w:val="00977465"/>
    <w:rsid w:val="009806DD"/>
    <w:rsid w:val="009A3A08"/>
    <w:rsid w:val="009A51F0"/>
    <w:rsid w:val="009B1C5A"/>
    <w:rsid w:val="009B56B2"/>
    <w:rsid w:val="00A123AD"/>
    <w:rsid w:val="00A134AD"/>
    <w:rsid w:val="00A47E86"/>
    <w:rsid w:val="00A52A73"/>
    <w:rsid w:val="00A52EF0"/>
    <w:rsid w:val="00A767A1"/>
    <w:rsid w:val="00A97650"/>
    <w:rsid w:val="00AA5C0F"/>
    <w:rsid w:val="00AB14D9"/>
    <w:rsid w:val="00AC5D32"/>
    <w:rsid w:val="00AD0071"/>
    <w:rsid w:val="00AE2673"/>
    <w:rsid w:val="00AE6955"/>
    <w:rsid w:val="00AF257D"/>
    <w:rsid w:val="00AF7106"/>
    <w:rsid w:val="00B03AF2"/>
    <w:rsid w:val="00B259C2"/>
    <w:rsid w:val="00B35446"/>
    <w:rsid w:val="00B6479B"/>
    <w:rsid w:val="00B65208"/>
    <w:rsid w:val="00B71061"/>
    <w:rsid w:val="00BA3324"/>
    <w:rsid w:val="00BA51F8"/>
    <w:rsid w:val="00BD07B9"/>
    <w:rsid w:val="00C21CC6"/>
    <w:rsid w:val="00C240CC"/>
    <w:rsid w:val="00C34F60"/>
    <w:rsid w:val="00C40C89"/>
    <w:rsid w:val="00C45450"/>
    <w:rsid w:val="00C5240A"/>
    <w:rsid w:val="00C56B34"/>
    <w:rsid w:val="00C80DFD"/>
    <w:rsid w:val="00C93D83"/>
    <w:rsid w:val="00CA3CE3"/>
    <w:rsid w:val="00CB1DE1"/>
    <w:rsid w:val="00CB4D43"/>
    <w:rsid w:val="00CC1F44"/>
    <w:rsid w:val="00CD636A"/>
    <w:rsid w:val="00CD6469"/>
    <w:rsid w:val="00CE10DE"/>
    <w:rsid w:val="00CE186C"/>
    <w:rsid w:val="00D10FCA"/>
    <w:rsid w:val="00D230C9"/>
    <w:rsid w:val="00D438BD"/>
    <w:rsid w:val="00D45A1D"/>
    <w:rsid w:val="00D72579"/>
    <w:rsid w:val="00D76301"/>
    <w:rsid w:val="00D97C74"/>
    <w:rsid w:val="00DF5F45"/>
    <w:rsid w:val="00E01CBE"/>
    <w:rsid w:val="00E2381B"/>
    <w:rsid w:val="00E256EF"/>
    <w:rsid w:val="00E33680"/>
    <w:rsid w:val="00E46FBC"/>
    <w:rsid w:val="00E525D2"/>
    <w:rsid w:val="00E8303C"/>
    <w:rsid w:val="00E900EC"/>
    <w:rsid w:val="00E959F9"/>
    <w:rsid w:val="00EB57EE"/>
    <w:rsid w:val="00F10727"/>
    <w:rsid w:val="00F145A0"/>
    <w:rsid w:val="00F3100B"/>
    <w:rsid w:val="00F4763B"/>
    <w:rsid w:val="00F63F84"/>
    <w:rsid w:val="00F84D39"/>
    <w:rsid w:val="00F85933"/>
    <w:rsid w:val="00FD428D"/>
    <w:rsid w:val="69A10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2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2"/>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3"/>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4"/>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5"/>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6"/>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caption"/>
    <w:basedOn w:val="1"/>
    <w:next w:val="1"/>
    <w:qFormat/>
    <w:uiPriority w:val="35"/>
    <w:pPr>
      <w:spacing w:after="200" w:line="240" w:lineRule="auto"/>
    </w:pPr>
    <w:rPr>
      <w:rFonts w:ascii="Calibri" w:hAnsi="Calibri" w:eastAsia="SimSun" w:cs="Times New Roman"/>
      <w:i/>
      <w:iCs/>
      <w:color w:val="1F497D"/>
      <w:sz w:val="18"/>
      <w:szCs w:val="18"/>
      <w:lang w:eastAsia="zh-CN"/>
    </w:rPr>
  </w:style>
  <w:style w:type="paragraph" w:styleId="14">
    <w:name w:val="annotation text"/>
    <w:basedOn w:val="1"/>
    <w:semiHidden/>
    <w:unhideWhenUsed/>
    <w:uiPriority w:val="99"/>
    <w:pPr>
      <w:jc w:val="left"/>
    </w:pPr>
  </w:style>
  <w:style w:type="paragraph" w:styleId="15">
    <w:name w:val="footer"/>
    <w:basedOn w:val="1"/>
    <w:link w:val="40"/>
    <w:unhideWhenUsed/>
    <w:uiPriority w:val="99"/>
    <w:pPr>
      <w:tabs>
        <w:tab w:val="center" w:pos="4513"/>
        <w:tab w:val="right" w:pos="9026"/>
      </w:tabs>
      <w:spacing w:after="0" w:line="240" w:lineRule="auto"/>
    </w:pPr>
  </w:style>
  <w:style w:type="paragraph" w:styleId="16">
    <w:name w:val="header"/>
    <w:basedOn w:val="1"/>
    <w:link w:val="39"/>
    <w:unhideWhenUsed/>
    <w:uiPriority w:val="99"/>
    <w:pPr>
      <w:tabs>
        <w:tab w:val="center" w:pos="4513"/>
        <w:tab w:val="right" w:pos="9026"/>
      </w:tabs>
      <w:spacing w:after="0" w:line="240" w:lineRule="auto"/>
    </w:pPr>
  </w:style>
  <w:style w:type="character" w:styleId="17">
    <w:name w:val="Hyperlink"/>
    <w:basedOn w:val="11"/>
    <w:uiPriority w:val="99"/>
    <w:rPr>
      <w:color w:val="0000FF"/>
      <w:u w:val="single"/>
    </w:rPr>
  </w:style>
  <w:style w:type="paragraph" w:styleId="18">
    <w:name w:val="Subtitle"/>
    <w:basedOn w:val="1"/>
    <w:next w:val="1"/>
    <w:link w:val="30"/>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9">
    <w:name w:val="Title"/>
    <w:basedOn w:val="1"/>
    <w:next w:val="1"/>
    <w:link w:val="29"/>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0">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21">
    <w:name w:val="Heading 2 Ch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22">
    <w:name w:val="Heading 3 Char"/>
    <w:basedOn w:val="11"/>
    <w:link w:val="4"/>
    <w:semiHidden/>
    <w:uiPriority w:val="9"/>
    <w:rPr>
      <w:rFonts w:eastAsiaTheme="majorEastAsia" w:cstheme="majorBidi"/>
      <w:color w:val="2F5597" w:themeColor="accent1" w:themeShade="BF"/>
      <w:sz w:val="28"/>
      <w:szCs w:val="28"/>
    </w:rPr>
  </w:style>
  <w:style w:type="character" w:customStyle="1" w:styleId="23">
    <w:name w:val="Heading 4 Char"/>
    <w:basedOn w:val="11"/>
    <w:link w:val="5"/>
    <w:semiHidden/>
    <w:uiPriority w:val="9"/>
    <w:rPr>
      <w:rFonts w:eastAsiaTheme="majorEastAsia" w:cstheme="majorBidi"/>
      <w:i/>
      <w:iCs/>
      <w:color w:val="2F5597" w:themeColor="accent1" w:themeShade="BF"/>
    </w:rPr>
  </w:style>
  <w:style w:type="character" w:customStyle="1" w:styleId="24">
    <w:name w:val="Heading 5 Char"/>
    <w:basedOn w:val="11"/>
    <w:link w:val="6"/>
    <w:semiHidden/>
    <w:uiPriority w:val="9"/>
    <w:rPr>
      <w:rFonts w:eastAsiaTheme="majorEastAsia" w:cstheme="majorBidi"/>
      <w:color w:val="2F5597" w:themeColor="accent1" w:themeShade="BF"/>
    </w:rPr>
  </w:style>
  <w:style w:type="character" w:customStyle="1" w:styleId="25">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6">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8">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9">
    <w:name w:val="Title Char"/>
    <w:basedOn w:val="11"/>
    <w:link w:val="19"/>
    <w:uiPriority w:val="10"/>
    <w:rPr>
      <w:rFonts w:asciiTheme="majorHAnsi" w:hAnsiTheme="majorHAnsi" w:eastAsiaTheme="majorEastAsia" w:cstheme="majorBidi"/>
      <w:spacing w:val="-10"/>
      <w:kern w:val="28"/>
      <w:sz w:val="56"/>
      <w:szCs w:val="56"/>
    </w:rPr>
  </w:style>
  <w:style w:type="character" w:customStyle="1" w:styleId="30">
    <w:name w:val="Subtitle Char"/>
    <w:basedOn w:val="11"/>
    <w:link w:val="18"/>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Quote Char"/>
    <w:basedOn w:val="11"/>
    <w:link w:val="31"/>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1"/>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Intense Quote Char"/>
    <w:basedOn w:val="11"/>
    <w:link w:val="35"/>
    <w:uiPriority w:val="30"/>
    <w:rPr>
      <w:i/>
      <w:iCs/>
      <w:color w:val="2F5597" w:themeColor="accent1" w:themeShade="BF"/>
    </w:rPr>
  </w:style>
  <w:style w:type="character" w:customStyle="1" w:styleId="37">
    <w:name w:val="Intense Reference"/>
    <w:basedOn w:val="11"/>
    <w:qFormat/>
    <w:uiPriority w:val="32"/>
    <w:rPr>
      <w:b/>
      <w:bCs/>
      <w:smallCaps/>
      <w:color w:val="2F5597" w:themeColor="accent1" w:themeShade="BF"/>
      <w:spacing w:val="5"/>
    </w:rPr>
  </w:style>
  <w:style w:type="character" w:customStyle="1" w:styleId="38">
    <w:name w:val="Unresolved Mention"/>
    <w:basedOn w:val="11"/>
    <w:semiHidden/>
    <w:unhideWhenUsed/>
    <w:uiPriority w:val="99"/>
    <w:rPr>
      <w:color w:val="605E5C"/>
      <w:shd w:val="clear" w:color="auto" w:fill="E1DFDD"/>
    </w:rPr>
  </w:style>
  <w:style w:type="character" w:customStyle="1" w:styleId="39">
    <w:name w:val="Header Char"/>
    <w:basedOn w:val="11"/>
    <w:link w:val="16"/>
    <w:uiPriority w:val="99"/>
  </w:style>
  <w:style w:type="character" w:customStyle="1" w:styleId="40">
    <w:name w:val="Footer Char"/>
    <w:basedOn w:val="11"/>
    <w:link w:val="15"/>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4401</Words>
  <Characters>25089</Characters>
  <Lines>209</Lines>
  <Paragraphs>58</Paragraphs>
  <TotalTime>676</TotalTime>
  <ScaleCrop>false</ScaleCrop>
  <LinksUpToDate>false</LinksUpToDate>
  <CharactersWithSpaces>29432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2025-10-17T12:44:00Z</dcterms:created>
  <dc:creator>costantino sulle</dc:creator>
  <cp:lastModifiedBy>SEEMA MALIK</cp:lastModifiedBy>
  <dcterms:modified xsi:type="dcterms:W3CDTF">2026-02-10T11:19:37Z</dcterms:modified>
  <cp:revision>239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3bd99c32-5423-4a26-9286-69c64b049cdd</vt:lpwstr>
  </property>
  <property fmtid="{D5CDD505-2E9C-101B-9397-08002B2CF9AE}" pid="3" name="KSOProductBuildVer">
    <vt:lpwstr>1033-12.2.0.23196</vt:lpwstr>
  </property>
  <property fmtid="{D5CDD505-2E9C-101B-9397-08002B2CF9AE}" pid="4" name="ICV">
    <vt:lpwstr>3897B7817B2B4C518EF9A6E97DA6A694_12</vt:lpwstr>
  </property>
</Properties>
</file>