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0E8D">
      <w:pPr>
        <w:pStyle w:val="22"/>
        <w:spacing w:after="0"/>
        <w:jc w:val="both"/>
        <w:rPr>
          <w:rFonts w:ascii="Arial" w:hAnsi="Arial" w:cs="Arial"/>
        </w:rPr>
      </w:pPr>
      <w:r>
        <w:rPr>
          <w:rFonts w:ascii="Arial" w:hAnsi="Arial" w:cs="Arial"/>
        </w:rPr>
        <w:t>Original Research Article</w:t>
      </w:r>
    </w:p>
    <w:p w14:paraId="36C79FF9">
      <w:pPr>
        <w:pStyle w:val="22"/>
        <w:spacing w:after="0"/>
        <w:jc w:val="both"/>
        <w:rPr>
          <w:rFonts w:ascii="Arial" w:hAnsi="Arial" w:cs="Arial"/>
        </w:rPr>
      </w:pPr>
    </w:p>
    <w:p w14:paraId="40D5E350">
      <w:pPr>
        <w:pStyle w:val="22"/>
        <w:spacing w:after="0"/>
        <w:jc w:val="both"/>
        <w:rPr>
          <w:rFonts w:ascii="Arial" w:hAnsi="Arial" w:cs="Arial"/>
        </w:rPr>
      </w:pPr>
    </w:p>
    <w:p w14:paraId="4C4C1A94">
      <w:pPr>
        <w:pStyle w:val="23"/>
        <w:spacing w:line="240" w:lineRule="auto"/>
        <w:rPr>
          <w:rFonts w:ascii="Arial" w:hAnsi="Arial" w:cs="Arial"/>
          <w:bCs/>
          <w:iCs/>
          <w:kern w:val="28"/>
          <w:sz w:val="36"/>
          <w:szCs w:val="36"/>
        </w:rPr>
      </w:pPr>
      <w:r>
        <w:rPr>
          <w:rFonts w:ascii="Arial" w:hAnsi="Arial" w:cs="Arial"/>
          <w:sz w:val="36"/>
          <w:szCs w:val="36"/>
          <w:lang w:val="en-US"/>
        </w:rPr>
        <w:t>Digital Payment Trends and Institutional Financial Implications: Global Evidence and the Philippine Context</w:t>
      </w:r>
    </w:p>
    <w:p w14:paraId="1EA47410">
      <w:pPr>
        <w:pStyle w:val="23"/>
        <w:spacing w:line="240" w:lineRule="auto"/>
        <w:jc w:val="both"/>
        <w:rPr>
          <w:rFonts w:ascii="Arial" w:hAnsi="Arial" w:cs="Arial"/>
          <w:sz w:val="36"/>
        </w:rPr>
      </w:pPr>
    </w:p>
    <w:p w14:paraId="6CB153F5">
      <w:pPr>
        <w:pStyle w:val="35"/>
        <w:spacing w:after="0" w:line="240" w:lineRule="auto"/>
        <w:jc w:val="both"/>
        <w:rPr>
          <w:rFonts w:ascii="Arial" w:hAnsi="Arial" w:cs="Arial"/>
        </w:rPr>
        <w:sectPr>
          <w:headerReference r:id="rId5" w:type="first"/>
          <w:footerReference r:id="rId6" w:type="first"/>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0" t="12700" r="5080" b="12065"/>
                <wp:docPr id="433142506" name="AutoShape 2"/>
                <wp:cNvGraphicFramePr/>
                <a:graphic xmlns:a="http://schemas.openxmlformats.org/drawingml/2006/main">
                  <a:graphicData uri="http://schemas.microsoft.com/office/word/2010/wordprocessingShape">
                    <wps:wsp>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SS8qDQAAAAAgEAAA8AAAAAAAAAAQAgAAAAIgAAAGRycy9kb3ducmV2LnhtbFBLAQIU&#10;ABQAAAAIAIdO4kDUo5RAwgEAAIkDAAAOAAAAAAAAAAEAIAAAAB8BAABkcnMvZTJvRG9jLnhtbFBL&#10;BQYAAAAABgAGAFkBAABTBQAAAAA=&#10;">
                <v:fill on="f" focussize="0,0"/>
                <v:stroke weight="1.5pt" color="#000000" joinstyle="round"/>
                <v:imagedata o:title=""/>
                <o:lock v:ext="edit" aspectratio="f"/>
                <w10:wrap type="none"/>
                <w10:anchorlock/>
              </v:shape>
            </w:pict>
          </mc:Fallback>
        </mc:AlternateContent>
      </w:r>
    </w:p>
    <w:p w14:paraId="08C18C2E">
      <w:pPr>
        <w:pStyle w:val="26"/>
        <w:spacing w:after="0"/>
        <w:jc w:val="both"/>
        <w:rPr>
          <w:rFonts w:ascii="Arial" w:hAnsi="Arial" w:cs="Arial"/>
        </w:rPr>
      </w:pPr>
    </w:p>
    <w:p w14:paraId="57943B5A">
      <w:pPr>
        <w:pStyle w:val="26"/>
        <w:spacing w:after="0"/>
        <w:jc w:val="both"/>
        <w:rPr>
          <w:rFonts w:ascii="Arial" w:hAnsi="Arial" w:cs="Arial"/>
        </w:rPr>
      </w:pPr>
      <w:r>
        <w:rPr>
          <w:rFonts w:ascii="Arial" w:hAnsi="Arial" w:cs="Arial"/>
        </w:rPr>
        <w:t>ABSTRACT</w:t>
      </w:r>
    </w:p>
    <w:p w14:paraId="30D373FA">
      <w:pPr>
        <w:pStyle w:val="26"/>
        <w:spacing w:after="0"/>
        <w:jc w:val="both"/>
        <w:rPr>
          <w:rFonts w:ascii="Arial" w:hAnsi="Arial" w:cs="Arial"/>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67713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03DC6B4B">
            <w:pPr>
              <w:rPr>
                <w:rFonts w:ascii="Arial" w:hAnsi="Arial" w:cs="Arial"/>
                <w:sz w:val="20"/>
                <w:szCs w:val="20"/>
              </w:rPr>
            </w:pPr>
            <w:r>
              <w:rPr>
                <w:rFonts w:ascii="Arial" w:hAnsi="Arial" w:cs="Arial"/>
                <w:sz w:val="20"/>
                <w:szCs w:val="20"/>
              </w:rPr>
              <w:t>This study looked at global and national trends in digital payment adoption and their financial effects on institutions. It focused on how these trends appear in the financial practices of a higher education institution in Northern Mindanao, Philippines.</w:t>
            </w:r>
          </w:p>
          <w:p w14:paraId="3A0CCF46">
            <w:pPr>
              <w:rPr>
                <w:rFonts w:ascii="Arial" w:hAnsi="Arial" w:cs="Arial"/>
                <w:sz w:val="20"/>
                <w:szCs w:val="20"/>
              </w:rPr>
            </w:pPr>
            <w:r>
              <w:rPr>
                <w:rFonts w:ascii="Arial" w:hAnsi="Arial" w:cs="Arial"/>
                <w:sz w:val="20"/>
                <w:szCs w:val="20"/>
              </w:rPr>
              <w:t>The study used a descriptive, document-based research design, relying on publicly available data and institutional documents from 2020 to 2024. Global evidence came from international datasets on digital payment use and infrastructure. National evidence was taken from official Philippine government reports on digital payments and technology access. For the institution, the study used university documents about payment practices that were available to the public.</w:t>
            </w:r>
          </w:p>
          <w:p w14:paraId="18787EA8">
            <w:pPr>
              <w:rPr>
                <w:rFonts w:ascii="Arial" w:hAnsi="Arial" w:cs="Arial"/>
                <w:sz w:val="20"/>
                <w:szCs w:val="20"/>
              </w:rPr>
            </w:pPr>
            <w:r>
              <w:rPr>
                <w:rFonts w:ascii="Arial" w:hAnsi="Arial" w:cs="Arial"/>
                <w:sz w:val="20"/>
                <w:szCs w:val="20"/>
              </w:rPr>
              <w:t>The data were analyzed to find patterns and changes in digital payment adoption. The main framework used was Payment Choice Theory, with support from the Financial Inclusion Framework and Institutional Theory to help explain how institutions respond to new payment systems.</w:t>
            </w:r>
          </w:p>
          <w:p w14:paraId="619FBEC8">
            <w:pPr>
              <w:rPr>
                <w:rFonts w:ascii="Arial" w:hAnsi="Arial" w:cs="Arial"/>
                <w:sz w:val="20"/>
                <w:szCs w:val="20"/>
              </w:rPr>
            </w:pPr>
            <w:r>
              <w:rPr>
                <w:rFonts w:ascii="Arial" w:hAnsi="Arial" w:cs="Arial"/>
                <w:sz w:val="20"/>
                <w:szCs w:val="20"/>
              </w:rPr>
              <w:t>The results show a steady rise in digital payment adoption worldwide and in the Philippines since 2020. By 2024, most retail transactions in the country used digital payments, both in number and value, showing a move toward less cash use. At the institutional level, the university adopted several digital payment channels that match national systems, adjusting its operations to new payment methods and stakeholder needs.</w:t>
            </w:r>
            <w:r>
              <w:commentReference w:id="0"/>
            </w:r>
          </w:p>
          <w:p w14:paraId="35BB246D">
            <w:r>
              <w:rPr>
                <w:rFonts w:ascii="Arial" w:hAnsi="Arial" w:cs="Arial"/>
                <w:sz w:val="20"/>
                <w:szCs w:val="20"/>
              </w:rPr>
              <w:t>The study finds that institutions reflect global and national digital payment trends by adapting them to their own context, rather than making major changes to their structure. These results show that digital payment reforms matter for managing institutional finances and that public data is useful for studying how digital payments affect institutions.</w:t>
            </w:r>
          </w:p>
        </w:tc>
      </w:tr>
    </w:tbl>
    <w:p w14:paraId="7D71A5A9">
      <w:pPr>
        <w:pStyle w:val="25"/>
        <w:spacing w:after="0"/>
        <w:rPr>
          <w:rFonts w:ascii="Arial" w:hAnsi="Arial" w:cs="Arial"/>
          <w:i/>
          <w:sz w:val="20"/>
          <w:szCs w:val="20"/>
        </w:rPr>
      </w:pPr>
    </w:p>
    <w:p w14:paraId="1E23BF9B">
      <w:pPr>
        <w:pStyle w:val="25"/>
        <w:spacing w:after="0"/>
        <w:rPr>
          <w:rFonts w:ascii="Arial" w:hAnsi="Arial" w:cs="Arial"/>
          <w:i/>
          <w:iCs/>
          <w:sz w:val="20"/>
          <w:szCs w:val="20"/>
        </w:rPr>
      </w:pPr>
      <w:r>
        <w:rPr>
          <w:rFonts w:ascii="Arial" w:hAnsi="Arial" w:cs="Arial"/>
          <w:i/>
          <w:sz w:val="20"/>
          <w:szCs w:val="20"/>
        </w:rPr>
        <w:t xml:space="preserve">Keywords: </w:t>
      </w:r>
      <w:r>
        <w:rPr>
          <w:rFonts w:ascii="Arial" w:hAnsi="Arial" w:cs="Arial"/>
          <w:i/>
          <w:iCs/>
          <w:sz w:val="20"/>
          <w:szCs w:val="20"/>
        </w:rPr>
        <w:t>Digital payments; payment systems; financial inclusion framework; institutional theory; payment choice theory</w:t>
      </w:r>
    </w:p>
    <w:p w14:paraId="2E4EEEA5">
      <w:pPr>
        <w:pStyle w:val="25"/>
        <w:spacing w:after="0"/>
        <w:rPr>
          <w:rFonts w:ascii="Arial" w:hAnsi="Arial" w:cs="Arial"/>
          <w:i/>
          <w:iCs/>
        </w:rPr>
      </w:pPr>
    </w:p>
    <w:p w14:paraId="5C7A5BB9">
      <w:pPr>
        <w:pStyle w:val="26"/>
        <w:spacing w:after="0"/>
        <w:jc w:val="both"/>
        <w:rPr>
          <w:rFonts w:ascii="Arial" w:hAnsi="Arial" w:cs="Arial"/>
        </w:rPr>
      </w:pPr>
      <w:r>
        <w:rPr>
          <w:rFonts w:ascii="Arial" w:hAnsi="Arial" w:cs="Arial"/>
        </w:rPr>
        <w:t>1. INTRODUCTION</w:t>
      </w:r>
    </w:p>
    <w:p w14:paraId="5D1DADCF">
      <w:pPr>
        <w:pStyle w:val="26"/>
        <w:spacing w:after="0"/>
        <w:jc w:val="both"/>
        <w:rPr>
          <w:rFonts w:ascii="Arial" w:hAnsi="Arial" w:cs="Arial"/>
        </w:rPr>
      </w:pPr>
    </w:p>
    <w:p w14:paraId="3A36C8DE">
      <w:pPr>
        <w:pStyle w:val="18"/>
        <w:spacing w:before="0" w:beforeAutospacing="0" w:after="0" w:afterAutospacing="0"/>
        <w:ind w:right="18"/>
      </w:pPr>
      <w:r>
        <w:rPr>
          <w:rFonts w:ascii="Arial" w:hAnsi="Arial" w:cs="Arial"/>
          <w:color w:val="000000"/>
          <w:sz w:val="20"/>
          <w:szCs w:val="20"/>
        </w:rPr>
        <w:t>Over the past decade, digital payments have become a key part of financial systems around the world. Digital payments are transactions made electronically through formal channels such as bank transfers, electronic money, online payment platforms, and other cashless tools. These methods let people transfer value without using physical cash (Demirgüç-Kunt et al., 2022). They depend on digital infrastructure that links users, financial institutions, payment service providers, and settlement systems, so payments can be authorized, cleared, and settled electronically. Since 2020, digital payment use has grown quickly worldwide, helped by new technology, better internet access, and changes in how people and organizations pay, especially during and after the COVID-19 pandemic. Studies show that both the use of digital payment tools and the supporting infrastructure have increased in many countries, making electronic transactions a regular part of retail payment systems instead of just an alternative to cash (Demirgüç-Kunt et al., 2022; International Monetary Fund, 2025).</w:t>
      </w:r>
    </w:p>
    <w:p w14:paraId="62C4B04F">
      <w:pPr>
        <w:pStyle w:val="18"/>
        <w:spacing w:before="0" w:beforeAutospacing="0" w:after="0" w:afterAutospacing="0"/>
        <w:ind w:right="18"/>
      </w:pPr>
      <w:r>
        <w:rPr>
          <w:rFonts w:ascii="Arial" w:hAnsi="Arial" w:cs="Arial"/>
          <w:color w:val="000000"/>
          <w:sz w:val="20"/>
          <w:szCs w:val="20"/>
        </w:rPr>
        <w:t>In the Philippines, the retail payment system has changed significantly in recent years. The Bangko Sentral ng Pilipinas (BSP) has encouraged digital payments by updating regulations, improving infrastructure, and setting national payment standards. According to the BSP, by 2024, most retail payment transactions in the country were made digitally, both in number and value, showing a move toward a cash-lite economy (Bangko Sentral ng Pilipinas, 2024). This shift is also supported by more households and individuals gaining access to the internet and digital technology, making it easier for people to use digital financial services like electronic payments (Philippine Statistics Authority &amp; Department of Information and Communications Technology, 2025). All these factors help digital payments continue to grow across different parts of the economy.</w:t>
      </w:r>
    </w:p>
    <w:p w14:paraId="2EACA15D">
      <w:pPr>
        <w:pStyle w:val="18"/>
        <w:spacing w:before="0" w:beforeAutospacing="0" w:after="0" w:afterAutospacing="0"/>
        <w:ind w:right="18"/>
      </w:pPr>
      <w:r>
        <w:rPr>
          <w:rFonts w:ascii="Arial" w:hAnsi="Arial" w:cs="Arial"/>
          <w:color w:val="000000"/>
          <w:sz w:val="20"/>
          <w:szCs w:val="20"/>
        </w:rPr>
        <w:t>Although there is a lot of information about global and national digital payment trends, less is known about how these changes affect financial practices at the local level, especially outside big cities. Regional universities, like those in Northern Mindanao, follow national payment rules but have their own unique challenges and situations. Studying how a university in Northern Mindanao uses digital payment channels can show how national payment reforms work in practice. Universities act as a bridge between national financial systems and local users, making them a good place to study the effects of digital payment trends in regional areas.</w:t>
      </w:r>
    </w:p>
    <w:p w14:paraId="2FB73E62">
      <w:pPr>
        <w:pStyle w:val="18"/>
        <w:spacing w:before="0" w:beforeAutospacing="0" w:after="0" w:afterAutospacing="0"/>
        <w:ind w:right="18"/>
      </w:pPr>
      <w:r>
        <w:rPr>
          <w:rFonts w:ascii="Arial" w:hAnsi="Arial" w:cs="Arial"/>
          <w:color w:val="000000"/>
          <w:sz w:val="20"/>
          <w:szCs w:val="20"/>
        </w:rPr>
        <w:t>In this study, trends means the visible patterns and changes over time in how digital payment tools are adopted, used, and made available, based on public data. The study does not try to show cause or predict the future. Instead, it describes steady increases, changes in payment types, and how institutions respond to wider payment system changes from 2020 to 2024.</w:t>
      </w:r>
    </w:p>
    <w:p w14:paraId="23E10806">
      <w:pPr>
        <w:pStyle w:val="18"/>
        <w:spacing w:before="0" w:beforeAutospacing="0" w:after="0" w:afterAutospacing="0"/>
        <w:ind w:right="18"/>
      </w:pPr>
      <w:r>
        <w:rPr>
          <w:rFonts w:ascii="Arial" w:hAnsi="Arial" w:cs="Arial"/>
          <w:color w:val="000000"/>
          <w:sz w:val="20"/>
          <w:szCs w:val="20"/>
        </w:rPr>
        <w:t>This study mainly uses Payment Choice Theory, which looks at how people and organizations choose payment methods based on factors like convenience, cost, access, and reliability (Humphrey et al., 2001). This theory helps explain why people move from cash to digital payments. The study also uses the Financial Inclusion Framework, which focuses on how access to formal financial services supports inclusive financial systems (Demirgüç-Kunt et al., 2022). While the study does not directly measure inclusion, this framework helps place digital payment growth in the context of wider financial system changes. Finally, Institutional Theory is used to show how organizations change their practices in response to rules, expectations, and new technology in their environment (DiMaggio &amp; Powell, 1983; Scott, 2020).</w:t>
      </w:r>
    </w:p>
    <w:p w14:paraId="740BF5AA">
      <w:pPr>
        <w:pStyle w:val="18"/>
        <w:spacing w:before="0" w:beforeAutospacing="0" w:after="0" w:afterAutospacing="0"/>
        <w:ind w:right="18"/>
      </w:pPr>
      <w:r>
        <w:rPr>
          <w:rFonts w:ascii="Arial" w:hAnsi="Arial" w:cs="Arial"/>
          <w:color w:val="000000"/>
          <w:sz w:val="20"/>
          <w:szCs w:val="20"/>
        </w:rPr>
        <w:t>While there is a lot of research on global and national digital payment trends, there is less discussion about how these changes show up in the financial practices of institutions, especially in higher education and regional areas. Most studies look at consumer behavior or financial inclusion, but fewer focus on how organizations use digital payments with public data. This study helps fill that gap by describing how global and national digital payment trends connect to financial practices at a university in Northern Mindanao. By using only public datasets and documents, the study provides a method that others can repeat to examine how digital payment reforms affect institutions, without needing private data or surveys. This helps link big-picture payment system changes to what happens in organizations.</w:t>
      </w:r>
    </w:p>
    <w:p w14:paraId="09DC836E">
      <w:pPr>
        <w:pStyle w:val="25"/>
        <w:spacing w:after="0"/>
        <w:rPr>
          <w:rFonts w:ascii="Arial" w:hAnsi="Arial" w:cs="Arial"/>
        </w:rPr>
      </w:pPr>
    </w:p>
    <w:p w14:paraId="6BAAD26C">
      <w:pPr>
        <w:pStyle w:val="26"/>
        <w:spacing w:after="0"/>
        <w:jc w:val="both"/>
        <w:rPr>
          <w:rFonts w:ascii="Arial" w:hAnsi="Arial" w:cs="Arial"/>
        </w:rPr>
      </w:pPr>
      <w:r>
        <w:rPr>
          <w:rFonts w:ascii="Arial" w:hAnsi="Arial" w:cs="Arial"/>
        </w:rPr>
        <w:t>2. mETHODOLOGY</w:t>
      </w:r>
    </w:p>
    <w:p w14:paraId="135773AC">
      <w:pPr>
        <w:pStyle w:val="26"/>
        <w:spacing w:after="0"/>
        <w:jc w:val="both"/>
        <w:rPr>
          <w:rFonts w:ascii="Arial" w:hAnsi="Arial" w:cs="Arial"/>
        </w:rPr>
      </w:pPr>
    </w:p>
    <w:p w14:paraId="7AAE46CE">
      <w:pPr>
        <w:rPr>
          <w:rFonts w:ascii="Arial" w:hAnsi="Arial" w:cs="Arial"/>
          <w:b/>
          <w:bCs/>
          <w:color w:val="000000"/>
          <w:sz w:val="22"/>
          <w:szCs w:val="22"/>
        </w:rPr>
      </w:pPr>
      <w:r>
        <w:rPr>
          <w:rFonts w:ascii="Arial" w:hAnsi="Arial" w:cs="Arial"/>
          <w:b/>
          <w:bCs/>
          <w:color w:val="000000"/>
          <w:sz w:val="22"/>
          <w:szCs w:val="22"/>
        </w:rPr>
        <w:t>2.1 Research Design</w:t>
      </w:r>
    </w:p>
    <w:p w14:paraId="0E7A3959">
      <w:pPr>
        <w:rPr>
          <w:rFonts w:ascii="Arial" w:hAnsi="Arial" w:cs="Arial"/>
          <w:b/>
          <w:bCs/>
          <w:color w:val="000000"/>
          <w:sz w:val="22"/>
          <w:szCs w:val="22"/>
        </w:rPr>
      </w:pPr>
    </w:p>
    <w:p w14:paraId="641FA1E0">
      <w:pPr>
        <w:pStyle w:val="18"/>
        <w:spacing w:before="0" w:beforeAutospacing="0" w:after="0" w:afterAutospacing="0"/>
        <w:ind w:right="18"/>
      </w:pPr>
      <w:r>
        <w:rPr>
          <w:rFonts w:ascii="Arial" w:hAnsi="Arial" w:cs="Arial"/>
          <w:color w:val="000000"/>
          <w:sz w:val="20"/>
          <w:szCs w:val="20"/>
        </w:rPr>
        <w:t>This study used a descriptive, document-based research design to examine global and national digital payment trends and their financial effects on institutions. It also included a case study of a private higher education institution in the Philippines. The research relied on document-based and secondary-data methods, which are common in economics and business for studying trends, policy environments, and institutional practices using public records instead of collecting new data (Bowen, 2009; Lim, 2025).</w:t>
      </w:r>
    </w:p>
    <w:p w14:paraId="6508D529">
      <w:pPr>
        <w:pStyle w:val="18"/>
        <w:spacing w:before="0" w:beforeAutospacing="0" w:after="0" w:afterAutospacing="0"/>
        <w:ind w:right="18"/>
        <w:rPr>
          <w:rFonts w:ascii="Arial" w:hAnsi="Arial" w:cs="Arial"/>
          <w:color w:val="000000"/>
          <w:sz w:val="20"/>
          <w:szCs w:val="20"/>
        </w:rPr>
      </w:pPr>
      <w:r>
        <w:rPr>
          <w:rFonts w:ascii="Arial" w:hAnsi="Arial" w:cs="Arial"/>
          <w:color w:val="000000"/>
          <w:sz w:val="20"/>
          <w:szCs w:val="20"/>
        </w:rPr>
        <w:t>The study used only publicly available secondary data and institutional documents, mostly published from 2020 onward. This period saw faster digital payment adoption and more policy intervention during and after COVID. This approach follows standard practices in economics, business, and accounting research, which value transparency and replicability (World Bank, 2022; IMF, 2024). The analysis was non-experimental and interpretive. Rather than testing cause and effect, it described payment trends and how institutions responded, using established economic and organizational frameworks.</w:t>
      </w:r>
    </w:p>
    <w:p w14:paraId="3AD26234">
      <w:pPr>
        <w:pStyle w:val="18"/>
        <w:spacing w:before="0" w:beforeAutospacing="0" w:after="0" w:afterAutospacing="0"/>
        <w:ind w:right="600"/>
      </w:pPr>
    </w:p>
    <w:p w14:paraId="15C82466">
      <w:pPr>
        <w:rPr>
          <w:rFonts w:ascii="Arial" w:hAnsi="Arial" w:cs="Arial"/>
          <w:b/>
          <w:bCs/>
          <w:color w:val="000000"/>
          <w:sz w:val="22"/>
          <w:szCs w:val="22"/>
        </w:rPr>
      </w:pPr>
      <w:r>
        <w:rPr>
          <w:rFonts w:ascii="Arial" w:hAnsi="Arial" w:cs="Arial"/>
          <w:b/>
          <w:bCs/>
          <w:color w:val="000000"/>
          <w:sz w:val="22"/>
          <w:szCs w:val="22"/>
        </w:rPr>
        <w:t>2.2 Analytical Framework</w:t>
      </w:r>
    </w:p>
    <w:p w14:paraId="46771704"/>
    <w:p w14:paraId="6F83BAC3">
      <w:pPr>
        <w:pStyle w:val="18"/>
        <w:spacing w:before="0" w:beforeAutospacing="0" w:after="0" w:afterAutospacing="0"/>
      </w:pPr>
      <w:r>
        <w:rPr>
          <w:rFonts w:ascii="Arial" w:hAnsi="Arial" w:cs="Arial"/>
          <w:color w:val="000000"/>
          <w:sz w:val="20"/>
          <w:szCs w:val="20"/>
        </w:rPr>
        <w:t>This study mainly used Payment Choice Theory, which looks at how people and organizations choose between payment methods based on convenience, costs, access, and available infrastructure (Humphrey et al., 2001; Klee, 2008). This theory helped interpret trends in cash and digital payment use worldwide and within countries.</w:t>
      </w:r>
    </w:p>
    <w:p w14:paraId="2BA0AD26">
      <w:pPr>
        <w:pStyle w:val="18"/>
        <w:spacing w:before="0" w:beforeAutospacing="0" w:after="0" w:afterAutospacing="0"/>
      </w:pPr>
      <w:r>
        <w:rPr>
          <w:rFonts w:ascii="Arial" w:hAnsi="Arial" w:cs="Arial"/>
          <w:color w:val="000000"/>
          <w:sz w:val="20"/>
          <w:szCs w:val="20"/>
        </w:rPr>
        <w:drawing>
          <wp:anchor distT="0" distB="0" distL="114300" distR="114300" simplePos="0" relativeHeight="251660288" behindDoc="1" locked="0" layoutInCell="1" allowOverlap="1">
            <wp:simplePos x="0" y="0"/>
            <wp:positionH relativeFrom="column">
              <wp:posOffset>592455</wp:posOffset>
            </wp:positionH>
            <wp:positionV relativeFrom="paragraph">
              <wp:posOffset>615315</wp:posOffset>
            </wp:positionV>
            <wp:extent cx="3944620" cy="3944620"/>
            <wp:effectExtent l="0" t="0" r="0" b="0"/>
            <wp:wrapNone/>
            <wp:docPr id="122019250" name="Picture 2" descr="A diagram of a pay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9250" name="Picture 2" descr="A diagram of a payment process&#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44471" cy="3944471"/>
                    </a:xfrm>
                    <a:prstGeom prst="rect">
                      <a:avLst/>
                    </a:prstGeom>
                  </pic:spPr>
                </pic:pic>
              </a:graphicData>
            </a:graphic>
          </wp:anchor>
        </w:drawing>
      </w:r>
      <w:r>
        <w:rPr>
          <w:rFonts w:ascii="Arial" w:hAnsi="Arial" w:cs="Arial"/>
          <w:color w:val="000000"/>
          <w:sz w:val="20"/>
          <w:szCs w:val="20"/>
        </w:rPr>
        <w:t>The analysis also used the Financial Inclusion Framework, which focuses on access to and use of formal financial services as signs of inclusive economic growth (World Bank, 2022; Demirgüç-Kunt et al., 2022). In the discussion, Institutional Theory was added to explain how organizations react to rules, social expectations, and competition when adopting digital payment systems (DiMaggio &amp; Powell, 1983; Scott, 2020).</w:t>
      </w:r>
    </w:p>
    <w:p w14:paraId="0940AD63">
      <w:pPr>
        <w:pStyle w:val="18"/>
        <w:spacing w:before="0" w:beforeAutospacing="0" w:after="0" w:afterAutospacing="0"/>
        <w:rPr>
          <w:rFonts w:ascii="Arial" w:hAnsi="Arial" w:cs="Arial"/>
          <w:color w:val="000000"/>
          <w:sz w:val="20"/>
          <w:szCs w:val="20"/>
        </w:rPr>
      </w:pPr>
    </w:p>
    <w:p w14:paraId="1F4B5648">
      <w:pPr>
        <w:pStyle w:val="18"/>
        <w:spacing w:before="0" w:beforeAutospacing="0" w:after="0" w:afterAutospacing="0"/>
        <w:rPr>
          <w:rFonts w:ascii="Arial" w:hAnsi="Arial" w:cs="Arial"/>
          <w:color w:val="000000"/>
          <w:sz w:val="20"/>
          <w:szCs w:val="20"/>
        </w:rPr>
      </w:pPr>
    </w:p>
    <w:p w14:paraId="4DB6CB9B">
      <w:pPr>
        <w:pStyle w:val="18"/>
        <w:spacing w:before="0" w:beforeAutospacing="0" w:after="0" w:afterAutospacing="0"/>
        <w:rPr>
          <w:rFonts w:ascii="Arial" w:hAnsi="Arial" w:cs="Arial"/>
          <w:color w:val="000000"/>
          <w:sz w:val="20"/>
          <w:szCs w:val="20"/>
        </w:rPr>
      </w:pPr>
    </w:p>
    <w:p w14:paraId="44862B02">
      <w:pPr>
        <w:pStyle w:val="18"/>
        <w:spacing w:before="0" w:beforeAutospacing="0" w:after="0" w:afterAutospacing="0"/>
        <w:rPr>
          <w:rFonts w:ascii="Arial" w:hAnsi="Arial" w:cs="Arial"/>
          <w:color w:val="000000"/>
          <w:sz w:val="20"/>
          <w:szCs w:val="20"/>
        </w:rPr>
      </w:pPr>
    </w:p>
    <w:p w14:paraId="65734269">
      <w:pPr>
        <w:pStyle w:val="18"/>
        <w:spacing w:before="0" w:beforeAutospacing="0" w:after="0" w:afterAutospacing="0"/>
        <w:rPr>
          <w:rFonts w:ascii="Arial" w:hAnsi="Arial" w:cs="Arial"/>
          <w:color w:val="000000"/>
          <w:sz w:val="20"/>
          <w:szCs w:val="20"/>
        </w:rPr>
      </w:pPr>
    </w:p>
    <w:p w14:paraId="72CF4D34">
      <w:pPr>
        <w:pStyle w:val="18"/>
        <w:spacing w:before="0" w:beforeAutospacing="0" w:after="0" w:afterAutospacing="0"/>
        <w:rPr>
          <w:rFonts w:ascii="Arial" w:hAnsi="Arial" w:cs="Arial"/>
          <w:color w:val="000000"/>
          <w:sz w:val="20"/>
          <w:szCs w:val="20"/>
        </w:rPr>
      </w:pPr>
    </w:p>
    <w:p w14:paraId="7B3CCD99">
      <w:pPr>
        <w:pStyle w:val="18"/>
        <w:spacing w:before="0" w:beforeAutospacing="0" w:after="0" w:afterAutospacing="0"/>
        <w:rPr>
          <w:rFonts w:ascii="Arial" w:hAnsi="Arial" w:cs="Arial"/>
          <w:color w:val="000000"/>
          <w:sz w:val="20"/>
          <w:szCs w:val="20"/>
        </w:rPr>
      </w:pPr>
    </w:p>
    <w:p w14:paraId="671B172C">
      <w:pPr>
        <w:pStyle w:val="18"/>
        <w:spacing w:before="0" w:beforeAutospacing="0" w:after="0" w:afterAutospacing="0"/>
        <w:rPr>
          <w:rFonts w:ascii="Arial" w:hAnsi="Arial" w:cs="Arial"/>
          <w:color w:val="000000"/>
          <w:sz w:val="20"/>
          <w:szCs w:val="20"/>
        </w:rPr>
      </w:pPr>
    </w:p>
    <w:p w14:paraId="690B0D81">
      <w:pPr>
        <w:pStyle w:val="18"/>
        <w:spacing w:before="0" w:beforeAutospacing="0" w:after="0" w:afterAutospacing="0"/>
        <w:rPr>
          <w:rFonts w:ascii="Arial" w:hAnsi="Arial" w:cs="Arial"/>
          <w:color w:val="000000"/>
          <w:sz w:val="20"/>
          <w:szCs w:val="20"/>
        </w:rPr>
      </w:pPr>
    </w:p>
    <w:p w14:paraId="27E9E1BA">
      <w:pPr>
        <w:pStyle w:val="18"/>
        <w:spacing w:before="0" w:beforeAutospacing="0" w:after="0" w:afterAutospacing="0"/>
        <w:rPr>
          <w:rFonts w:ascii="Arial" w:hAnsi="Arial" w:cs="Arial"/>
          <w:color w:val="000000"/>
          <w:sz w:val="20"/>
          <w:szCs w:val="20"/>
        </w:rPr>
      </w:pPr>
    </w:p>
    <w:p w14:paraId="2BE3E6B5">
      <w:pPr>
        <w:pStyle w:val="18"/>
        <w:spacing w:before="0" w:beforeAutospacing="0" w:after="0" w:afterAutospacing="0"/>
        <w:rPr>
          <w:rFonts w:ascii="Arial" w:hAnsi="Arial" w:cs="Arial"/>
          <w:color w:val="000000"/>
          <w:sz w:val="20"/>
          <w:szCs w:val="20"/>
        </w:rPr>
      </w:pPr>
    </w:p>
    <w:p w14:paraId="1B0491F3">
      <w:pPr>
        <w:pStyle w:val="18"/>
        <w:spacing w:before="0" w:beforeAutospacing="0" w:after="0" w:afterAutospacing="0"/>
        <w:rPr>
          <w:rFonts w:ascii="Arial" w:hAnsi="Arial" w:cs="Arial"/>
          <w:color w:val="000000"/>
          <w:sz w:val="20"/>
          <w:szCs w:val="20"/>
        </w:rPr>
      </w:pPr>
    </w:p>
    <w:p w14:paraId="58BB7320">
      <w:pPr>
        <w:pStyle w:val="18"/>
        <w:spacing w:before="0" w:beforeAutospacing="0" w:after="0" w:afterAutospacing="0"/>
        <w:rPr>
          <w:rFonts w:ascii="Arial" w:hAnsi="Arial" w:cs="Arial"/>
          <w:color w:val="000000"/>
          <w:sz w:val="20"/>
          <w:szCs w:val="20"/>
        </w:rPr>
      </w:pPr>
    </w:p>
    <w:p w14:paraId="1BDFBDB8">
      <w:pPr>
        <w:pStyle w:val="18"/>
        <w:spacing w:before="0" w:beforeAutospacing="0" w:after="0" w:afterAutospacing="0"/>
        <w:rPr>
          <w:rFonts w:ascii="Arial" w:hAnsi="Arial" w:cs="Arial"/>
          <w:color w:val="000000"/>
          <w:sz w:val="20"/>
          <w:szCs w:val="20"/>
        </w:rPr>
      </w:pPr>
    </w:p>
    <w:p w14:paraId="4DE21A49">
      <w:pPr>
        <w:pStyle w:val="18"/>
        <w:spacing w:before="0" w:beforeAutospacing="0" w:after="0" w:afterAutospacing="0"/>
        <w:rPr>
          <w:rFonts w:ascii="Arial" w:hAnsi="Arial" w:cs="Arial"/>
          <w:color w:val="000000"/>
          <w:sz w:val="20"/>
          <w:szCs w:val="20"/>
        </w:rPr>
      </w:pPr>
    </w:p>
    <w:p w14:paraId="20D6B21E">
      <w:pPr>
        <w:pStyle w:val="18"/>
        <w:spacing w:before="0" w:beforeAutospacing="0" w:after="0" w:afterAutospacing="0"/>
        <w:rPr>
          <w:rFonts w:ascii="Arial" w:hAnsi="Arial" w:cs="Arial"/>
          <w:color w:val="000000"/>
          <w:sz w:val="20"/>
          <w:szCs w:val="20"/>
        </w:rPr>
      </w:pPr>
    </w:p>
    <w:p w14:paraId="080E37FE">
      <w:pPr>
        <w:pStyle w:val="18"/>
        <w:spacing w:before="0" w:beforeAutospacing="0" w:after="0" w:afterAutospacing="0"/>
        <w:rPr>
          <w:rFonts w:ascii="Arial" w:hAnsi="Arial" w:cs="Arial"/>
          <w:color w:val="000000"/>
          <w:sz w:val="20"/>
          <w:szCs w:val="20"/>
        </w:rPr>
      </w:pPr>
    </w:p>
    <w:p w14:paraId="7C25BC88">
      <w:pPr>
        <w:pStyle w:val="18"/>
        <w:spacing w:before="0" w:beforeAutospacing="0" w:after="0" w:afterAutospacing="0"/>
        <w:rPr>
          <w:rFonts w:ascii="Arial" w:hAnsi="Arial" w:cs="Arial"/>
          <w:color w:val="000000"/>
          <w:sz w:val="20"/>
          <w:szCs w:val="20"/>
        </w:rPr>
      </w:pPr>
    </w:p>
    <w:p w14:paraId="00B5CCC8">
      <w:pPr>
        <w:pStyle w:val="18"/>
        <w:spacing w:before="0" w:beforeAutospacing="0" w:after="0" w:afterAutospacing="0"/>
        <w:rPr>
          <w:rFonts w:ascii="Arial" w:hAnsi="Arial" w:cs="Arial"/>
          <w:color w:val="000000"/>
          <w:sz w:val="20"/>
          <w:szCs w:val="20"/>
        </w:rPr>
      </w:pPr>
    </w:p>
    <w:p w14:paraId="330F64B6">
      <w:pPr>
        <w:pStyle w:val="18"/>
        <w:spacing w:before="0" w:beforeAutospacing="0" w:after="0" w:afterAutospacing="0"/>
        <w:rPr>
          <w:rFonts w:ascii="Arial" w:hAnsi="Arial" w:cs="Arial"/>
          <w:color w:val="000000"/>
          <w:sz w:val="20"/>
          <w:szCs w:val="20"/>
        </w:rPr>
      </w:pPr>
    </w:p>
    <w:p w14:paraId="14B00676">
      <w:pPr>
        <w:pStyle w:val="18"/>
        <w:spacing w:before="0" w:beforeAutospacing="0" w:after="0" w:afterAutospacing="0"/>
        <w:rPr>
          <w:rFonts w:ascii="Arial" w:hAnsi="Arial" w:cs="Arial"/>
          <w:color w:val="000000"/>
          <w:sz w:val="20"/>
          <w:szCs w:val="20"/>
        </w:rPr>
      </w:pPr>
    </w:p>
    <w:p w14:paraId="31799F83">
      <w:pPr>
        <w:pStyle w:val="18"/>
        <w:spacing w:before="0" w:beforeAutospacing="0" w:after="0" w:afterAutospacing="0"/>
        <w:rPr>
          <w:rFonts w:ascii="Arial" w:hAnsi="Arial" w:cs="Arial"/>
          <w:color w:val="000000"/>
          <w:sz w:val="20"/>
          <w:szCs w:val="20"/>
        </w:rPr>
      </w:pPr>
    </w:p>
    <w:p w14:paraId="4B04D9AF">
      <w:pPr>
        <w:pStyle w:val="18"/>
        <w:spacing w:before="0" w:beforeAutospacing="0" w:after="0" w:afterAutospacing="0"/>
        <w:rPr>
          <w:rFonts w:ascii="Arial" w:hAnsi="Arial" w:cs="Arial"/>
          <w:color w:val="000000"/>
          <w:sz w:val="20"/>
          <w:szCs w:val="20"/>
        </w:rPr>
      </w:pPr>
    </w:p>
    <w:p w14:paraId="3E3FD32A">
      <w:pPr>
        <w:pStyle w:val="18"/>
        <w:spacing w:before="0" w:beforeAutospacing="0" w:after="0" w:afterAutospacing="0"/>
        <w:rPr>
          <w:rFonts w:ascii="Arial" w:hAnsi="Arial" w:cs="Arial"/>
          <w:color w:val="000000"/>
          <w:sz w:val="20"/>
          <w:szCs w:val="20"/>
        </w:rPr>
      </w:pPr>
    </w:p>
    <w:p w14:paraId="3BDEC6A8">
      <w:pPr>
        <w:pStyle w:val="18"/>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 xml:space="preserve">Fig. 1. Analytical Framework Linking Global Payment Trends, </w:t>
      </w:r>
    </w:p>
    <w:p w14:paraId="781D39AC">
      <w:pPr>
        <w:pStyle w:val="18"/>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National Payment Environments,</w:t>
      </w:r>
      <w:r>
        <w:t xml:space="preserve"> </w:t>
      </w:r>
      <w:r>
        <w:rPr>
          <w:rFonts w:ascii="Arial" w:hAnsi="Arial" w:cs="Arial"/>
          <w:b/>
          <w:bCs/>
          <w:color w:val="000000"/>
          <w:sz w:val="20"/>
          <w:szCs w:val="20"/>
        </w:rPr>
        <w:t>and Institutional Responses</w:t>
      </w:r>
    </w:p>
    <w:p w14:paraId="74BECF31">
      <w:pPr>
        <w:pStyle w:val="18"/>
        <w:spacing w:before="0" w:beforeAutospacing="0" w:after="0" w:afterAutospacing="0"/>
        <w:jc w:val="center"/>
        <w:rPr>
          <w:rFonts w:ascii="Arial" w:hAnsi="Arial" w:cs="Arial"/>
          <w:b/>
          <w:bCs/>
          <w:color w:val="000000"/>
          <w:sz w:val="20"/>
          <w:szCs w:val="20"/>
        </w:rPr>
      </w:pPr>
    </w:p>
    <w:p w14:paraId="28338690">
      <w:pPr>
        <w:pStyle w:val="2"/>
        <w:spacing w:before="0" w:after="0"/>
        <w:rPr>
          <w:rFonts w:cs="Arial"/>
          <w:color w:val="000000"/>
          <w:sz w:val="22"/>
          <w:szCs w:val="22"/>
        </w:rPr>
      </w:pPr>
      <w:r>
        <w:rPr>
          <w:rFonts w:cs="Arial"/>
          <w:color w:val="000000"/>
          <w:sz w:val="22"/>
          <w:szCs w:val="22"/>
        </w:rPr>
        <w:t>2.3 Data Sources</w:t>
      </w:r>
    </w:p>
    <w:p w14:paraId="2EF0BEBF">
      <w:pPr>
        <w:pStyle w:val="18"/>
        <w:spacing w:before="0" w:beforeAutospacing="0" w:after="0" w:afterAutospacing="0"/>
        <w:ind w:right="600"/>
        <w:rPr>
          <w:rFonts w:ascii="Arial" w:hAnsi="Arial" w:cs="Arial"/>
          <w:color w:val="000000"/>
          <w:sz w:val="22"/>
          <w:szCs w:val="22"/>
        </w:rPr>
      </w:pPr>
    </w:p>
    <w:p w14:paraId="5BBE1602">
      <w:pPr>
        <w:pStyle w:val="18"/>
        <w:spacing w:before="0" w:beforeAutospacing="0" w:after="0" w:afterAutospacing="0"/>
        <w:ind w:right="14"/>
      </w:pPr>
      <w:r>
        <w:rPr>
          <w:rFonts w:ascii="Arial" w:hAnsi="Arial" w:cs="Arial"/>
          <w:color w:val="000000"/>
          <w:sz w:val="20"/>
          <w:szCs w:val="20"/>
        </w:rPr>
        <w:t>All data came from publicly available international, national, and institutional sources. These were chosen to make the study transparent and easy to replicate, and to match the descriptive and comparative approach (Bowen, 2009; Lim, 2025). Only documents and datasets from 2020 or later were used to reflect current digital payment trends.</w:t>
      </w:r>
    </w:p>
    <w:p w14:paraId="265F2072">
      <w:pPr>
        <w:ind w:right="14"/>
      </w:pPr>
    </w:p>
    <w:p w14:paraId="5E1A2BE2">
      <w:pPr>
        <w:pStyle w:val="4"/>
        <w:spacing w:before="0"/>
        <w:ind w:right="14"/>
        <w:rPr>
          <w:b/>
          <w:bCs/>
          <w:sz w:val="27"/>
          <w:szCs w:val="27"/>
        </w:rPr>
      </w:pPr>
      <w:r>
        <w:rPr>
          <w:rFonts w:ascii="Arial" w:hAnsi="Arial" w:cs="Arial"/>
          <w:b/>
          <w:bCs/>
          <w:color w:val="000000"/>
          <w:sz w:val="20"/>
          <w:szCs w:val="20"/>
          <w:u w:val="single"/>
        </w:rPr>
        <w:t>2.3.1 Global-Level Sources</w:t>
      </w:r>
    </w:p>
    <w:p w14:paraId="2D1267CD">
      <w:pPr>
        <w:ind w:right="14"/>
      </w:pPr>
    </w:p>
    <w:p w14:paraId="3624F020">
      <w:pPr>
        <w:pStyle w:val="18"/>
        <w:spacing w:before="0" w:beforeAutospacing="0" w:after="0" w:afterAutospacing="0"/>
        <w:ind w:right="14"/>
      </w:pPr>
      <w:r>
        <w:rPr>
          <w:rFonts w:ascii="Arial" w:hAnsi="Arial" w:cs="Arial"/>
          <w:color w:val="000000"/>
          <w:sz w:val="20"/>
          <w:szCs w:val="20"/>
        </w:rPr>
        <w:t>To study global digital payment trends, two well-known datasets were used. The World Bank Global Findex Database provides demand-side data on how people use digital payments and financial accounts across countries, based on worldwide household surveys (World Bank, 2025; Demirgüç-Kunt et al., 2022). The International Monetary Fund (IMF) Financial Access Survey (FAS) provided supply-side data on the availability of digital payment channels and financial infrastructure in each country, such as electronic money accounts and access points (International Monetary Fund, 2025).</w:t>
      </w:r>
    </w:p>
    <w:p w14:paraId="421CCE7F">
      <w:pPr>
        <w:pStyle w:val="18"/>
        <w:spacing w:before="0" w:beforeAutospacing="0" w:after="0" w:afterAutospacing="0"/>
        <w:ind w:right="14"/>
      </w:pPr>
      <w:r>
        <w:rPr>
          <w:rFonts w:ascii="Arial" w:hAnsi="Arial" w:cs="Arial"/>
          <w:color w:val="000000"/>
          <w:sz w:val="20"/>
          <w:szCs w:val="20"/>
        </w:rPr>
        <w:t>Together, these datasets offered a complete view of how digital payments are adopted and the conditions that make this possible.</w:t>
      </w:r>
    </w:p>
    <w:p w14:paraId="662AB3ED">
      <w:pPr>
        <w:ind w:right="14"/>
      </w:pPr>
    </w:p>
    <w:p w14:paraId="0F458A7B">
      <w:pPr>
        <w:pStyle w:val="4"/>
        <w:spacing w:before="0"/>
        <w:ind w:right="14"/>
        <w:rPr>
          <w:b/>
          <w:bCs/>
        </w:rPr>
      </w:pPr>
      <w:r>
        <w:rPr>
          <w:rFonts w:ascii="Arial" w:hAnsi="Arial" w:cs="Arial"/>
          <w:b/>
          <w:bCs/>
          <w:color w:val="000000"/>
          <w:sz w:val="20"/>
          <w:szCs w:val="20"/>
          <w:u w:val="single"/>
        </w:rPr>
        <w:t>2.3.2 National-Level Sources (Philippines)</w:t>
      </w:r>
    </w:p>
    <w:p w14:paraId="79DE3C10">
      <w:pPr>
        <w:ind w:right="14"/>
      </w:pPr>
    </w:p>
    <w:p w14:paraId="5DB33888">
      <w:pPr>
        <w:pStyle w:val="18"/>
        <w:spacing w:before="0" w:beforeAutospacing="0" w:after="0" w:afterAutospacing="0"/>
        <w:ind w:right="14"/>
      </w:pPr>
      <w:r>
        <w:rPr>
          <w:rFonts w:ascii="Arial" w:hAnsi="Arial" w:cs="Arial"/>
          <w:color w:val="000000"/>
          <w:sz w:val="20"/>
          <w:szCs w:val="20"/>
        </w:rPr>
        <w:t xml:space="preserve">National-level data came from official publications by the Bangko Sentral ng Pilipinas (BSP) and the Philippine Statistics Authority (PSA). BSP reports, such as the </w:t>
      </w:r>
      <w:r>
        <w:rPr>
          <w:rFonts w:ascii="Arial" w:hAnsi="Arial" w:cs="Arial"/>
          <w:i/>
          <w:iCs/>
          <w:color w:val="000000"/>
          <w:sz w:val="20"/>
          <w:szCs w:val="20"/>
        </w:rPr>
        <w:t>2024 Report on E-Payments Measurement</w:t>
      </w:r>
      <w:r>
        <w:rPr>
          <w:rFonts w:ascii="Arial" w:hAnsi="Arial" w:cs="Arial"/>
          <w:color w:val="000000"/>
          <w:sz w:val="20"/>
          <w:szCs w:val="20"/>
        </w:rPr>
        <w:t xml:space="preserve"> and other digital payments status updates, helped identify payment trends, policy goals, and regulations shaping digital payments in the Philippines. The BSP’s 2024 report shows that digital payments made up 57.4% of all retail payment volume and 59% of retail payment value in 2024, showing a steady move toward electronic payments and surpassing national digitalization goals (Bangko Sentral ng Pilipinas, 2024).</w:t>
      </w:r>
    </w:p>
    <w:p w14:paraId="3F8CA9E0">
      <w:pPr>
        <w:pStyle w:val="18"/>
        <w:spacing w:before="0" w:beforeAutospacing="0" w:after="0" w:afterAutospacing="0"/>
        <w:ind w:right="14"/>
      </w:pPr>
      <w:r>
        <w:rPr>
          <w:rFonts w:ascii="Arial" w:hAnsi="Arial" w:cs="Arial"/>
          <w:color w:val="000000"/>
          <w:sz w:val="20"/>
          <w:szCs w:val="20"/>
        </w:rPr>
        <w:t>Data from 2023 also show that digital payment use kept growing, with digital transactions making up about 52.8% of all retail payments. This growth reflects the ongoing impact of the BSP’s digital payments transformation efforts (Philippine Star, 2024).</w:t>
      </w:r>
    </w:p>
    <w:p w14:paraId="125DC281">
      <w:pPr>
        <w:pStyle w:val="18"/>
        <w:spacing w:before="0" w:beforeAutospacing="0" w:after="0" w:afterAutospacing="0"/>
        <w:ind w:right="14"/>
      </w:pPr>
      <w:r>
        <w:rPr>
          <w:rFonts w:ascii="Arial" w:hAnsi="Arial" w:cs="Arial"/>
          <w:color w:val="000000"/>
          <w:sz w:val="20"/>
          <w:szCs w:val="20"/>
        </w:rPr>
        <w:t>Reports from the Philippine Statistics Authority (PSA) supported analysis of information and communication technology (ICT) access and digital readiness, both of which affect payment system adoption. This includes the latest National Information and Communications Technology Household Survey (NICTHS), which gives updated data on household and individual internet access in the Philippines (Philippine Statistics Authority &amp; Department of Information and Communications Technology, 2025).</w:t>
      </w:r>
    </w:p>
    <w:p w14:paraId="31FB9752">
      <w:pPr>
        <w:ind w:right="14"/>
      </w:pPr>
    </w:p>
    <w:p w14:paraId="1BE8F112">
      <w:pPr>
        <w:pStyle w:val="4"/>
        <w:spacing w:before="0"/>
        <w:ind w:right="14"/>
        <w:rPr>
          <w:b/>
          <w:bCs/>
        </w:rPr>
      </w:pPr>
      <w:r>
        <w:rPr>
          <w:rFonts w:ascii="Arial" w:hAnsi="Arial" w:cs="Arial"/>
          <w:b/>
          <w:bCs/>
          <w:color w:val="000000"/>
          <w:sz w:val="20"/>
          <w:szCs w:val="20"/>
          <w:u w:val="single"/>
        </w:rPr>
        <w:t>2.3.3 Institutional-Level Sources</w:t>
      </w:r>
    </w:p>
    <w:p w14:paraId="5274EF91">
      <w:pPr>
        <w:ind w:right="14"/>
      </w:pPr>
    </w:p>
    <w:p w14:paraId="7E66480A">
      <w:pPr>
        <w:pStyle w:val="18"/>
        <w:spacing w:before="0" w:beforeAutospacing="0" w:after="0" w:afterAutospacing="0"/>
        <w:ind w:right="14"/>
        <w:rPr>
          <w:rFonts w:ascii="Arial" w:hAnsi="Arial" w:cs="Arial"/>
          <w:color w:val="000000"/>
          <w:sz w:val="20"/>
          <w:szCs w:val="20"/>
        </w:rPr>
      </w:pPr>
      <w:r>
        <w:rPr>
          <w:rFonts w:ascii="Arial" w:hAnsi="Arial" w:cs="Arial"/>
          <w:color w:val="000000"/>
          <w:sz w:val="20"/>
          <w:szCs w:val="20"/>
        </w:rPr>
        <w:t>Institutional evidence was obtained from publicly available documents of Xavier University – Ateneo de Cagayan, including official payment and enrollment advisories, announcements on accepted digital payment channels, and publicly released institutional or sustainability reports (Xavier University – Ateneo de Cagayan, 2024). Only documents published on official university platforms were included. No internal financial data or confidential records were accessed.</w:t>
      </w:r>
    </w:p>
    <w:p w14:paraId="1FFF38AB">
      <w:pPr>
        <w:pStyle w:val="18"/>
        <w:spacing w:before="0" w:beforeAutospacing="0" w:after="0" w:afterAutospacing="0"/>
        <w:ind w:right="14"/>
        <w:rPr>
          <w:rFonts w:ascii="Arial" w:hAnsi="Arial" w:cs="Arial"/>
          <w:color w:val="000000"/>
          <w:sz w:val="20"/>
          <w:szCs w:val="20"/>
        </w:rPr>
      </w:pPr>
    </w:p>
    <w:p w14:paraId="62E8DD43">
      <w:pPr>
        <w:pStyle w:val="18"/>
        <w:spacing w:before="0" w:beforeAutospacing="0" w:after="0" w:afterAutospacing="0"/>
        <w:ind w:right="14"/>
        <w:jc w:val="center"/>
        <w:rPr>
          <w:rFonts w:ascii="Arial" w:hAnsi="Arial" w:cs="Arial"/>
          <w:color w:val="000000"/>
          <w:sz w:val="20"/>
          <w:szCs w:val="20"/>
        </w:rPr>
      </w:pPr>
      <w:r>
        <w:rPr>
          <w:rFonts w:ascii="Arial" w:hAnsi="Arial" w:cs="Arial"/>
          <w:b/>
          <w:bCs/>
          <w:color w:val="000000"/>
          <w:sz w:val="20"/>
          <w:szCs w:val="20"/>
        </w:rPr>
        <w:t>Table 1. Description of Data Sources Used in the Study</w:t>
      </w:r>
    </w:p>
    <w:p w14:paraId="026A69A1">
      <w:pPr>
        <w:pStyle w:val="18"/>
        <w:spacing w:before="0" w:beforeAutospacing="0" w:after="0" w:afterAutospacing="0"/>
        <w:ind w:right="14"/>
      </w:pPr>
    </w:p>
    <w:tbl>
      <w:tblPr>
        <w:tblStyle w:val="6"/>
        <w:tblW w:w="819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0"/>
        <w:gridCol w:w="1706"/>
        <w:gridCol w:w="2027"/>
        <w:gridCol w:w="2477"/>
      </w:tblGrid>
      <w:tr w14:paraId="7959C0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0" w:type="dxa"/>
            <w:tcBorders>
              <w:top w:val="single" w:color="auto" w:sz="4" w:space="0"/>
              <w:bottom w:val="single" w:color="auto" w:sz="4" w:space="0"/>
            </w:tcBorders>
            <w:vAlign w:val="center"/>
          </w:tcPr>
          <w:p w14:paraId="10F305D7">
            <w:pPr>
              <w:jc w:val="both"/>
              <w:rPr>
                <w:rFonts w:ascii="Arial" w:hAnsi="Arial"/>
                <w:b/>
                <w:bCs/>
                <w:sz w:val="20"/>
                <w:szCs w:val="20"/>
              </w:rPr>
            </w:pPr>
            <w:r>
              <w:rPr>
                <w:rFonts w:ascii="Arial" w:hAnsi="Arial" w:cs="Arial"/>
                <w:b/>
                <w:bCs/>
                <w:color w:val="000000"/>
                <w:sz w:val="20"/>
                <w:szCs w:val="20"/>
              </w:rPr>
              <w:t>Analytical Level</w:t>
            </w:r>
          </w:p>
        </w:tc>
        <w:tc>
          <w:tcPr>
            <w:tcW w:w="1706" w:type="dxa"/>
            <w:tcBorders>
              <w:top w:val="single" w:color="auto" w:sz="4" w:space="0"/>
              <w:bottom w:val="single" w:color="auto" w:sz="4" w:space="0"/>
            </w:tcBorders>
            <w:vAlign w:val="center"/>
          </w:tcPr>
          <w:p w14:paraId="5633B1F1">
            <w:pPr>
              <w:jc w:val="both"/>
              <w:rPr>
                <w:rFonts w:ascii="Arial" w:hAnsi="Arial"/>
                <w:b/>
                <w:bCs/>
                <w:sz w:val="20"/>
                <w:szCs w:val="20"/>
              </w:rPr>
            </w:pPr>
            <w:r>
              <w:rPr>
                <w:rFonts w:ascii="Arial" w:hAnsi="Arial" w:cs="Arial"/>
                <w:b/>
                <w:bCs/>
                <w:color w:val="000000"/>
                <w:sz w:val="20"/>
                <w:szCs w:val="20"/>
              </w:rPr>
              <w:t>Source</w:t>
            </w:r>
          </w:p>
        </w:tc>
        <w:tc>
          <w:tcPr>
            <w:tcW w:w="2027" w:type="dxa"/>
            <w:tcBorders>
              <w:top w:val="single" w:color="auto" w:sz="4" w:space="0"/>
              <w:bottom w:val="single" w:color="auto" w:sz="4" w:space="0"/>
            </w:tcBorders>
            <w:vAlign w:val="center"/>
          </w:tcPr>
          <w:p w14:paraId="183E442B">
            <w:pPr>
              <w:jc w:val="both"/>
              <w:rPr>
                <w:rFonts w:ascii="Arial" w:hAnsi="Arial"/>
                <w:b/>
                <w:bCs/>
                <w:sz w:val="20"/>
                <w:szCs w:val="20"/>
              </w:rPr>
            </w:pPr>
            <w:r>
              <w:rPr>
                <w:rFonts w:ascii="Arial" w:hAnsi="Arial" w:cs="Arial"/>
                <w:b/>
                <w:bCs/>
                <w:color w:val="000000"/>
                <w:sz w:val="20"/>
                <w:szCs w:val="20"/>
              </w:rPr>
              <w:t>Brief Description</w:t>
            </w:r>
          </w:p>
        </w:tc>
        <w:tc>
          <w:tcPr>
            <w:tcW w:w="2477" w:type="dxa"/>
            <w:tcBorders>
              <w:top w:val="single" w:color="auto" w:sz="4" w:space="0"/>
              <w:bottom w:val="single" w:color="auto" w:sz="4" w:space="0"/>
            </w:tcBorders>
            <w:vAlign w:val="center"/>
          </w:tcPr>
          <w:p w14:paraId="27C9E264">
            <w:pPr>
              <w:rPr>
                <w:rFonts w:ascii="Arial" w:hAnsi="Arial"/>
                <w:b/>
                <w:bCs/>
                <w:sz w:val="20"/>
                <w:szCs w:val="20"/>
              </w:rPr>
            </w:pPr>
            <w:r>
              <w:rPr>
                <w:rFonts w:ascii="Arial" w:hAnsi="Arial" w:cs="Arial"/>
                <w:b/>
                <w:bCs/>
                <w:color w:val="000000"/>
                <w:sz w:val="20"/>
                <w:szCs w:val="20"/>
              </w:rPr>
              <w:t>Purpose in the Study</w:t>
            </w:r>
          </w:p>
        </w:tc>
      </w:tr>
      <w:tr w14:paraId="4F4AB0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1980" w:type="dxa"/>
            <w:tcBorders>
              <w:top w:val="single" w:color="auto" w:sz="4" w:space="0"/>
              <w:bottom w:val="single" w:color="auto" w:sz="4" w:space="0"/>
            </w:tcBorders>
            <w:vAlign w:val="center"/>
          </w:tcPr>
          <w:p w14:paraId="034BDA3C">
            <w:pPr>
              <w:rPr>
                <w:rFonts w:ascii="Arial" w:hAnsi="Arial"/>
                <w:b/>
                <w:bCs/>
                <w:sz w:val="20"/>
                <w:szCs w:val="20"/>
              </w:rPr>
            </w:pPr>
            <w:r>
              <w:rPr>
                <w:rFonts w:ascii="Arial" w:hAnsi="Arial" w:cs="Arial"/>
                <w:color w:val="000000"/>
                <w:sz w:val="20"/>
                <w:szCs w:val="20"/>
              </w:rPr>
              <w:t>Global</w:t>
            </w:r>
          </w:p>
        </w:tc>
        <w:tc>
          <w:tcPr>
            <w:tcW w:w="1706" w:type="dxa"/>
            <w:tcBorders>
              <w:top w:val="single" w:color="auto" w:sz="4" w:space="0"/>
              <w:bottom w:val="single" w:color="auto" w:sz="4" w:space="0"/>
            </w:tcBorders>
            <w:vAlign w:val="center"/>
          </w:tcPr>
          <w:p w14:paraId="0FFFECDE">
            <w:pPr>
              <w:rPr>
                <w:rFonts w:ascii="Arial" w:hAnsi="Arial"/>
                <w:b/>
                <w:bCs/>
                <w:sz w:val="20"/>
                <w:szCs w:val="20"/>
              </w:rPr>
            </w:pPr>
            <w:r>
              <w:rPr>
                <w:rFonts w:ascii="Arial" w:hAnsi="Arial" w:cs="Arial"/>
                <w:color w:val="000000"/>
                <w:sz w:val="20"/>
                <w:szCs w:val="20"/>
              </w:rPr>
              <w:t>World Bank Global Findex</w:t>
            </w:r>
          </w:p>
        </w:tc>
        <w:tc>
          <w:tcPr>
            <w:tcW w:w="2027" w:type="dxa"/>
            <w:tcBorders>
              <w:top w:val="single" w:color="auto" w:sz="4" w:space="0"/>
              <w:bottom w:val="single" w:color="auto" w:sz="4" w:space="0"/>
            </w:tcBorders>
            <w:vAlign w:val="center"/>
          </w:tcPr>
          <w:p w14:paraId="682EB58C">
            <w:pPr>
              <w:rPr>
                <w:rFonts w:ascii="Arial" w:hAnsi="Arial"/>
                <w:b/>
                <w:bCs/>
                <w:sz w:val="20"/>
                <w:szCs w:val="20"/>
              </w:rPr>
            </w:pPr>
            <w:r>
              <w:rPr>
                <w:rFonts w:ascii="Arial" w:hAnsi="Arial" w:cs="Arial"/>
                <w:color w:val="000000"/>
                <w:sz w:val="20"/>
                <w:szCs w:val="20"/>
              </w:rPr>
              <w:t>Cross-country survey database on account ownership and digital payment usage</w:t>
            </w:r>
          </w:p>
        </w:tc>
        <w:tc>
          <w:tcPr>
            <w:tcW w:w="2477" w:type="dxa"/>
            <w:tcBorders>
              <w:top w:val="single" w:color="auto" w:sz="4" w:space="0"/>
              <w:bottom w:val="single" w:color="auto" w:sz="4" w:space="0"/>
            </w:tcBorders>
            <w:vAlign w:val="center"/>
          </w:tcPr>
          <w:p w14:paraId="62F7B5D7">
            <w:pPr>
              <w:rPr>
                <w:rFonts w:ascii="Arial" w:hAnsi="Arial" w:cs="Arial"/>
                <w:sz w:val="20"/>
                <w:szCs w:val="20"/>
              </w:rPr>
            </w:pPr>
            <w:r>
              <w:rPr>
                <w:rFonts w:ascii="Arial" w:hAnsi="Arial" w:cs="Arial"/>
                <w:color w:val="000000"/>
                <w:sz w:val="20"/>
                <w:szCs w:val="20"/>
              </w:rPr>
              <w:t>Identify global digital payment trends</w:t>
            </w:r>
          </w:p>
        </w:tc>
      </w:tr>
      <w:tr w14:paraId="0C3D73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0" w:type="dxa"/>
            <w:tcBorders>
              <w:top w:val="single" w:color="auto" w:sz="4" w:space="0"/>
              <w:bottom w:val="single" w:color="auto" w:sz="4" w:space="0"/>
            </w:tcBorders>
            <w:vAlign w:val="center"/>
          </w:tcPr>
          <w:p w14:paraId="7F626714">
            <w:pPr>
              <w:rPr>
                <w:rFonts w:ascii="Arial" w:hAnsi="Arial" w:cs="Arial"/>
                <w:sz w:val="20"/>
                <w:szCs w:val="20"/>
              </w:rPr>
            </w:pPr>
            <w:r>
              <w:rPr>
                <w:rFonts w:ascii="Arial" w:hAnsi="Arial" w:cs="Arial"/>
                <w:color w:val="000000"/>
                <w:sz w:val="20"/>
                <w:szCs w:val="20"/>
              </w:rPr>
              <w:t>Global</w:t>
            </w:r>
          </w:p>
        </w:tc>
        <w:tc>
          <w:tcPr>
            <w:tcW w:w="1706" w:type="dxa"/>
            <w:tcBorders>
              <w:top w:val="single" w:color="auto" w:sz="4" w:space="0"/>
              <w:bottom w:val="single" w:color="auto" w:sz="4" w:space="0"/>
            </w:tcBorders>
            <w:vAlign w:val="center"/>
          </w:tcPr>
          <w:p w14:paraId="7D197421">
            <w:pPr>
              <w:rPr>
                <w:rFonts w:ascii="Arial" w:hAnsi="Arial" w:cs="Arial"/>
                <w:sz w:val="20"/>
                <w:szCs w:val="20"/>
              </w:rPr>
            </w:pPr>
            <w:r>
              <w:rPr>
                <w:rFonts w:ascii="Arial" w:hAnsi="Arial" w:cs="Arial"/>
                <w:color w:val="000000"/>
                <w:sz w:val="20"/>
                <w:szCs w:val="20"/>
              </w:rPr>
              <w:t>IMF Financial Access Survey (FAS)</w:t>
            </w:r>
          </w:p>
        </w:tc>
        <w:tc>
          <w:tcPr>
            <w:tcW w:w="2027" w:type="dxa"/>
            <w:tcBorders>
              <w:top w:val="single" w:color="auto" w:sz="4" w:space="0"/>
              <w:bottom w:val="single" w:color="auto" w:sz="4" w:space="0"/>
            </w:tcBorders>
            <w:vAlign w:val="center"/>
          </w:tcPr>
          <w:p w14:paraId="54891E95">
            <w:pPr>
              <w:rPr>
                <w:rFonts w:ascii="Arial" w:hAnsi="Arial"/>
                <w:sz w:val="20"/>
                <w:szCs w:val="20"/>
              </w:rPr>
            </w:pPr>
            <w:r>
              <w:rPr>
                <w:rFonts w:ascii="Arial" w:hAnsi="Arial" w:cs="Arial"/>
                <w:color w:val="000000"/>
                <w:sz w:val="20"/>
                <w:szCs w:val="20"/>
              </w:rPr>
              <w:t>Country-level dataset on payment infrastructure and digital access channels</w:t>
            </w:r>
          </w:p>
        </w:tc>
        <w:tc>
          <w:tcPr>
            <w:tcW w:w="2477" w:type="dxa"/>
            <w:tcBorders>
              <w:top w:val="single" w:color="auto" w:sz="4" w:space="0"/>
              <w:bottom w:val="single" w:color="auto" w:sz="4" w:space="0"/>
            </w:tcBorders>
            <w:vAlign w:val="center"/>
          </w:tcPr>
          <w:p w14:paraId="2B671911">
            <w:pPr>
              <w:rPr>
                <w:rFonts w:ascii="Arial" w:hAnsi="Arial" w:cs="Arial"/>
                <w:sz w:val="20"/>
                <w:szCs w:val="20"/>
              </w:rPr>
            </w:pPr>
            <w:r>
              <w:rPr>
                <w:rFonts w:ascii="Arial" w:hAnsi="Arial" w:cs="Arial"/>
                <w:color w:val="000000"/>
                <w:sz w:val="20"/>
                <w:szCs w:val="20"/>
              </w:rPr>
              <w:t>Examine availability of digital payment channels</w:t>
            </w:r>
          </w:p>
        </w:tc>
      </w:tr>
      <w:tr w14:paraId="249C9D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0" w:type="dxa"/>
            <w:tcBorders>
              <w:top w:val="single" w:color="auto" w:sz="4" w:space="0"/>
              <w:bottom w:val="single" w:color="auto" w:sz="4" w:space="0"/>
            </w:tcBorders>
            <w:vAlign w:val="center"/>
          </w:tcPr>
          <w:p w14:paraId="2C77AD3C">
            <w:pPr>
              <w:rPr>
                <w:rFonts w:ascii="Arial" w:hAnsi="Arial" w:cs="Arial"/>
                <w:sz w:val="20"/>
                <w:szCs w:val="20"/>
              </w:rPr>
            </w:pPr>
            <w:r>
              <w:rPr>
                <w:rFonts w:ascii="Arial" w:hAnsi="Arial" w:cs="Arial"/>
                <w:color w:val="000000"/>
                <w:sz w:val="20"/>
                <w:szCs w:val="20"/>
              </w:rPr>
              <w:t>National (PH)</w:t>
            </w:r>
          </w:p>
        </w:tc>
        <w:tc>
          <w:tcPr>
            <w:tcW w:w="1706" w:type="dxa"/>
            <w:tcBorders>
              <w:top w:val="single" w:color="auto" w:sz="4" w:space="0"/>
              <w:bottom w:val="single" w:color="auto" w:sz="4" w:space="0"/>
            </w:tcBorders>
            <w:vAlign w:val="center"/>
          </w:tcPr>
          <w:p w14:paraId="063D9943">
            <w:pPr>
              <w:rPr>
                <w:rFonts w:ascii="Arial" w:hAnsi="Arial" w:cs="Arial"/>
                <w:sz w:val="20"/>
                <w:szCs w:val="20"/>
              </w:rPr>
            </w:pPr>
            <w:r>
              <w:rPr>
                <w:rFonts w:ascii="Arial" w:hAnsi="Arial" w:cs="Arial"/>
                <w:color w:val="000000"/>
                <w:sz w:val="20"/>
                <w:szCs w:val="20"/>
              </w:rPr>
              <w:t>BSP policy reports and surveys</w:t>
            </w:r>
          </w:p>
        </w:tc>
        <w:tc>
          <w:tcPr>
            <w:tcW w:w="2027" w:type="dxa"/>
            <w:tcBorders>
              <w:top w:val="single" w:color="auto" w:sz="4" w:space="0"/>
              <w:bottom w:val="single" w:color="auto" w:sz="4" w:space="0"/>
            </w:tcBorders>
            <w:vAlign w:val="center"/>
          </w:tcPr>
          <w:p w14:paraId="042D573E">
            <w:pPr>
              <w:rPr>
                <w:rFonts w:ascii="Arial" w:hAnsi="Arial"/>
                <w:sz w:val="20"/>
                <w:szCs w:val="20"/>
              </w:rPr>
            </w:pPr>
            <w:r>
              <w:rPr>
                <w:rFonts w:ascii="Arial" w:hAnsi="Arial" w:cs="Arial"/>
                <w:color w:val="000000"/>
                <w:sz w:val="20"/>
                <w:szCs w:val="20"/>
              </w:rPr>
              <w:t>Official central bank publications on digital payments and financial inclusion</w:t>
            </w:r>
          </w:p>
        </w:tc>
        <w:tc>
          <w:tcPr>
            <w:tcW w:w="2477" w:type="dxa"/>
            <w:tcBorders>
              <w:top w:val="single" w:color="auto" w:sz="4" w:space="0"/>
              <w:bottom w:val="single" w:color="auto" w:sz="4" w:space="0"/>
            </w:tcBorders>
            <w:vAlign w:val="center"/>
          </w:tcPr>
          <w:p w14:paraId="5A7885F7">
            <w:pPr>
              <w:rPr>
                <w:rFonts w:ascii="Arial" w:hAnsi="Arial" w:cs="Arial"/>
                <w:sz w:val="20"/>
                <w:szCs w:val="20"/>
              </w:rPr>
            </w:pPr>
            <w:r>
              <w:rPr>
                <w:rFonts w:ascii="Arial" w:hAnsi="Arial" w:cs="Arial"/>
                <w:color w:val="000000"/>
                <w:sz w:val="20"/>
                <w:szCs w:val="20"/>
              </w:rPr>
              <w:t>Identify national trends and policy direction</w:t>
            </w:r>
          </w:p>
        </w:tc>
      </w:tr>
      <w:tr w14:paraId="19CEFC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0" w:type="dxa"/>
            <w:tcBorders>
              <w:top w:val="single" w:color="auto" w:sz="4" w:space="0"/>
              <w:bottom w:val="single" w:color="auto" w:sz="4" w:space="0"/>
            </w:tcBorders>
            <w:vAlign w:val="center"/>
          </w:tcPr>
          <w:p w14:paraId="2758A519">
            <w:pPr>
              <w:rPr>
                <w:rFonts w:ascii="Arial" w:hAnsi="Arial" w:cs="Arial"/>
                <w:sz w:val="20"/>
                <w:szCs w:val="20"/>
              </w:rPr>
            </w:pPr>
            <w:r>
              <w:rPr>
                <w:rFonts w:ascii="Arial" w:hAnsi="Arial" w:cs="Arial"/>
                <w:color w:val="000000"/>
                <w:sz w:val="20"/>
                <w:szCs w:val="20"/>
              </w:rPr>
              <w:t>National (PH)</w:t>
            </w:r>
          </w:p>
        </w:tc>
        <w:tc>
          <w:tcPr>
            <w:tcW w:w="1706" w:type="dxa"/>
            <w:tcBorders>
              <w:top w:val="single" w:color="auto" w:sz="4" w:space="0"/>
              <w:bottom w:val="single" w:color="auto" w:sz="4" w:space="0"/>
            </w:tcBorders>
            <w:vAlign w:val="center"/>
          </w:tcPr>
          <w:p w14:paraId="0EC287FA">
            <w:pPr>
              <w:rPr>
                <w:rFonts w:ascii="Arial" w:hAnsi="Arial" w:cs="Arial"/>
                <w:sz w:val="20"/>
                <w:szCs w:val="20"/>
              </w:rPr>
            </w:pPr>
            <w:r>
              <w:rPr>
                <w:rFonts w:ascii="Arial" w:hAnsi="Arial" w:cs="Arial"/>
                <w:color w:val="000000"/>
                <w:sz w:val="20"/>
                <w:szCs w:val="20"/>
              </w:rPr>
              <w:t>Philippine Statistics Authority</w:t>
            </w:r>
          </w:p>
        </w:tc>
        <w:tc>
          <w:tcPr>
            <w:tcW w:w="2027" w:type="dxa"/>
            <w:tcBorders>
              <w:top w:val="single" w:color="auto" w:sz="4" w:space="0"/>
              <w:bottom w:val="single" w:color="auto" w:sz="4" w:space="0"/>
            </w:tcBorders>
            <w:vAlign w:val="center"/>
          </w:tcPr>
          <w:p w14:paraId="57E737C4">
            <w:pPr>
              <w:rPr>
                <w:rFonts w:ascii="Arial" w:hAnsi="Arial"/>
                <w:sz w:val="20"/>
                <w:szCs w:val="20"/>
              </w:rPr>
            </w:pPr>
            <w:r>
              <w:rPr>
                <w:rFonts w:ascii="Arial" w:hAnsi="Arial" w:cs="Arial"/>
                <w:color w:val="000000"/>
                <w:sz w:val="20"/>
                <w:szCs w:val="20"/>
              </w:rPr>
              <w:t>Official statistics on ICT access and digital readiness</w:t>
            </w:r>
          </w:p>
        </w:tc>
        <w:tc>
          <w:tcPr>
            <w:tcW w:w="2477" w:type="dxa"/>
            <w:tcBorders>
              <w:top w:val="single" w:color="auto" w:sz="4" w:space="0"/>
              <w:bottom w:val="single" w:color="auto" w:sz="4" w:space="0"/>
            </w:tcBorders>
            <w:vAlign w:val="center"/>
          </w:tcPr>
          <w:p w14:paraId="5C535203">
            <w:pPr>
              <w:rPr>
                <w:rFonts w:ascii="Arial" w:hAnsi="Arial" w:cs="Arial"/>
                <w:sz w:val="20"/>
                <w:szCs w:val="20"/>
              </w:rPr>
            </w:pPr>
            <w:r>
              <w:rPr>
                <w:rFonts w:ascii="Arial" w:hAnsi="Arial" w:cs="Arial"/>
                <w:color w:val="000000"/>
                <w:sz w:val="20"/>
                <w:szCs w:val="20"/>
              </w:rPr>
              <w:t>Provide contextual support</w:t>
            </w:r>
          </w:p>
        </w:tc>
      </w:tr>
      <w:tr w14:paraId="6FE34D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0" w:type="dxa"/>
            <w:tcBorders>
              <w:top w:val="single" w:color="auto" w:sz="4" w:space="0"/>
              <w:bottom w:val="single" w:color="auto" w:sz="4" w:space="0"/>
            </w:tcBorders>
            <w:vAlign w:val="center"/>
          </w:tcPr>
          <w:p w14:paraId="748464CB">
            <w:pPr>
              <w:rPr>
                <w:rFonts w:ascii="Arial" w:hAnsi="Arial" w:cs="Arial"/>
                <w:color w:val="000000"/>
                <w:sz w:val="20"/>
                <w:szCs w:val="20"/>
              </w:rPr>
            </w:pPr>
            <w:r>
              <w:rPr>
                <w:rFonts w:ascii="Arial" w:hAnsi="Arial" w:cs="Arial"/>
                <w:color w:val="000000"/>
                <w:sz w:val="20"/>
                <w:szCs w:val="20"/>
              </w:rPr>
              <w:t>Institutional</w:t>
            </w:r>
          </w:p>
        </w:tc>
        <w:tc>
          <w:tcPr>
            <w:tcW w:w="1706" w:type="dxa"/>
            <w:tcBorders>
              <w:top w:val="single" w:color="auto" w:sz="4" w:space="0"/>
              <w:bottom w:val="single" w:color="auto" w:sz="4" w:space="0"/>
            </w:tcBorders>
            <w:vAlign w:val="center"/>
          </w:tcPr>
          <w:p w14:paraId="161BAE45">
            <w:pPr>
              <w:rPr>
                <w:rFonts w:ascii="Arial" w:hAnsi="Arial" w:cs="Arial"/>
                <w:color w:val="000000"/>
                <w:sz w:val="20"/>
                <w:szCs w:val="20"/>
              </w:rPr>
            </w:pPr>
            <w:r>
              <w:rPr>
                <w:rFonts w:ascii="Arial" w:hAnsi="Arial" w:cs="Arial"/>
                <w:color w:val="000000"/>
                <w:sz w:val="20"/>
                <w:szCs w:val="20"/>
              </w:rPr>
              <w:t>Xavier University public documents</w:t>
            </w:r>
          </w:p>
        </w:tc>
        <w:tc>
          <w:tcPr>
            <w:tcW w:w="2027" w:type="dxa"/>
            <w:tcBorders>
              <w:top w:val="single" w:color="auto" w:sz="4" w:space="0"/>
              <w:bottom w:val="single" w:color="auto" w:sz="4" w:space="0"/>
            </w:tcBorders>
            <w:vAlign w:val="center"/>
          </w:tcPr>
          <w:p w14:paraId="3EF93D8C">
            <w:pPr>
              <w:rPr>
                <w:rFonts w:ascii="Arial" w:hAnsi="Arial" w:cs="Arial"/>
                <w:color w:val="000000"/>
                <w:sz w:val="20"/>
                <w:szCs w:val="20"/>
              </w:rPr>
            </w:pPr>
            <w:r>
              <w:rPr>
                <w:rFonts w:ascii="Arial" w:hAnsi="Arial" w:cs="Arial"/>
                <w:color w:val="000000"/>
                <w:sz w:val="20"/>
                <w:szCs w:val="20"/>
              </w:rPr>
              <w:t>Official advisories and reports on payment practices</w:t>
            </w:r>
          </w:p>
        </w:tc>
        <w:tc>
          <w:tcPr>
            <w:tcW w:w="2477" w:type="dxa"/>
            <w:tcBorders>
              <w:top w:val="single" w:color="auto" w:sz="4" w:space="0"/>
              <w:bottom w:val="single" w:color="auto" w:sz="4" w:space="0"/>
            </w:tcBorders>
            <w:vAlign w:val="center"/>
          </w:tcPr>
          <w:p w14:paraId="7ABAEB56">
            <w:pPr>
              <w:rPr>
                <w:rFonts w:ascii="Arial" w:hAnsi="Arial" w:cs="Arial"/>
                <w:color w:val="000000"/>
                <w:sz w:val="20"/>
                <w:szCs w:val="20"/>
              </w:rPr>
            </w:pPr>
            <w:r>
              <w:rPr>
                <w:rFonts w:ascii="Arial" w:hAnsi="Arial" w:cs="Arial"/>
                <w:color w:val="000000"/>
                <w:sz w:val="20"/>
                <w:szCs w:val="20"/>
              </w:rPr>
              <w:t>Examine institutional response</w:t>
            </w:r>
          </w:p>
        </w:tc>
      </w:tr>
    </w:tbl>
    <w:p w14:paraId="56B3C19E">
      <w:pPr>
        <w:rPr>
          <w:rFonts w:ascii="Arial" w:hAnsi="Arial" w:cs="Arial"/>
          <w:sz w:val="20"/>
          <w:szCs w:val="20"/>
        </w:rPr>
      </w:pPr>
    </w:p>
    <w:p w14:paraId="7888B73B">
      <w:pPr>
        <w:pStyle w:val="4"/>
        <w:spacing w:before="0"/>
        <w:jc w:val="both"/>
        <w:rPr>
          <w:b/>
          <w:bCs/>
          <w:sz w:val="27"/>
          <w:szCs w:val="27"/>
        </w:rPr>
      </w:pPr>
      <w:r>
        <w:rPr>
          <w:rFonts w:ascii="Arial" w:hAnsi="Arial" w:cs="Arial"/>
          <w:b/>
          <w:bCs/>
          <w:color w:val="000000"/>
          <w:sz w:val="22"/>
          <w:szCs w:val="22"/>
        </w:rPr>
        <w:t>2.4 Inclusion Criteria for Documentary Sources</w:t>
      </w:r>
    </w:p>
    <w:p w14:paraId="2FEA59D5">
      <w:pPr>
        <w:rPr>
          <w:rFonts w:ascii="Arial" w:hAnsi="Arial" w:cs="Arial"/>
          <w:sz w:val="22"/>
          <w:szCs w:val="22"/>
        </w:rPr>
      </w:pPr>
    </w:p>
    <w:p w14:paraId="4C84FC8C">
      <w:pPr>
        <w:pStyle w:val="18"/>
        <w:spacing w:before="0" w:beforeAutospacing="0" w:after="0" w:afterAutospacing="0"/>
        <w:jc w:val="both"/>
      </w:pPr>
      <w:r>
        <w:rPr>
          <w:rFonts w:ascii="Arial" w:hAnsi="Arial" w:cs="Arial"/>
          <w:color w:val="000000"/>
          <w:sz w:val="20"/>
          <w:szCs w:val="20"/>
        </w:rPr>
        <w:t>Documents were included in the analysis if they met all of the following criteria, following established standards for qualitative document analysis (Bowen, 2009):</w:t>
      </w:r>
    </w:p>
    <w:p w14:paraId="24D95B3B">
      <w:pPr>
        <w:pStyle w:val="18"/>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Publicly accessible and verifiable</w:t>
      </w:r>
    </w:p>
    <w:p w14:paraId="418DAE24">
      <w:pPr>
        <w:pStyle w:val="18"/>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Issued by recognized international organizations, national authorities, or the case institution</w:t>
      </w:r>
    </w:p>
    <w:p w14:paraId="735E6E65">
      <w:pPr>
        <w:pStyle w:val="18"/>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Directly relevant to digital payments, financial systems, or institutional payment practices</w:t>
      </w:r>
    </w:p>
    <w:p w14:paraId="08BE184C">
      <w:pPr>
        <w:pStyle w:val="18"/>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Published in English</w:t>
      </w:r>
    </w:p>
    <w:p w14:paraId="7FB6DBF8">
      <w:pPr>
        <w:pStyle w:val="18"/>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Suitable for identifying recent trends (primarily 2020 onward)</w:t>
      </w:r>
    </w:p>
    <w:p w14:paraId="2521BA6C">
      <w:pPr>
        <w:pStyle w:val="18"/>
        <w:spacing w:before="0" w:beforeAutospacing="0" w:after="0" w:afterAutospacing="0"/>
        <w:jc w:val="both"/>
        <w:rPr>
          <w:rFonts w:ascii="Arial" w:hAnsi="Arial" w:cs="Arial"/>
          <w:color w:val="000000"/>
          <w:sz w:val="20"/>
          <w:szCs w:val="20"/>
        </w:rPr>
      </w:pPr>
      <w:r>
        <w:rPr>
          <w:rFonts w:ascii="Arial" w:hAnsi="Arial" w:cs="Arial"/>
          <w:color w:val="000000"/>
          <w:sz w:val="20"/>
          <w:szCs w:val="20"/>
        </w:rPr>
        <w:t>The year 2020 was chosen as the main reference point because it marked a rapid increase in digital payment use during the COVID-19 pandemic and saw the launch of key national digital payment programs in the Philippines.</w:t>
      </w:r>
    </w:p>
    <w:p w14:paraId="58419E65">
      <w:pPr>
        <w:pStyle w:val="18"/>
        <w:spacing w:before="0" w:beforeAutospacing="0" w:after="0" w:afterAutospacing="0"/>
        <w:jc w:val="both"/>
        <w:rPr>
          <w:rFonts w:ascii="Arial" w:hAnsi="Arial" w:cs="Arial"/>
          <w:color w:val="000000"/>
          <w:sz w:val="20"/>
          <w:szCs w:val="20"/>
        </w:rPr>
      </w:pPr>
    </w:p>
    <w:p w14:paraId="6899D354">
      <w:pPr>
        <w:pStyle w:val="18"/>
        <w:spacing w:before="0" w:beforeAutospacing="0" w:after="0" w:afterAutospacing="0"/>
        <w:jc w:val="center"/>
      </w:pPr>
      <w:r>
        <w:rPr>
          <w:rFonts w:ascii="Arial" w:hAnsi="Arial" w:cs="Arial"/>
          <w:b/>
          <w:bCs/>
          <w:color w:val="000000"/>
          <w:sz w:val="20"/>
          <w:szCs w:val="20"/>
        </w:rPr>
        <w:t>Table 2. Inclusion Criteria for Documentary Source</w:t>
      </w:r>
    </w:p>
    <w:p w14:paraId="68E319FB">
      <w:pPr>
        <w:pStyle w:val="18"/>
        <w:spacing w:before="0" w:beforeAutospacing="0" w:after="0" w:afterAutospacing="0"/>
        <w:jc w:val="both"/>
        <w:rPr>
          <w:rFonts w:ascii="Arial" w:hAnsi="Arial" w:cs="Arial"/>
          <w:color w:val="000000"/>
          <w:sz w:val="20"/>
          <w:szCs w:val="20"/>
        </w:rPr>
      </w:pPr>
    </w:p>
    <w:tbl>
      <w:tblPr>
        <w:tblStyle w:val="6"/>
        <w:tblW w:w="738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80"/>
        <w:gridCol w:w="4500"/>
      </w:tblGrid>
      <w:tr w14:paraId="17F5FE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op w:val="single" w:color="auto" w:sz="4" w:space="0"/>
              <w:bottom w:val="single" w:color="auto" w:sz="4" w:space="0"/>
            </w:tcBorders>
            <w:vAlign w:val="center"/>
          </w:tcPr>
          <w:p w14:paraId="046E9D5E">
            <w:pPr>
              <w:jc w:val="both"/>
              <w:rPr>
                <w:rFonts w:ascii="Arial" w:hAnsi="Arial"/>
                <w:b/>
                <w:bCs/>
                <w:sz w:val="20"/>
                <w:szCs w:val="20"/>
              </w:rPr>
            </w:pPr>
            <w:r>
              <w:rPr>
                <w:rFonts w:ascii="Arial" w:hAnsi="Arial" w:cs="Arial"/>
                <w:b/>
                <w:bCs/>
                <w:color w:val="000000"/>
                <w:sz w:val="20"/>
                <w:szCs w:val="20"/>
              </w:rPr>
              <w:t>Criterion</w:t>
            </w:r>
          </w:p>
        </w:tc>
        <w:tc>
          <w:tcPr>
            <w:tcW w:w="4500" w:type="dxa"/>
            <w:tcBorders>
              <w:top w:val="single" w:color="auto" w:sz="4" w:space="0"/>
              <w:bottom w:val="single" w:color="auto" w:sz="4" w:space="0"/>
            </w:tcBorders>
            <w:vAlign w:val="center"/>
          </w:tcPr>
          <w:p w14:paraId="2297CEF4">
            <w:pPr>
              <w:jc w:val="both"/>
              <w:rPr>
                <w:rFonts w:ascii="Arial" w:hAnsi="Arial"/>
                <w:b/>
                <w:bCs/>
                <w:sz w:val="20"/>
                <w:szCs w:val="20"/>
              </w:rPr>
            </w:pPr>
            <w:r>
              <w:rPr>
                <w:rFonts w:ascii="Arial" w:hAnsi="Arial" w:cs="Arial"/>
                <w:b/>
                <w:bCs/>
                <w:color w:val="000000"/>
                <w:sz w:val="20"/>
                <w:szCs w:val="20"/>
              </w:rPr>
              <w:t>Description</w:t>
            </w:r>
          </w:p>
        </w:tc>
      </w:tr>
      <w:tr w14:paraId="39153E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2880" w:type="dxa"/>
            <w:tcBorders>
              <w:top w:val="single" w:color="auto" w:sz="4" w:space="0"/>
              <w:bottom w:val="single" w:color="auto" w:sz="4" w:space="0"/>
            </w:tcBorders>
            <w:vAlign w:val="center"/>
          </w:tcPr>
          <w:p w14:paraId="533C6A3E">
            <w:pPr>
              <w:rPr>
                <w:rFonts w:ascii="Arial" w:hAnsi="Arial"/>
                <w:b/>
                <w:bCs/>
                <w:sz w:val="20"/>
                <w:szCs w:val="20"/>
              </w:rPr>
            </w:pPr>
            <w:r>
              <w:rPr>
                <w:rFonts w:ascii="Arial" w:hAnsi="Arial" w:cs="Arial"/>
                <w:color w:val="000000"/>
                <w:sz w:val="20"/>
                <w:szCs w:val="20"/>
              </w:rPr>
              <w:t>Public accessibility</w:t>
            </w:r>
          </w:p>
        </w:tc>
        <w:tc>
          <w:tcPr>
            <w:tcW w:w="4500" w:type="dxa"/>
            <w:tcBorders>
              <w:top w:val="single" w:color="auto" w:sz="4" w:space="0"/>
              <w:bottom w:val="single" w:color="auto" w:sz="4" w:space="0"/>
            </w:tcBorders>
            <w:vAlign w:val="center"/>
          </w:tcPr>
          <w:p w14:paraId="4FC4A4B7">
            <w:pPr>
              <w:rPr>
                <w:rFonts w:ascii="Arial" w:hAnsi="Arial"/>
                <w:b/>
                <w:bCs/>
                <w:sz w:val="20"/>
                <w:szCs w:val="20"/>
              </w:rPr>
            </w:pPr>
            <w:r>
              <w:rPr>
                <w:rFonts w:ascii="Arial" w:hAnsi="Arial" w:cs="Arial"/>
                <w:color w:val="000000"/>
                <w:sz w:val="20"/>
                <w:szCs w:val="20"/>
              </w:rPr>
              <w:t>Freely available online</w:t>
            </w:r>
          </w:p>
        </w:tc>
      </w:tr>
      <w:tr w14:paraId="066F1D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op w:val="single" w:color="auto" w:sz="4" w:space="0"/>
              <w:bottom w:val="single" w:color="auto" w:sz="4" w:space="0"/>
            </w:tcBorders>
            <w:vAlign w:val="center"/>
          </w:tcPr>
          <w:p w14:paraId="7F1D0981">
            <w:pPr>
              <w:rPr>
                <w:rFonts w:ascii="Arial" w:hAnsi="Arial" w:cs="Arial"/>
                <w:sz w:val="20"/>
                <w:szCs w:val="20"/>
              </w:rPr>
            </w:pPr>
            <w:r>
              <w:rPr>
                <w:rFonts w:ascii="Arial" w:hAnsi="Arial" w:cs="Arial"/>
                <w:color w:val="000000"/>
                <w:sz w:val="20"/>
                <w:szCs w:val="20"/>
              </w:rPr>
              <w:t>Institutional credibility</w:t>
            </w:r>
          </w:p>
        </w:tc>
        <w:tc>
          <w:tcPr>
            <w:tcW w:w="4500" w:type="dxa"/>
            <w:tcBorders>
              <w:top w:val="single" w:color="auto" w:sz="4" w:space="0"/>
              <w:bottom w:val="single" w:color="auto" w:sz="4" w:space="0"/>
            </w:tcBorders>
            <w:vAlign w:val="center"/>
          </w:tcPr>
          <w:p w14:paraId="1802852A">
            <w:pPr>
              <w:rPr>
                <w:rFonts w:ascii="Arial" w:hAnsi="Arial" w:cs="Arial"/>
                <w:sz w:val="20"/>
                <w:szCs w:val="20"/>
              </w:rPr>
            </w:pPr>
            <w:r>
              <w:rPr>
                <w:rFonts w:ascii="Arial" w:hAnsi="Arial" w:cs="Arial"/>
                <w:color w:val="000000"/>
                <w:sz w:val="20"/>
                <w:szCs w:val="20"/>
              </w:rPr>
              <w:t>Issued by recognized organizations</w:t>
            </w:r>
          </w:p>
        </w:tc>
      </w:tr>
      <w:tr w14:paraId="399CF9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op w:val="single" w:color="auto" w:sz="4" w:space="0"/>
              <w:bottom w:val="single" w:color="auto" w:sz="4" w:space="0"/>
            </w:tcBorders>
            <w:vAlign w:val="center"/>
          </w:tcPr>
          <w:p w14:paraId="6FC635A0">
            <w:pPr>
              <w:rPr>
                <w:rFonts w:ascii="Arial" w:hAnsi="Arial" w:cs="Arial"/>
                <w:sz w:val="20"/>
                <w:szCs w:val="20"/>
              </w:rPr>
            </w:pPr>
            <w:r>
              <w:rPr>
                <w:rFonts w:ascii="Arial" w:hAnsi="Arial" w:cs="Arial"/>
                <w:color w:val="000000"/>
                <w:sz w:val="20"/>
                <w:szCs w:val="20"/>
              </w:rPr>
              <w:t>Relevance</w:t>
            </w:r>
          </w:p>
        </w:tc>
        <w:tc>
          <w:tcPr>
            <w:tcW w:w="4500" w:type="dxa"/>
            <w:tcBorders>
              <w:top w:val="single" w:color="auto" w:sz="4" w:space="0"/>
              <w:bottom w:val="single" w:color="auto" w:sz="4" w:space="0"/>
            </w:tcBorders>
            <w:vAlign w:val="center"/>
          </w:tcPr>
          <w:p w14:paraId="220427D9">
            <w:pPr>
              <w:rPr>
                <w:rFonts w:ascii="Arial" w:hAnsi="Arial" w:cs="Arial"/>
                <w:sz w:val="20"/>
                <w:szCs w:val="20"/>
              </w:rPr>
            </w:pPr>
            <w:r>
              <w:rPr>
                <w:rFonts w:ascii="Arial" w:hAnsi="Arial" w:cs="Arial"/>
                <w:color w:val="000000"/>
                <w:sz w:val="20"/>
                <w:szCs w:val="20"/>
              </w:rPr>
              <w:t>Related to digital payments or financial systems</w:t>
            </w:r>
          </w:p>
        </w:tc>
      </w:tr>
      <w:tr w14:paraId="3DAD3D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op w:val="single" w:color="auto" w:sz="4" w:space="0"/>
              <w:bottom w:val="single" w:color="auto" w:sz="4" w:space="0"/>
            </w:tcBorders>
            <w:vAlign w:val="center"/>
          </w:tcPr>
          <w:p w14:paraId="56191E8A">
            <w:pPr>
              <w:rPr>
                <w:rFonts w:ascii="Arial" w:hAnsi="Arial" w:cs="Arial"/>
                <w:sz w:val="20"/>
                <w:szCs w:val="20"/>
              </w:rPr>
            </w:pPr>
            <w:r>
              <w:rPr>
                <w:rFonts w:ascii="Arial" w:hAnsi="Arial" w:cs="Arial"/>
                <w:color w:val="000000"/>
                <w:sz w:val="20"/>
                <w:szCs w:val="20"/>
              </w:rPr>
              <w:t>Language</w:t>
            </w:r>
          </w:p>
        </w:tc>
        <w:tc>
          <w:tcPr>
            <w:tcW w:w="4500" w:type="dxa"/>
            <w:tcBorders>
              <w:top w:val="single" w:color="auto" w:sz="4" w:space="0"/>
              <w:bottom w:val="single" w:color="auto" w:sz="4" w:space="0"/>
            </w:tcBorders>
            <w:vAlign w:val="center"/>
          </w:tcPr>
          <w:p w14:paraId="1CB57578">
            <w:pPr>
              <w:rPr>
                <w:rFonts w:ascii="Arial" w:hAnsi="Arial" w:cs="Arial"/>
                <w:sz w:val="20"/>
                <w:szCs w:val="20"/>
              </w:rPr>
            </w:pPr>
            <w:r>
              <w:rPr>
                <w:rFonts w:ascii="Arial" w:hAnsi="Arial" w:cs="Arial"/>
                <w:color w:val="000000"/>
                <w:sz w:val="20"/>
                <w:szCs w:val="20"/>
              </w:rPr>
              <w:t>English</w:t>
            </w:r>
          </w:p>
        </w:tc>
      </w:tr>
      <w:tr w14:paraId="40300C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op w:val="single" w:color="auto" w:sz="4" w:space="0"/>
              <w:bottom w:val="single" w:color="auto" w:sz="4" w:space="0"/>
            </w:tcBorders>
            <w:vAlign w:val="center"/>
          </w:tcPr>
          <w:p w14:paraId="3A2946C1">
            <w:pPr>
              <w:rPr>
                <w:rFonts w:ascii="Arial" w:hAnsi="Arial" w:cs="Arial"/>
                <w:color w:val="000000"/>
                <w:sz w:val="20"/>
                <w:szCs w:val="20"/>
              </w:rPr>
            </w:pPr>
            <w:r>
              <w:rPr>
                <w:rFonts w:ascii="Arial" w:hAnsi="Arial" w:cs="Arial"/>
                <w:color w:val="000000"/>
                <w:sz w:val="20"/>
                <w:szCs w:val="20"/>
              </w:rPr>
              <w:t>Time frame</w:t>
            </w:r>
          </w:p>
        </w:tc>
        <w:tc>
          <w:tcPr>
            <w:tcW w:w="4500" w:type="dxa"/>
            <w:tcBorders>
              <w:top w:val="single" w:color="auto" w:sz="4" w:space="0"/>
              <w:bottom w:val="single" w:color="auto" w:sz="4" w:space="0"/>
            </w:tcBorders>
            <w:vAlign w:val="center"/>
          </w:tcPr>
          <w:p w14:paraId="5C8C2D0F">
            <w:pPr>
              <w:rPr>
                <w:rFonts w:ascii="Arial" w:hAnsi="Arial" w:cs="Arial"/>
                <w:color w:val="000000"/>
                <w:sz w:val="20"/>
                <w:szCs w:val="20"/>
              </w:rPr>
            </w:pPr>
            <w:r>
              <w:rPr>
                <w:rFonts w:ascii="Arial" w:hAnsi="Arial" w:cs="Arial"/>
                <w:color w:val="000000"/>
                <w:sz w:val="20"/>
                <w:szCs w:val="20"/>
              </w:rPr>
              <w:t>Primarily 2020 onward</w:t>
            </w:r>
          </w:p>
        </w:tc>
      </w:tr>
      <w:tr w14:paraId="1B92F8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op w:val="single" w:color="auto" w:sz="4" w:space="0"/>
              <w:bottom w:val="single" w:color="auto" w:sz="4" w:space="0"/>
            </w:tcBorders>
            <w:vAlign w:val="center"/>
          </w:tcPr>
          <w:p w14:paraId="5B05E15D">
            <w:pPr>
              <w:rPr>
                <w:rFonts w:ascii="Arial" w:hAnsi="Arial" w:cs="Arial"/>
                <w:color w:val="000000"/>
                <w:sz w:val="20"/>
                <w:szCs w:val="20"/>
              </w:rPr>
            </w:pPr>
            <w:r>
              <w:rPr>
                <w:rFonts w:ascii="Arial" w:hAnsi="Arial" w:cs="Arial"/>
                <w:color w:val="000000"/>
                <w:sz w:val="20"/>
                <w:szCs w:val="20"/>
              </w:rPr>
              <w:t>Data type</w:t>
            </w:r>
          </w:p>
        </w:tc>
        <w:tc>
          <w:tcPr>
            <w:tcW w:w="4500" w:type="dxa"/>
            <w:tcBorders>
              <w:top w:val="single" w:color="auto" w:sz="4" w:space="0"/>
              <w:bottom w:val="single" w:color="auto" w:sz="4" w:space="0"/>
            </w:tcBorders>
            <w:vAlign w:val="center"/>
          </w:tcPr>
          <w:p w14:paraId="0BA38787">
            <w:pPr>
              <w:rPr>
                <w:rFonts w:ascii="Arial" w:hAnsi="Arial" w:cs="Arial"/>
                <w:color w:val="000000"/>
                <w:sz w:val="20"/>
                <w:szCs w:val="20"/>
              </w:rPr>
            </w:pPr>
            <w:r>
              <w:rPr>
                <w:rFonts w:ascii="Arial" w:hAnsi="Arial" w:cs="Arial"/>
                <w:color w:val="000000"/>
                <w:sz w:val="20"/>
                <w:szCs w:val="20"/>
              </w:rPr>
              <w:t>Descriptive, policy, or institutional documents</w:t>
            </w:r>
          </w:p>
        </w:tc>
      </w:tr>
    </w:tbl>
    <w:p w14:paraId="2F585D46">
      <w:pPr>
        <w:pStyle w:val="18"/>
        <w:spacing w:before="0" w:beforeAutospacing="0" w:after="0" w:afterAutospacing="0"/>
        <w:jc w:val="both"/>
        <w:rPr>
          <w:rFonts w:ascii="Arial" w:hAnsi="Arial" w:cs="Arial"/>
          <w:sz w:val="20"/>
          <w:szCs w:val="20"/>
        </w:rPr>
      </w:pPr>
    </w:p>
    <w:p w14:paraId="21EF51E0">
      <w:pPr>
        <w:outlineLvl w:val="1"/>
        <w:rPr>
          <w:b/>
          <w:bCs/>
          <w:sz w:val="36"/>
          <w:szCs w:val="36"/>
        </w:rPr>
      </w:pPr>
      <w:r>
        <w:rPr>
          <w:rFonts w:ascii="Arial" w:hAnsi="Arial" w:cs="Arial"/>
          <w:b/>
          <w:bCs/>
          <w:color w:val="000000"/>
          <w:sz w:val="22"/>
          <w:szCs w:val="22"/>
        </w:rPr>
        <w:t>2.5 Data Extraction and Organization</w:t>
      </w:r>
    </w:p>
    <w:p w14:paraId="7524D36A"/>
    <w:p w14:paraId="20CF8FEE">
      <w:r>
        <w:rPr>
          <w:rFonts w:ascii="Arial" w:hAnsi="Arial" w:cs="Arial"/>
          <w:color w:val="000000"/>
          <w:sz w:val="20"/>
          <w:szCs w:val="20"/>
        </w:rPr>
        <w:t>Key indicators, statements, and policy elements were carefully collected from each source. For quantitative datasets, descriptive indicators such as proportions, usage trends, and infrastructure counts were recorded in accordance with standard economic analysis (International Monetary Fund, 2025; World Bank, 2025). For institutional documents, textual evidence on payment channels, administrative processes, and financial practices was identified through qualitative document analysis (Bowen, 2009).</w:t>
      </w:r>
    </w:p>
    <w:p w14:paraId="55D1720E">
      <w:r>
        <w:rPr>
          <w:rFonts w:ascii="Arial" w:hAnsi="Arial" w:cs="Arial"/>
          <w:color w:val="000000"/>
          <w:sz w:val="20"/>
          <w:szCs w:val="20"/>
        </w:rPr>
        <w:t>The collected data were organized into matrices based on global trends, national context, and institutional practices to facilitate comparisons.</w:t>
      </w:r>
    </w:p>
    <w:p w14:paraId="5F115FB2"/>
    <w:p w14:paraId="1B667A10">
      <w:pPr>
        <w:outlineLvl w:val="1"/>
        <w:rPr>
          <w:rFonts w:ascii="Arial" w:hAnsi="Arial" w:cs="Arial"/>
          <w:b/>
          <w:bCs/>
          <w:color w:val="000000"/>
          <w:sz w:val="22"/>
          <w:szCs w:val="22"/>
        </w:rPr>
      </w:pPr>
      <w:r>
        <w:rPr>
          <w:rFonts w:ascii="Arial" w:hAnsi="Arial" w:cs="Arial"/>
          <w:b/>
          <w:bCs/>
          <w:color w:val="000000"/>
          <w:sz w:val="22"/>
          <w:szCs w:val="22"/>
        </w:rPr>
        <w:t>2.6 Data Analysis Procedure</w:t>
      </w:r>
    </w:p>
    <w:p w14:paraId="635B5280">
      <w:pPr>
        <w:outlineLvl w:val="1"/>
        <w:rPr>
          <w:rFonts w:ascii="Arial" w:hAnsi="Arial" w:cs="Arial"/>
          <w:b/>
          <w:bCs/>
          <w:color w:val="000000"/>
          <w:sz w:val="22"/>
          <w:szCs w:val="22"/>
        </w:rPr>
      </w:pPr>
    </w:p>
    <w:p w14:paraId="3211C9E9">
      <w:pPr>
        <w:outlineLvl w:val="1"/>
        <w:rPr>
          <w:rFonts w:ascii="Arial" w:hAnsi="Arial" w:cs="Arial"/>
          <w:b/>
          <w:bCs/>
          <w:color w:val="000000"/>
          <w:sz w:val="22"/>
          <w:szCs w:val="22"/>
        </w:rPr>
      </w:pPr>
      <w:r>
        <w:rPr>
          <w:rFonts w:ascii="Arial" w:hAnsi="Arial" w:cs="Arial"/>
          <w:color w:val="000000"/>
          <w:sz w:val="20"/>
          <w:szCs w:val="20"/>
        </w:rPr>
        <w:t>The data analysis used three main steps:</w:t>
      </w:r>
    </w:p>
    <w:p w14:paraId="6F7BCBBB">
      <w:pPr>
        <w:numPr>
          <w:ilvl w:val="0"/>
          <w:numId w:val="3"/>
        </w:numPr>
        <w:textAlignment w:val="baseline"/>
        <w:rPr>
          <w:rFonts w:ascii="Arial" w:hAnsi="Arial" w:cs="Arial"/>
          <w:color w:val="000000"/>
          <w:sz w:val="20"/>
          <w:szCs w:val="20"/>
        </w:rPr>
      </w:pPr>
      <w:r>
        <w:rPr>
          <w:rFonts w:ascii="Arial" w:hAnsi="Arial" w:cs="Arial"/>
          <w:color w:val="000000"/>
          <w:sz w:val="20"/>
          <w:szCs w:val="20"/>
        </w:rPr>
        <w:t>Trend Identification</w:t>
      </w:r>
      <w:r>
        <w:rPr>
          <w:rFonts w:ascii="Arial" w:hAnsi="Arial" w:cs="Arial"/>
          <w:color w:val="000000"/>
          <w:sz w:val="20"/>
          <w:szCs w:val="20"/>
        </w:rPr>
        <w:br w:type="textWrapping"/>
      </w:r>
      <w:r>
        <w:rPr>
          <w:rFonts w:ascii="Arial" w:hAnsi="Arial" w:cs="Arial"/>
          <w:color w:val="000000"/>
          <w:sz w:val="20"/>
          <w:szCs w:val="20"/>
        </w:rPr>
        <w:t>The study reviewed global and national datasets to find general patterns in digital payment use and the availability of needed infrastructure (Demirgüç-Kunt et al., 2022; Bangko Sentral ng Pilipinas, 2024).</w:t>
      </w:r>
    </w:p>
    <w:p w14:paraId="7B43A7D6">
      <w:pPr>
        <w:numPr>
          <w:ilvl w:val="0"/>
          <w:numId w:val="3"/>
        </w:numPr>
        <w:textAlignment w:val="baseline"/>
        <w:rPr>
          <w:rFonts w:ascii="Arial" w:hAnsi="Arial" w:cs="Arial"/>
          <w:color w:val="000000"/>
          <w:sz w:val="20"/>
          <w:szCs w:val="20"/>
        </w:rPr>
      </w:pPr>
      <w:r>
        <w:rPr>
          <w:rFonts w:ascii="Arial" w:hAnsi="Arial" w:cs="Arial"/>
          <w:color w:val="000000"/>
          <w:sz w:val="20"/>
          <w:szCs w:val="20"/>
        </w:rPr>
        <w:t>Data Interpretation</w:t>
      </w:r>
      <w:r>
        <w:rPr>
          <w:rFonts w:ascii="Arial" w:hAnsi="Arial" w:cs="Arial"/>
          <w:color w:val="000000"/>
          <w:sz w:val="20"/>
          <w:szCs w:val="20"/>
        </w:rPr>
        <w:br w:type="textWrapping"/>
      </w:r>
      <w:r>
        <w:rPr>
          <w:rFonts w:ascii="Arial" w:hAnsi="Arial" w:cs="Arial"/>
          <w:color w:val="000000"/>
          <w:sz w:val="20"/>
          <w:szCs w:val="20"/>
        </w:rPr>
        <w:t>Payment Choice Theory helped explain why people changed their payment methods, with a focus on convenience, cost, and accessibility (Humphrey et al., 2001; Klee, 2008).</w:t>
      </w:r>
    </w:p>
    <w:p w14:paraId="6D8AB3F3">
      <w:pPr>
        <w:numPr>
          <w:ilvl w:val="0"/>
          <w:numId w:val="3"/>
        </w:numPr>
        <w:textAlignment w:val="baseline"/>
        <w:rPr>
          <w:rFonts w:ascii="Arial" w:hAnsi="Arial" w:cs="Arial"/>
          <w:color w:val="000000"/>
          <w:sz w:val="20"/>
          <w:szCs w:val="20"/>
        </w:rPr>
      </w:pPr>
      <w:r>
        <w:rPr>
          <w:rFonts w:ascii="Arial" w:hAnsi="Arial" w:cs="Arial"/>
          <w:color w:val="000000"/>
          <w:sz w:val="20"/>
          <w:szCs w:val="20"/>
        </w:rPr>
        <w:t>Institutional Analysis</w:t>
      </w:r>
      <w:r>
        <w:rPr>
          <w:rFonts w:ascii="Arial" w:hAnsi="Arial" w:cs="Arial"/>
          <w:color w:val="000000"/>
          <w:sz w:val="20"/>
          <w:szCs w:val="20"/>
        </w:rPr>
        <w:br w:type="textWrapping"/>
      </w:r>
      <w:r>
        <w:rPr>
          <w:rFonts w:ascii="Arial" w:hAnsi="Arial" w:cs="Arial"/>
          <w:color w:val="000000"/>
          <w:sz w:val="20"/>
          <w:szCs w:val="20"/>
        </w:rPr>
        <w:t>University documents were looked at to understand how the university changed its payment practices in response to national trends and policies. Institutional Theory explained these organizational changes (DiMaggio &amp; Powell, 1983; Scott, 2020).</w:t>
      </w:r>
    </w:p>
    <w:p w14:paraId="27039700">
      <w:pPr>
        <w:rPr>
          <w:rFonts w:ascii="Arial" w:hAnsi="Arial" w:cs="Arial"/>
          <w:color w:val="000000"/>
          <w:sz w:val="20"/>
          <w:szCs w:val="20"/>
        </w:rPr>
      </w:pPr>
      <w:r>
        <w:rPr>
          <w:rFonts w:ascii="Arial" w:hAnsi="Arial" w:cs="Arial"/>
          <w:color w:val="000000"/>
          <w:sz w:val="20"/>
          <w:szCs w:val="20"/>
        </w:rPr>
        <w:t>The study did not use inferential statistics or econometric models.</w:t>
      </w:r>
    </w:p>
    <w:p w14:paraId="22A2C77C">
      <w:pPr>
        <w:rPr>
          <w:rFonts w:ascii="Arial" w:hAnsi="Arial" w:cs="Arial"/>
          <w:color w:val="000000"/>
          <w:sz w:val="20"/>
          <w:szCs w:val="20"/>
        </w:rPr>
      </w:pPr>
    </w:p>
    <w:p w14:paraId="68E31A0A">
      <w:pPr>
        <w:rPr>
          <w:b/>
          <w:bCs/>
        </w:rPr>
      </w:pPr>
      <w:r>
        <w:rPr>
          <w:rFonts w:ascii="Arial" w:hAnsi="Arial" w:cs="Arial"/>
          <w:b/>
          <w:bCs/>
          <w:color w:val="000000"/>
          <w:sz w:val="22"/>
          <w:szCs w:val="22"/>
        </w:rPr>
        <w:t>2.7 Trustworthiness and Rigor</w:t>
      </w:r>
    </w:p>
    <w:p w14:paraId="6B6ADAD4"/>
    <w:p w14:paraId="7D59F81D">
      <w:pPr>
        <w:pStyle w:val="18"/>
        <w:spacing w:before="0" w:beforeAutospacing="0" w:after="0" w:afterAutospacing="0"/>
      </w:pPr>
      <w:r>
        <w:rPr>
          <w:rFonts w:ascii="Arial" w:hAnsi="Arial" w:cs="Arial"/>
          <w:color w:val="000000"/>
          <w:sz w:val="20"/>
          <w:szCs w:val="20"/>
        </w:rPr>
        <w:t>The study’s rigor was established by adhering to recognized criteria for documentary research. Credibility was strengthened through triangulation of independent and authoritative sources, such as international databases, national policy documents, and institutional records, which validated observed trends and interpretations. Dependability was achieved by consistently applying standardized procedures for document selection, data extraction, and organization. Confirmability was maintained by basing all interpretations on verifiable documentary evidence rather than subjective judgments. Transferability was facilitated by providing transparent documentation of data sources, selection criteria, and analytical steps, allowing readers to evaluate the relevance of the study’s approach to other institutional or national contexts (Bowen, 2009; Lim, 2025).</w:t>
      </w:r>
    </w:p>
    <w:p w14:paraId="7F906F89">
      <w:pPr>
        <w:rPr>
          <w:sz w:val="20"/>
          <w:szCs w:val="20"/>
        </w:rPr>
      </w:pPr>
    </w:p>
    <w:p w14:paraId="607B2BD1">
      <w:pPr>
        <w:pStyle w:val="3"/>
        <w:spacing w:before="0"/>
        <w:rPr>
          <w:rFonts w:ascii="Arial" w:hAnsi="Arial" w:cs="Arial"/>
          <w:b/>
          <w:bCs/>
          <w:color w:val="000000"/>
          <w:sz w:val="22"/>
          <w:szCs w:val="22"/>
        </w:rPr>
      </w:pPr>
      <w:r>
        <w:rPr>
          <w:rFonts w:ascii="Arial" w:hAnsi="Arial" w:cs="Arial"/>
          <w:b/>
          <w:bCs/>
          <w:color w:val="000000"/>
          <w:sz w:val="22"/>
          <w:szCs w:val="22"/>
        </w:rPr>
        <w:t>2.8 Ethical Considerations</w:t>
      </w:r>
    </w:p>
    <w:p w14:paraId="25201545">
      <w:pPr>
        <w:pStyle w:val="3"/>
        <w:spacing w:before="0"/>
        <w:rPr>
          <w:rFonts w:ascii="Arial" w:hAnsi="Arial" w:cs="Arial"/>
          <w:b/>
          <w:bCs/>
          <w:color w:val="000000"/>
          <w:sz w:val="22"/>
          <w:szCs w:val="22"/>
        </w:rPr>
      </w:pPr>
    </w:p>
    <w:p w14:paraId="1C025FAF">
      <w:pPr>
        <w:pStyle w:val="3"/>
        <w:spacing w:before="0"/>
        <w:rPr>
          <w:rFonts w:ascii="Arial" w:hAnsi="Arial" w:cs="Arial"/>
          <w:color w:val="000000"/>
          <w:sz w:val="20"/>
          <w:szCs w:val="20"/>
        </w:rPr>
      </w:pPr>
      <w:r>
        <w:rPr>
          <w:rFonts w:ascii="Arial" w:hAnsi="Arial" w:cs="Arial"/>
          <w:color w:val="000000"/>
          <w:sz w:val="20"/>
          <w:szCs w:val="20"/>
        </w:rPr>
        <w:t>This study relied only on publicly available secondary data and did not include human participants, personal information, or confidential records. As a result, ethical approval was not required, in line with standard research ethics for secondary data studies.</w:t>
      </w:r>
    </w:p>
    <w:p w14:paraId="78C44561">
      <w:pPr>
        <w:rPr>
          <w:rFonts w:ascii="Arial" w:hAnsi="Arial" w:cs="Arial"/>
          <w:sz w:val="20"/>
          <w:szCs w:val="20"/>
        </w:rPr>
      </w:pPr>
    </w:p>
    <w:p w14:paraId="71E22DBB">
      <w:pPr>
        <w:pStyle w:val="26"/>
        <w:spacing w:after="0"/>
        <w:jc w:val="both"/>
        <w:rPr>
          <w:rFonts w:ascii="Arial" w:hAnsi="Arial" w:cs="Arial"/>
        </w:rPr>
      </w:pPr>
      <w:r>
        <w:rPr>
          <w:rFonts w:ascii="Arial" w:hAnsi="Arial" w:cs="Arial"/>
        </w:rPr>
        <w:t xml:space="preserve">3. </w:t>
      </w:r>
      <w:commentRangeStart w:id="1"/>
      <w:r>
        <w:rPr>
          <w:rFonts w:ascii="Arial" w:hAnsi="Arial" w:cs="Arial"/>
        </w:rPr>
        <w:t>RESULTS</w:t>
      </w:r>
      <w:commentRangeEnd w:id="1"/>
      <w:r>
        <w:commentReference w:id="1"/>
      </w:r>
    </w:p>
    <w:p w14:paraId="70DAF34C">
      <w:pPr>
        <w:pStyle w:val="26"/>
        <w:spacing w:after="0"/>
        <w:ind w:right="18"/>
        <w:jc w:val="both"/>
        <w:rPr>
          <w:rFonts w:ascii="Arial" w:hAnsi="Arial" w:cs="Arial"/>
        </w:rPr>
      </w:pPr>
    </w:p>
    <w:p w14:paraId="776EBF04">
      <w:pPr>
        <w:ind w:right="18"/>
        <w:outlineLvl w:val="1"/>
        <w:rPr>
          <w:rFonts w:ascii="Arial" w:hAnsi="Arial" w:cs="Arial"/>
          <w:b/>
          <w:bCs/>
          <w:color w:val="000000"/>
          <w:sz w:val="22"/>
          <w:szCs w:val="22"/>
        </w:rPr>
      </w:pPr>
      <w:r>
        <w:rPr>
          <w:rFonts w:ascii="Arial" w:hAnsi="Arial" w:cs="Arial"/>
          <w:b/>
          <w:bCs/>
          <w:color w:val="000000"/>
          <w:sz w:val="22"/>
          <w:szCs w:val="22"/>
        </w:rPr>
        <w:t xml:space="preserve">3.1 Global Trends in Digital Payment Adoption (2020–2024) </w:t>
      </w:r>
    </w:p>
    <w:p w14:paraId="2240FE36">
      <w:pPr>
        <w:ind w:right="18"/>
        <w:outlineLvl w:val="1"/>
        <w:rPr>
          <w:rFonts w:ascii="Arial" w:hAnsi="Arial" w:cs="Arial"/>
          <w:b/>
          <w:bCs/>
          <w:color w:val="000000"/>
          <w:sz w:val="22"/>
          <w:szCs w:val="22"/>
        </w:rPr>
      </w:pPr>
    </w:p>
    <w:p w14:paraId="7CAEB7A6">
      <w:pPr>
        <w:ind w:right="18"/>
        <w:outlineLvl w:val="1"/>
        <w:rPr>
          <w:b/>
          <w:bCs/>
          <w:sz w:val="36"/>
          <w:szCs w:val="36"/>
        </w:rPr>
      </w:pPr>
      <w:r>
        <w:rPr>
          <w:rFonts w:ascii="Arial" w:hAnsi="Arial" w:cs="Arial"/>
          <w:color w:val="000000"/>
          <w:sz w:val="20"/>
          <w:szCs w:val="20"/>
        </w:rPr>
        <w:t>Since 2020, digital payments have become more common worldwide. The World Bank Global Findex Database 2021 reports that the number of adults making or receiving digital payments increased significantly compared to before the pandemic, reflecting a shift to electronic transactions in both developed and developing countries (Demirgüç-Kunt et al., 2022). Recent World Bank studies also show that digital payments became even more widespread during and after the COVID-19 pandemic, as households and businesses changed their payment habits because of movement restrictions and improved digital infrastructure (Norris &amp; Singer, 2025).</w:t>
      </w:r>
    </w:p>
    <w:p w14:paraId="55C8641F">
      <w:pPr>
        <w:ind w:right="18"/>
      </w:pPr>
      <w:r>
        <w:rPr>
          <w:rFonts w:ascii="Arial" w:hAnsi="Arial" w:cs="Arial"/>
          <w:color w:val="000000"/>
          <w:sz w:val="20"/>
          <w:szCs w:val="20"/>
        </w:rPr>
        <w:t>This trend is fueled by changes in payment habits and the expansion of payment infrastructure. The IMF Financial Access Survey (FAS) shows that since 2020, many countries have increased digital financial access points, including electronic money accounts and payment service providers (International Monetary Fund, 2025). These results suggest that digital payments are now a standard part of national payment systems, rather than just an alternative to cash.</w:t>
      </w:r>
    </w:p>
    <w:p w14:paraId="03B5ED08">
      <w:pPr>
        <w:ind w:right="18"/>
      </w:pPr>
      <w:r>
        <w:rPr>
          <w:rFonts w:ascii="Arial" w:hAnsi="Arial" w:cs="Arial"/>
          <w:color w:val="000000"/>
          <w:sz w:val="20"/>
          <w:szCs w:val="20"/>
        </w:rPr>
        <w:t>These global changes support the view that the COVID-19 pandemic sped up the use of digital finance, especially in countries with increasing internet and mobile access. This shows how important digital technology is for today’s payment systems (Norris &amp; Singer, 2025).</w:t>
      </w:r>
    </w:p>
    <w:p w14:paraId="7552F15E">
      <w:pPr>
        <w:ind w:right="18"/>
        <w:rPr>
          <w:rFonts w:ascii="Arial" w:hAnsi="Arial" w:cs="Arial"/>
          <w:color w:val="000000"/>
          <w:sz w:val="20"/>
          <w:szCs w:val="20"/>
        </w:rPr>
      </w:pPr>
      <w:r>
        <w:rPr>
          <w:rFonts w:ascii="Arial" w:hAnsi="Arial" w:cs="Arial"/>
          <w:color w:val="000000"/>
          <w:sz w:val="20"/>
          <w:szCs w:val="20"/>
        </w:rPr>
        <w:t>Table 3 shows how these global datasets work together to document trends in digital payments.</w:t>
      </w:r>
    </w:p>
    <w:p w14:paraId="03714ED6">
      <w:pPr>
        <w:ind w:right="18"/>
        <w:jc w:val="center"/>
        <w:rPr>
          <w:rFonts w:ascii="Arial" w:hAnsi="Arial" w:cs="Arial"/>
          <w:color w:val="000000"/>
          <w:sz w:val="20"/>
          <w:szCs w:val="20"/>
        </w:rPr>
      </w:pPr>
    </w:p>
    <w:p w14:paraId="5B9F8182">
      <w:pPr>
        <w:ind w:right="18"/>
        <w:jc w:val="center"/>
        <w:rPr>
          <w:rFonts w:ascii="Arial" w:hAnsi="Arial" w:cs="Arial"/>
          <w:color w:val="000000"/>
          <w:sz w:val="20"/>
          <w:szCs w:val="20"/>
        </w:rPr>
      </w:pPr>
      <w:r>
        <w:rPr>
          <w:rFonts w:ascii="Arial" w:hAnsi="Arial" w:cs="Arial"/>
          <w:b/>
          <w:bCs/>
          <w:color w:val="000000"/>
          <w:sz w:val="20"/>
          <w:szCs w:val="20"/>
        </w:rPr>
        <w:t>Table 3. Summary of global digital payment trends (2020–2024)</w:t>
      </w:r>
    </w:p>
    <w:p w14:paraId="41708CC4">
      <w:pPr>
        <w:ind w:right="18"/>
        <w:rPr>
          <w:rFonts w:ascii="Arial" w:hAnsi="Arial" w:cs="Arial"/>
          <w:color w:val="000000"/>
          <w:sz w:val="20"/>
          <w:szCs w:val="20"/>
        </w:rPr>
      </w:pPr>
    </w:p>
    <w:tbl>
      <w:tblPr>
        <w:tblStyle w:val="6"/>
        <w:tblW w:w="820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6"/>
        <w:gridCol w:w="3233"/>
        <w:gridCol w:w="2749"/>
      </w:tblGrid>
      <w:tr w14:paraId="0039B2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6" w:type="dxa"/>
            <w:tcBorders>
              <w:top w:val="single" w:color="auto" w:sz="4" w:space="0"/>
              <w:bottom w:val="single" w:color="auto" w:sz="4" w:space="0"/>
            </w:tcBorders>
            <w:vAlign w:val="center"/>
          </w:tcPr>
          <w:p w14:paraId="40993244">
            <w:pPr>
              <w:jc w:val="both"/>
              <w:rPr>
                <w:rFonts w:ascii="Arial" w:hAnsi="Arial"/>
                <w:b/>
                <w:bCs/>
                <w:sz w:val="20"/>
                <w:szCs w:val="20"/>
              </w:rPr>
            </w:pPr>
            <w:r>
              <w:rPr>
                <w:rFonts w:ascii="Arial" w:hAnsi="Arial" w:cs="Arial"/>
                <w:b/>
                <w:bCs/>
                <w:color w:val="000000"/>
                <w:sz w:val="20"/>
                <w:szCs w:val="20"/>
              </w:rPr>
              <w:t>Aspect</w:t>
            </w:r>
          </w:p>
        </w:tc>
        <w:tc>
          <w:tcPr>
            <w:tcW w:w="3233" w:type="dxa"/>
            <w:tcBorders>
              <w:top w:val="single" w:color="auto" w:sz="4" w:space="0"/>
              <w:bottom w:val="single" w:color="auto" w:sz="4" w:space="0"/>
            </w:tcBorders>
            <w:vAlign w:val="center"/>
          </w:tcPr>
          <w:p w14:paraId="502A422E">
            <w:pPr>
              <w:jc w:val="both"/>
              <w:rPr>
                <w:rFonts w:ascii="Arial" w:hAnsi="Arial"/>
                <w:b/>
                <w:bCs/>
                <w:sz w:val="20"/>
                <w:szCs w:val="20"/>
              </w:rPr>
            </w:pPr>
            <w:r>
              <w:rPr>
                <w:rFonts w:ascii="Arial" w:hAnsi="Arial" w:cs="Arial"/>
                <w:b/>
                <w:bCs/>
                <w:color w:val="000000"/>
                <w:sz w:val="20"/>
                <w:szCs w:val="20"/>
              </w:rPr>
              <w:t>Evidence from Global Findex</w:t>
            </w:r>
          </w:p>
        </w:tc>
        <w:tc>
          <w:tcPr>
            <w:tcW w:w="2749" w:type="dxa"/>
            <w:tcBorders>
              <w:top w:val="single" w:color="auto" w:sz="4" w:space="0"/>
              <w:bottom w:val="single" w:color="auto" w:sz="4" w:space="0"/>
            </w:tcBorders>
            <w:vAlign w:val="center"/>
          </w:tcPr>
          <w:p w14:paraId="2817AE33">
            <w:pPr>
              <w:jc w:val="both"/>
              <w:rPr>
                <w:rFonts w:ascii="Arial" w:hAnsi="Arial" w:cs="Arial"/>
                <w:b/>
                <w:bCs/>
                <w:color w:val="000000"/>
                <w:sz w:val="20"/>
                <w:szCs w:val="20"/>
              </w:rPr>
            </w:pPr>
            <w:r>
              <w:rPr>
                <w:rFonts w:ascii="Arial" w:hAnsi="Arial" w:cs="Arial"/>
                <w:b/>
                <w:bCs/>
                <w:color w:val="000000"/>
                <w:sz w:val="20"/>
                <w:szCs w:val="20"/>
              </w:rPr>
              <w:t>Evidence from IMF FAS</w:t>
            </w:r>
          </w:p>
        </w:tc>
      </w:tr>
      <w:tr w14:paraId="23264C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2226" w:type="dxa"/>
            <w:tcBorders>
              <w:top w:val="single" w:color="auto" w:sz="4" w:space="0"/>
              <w:bottom w:val="single" w:color="auto" w:sz="4" w:space="0"/>
            </w:tcBorders>
            <w:vAlign w:val="center"/>
          </w:tcPr>
          <w:p w14:paraId="4086B51D">
            <w:pPr>
              <w:rPr>
                <w:rFonts w:ascii="Arial" w:hAnsi="Arial"/>
                <w:b/>
                <w:bCs/>
                <w:sz w:val="20"/>
                <w:szCs w:val="20"/>
              </w:rPr>
            </w:pPr>
            <w:r>
              <w:rPr>
                <w:rFonts w:ascii="Arial" w:hAnsi="Arial" w:cs="Arial"/>
                <w:color w:val="000000"/>
                <w:sz w:val="20"/>
                <w:szCs w:val="20"/>
              </w:rPr>
              <w:t>Nature of data</w:t>
            </w:r>
          </w:p>
        </w:tc>
        <w:tc>
          <w:tcPr>
            <w:tcW w:w="3233" w:type="dxa"/>
            <w:tcBorders>
              <w:top w:val="single" w:color="auto" w:sz="4" w:space="0"/>
              <w:bottom w:val="single" w:color="auto" w:sz="4" w:space="0"/>
            </w:tcBorders>
            <w:vAlign w:val="center"/>
          </w:tcPr>
          <w:p w14:paraId="0ADEDF39">
            <w:pPr>
              <w:rPr>
                <w:rFonts w:ascii="Arial" w:hAnsi="Arial"/>
                <w:b/>
                <w:bCs/>
                <w:sz w:val="20"/>
                <w:szCs w:val="20"/>
              </w:rPr>
            </w:pPr>
            <w:r>
              <w:rPr>
                <w:rFonts w:ascii="Arial" w:hAnsi="Arial" w:cs="Arial"/>
                <w:color w:val="000000"/>
                <w:sz w:val="20"/>
                <w:szCs w:val="20"/>
              </w:rPr>
              <w:t>Demand-side indicators of digital payment use</w:t>
            </w:r>
          </w:p>
        </w:tc>
        <w:tc>
          <w:tcPr>
            <w:tcW w:w="2749" w:type="dxa"/>
            <w:tcBorders>
              <w:top w:val="single" w:color="auto" w:sz="4" w:space="0"/>
              <w:bottom w:val="single" w:color="auto" w:sz="4" w:space="0"/>
            </w:tcBorders>
            <w:vAlign w:val="center"/>
          </w:tcPr>
          <w:p w14:paraId="43B8D28C">
            <w:pPr>
              <w:rPr>
                <w:rFonts w:ascii="Arial" w:hAnsi="Arial" w:cs="Arial"/>
                <w:color w:val="000000"/>
                <w:sz w:val="20"/>
                <w:szCs w:val="20"/>
              </w:rPr>
            </w:pPr>
            <w:r>
              <w:rPr>
                <w:rFonts w:ascii="Arial" w:hAnsi="Arial" w:cs="Arial"/>
                <w:color w:val="000000"/>
                <w:sz w:val="20"/>
                <w:szCs w:val="20"/>
              </w:rPr>
              <w:t>Supply-side indicators of financial infrastructure</w:t>
            </w:r>
          </w:p>
        </w:tc>
      </w:tr>
      <w:tr w14:paraId="527E78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6" w:type="dxa"/>
            <w:tcBorders>
              <w:top w:val="single" w:color="auto" w:sz="4" w:space="0"/>
              <w:bottom w:val="single" w:color="auto" w:sz="4" w:space="0"/>
            </w:tcBorders>
            <w:vAlign w:val="center"/>
          </w:tcPr>
          <w:p w14:paraId="0F5A25D5">
            <w:pPr>
              <w:rPr>
                <w:rFonts w:ascii="Arial" w:hAnsi="Arial" w:cs="Arial"/>
                <w:sz w:val="20"/>
                <w:szCs w:val="20"/>
              </w:rPr>
            </w:pPr>
            <w:r>
              <w:rPr>
                <w:rFonts w:ascii="Arial" w:hAnsi="Arial" w:cs="Arial"/>
                <w:color w:val="000000"/>
                <w:sz w:val="20"/>
                <w:szCs w:val="20"/>
              </w:rPr>
              <w:t>Observed trend</w:t>
            </w:r>
          </w:p>
        </w:tc>
        <w:tc>
          <w:tcPr>
            <w:tcW w:w="3233" w:type="dxa"/>
            <w:tcBorders>
              <w:top w:val="single" w:color="auto" w:sz="4" w:space="0"/>
              <w:bottom w:val="single" w:color="auto" w:sz="4" w:space="0"/>
            </w:tcBorders>
            <w:vAlign w:val="center"/>
          </w:tcPr>
          <w:p w14:paraId="106A20F1">
            <w:pPr>
              <w:rPr>
                <w:rFonts w:ascii="Arial" w:hAnsi="Arial" w:cs="Arial"/>
                <w:sz w:val="20"/>
                <w:szCs w:val="20"/>
              </w:rPr>
            </w:pPr>
            <w:r>
              <w:rPr>
                <w:rFonts w:ascii="Arial" w:hAnsi="Arial" w:cs="Arial"/>
                <w:color w:val="000000"/>
                <w:sz w:val="20"/>
                <w:szCs w:val="20"/>
              </w:rPr>
              <w:t>Increasing use of digital payments</w:t>
            </w:r>
          </w:p>
        </w:tc>
        <w:tc>
          <w:tcPr>
            <w:tcW w:w="2749" w:type="dxa"/>
            <w:tcBorders>
              <w:top w:val="single" w:color="auto" w:sz="4" w:space="0"/>
              <w:bottom w:val="single" w:color="auto" w:sz="4" w:space="0"/>
            </w:tcBorders>
            <w:vAlign w:val="center"/>
          </w:tcPr>
          <w:p w14:paraId="469DE6E4">
            <w:pPr>
              <w:rPr>
                <w:rFonts w:ascii="Arial" w:hAnsi="Arial" w:cs="Arial"/>
                <w:color w:val="000000"/>
                <w:sz w:val="20"/>
                <w:szCs w:val="20"/>
              </w:rPr>
            </w:pPr>
            <w:r>
              <w:rPr>
                <w:rFonts w:ascii="Arial" w:hAnsi="Arial" w:cs="Arial"/>
                <w:color w:val="000000"/>
                <w:sz w:val="20"/>
                <w:szCs w:val="20"/>
              </w:rPr>
              <w:t>Expansion of digital payment access points</w:t>
            </w:r>
          </w:p>
        </w:tc>
      </w:tr>
      <w:tr w14:paraId="0B6C2D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6" w:type="dxa"/>
            <w:tcBorders>
              <w:top w:val="single" w:color="auto" w:sz="4" w:space="0"/>
              <w:bottom w:val="single" w:color="auto" w:sz="4" w:space="0"/>
            </w:tcBorders>
            <w:vAlign w:val="center"/>
          </w:tcPr>
          <w:p w14:paraId="58EAFDE5">
            <w:pPr>
              <w:rPr>
                <w:rFonts w:ascii="Arial" w:hAnsi="Arial" w:cs="Arial"/>
                <w:sz w:val="20"/>
                <w:szCs w:val="20"/>
              </w:rPr>
            </w:pPr>
            <w:r>
              <w:rPr>
                <w:rFonts w:ascii="Arial" w:hAnsi="Arial" w:cs="Arial"/>
                <w:color w:val="000000"/>
                <w:sz w:val="20"/>
                <w:szCs w:val="20"/>
              </w:rPr>
              <w:t>Payment instruments</w:t>
            </w:r>
          </w:p>
        </w:tc>
        <w:tc>
          <w:tcPr>
            <w:tcW w:w="3233" w:type="dxa"/>
            <w:tcBorders>
              <w:top w:val="single" w:color="auto" w:sz="4" w:space="0"/>
              <w:bottom w:val="single" w:color="auto" w:sz="4" w:space="0"/>
            </w:tcBorders>
            <w:vAlign w:val="center"/>
          </w:tcPr>
          <w:p w14:paraId="4A1B111C">
            <w:pPr>
              <w:rPr>
                <w:rFonts w:ascii="Arial" w:hAnsi="Arial" w:cs="Arial"/>
                <w:sz w:val="20"/>
                <w:szCs w:val="20"/>
              </w:rPr>
            </w:pPr>
            <w:r>
              <w:rPr>
                <w:rFonts w:ascii="Arial" w:hAnsi="Arial" w:cs="Arial"/>
                <w:color w:val="000000"/>
                <w:sz w:val="20"/>
                <w:szCs w:val="20"/>
              </w:rPr>
              <w:t>Digital transfers, merchant payments</w:t>
            </w:r>
          </w:p>
        </w:tc>
        <w:tc>
          <w:tcPr>
            <w:tcW w:w="2749" w:type="dxa"/>
            <w:tcBorders>
              <w:top w:val="single" w:color="auto" w:sz="4" w:space="0"/>
              <w:bottom w:val="single" w:color="auto" w:sz="4" w:space="0"/>
            </w:tcBorders>
            <w:vAlign w:val="center"/>
          </w:tcPr>
          <w:p w14:paraId="16F060E5">
            <w:pPr>
              <w:rPr>
                <w:rFonts w:ascii="Arial" w:hAnsi="Arial" w:cs="Arial"/>
                <w:color w:val="000000"/>
                <w:sz w:val="20"/>
                <w:szCs w:val="20"/>
              </w:rPr>
            </w:pPr>
            <w:r>
              <w:rPr>
                <w:rFonts w:ascii="Arial" w:hAnsi="Arial" w:cs="Arial"/>
                <w:color w:val="000000"/>
                <w:sz w:val="20"/>
                <w:szCs w:val="20"/>
              </w:rPr>
              <w:t>E-money accounts, payment service providers</w:t>
            </w:r>
          </w:p>
        </w:tc>
      </w:tr>
      <w:tr w14:paraId="47FE11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6" w:type="dxa"/>
            <w:tcBorders>
              <w:top w:val="single" w:color="auto" w:sz="4" w:space="0"/>
              <w:bottom w:val="single" w:color="auto" w:sz="4" w:space="0"/>
            </w:tcBorders>
            <w:vAlign w:val="center"/>
          </w:tcPr>
          <w:p w14:paraId="501F0D6B">
            <w:pPr>
              <w:rPr>
                <w:rFonts w:ascii="Arial" w:hAnsi="Arial" w:cs="Arial"/>
                <w:sz w:val="20"/>
                <w:szCs w:val="20"/>
              </w:rPr>
            </w:pPr>
            <w:r>
              <w:rPr>
                <w:rFonts w:ascii="Arial" w:hAnsi="Arial" w:cs="Arial"/>
                <w:color w:val="000000"/>
                <w:sz w:val="20"/>
                <w:szCs w:val="20"/>
              </w:rPr>
              <w:t>Key implication</w:t>
            </w:r>
          </w:p>
        </w:tc>
        <w:tc>
          <w:tcPr>
            <w:tcW w:w="3233" w:type="dxa"/>
            <w:tcBorders>
              <w:top w:val="single" w:color="auto" w:sz="4" w:space="0"/>
              <w:bottom w:val="single" w:color="auto" w:sz="4" w:space="0"/>
            </w:tcBorders>
            <w:vAlign w:val="center"/>
          </w:tcPr>
          <w:p w14:paraId="5252A7D9">
            <w:pPr>
              <w:rPr>
                <w:rFonts w:ascii="Arial" w:hAnsi="Arial" w:cs="Arial"/>
                <w:sz w:val="20"/>
                <w:szCs w:val="20"/>
              </w:rPr>
            </w:pPr>
            <w:r>
              <w:rPr>
                <w:rFonts w:ascii="Arial" w:hAnsi="Arial" w:cs="Arial"/>
                <w:color w:val="000000"/>
                <w:sz w:val="20"/>
                <w:szCs w:val="20"/>
              </w:rPr>
              <w:t>Growing preference for digital transactions</w:t>
            </w:r>
          </w:p>
        </w:tc>
        <w:tc>
          <w:tcPr>
            <w:tcW w:w="2749" w:type="dxa"/>
            <w:tcBorders>
              <w:top w:val="single" w:color="auto" w:sz="4" w:space="0"/>
              <w:bottom w:val="single" w:color="auto" w:sz="4" w:space="0"/>
            </w:tcBorders>
            <w:vAlign w:val="center"/>
          </w:tcPr>
          <w:p w14:paraId="1322DB1E">
            <w:pPr>
              <w:rPr>
                <w:rFonts w:ascii="Arial" w:hAnsi="Arial" w:cs="Arial"/>
                <w:color w:val="000000"/>
                <w:sz w:val="20"/>
                <w:szCs w:val="20"/>
              </w:rPr>
            </w:pPr>
            <w:r>
              <w:rPr>
                <w:rFonts w:ascii="Arial" w:hAnsi="Arial" w:cs="Arial"/>
                <w:color w:val="000000"/>
                <w:sz w:val="20"/>
                <w:szCs w:val="20"/>
              </w:rPr>
              <w:t>Improved availability of digital channels</w:t>
            </w:r>
          </w:p>
        </w:tc>
      </w:tr>
      <w:tr w14:paraId="25F3F2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6" w:type="dxa"/>
            <w:tcBorders>
              <w:top w:val="single" w:color="auto" w:sz="4" w:space="0"/>
              <w:bottom w:val="single" w:color="auto" w:sz="4" w:space="0"/>
            </w:tcBorders>
            <w:vAlign w:val="center"/>
          </w:tcPr>
          <w:p w14:paraId="78FF2F0E">
            <w:pPr>
              <w:rPr>
                <w:rFonts w:ascii="Arial" w:hAnsi="Arial" w:cs="Arial"/>
                <w:color w:val="000000"/>
                <w:sz w:val="20"/>
                <w:szCs w:val="20"/>
              </w:rPr>
            </w:pPr>
            <w:r>
              <w:rPr>
                <w:rFonts w:ascii="Arial" w:hAnsi="Arial" w:cs="Arial"/>
                <w:color w:val="000000"/>
                <w:sz w:val="20"/>
                <w:szCs w:val="20"/>
              </w:rPr>
              <w:t>Analytical role</w:t>
            </w:r>
          </w:p>
        </w:tc>
        <w:tc>
          <w:tcPr>
            <w:tcW w:w="3233" w:type="dxa"/>
            <w:tcBorders>
              <w:top w:val="single" w:color="auto" w:sz="4" w:space="0"/>
              <w:bottom w:val="single" w:color="auto" w:sz="4" w:space="0"/>
            </w:tcBorders>
            <w:vAlign w:val="center"/>
          </w:tcPr>
          <w:p w14:paraId="70BD3700">
            <w:pPr>
              <w:rPr>
                <w:rFonts w:ascii="Arial" w:hAnsi="Arial" w:cs="Arial"/>
                <w:color w:val="000000"/>
                <w:sz w:val="20"/>
                <w:szCs w:val="20"/>
              </w:rPr>
            </w:pPr>
            <w:r>
              <w:rPr>
                <w:rFonts w:ascii="Arial" w:hAnsi="Arial" w:cs="Arial"/>
                <w:color w:val="000000"/>
                <w:sz w:val="20"/>
                <w:szCs w:val="20"/>
              </w:rPr>
              <w:t>Captures payment behavior</w:t>
            </w:r>
          </w:p>
        </w:tc>
        <w:tc>
          <w:tcPr>
            <w:tcW w:w="2749" w:type="dxa"/>
            <w:tcBorders>
              <w:top w:val="single" w:color="auto" w:sz="4" w:space="0"/>
            </w:tcBorders>
            <w:vAlign w:val="center"/>
          </w:tcPr>
          <w:p w14:paraId="27ECADDB">
            <w:pPr>
              <w:rPr>
                <w:rFonts w:ascii="Arial" w:hAnsi="Arial" w:cs="Arial"/>
                <w:color w:val="000000"/>
                <w:sz w:val="20"/>
                <w:szCs w:val="20"/>
              </w:rPr>
            </w:pPr>
            <w:r>
              <w:rPr>
                <w:rFonts w:ascii="Arial" w:hAnsi="Arial" w:cs="Arial"/>
                <w:color w:val="000000"/>
                <w:sz w:val="20"/>
                <w:szCs w:val="20"/>
              </w:rPr>
              <w:t>Captures enabling conditions</w:t>
            </w:r>
          </w:p>
        </w:tc>
      </w:tr>
    </w:tbl>
    <w:p w14:paraId="2CF3ACDB">
      <w:pPr>
        <w:ind w:right="18"/>
        <w:rPr>
          <w:rFonts w:ascii="Arial" w:hAnsi="Arial" w:cs="Arial"/>
          <w:color w:val="000000"/>
          <w:sz w:val="20"/>
          <w:szCs w:val="20"/>
        </w:rPr>
      </w:pPr>
    </w:p>
    <w:p w14:paraId="30A9E83E">
      <w:pPr>
        <w:outlineLvl w:val="1"/>
        <w:rPr>
          <w:b/>
          <w:bCs/>
          <w:sz w:val="36"/>
          <w:szCs w:val="36"/>
        </w:rPr>
      </w:pPr>
      <w:r>
        <w:rPr>
          <w:rFonts w:ascii="Arial" w:hAnsi="Arial" w:cs="Arial"/>
          <w:b/>
          <w:bCs/>
          <w:color w:val="000000"/>
          <w:sz w:val="22"/>
          <w:szCs w:val="22"/>
        </w:rPr>
        <w:t>3.2 National Digital Payment Trends in the Philippines (2020–2024)</w:t>
      </w:r>
    </w:p>
    <w:p w14:paraId="013F664C">
      <w:pPr>
        <w:rPr>
          <w:rFonts w:ascii="Arial" w:hAnsi="Arial" w:cs="Arial"/>
          <w:sz w:val="20"/>
          <w:szCs w:val="20"/>
        </w:rPr>
      </w:pPr>
    </w:p>
    <w:p w14:paraId="784427EE">
      <w:pPr>
        <w:ind w:right="14"/>
      </w:pPr>
      <w:r>
        <w:rPr>
          <w:rFonts w:ascii="Arial" w:hAnsi="Arial" w:cs="Arial"/>
          <w:color w:val="000000"/>
          <w:sz w:val="20"/>
          <w:szCs w:val="20"/>
        </w:rPr>
        <w:t xml:space="preserve">Digital payment use in the Philippines has grown steadily during the study period. The Bangko Sentral ng Pilipinas (BSP) </w:t>
      </w:r>
      <w:r>
        <w:rPr>
          <w:rFonts w:ascii="Arial" w:hAnsi="Arial" w:cs="Arial"/>
          <w:i/>
          <w:iCs/>
          <w:color w:val="000000"/>
          <w:sz w:val="20"/>
          <w:szCs w:val="20"/>
        </w:rPr>
        <w:t>Report on E-Payments Measurement 2024 shows that</w:t>
      </w:r>
      <w:r>
        <w:rPr>
          <w:rFonts w:ascii="Arial" w:hAnsi="Arial" w:cs="Arial"/>
          <w:color w:val="000000"/>
          <w:sz w:val="20"/>
          <w:szCs w:val="20"/>
        </w:rPr>
        <w:t xml:space="preserve"> digital payments made up 57.4% of total retail payment volume and 59% of total retail payment value in 2024. This marks a lasting move toward electronic payments and surpasses earlier national goals for digitalization (Bangko Sentral ng Pilipinas, 2024).</w:t>
      </w:r>
    </w:p>
    <w:p w14:paraId="0A94AC89">
      <w:pPr>
        <w:ind w:right="14"/>
        <w:rPr>
          <w:rFonts w:ascii="Arial" w:hAnsi="Arial" w:cs="Arial"/>
          <w:color w:val="000000"/>
          <w:sz w:val="20"/>
          <w:szCs w:val="20"/>
        </w:rPr>
      </w:pPr>
      <w:r>
        <w:rPr>
          <w:rFonts w:ascii="Arial" w:hAnsi="Arial" w:cs="Arial"/>
          <w:color w:val="000000"/>
          <w:sz w:val="20"/>
          <w:szCs w:val="20"/>
        </w:rPr>
        <w:t>This growth has continued over the past few years. BSP data shows that digital payments made up about 52.8% of retail transactions in 2023, showing a steady rise instead of a short-term increase (Bangko Sentral ng Pilipinas, 2024). Independent business reports using BSP data also confirm that both the number and value of digital payments in the country have kept increasing (Jocson, 2024; 2025).</w:t>
      </w:r>
    </w:p>
    <w:p w14:paraId="41A56810">
      <w:pPr>
        <w:ind w:right="14"/>
        <w:rPr>
          <w:rFonts w:ascii="Arial" w:hAnsi="Arial" w:cs="Arial"/>
          <w:color w:val="000000"/>
          <w:sz w:val="20"/>
          <w:szCs w:val="20"/>
        </w:rPr>
      </w:pPr>
    </w:p>
    <w:p w14:paraId="0BC5F98A">
      <w:pPr>
        <w:pStyle w:val="18"/>
        <w:spacing w:before="0" w:beforeAutospacing="0" w:after="0" w:afterAutospacing="0"/>
        <w:jc w:val="center"/>
      </w:pPr>
      <w:r>
        <w:rPr>
          <w:rFonts w:ascii="Arial" w:hAnsi="Arial" w:cs="Arial"/>
          <w:b/>
          <w:bCs/>
          <w:color w:val="000000"/>
          <w:sz w:val="20"/>
          <w:szCs w:val="20"/>
        </w:rPr>
        <w:t>Table 4. Selected National Indicators of Digital Payment Adoption </w:t>
      </w:r>
    </w:p>
    <w:p w14:paraId="1B4B9530">
      <w:pPr>
        <w:pStyle w:val="18"/>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in the Philippines (2020–2024)</w:t>
      </w:r>
    </w:p>
    <w:p w14:paraId="1D0C9C6B">
      <w:pPr>
        <w:pStyle w:val="18"/>
        <w:spacing w:before="0" w:beforeAutospacing="0" w:after="0" w:afterAutospacing="0"/>
        <w:jc w:val="center"/>
        <w:rPr>
          <w:rFonts w:ascii="Arial" w:hAnsi="Arial" w:cs="Arial"/>
          <w:b/>
          <w:bCs/>
          <w:color w:val="000000"/>
          <w:sz w:val="20"/>
          <w:szCs w:val="20"/>
        </w:rPr>
      </w:pPr>
    </w:p>
    <w:tbl>
      <w:tblPr>
        <w:tblStyle w:val="6"/>
        <w:tblW w:w="783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3"/>
        <w:gridCol w:w="1863"/>
        <w:gridCol w:w="1611"/>
        <w:gridCol w:w="1573"/>
      </w:tblGrid>
      <w:tr w14:paraId="600F7A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83" w:type="dxa"/>
            <w:tcBorders>
              <w:top w:val="single" w:color="auto" w:sz="4" w:space="0"/>
              <w:bottom w:val="single" w:color="auto" w:sz="4" w:space="0"/>
            </w:tcBorders>
            <w:vAlign w:val="center"/>
          </w:tcPr>
          <w:p w14:paraId="685F1244">
            <w:pPr>
              <w:jc w:val="both"/>
              <w:rPr>
                <w:rFonts w:ascii="Arial" w:hAnsi="Arial"/>
                <w:b/>
                <w:bCs/>
                <w:sz w:val="20"/>
                <w:szCs w:val="20"/>
              </w:rPr>
            </w:pPr>
            <w:r>
              <w:rPr>
                <w:rFonts w:ascii="Arial" w:hAnsi="Arial" w:cs="Arial"/>
                <w:b/>
                <w:bCs/>
                <w:color w:val="000000"/>
                <w:sz w:val="20"/>
                <w:szCs w:val="20"/>
              </w:rPr>
              <w:t>Indicator</w:t>
            </w:r>
          </w:p>
        </w:tc>
        <w:tc>
          <w:tcPr>
            <w:tcW w:w="1863" w:type="dxa"/>
            <w:tcBorders>
              <w:top w:val="single" w:color="auto" w:sz="4" w:space="0"/>
              <w:bottom w:val="single" w:color="auto" w:sz="4" w:space="0"/>
            </w:tcBorders>
            <w:vAlign w:val="center"/>
          </w:tcPr>
          <w:p w14:paraId="224C9A77">
            <w:pPr>
              <w:jc w:val="both"/>
              <w:rPr>
                <w:rFonts w:ascii="Arial" w:hAnsi="Arial"/>
                <w:b/>
                <w:bCs/>
                <w:sz w:val="20"/>
                <w:szCs w:val="20"/>
              </w:rPr>
            </w:pPr>
            <w:r>
              <w:rPr>
                <w:rFonts w:ascii="Arial" w:hAnsi="Arial" w:cs="Arial"/>
                <w:b/>
                <w:bCs/>
                <w:color w:val="000000"/>
                <w:sz w:val="20"/>
                <w:szCs w:val="20"/>
              </w:rPr>
              <w:t>2020*</w:t>
            </w:r>
          </w:p>
        </w:tc>
        <w:tc>
          <w:tcPr>
            <w:tcW w:w="1611" w:type="dxa"/>
            <w:tcBorders>
              <w:top w:val="single" w:color="auto" w:sz="4" w:space="0"/>
              <w:bottom w:val="single" w:color="auto" w:sz="4" w:space="0"/>
            </w:tcBorders>
            <w:vAlign w:val="center"/>
          </w:tcPr>
          <w:p w14:paraId="6FCE7FF3">
            <w:pPr>
              <w:jc w:val="both"/>
              <w:rPr>
                <w:rFonts w:ascii="Arial" w:hAnsi="Arial" w:cs="Arial"/>
                <w:b/>
                <w:bCs/>
                <w:color w:val="000000"/>
                <w:sz w:val="20"/>
                <w:szCs w:val="20"/>
              </w:rPr>
            </w:pPr>
            <w:r>
              <w:rPr>
                <w:rFonts w:ascii="Arial" w:hAnsi="Arial" w:cs="Arial"/>
                <w:b/>
                <w:bCs/>
                <w:color w:val="000000"/>
                <w:sz w:val="20"/>
                <w:szCs w:val="20"/>
              </w:rPr>
              <w:t>2023</w:t>
            </w:r>
          </w:p>
        </w:tc>
        <w:tc>
          <w:tcPr>
            <w:tcW w:w="1573" w:type="dxa"/>
            <w:tcBorders>
              <w:top w:val="single" w:color="auto" w:sz="4" w:space="0"/>
              <w:bottom w:val="single" w:color="auto" w:sz="4" w:space="0"/>
            </w:tcBorders>
            <w:vAlign w:val="center"/>
          </w:tcPr>
          <w:p w14:paraId="2CAF9D02">
            <w:pPr>
              <w:jc w:val="both"/>
              <w:rPr>
                <w:rFonts w:ascii="Arial" w:hAnsi="Arial" w:cs="Arial"/>
                <w:b/>
                <w:bCs/>
                <w:color w:val="000000"/>
                <w:sz w:val="20"/>
                <w:szCs w:val="20"/>
              </w:rPr>
            </w:pPr>
            <w:r>
              <w:rPr>
                <w:rFonts w:ascii="Arial" w:hAnsi="Arial" w:cs="Arial"/>
                <w:b/>
                <w:bCs/>
                <w:color w:val="000000"/>
                <w:sz w:val="20"/>
                <w:szCs w:val="20"/>
              </w:rPr>
              <w:t>2024</w:t>
            </w:r>
          </w:p>
        </w:tc>
      </w:tr>
      <w:tr w14:paraId="299CC6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2783" w:type="dxa"/>
            <w:tcBorders>
              <w:top w:val="single" w:color="auto" w:sz="4" w:space="0"/>
              <w:bottom w:val="single" w:color="auto" w:sz="4" w:space="0"/>
            </w:tcBorders>
            <w:vAlign w:val="center"/>
          </w:tcPr>
          <w:p w14:paraId="4CD67A55">
            <w:pPr>
              <w:rPr>
                <w:rFonts w:ascii="Arial" w:hAnsi="Arial"/>
                <w:b/>
                <w:bCs/>
                <w:sz w:val="20"/>
                <w:szCs w:val="20"/>
              </w:rPr>
            </w:pPr>
            <w:r>
              <w:rPr>
                <w:rFonts w:ascii="Arial" w:hAnsi="Arial" w:cs="Arial"/>
                <w:color w:val="000000"/>
                <w:sz w:val="20"/>
                <w:szCs w:val="20"/>
              </w:rPr>
              <w:t>Share of digital payments in retail transactions</w:t>
            </w:r>
          </w:p>
        </w:tc>
        <w:tc>
          <w:tcPr>
            <w:tcW w:w="1863" w:type="dxa"/>
            <w:tcBorders>
              <w:top w:val="single" w:color="auto" w:sz="4" w:space="0"/>
              <w:bottom w:val="single" w:color="auto" w:sz="4" w:space="0"/>
            </w:tcBorders>
            <w:vAlign w:val="center"/>
          </w:tcPr>
          <w:p w14:paraId="5B1FF754">
            <w:pPr>
              <w:rPr>
                <w:rFonts w:ascii="Arial" w:hAnsi="Arial"/>
                <w:b/>
                <w:bCs/>
                <w:sz w:val="20"/>
                <w:szCs w:val="20"/>
              </w:rPr>
            </w:pPr>
            <w:r>
              <w:rPr>
                <w:rFonts w:ascii="Arial" w:hAnsi="Arial" w:cs="Arial"/>
                <w:color w:val="000000"/>
                <w:sz w:val="20"/>
                <w:szCs w:val="20"/>
              </w:rPr>
              <w:t>Below 50%</w:t>
            </w:r>
          </w:p>
        </w:tc>
        <w:tc>
          <w:tcPr>
            <w:tcW w:w="1611" w:type="dxa"/>
            <w:tcBorders>
              <w:top w:val="single" w:color="auto" w:sz="4" w:space="0"/>
              <w:bottom w:val="single" w:color="auto" w:sz="4" w:space="0"/>
            </w:tcBorders>
            <w:vAlign w:val="center"/>
          </w:tcPr>
          <w:p w14:paraId="7460334B">
            <w:pPr>
              <w:rPr>
                <w:rFonts w:ascii="Arial" w:hAnsi="Arial" w:cs="Arial"/>
                <w:color w:val="000000"/>
                <w:sz w:val="20"/>
                <w:szCs w:val="20"/>
              </w:rPr>
            </w:pPr>
            <w:r>
              <w:rPr>
                <w:rFonts w:ascii="Arial" w:hAnsi="Arial" w:cs="Arial"/>
                <w:color w:val="000000"/>
                <w:sz w:val="20"/>
                <w:szCs w:val="20"/>
              </w:rPr>
              <w:t>~52.8%</w:t>
            </w:r>
          </w:p>
        </w:tc>
        <w:tc>
          <w:tcPr>
            <w:tcW w:w="1573" w:type="dxa"/>
            <w:tcBorders>
              <w:top w:val="single" w:color="auto" w:sz="4" w:space="0"/>
              <w:bottom w:val="single" w:color="auto" w:sz="4" w:space="0"/>
            </w:tcBorders>
            <w:vAlign w:val="center"/>
          </w:tcPr>
          <w:p w14:paraId="3D4559CE">
            <w:pPr>
              <w:rPr>
                <w:rFonts w:ascii="Arial" w:hAnsi="Arial" w:cs="Arial"/>
                <w:color w:val="000000"/>
                <w:sz w:val="20"/>
                <w:szCs w:val="20"/>
              </w:rPr>
            </w:pPr>
            <w:r>
              <w:rPr>
                <w:rFonts w:ascii="Arial" w:hAnsi="Arial" w:cs="Arial"/>
                <w:color w:val="000000"/>
                <w:sz w:val="20"/>
                <w:szCs w:val="20"/>
              </w:rPr>
              <w:t>57.4%</w:t>
            </w:r>
          </w:p>
        </w:tc>
      </w:tr>
      <w:tr w14:paraId="476CA0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83" w:type="dxa"/>
            <w:tcBorders>
              <w:top w:val="single" w:color="auto" w:sz="4" w:space="0"/>
              <w:bottom w:val="single" w:color="auto" w:sz="4" w:space="0"/>
            </w:tcBorders>
            <w:vAlign w:val="center"/>
          </w:tcPr>
          <w:p w14:paraId="7E659EBB">
            <w:pPr>
              <w:rPr>
                <w:rFonts w:ascii="Arial" w:hAnsi="Arial" w:cs="Arial"/>
                <w:sz w:val="20"/>
                <w:szCs w:val="20"/>
              </w:rPr>
            </w:pPr>
            <w:r>
              <w:rPr>
                <w:rFonts w:ascii="Arial" w:hAnsi="Arial" w:cs="Arial"/>
                <w:color w:val="000000"/>
                <w:sz w:val="20"/>
                <w:szCs w:val="20"/>
              </w:rPr>
              <w:t>Share of digital payments by value</w:t>
            </w:r>
          </w:p>
        </w:tc>
        <w:tc>
          <w:tcPr>
            <w:tcW w:w="1863" w:type="dxa"/>
            <w:tcBorders>
              <w:top w:val="single" w:color="auto" w:sz="4" w:space="0"/>
              <w:bottom w:val="single" w:color="auto" w:sz="4" w:space="0"/>
            </w:tcBorders>
            <w:vAlign w:val="center"/>
          </w:tcPr>
          <w:p w14:paraId="1B8761E0">
            <w:pPr>
              <w:rPr>
                <w:rFonts w:ascii="Arial" w:hAnsi="Arial" w:cs="Arial"/>
                <w:sz w:val="20"/>
                <w:szCs w:val="20"/>
              </w:rPr>
            </w:pPr>
            <w:r>
              <w:rPr>
                <w:rFonts w:ascii="Arial" w:hAnsi="Arial" w:cs="Arial"/>
                <w:color w:val="000000"/>
                <w:sz w:val="20"/>
                <w:szCs w:val="20"/>
              </w:rPr>
              <w:t>Not officially reported</w:t>
            </w:r>
          </w:p>
        </w:tc>
        <w:tc>
          <w:tcPr>
            <w:tcW w:w="1611" w:type="dxa"/>
            <w:tcBorders>
              <w:top w:val="single" w:color="auto" w:sz="4" w:space="0"/>
              <w:bottom w:val="single" w:color="auto" w:sz="4" w:space="0"/>
            </w:tcBorders>
            <w:vAlign w:val="center"/>
          </w:tcPr>
          <w:p w14:paraId="33C27E1B">
            <w:pPr>
              <w:rPr>
                <w:rFonts w:ascii="Arial" w:hAnsi="Arial" w:cs="Arial"/>
                <w:color w:val="000000"/>
                <w:sz w:val="20"/>
                <w:szCs w:val="20"/>
              </w:rPr>
            </w:pPr>
            <w:r>
              <w:rPr>
                <w:rFonts w:ascii="Arial" w:hAnsi="Arial" w:cs="Arial"/>
                <w:color w:val="000000"/>
                <w:sz w:val="20"/>
                <w:szCs w:val="20"/>
              </w:rPr>
              <w:t>~55%</w:t>
            </w:r>
          </w:p>
        </w:tc>
        <w:tc>
          <w:tcPr>
            <w:tcW w:w="1573" w:type="dxa"/>
            <w:tcBorders>
              <w:top w:val="single" w:color="auto" w:sz="4" w:space="0"/>
              <w:bottom w:val="single" w:color="auto" w:sz="4" w:space="0"/>
            </w:tcBorders>
            <w:vAlign w:val="center"/>
          </w:tcPr>
          <w:p w14:paraId="29DFD5C9">
            <w:pPr>
              <w:rPr>
                <w:rFonts w:ascii="Arial" w:hAnsi="Arial" w:cs="Arial"/>
                <w:color w:val="000000"/>
                <w:sz w:val="20"/>
                <w:szCs w:val="20"/>
              </w:rPr>
            </w:pPr>
            <w:r>
              <w:rPr>
                <w:rFonts w:ascii="Arial" w:hAnsi="Arial" w:cs="Arial"/>
                <w:color w:val="000000"/>
                <w:sz w:val="20"/>
                <w:szCs w:val="20"/>
              </w:rPr>
              <w:t>59%</w:t>
            </w:r>
          </w:p>
        </w:tc>
      </w:tr>
      <w:tr w14:paraId="17FD32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83" w:type="dxa"/>
            <w:tcBorders>
              <w:top w:val="single" w:color="auto" w:sz="4" w:space="0"/>
              <w:bottom w:val="single" w:color="auto" w:sz="4" w:space="0"/>
            </w:tcBorders>
            <w:vAlign w:val="center"/>
          </w:tcPr>
          <w:p w14:paraId="2D4FC482">
            <w:pPr>
              <w:rPr>
                <w:rFonts w:ascii="Arial" w:hAnsi="Arial" w:cs="Arial"/>
                <w:sz w:val="20"/>
                <w:szCs w:val="20"/>
              </w:rPr>
            </w:pPr>
            <w:r>
              <w:rPr>
                <w:rFonts w:ascii="Arial" w:hAnsi="Arial" w:cs="Arial"/>
                <w:color w:val="000000"/>
                <w:sz w:val="20"/>
                <w:szCs w:val="20"/>
              </w:rPr>
              <w:t>BSP digital payment policy focus</w:t>
            </w:r>
          </w:p>
        </w:tc>
        <w:tc>
          <w:tcPr>
            <w:tcW w:w="1863" w:type="dxa"/>
            <w:tcBorders>
              <w:top w:val="single" w:color="auto" w:sz="4" w:space="0"/>
              <w:bottom w:val="single" w:color="auto" w:sz="4" w:space="0"/>
            </w:tcBorders>
            <w:vAlign w:val="center"/>
          </w:tcPr>
          <w:p w14:paraId="68326AB8">
            <w:pPr>
              <w:rPr>
                <w:rFonts w:ascii="Arial" w:hAnsi="Arial" w:cs="Arial"/>
                <w:sz w:val="20"/>
                <w:szCs w:val="20"/>
              </w:rPr>
            </w:pPr>
            <w:r>
              <w:rPr>
                <w:rFonts w:ascii="Arial" w:hAnsi="Arial" w:cs="Arial"/>
                <w:color w:val="000000"/>
                <w:sz w:val="20"/>
                <w:szCs w:val="20"/>
              </w:rPr>
              <w:t>Roadmap initiation</w:t>
            </w:r>
          </w:p>
        </w:tc>
        <w:tc>
          <w:tcPr>
            <w:tcW w:w="1611" w:type="dxa"/>
            <w:tcBorders>
              <w:top w:val="single" w:color="auto" w:sz="4" w:space="0"/>
              <w:bottom w:val="single" w:color="auto" w:sz="4" w:space="0"/>
            </w:tcBorders>
            <w:vAlign w:val="center"/>
          </w:tcPr>
          <w:p w14:paraId="7134F739">
            <w:pPr>
              <w:rPr>
                <w:rFonts w:ascii="Arial" w:hAnsi="Arial" w:cs="Arial"/>
                <w:color w:val="000000"/>
                <w:sz w:val="20"/>
                <w:szCs w:val="20"/>
              </w:rPr>
            </w:pPr>
            <w:r>
              <w:rPr>
                <w:rFonts w:ascii="Arial" w:hAnsi="Arial" w:cs="Arial"/>
                <w:color w:val="000000"/>
                <w:sz w:val="20"/>
                <w:szCs w:val="20"/>
              </w:rPr>
              <w:t>Expansion</w:t>
            </w:r>
          </w:p>
        </w:tc>
        <w:tc>
          <w:tcPr>
            <w:tcW w:w="1573" w:type="dxa"/>
            <w:tcBorders>
              <w:top w:val="single" w:color="auto" w:sz="4" w:space="0"/>
              <w:bottom w:val="single" w:color="auto" w:sz="4" w:space="0"/>
            </w:tcBorders>
            <w:vAlign w:val="center"/>
          </w:tcPr>
          <w:p w14:paraId="61915888">
            <w:pPr>
              <w:rPr>
                <w:rFonts w:ascii="Arial" w:hAnsi="Arial" w:cs="Arial"/>
                <w:color w:val="000000"/>
                <w:sz w:val="20"/>
                <w:szCs w:val="20"/>
              </w:rPr>
            </w:pPr>
            <w:r>
              <w:rPr>
                <w:rFonts w:ascii="Arial" w:hAnsi="Arial" w:cs="Arial"/>
                <w:color w:val="000000"/>
                <w:sz w:val="20"/>
                <w:szCs w:val="20"/>
              </w:rPr>
              <w:t>Sustained implementation</w:t>
            </w:r>
          </w:p>
        </w:tc>
      </w:tr>
    </w:tbl>
    <w:p w14:paraId="11C70E18">
      <w:pPr>
        <w:ind w:right="18"/>
        <w:rPr>
          <w:rFonts w:ascii="Arial" w:hAnsi="Arial" w:cs="Arial"/>
          <w:color w:val="000000"/>
          <w:sz w:val="20"/>
          <w:szCs w:val="20"/>
        </w:rPr>
      </w:pPr>
    </w:p>
    <w:p w14:paraId="3B38AED8">
      <w:pPr>
        <w:ind w:right="18"/>
      </w:pPr>
      <w:r>
        <w:rPr>
          <w:rFonts w:ascii="Arial" w:hAnsi="Arial" w:cs="Arial"/>
          <w:color w:val="000000"/>
          <w:sz w:val="20"/>
          <w:szCs w:val="20"/>
        </w:rPr>
        <w:t>These findings show that the Philippines is moving toward a cash-lite payment system, with digital payments now the main way people make retail transactions.</w:t>
      </w:r>
    </w:p>
    <w:p w14:paraId="089871C2">
      <w:pPr>
        <w:ind w:right="18"/>
      </w:pPr>
    </w:p>
    <w:p w14:paraId="5B50D86C">
      <w:pPr>
        <w:ind w:right="18"/>
        <w:outlineLvl w:val="1"/>
        <w:rPr>
          <w:b/>
          <w:bCs/>
          <w:sz w:val="36"/>
          <w:szCs w:val="36"/>
        </w:rPr>
      </w:pPr>
      <w:r>
        <w:rPr>
          <w:rFonts w:ascii="Arial" w:hAnsi="Arial" w:cs="Arial"/>
          <w:b/>
          <w:bCs/>
          <w:color w:val="000000"/>
          <w:sz w:val="22"/>
          <w:szCs w:val="22"/>
        </w:rPr>
        <w:t>3.3 Digital Readiness and Enabling Conditions</w:t>
      </w:r>
    </w:p>
    <w:p w14:paraId="478B82DF">
      <w:pPr>
        <w:ind w:right="18"/>
        <w:rPr>
          <w:rFonts w:ascii="Arial" w:hAnsi="Arial" w:cs="Arial"/>
          <w:sz w:val="22"/>
          <w:szCs w:val="22"/>
        </w:rPr>
      </w:pPr>
    </w:p>
    <w:p w14:paraId="4E288478">
      <w:pPr>
        <w:ind w:right="18"/>
      </w:pPr>
      <w:r>
        <w:rPr>
          <w:rFonts w:ascii="Arial" w:hAnsi="Arial" w:cs="Arial"/>
          <w:color w:val="000000"/>
          <w:sz w:val="20"/>
          <w:szCs w:val="20"/>
        </w:rPr>
        <w:t>National indicators of digital readiness help explain the growth of digital payments. Data from the Philippine Statistics Authority (PSA) and the National Information and Communications Technology Household Survey (NICTHS) show that household internet access and individual internet use have improved in recent years, showing wider digital connectivity across the country (Philippine Statistics Authority &amp; Department of Information and Communications Technology, 2025).</w:t>
      </w:r>
    </w:p>
    <w:p w14:paraId="036ED92C">
      <w:pPr>
        <w:ind w:right="18"/>
      </w:pPr>
      <w:r>
        <w:rPr>
          <w:rFonts w:ascii="Arial" w:hAnsi="Arial" w:cs="Arial"/>
          <w:color w:val="000000"/>
          <w:sz w:val="20"/>
          <w:szCs w:val="20"/>
        </w:rPr>
        <w:t>While this study did not analyze digital readiness indicators as outcome variables, better access to digital infrastructure helps people use digital financial services. This creates the right conditions for more people to adopt electronic payment systems.</w:t>
      </w:r>
    </w:p>
    <w:p w14:paraId="4E8E1DD6">
      <w:pPr>
        <w:ind w:right="18"/>
        <w:rPr>
          <w:rFonts w:ascii="Arial" w:hAnsi="Arial" w:cs="Arial"/>
          <w:sz w:val="20"/>
          <w:szCs w:val="20"/>
        </w:rPr>
      </w:pPr>
    </w:p>
    <w:p w14:paraId="3D1B8511">
      <w:pPr>
        <w:ind w:right="18"/>
        <w:outlineLvl w:val="1"/>
        <w:rPr>
          <w:b/>
          <w:bCs/>
          <w:sz w:val="36"/>
          <w:szCs w:val="36"/>
        </w:rPr>
      </w:pPr>
      <w:r>
        <w:rPr>
          <w:rFonts w:ascii="Arial" w:hAnsi="Arial" w:cs="Arial"/>
          <w:b/>
          <w:bCs/>
          <w:color w:val="000000"/>
          <w:sz w:val="22"/>
          <w:szCs w:val="22"/>
        </w:rPr>
        <w:t>3.4 Institutional Payment Practices: Local Northern Mindanao University</w:t>
      </w:r>
    </w:p>
    <w:p w14:paraId="63CCAD59">
      <w:pPr>
        <w:ind w:right="18"/>
        <w:rPr>
          <w:sz w:val="20"/>
          <w:szCs w:val="20"/>
        </w:rPr>
      </w:pPr>
    </w:p>
    <w:p w14:paraId="3E2316CF">
      <w:pPr>
        <w:ind w:right="18"/>
        <w:rPr>
          <w:rFonts w:ascii="Arial" w:hAnsi="Arial" w:cs="Arial"/>
          <w:color w:val="000000"/>
          <w:sz w:val="20"/>
          <w:szCs w:val="20"/>
        </w:rPr>
      </w:pPr>
      <w:r>
        <w:rPr>
          <w:rFonts w:ascii="Arial" w:hAnsi="Arial" w:cs="Arial"/>
          <w:color w:val="000000"/>
          <w:sz w:val="20"/>
          <w:szCs w:val="20"/>
        </w:rPr>
        <w:t>Documents from the local university show that since 2020, they have used several digital payment options for tuition and administrative fees. These include bank-based electronic payments and other digital channels that follow national payment systems (Xavier University - Ateneo de Cagayan, n.d.). Although detailed financial data are not publicly available, these practices align with national digital payment trends and the BSP's policy direction.</w:t>
      </w:r>
    </w:p>
    <w:p w14:paraId="4C60BBF2">
      <w:pPr>
        <w:ind w:right="18"/>
        <w:rPr>
          <w:rFonts w:ascii="Arial" w:hAnsi="Arial" w:cs="Arial"/>
          <w:color w:val="000000"/>
          <w:sz w:val="20"/>
          <w:szCs w:val="20"/>
        </w:rPr>
      </w:pPr>
    </w:p>
    <w:p w14:paraId="03A1E041">
      <w:pPr>
        <w:pStyle w:val="3"/>
        <w:spacing w:before="0"/>
        <w:rPr>
          <w:b/>
          <w:bCs/>
          <w:sz w:val="36"/>
          <w:szCs w:val="36"/>
        </w:rPr>
      </w:pPr>
      <w:r>
        <w:rPr>
          <w:rFonts w:ascii="Arial" w:hAnsi="Arial" w:cs="Arial"/>
          <w:b/>
          <w:bCs/>
          <w:color w:val="000000"/>
          <w:sz w:val="22"/>
          <w:szCs w:val="22"/>
        </w:rPr>
        <w:t>4. DISCUSSION</w:t>
      </w:r>
    </w:p>
    <w:p w14:paraId="7424CEC3">
      <w:pPr>
        <w:rPr>
          <w:b/>
          <w:bCs/>
        </w:rPr>
      </w:pPr>
    </w:p>
    <w:p w14:paraId="431D1509">
      <w:pPr>
        <w:pStyle w:val="4"/>
        <w:spacing w:before="0"/>
        <w:rPr>
          <w:b/>
          <w:bCs/>
        </w:rPr>
      </w:pPr>
      <w:r>
        <w:rPr>
          <w:rFonts w:ascii="Arial" w:hAnsi="Arial" w:cs="Arial"/>
          <w:b/>
          <w:bCs/>
          <w:color w:val="000000"/>
          <w:sz w:val="22"/>
          <w:szCs w:val="22"/>
        </w:rPr>
        <w:t>4.1 Interpreting Trends through Payment Choice Theory</w:t>
      </w:r>
    </w:p>
    <w:p w14:paraId="4DBCE065">
      <w:pPr>
        <w:rPr>
          <w:b/>
          <w:bCs/>
        </w:rPr>
      </w:pPr>
    </w:p>
    <w:p w14:paraId="61F972A2">
      <w:pPr>
        <w:pStyle w:val="18"/>
        <w:spacing w:before="0" w:beforeAutospacing="0" w:after="0" w:afterAutospacing="0"/>
      </w:pPr>
      <w:r>
        <w:rPr>
          <w:rFonts w:ascii="Arial" w:hAnsi="Arial" w:cs="Arial"/>
          <w:color w:val="000000"/>
          <w:sz w:val="20"/>
          <w:szCs w:val="20"/>
        </w:rPr>
        <w:t>The global and national trends described above support Payment Choice Theory, which suggests that people and institutions prefer payment methods that are more convenient, accessible, and cost less to use. The strong growth in digital payments, both worldwide and in the Philippines, shows that digital options are now seen as offering these benefits over cash (Demirgüç-Kunt et al., 2022; Bangko Sentral ng Pilipinas, 2024).</w:t>
      </w:r>
    </w:p>
    <w:p w14:paraId="39AF98ED">
      <w:pPr>
        <w:pStyle w:val="18"/>
        <w:spacing w:before="0" w:beforeAutospacing="0" w:after="0" w:afterAutospacing="0"/>
      </w:pPr>
      <w:r>
        <w:rPr>
          <w:rFonts w:ascii="Arial" w:hAnsi="Arial" w:cs="Arial"/>
          <w:color w:val="000000"/>
          <w:sz w:val="20"/>
          <w:szCs w:val="20"/>
        </w:rPr>
        <w:t>The rise in digital payments also matches global moves toward digital financial systems. As digital connectivity and payment infrastructure expand, more people can take part (International Monetary Fund, 2025; Noris &amp; Singer, 2025). Together, these changes on both the demand and supply sides make it easier for people to switch from cash to electronic payments (Demirgüç-Kunt et al., 2022; International Monetary Fund, 2025).</w:t>
      </w:r>
    </w:p>
    <w:p w14:paraId="208AA167">
      <w:pPr>
        <w:ind w:right="18"/>
        <w:rPr>
          <w:rFonts w:ascii="Arial" w:hAnsi="Arial" w:cs="Arial"/>
          <w:sz w:val="20"/>
          <w:szCs w:val="20"/>
        </w:rPr>
      </w:pPr>
    </w:p>
    <w:p w14:paraId="015EB614">
      <w:pPr>
        <w:pStyle w:val="3"/>
        <w:spacing w:before="0"/>
        <w:ind w:right="18"/>
        <w:rPr>
          <w:b/>
          <w:bCs/>
        </w:rPr>
      </w:pPr>
      <w:r>
        <w:rPr>
          <w:rFonts w:ascii="Arial" w:hAnsi="Arial" w:cs="Arial"/>
          <w:b/>
          <w:bCs/>
          <w:color w:val="000000"/>
          <w:sz w:val="22"/>
          <w:szCs w:val="22"/>
        </w:rPr>
        <w:t>4.2 Financial and Managerial Implications for Higher Education Institutions</w:t>
      </w:r>
    </w:p>
    <w:p w14:paraId="297BBF96">
      <w:pPr>
        <w:ind w:right="18"/>
        <w:rPr>
          <w:sz w:val="22"/>
          <w:szCs w:val="22"/>
        </w:rPr>
      </w:pPr>
    </w:p>
    <w:p w14:paraId="0B719851">
      <w:pPr>
        <w:pStyle w:val="18"/>
        <w:spacing w:before="0" w:beforeAutospacing="0" w:after="0" w:afterAutospacing="0"/>
        <w:ind w:right="18"/>
      </w:pPr>
      <w:r>
        <w:rPr>
          <w:rFonts w:ascii="Arial" w:hAnsi="Arial" w:cs="Arial"/>
          <w:color w:val="000000"/>
          <w:sz w:val="20"/>
          <w:szCs w:val="20"/>
        </w:rPr>
        <w:t>For local universities, moving to digital payments brings greater efficiency by reducing cash handling and speeding up reconciliation. It also makes payments more accessible for students by offering more options. National reports and policy discussions highlight these benefits, noting the rise in digital transactions and the policies that support their use (Bangko Sentral ng Pilipinas, 2024). When institutions adopt digital payment channels, it shows they are keeping up with national payment infrastructure and responding to what stakeholders need (Bangko Sentral ng Pilipinas, 2024; International Monetary Fund, 2025).</w:t>
      </w:r>
    </w:p>
    <w:p w14:paraId="1FED0A98">
      <w:pPr>
        <w:ind w:right="18"/>
      </w:pPr>
    </w:p>
    <w:p w14:paraId="63BC3D06">
      <w:pPr>
        <w:pStyle w:val="3"/>
        <w:spacing w:before="0"/>
        <w:ind w:right="18"/>
        <w:rPr>
          <w:rFonts w:ascii="Arial" w:hAnsi="Arial" w:cs="Arial"/>
          <w:b/>
          <w:bCs/>
          <w:color w:val="000000"/>
          <w:sz w:val="22"/>
          <w:szCs w:val="22"/>
        </w:rPr>
      </w:pPr>
      <w:r>
        <w:rPr>
          <w:rFonts w:ascii="Arial" w:hAnsi="Arial" w:cs="Arial"/>
          <w:b/>
          <w:bCs/>
          <w:color w:val="000000"/>
          <w:sz w:val="22"/>
          <w:szCs w:val="22"/>
        </w:rPr>
        <w:t>4.3 Digital Payment Adoption in the Local Northern Mindanao University</w:t>
      </w:r>
    </w:p>
    <w:p w14:paraId="35010ADA">
      <w:pPr>
        <w:ind w:right="18"/>
        <w:rPr>
          <w:sz w:val="22"/>
          <w:szCs w:val="22"/>
        </w:rPr>
      </w:pPr>
    </w:p>
    <w:p w14:paraId="477E0288">
      <w:pPr>
        <w:pStyle w:val="18"/>
        <w:spacing w:before="0" w:beforeAutospacing="0" w:after="0" w:afterAutospacing="0"/>
        <w:ind w:right="18"/>
      </w:pPr>
      <w:r>
        <w:rPr>
          <w:rFonts w:ascii="Arial" w:hAnsi="Arial" w:cs="Arial"/>
          <w:color w:val="000000"/>
          <w:sz w:val="20"/>
          <w:szCs w:val="20"/>
        </w:rPr>
        <w:t>Locally, the findings show how a private university in Northern Mindanao puts national digital payment initiatives into practice within its own regional and institutional setting. Across the Philippines, digital payments are becoming more common. Central bank data shows that in 2024, digital payments made up 57.4% of all retail transactions and 59% of their value. This national trend creates a supportive environment for institutions to adopt digital channels (Bangko Sentral ng Pilipinas, 2024; coingeek.com, 2025).</w:t>
      </w:r>
    </w:p>
    <w:p w14:paraId="4833FA7D">
      <w:pPr>
        <w:pStyle w:val="18"/>
        <w:spacing w:before="0" w:beforeAutospacing="0" w:after="0" w:afterAutospacing="0"/>
        <w:ind w:right="18"/>
      </w:pPr>
      <w:r>
        <w:rPr>
          <w:rFonts w:ascii="Arial" w:hAnsi="Arial" w:cs="Arial"/>
          <w:color w:val="000000"/>
          <w:sz w:val="20"/>
          <w:szCs w:val="20"/>
        </w:rPr>
        <w:t>In Northern Mindanao, digital readiness is improving. Household internet access grew from about 6.5% to nearly 55% by 2024, and over 60% of individuals now use the internet. This shows that digital connectivity in the region is getting better (</w:t>
      </w:r>
      <w:r>
        <w:rPr>
          <w:rFonts w:ascii="Arial" w:hAnsi="Arial" w:cs="Arial"/>
          <w:i/>
          <w:iCs/>
          <w:color w:val="000000"/>
          <w:sz w:val="20"/>
          <w:szCs w:val="20"/>
        </w:rPr>
        <w:t>OpenGov Asia</w:t>
      </w:r>
      <w:r>
        <w:rPr>
          <w:rFonts w:ascii="Arial" w:hAnsi="Arial" w:cs="Arial"/>
          <w:color w:val="000000"/>
          <w:sz w:val="20"/>
          <w:szCs w:val="20"/>
        </w:rPr>
        <w:t>, 2025). These improvements help explain how institutions outside big cities can use digital payment technologies, even if challenges like uneven digital literacy still exist.</w:t>
      </w:r>
    </w:p>
    <w:p w14:paraId="0D1D7A82">
      <w:pPr>
        <w:pStyle w:val="18"/>
        <w:spacing w:before="0" w:beforeAutospacing="0" w:after="0" w:afterAutospacing="0"/>
        <w:ind w:right="18"/>
      </w:pPr>
      <w:r>
        <w:rPr>
          <w:rFonts w:ascii="Arial" w:hAnsi="Arial" w:cs="Arial"/>
          <w:color w:val="000000"/>
          <w:sz w:val="20"/>
          <w:szCs w:val="20"/>
        </w:rPr>
        <w:t>The university uses web-based billing systems, bank transfers, and other digital payment channels. This shows that it has brought national payment technologies into its administrative processes. It also suggests that higher education institutions outside large cities can adopt digital payments, as long as there is national payment infrastructure and supportive policies in place (Bangko Sentral ng Pilipinas, 2024).</w:t>
      </w:r>
    </w:p>
    <w:p w14:paraId="3EF192AF">
      <w:pPr>
        <w:pStyle w:val="18"/>
        <w:spacing w:before="0" w:beforeAutospacing="0" w:after="0" w:afterAutospacing="0"/>
        <w:ind w:right="18"/>
      </w:pPr>
      <w:r>
        <w:rPr>
          <w:rFonts w:ascii="Arial" w:hAnsi="Arial" w:cs="Arial"/>
          <w:color w:val="000000"/>
          <w:sz w:val="20"/>
          <w:szCs w:val="20"/>
        </w:rPr>
        <w:t>From a management perspective, adopting digital payment channels at a local university is a practical way to meet both efficiency and stakeholder needs. Digital payments help reduce cash transactions, make fee collection easier, and give students and families more flexible options that match national payment habits. These changes at the university reflect wider national trends and better regional connectivity, both of which support the move toward electronic payments (Philippine Statistics Authority &amp; Department of Information and Communications Technology, 2025; Bangko Sentral ng Pilipinas, 2024).</w:t>
      </w:r>
    </w:p>
    <w:p w14:paraId="54952C06">
      <w:pPr>
        <w:pStyle w:val="18"/>
        <w:spacing w:before="0" w:beforeAutospacing="0" w:after="0" w:afterAutospacing="0"/>
        <w:ind w:right="18"/>
      </w:pPr>
      <w:r>
        <w:rPr>
          <w:rFonts w:ascii="Arial" w:hAnsi="Arial" w:cs="Arial"/>
          <w:color w:val="000000"/>
          <w:sz w:val="20"/>
          <w:szCs w:val="20"/>
        </w:rPr>
        <w:t>In summary, this local example supports the study’s main point that national digital payment reforms are put into practice at institutions in ways that fit their specific context. The case from Northern Mindanao shows that universities outside big cities can join the national digital payment system while dealing with their own regional challenges and opportunities.</w:t>
      </w:r>
    </w:p>
    <w:p w14:paraId="79C6C3F5">
      <w:pPr>
        <w:ind w:right="18"/>
        <w:rPr>
          <w:rFonts w:ascii="Arial" w:hAnsi="Arial" w:cs="Arial"/>
          <w:sz w:val="20"/>
          <w:szCs w:val="20"/>
        </w:rPr>
      </w:pPr>
    </w:p>
    <w:p w14:paraId="59588FC7">
      <w:pPr>
        <w:pStyle w:val="3"/>
        <w:spacing w:before="0"/>
        <w:ind w:right="18"/>
        <w:rPr>
          <w:b/>
          <w:bCs/>
        </w:rPr>
      </w:pPr>
      <w:r>
        <w:rPr>
          <w:rFonts w:ascii="Arial" w:hAnsi="Arial" w:cs="Arial"/>
          <w:b/>
          <w:bCs/>
          <w:color w:val="000000"/>
          <w:sz w:val="22"/>
          <w:szCs w:val="22"/>
        </w:rPr>
        <w:t>4.4 Digital Payments and Financial Inclusion</w:t>
      </w:r>
    </w:p>
    <w:p w14:paraId="3590B636">
      <w:pPr>
        <w:ind w:right="18"/>
        <w:rPr>
          <w:rFonts w:ascii="Arial" w:hAnsi="Arial" w:cs="Arial"/>
          <w:sz w:val="22"/>
          <w:szCs w:val="22"/>
        </w:rPr>
      </w:pPr>
    </w:p>
    <w:p w14:paraId="0BAB0532">
      <w:pPr>
        <w:pStyle w:val="18"/>
        <w:spacing w:before="0" w:beforeAutospacing="0" w:after="0" w:afterAutospacing="0"/>
        <w:ind w:right="18"/>
      </w:pPr>
      <w:r>
        <w:rPr>
          <w:rFonts w:ascii="Arial" w:hAnsi="Arial" w:cs="Arial"/>
          <w:color w:val="000000"/>
          <w:sz w:val="20"/>
          <w:szCs w:val="20"/>
        </w:rPr>
        <w:t>The growth of digital payments in the Philippines shows progress in financial inclusion. Reports from the BSP highlight more digital retail transactions, and IMF FAS data points to more access points and services. These trends suggest better access to and use of formal financial services (Bangko Sentral ng Pilipinas, 2024; International Monetary Fund, 2025). National efforts to standardize and expand QR payments (QR Ph) are also helping reduce cash use and encourage more people, especially small merchants and individuals, to join formal payment systems (Bangko Sentral ng Pilipinas, 2023).</w:t>
      </w:r>
    </w:p>
    <w:p w14:paraId="3AF2FEE5">
      <w:pPr>
        <w:pStyle w:val="18"/>
        <w:spacing w:before="0" w:beforeAutospacing="0" w:after="0" w:afterAutospacing="0"/>
        <w:ind w:right="18"/>
      </w:pPr>
      <w:r>
        <w:rPr>
          <w:rFonts w:ascii="Arial" w:hAnsi="Arial" w:cs="Arial"/>
          <w:color w:val="000000"/>
          <w:sz w:val="20"/>
          <w:szCs w:val="20"/>
        </w:rPr>
        <w:t>Better digital connectivity, as seen in early results from the 2024 National Information and Communications Technology Household Survey (NICTHS), helps make financial inclusion possible by giving households and individuals more ability to use digital financial services (Philippine Statistics Authority &amp; Department of Information and Communications Technology, 2025). Although this study does not directly measure outcomes like income, gender, or rural and urban differences, the evidence suggests that changes in payment systems are helping improve financial inclusion by making access and use easier.</w:t>
      </w:r>
    </w:p>
    <w:p w14:paraId="172965B8">
      <w:pPr>
        <w:ind w:right="18"/>
        <w:rPr>
          <w:sz w:val="20"/>
          <w:szCs w:val="20"/>
        </w:rPr>
      </w:pPr>
    </w:p>
    <w:p w14:paraId="2A30051C">
      <w:pPr>
        <w:pStyle w:val="3"/>
        <w:spacing w:before="0"/>
        <w:ind w:right="18"/>
        <w:rPr>
          <w:b/>
          <w:bCs/>
        </w:rPr>
      </w:pPr>
      <w:r>
        <w:rPr>
          <w:rFonts w:ascii="Arial" w:hAnsi="Arial" w:cs="Arial"/>
          <w:b/>
          <w:bCs/>
          <w:color w:val="000000"/>
          <w:sz w:val="22"/>
          <w:szCs w:val="22"/>
        </w:rPr>
        <w:t>4.5 Institutional Adaptation and Policy Alignment</w:t>
      </w:r>
    </w:p>
    <w:p w14:paraId="0F40BEAB">
      <w:pPr>
        <w:ind w:right="18"/>
        <w:rPr>
          <w:rFonts w:ascii="Arial" w:hAnsi="Arial" w:cs="Arial"/>
          <w:sz w:val="22"/>
          <w:szCs w:val="22"/>
        </w:rPr>
      </w:pPr>
    </w:p>
    <w:p w14:paraId="41DF6224">
      <w:pPr>
        <w:pStyle w:val="18"/>
        <w:spacing w:before="0" w:beforeAutospacing="0" w:after="0" w:afterAutospacing="0"/>
        <w:ind w:right="18"/>
        <w:rPr>
          <w:rFonts w:ascii="Arial" w:hAnsi="Arial" w:cs="Arial"/>
          <w:color w:val="000000"/>
          <w:sz w:val="20"/>
          <w:szCs w:val="20"/>
        </w:rPr>
      </w:pPr>
      <w:r>
        <w:rPr>
          <w:rFonts w:ascii="Arial" w:hAnsi="Arial" w:cs="Arial"/>
          <w:color w:val="000000"/>
          <w:sz w:val="20"/>
          <w:szCs w:val="20"/>
        </w:rPr>
        <w:t>According to Institutional Theory, universities like the local university in Northern Mindanao, Philippines, are expected to adjust their administrative and financial processes as the institutional field changes, including shifts in regulations, norms, and technology (DiMaggio &amp; Powell, 1983; Scott, 2020). The BSP’s policy roadmaps and public reports put pressure on higher education institutions and give them opportunities to use digital payment tools (Bangko Sentral ng Pilipinas, 2020; 2024). The local university’s use of web-based billing and several digital payment channels shows it is adapting to a policy environment that supports digitalization.</w:t>
      </w:r>
    </w:p>
    <w:p w14:paraId="0E9477FA">
      <w:pPr>
        <w:pStyle w:val="18"/>
        <w:spacing w:before="0" w:beforeAutospacing="0" w:after="0" w:afterAutospacing="0"/>
        <w:ind w:right="18"/>
        <w:rPr>
          <w:rFonts w:ascii="Arial" w:hAnsi="Arial" w:cs="Arial"/>
          <w:color w:val="000000"/>
          <w:sz w:val="20"/>
          <w:szCs w:val="20"/>
        </w:rPr>
      </w:pPr>
    </w:p>
    <w:p w14:paraId="2F3ACB1F">
      <w:pPr>
        <w:pStyle w:val="3"/>
        <w:spacing w:before="0"/>
        <w:ind w:right="18"/>
        <w:rPr>
          <w:b/>
          <w:bCs/>
          <w:sz w:val="36"/>
          <w:szCs w:val="36"/>
        </w:rPr>
      </w:pPr>
      <w:bookmarkStart w:id="0" w:name="_GoBack"/>
      <w:r>
        <w:rPr>
          <w:rFonts w:ascii="Arial" w:hAnsi="Arial" w:cs="Arial"/>
          <w:b/>
          <w:bCs/>
          <w:color w:val="000000"/>
          <w:sz w:val="22"/>
          <w:szCs w:val="22"/>
        </w:rPr>
        <w:t>5. CONCLUSION</w:t>
      </w:r>
    </w:p>
    <w:p w14:paraId="7D8F3AF3">
      <w:pPr>
        <w:ind w:right="18"/>
      </w:pPr>
    </w:p>
    <w:p w14:paraId="7AD5828C">
      <w:pPr>
        <w:pStyle w:val="18"/>
        <w:spacing w:before="0" w:beforeAutospacing="0" w:after="0" w:afterAutospacing="0"/>
        <w:ind w:right="18"/>
      </w:pPr>
      <w:r>
        <w:rPr>
          <w:rFonts w:ascii="Arial" w:hAnsi="Arial" w:cs="Arial"/>
          <w:color w:val="000000"/>
          <w:sz w:val="20"/>
          <w:szCs w:val="20"/>
        </w:rPr>
        <w:t>This study used a descriptive, document-based method to look at how major changes in digital payments from 2020 to 2024 affected financial practices in Philippine higher education. Data from international sources show that digital payments became much more common after 2020, and national data confirm that by 2024, most retail transactions in the Philippines were digital (Demirgüç-Kunt et al., 2022; International Monetary Fund, 2025; Bangko Sentral ng Pilipinas, 2024). Other technology indicators also show that more households and individuals are getting connected, which helps support wider use of digital payments (Philippine Statistics Authority &amp; Department of Information and Communications Technology, 2025).</w:t>
      </w:r>
    </w:p>
    <w:p w14:paraId="6BFE21E1">
      <w:pPr>
        <w:pStyle w:val="18"/>
        <w:spacing w:before="0" w:beforeAutospacing="0" w:after="0" w:afterAutospacing="0"/>
        <w:ind w:right="18"/>
      </w:pPr>
      <w:r>
        <w:rPr>
          <w:rFonts w:ascii="Arial" w:hAnsi="Arial" w:cs="Arial"/>
          <w:color w:val="000000"/>
          <w:sz w:val="20"/>
          <w:szCs w:val="20"/>
        </w:rPr>
        <w:t>According to Payment Choice Theory, the move toward electronic payments matches the idea that people choose payment methods that are more convenient, cost-effective, and accessible (Humphrey et al., 2001). From a financial inclusion angle, more digital payment options mean better access to formal financial services, though this study does not measure how evenly these benefits are shared (Demirgüç-Kunt et al., 2022; Bangko Sentral ng Pilipinas, 2024). Looking at institutions, higher education organizations seem to update their payment processes in line with national policies, regulations, and changing financial system norms (DiMaggio &amp; Powell, 1983; Scott, 2020).</w:t>
      </w:r>
    </w:p>
    <w:p w14:paraId="0F6699AC">
      <w:pPr>
        <w:pStyle w:val="18"/>
        <w:spacing w:before="0" w:beforeAutospacing="0" w:after="0" w:afterAutospacing="0"/>
        <w:ind w:right="18"/>
      </w:pPr>
      <w:r>
        <w:rPr>
          <w:rFonts w:ascii="Arial" w:hAnsi="Arial" w:cs="Arial"/>
          <w:color w:val="000000"/>
          <w:sz w:val="20"/>
          <w:szCs w:val="20"/>
        </w:rPr>
        <w:t>For those managing finances in institutions or making policy, these findings suggest that using national digital payment systems can make operations more efficient, improve payment tracking, and better meet stakeholder needs without major changes to existing financial systems (Bangko Sentral ng Pilipinas, 2020; International Monetary Fund, 2025). For researchers, this study offers a model for using public data to study how payment system reforms affect institutions.</w:t>
      </w:r>
    </w:p>
    <w:p w14:paraId="6E22025F">
      <w:pPr>
        <w:pStyle w:val="18"/>
        <w:spacing w:before="0" w:beforeAutospacing="0" w:after="0" w:afterAutospacing="0"/>
        <w:ind w:right="18"/>
      </w:pPr>
      <w:r>
        <w:rPr>
          <w:rFonts w:ascii="Arial" w:hAnsi="Arial" w:cs="Arial"/>
          <w:color w:val="000000"/>
          <w:sz w:val="20"/>
          <w:szCs w:val="20"/>
        </w:rPr>
        <w:t>In summary, the findings show a clear link between national digital payment reforms and changes in how institutions handle finances. This connection highlights the importance of digital payment systems for both the economy and management, showing that changes in payment systems can shape how organizations act in ways that are visible, relevant to policy, and supported by public evidence.</w:t>
      </w:r>
    </w:p>
    <w:p w14:paraId="29C1DAC4">
      <w:pPr>
        <w:ind w:right="18"/>
      </w:pPr>
    </w:p>
    <w:p w14:paraId="74ACB4B6">
      <w:pPr>
        <w:pStyle w:val="3"/>
        <w:spacing w:before="0"/>
        <w:ind w:right="18"/>
        <w:rPr>
          <w:b/>
          <w:bCs/>
          <w:sz w:val="36"/>
          <w:szCs w:val="36"/>
        </w:rPr>
      </w:pPr>
      <w:r>
        <w:rPr>
          <w:rFonts w:ascii="Arial" w:hAnsi="Arial" w:cs="Arial"/>
          <w:b/>
          <w:bCs/>
          <w:color w:val="000000"/>
          <w:sz w:val="22"/>
          <w:szCs w:val="22"/>
        </w:rPr>
        <w:t>5. POLICY IMPLICATIONS</w:t>
      </w:r>
    </w:p>
    <w:p w14:paraId="6D2A95AF">
      <w:pPr>
        <w:pStyle w:val="18"/>
        <w:spacing w:before="0" w:beforeAutospacing="0" w:after="0" w:afterAutospacing="0"/>
        <w:ind w:right="18"/>
        <w:rPr>
          <w:rFonts w:ascii="Arial" w:hAnsi="Arial" w:cs="Arial"/>
          <w:color w:val="000000"/>
          <w:sz w:val="22"/>
          <w:szCs w:val="22"/>
        </w:rPr>
      </w:pPr>
    </w:p>
    <w:p w14:paraId="4B351457">
      <w:pPr>
        <w:pStyle w:val="18"/>
        <w:spacing w:before="0" w:beforeAutospacing="0" w:after="0" w:afterAutospacing="0"/>
        <w:ind w:right="18"/>
      </w:pPr>
      <w:r>
        <w:rPr>
          <w:rFonts w:ascii="Arial" w:hAnsi="Arial" w:cs="Arial"/>
          <w:color w:val="000000"/>
          <w:sz w:val="20"/>
          <w:szCs w:val="20"/>
        </w:rPr>
        <w:t>This study’s findings offer several recommendations for policymakers and financial managers working in digital payment environments.</w:t>
      </w:r>
    </w:p>
    <w:p w14:paraId="4E5A298B">
      <w:pPr>
        <w:pStyle w:val="18"/>
        <w:numPr>
          <w:ilvl w:val="0"/>
          <w:numId w:val="4"/>
        </w:numPr>
        <w:tabs>
          <w:tab w:val="left" w:pos="360"/>
          <w:tab w:val="clear" w:pos="72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t>It is important to strengthen national digital payment infrastructure.</w:t>
      </w:r>
      <w:r>
        <w:rPr>
          <w:rFonts w:ascii="Arial" w:hAnsi="Arial" w:cs="Arial"/>
          <w:color w:val="000000"/>
          <w:sz w:val="20"/>
          <w:szCs w:val="20"/>
        </w:rPr>
        <w:br w:type="textWrapping"/>
      </w:r>
      <w:r>
        <w:rPr>
          <w:rFonts w:ascii="Arial" w:hAnsi="Arial" w:cs="Arial"/>
          <w:color w:val="000000"/>
          <w:sz w:val="20"/>
          <w:szCs w:val="20"/>
        </w:rPr>
        <w:t>Ongoing investment in interoperable payment systems and support from monetary authorities can help make digital transactions more common and reduce the use of cash. National data shows that steady policy support is linked to higher digital payment use (Bangko Sentral ng Pilipinas, 2024).</w:t>
      </w:r>
    </w:p>
    <w:p w14:paraId="73F88E76">
      <w:pPr>
        <w:pStyle w:val="18"/>
        <w:numPr>
          <w:ilvl w:val="0"/>
          <w:numId w:val="4"/>
        </w:numPr>
        <w:tabs>
          <w:tab w:val="left" w:pos="360"/>
          <w:tab w:val="clear" w:pos="72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t>It is helpful to encourage alignment between national payment policies and how institutions operate.</w:t>
      </w:r>
      <w:r>
        <w:rPr>
          <w:rFonts w:ascii="Arial" w:hAnsi="Arial" w:cs="Arial"/>
          <w:color w:val="000000"/>
          <w:sz w:val="20"/>
          <w:szCs w:val="20"/>
        </w:rPr>
        <w:br w:type="textWrapping"/>
      </w:r>
      <w:r>
        <w:rPr>
          <w:rFonts w:ascii="Arial" w:hAnsi="Arial" w:cs="Arial"/>
          <w:color w:val="000000"/>
          <w:sz w:val="20"/>
          <w:szCs w:val="20"/>
        </w:rPr>
        <w:t>Higher education institutions benefit when their payment systems match national digital payment platforms. This approach reduces transaction problems and improves efficiency without needing major changes to internal systems (Bangko Sentral ng Pilipinas, 2020; International Monetary Fund, 2025).</w:t>
      </w:r>
    </w:p>
    <w:p w14:paraId="217E4453">
      <w:pPr>
        <w:pStyle w:val="18"/>
        <w:numPr>
          <w:ilvl w:val="0"/>
          <w:numId w:val="4"/>
        </w:numPr>
        <w:tabs>
          <w:tab w:val="left" w:pos="360"/>
          <w:tab w:val="clear" w:pos="72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t>Adopting digital payments can help achieve financial inclusion goals.</w:t>
      </w:r>
      <w:r>
        <w:rPr>
          <w:rFonts w:ascii="Arial" w:hAnsi="Arial" w:cs="Arial"/>
          <w:color w:val="000000"/>
          <w:sz w:val="20"/>
          <w:szCs w:val="20"/>
        </w:rPr>
        <w:br w:type="textWrapping"/>
      </w:r>
      <w:r>
        <w:rPr>
          <w:rFonts w:ascii="Arial" w:hAnsi="Arial" w:cs="Arial"/>
          <w:color w:val="000000"/>
          <w:sz w:val="20"/>
          <w:szCs w:val="20"/>
        </w:rPr>
        <w:t>Making electronic payment channels more available in institutions helps more people use formal financial services, especially when more households have digital access (Demirgüç-Kunt et al., 2022; Philippine Statistics Authority &amp; Department of Information and Communications Technology, 2025).</w:t>
      </w:r>
    </w:p>
    <w:p w14:paraId="040FD695">
      <w:pPr>
        <w:pStyle w:val="18"/>
        <w:numPr>
          <w:ilvl w:val="0"/>
          <w:numId w:val="4"/>
        </w:numPr>
        <w:tabs>
          <w:tab w:val="left" w:pos="360"/>
          <w:tab w:val="clear" w:pos="72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t>Institutions should also build their capacity as they move toward digitalization.</w:t>
      </w:r>
      <w:r>
        <w:rPr>
          <w:rFonts w:ascii="Arial" w:hAnsi="Arial" w:cs="Arial"/>
          <w:color w:val="000000"/>
          <w:sz w:val="20"/>
          <w:szCs w:val="20"/>
        </w:rPr>
        <w:br w:type="textWrapping"/>
      </w:r>
      <w:r>
        <w:rPr>
          <w:rFonts w:ascii="Arial" w:hAnsi="Arial" w:cs="Arial"/>
          <w:color w:val="000000"/>
          <w:sz w:val="20"/>
          <w:szCs w:val="20"/>
        </w:rPr>
        <w:t>Even with national infrastructure in place, institutions need strong administration, internal controls, and financial reporting to get the full benefits of digital payments (International Monetary Fund, 2025).</w:t>
      </w:r>
    </w:p>
    <w:p w14:paraId="6EA7CEF8">
      <w:pPr>
        <w:pStyle w:val="18"/>
        <w:spacing w:before="0" w:beforeAutospacing="0" w:after="0" w:afterAutospacing="0"/>
        <w:ind w:right="18"/>
      </w:pPr>
      <w:r>
        <w:rPr>
          <w:rFonts w:ascii="Arial" w:hAnsi="Arial" w:cs="Arial"/>
          <w:color w:val="000000"/>
          <w:sz w:val="20"/>
          <w:szCs w:val="20"/>
        </w:rPr>
        <w:t>In summary, digital payment reforms work best when national policies and institutional practices develop together.</w:t>
      </w:r>
    </w:p>
    <w:p w14:paraId="01A36F26">
      <w:pPr>
        <w:ind w:right="18"/>
        <w:rPr>
          <w:rFonts w:ascii="Arial" w:hAnsi="Arial" w:cs="Arial"/>
          <w:sz w:val="20"/>
          <w:szCs w:val="20"/>
        </w:rPr>
      </w:pPr>
    </w:p>
    <w:p w14:paraId="03EF9F88">
      <w:pPr>
        <w:pStyle w:val="3"/>
        <w:spacing w:before="0"/>
        <w:ind w:right="18"/>
        <w:rPr>
          <w:rFonts w:ascii="Times New Roman" w:hAnsi="Times New Roman"/>
          <w:b/>
          <w:bCs/>
        </w:rPr>
      </w:pPr>
      <w:r>
        <w:rPr>
          <w:rFonts w:ascii="Arial" w:hAnsi="Arial" w:cs="Arial"/>
          <w:b/>
          <w:bCs/>
          <w:color w:val="000000"/>
          <w:sz w:val="22"/>
          <w:szCs w:val="22"/>
        </w:rPr>
        <w:t>DISCLAIMER (ARTIFICIAL INTELLIGENCE)</w:t>
      </w:r>
    </w:p>
    <w:p w14:paraId="1AC7E8D2">
      <w:pPr>
        <w:pStyle w:val="18"/>
        <w:spacing w:before="0" w:beforeAutospacing="0" w:after="0" w:afterAutospacing="0"/>
        <w:jc w:val="both"/>
      </w:pPr>
      <w:r>
        <w:rPr>
          <w:rFonts w:ascii="Arial" w:hAnsi="Arial" w:cs="Arial"/>
          <w:b/>
          <w:bCs/>
          <w:color w:val="000000"/>
          <w:sz w:val="20"/>
          <w:szCs w:val="20"/>
        </w:rPr>
        <w:t> </w:t>
      </w:r>
    </w:p>
    <w:p w14:paraId="023B6D8D">
      <w:pPr>
        <w:pStyle w:val="18"/>
        <w:spacing w:before="0" w:beforeAutospacing="0" w:after="0" w:afterAutospacing="0"/>
        <w:jc w:val="both"/>
      </w:pPr>
      <w:r>
        <w:rPr>
          <w:rFonts w:ascii="Arial" w:hAnsi="Arial" w:cs="Arial"/>
          <w:color w:val="000000"/>
          <w:sz w:val="20"/>
          <w:szCs w:val="20"/>
        </w:rPr>
        <w:t>The author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E6629C"/>
    <w:p w14:paraId="6D61D0D7">
      <w:pPr>
        <w:pStyle w:val="18"/>
        <w:spacing w:before="0" w:beforeAutospacing="0" w:after="0" w:afterAutospacing="0"/>
        <w:jc w:val="both"/>
      </w:pPr>
      <w:r>
        <w:rPr>
          <w:rFonts w:ascii="Arial" w:hAnsi="Arial" w:cs="Arial"/>
          <w:b/>
          <w:bCs/>
          <w:color w:val="000000"/>
          <w:sz w:val="20"/>
          <w:szCs w:val="20"/>
        </w:rPr>
        <w:t>Details of AI usage are given below:</w:t>
      </w:r>
    </w:p>
    <w:p w14:paraId="5C95B49A">
      <w:pPr>
        <w:pStyle w:val="18"/>
        <w:spacing w:before="0" w:beforeAutospacing="0" w:after="0" w:afterAutospacing="0"/>
        <w:jc w:val="both"/>
        <w:rPr>
          <w:rFonts w:ascii="Arial" w:hAnsi="Arial" w:cs="Arial"/>
          <w:sz w:val="20"/>
          <w:szCs w:val="20"/>
        </w:rPr>
      </w:pPr>
      <w:r>
        <w:rPr>
          <w:rFonts w:ascii="Arial" w:hAnsi="Arial" w:cs="Arial"/>
          <w:color w:val="000000"/>
          <w:sz w:val="20"/>
          <w:szCs w:val="20"/>
        </w:rPr>
        <w:t> </w:t>
      </w:r>
    </w:p>
    <w:p w14:paraId="1300FC57">
      <w:pPr>
        <w:pStyle w:val="71"/>
        <w:numPr>
          <w:ilvl w:val="0"/>
          <w:numId w:val="5"/>
        </w:numPr>
        <w:shd w:val="clear" w:color="auto" w:fill="FFFFFF"/>
        <w:spacing w:before="0" w:beforeAutospacing="0" w:after="0" w:afterAutospacing="0"/>
        <w:rPr>
          <w:rFonts w:ascii="Arial" w:hAnsi="Arial" w:cs="Arial"/>
          <w:color w:val="0F1115"/>
          <w:sz w:val="20"/>
          <w:szCs w:val="20"/>
        </w:rPr>
      </w:pPr>
      <w:r>
        <w:rPr>
          <w:rStyle w:val="20"/>
          <w:rFonts w:ascii="Arial" w:hAnsi="Arial" w:cs="Arial"/>
          <w:color w:val="0F1115"/>
          <w:sz w:val="20"/>
          <w:szCs w:val="20"/>
        </w:rPr>
        <w:t>Grammarly</w:t>
      </w:r>
      <w:r>
        <w:rPr>
          <w:rFonts w:ascii="Arial" w:hAnsi="Arial" w:cs="Arial"/>
          <w:color w:val="0F1115"/>
          <w:sz w:val="20"/>
          <w:szCs w:val="20"/>
        </w:rPr>
        <w:t> was used only for language support, such as checking grammar and spelling and offering suggestions to improve clarity. The author reviewed and approved all changes.</w:t>
      </w:r>
    </w:p>
    <w:p w14:paraId="27DD4DCE">
      <w:pPr>
        <w:pStyle w:val="71"/>
        <w:numPr>
          <w:ilvl w:val="0"/>
          <w:numId w:val="5"/>
        </w:numPr>
        <w:shd w:val="clear" w:color="auto" w:fill="FFFFFF"/>
        <w:spacing w:before="0" w:beforeAutospacing="0" w:after="0" w:afterAutospacing="0"/>
        <w:rPr>
          <w:rFonts w:ascii="Arial" w:hAnsi="Arial" w:cs="Arial"/>
          <w:color w:val="0F1115"/>
          <w:sz w:val="20"/>
          <w:szCs w:val="20"/>
        </w:rPr>
      </w:pPr>
      <w:r>
        <w:rPr>
          <w:rStyle w:val="20"/>
          <w:rFonts w:ascii="Arial" w:hAnsi="Arial" w:cs="Arial"/>
          <w:color w:val="0F1115"/>
          <w:sz w:val="20"/>
          <w:szCs w:val="20"/>
        </w:rPr>
        <w:t>ChatGPT (OpenAI, GPT-5.2)</w:t>
      </w:r>
      <w:r>
        <w:rPr>
          <w:rFonts w:ascii="Arial" w:hAnsi="Arial" w:cs="Arial"/>
          <w:color w:val="0F1115"/>
          <w:sz w:val="20"/>
          <w:szCs w:val="20"/>
        </w:rPr>
        <w:t> was used to help develop concepts, brainstorm ideas, find potential references, and improve the manuscript's organization and flow.</w:t>
      </w:r>
    </w:p>
    <w:bookmarkEnd w:id="0"/>
    <w:p w14:paraId="134E77D2">
      <w:pPr>
        <w:pStyle w:val="18"/>
        <w:spacing w:before="0" w:beforeAutospacing="0" w:after="0" w:afterAutospacing="0"/>
        <w:ind w:left="720" w:hanging="360"/>
        <w:jc w:val="both"/>
        <w:rPr>
          <w:rFonts w:ascii="Arial" w:hAnsi="Arial" w:cs="Arial"/>
          <w:sz w:val="20"/>
          <w:szCs w:val="20"/>
        </w:rPr>
      </w:pPr>
      <w:r>
        <w:rPr>
          <w:rFonts w:ascii="Arial" w:hAnsi="Arial" w:cs="Arial"/>
          <w:b/>
          <w:bCs/>
          <w:color w:val="000000"/>
          <w:sz w:val="20"/>
          <w:szCs w:val="20"/>
        </w:rPr>
        <w:t> </w:t>
      </w:r>
    </w:p>
    <w:p w14:paraId="44575E26">
      <w:pPr>
        <w:pStyle w:val="18"/>
        <w:spacing w:before="0" w:beforeAutospacing="0" w:after="0" w:afterAutospacing="0"/>
        <w:jc w:val="both"/>
      </w:pPr>
      <w:r>
        <w:rPr>
          <w:rFonts w:ascii="Arial" w:hAnsi="Arial" w:cs="Arial"/>
          <w:b/>
          <w:bCs/>
          <w:color w:val="000000"/>
          <w:sz w:val="22"/>
          <w:szCs w:val="22"/>
        </w:rPr>
        <w:t>COMPETING INTERESTS</w:t>
      </w:r>
    </w:p>
    <w:p w14:paraId="66C3ADBF">
      <w:pPr>
        <w:pStyle w:val="18"/>
        <w:spacing w:before="0" w:beforeAutospacing="0" w:after="0" w:afterAutospacing="0"/>
        <w:jc w:val="both"/>
      </w:pPr>
      <w:r>
        <w:rPr>
          <w:color w:val="000000"/>
        </w:rPr>
        <w:t> </w:t>
      </w:r>
    </w:p>
    <w:p w14:paraId="7BED5F56">
      <w:pPr>
        <w:pStyle w:val="18"/>
        <w:spacing w:before="0" w:beforeAutospacing="0" w:after="0" w:afterAutospacing="0"/>
        <w:jc w:val="both"/>
        <w:rPr>
          <w:rFonts w:ascii="Arial" w:hAnsi="Arial" w:cs="Arial"/>
          <w:color w:val="000000"/>
          <w:sz w:val="20"/>
          <w:szCs w:val="20"/>
        </w:rPr>
      </w:pPr>
      <w:r>
        <w:rPr>
          <w:rFonts w:ascii="Arial" w:hAnsi="Arial" w:cs="Arial"/>
          <w:color w:val="000000"/>
          <w:sz w:val="20"/>
          <w:szCs w:val="20"/>
        </w:rPr>
        <w:t>Author has declared that no competing interests exist.</w:t>
      </w:r>
    </w:p>
    <w:p w14:paraId="0B0DE3B1">
      <w:pPr>
        <w:pStyle w:val="18"/>
        <w:spacing w:before="0" w:beforeAutospacing="0" w:after="0" w:afterAutospacing="0"/>
        <w:jc w:val="both"/>
        <w:rPr>
          <w:rFonts w:ascii="Arial" w:hAnsi="Arial" w:cs="Arial"/>
          <w:color w:val="000000"/>
          <w:sz w:val="20"/>
          <w:szCs w:val="20"/>
        </w:rPr>
      </w:pPr>
    </w:p>
    <w:p w14:paraId="460DEF35">
      <w:pPr>
        <w:pStyle w:val="18"/>
        <w:spacing w:before="0" w:beforeAutospacing="0" w:after="0" w:afterAutospacing="0"/>
        <w:jc w:val="both"/>
        <w:rPr>
          <w:rFonts w:ascii="Arial" w:hAnsi="Arial" w:cs="Arial"/>
          <w:b/>
          <w:bCs/>
          <w:color w:val="000000"/>
          <w:sz w:val="22"/>
          <w:szCs w:val="22"/>
        </w:rPr>
      </w:pPr>
      <w:r>
        <w:rPr>
          <w:rFonts w:ascii="Arial" w:hAnsi="Arial" w:cs="Arial"/>
          <w:b/>
          <w:bCs/>
          <w:color w:val="000000"/>
          <w:sz w:val="22"/>
          <w:szCs w:val="22"/>
        </w:rPr>
        <w:t>REFERENCES</w:t>
      </w:r>
    </w:p>
    <w:p w14:paraId="4F5DBB5D">
      <w:pPr>
        <w:pStyle w:val="18"/>
        <w:spacing w:before="0" w:beforeAutospacing="0" w:after="0" w:afterAutospacing="0"/>
        <w:jc w:val="both"/>
        <w:rPr>
          <w:rFonts w:ascii="Arial" w:hAnsi="Arial" w:cs="Arial"/>
          <w:b/>
          <w:bCs/>
          <w:color w:val="000000"/>
          <w:sz w:val="22"/>
          <w:szCs w:val="22"/>
        </w:rPr>
      </w:pPr>
    </w:p>
    <w:p w14:paraId="0D2AB86A">
      <w:pPr>
        <w:ind w:left="450" w:right="18" w:hanging="450"/>
      </w:pPr>
      <w:r>
        <w:rPr>
          <w:rFonts w:ascii="Arial" w:hAnsi="Arial" w:cs="Arial"/>
          <w:color w:val="000000"/>
          <w:sz w:val="20"/>
          <w:szCs w:val="20"/>
        </w:rPr>
        <w:t xml:space="preserve">Bangko Sentral ng Pilipinas. (2020). </w:t>
      </w:r>
      <w:r>
        <w:rPr>
          <w:rFonts w:ascii="Arial" w:hAnsi="Arial" w:cs="Arial"/>
          <w:i/>
          <w:iCs/>
          <w:color w:val="000000"/>
          <w:sz w:val="20"/>
          <w:szCs w:val="20"/>
        </w:rPr>
        <w:t>Digital payments transformation roadmap 2020–2023</w:t>
      </w:r>
      <w:r>
        <w:rPr>
          <w:rFonts w:ascii="Arial" w:hAnsi="Arial" w:cs="Arial"/>
          <w:color w:val="000000"/>
          <w:sz w:val="20"/>
          <w:szCs w:val="20"/>
        </w:rPr>
        <w:t>.</w:t>
      </w:r>
      <w:r>
        <w:fldChar w:fldCharType="begin"/>
      </w:r>
      <w:r>
        <w:instrText xml:space="preserve"> HYPERLINK "https://www.bsp.gov.ph/Media_And_Research/Primers%20Faqs/Digital%20Payments%20Transformation%20Roadmap%20Report.pdf?utm_source=chatgpt.com" </w:instrText>
      </w:r>
      <w:r>
        <w:fldChar w:fldCharType="separate"/>
      </w:r>
      <w:r>
        <w:rPr>
          <w:rFonts w:ascii="Arial" w:hAnsi="Arial" w:cs="Arial"/>
          <w:color w:val="000000"/>
          <w:sz w:val="20"/>
          <w:szCs w:val="20"/>
        </w:rPr>
        <w:t xml:space="preserve"> </w:t>
      </w:r>
      <w:r>
        <w:rPr>
          <w:rFonts w:ascii="Arial" w:hAnsi="Arial" w:cs="Arial"/>
          <w:color w:val="000000"/>
          <w:sz w:val="20"/>
          <w:szCs w:val="20"/>
        </w:rPr>
        <w:fldChar w:fldCharType="end"/>
      </w:r>
      <w:r>
        <w:fldChar w:fldCharType="begin"/>
      </w:r>
      <w:r>
        <w:instrText xml:space="preserve"> HYPERLINK "https://www.bsp.gov.ph/Media_And_Research/Primers%20Faqs/Digital%20Payments%20Transformation%20Roadmap%20Report.pdf" </w:instrText>
      </w:r>
      <w:r>
        <w:fldChar w:fldCharType="separate"/>
      </w:r>
      <w:r>
        <w:rPr>
          <w:rFonts w:ascii="Arial" w:hAnsi="Arial" w:cs="Arial"/>
          <w:color w:val="000000"/>
          <w:sz w:val="20"/>
          <w:szCs w:val="20"/>
        </w:rPr>
        <w:t>https://www.bsp.gov.ph/Media_And_Research/Primers%20Faqs/Digital%20Payments%20Transformation%20Roadmap%20Report.pdf</w:t>
      </w:r>
      <w:r>
        <w:rPr>
          <w:rFonts w:ascii="Arial" w:hAnsi="Arial" w:cs="Arial"/>
          <w:color w:val="000000"/>
          <w:sz w:val="20"/>
          <w:szCs w:val="20"/>
        </w:rPr>
        <w:fldChar w:fldCharType="end"/>
      </w:r>
    </w:p>
    <w:p w14:paraId="3AF16777">
      <w:pPr>
        <w:ind w:left="450" w:right="18" w:hanging="450"/>
      </w:pPr>
      <w:r>
        <w:rPr>
          <w:rFonts w:ascii="Arial" w:hAnsi="Arial" w:cs="Arial"/>
          <w:color w:val="000000"/>
          <w:sz w:val="20"/>
          <w:szCs w:val="20"/>
        </w:rPr>
        <w:t xml:space="preserve">Bangko Sentral ng Pilipinas. (2023, March 9). </w:t>
      </w:r>
      <w:r>
        <w:rPr>
          <w:rFonts w:ascii="Arial" w:hAnsi="Arial" w:cs="Arial"/>
          <w:i/>
          <w:iCs/>
          <w:color w:val="000000"/>
          <w:sz w:val="20"/>
          <w:szCs w:val="20"/>
        </w:rPr>
        <w:t>BSP mandates full adoption of QR Ph codes by 1 July 2023</w:t>
      </w:r>
      <w:r>
        <w:rPr>
          <w:rFonts w:ascii="Arial" w:hAnsi="Arial" w:cs="Arial"/>
          <w:color w:val="000000"/>
          <w:sz w:val="20"/>
          <w:szCs w:val="20"/>
        </w:rPr>
        <w:t xml:space="preserve"> [Media release].</w:t>
      </w:r>
      <w:r>
        <w:fldChar w:fldCharType="begin"/>
      </w:r>
      <w:r>
        <w:instrText xml:space="preserve"> HYPERLINK "https://www.bsp.gov.ph/SitePages/MediaAndResearch/MediaDisp.aspx?ItemId=6646&amp;utm_source=chatgpt.com" </w:instrText>
      </w:r>
      <w:r>
        <w:fldChar w:fldCharType="separate"/>
      </w:r>
      <w:r>
        <w:rPr>
          <w:rFonts w:ascii="Arial" w:hAnsi="Arial" w:cs="Arial"/>
          <w:color w:val="000000"/>
          <w:sz w:val="20"/>
          <w:szCs w:val="20"/>
        </w:rPr>
        <w:t xml:space="preserve"> </w:t>
      </w:r>
      <w:r>
        <w:rPr>
          <w:rFonts w:ascii="Arial" w:hAnsi="Arial" w:cs="Arial"/>
          <w:color w:val="000000"/>
          <w:sz w:val="20"/>
          <w:szCs w:val="20"/>
        </w:rPr>
        <w:fldChar w:fldCharType="end"/>
      </w:r>
      <w:r>
        <w:fldChar w:fldCharType="begin"/>
      </w:r>
      <w:r>
        <w:instrText xml:space="preserve"> HYPERLINK "https://www.bsp.gov.ph/SitePages/MediaAndResearch/MediaDisp.aspx?ItemId=6646" </w:instrText>
      </w:r>
      <w:r>
        <w:fldChar w:fldCharType="separate"/>
      </w:r>
      <w:r>
        <w:rPr>
          <w:rFonts w:ascii="Arial" w:hAnsi="Arial" w:cs="Arial"/>
          <w:color w:val="000000"/>
          <w:sz w:val="20"/>
          <w:szCs w:val="20"/>
        </w:rPr>
        <w:t>https://www.bsp.gov.ph/SitePages/MediaAndResearch/MediaDisp.aspx?ItemId=6646</w:t>
      </w:r>
      <w:r>
        <w:rPr>
          <w:rFonts w:ascii="Arial" w:hAnsi="Arial" w:cs="Arial"/>
          <w:color w:val="000000"/>
          <w:sz w:val="20"/>
          <w:szCs w:val="20"/>
        </w:rPr>
        <w:fldChar w:fldCharType="end"/>
      </w:r>
    </w:p>
    <w:p w14:paraId="5A1B1978">
      <w:pPr>
        <w:ind w:left="450" w:right="18" w:hanging="450"/>
      </w:pPr>
      <w:r>
        <w:rPr>
          <w:rFonts w:ascii="Arial" w:hAnsi="Arial" w:cs="Arial"/>
          <w:color w:val="000000"/>
          <w:sz w:val="20"/>
          <w:szCs w:val="20"/>
        </w:rPr>
        <w:t xml:space="preserve">Bangko Sentral ng Pilipinas. (2024). </w:t>
      </w:r>
      <w:r>
        <w:rPr>
          <w:rFonts w:ascii="Arial" w:hAnsi="Arial" w:cs="Arial"/>
          <w:i/>
          <w:iCs/>
          <w:color w:val="000000"/>
          <w:sz w:val="20"/>
          <w:szCs w:val="20"/>
        </w:rPr>
        <w:t>Financial Inclusion in the Philippines Dashboard: First quarter 2023</w:t>
      </w:r>
      <w:r>
        <w:rPr>
          <w:rFonts w:ascii="Arial" w:hAnsi="Arial" w:cs="Arial"/>
          <w:color w:val="000000"/>
          <w:sz w:val="20"/>
          <w:szCs w:val="20"/>
        </w:rPr>
        <w:t xml:space="preserve"> [PDF]. Bangko Sentral ng Pilipinas. </w:t>
      </w:r>
      <w:r>
        <w:fldChar w:fldCharType="begin"/>
      </w:r>
      <w:r>
        <w:instrText xml:space="preserve"> HYPERLINK "https://www.bsp.gov.ph/Media_And_Research/Financial%20Inclusion%20Dashboard/2023/FIDashboard_1Q2023.pdf?utm_source=chatgpt.com" </w:instrText>
      </w:r>
      <w:r>
        <w:fldChar w:fldCharType="separate"/>
      </w:r>
      <w:r>
        <w:rPr>
          <w:rFonts w:ascii="Arial" w:hAnsi="Arial" w:cs="Arial"/>
          <w:color w:val="000000"/>
          <w:sz w:val="20"/>
          <w:szCs w:val="20"/>
        </w:rPr>
        <w:t>https://www.bsp.gov.ph/Media_And_Research/Financial%20Inclusion%20Dashboard/2023/FIDashboard_1Q2023.pdf</w:t>
      </w:r>
      <w:r>
        <w:rPr>
          <w:rFonts w:ascii="Arial" w:hAnsi="Arial" w:cs="Arial"/>
          <w:color w:val="000000"/>
          <w:sz w:val="20"/>
          <w:szCs w:val="20"/>
        </w:rPr>
        <w:fldChar w:fldCharType="end"/>
      </w:r>
    </w:p>
    <w:p w14:paraId="5CACF73E">
      <w:pPr>
        <w:ind w:left="450" w:right="18" w:hanging="450"/>
      </w:pPr>
      <w:r>
        <w:rPr>
          <w:rFonts w:ascii="Arial" w:hAnsi="Arial" w:cs="Arial"/>
          <w:color w:val="000000"/>
          <w:sz w:val="20"/>
          <w:szCs w:val="20"/>
        </w:rPr>
        <w:t xml:space="preserve">Bangko Sentral ng Pilipinas. (2024). </w:t>
      </w:r>
      <w:r>
        <w:rPr>
          <w:rFonts w:ascii="Arial" w:hAnsi="Arial" w:cs="Arial"/>
          <w:i/>
          <w:iCs/>
          <w:color w:val="000000"/>
          <w:sz w:val="20"/>
          <w:szCs w:val="20"/>
        </w:rPr>
        <w:t>Report on e-payments measurement 2024</w:t>
      </w:r>
      <w:r>
        <w:rPr>
          <w:rFonts w:ascii="Arial" w:hAnsi="Arial" w:cs="Arial"/>
          <w:color w:val="000000"/>
          <w:sz w:val="20"/>
          <w:szCs w:val="20"/>
        </w:rPr>
        <w:t xml:space="preserve">. </w:t>
      </w:r>
      <w:r>
        <w:fldChar w:fldCharType="begin"/>
      </w:r>
      <w:r>
        <w:instrText xml:space="preserve"> HYPERLINK "https://www.bsp.gov.ph/PaymentAndSettlement/2024_Report_on_E-payments_Measurement.pdf?utm_source=chatgpt.com" </w:instrText>
      </w:r>
      <w:r>
        <w:fldChar w:fldCharType="separate"/>
      </w:r>
      <w:r>
        <w:rPr>
          <w:rFonts w:ascii="Arial" w:hAnsi="Arial" w:cs="Arial"/>
          <w:color w:val="000000"/>
          <w:sz w:val="20"/>
          <w:szCs w:val="20"/>
        </w:rPr>
        <w:t>https://www.bsp.gov.ph/PaymentAndSettlement/2024_Report_on_E-payments_Measurement.pdf</w:t>
      </w:r>
      <w:r>
        <w:rPr>
          <w:rFonts w:ascii="Arial" w:hAnsi="Arial" w:cs="Arial"/>
          <w:color w:val="000000"/>
          <w:sz w:val="20"/>
          <w:szCs w:val="20"/>
        </w:rPr>
        <w:fldChar w:fldCharType="end"/>
      </w:r>
    </w:p>
    <w:p w14:paraId="7295FFE1">
      <w:pPr>
        <w:ind w:left="450" w:right="18" w:hanging="450"/>
      </w:pPr>
      <w:r>
        <w:rPr>
          <w:rFonts w:ascii="Arial" w:hAnsi="Arial" w:cs="Arial"/>
          <w:color w:val="000000"/>
          <w:sz w:val="20"/>
          <w:szCs w:val="20"/>
        </w:rPr>
        <w:t xml:space="preserve">Bowen, G. A. (2009). Document analysis as a qualitative research method. </w:t>
      </w:r>
      <w:r>
        <w:rPr>
          <w:rFonts w:ascii="Arial" w:hAnsi="Arial" w:cs="Arial"/>
          <w:i/>
          <w:iCs/>
          <w:color w:val="000000"/>
          <w:sz w:val="20"/>
          <w:szCs w:val="20"/>
        </w:rPr>
        <w:t>Qualitative Research Journal, 9</w:t>
      </w:r>
      <w:r>
        <w:rPr>
          <w:rFonts w:ascii="Arial" w:hAnsi="Arial" w:cs="Arial"/>
          <w:color w:val="000000"/>
          <w:sz w:val="20"/>
          <w:szCs w:val="20"/>
        </w:rPr>
        <w:t>(2), 27–40.</w:t>
      </w:r>
      <w:r>
        <w:fldChar w:fldCharType="begin"/>
      </w:r>
      <w:r>
        <w:instrText xml:space="preserve"> HYPERLINK "https://doi.org/10.3316/QRJ0902027" </w:instrText>
      </w:r>
      <w:r>
        <w:fldChar w:fldCharType="separate"/>
      </w:r>
      <w:r>
        <w:rPr>
          <w:rFonts w:ascii="Arial" w:hAnsi="Arial" w:cs="Arial"/>
          <w:color w:val="000000"/>
          <w:sz w:val="20"/>
          <w:szCs w:val="20"/>
        </w:rPr>
        <w:t xml:space="preserve"> https://doi.org/10.3316/QRJ0902027</w:t>
      </w:r>
      <w:r>
        <w:rPr>
          <w:rFonts w:ascii="Arial" w:hAnsi="Arial" w:cs="Arial"/>
          <w:color w:val="000000"/>
          <w:sz w:val="20"/>
          <w:szCs w:val="20"/>
        </w:rPr>
        <w:fldChar w:fldCharType="end"/>
      </w:r>
    </w:p>
    <w:p w14:paraId="7F864C53">
      <w:pPr>
        <w:ind w:left="450" w:right="18" w:hanging="450"/>
      </w:pPr>
      <w:r>
        <w:rPr>
          <w:rFonts w:ascii="Arial" w:hAnsi="Arial" w:cs="Arial"/>
          <w:color w:val="000000"/>
          <w:sz w:val="20"/>
          <w:szCs w:val="20"/>
        </w:rPr>
        <w:t xml:space="preserve">Demirgüç-Kunt, A., Klapper, L., Singer, D., Ansar, S., &amp; Hess, J. (2022). </w:t>
      </w:r>
      <w:r>
        <w:rPr>
          <w:rFonts w:ascii="Arial" w:hAnsi="Arial" w:cs="Arial"/>
          <w:i/>
          <w:iCs/>
          <w:color w:val="000000"/>
          <w:sz w:val="20"/>
          <w:szCs w:val="20"/>
        </w:rPr>
        <w:t>The Global Findex Database 2021: Financial inclusion, digital payments, and resilience in the age of COVID-19</w:t>
      </w:r>
      <w:r>
        <w:rPr>
          <w:rFonts w:ascii="Arial" w:hAnsi="Arial" w:cs="Arial"/>
          <w:color w:val="000000"/>
          <w:sz w:val="20"/>
          <w:szCs w:val="20"/>
        </w:rPr>
        <w:t xml:space="preserve"> [PDF]. World Bank.</w:t>
      </w:r>
      <w:r>
        <w:fldChar w:fldCharType="begin"/>
      </w:r>
      <w:r>
        <w:instrText xml:space="preserve"> HYPERLINK "https://documents1.worldbank.org/curated/en/099818107072234182/pdf/IDU06a834fe908933040670a6560f44e3f4d35b7.pdf?utm_source=chatgpt.com" </w:instrText>
      </w:r>
      <w:r>
        <w:fldChar w:fldCharType="separate"/>
      </w:r>
      <w:r>
        <w:rPr>
          <w:rFonts w:ascii="Arial" w:hAnsi="Arial" w:cs="Arial"/>
          <w:color w:val="000000"/>
          <w:sz w:val="20"/>
          <w:szCs w:val="20"/>
        </w:rPr>
        <w:t xml:space="preserve"> </w:t>
      </w:r>
      <w:r>
        <w:rPr>
          <w:rFonts w:ascii="Arial" w:hAnsi="Arial" w:cs="Arial"/>
          <w:color w:val="000000"/>
          <w:sz w:val="20"/>
          <w:szCs w:val="20"/>
        </w:rPr>
        <w:fldChar w:fldCharType="end"/>
      </w:r>
      <w:r>
        <w:fldChar w:fldCharType="begin"/>
      </w:r>
      <w:r>
        <w:instrText xml:space="preserve"> HYPERLINK "https://documents1.worldbank.org/curated/en/099818107072234182/pdf/IDU06a834fe908933040670a6560f44e3f4d35b7.pdf" </w:instrText>
      </w:r>
      <w:r>
        <w:fldChar w:fldCharType="separate"/>
      </w:r>
      <w:r>
        <w:rPr>
          <w:rFonts w:ascii="Arial" w:hAnsi="Arial" w:cs="Arial"/>
          <w:color w:val="000000"/>
          <w:sz w:val="20"/>
          <w:szCs w:val="20"/>
        </w:rPr>
        <w:t>https://documents1.worldbank.org/curated/en/099818107072234182/pdf/IDU06a834fe908933040670a6560f44e3f4d35b7.pdf</w:t>
      </w:r>
      <w:r>
        <w:rPr>
          <w:rFonts w:ascii="Arial" w:hAnsi="Arial" w:cs="Arial"/>
          <w:color w:val="000000"/>
          <w:sz w:val="20"/>
          <w:szCs w:val="20"/>
        </w:rPr>
        <w:fldChar w:fldCharType="end"/>
      </w:r>
    </w:p>
    <w:p w14:paraId="5E2B1A71">
      <w:pPr>
        <w:ind w:left="450" w:right="18" w:hanging="450"/>
      </w:pPr>
      <w:r>
        <w:rPr>
          <w:rFonts w:ascii="Arial" w:hAnsi="Arial" w:cs="Arial"/>
          <w:color w:val="000000"/>
          <w:sz w:val="20"/>
          <w:szCs w:val="20"/>
        </w:rPr>
        <w:t xml:space="preserve">DiMaggio, P. J., &amp; Powell, W. W. (1983). The iron cage revisited: Institutional isomorphism and collective rationality in organizational fields. </w:t>
      </w:r>
      <w:r>
        <w:rPr>
          <w:rFonts w:ascii="Arial" w:hAnsi="Arial" w:cs="Arial"/>
          <w:i/>
          <w:iCs/>
          <w:color w:val="000000"/>
          <w:sz w:val="20"/>
          <w:szCs w:val="20"/>
        </w:rPr>
        <w:t>American Sociological Review, 48</w:t>
      </w:r>
      <w:r>
        <w:rPr>
          <w:rFonts w:ascii="Arial" w:hAnsi="Arial" w:cs="Arial"/>
          <w:color w:val="000000"/>
          <w:sz w:val="20"/>
          <w:szCs w:val="20"/>
        </w:rPr>
        <w:t>(2), 147–160.</w:t>
      </w:r>
      <w:r>
        <w:fldChar w:fldCharType="begin"/>
      </w:r>
      <w:r>
        <w:instrText xml:space="preserve"> HYPERLINK "https://doi.org/10.2307/2095101" </w:instrText>
      </w:r>
      <w:r>
        <w:fldChar w:fldCharType="separate"/>
      </w:r>
      <w:r>
        <w:rPr>
          <w:rFonts w:ascii="Arial" w:hAnsi="Arial" w:cs="Arial"/>
          <w:color w:val="000000"/>
          <w:sz w:val="20"/>
          <w:szCs w:val="20"/>
        </w:rPr>
        <w:t xml:space="preserve"> https://doi.org/10.2307/2095101</w:t>
      </w:r>
      <w:r>
        <w:rPr>
          <w:rFonts w:ascii="Arial" w:hAnsi="Arial" w:cs="Arial"/>
          <w:color w:val="000000"/>
          <w:sz w:val="20"/>
          <w:szCs w:val="20"/>
        </w:rPr>
        <w:fldChar w:fldCharType="end"/>
      </w:r>
    </w:p>
    <w:p w14:paraId="36A2387E">
      <w:pPr>
        <w:ind w:left="450" w:right="18" w:hanging="450"/>
      </w:pPr>
      <w:r>
        <w:rPr>
          <w:rFonts w:ascii="Arial" w:hAnsi="Arial" w:cs="Arial"/>
          <w:color w:val="000000"/>
          <w:sz w:val="20"/>
          <w:szCs w:val="20"/>
        </w:rPr>
        <w:t xml:space="preserve">Humphrey, D. B., Kim, M., &amp; Vale, B. (2001). Realizing the gains from electronic payments: Costs, pricing, and payment choice. </w:t>
      </w:r>
      <w:r>
        <w:rPr>
          <w:rFonts w:ascii="Arial" w:hAnsi="Arial" w:cs="Arial"/>
          <w:i/>
          <w:iCs/>
          <w:color w:val="000000"/>
          <w:sz w:val="20"/>
          <w:szCs w:val="20"/>
        </w:rPr>
        <w:t>Journal of Money, Credit and Banking, 33</w:t>
      </w:r>
      <w:r>
        <w:rPr>
          <w:rFonts w:ascii="Arial" w:hAnsi="Arial" w:cs="Arial"/>
          <w:color w:val="000000"/>
          <w:sz w:val="20"/>
          <w:szCs w:val="20"/>
        </w:rPr>
        <w:t xml:space="preserve">(2), 216–234. </w:t>
      </w:r>
      <w:r>
        <w:fldChar w:fldCharType="begin"/>
      </w:r>
      <w:r>
        <w:instrText xml:space="preserve"> HYPERLINK "https://doi.org/10.2307/2673879" </w:instrText>
      </w:r>
      <w:r>
        <w:fldChar w:fldCharType="separate"/>
      </w:r>
      <w:r>
        <w:rPr>
          <w:rFonts w:ascii="Arial" w:hAnsi="Arial" w:cs="Arial"/>
          <w:color w:val="000000"/>
          <w:sz w:val="20"/>
          <w:szCs w:val="20"/>
        </w:rPr>
        <w:t>https://doi.org/10.2307/2673879</w:t>
      </w:r>
      <w:r>
        <w:rPr>
          <w:rFonts w:ascii="Arial" w:hAnsi="Arial" w:cs="Arial"/>
          <w:color w:val="000000"/>
          <w:sz w:val="20"/>
          <w:szCs w:val="20"/>
        </w:rPr>
        <w:fldChar w:fldCharType="end"/>
      </w:r>
    </w:p>
    <w:p w14:paraId="085E12A4">
      <w:pPr>
        <w:ind w:left="450" w:right="18" w:hanging="450"/>
      </w:pPr>
      <w:r>
        <w:rPr>
          <w:rFonts w:ascii="Arial" w:hAnsi="Arial" w:cs="Arial"/>
          <w:color w:val="000000"/>
          <w:sz w:val="20"/>
          <w:szCs w:val="20"/>
        </w:rPr>
        <w:t xml:space="preserve">International Monetary Fund. (2025). </w:t>
      </w:r>
      <w:r>
        <w:rPr>
          <w:rFonts w:ascii="Arial" w:hAnsi="Arial" w:cs="Arial"/>
          <w:i/>
          <w:iCs/>
          <w:color w:val="000000"/>
          <w:sz w:val="20"/>
          <w:szCs w:val="20"/>
        </w:rPr>
        <w:t>Financial Access Survey (FAS) [Dataset]</w:t>
      </w:r>
      <w:r>
        <w:rPr>
          <w:rFonts w:ascii="Arial" w:hAnsi="Arial" w:cs="Arial"/>
          <w:color w:val="000000"/>
          <w:sz w:val="20"/>
          <w:szCs w:val="20"/>
        </w:rPr>
        <w:t>. IMF Data.</w:t>
      </w:r>
      <w:r>
        <w:fldChar w:fldCharType="begin"/>
      </w:r>
      <w:r>
        <w:instrText xml:space="preserve"> HYPERLINK "https://data.imf.org/en/datasets/IMF.STA:FAS" </w:instrText>
      </w:r>
      <w:r>
        <w:fldChar w:fldCharType="separate"/>
      </w:r>
      <w:r>
        <w:rPr>
          <w:rFonts w:ascii="Arial" w:hAnsi="Arial" w:cs="Arial"/>
          <w:color w:val="000000"/>
          <w:sz w:val="20"/>
          <w:szCs w:val="20"/>
        </w:rPr>
        <w:t xml:space="preserve"> https://data.imf.org/en/datasets/IMF.STA:FAS</w:t>
      </w:r>
      <w:r>
        <w:rPr>
          <w:rFonts w:ascii="Arial" w:hAnsi="Arial" w:cs="Arial"/>
          <w:color w:val="000000"/>
          <w:sz w:val="20"/>
          <w:szCs w:val="20"/>
        </w:rPr>
        <w:fldChar w:fldCharType="end"/>
      </w:r>
    </w:p>
    <w:p w14:paraId="1BFDE164">
      <w:pPr>
        <w:ind w:left="450" w:right="18" w:hanging="450"/>
      </w:pPr>
      <w:r>
        <w:rPr>
          <w:rFonts w:ascii="Arial" w:hAnsi="Arial" w:cs="Arial"/>
          <w:color w:val="000000"/>
          <w:sz w:val="20"/>
          <w:szCs w:val="20"/>
        </w:rPr>
        <w:t xml:space="preserve">Jocson, L. M. J. C. (2024, July 24). </w:t>
      </w:r>
      <w:r>
        <w:rPr>
          <w:rFonts w:ascii="Arial" w:hAnsi="Arial" w:cs="Arial"/>
          <w:i/>
          <w:iCs/>
          <w:color w:val="000000"/>
          <w:sz w:val="20"/>
          <w:szCs w:val="20"/>
        </w:rPr>
        <w:t>Digital payments account for half of retail transactions at end-2023</w:t>
      </w:r>
      <w:r>
        <w:rPr>
          <w:rFonts w:ascii="Arial" w:hAnsi="Arial" w:cs="Arial"/>
          <w:color w:val="000000"/>
          <w:sz w:val="20"/>
          <w:szCs w:val="20"/>
        </w:rPr>
        <w:t xml:space="preserve">. </w:t>
      </w:r>
      <w:r>
        <w:rPr>
          <w:rFonts w:ascii="Arial" w:hAnsi="Arial" w:cs="Arial"/>
          <w:i/>
          <w:iCs/>
          <w:color w:val="000000"/>
          <w:sz w:val="20"/>
          <w:szCs w:val="20"/>
        </w:rPr>
        <w:t>BusinessWorld Online</w:t>
      </w:r>
      <w:r>
        <w:rPr>
          <w:rFonts w:ascii="Arial" w:hAnsi="Arial" w:cs="Arial"/>
          <w:color w:val="000000"/>
          <w:sz w:val="20"/>
          <w:szCs w:val="20"/>
        </w:rPr>
        <w:t>.</w:t>
      </w:r>
      <w:r>
        <w:fldChar w:fldCharType="begin"/>
      </w:r>
      <w:r>
        <w:instrText xml:space="preserve"> HYPERLINK "https://www.bworldonline.com/top-stories/2024/07/24/609867/digital-payments-account-for-half-of-retail-transactions-at-end-2023/?utm_source=chatgpt.com" </w:instrText>
      </w:r>
      <w:r>
        <w:fldChar w:fldCharType="separate"/>
      </w:r>
      <w:r>
        <w:rPr>
          <w:rFonts w:ascii="Arial" w:hAnsi="Arial" w:cs="Arial"/>
          <w:color w:val="000000"/>
          <w:sz w:val="20"/>
          <w:szCs w:val="20"/>
        </w:rPr>
        <w:t xml:space="preserve"> </w:t>
      </w:r>
      <w:r>
        <w:rPr>
          <w:rFonts w:ascii="Arial" w:hAnsi="Arial" w:cs="Arial"/>
          <w:color w:val="000000"/>
          <w:sz w:val="20"/>
          <w:szCs w:val="20"/>
        </w:rPr>
        <w:fldChar w:fldCharType="end"/>
      </w:r>
      <w:r>
        <w:fldChar w:fldCharType="begin"/>
      </w:r>
      <w:r>
        <w:instrText xml:space="preserve"> HYPERLINK "https://www.bworldonline.com/top-stories/2024/07/24/609867/digital-payments-account-for-half-of-retail-transactions-at-end-2023/" </w:instrText>
      </w:r>
      <w:r>
        <w:fldChar w:fldCharType="separate"/>
      </w:r>
      <w:r>
        <w:rPr>
          <w:rFonts w:ascii="Arial" w:hAnsi="Arial" w:cs="Arial"/>
          <w:color w:val="000000"/>
          <w:sz w:val="20"/>
          <w:szCs w:val="20"/>
        </w:rPr>
        <w:t>https://www.bworldonline.com/top-stories/2024/07/24/609867/digital-payments-account-for-half-of-retail-transactions-at-end-2023/</w:t>
      </w:r>
      <w:r>
        <w:rPr>
          <w:rFonts w:ascii="Arial" w:hAnsi="Arial" w:cs="Arial"/>
          <w:color w:val="000000"/>
          <w:sz w:val="20"/>
          <w:szCs w:val="20"/>
        </w:rPr>
        <w:fldChar w:fldCharType="end"/>
      </w:r>
    </w:p>
    <w:p w14:paraId="75BC7B90">
      <w:pPr>
        <w:ind w:left="450" w:right="18" w:hanging="450"/>
      </w:pPr>
      <w:r>
        <w:rPr>
          <w:rFonts w:ascii="Arial" w:hAnsi="Arial" w:cs="Arial"/>
          <w:color w:val="000000"/>
          <w:sz w:val="20"/>
          <w:szCs w:val="20"/>
        </w:rPr>
        <w:t xml:space="preserve">Jocson, L. M. J. C. (2025, July 8). </w:t>
      </w:r>
      <w:r>
        <w:rPr>
          <w:rFonts w:ascii="Arial" w:hAnsi="Arial" w:cs="Arial"/>
          <w:i/>
          <w:iCs/>
          <w:color w:val="000000"/>
          <w:sz w:val="20"/>
          <w:szCs w:val="20"/>
        </w:rPr>
        <w:t>Digital payments account for 57.4% of transaction volume in 2024</w:t>
      </w:r>
      <w:r>
        <w:rPr>
          <w:rFonts w:ascii="Arial" w:hAnsi="Arial" w:cs="Arial"/>
          <w:color w:val="000000"/>
          <w:sz w:val="20"/>
          <w:szCs w:val="20"/>
        </w:rPr>
        <w:t xml:space="preserve"> [Infographic]. </w:t>
      </w:r>
      <w:r>
        <w:rPr>
          <w:rFonts w:ascii="Arial" w:hAnsi="Arial" w:cs="Arial"/>
          <w:i/>
          <w:iCs/>
          <w:color w:val="000000"/>
          <w:sz w:val="20"/>
          <w:szCs w:val="20"/>
        </w:rPr>
        <w:t>BusinessWorld Online</w:t>
      </w:r>
      <w:r>
        <w:rPr>
          <w:rFonts w:ascii="Arial" w:hAnsi="Arial" w:cs="Arial"/>
          <w:color w:val="000000"/>
          <w:sz w:val="20"/>
          <w:szCs w:val="20"/>
        </w:rPr>
        <w:t>.</w:t>
      </w:r>
      <w:r>
        <w:fldChar w:fldCharType="begin"/>
      </w:r>
      <w:r>
        <w:instrText xml:space="preserve"> HYPERLINK "https://www.bworldonline.com/infographics/2025/07/08/683706/digital-payments-account-for-57-4-of-transaction-volume-in-2024/?utm_source=chatgpt.com" </w:instrText>
      </w:r>
      <w:r>
        <w:fldChar w:fldCharType="separate"/>
      </w:r>
      <w:r>
        <w:rPr>
          <w:rFonts w:ascii="Arial" w:hAnsi="Arial" w:cs="Arial"/>
          <w:color w:val="000000"/>
          <w:sz w:val="20"/>
          <w:szCs w:val="20"/>
        </w:rPr>
        <w:t xml:space="preserve"> </w:t>
      </w:r>
      <w:r>
        <w:rPr>
          <w:rFonts w:ascii="Arial" w:hAnsi="Arial" w:cs="Arial"/>
          <w:color w:val="000000"/>
          <w:sz w:val="20"/>
          <w:szCs w:val="20"/>
        </w:rPr>
        <w:fldChar w:fldCharType="end"/>
      </w:r>
      <w:r>
        <w:fldChar w:fldCharType="begin"/>
      </w:r>
      <w:r>
        <w:instrText xml:space="preserve"> HYPERLINK "https://www.bworldonline.com/infographics/2025/07/08/683706/digital-payments-account-for-57-4-of-transaction-volume-in-2024/" </w:instrText>
      </w:r>
      <w:r>
        <w:fldChar w:fldCharType="separate"/>
      </w:r>
      <w:r>
        <w:rPr>
          <w:rFonts w:ascii="Arial" w:hAnsi="Arial" w:cs="Arial"/>
          <w:color w:val="000000"/>
          <w:sz w:val="20"/>
          <w:szCs w:val="20"/>
        </w:rPr>
        <w:t>https://www.bworldonline.com/infographics/2025/07/08/683706/digital-payments-account-for-57-4-of-transaction-volume-in-2024/</w:t>
      </w:r>
      <w:r>
        <w:rPr>
          <w:rFonts w:ascii="Arial" w:hAnsi="Arial" w:cs="Arial"/>
          <w:color w:val="000000"/>
          <w:sz w:val="20"/>
          <w:szCs w:val="20"/>
        </w:rPr>
        <w:fldChar w:fldCharType="end"/>
      </w:r>
    </w:p>
    <w:p w14:paraId="5ADD3307">
      <w:pPr>
        <w:ind w:left="450" w:right="18" w:hanging="450"/>
      </w:pPr>
      <w:r>
        <w:rPr>
          <w:rFonts w:ascii="Arial" w:hAnsi="Arial" w:cs="Arial"/>
          <w:color w:val="000000"/>
          <w:sz w:val="20"/>
          <w:szCs w:val="20"/>
        </w:rPr>
        <w:t xml:space="preserve">Klee, E. (2008). How people pay: Evidence from grocery store data. </w:t>
      </w:r>
      <w:r>
        <w:rPr>
          <w:rFonts w:ascii="Arial" w:hAnsi="Arial" w:cs="Arial"/>
          <w:i/>
          <w:iCs/>
          <w:color w:val="000000"/>
          <w:sz w:val="20"/>
          <w:szCs w:val="20"/>
        </w:rPr>
        <w:t>Journal of Monetary Economics, 55</w:t>
      </w:r>
      <w:r>
        <w:rPr>
          <w:rFonts w:ascii="Arial" w:hAnsi="Arial" w:cs="Arial"/>
          <w:color w:val="000000"/>
          <w:sz w:val="20"/>
          <w:szCs w:val="20"/>
        </w:rPr>
        <w:t xml:space="preserve">(3), 526–541. </w:t>
      </w:r>
      <w:r>
        <w:fldChar w:fldCharType="begin"/>
      </w:r>
      <w:r>
        <w:instrText xml:space="preserve"> HYPERLINK "https://doi.org/10.1016/j.jmoneco.2008.01.009" </w:instrText>
      </w:r>
      <w:r>
        <w:fldChar w:fldCharType="separate"/>
      </w:r>
      <w:r>
        <w:rPr>
          <w:rFonts w:ascii="Arial" w:hAnsi="Arial" w:cs="Arial"/>
          <w:color w:val="000000"/>
          <w:sz w:val="20"/>
          <w:szCs w:val="20"/>
        </w:rPr>
        <w:t>https://doi.org/10.1016/j.jmoneco.2008.01.009</w:t>
      </w:r>
      <w:r>
        <w:rPr>
          <w:rFonts w:ascii="Arial" w:hAnsi="Arial" w:cs="Arial"/>
          <w:color w:val="000000"/>
          <w:sz w:val="20"/>
          <w:szCs w:val="20"/>
        </w:rPr>
        <w:fldChar w:fldCharType="end"/>
      </w:r>
    </w:p>
    <w:p w14:paraId="72FB8D26">
      <w:pPr>
        <w:ind w:left="450" w:right="18" w:hanging="450"/>
      </w:pPr>
      <w:r>
        <w:rPr>
          <w:rFonts w:ascii="Arial" w:hAnsi="Arial" w:cs="Arial"/>
          <w:color w:val="000000"/>
          <w:sz w:val="20"/>
          <w:szCs w:val="20"/>
        </w:rPr>
        <w:t xml:space="preserve">Lim, W. M. (2025). What is qualitative research? An overview and guidelines. </w:t>
      </w:r>
      <w:r>
        <w:rPr>
          <w:rFonts w:ascii="Arial" w:hAnsi="Arial" w:cs="Arial"/>
          <w:i/>
          <w:iCs/>
          <w:color w:val="000000"/>
          <w:sz w:val="20"/>
          <w:szCs w:val="20"/>
        </w:rPr>
        <w:t>Qualitative Research Journal</w:t>
      </w:r>
      <w:r>
        <w:rPr>
          <w:rFonts w:ascii="Arial" w:hAnsi="Arial" w:cs="Arial"/>
          <w:color w:val="000000"/>
          <w:sz w:val="20"/>
          <w:szCs w:val="20"/>
        </w:rPr>
        <w:t>. Advance online publication.</w:t>
      </w:r>
      <w:r>
        <w:fldChar w:fldCharType="begin"/>
      </w:r>
      <w:r>
        <w:instrText xml:space="preserve"> HYPERLINK "https://doi.org/10.1177/14413582241264619" </w:instrText>
      </w:r>
      <w:r>
        <w:fldChar w:fldCharType="separate"/>
      </w:r>
      <w:r>
        <w:rPr>
          <w:rFonts w:ascii="Arial" w:hAnsi="Arial" w:cs="Arial"/>
          <w:color w:val="000000"/>
          <w:sz w:val="20"/>
          <w:szCs w:val="20"/>
        </w:rPr>
        <w:t xml:space="preserve"> https://doi.org/10.1177/14413582241264619</w:t>
      </w:r>
      <w:r>
        <w:rPr>
          <w:rFonts w:ascii="Arial" w:hAnsi="Arial" w:cs="Arial"/>
          <w:color w:val="000000"/>
          <w:sz w:val="20"/>
          <w:szCs w:val="20"/>
        </w:rPr>
        <w:fldChar w:fldCharType="end"/>
      </w:r>
    </w:p>
    <w:p w14:paraId="3762E371">
      <w:pPr>
        <w:ind w:left="450" w:right="18" w:hanging="450"/>
      </w:pPr>
      <w:r>
        <w:rPr>
          <w:rFonts w:ascii="Arial" w:hAnsi="Arial" w:cs="Arial"/>
          <w:color w:val="000000"/>
          <w:sz w:val="20"/>
          <w:szCs w:val="20"/>
        </w:rPr>
        <w:t xml:space="preserve">Norris, A., &amp; Singer, D. (2025, July 17). </w:t>
      </w:r>
      <w:r>
        <w:rPr>
          <w:rFonts w:ascii="Arial" w:hAnsi="Arial" w:cs="Arial"/>
          <w:i/>
          <w:iCs/>
          <w:color w:val="000000"/>
          <w:sz w:val="20"/>
          <w:szCs w:val="20"/>
        </w:rPr>
        <w:t>Digital technology is unlocking financial inclusion</w:t>
      </w:r>
      <w:r>
        <w:rPr>
          <w:rFonts w:ascii="Arial" w:hAnsi="Arial" w:cs="Arial"/>
          <w:color w:val="000000"/>
          <w:sz w:val="20"/>
          <w:szCs w:val="20"/>
        </w:rPr>
        <w:t>. World Bank Blogs.</w:t>
      </w:r>
      <w:r>
        <w:fldChar w:fldCharType="begin"/>
      </w:r>
      <w:r>
        <w:instrText xml:space="preserve"> HYPERLINK "https://blogs.worldbank.org/en/developmenttalk/digital-technology-is-unlocking-financial-inclusion?utm_source=chatgpt.com" </w:instrText>
      </w:r>
      <w:r>
        <w:fldChar w:fldCharType="separate"/>
      </w:r>
      <w:r>
        <w:rPr>
          <w:rFonts w:ascii="Arial" w:hAnsi="Arial" w:cs="Arial"/>
          <w:color w:val="000000"/>
          <w:sz w:val="20"/>
          <w:szCs w:val="20"/>
        </w:rPr>
        <w:t xml:space="preserve"> </w:t>
      </w:r>
      <w:r>
        <w:rPr>
          <w:rFonts w:ascii="Arial" w:hAnsi="Arial" w:cs="Arial"/>
          <w:color w:val="000000"/>
          <w:sz w:val="20"/>
          <w:szCs w:val="20"/>
        </w:rPr>
        <w:fldChar w:fldCharType="end"/>
      </w:r>
      <w:r>
        <w:fldChar w:fldCharType="begin"/>
      </w:r>
      <w:r>
        <w:instrText xml:space="preserve"> HYPERLINK "https://blogs.worldbank.org/en/developmenttalk/digital-technology-is-unlocking-financial-inclusion" </w:instrText>
      </w:r>
      <w:r>
        <w:fldChar w:fldCharType="separate"/>
      </w:r>
      <w:r>
        <w:rPr>
          <w:rFonts w:ascii="Arial" w:hAnsi="Arial" w:cs="Arial"/>
          <w:color w:val="000000"/>
          <w:sz w:val="20"/>
          <w:szCs w:val="20"/>
        </w:rPr>
        <w:t>https://blogs.worldbank.org/en/developmenttalk/digital-technology-is-unlocking-financial-inclusion</w:t>
      </w:r>
      <w:r>
        <w:rPr>
          <w:rFonts w:ascii="Arial" w:hAnsi="Arial" w:cs="Arial"/>
          <w:color w:val="000000"/>
          <w:sz w:val="20"/>
          <w:szCs w:val="20"/>
        </w:rPr>
        <w:fldChar w:fldCharType="end"/>
      </w:r>
    </w:p>
    <w:p w14:paraId="67BC2A75">
      <w:pPr>
        <w:ind w:left="450" w:right="18" w:hanging="450"/>
      </w:pPr>
      <w:r>
        <w:rPr>
          <w:rFonts w:ascii="Arial" w:hAnsi="Arial" w:cs="Arial"/>
          <w:color w:val="000000"/>
          <w:sz w:val="20"/>
          <w:szCs w:val="20"/>
        </w:rPr>
        <w:t xml:space="preserve">OpenGov Asia. (2025, October 2). </w:t>
      </w:r>
      <w:r>
        <w:rPr>
          <w:rFonts w:ascii="Arial" w:hAnsi="Arial" w:cs="Arial"/>
          <w:i/>
          <w:iCs/>
          <w:color w:val="000000"/>
          <w:sz w:val="20"/>
          <w:szCs w:val="20"/>
        </w:rPr>
        <w:t>The Philippines: Expanding digital access in Northern Mindanao</w:t>
      </w:r>
      <w:r>
        <w:rPr>
          <w:rFonts w:ascii="Arial" w:hAnsi="Arial" w:cs="Arial"/>
          <w:color w:val="000000"/>
          <w:sz w:val="20"/>
          <w:szCs w:val="20"/>
        </w:rPr>
        <w:t>.</w:t>
      </w:r>
      <w:r>
        <w:fldChar w:fldCharType="begin"/>
      </w:r>
      <w:r>
        <w:instrText xml:space="preserve"> HYPERLINK "https://opengovasia.com/the-philippines-expanding-digital-access-in-northern-mindanao/?utm_source=chatgpt.com" </w:instrText>
      </w:r>
      <w:r>
        <w:fldChar w:fldCharType="separate"/>
      </w:r>
      <w:r>
        <w:rPr>
          <w:rFonts w:ascii="Arial" w:hAnsi="Arial" w:cs="Arial"/>
          <w:color w:val="000000"/>
          <w:sz w:val="20"/>
          <w:szCs w:val="20"/>
        </w:rPr>
        <w:t xml:space="preserve"> https://opengovasia.com/the-philippines-expanding-digital-access-in-northern-mindanao/</w:t>
      </w:r>
      <w:r>
        <w:rPr>
          <w:rFonts w:ascii="Arial" w:hAnsi="Arial" w:cs="Arial"/>
          <w:color w:val="000000"/>
          <w:sz w:val="20"/>
          <w:szCs w:val="20"/>
        </w:rPr>
        <w:fldChar w:fldCharType="end"/>
      </w:r>
    </w:p>
    <w:p w14:paraId="38B5C47D">
      <w:pPr>
        <w:ind w:left="450" w:right="18" w:hanging="450"/>
      </w:pPr>
      <w:r>
        <w:rPr>
          <w:rFonts w:ascii="Arial" w:hAnsi="Arial" w:cs="Arial"/>
          <w:color w:val="000000"/>
          <w:sz w:val="20"/>
          <w:szCs w:val="20"/>
        </w:rPr>
        <w:t xml:space="preserve">Philippine Information Agency. (2025, October 1). </w:t>
      </w:r>
      <w:r>
        <w:rPr>
          <w:rFonts w:ascii="Arial" w:hAnsi="Arial" w:cs="Arial"/>
          <w:i/>
          <w:iCs/>
          <w:color w:val="000000"/>
          <w:sz w:val="20"/>
          <w:szCs w:val="20"/>
        </w:rPr>
        <w:t>Digital access expands in Northern Mindanao, requires policy shift</w:t>
      </w:r>
      <w:r>
        <w:rPr>
          <w:rFonts w:ascii="Arial" w:hAnsi="Arial" w:cs="Arial"/>
          <w:color w:val="000000"/>
          <w:sz w:val="20"/>
          <w:szCs w:val="20"/>
        </w:rPr>
        <w:t xml:space="preserve">. </w:t>
      </w:r>
      <w:r>
        <w:fldChar w:fldCharType="begin"/>
      </w:r>
      <w:r>
        <w:instrText xml:space="preserve"> HYPERLINK "https://pia.gov.ph/news/digital-access-expands-in-northern-mindanao-requires-policy-shift/?utm_source=chatgpt.com" </w:instrText>
      </w:r>
      <w:r>
        <w:fldChar w:fldCharType="separate"/>
      </w:r>
      <w:r>
        <w:rPr>
          <w:rFonts w:ascii="Arial" w:hAnsi="Arial" w:cs="Arial"/>
          <w:color w:val="000000"/>
          <w:sz w:val="20"/>
          <w:szCs w:val="20"/>
        </w:rPr>
        <w:t>https://pia.gov.ph/news/digital-access-expands-in-northern-mindanao-requires-policy-shift/</w:t>
      </w:r>
      <w:r>
        <w:rPr>
          <w:rFonts w:ascii="Arial" w:hAnsi="Arial" w:cs="Arial"/>
          <w:color w:val="000000"/>
          <w:sz w:val="20"/>
          <w:szCs w:val="20"/>
        </w:rPr>
        <w:fldChar w:fldCharType="end"/>
      </w:r>
    </w:p>
    <w:p w14:paraId="303FBE29">
      <w:pPr>
        <w:ind w:left="450" w:right="18" w:hanging="450"/>
      </w:pPr>
      <w:r>
        <w:rPr>
          <w:rFonts w:ascii="Arial" w:hAnsi="Arial" w:cs="Arial"/>
          <w:color w:val="000000"/>
          <w:sz w:val="20"/>
          <w:szCs w:val="20"/>
        </w:rPr>
        <w:t xml:space="preserve">Philippine Star. (2024, July 24). </w:t>
      </w:r>
      <w:r>
        <w:rPr>
          <w:rFonts w:ascii="Arial" w:hAnsi="Arial" w:cs="Arial"/>
          <w:i/>
          <w:iCs/>
          <w:color w:val="000000"/>
          <w:sz w:val="20"/>
          <w:szCs w:val="20"/>
        </w:rPr>
        <w:t>Digital payments account for 53% of retail transactions in 2023</w:t>
      </w:r>
      <w:r>
        <w:rPr>
          <w:rFonts w:ascii="Arial" w:hAnsi="Arial" w:cs="Arial"/>
          <w:color w:val="000000"/>
          <w:sz w:val="20"/>
          <w:szCs w:val="20"/>
        </w:rPr>
        <w:t xml:space="preserve">. </w:t>
      </w:r>
      <w:r>
        <w:fldChar w:fldCharType="begin"/>
      </w:r>
      <w:r>
        <w:instrText xml:space="preserve"> HYPERLINK "https://www.philstar.com/business/2024/07/24/2372401/digital-payments-account-53-retail-transactions-2023?utm_source=chatgpt.com" </w:instrText>
      </w:r>
      <w:r>
        <w:fldChar w:fldCharType="separate"/>
      </w:r>
      <w:r>
        <w:rPr>
          <w:rFonts w:ascii="Arial" w:hAnsi="Arial" w:cs="Arial"/>
          <w:color w:val="000000"/>
          <w:sz w:val="20"/>
          <w:szCs w:val="20"/>
        </w:rPr>
        <w:t>https://www.philstar.com/business/2024/07/24/2372401/digital-payments-account-53-retail-transactions-2023</w:t>
      </w:r>
      <w:r>
        <w:rPr>
          <w:rFonts w:ascii="Arial" w:hAnsi="Arial" w:cs="Arial"/>
          <w:color w:val="000000"/>
          <w:sz w:val="20"/>
          <w:szCs w:val="20"/>
        </w:rPr>
        <w:fldChar w:fldCharType="end"/>
      </w:r>
    </w:p>
    <w:p w14:paraId="186F0111">
      <w:pPr>
        <w:ind w:left="450" w:right="18" w:hanging="450"/>
      </w:pPr>
      <w:r>
        <w:rPr>
          <w:rFonts w:ascii="Arial" w:hAnsi="Arial" w:cs="Arial"/>
          <w:color w:val="000000"/>
          <w:sz w:val="20"/>
          <w:szCs w:val="20"/>
        </w:rPr>
        <w:t xml:space="preserve">Philippine Statistics Authority, &amp; Department of Information and Communications Technology. (2025). </w:t>
      </w:r>
      <w:r>
        <w:rPr>
          <w:rFonts w:ascii="Arial" w:hAnsi="Arial" w:cs="Arial"/>
          <w:i/>
          <w:iCs/>
          <w:color w:val="000000"/>
          <w:sz w:val="20"/>
          <w:szCs w:val="20"/>
        </w:rPr>
        <w:t>2024 National Information and Communications Technology Household Survey (NICTHS): Preliminary results</w:t>
      </w:r>
      <w:r>
        <w:rPr>
          <w:rFonts w:ascii="Arial" w:hAnsi="Arial" w:cs="Arial"/>
          <w:color w:val="000000"/>
          <w:sz w:val="20"/>
          <w:szCs w:val="20"/>
        </w:rPr>
        <w:t>.</w:t>
      </w:r>
      <w:r>
        <w:fldChar w:fldCharType="begin"/>
      </w:r>
      <w:r>
        <w:instrText xml:space="preserve"> HYPERLINK "https://ictstatistics.dict.gov.ph/dict-and-psa-present-preliminary-results-of-2024-national-ict-household-survey/?utm_source=chatgpt.com" </w:instrText>
      </w:r>
      <w:r>
        <w:fldChar w:fldCharType="separate"/>
      </w:r>
      <w:r>
        <w:rPr>
          <w:rFonts w:ascii="Arial" w:hAnsi="Arial" w:cs="Arial"/>
          <w:color w:val="000000"/>
          <w:sz w:val="20"/>
          <w:szCs w:val="20"/>
        </w:rPr>
        <w:t xml:space="preserve"> </w:t>
      </w:r>
      <w:r>
        <w:rPr>
          <w:rFonts w:ascii="Arial" w:hAnsi="Arial" w:cs="Arial"/>
          <w:color w:val="000000"/>
          <w:sz w:val="20"/>
          <w:szCs w:val="20"/>
        </w:rPr>
        <w:fldChar w:fldCharType="end"/>
      </w:r>
      <w:r>
        <w:fldChar w:fldCharType="begin"/>
      </w:r>
      <w:r>
        <w:instrText xml:space="preserve"> HYPERLINK "https://ictstatistics.dict.gov.ph/dict-and-psa-present-preliminary-results-of-2024-national-ict-household-survey/" </w:instrText>
      </w:r>
      <w:r>
        <w:fldChar w:fldCharType="separate"/>
      </w:r>
      <w:r>
        <w:rPr>
          <w:rFonts w:ascii="Arial" w:hAnsi="Arial" w:cs="Arial"/>
          <w:color w:val="000000"/>
          <w:sz w:val="20"/>
          <w:szCs w:val="20"/>
        </w:rPr>
        <w:t>https://ictstatistics.dict.gov.ph/dict-and-psa-present-preliminary-results-of-2024-national-ict-household-survey/</w:t>
      </w:r>
      <w:r>
        <w:rPr>
          <w:rFonts w:ascii="Arial" w:hAnsi="Arial" w:cs="Arial"/>
          <w:color w:val="000000"/>
          <w:sz w:val="20"/>
          <w:szCs w:val="20"/>
        </w:rPr>
        <w:fldChar w:fldCharType="end"/>
      </w:r>
    </w:p>
    <w:p w14:paraId="7588984E">
      <w:pPr>
        <w:ind w:left="450" w:right="18" w:hanging="450"/>
      </w:pPr>
      <w:r>
        <w:rPr>
          <w:rFonts w:ascii="Arial" w:hAnsi="Arial" w:cs="Arial"/>
          <w:color w:val="000000"/>
          <w:sz w:val="20"/>
          <w:szCs w:val="20"/>
        </w:rPr>
        <w:t xml:space="preserve">Scott, W. R. (2020). </w:t>
      </w:r>
      <w:r>
        <w:rPr>
          <w:rFonts w:ascii="Arial" w:hAnsi="Arial" w:cs="Arial"/>
          <w:i/>
          <w:iCs/>
          <w:color w:val="000000"/>
          <w:sz w:val="20"/>
          <w:szCs w:val="20"/>
        </w:rPr>
        <w:t>Institutions and organizations: Ideas, interests, and identities</w:t>
      </w:r>
      <w:r>
        <w:rPr>
          <w:rFonts w:ascii="Arial" w:hAnsi="Arial" w:cs="Arial"/>
          <w:color w:val="000000"/>
          <w:sz w:val="20"/>
          <w:szCs w:val="20"/>
        </w:rPr>
        <w:t xml:space="preserve"> (5th ed.). Sage.</w:t>
      </w:r>
    </w:p>
    <w:p w14:paraId="1447CBD8">
      <w:pPr>
        <w:ind w:left="450" w:right="18" w:hanging="450"/>
      </w:pPr>
      <w:r>
        <w:rPr>
          <w:rFonts w:ascii="Arial" w:hAnsi="Arial" w:cs="Arial"/>
          <w:color w:val="000000"/>
          <w:sz w:val="20"/>
          <w:szCs w:val="20"/>
        </w:rPr>
        <w:t xml:space="preserve">World Bank. (2022). </w:t>
      </w:r>
      <w:r>
        <w:rPr>
          <w:rFonts w:ascii="Arial" w:hAnsi="Arial" w:cs="Arial"/>
          <w:i/>
          <w:iCs/>
          <w:color w:val="000000"/>
          <w:sz w:val="20"/>
          <w:szCs w:val="20"/>
        </w:rPr>
        <w:t>The Global Findex Database 2021: Financial inclusion, digital payments, and resilience in the age of COVID-19</w:t>
      </w:r>
      <w:r>
        <w:rPr>
          <w:rFonts w:ascii="Arial" w:hAnsi="Arial" w:cs="Arial"/>
          <w:color w:val="000000"/>
          <w:sz w:val="20"/>
          <w:szCs w:val="20"/>
        </w:rPr>
        <w:t>. World Bank.</w:t>
      </w:r>
      <w:r>
        <w:fldChar w:fldCharType="begin"/>
      </w:r>
      <w:r>
        <w:instrText xml:space="preserve"> HYPERLINK "https://documents.worldbank.org/en/publication/documents-reports/documentdetail/099818107072234182?utm_source=chatgpt.com" </w:instrText>
      </w:r>
      <w:r>
        <w:fldChar w:fldCharType="separate"/>
      </w:r>
      <w:r>
        <w:rPr>
          <w:rFonts w:ascii="Arial" w:hAnsi="Arial" w:cs="Arial"/>
          <w:color w:val="000000"/>
          <w:sz w:val="20"/>
          <w:szCs w:val="20"/>
        </w:rPr>
        <w:t xml:space="preserve"> </w:t>
      </w:r>
      <w:r>
        <w:rPr>
          <w:rFonts w:ascii="Arial" w:hAnsi="Arial" w:cs="Arial"/>
          <w:color w:val="000000"/>
          <w:sz w:val="20"/>
          <w:szCs w:val="20"/>
        </w:rPr>
        <w:fldChar w:fldCharType="end"/>
      </w:r>
      <w:r>
        <w:fldChar w:fldCharType="begin"/>
      </w:r>
      <w:r>
        <w:instrText xml:space="preserve"> HYPERLINK "https://documents.worldbank.org/en/publication/documents-reports/documentdetail/099818107072234182" </w:instrText>
      </w:r>
      <w:r>
        <w:fldChar w:fldCharType="separate"/>
      </w:r>
      <w:r>
        <w:rPr>
          <w:rFonts w:ascii="Arial" w:hAnsi="Arial" w:cs="Arial"/>
          <w:color w:val="000000"/>
          <w:sz w:val="20"/>
          <w:szCs w:val="20"/>
        </w:rPr>
        <w:t>https://documents.worldbank.org/en/publication/documents-reports/documentdetail/099818107072234182</w:t>
      </w:r>
      <w:r>
        <w:rPr>
          <w:rFonts w:ascii="Arial" w:hAnsi="Arial" w:cs="Arial"/>
          <w:color w:val="000000"/>
          <w:sz w:val="20"/>
          <w:szCs w:val="20"/>
        </w:rPr>
        <w:fldChar w:fldCharType="end"/>
      </w:r>
    </w:p>
    <w:p w14:paraId="2163D957">
      <w:pPr>
        <w:ind w:left="450" w:right="18" w:hanging="450"/>
      </w:pPr>
      <w:r>
        <w:rPr>
          <w:rFonts w:ascii="Arial" w:hAnsi="Arial" w:cs="Arial"/>
          <w:color w:val="000000"/>
          <w:sz w:val="20"/>
          <w:szCs w:val="20"/>
        </w:rPr>
        <w:t xml:space="preserve">World Bank. (2025). </w:t>
      </w:r>
      <w:r>
        <w:rPr>
          <w:rFonts w:ascii="Arial" w:hAnsi="Arial" w:cs="Arial"/>
          <w:i/>
          <w:iCs/>
          <w:color w:val="000000"/>
          <w:sz w:val="20"/>
          <w:szCs w:val="20"/>
        </w:rPr>
        <w:t>The Global Findex Database 2025: Connectivity and financial inclusion in the digital economy</w:t>
      </w:r>
      <w:r>
        <w:rPr>
          <w:rFonts w:ascii="Arial" w:hAnsi="Arial" w:cs="Arial"/>
          <w:color w:val="000000"/>
          <w:sz w:val="20"/>
          <w:szCs w:val="20"/>
        </w:rPr>
        <w:t xml:space="preserve"> [Report]. World Bank.</w:t>
      </w:r>
      <w:r>
        <w:fldChar w:fldCharType="begin"/>
      </w:r>
      <w:r>
        <w:instrText xml:space="preserve"> HYPERLINK "https://www.worldbank.org/en/publication/globalfindex?utm_source=chatgpt.com" </w:instrText>
      </w:r>
      <w:r>
        <w:fldChar w:fldCharType="separate"/>
      </w:r>
      <w:r>
        <w:rPr>
          <w:rFonts w:ascii="Arial" w:hAnsi="Arial" w:cs="Arial"/>
          <w:color w:val="000000"/>
          <w:sz w:val="20"/>
          <w:szCs w:val="20"/>
        </w:rPr>
        <w:t xml:space="preserve"> </w:t>
      </w:r>
      <w:r>
        <w:rPr>
          <w:rFonts w:ascii="Arial" w:hAnsi="Arial" w:cs="Arial"/>
          <w:color w:val="000000"/>
          <w:sz w:val="20"/>
          <w:szCs w:val="20"/>
        </w:rPr>
        <w:fldChar w:fldCharType="end"/>
      </w:r>
      <w:r>
        <w:fldChar w:fldCharType="begin"/>
      </w:r>
      <w:r>
        <w:instrText xml:space="preserve"> HYPERLINK "https://www.worldbank.org/en/publication/globalfindex" </w:instrText>
      </w:r>
      <w:r>
        <w:fldChar w:fldCharType="separate"/>
      </w:r>
      <w:r>
        <w:rPr>
          <w:rFonts w:ascii="Arial" w:hAnsi="Arial" w:cs="Arial"/>
          <w:color w:val="000000"/>
          <w:sz w:val="20"/>
          <w:szCs w:val="20"/>
        </w:rPr>
        <w:t>https://www.worldbank.org/en/publication/globalfindex</w:t>
      </w:r>
      <w:r>
        <w:rPr>
          <w:rFonts w:ascii="Arial" w:hAnsi="Arial" w:cs="Arial"/>
          <w:color w:val="000000"/>
          <w:sz w:val="20"/>
          <w:szCs w:val="20"/>
        </w:rPr>
        <w:fldChar w:fldCharType="end"/>
      </w:r>
    </w:p>
    <w:p w14:paraId="0E95971B">
      <w:pPr>
        <w:ind w:left="450" w:right="18" w:hanging="450"/>
      </w:pPr>
      <w:r>
        <w:rPr>
          <w:rFonts w:ascii="Arial" w:hAnsi="Arial" w:cs="Arial"/>
          <w:color w:val="000000"/>
          <w:sz w:val="20"/>
          <w:szCs w:val="20"/>
        </w:rPr>
        <w:t xml:space="preserve">World Bank. (n.d.). </w:t>
      </w:r>
      <w:r>
        <w:rPr>
          <w:rFonts w:ascii="Arial" w:hAnsi="Arial" w:cs="Arial"/>
          <w:i/>
          <w:iCs/>
          <w:color w:val="000000"/>
          <w:sz w:val="20"/>
          <w:szCs w:val="20"/>
        </w:rPr>
        <w:t>Financial inclusion</w:t>
      </w:r>
      <w:r>
        <w:rPr>
          <w:rFonts w:ascii="Arial" w:hAnsi="Arial" w:cs="Arial"/>
          <w:color w:val="000000"/>
          <w:sz w:val="20"/>
          <w:szCs w:val="20"/>
        </w:rPr>
        <w:t>. World Bank.</w:t>
      </w:r>
      <w:r>
        <w:fldChar w:fldCharType="begin"/>
      </w:r>
      <w:r>
        <w:instrText xml:space="preserve"> HYPERLINK "https://www.worldbank.org/en/topic/financialinclusion?utm_source=chatgpt.com" </w:instrText>
      </w:r>
      <w:r>
        <w:fldChar w:fldCharType="separate"/>
      </w:r>
      <w:r>
        <w:rPr>
          <w:rFonts w:ascii="Arial" w:hAnsi="Arial" w:cs="Arial"/>
          <w:color w:val="000000"/>
          <w:sz w:val="20"/>
          <w:szCs w:val="20"/>
        </w:rPr>
        <w:t xml:space="preserve"> </w:t>
      </w:r>
      <w:r>
        <w:rPr>
          <w:rFonts w:ascii="Arial" w:hAnsi="Arial" w:cs="Arial"/>
          <w:color w:val="000000"/>
          <w:sz w:val="20"/>
          <w:szCs w:val="20"/>
        </w:rPr>
        <w:fldChar w:fldCharType="end"/>
      </w:r>
      <w:r>
        <w:fldChar w:fldCharType="begin"/>
      </w:r>
      <w:r>
        <w:instrText xml:space="preserve"> HYPERLINK "https://www.worldbank.org/en/topic/financialinclusion" </w:instrText>
      </w:r>
      <w:r>
        <w:fldChar w:fldCharType="separate"/>
      </w:r>
      <w:r>
        <w:rPr>
          <w:rFonts w:ascii="Arial" w:hAnsi="Arial" w:cs="Arial"/>
          <w:color w:val="000000"/>
          <w:sz w:val="20"/>
          <w:szCs w:val="20"/>
        </w:rPr>
        <w:t>https://www.worldbank.org/en/topic/financialinclusion</w:t>
      </w:r>
      <w:r>
        <w:rPr>
          <w:rFonts w:ascii="Arial" w:hAnsi="Arial" w:cs="Arial"/>
          <w:color w:val="000000"/>
          <w:sz w:val="20"/>
          <w:szCs w:val="20"/>
        </w:rPr>
        <w:fldChar w:fldCharType="end"/>
      </w:r>
    </w:p>
    <w:p w14:paraId="1BD298A3">
      <w:pPr>
        <w:ind w:left="450" w:right="18" w:hanging="450"/>
      </w:pPr>
      <w:r>
        <w:rPr>
          <w:rFonts w:ascii="Arial" w:hAnsi="Arial" w:cs="Arial"/>
          <w:color w:val="000000"/>
          <w:sz w:val="20"/>
          <w:szCs w:val="20"/>
        </w:rPr>
        <w:t xml:space="preserve">Xavier University – Ateneo de Cagayan. (2024). </w:t>
      </w:r>
      <w:r>
        <w:rPr>
          <w:rFonts w:ascii="Arial" w:hAnsi="Arial" w:cs="Arial"/>
          <w:i/>
          <w:iCs/>
          <w:color w:val="000000"/>
          <w:sz w:val="20"/>
          <w:szCs w:val="20"/>
        </w:rPr>
        <w:t>Learning as mission: Sustainability report for SDG 4</w:t>
      </w:r>
      <w:r>
        <w:rPr>
          <w:rFonts w:ascii="Arial" w:hAnsi="Arial" w:cs="Arial"/>
          <w:color w:val="000000"/>
          <w:sz w:val="20"/>
          <w:szCs w:val="20"/>
        </w:rPr>
        <w:t>.</w:t>
      </w:r>
      <w:r>
        <w:rPr>
          <w:rFonts w:ascii="Arial" w:hAnsi="Arial" w:cs="Arial"/>
          <w:color w:val="000000"/>
          <w:sz w:val="20"/>
          <w:szCs w:val="20"/>
        </w:rPr>
        <w:br w:type="textWrapping"/>
      </w:r>
      <w:r>
        <w:fldChar w:fldCharType="begin"/>
      </w:r>
      <w:r>
        <w:instrText xml:space="preserve"> HYPERLINK "https://www.xu.edu.ph/sustainability-news-and-updates/7725-learning-as-mission-the-2024-xu-sustainability-report-for-sdg-4-quality-education" </w:instrText>
      </w:r>
      <w:r>
        <w:fldChar w:fldCharType="separate"/>
      </w:r>
      <w:r>
        <w:rPr>
          <w:rFonts w:ascii="Arial" w:hAnsi="Arial" w:cs="Arial"/>
          <w:color w:val="000000"/>
          <w:sz w:val="20"/>
          <w:szCs w:val="20"/>
        </w:rPr>
        <w:t>https://www.xu.edu.ph/sustainability-news-and-updates/7725-learning-as-mission-the-2024-xu-sustainability-report-for-sdg-4-quality-education</w:t>
      </w:r>
      <w:r>
        <w:rPr>
          <w:rFonts w:ascii="Arial" w:hAnsi="Arial" w:cs="Arial"/>
          <w:color w:val="000000"/>
          <w:sz w:val="20"/>
          <w:szCs w:val="20"/>
        </w:rPr>
        <w:fldChar w:fldCharType="end"/>
      </w:r>
    </w:p>
    <w:p w14:paraId="0C86C646">
      <w:pPr>
        <w:pStyle w:val="18"/>
        <w:spacing w:before="0" w:beforeAutospacing="0" w:after="0" w:afterAutospacing="0"/>
        <w:ind w:left="450" w:right="18" w:hanging="540"/>
      </w:pPr>
      <w:r>
        <w:rPr>
          <w:rFonts w:ascii="Arial" w:hAnsi="Arial" w:cs="Arial"/>
          <w:color w:val="000000"/>
          <w:sz w:val="20"/>
          <w:szCs w:val="20"/>
        </w:rPr>
        <w:t xml:space="preserve">Xavier University – Ateneo de Cagayan. (n.d.). </w:t>
      </w:r>
      <w:r>
        <w:rPr>
          <w:rFonts w:ascii="Arial" w:hAnsi="Arial" w:cs="Arial"/>
          <w:i/>
          <w:iCs/>
          <w:color w:val="000000"/>
          <w:sz w:val="20"/>
          <w:szCs w:val="20"/>
        </w:rPr>
        <w:t>Payment guidelines</w:t>
      </w:r>
      <w:r>
        <w:rPr>
          <w:rFonts w:ascii="Arial" w:hAnsi="Arial" w:cs="Arial"/>
          <w:color w:val="000000"/>
          <w:sz w:val="20"/>
          <w:szCs w:val="20"/>
        </w:rPr>
        <w:t>.</w:t>
      </w:r>
      <w:r>
        <w:fldChar w:fldCharType="begin"/>
      </w:r>
      <w:r>
        <w:instrText xml:space="preserve"> HYPERLINK "https://www.xu.edu.ph/payment-guidelines?utm_source=chatgpt.com" </w:instrText>
      </w:r>
      <w:r>
        <w:fldChar w:fldCharType="separate"/>
      </w:r>
      <w:r>
        <w:rPr>
          <w:rFonts w:ascii="Arial" w:hAnsi="Arial" w:cs="Arial"/>
          <w:color w:val="000000"/>
          <w:sz w:val="20"/>
          <w:szCs w:val="20"/>
        </w:rPr>
        <w:t xml:space="preserve"> </w:t>
      </w:r>
      <w:r>
        <w:rPr>
          <w:rFonts w:ascii="Arial" w:hAnsi="Arial" w:cs="Arial"/>
          <w:color w:val="000000"/>
          <w:sz w:val="20"/>
          <w:szCs w:val="20"/>
        </w:rPr>
        <w:fldChar w:fldCharType="end"/>
      </w:r>
      <w:r>
        <w:fldChar w:fldCharType="begin"/>
      </w:r>
      <w:r>
        <w:instrText xml:space="preserve"> HYPERLINK "https://www.xu.edu.ph/payment-guidelines" </w:instrText>
      </w:r>
      <w:r>
        <w:fldChar w:fldCharType="separate"/>
      </w:r>
      <w:r>
        <w:rPr>
          <w:rFonts w:ascii="Arial" w:hAnsi="Arial" w:cs="Arial"/>
          <w:color w:val="000000"/>
          <w:sz w:val="20"/>
          <w:szCs w:val="20"/>
        </w:rPr>
        <w:t>https://www.xu.edu.ph/payment-guidelines</w:t>
      </w:r>
      <w:r>
        <w:rPr>
          <w:rFonts w:ascii="Arial" w:hAnsi="Arial" w:cs="Arial"/>
          <w:color w:val="000000"/>
          <w:sz w:val="20"/>
          <w:szCs w:val="20"/>
        </w:rPr>
        <w:fldChar w:fldCharType="end"/>
      </w:r>
    </w:p>
    <w:sectPr>
      <w:footerReference r:id="rId7" w:type="default"/>
      <w:type w:val="continuous"/>
      <w:pgSz w:w="12240" w:h="15840"/>
      <w:pgMar w:top="1440" w:right="2016" w:bottom="2016" w:left="2016"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rif Zunaidi" w:date="2026-01-28T05:25:54Z" w:initials="">
    <w:p w14:paraId="45A1EA3C">
      <w:pPr>
        <w:pStyle w:val="11"/>
      </w:pPr>
      <w:r>
        <w:rPr>
          <w:rFonts w:hint="default"/>
        </w:rPr>
        <w:t>Address the research gap: Many studies focus on consumers and fintech, or Few discuss institutional financial practices, let alone higher education in developing countries.</w:t>
      </w:r>
    </w:p>
  </w:comment>
  <w:comment w:id="1" w:author="Arif Zunaidi" w:date="2026-01-28T05:33:57Z" w:initials="">
    <w:p w14:paraId="26FEE252">
      <w:pPr>
        <w:pStyle w:val="11"/>
      </w:pPr>
      <w:r>
        <w:rPr>
          <w:rFonts w:hint="default"/>
        </w:rPr>
        <w:t>Remove coingeek.com, remove OpenGov Asia. Replace with sources from BSP, PSA/DICT, World Bank/IMF. If specific data is not available from official sources, remove the numbers and keep only qualitative narratives.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A1EA3C" w15:done="0"/>
  <w15:commentEx w15:paraId="26FEE25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auto"/>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F25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A62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2272">
    <w:pPr>
      <w:ind w:left="2160"/>
      <w:jc w:val="center"/>
      <w:rPr>
        <w:rFonts w:eastAsia="Calibri"/>
        <w:i/>
        <w:sz w:val="18"/>
        <w:szCs w:val="22"/>
      </w:rPr>
    </w:pPr>
  </w:p>
  <w:p w14:paraId="26912930">
    <w:pPr>
      <w:ind w:left="4320"/>
      <w:rPr>
        <w:rFonts w:eastAsia="Calibri"/>
        <w:i/>
        <w:sz w:val="18"/>
        <w:szCs w:val="22"/>
      </w:rPr>
    </w:pPr>
    <w:r>
      <w:rPr>
        <w:rFonts w:eastAsia="Calibri"/>
        <w:i/>
        <w:sz w:val="18"/>
        <w:szCs w:val="22"/>
      </w:rPr>
      <w:t xml:space="preserve">.     </w:t>
    </w:r>
  </w:p>
  <w:p w14:paraId="29E5CBA3">
    <w:pPr>
      <w:jc w:val="center"/>
      <w:rPr>
        <w:rFonts w:eastAsia="Calibri"/>
        <w:i/>
        <w:sz w:val="18"/>
        <w:szCs w:val="22"/>
      </w:rPr>
    </w:pPr>
    <w:r>
      <w:rPr>
        <w:rFonts w:eastAsia="Calibri"/>
        <w:i/>
        <w:sz w:val="18"/>
        <w:szCs w:val="22"/>
      </w:rPr>
      <w:t>.</w:t>
    </w:r>
  </w:p>
  <w:p w14:paraId="6FC204B4">
    <w:pPr>
      <w:spacing w:after="200"/>
      <w:jc w:val="center"/>
      <w:rPr>
        <w:rFonts w:eastAsia="Calibri"/>
        <w:b/>
        <w:i/>
        <w:sz w:val="32"/>
        <w:szCs w:val="22"/>
      </w:rPr>
    </w:pPr>
    <w:r>
      <w:rPr>
        <w:rFonts w:eastAsia="Calibri"/>
        <w:b/>
        <w:i/>
        <w:sz w:val="32"/>
        <w:szCs w:val="22"/>
      </w:rPr>
      <w:t xml:space="preserve">              . </w:t>
    </w:r>
  </w:p>
  <w:p w14:paraId="013B5B17">
    <w:pPr>
      <w:jc w:val="center"/>
      <w:rPr>
        <w:rFonts w:eastAsia="Calibri"/>
        <w:i/>
        <w:sz w:val="18"/>
        <w:szCs w:val="22"/>
      </w:rPr>
    </w:pPr>
    <w:r>
      <w:rPr>
        <w:rFonts w:eastAsia="Calibri"/>
        <w:i/>
        <w:sz w:val="18"/>
        <w:szCs w:val="22"/>
      </w:rPr>
      <w:t xml:space="preserve">                     </w:t>
    </w:r>
  </w:p>
  <w:p w14:paraId="5D2231D5">
    <w:pPr>
      <w:tabs>
        <w:tab w:val="left" w:pos="2145"/>
      </w:tabs>
      <w:rPr>
        <w:rFonts w:eastAsia="Calibri"/>
        <w:i/>
        <w:sz w:val="18"/>
        <w:szCs w:val="22"/>
      </w:rPr>
    </w:pPr>
    <w:r>
      <w:rPr>
        <w:rFonts w:eastAsia="Calibri"/>
        <w:i/>
        <w:sz w:val="18"/>
        <w:szCs w:val="22"/>
      </w:rPr>
      <w:tab/>
    </w:r>
    <w:r>
      <w:rPr>
        <w:rFonts w:eastAsia="Calibri"/>
        <w:i/>
        <w:sz w:val="18"/>
        <w:szCs w:val="22"/>
      </w:rPr>
      <w:t>.</w:t>
    </w:r>
  </w:p>
  <w:p w14:paraId="03DEA63B">
    <w:pPr>
      <w:pStyle w:val="15"/>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C5C8F"/>
    <w:multiLevelType w:val="multilevel"/>
    <w:tmpl w:val="122C5C8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62F25AF"/>
    <w:multiLevelType w:val="multilevel"/>
    <w:tmpl w:val="262F25AF"/>
    <w:lvl w:ilvl="0" w:tentative="0">
      <w:start w:val="1"/>
      <w:numFmt w:val="decimal"/>
      <w:lvlText w:val="%1."/>
      <w:lvlJc w:val="left"/>
      <w:pPr>
        <w:tabs>
          <w:tab w:val="left" w:pos="720"/>
        </w:tabs>
        <w:ind w:left="720" w:hanging="360"/>
      </w:pPr>
      <w:rPr>
        <w:sz w:val="20"/>
        <w:szCs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25F6729"/>
    <w:multiLevelType w:val="multilevel"/>
    <w:tmpl w:val="425F672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A18611F"/>
    <w:multiLevelType w:val="multilevel"/>
    <w:tmpl w:val="6A1861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1604DCD"/>
    <w:multiLevelType w:val="singleLevel"/>
    <w:tmpl w:val="71604DCD"/>
    <w:lvl w:ilvl="0" w:tentative="0">
      <w:start w:val="1"/>
      <w:numFmt w:val="decimal"/>
      <w:pStyle w:val="36"/>
      <w:lvlText w:val="%1."/>
      <w:lvlJc w:val="left"/>
      <w:pPr>
        <w:tabs>
          <w:tab w:val="left" w:pos="360"/>
        </w:tabs>
        <w:ind w:left="360" w:hanging="360"/>
      </w:p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f Zunaidi">
    <w15:presenceInfo w15:providerId="WPS Office" w15:userId="143064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906B9"/>
    <w:rsid w:val="00095000"/>
    <w:rsid w:val="000A47FA"/>
    <w:rsid w:val="000A5E81"/>
    <w:rsid w:val="000A65D3"/>
    <w:rsid w:val="000B1E33"/>
    <w:rsid w:val="000D689F"/>
    <w:rsid w:val="000D7F9D"/>
    <w:rsid w:val="000E1F3F"/>
    <w:rsid w:val="000E395C"/>
    <w:rsid w:val="000E6557"/>
    <w:rsid w:val="000E7B7B"/>
    <w:rsid w:val="000E7D62"/>
    <w:rsid w:val="00103357"/>
    <w:rsid w:val="001165F5"/>
    <w:rsid w:val="00123C9F"/>
    <w:rsid w:val="00126190"/>
    <w:rsid w:val="00130F17"/>
    <w:rsid w:val="001320BF"/>
    <w:rsid w:val="00145F20"/>
    <w:rsid w:val="00151F25"/>
    <w:rsid w:val="00163BC4"/>
    <w:rsid w:val="00191062"/>
    <w:rsid w:val="00192B72"/>
    <w:rsid w:val="001957AA"/>
    <w:rsid w:val="001A29D8"/>
    <w:rsid w:val="001A5CAA"/>
    <w:rsid w:val="001B0427"/>
    <w:rsid w:val="001B1FD9"/>
    <w:rsid w:val="001C6080"/>
    <w:rsid w:val="001D3A51"/>
    <w:rsid w:val="001E10D2"/>
    <w:rsid w:val="001E25B4"/>
    <w:rsid w:val="001E44FE"/>
    <w:rsid w:val="001F1F8A"/>
    <w:rsid w:val="00200595"/>
    <w:rsid w:val="00204835"/>
    <w:rsid w:val="002250E2"/>
    <w:rsid w:val="00231920"/>
    <w:rsid w:val="0023195C"/>
    <w:rsid w:val="0024282C"/>
    <w:rsid w:val="002460DC"/>
    <w:rsid w:val="00247A52"/>
    <w:rsid w:val="00250985"/>
    <w:rsid w:val="002556F6"/>
    <w:rsid w:val="00283105"/>
    <w:rsid w:val="00284C4C"/>
    <w:rsid w:val="00287E68"/>
    <w:rsid w:val="00296529"/>
    <w:rsid w:val="002B27FB"/>
    <w:rsid w:val="002B685A"/>
    <w:rsid w:val="002B6ED2"/>
    <w:rsid w:val="002C57D2"/>
    <w:rsid w:val="002E0D56"/>
    <w:rsid w:val="002F252E"/>
    <w:rsid w:val="002F5A9D"/>
    <w:rsid w:val="00315186"/>
    <w:rsid w:val="003222F9"/>
    <w:rsid w:val="0033343E"/>
    <w:rsid w:val="003512C2"/>
    <w:rsid w:val="00371FB6"/>
    <w:rsid w:val="003763C1"/>
    <w:rsid w:val="00376BBE"/>
    <w:rsid w:val="0039224F"/>
    <w:rsid w:val="003A1D65"/>
    <w:rsid w:val="003A43A4"/>
    <w:rsid w:val="003A7E18"/>
    <w:rsid w:val="003B2560"/>
    <w:rsid w:val="003C4C86"/>
    <w:rsid w:val="003C6258"/>
    <w:rsid w:val="003E052C"/>
    <w:rsid w:val="003E2904"/>
    <w:rsid w:val="00401927"/>
    <w:rsid w:val="0041027F"/>
    <w:rsid w:val="00412475"/>
    <w:rsid w:val="00412978"/>
    <w:rsid w:val="00413E65"/>
    <w:rsid w:val="00423789"/>
    <w:rsid w:val="00440F43"/>
    <w:rsid w:val="00441B6F"/>
    <w:rsid w:val="00446221"/>
    <w:rsid w:val="00450ABB"/>
    <w:rsid w:val="00450E62"/>
    <w:rsid w:val="004539DB"/>
    <w:rsid w:val="0046623F"/>
    <w:rsid w:val="00467639"/>
    <w:rsid w:val="00471A80"/>
    <w:rsid w:val="004A3BFA"/>
    <w:rsid w:val="004D305E"/>
    <w:rsid w:val="004D4277"/>
    <w:rsid w:val="004F080F"/>
    <w:rsid w:val="00500E0E"/>
    <w:rsid w:val="00502516"/>
    <w:rsid w:val="00505F06"/>
    <w:rsid w:val="00506828"/>
    <w:rsid w:val="0053056E"/>
    <w:rsid w:val="00554FDA"/>
    <w:rsid w:val="00557BA1"/>
    <w:rsid w:val="00571825"/>
    <w:rsid w:val="0057596F"/>
    <w:rsid w:val="005C751F"/>
    <w:rsid w:val="005C7630"/>
    <w:rsid w:val="005C784C"/>
    <w:rsid w:val="005D17F6"/>
    <w:rsid w:val="005E50F8"/>
    <w:rsid w:val="005E5539"/>
    <w:rsid w:val="005F2A27"/>
    <w:rsid w:val="00602BF5"/>
    <w:rsid w:val="00617FDD"/>
    <w:rsid w:val="00633614"/>
    <w:rsid w:val="00633F68"/>
    <w:rsid w:val="00636EB2"/>
    <w:rsid w:val="006375B8"/>
    <w:rsid w:val="0066510A"/>
    <w:rsid w:val="00673F9F"/>
    <w:rsid w:val="00674F58"/>
    <w:rsid w:val="00683D46"/>
    <w:rsid w:val="00686953"/>
    <w:rsid w:val="00687DEA"/>
    <w:rsid w:val="00687E67"/>
    <w:rsid w:val="006967F7"/>
    <w:rsid w:val="006A250C"/>
    <w:rsid w:val="006A5937"/>
    <w:rsid w:val="006B21D3"/>
    <w:rsid w:val="006B57D0"/>
    <w:rsid w:val="006C39C8"/>
    <w:rsid w:val="006D30FF"/>
    <w:rsid w:val="006D5A7C"/>
    <w:rsid w:val="006D6940"/>
    <w:rsid w:val="006F11EC"/>
    <w:rsid w:val="006F39E3"/>
    <w:rsid w:val="0070082C"/>
    <w:rsid w:val="00714619"/>
    <w:rsid w:val="00714A5B"/>
    <w:rsid w:val="007369E6"/>
    <w:rsid w:val="00746E59"/>
    <w:rsid w:val="00754C9A"/>
    <w:rsid w:val="0075599A"/>
    <w:rsid w:val="00761D52"/>
    <w:rsid w:val="0077749E"/>
    <w:rsid w:val="00790ADA"/>
    <w:rsid w:val="007C4A5E"/>
    <w:rsid w:val="007D2288"/>
    <w:rsid w:val="007E088F"/>
    <w:rsid w:val="007F7B32"/>
    <w:rsid w:val="00800083"/>
    <w:rsid w:val="00804BC2"/>
    <w:rsid w:val="0081431A"/>
    <w:rsid w:val="0083216F"/>
    <w:rsid w:val="00860000"/>
    <w:rsid w:val="00863BD3"/>
    <w:rsid w:val="008641ED"/>
    <w:rsid w:val="00866582"/>
    <w:rsid w:val="00866D66"/>
    <w:rsid w:val="008671C6"/>
    <w:rsid w:val="00875803"/>
    <w:rsid w:val="00896597"/>
    <w:rsid w:val="008A44A2"/>
    <w:rsid w:val="008B459E"/>
    <w:rsid w:val="008E13AE"/>
    <w:rsid w:val="008E1506"/>
    <w:rsid w:val="008E710C"/>
    <w:rsid w:val="008F69D6"/>
    <w:rsid w:val="00902823"/>
    <w:rsid w:val="00915CA6"/>
    <w:rsid w:val="00927834"/>
    <w:rsid w:val="00946627"/>
    <w:rsid w:val="009500A6"/>
    <w:rsid w:val="00957C18"/>
    <w:rsid w:val="009659BA"/>
    <w:rsid w:val="0097054B"/>
    <w:rsid w:val="00977494"/>
    <w:rsid w:val="00983040"/>
    <w:rsid w:val="009A255A"/>
    <w:rsid w:val="009A331A"/>
    <w:rsid w:val="009B3FB9"/>
    <w:rsid w:val="009C2465"/>
    <w:rsid w:val="009C6F7C"/>
    <w:rsid w:val="009D35A0"/>
    <w:rsid w:val="009D7EB7"/>
    <w:rsid w:val="009E048A"/>
    <w:rsid w:val="009E08E9"/>
    <w:rsid w:val="009E3DB9"/>
    <w:rsid w:val="009E6E35"/>
    <w:rsid w:val="009F0EDA"/>
    <w:rsid w:val="00A03B96"/>
    <w:rsid w:val="00A05B19"/>
    <w:rsid w:val="00A1134E"/>
    <w:rsid w:val="00A24E7E"/>
    <w:rsid w:val="00A258C3"/>
    <w:rsid w:val="00A27744"/>
    <w:rsid w:val="00A347C0"/>
    <w:rsid w:val="00A4020B"/>
    <w:rsid w:val="00A51431"/>
    <w:rsid w:val="00A539AD"/>
    <w:rsid w:val="00A94063"/>
    <w:rsid w:val="00A95D1A"/>
    <w:rsid w:val="00AA13ED"/>
    <w:rsid w:val="00AA45F0"/>
    <w:rsid w:val="00AA6219"/>
    <w:rsid w:val="00AA74E0"/>
    <w:rsid w:val="00AB703F"/>
    <w:rsid w:val="00AC6BB8"/>
    <w:rsid w:val="00AD1E3F"/>
    <w:rsid w:val="00AE008F"/>
    <w:rsid w:val="00B01FCD"/>
    <w:rsid w:val="00B1776C"/>
    <w:rsid w:val="00B43556"/>
    <w:rsid w:val="00B4500D"/>
    <w:rsid w:val="00B52583"/>
    <w:rsid w:val="00B52896"/>
    <w:rsid w:val="00B84C4D"/>
    <w:rsid w:val="00B95236"/>
    <w:rsid w:val="00B95F86"/>
    <w:rsid w:val="00B96BD9"/>
    <w:rsid w:val="00BA1B01"/>
    <w:rsid w:val="00BA2641"/>
    <w:rsid w:val="00BB37AA"/>
    <w:rsid w:val="00BC53A0"/>
    <w:rsid w:val="00BC612C"/>
    <w:rsid w:val="00BE2238"/>
    <w:rsid w:val="00BE62AD"/>
    <w:rsid w:val="00BF121F"/>
    <w:rsid w:val="00BF1F80"/>
    <w:rsid w:val="00C06346"/>
    <w:rsid w:val="00C166EF"/>
    <w:rsid w:val="00C17EB0"/>
    <w:rsid w:val="00C27F5F"/>
    <w:rsid w:val="00C30A0F"/>
    <w:rsid w:val="00C37321"/>
    <w:rsid w:val="00C37E61"/>
    <w:rsid w:val="00C40137"/>
    <w:rsid w:val="00C412D2"/>
    <w:rsid w:val="00C44A33"/>
    <w:rsid w:val="00C57C62"/>
    <w:rsid w:val="00C61DCB"/>
    <w:rsid w:val="00C70F1B"/>
    <w:rsid w:val="00C71A47"/>
    <w:rsid w:val="00C7464C"/>
    <w:rsid w:val="00C83B34"/>
    <w:rsid w:val="00C85588"/>
    <w:rsid w:val="00C924F6"/>
    <w:rsid w:val="00CC30CF"/>
    <w:rsid w:val="00CD6755"/>
    <w:rsid w:val="00CD6856"/>
    <w:rsid w:val="00CE0089"/>
    <w:rsid w:val="00CE793C"/>
    <w:rsid w:val="00CF193C"/>
    <w:rsid w:val="00CF4E2F"/>
    <w:rsid w:val="00D060C4"/>
    <w:rsid w:val="00D173F1"/>
    <w:rsid w:val="00D20361"/>
    <w:rsid w:val="00D24709"/>
    <w:rsid w:val="00D5438A"/>
    <w:rsid w:val="00D65B2A"/>
    <w:rsid w:val="00D66C6A"/>
    <w:rsid w:val="00D74CB0"/>
    <w:rsid w:val="00D8295D"/>
    <w:rsid w:val="00DA0FC7"/>
    <w:rsid w:val="00DB2AD5"/>
    <w:rsid w:val="00DC2A65"/>
    <w:rsid w:val="00DC4F67"/>
    <w:rsid w:val="00DD71CE"/>
    <w:rsid w:val="00DE15F0"/>
    <w:rsid w:val="00DE5663"/>
    <w:rsid w:val="00DE78AA"/>
    <w:rsid w:val="00E053D0"/>
    <w:rsid w:val="00E15994"/>
    <w:rsid w:val="00E30244"/>
    <w:rsid w:val="00E3114E"/>
    <w:rsid w:val="00E31A70"/>
    <w:rsid w:val="00E33360"/>
    <w:rsid w:val="00E35B02"/>
    <w:rsid w:val="00E66496"/>
    <w:rsid w:val="00E66B35"/>
    <w:rsid w:val="00E66E10"/>
    <w:rsid w:val="00E769F6"/>
    <w:rsid w:val="00E8407C"/>
    <w:rsid w:val="00E84F3C"/>
    <w:rsid w:val="00EA012C"/>
    <w:rsid w:val="00EB4BAE"/>
    <w:rsid w:val="00EC6A55"/>
    <w:rsid w:val="00ED0288"/>
    <w:rsid w:val="00ED709E"/>
    <w:rsid w:val="00EE52CB"/>
    <w:rsid w:val="00EF4FE8"/>
    <w:rsid w:val="00EF581D"/>
    <w:rsid w:val="00EF7FD8"/>
    <w:rsid w:val="00F06F59"/>
    <w:rsid w:val="00F17988"/>
    <w:rsid w:val="00F469F0"/>
    <w:rsid w:val="00F53273"/>
    <w:rsid w:val="00F755E4"/>
    <w:rsid w:val="00F77D02"/>
    <w:rsid w:val="00FA0043"/>
    <w:rsid w:val="00FB3A86"/>
    <w:rsid w:val="00FC2F4F"/>
    <w:rsid w:val="00FD36C8"/>
    <w:rsid w:val="00FE7419"/>
    <w:rsid w:val="10A80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PH"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link w:val="69"/>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68"/>
    <w:semiHidden/>
    <w:unhideWhenUsed/>
    <w:qFormat/>
    <w:uiPriority w:val="0"/>
    <w:pPr>
      <w:keepNext/>
      <w:keepLines/>
      <w:spacing w:before="40"/>
      <w:outlineLvl w:val="2"/>
    </w:pPr>
    <w:rPr>
      <w:rFonts w:asciiTheme="majorHAnsi" w:hAnsiTheme="majorHAnsi" w:eastAsiaTheme="majorEastAsia" w:cstheme="majorBidi"/>
      <w:color w:val="254061" w:themeColor="accent1" w:themeShade="80"/>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64"/>
    <w:uiPriority w:val="0"/>
    <w:rPr>
      <w:rFonts w:ascii="Tahoma" w:hAnsi="Tahoma" w:cs="Tahoma"/>
      <w:sz w:val="16"/>
      <w:szCs w:val="16"/>
    </w:rPr>
  </w:style>
  <w:style w:type="paragraph" w:styleId="8">
    <w:name w:val="Body Text 2"/>
    <w:basedOn w:val="1"/>
    <w:link w:val="62"/>
    <w:uiPriority w:val="0"/>
    <w:pPr>
      <w:spacing w:after="120" w:line="480" w:lineRule="auto"/>
    </w:pPr>
  </w:style>
  <w:style w:type="paragraph" w:styleId="9">
    <w:name w:val="Body Text 3"/>
    <w:basedOn w:val="1"/>
    <w:link w:val="65"/>
    <w:uiPriority w:val="0"/>
    <w:pPr>
      <w:spacing w:after="120"/>
    </w:pPr>
    <w:rPr>
      <w:sz w:val="16"/>
      <w:szCs w:val="16"/>
    </w:rPr>
  </w:style>
  <w:style w:type="character" w:styleId="10">
    <w:name w:val="annotation reference"/>
    <w:basedOn w:val="5"/>
    <w:unhideWhenUsed/>
    <w:uiPriority w:val="99"/>
    <w:rPr>
      <w:sz w:val="16"/>
      <w:szCs w:val="16"/>
    </w:rPr>
  </w:style>
  <w:style w:type="paragraph" w:styleId="11">
    <w:name w:val="annotation text"/>
    <w:basedOn w:val="1"/>
    <w:link w:val="63"/>
    <w:unhideWhenUsed/>
    <w:uiPriority w:val="99"/>
    <w:rPr>
      <w:lang w:val="nb-NO" w:eastAsia="nb-NO"/>
    </w:rPr>
  </w:style>
  <w:style w:type="character" w:styleId="12">
    <w:name w:val="Emphasis"/>
    <w:basedOn w:val="5"/>
    <w:qFormat/>
    <w:uiPriority w:val="20"/>
    <w:rPr>
      <w:i/>
      <w:iCs/>
    </w:rPr>
  </w:style>
  <w:style w:type="character" w:styleId="13">
    <w:name w:val="FollowedHyperlink"/>
    <w:basedOn w:val="5"/>
    <w:uiPriority w:val="0"/>
    <w:rPr>
      <w:color w:val="800080"/>
      <w:u w:val="single"/>
    </w:rPr>
  </w:style>
  <w:style w:type="paragraph" w:styleId="14">
    <w:name w:val="footer"/>
    <w:basedOn w:val="1"/>
    <w:uiPriority w:val="0"/>
    <w:pPr>
      <w:tabs>
        <w:tab w:val="center" w:pos="4320"/>
        <w:tab w:val="right" w:pos="8640"/>
      </w:tabs>
    </w:pPr>
  </w:style>
  <w:style w:type="paragraph" w:styleId="15">
    <w:name w:val="header"/>
    <w:basedOn w:val="1"/>
    <w:uiPriority w:val="0"/>
    <w:pPr>
      <w:tabs>
        <w:tab w:val="center" w:pos="4320"/>
        <w:tab w:val="right" w:pos="8640"/>
      </w:tabs>
    </w:pPr>
  </w:style>
  <w:style w:type="character" w:styleId="16">
    <w:name w:val="Hyperlink"/>
    <w:basedOn w:val="5"/>
    <w:uiPriority w:val="99"/>
    <w:rPr>
      <w:color w:val="FF0080"/>
      <w:u w:val="single"/>
    </w:rPr>
  </w:style>
  <w:style w:type="character" w:styleId="17">
    <w:name w:val="line number"/>
    <w:basedOn w:val="5"/>
    <w:uiPriority w:val="0"/>
  </w:style>
  <w:style w:type="paragraph" w:styleId="18">
    <w:name w:val="Normal (Web)"/>
    <w:basedOn w:val="1"/>
    <w:unhideWhenUsed/>
    <w:uiPriority w:val="99"/>
    <w:pPr>
      <w:spacing w:before="100" w:beforeAutospacing="1" w:after="100" w:afterAutospacing="1"/>
    </w:pPr>
  </w:style>
  <w:style w:type="paragraph" w:styleId="19">
    <w:name w:val="Signature"/>
    <w:basedOn w:val="1"/>
    <w:uiPriority w:val="0"/>
    <w:pPr>
      <w:ind w:left="4320"/>
    </w:pPr>
  </w:style>
  <w:style w:type="character" w:styleId="20">
    <w:name w:val="Strong"/>
    <w:basedOn w:val="5"/>
    <w:qFormat/>
    <w:uiPriority w:val="22"/>
    <w:rPr>
      <w:b/>
      <w:bCs/>
    </w:rPr>
  </w:style>
  <w:style w:type="table" w:styleId="21">
    <w:name w:val="Table Grid"/>
    <w:basedOn w:val="6"/>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2">
    <w:name w:val="Title"/>
    <w:basedOn w:val="1"/>
    <w:qFormat/>
    <w:uiPriority w:val="0"/>
    <w:pPr>
      <w:spacing w:after="360"/>
      <w:jc w:val="right"/>
    </w:pPr>
    <w:rPr>
      <w:b/>
      <w:kern w:val="28"/>
      <w:sz w:val="36"/>
    </w:rPr>
  </w:style>
  <w:style w:type="paragraph" w:customStyle="1" w:styleId="23">
    <w:name w:val="Author"/>
    <w:basedOn w:val="1"/>
    <w:uiPriority w:val="0"/>
    <w:pPr>
      <w:spacing w:line="280" w:lineRule="exact"/>
      <w:jc w:val="right"/>
    </w:pPr>
    <w:rPr>
      <w:b/>
    </w:rPr>
  </w:style>
  <w:style w:type="paragraph" w:customStyle="1" w:styleId="24">
    <w:name w:val="Affiliation"/>
    <w:basedOn w:val="1"/>
    <w:uiPriority w:val="0"/>
    <w:pPr>
      <w:spacing w:after="240" w:line="240" w:lineRule="exact"/>
      <w:jc w:val="right"/>
    </w:pPr>
  </w:style>
  <w:style w:type="paragraph" w:customStyle="1" w:styleId="25">
    <w:name w:val="Body"/>
    <w:basedOn w:val="1"/>
    <w:uiPriority w:val="0"/>
    <w:pPr>
      <w:spacing w:after="240"/>
      <w:jc w:val="both"/>
    </w:pPr>
  </w:style>
  <w:style w:type="paragraph" w:customStyle="1" w:styleId="26">
    <w:name w:val="Abst Head"/>
    <w:basedOn w:val="27"/>
    <w:uiPriority w:val="0"/>
    <w:rPr>
      <w:sz w:val="22"/>
    </w:rPr>
  </w:style>
  <w:style w:type="paragraph" w:customStyle="1" w:styleId="27">
    <w:name w:val="Main Head"/>
    <w:basedOn w:val="1"/>
    <w:uiPriority w:val="0"/>
    <w:pPr>
      <w:keepNext/>
      <w:spacing w:after="240"/>
    </w:pPr>
    <w:rPr>
      <w:b/>
      <w:caps/>
    </w:rPr>
  </w:style>
  <w:style w:type="paragraph" w:customStyle="1" w:styleId="28">
    <w:name w:val="Intro Head"/>
    <w:basedOn w:val="27"/>
    <w:uiPriority w:val="0"/>
    <w:rPr>
      <w:sz w:val="22"/>
    </w:rPr>
  </w:style>
  <w:style w:type="paragraph" w:customStyle="1" w:styleId="29">
    <w:name w:val="Paper Number"/>
    <w:basedOn w:val="1"/>
    <w:uiPriority w:val="0"/>
    <w:pPr>
      <w:spacing w:after="280" w:line="280" w:lineRule="exact"/>
      <w:jc w:val="right"/>
    </w:pPr>
    <w:rPr>
      <w:b/>
      <w:sz w:val="28"/>
    </w:rPr>
  </w:style>
  <w:style w:type="paragraph" w:customStyle="1" w:styleId="30">
    <w:name w:val="Conc Head"/>
    <w:basedOn w:val="27"/>
    <w:uiPriority w:val="0"/>
    <w:rPr>
      <w:sz w:val="22"/>
    </w:rPr>
  </w:style>
  <w:style w:type="paragraph" w:customStyle="1" w:styleId="31">
    <w:name w:val="Ackn Head"/>
    <w:basedOn w:val="27"/>
    <w:uiPriority w:val="0"/>
    <w:rPr>
      <w:sz w:val="22"/>
    </w:rPr>
  </w:style>
  <w:style w:type="paragraph" w:customStyle="1" w:styleId="32">
    <w:name w:val="Refer Head"/>
    <w:basedOn w:val="27"/>
    <w:uiPriority w:val="0"/>
    <w:rPr>
      <w:sz w:val="22"/>
    </w:rPr>
  </w:style>
  <w:style w:type="paragraph" w:customStyle="1" w:styleId="33">
    <w:name w:val="AddSrc Head"/>
    <w:basedOn w:val="27"/>
    <w:uiPriority w:val="0"/>
    <w:rPr>
      <w:sz w:val="22"/>
    </w:rPr>
  </w:style>
  <w:style w:type="paragraph" w:customStyle="1" w:styleId="34">
    <w:name w:val="DefAcrHead"/>
    <w:basedOn w:val="27"/>
    <w:uiPriority w:val="0"/>
    <w:rPr>
      <w:sz w:val="22"/>
    </w:rPr>
  </w:style>
  <w:style w:type="paragraph" w:customStyle="1" w:styleId="35">
    <w:name w:val="Copyright"/>
    <w:basedOn w:val="1"/>
    <w:uiPriority w:val="0"/>
    <w:pPr>
      <w:spacing w:after="960" w:line="200" w:lineRule="exact"/>
    </w:pPr>
    <w:rPr>
      <w:sz w:val="16"/>
    </w:rPr>
  </w:style>
  <w:style w:type="paragraph" w:customStyle="1" w:styleId="36">
    <w:name w:val="Reference"/>
    <w:basedOn w:val="25"/>
    <w:uiPriority w:val="0"/>
    <w:pPr>
      <w:numPr>
        <w:ilvl w:val="0"/>
        <w:numId w:val="1"/>
      </w:numPr>
      <w:spacing w:after="0" w:line="240" w:lineRule="exact"/>
    </w:pPr>
  </w:style>
  <w:style w:type="paragraph" w:customStyle="1" w:styleId="37">
    <w:name w:val="Head1"/>
    <w:basedOn w:val="27"/>
    <w:uiPriority w:val="0"/>
    <w:rPr>
      <w:sz w:val="22"/>
    </w:rPr>
  </w:style>
  <w:style w:type="paragraph" w:customStyle="1" w:styleId="38">
    <w:name w:val="Contact Head"/>
    <w:basedOn w:val="27"/>
    <w:uiPriority w:val="0"/>
    <w:rPr>
      <w:sz w:val="22"/>
    </w:rPr>
  </w:style>
  <w:style w:type="paragraph" w:customStyle="1" w:styleId="39">
    <w:name w:val="Head3"/>
    <w:basedOn w:val="40"/>
    <w:uiPriority w:val="0"/>
    <w:rPr>
      <w:caps w:val="0"/>
      <w:u w:val="single"/>
    </w:rPr>
  </w:style>
  <w:style w:type="paragraph" w:customStyle="1" w:styleId="40">
    <w:name w:val="Head2"/>
    <w:basedOn w:val="1"/>
    <w:next w:val="25"/>
    <w:uiPriority w:val="0"/>
    <w:pPr>
      <w:keepNext/>
      <w:spacing w:after="240"/>
    </w:pPr>
    <w:rPr>
      <w:caps/>
    </w:rPr>
  </w:style>
  <w:style w:type="paragraph" w:customStyle="1" w:styleId="41">
    <w:name w:val="Head4"/>
    <w:basedOn w:val="39"/>
    <w:uiPriority w:val="0"/>
    <w:rPr>
      <w:u w:val="none"/>
    </w:rPr>
  </w:style>
  <w:style w:type="paragraph" w:customStyle="1" w:styleId="42">
    <w:name w:val="Unord List"/>
    <w:basedOn w:val="25"/>
    <w:uiPriority w:val="0"/>
    <w:pPr>
      <w:spacing w:after="0"/>
      <w:ind w:left="360" w:hanging="360"/>
    </w:pPr>
  </w:style>
  <w:style w:type="paragraph" w:customStyle="1" w:styleId="43">
    <w:name w:val="Ord List"/>
    <w:basedOn w:val="42"/>
    <w:uiPriority w:val="0"/>
    <w:pPr>
      <w:jc w:val="left"/>
    </w:pPr>
  </w:style>
  <w:style w:type="paragraph" w:customStyle="1" w:styleId="44">
    <w:name w:val="Appendix"/>
    <w:basedOn w:val="27"/>
    <w:uiPriority w:val="0"/>
    <w:rPr>
      <w:sz w:val="22"/>
    </w:rPr>
  </w:style>
  <w:style w:type="paragraph" w:customStyle="1" w:styleId="45">
    <w:name w:val="Term"/>
    <w:basedOn w:val="25"/>
    <w:uiPriority w:val="0"/>
    <w:pPr>
      <w:spacing w:after="0"/>
    </w:pPr>
    <w:rPr>
      <w:b/>
    </w:rPr>
  </w:style>
  <w:style w:type="paragraph" w:customStyle="1" w:styleId="46">
    <w:name w:val="Definition"/>
    <w:basedOn w:val="25"/>
    <w:uiPriority w:val="0"/>
  </w:style>
  <w:style w:type="character" w:customStyle="1" w:styleId="47">
    <w:name w:val="Bold"/>
    <w:uiPriority w:val="0"/>
    <w:rPr>
      <w:b/>
    </w:rPr>
  </w:style>
  <w:style w:type="character" w:customStyle="1" w:styleId="48">
    <w:name w:val="Italic"/>
    <w:uiPriority w:val="0"/>
    <w:rPr>
      <w:i/>
    </w:rPr>
  </w:style>
  <w:style w:type="character" w:customStyle="1" w:styleId="49">
    <w:name w:val="Underline"/>
    <w:uiPriority w:val="0"/>
    <w:rPr>
      <w:u w:val="single"/>
    </w:rPr>
  </w:style>
  <w:style w:type="paragraph" w:customStyle="1" w:styleId="50">
    <w:name w:val="Equation"/>
    <w:basedOn w:val="25"/>
    <w:uiPriority w:val="0"/>
  </w:style>
  <w:style w:type="paragraph" w:customStyle="1" w:styleId="51">
    <w:name w:val="Figure"/>
    <w:basedOn w:val="35"/>
    <w:uiPriority w:val="0"/>
    <w:pPr>
      <w:spacing w:after="240"/>
    </w:pPr>
    <w:rPr>
      <w:sz w:val="20"/>
    </w:rPr>
  </w:style>
  <w:style w:type="paragraph" w:customStyle="1" w:styleId="52">
    <w:name w:val="Head 4"/>
    <w:basedOn w:val="39"/>
    <w:uiPriority w:val="0"/>
    <w:rPr>
      <w:u w:val="none"/>
    </w:rPr>
  </w:style>
  <w:style w:type="paragraph" w:customStyle="1" w:styleId="53">
    <w:name w:val="Paper"/>
    <w:basedOn w:val="1"/>
    <w:uiPriority w:val="0"/>
    <w:pPr>
      <w:spacing w:after="360" w:line="440" w:lineRule="exact"/>
      <w:jc w:val="right"/>
    </w:pPr>
    <w:rPr>
      <w:b/>
      <w:sz w:val="36"/>
    </w:rPr>
  </w:style>
  <w:style w:type="character" w:customStyle="1" w:styleId="54">
    <w:name w:val="Subscript"/>
    <w:uiPriority w:val="0"/>
    <w:rPr>
      <w:vertAlign w:val="subscript"/>
    </w:rPr>
  </w:style>
  <w:style w:type="character" w:customStyle="1" w:styleId="55">
    <w:name w:val="Superscript"/>
    <w:uiPriority w:val="0"/>
    <w:rPr>
      <w:vertAlign w:val="superscript"/>
    </w:rPr>
  </w:style>
  <w:style w:type="character" w:customStyle="1" w:styleId="56">
    <w:name w:val="Symbol"/>
    <w:uiPriority w:val="0"/>
    <w:rPr>
      <w:rFonts w:ascii="Symbol" w:hAnsi="Symbol"/>
    </w:rPr>
  </w:style>
  <w:style w:type="paragraph" w:customStyle="1" w:styleId="57">
    <w:name w:val="Symbol P"/>
    <w:basedOn w:val="25"/>
    <w:uiPriority w:val="0"/>
    <w:pPr>
      <w:tabs>
        <w:tab w:val="left" w:pos="720"/>
        <w:tab w:val="left" w:pos="3780"/>
      </w:tabs>
      <w:spacing w:after="0"/>
    </w:pPr>
  </w:style>
  <w:style w:type="character" w:customStyle="1" w:styleId="58">
    <w:name w:val="BoldItal"/>
    <w:basedOn w:val="5"/>
    <w:uiPriority w:val="0"/>
    <w:rPr>
      <w:b/>
      <w:i/>
    </w:rPr>
  </w:style>
  <w:style w:type="character" w:customStyle="1" w:styleId="59">
    <w:name w:val="SubItal"/>
    <w:uiPriority w:val="0"/>
    <w:rPr>
      <w:i/>
      <w:vertAlign w:val="subscript"/>
    </w:rPr>
  </w:style>
  <w:style w:type="character" w:customStyle="1" w:styleId="60">
    <w:name w:val="SuperItal"/>
    <w:uiPriority w:val="0"/>
    <w:rPr>
      <w:i/>
      <w:vertAlign w:val="superscript"/>
    </w:rPr>
  </w:style>
  <w:style w:type="character" w:customStyle="1" w:styleId="61">
    <w:name w:val="SymItal"/>
    <w:uiPriority w:val="0"/>
    <w:rPr>
      <w:rFonts w:ascii="Symbol" w:hAnsi="Symbol"/>
      <w:i/>
    </w:rPr>
  </w:style>
  <w:style w:type="character" w:customStyle="1" w:styleId="62">
    <w:name w:val="Body Text 2 Char"/>
    <w:basedOn w:val="5"/>
    <w:link w:val="8"/>
    <w:uiPriority w:val="0"/>
    <w:rPr>
      <w:rFonts w:ascii="Helvetica" w:hAnsi="Helvetica"/>
    </w:rPr>
  </w:style>
  <w:style w:type="character" w:customStyle="1" w:styleId="63">
    <w:name w:val="Comment Text Char"/>
    <w:basedOn w:val="5"/>
    <w:link w:val="11"/>
    <w:uiPriority w:val="99"/>
    <w:rPr>
      <w:lang w:val="nb-NO" w:eastAsia="nb-NO"/>
    </w:rPr>
  </w:style>
  <w:style w:type="character" w:customStyle="1" w:styleId="64">
    <w:name w:val="Balloon Text Char"/>
    <w:basedOn w:val="5"/>
    <w:link w:val="7"/>
    <w:uiPriority w:val="0"/>
    <w:rPr>
      <w:rFonts w:ascii="Tahoma" w:hAnsi="Tahoma" w:cs="Tahoma"/>
      <w:sz w:val="16"/>
      <w:szCs w:val="16"/>
    </w:rPr>
  </w:style>
  <w:style w:type="character" w:customStyle="1" w:styleId="65">
    <w:name w:val="Body Text 3 Char"/>
    <w:basedOn w:val="5"/>
    <w:link w:val="9"/>
    <w:uiPriority w:val="0"/>
    <w:rPr>
      <w:rFonts w:ascii="Helvetica" w:hAnsi="Helvetica"/>
      <w:sz w:val="16"/>
      <w:szCs w:val="16"/>
    </w:rPr>
  </w:style>
  <w:style w:type="character" w:customStyle="1" w:styleId="66">
    <w:name w:val="Unresolved Mention"/>
    <w:basedOn w:val="5"/>
    <w:semiHidden/>
    <w:unhideWhenUsed/>
    <w:uiPriority w:val="99"/>
    <w:rPr>
      <w:color w:val="605E5C"/>
      <w:shd w:val="clear" w:color="auto" w:fill="E1DFDD"/>
    </w:rPr>
  </w:style>
  <w:style w:type="paragraph" w:styleId="67">
    <w:name w:val="List Paragraph"/>
    <w:basedOn w:val="1"/>
    <w:qFormat/>
    <w:uiPriority w:val="34"/>
    <w:pPr>
      <w:ind w:left="720"/>
      <w:contextualSpacing/>
    </w:pPr>
  </w:style>
  <w:style w:type="character" w:customStyle="1" w:styleId="68">
    <w:name w:val="Heading 3 Char"/>
    <w:basedOn w:val="5"/>
    <w:link w:val="4"/>
    <w:semiHidden/>
    <w:uiPriority w:val="0"/>
    <w:rPr>
      <w:rFonts w:asciiTheme="majorHAnsi" w:hAnsiTheme="majorHAnsi" w:eastAsiaTheme="majorEastAsia" w:cstheme="majorBidi"/>
      <w:color w:val="254061" w:themeColor="accent1" w:themeShade="80"/>
      <w:sz w:val="24"/>
      <w:szCs w:val="24"/>
    </w:rPr>
  </w:style>
  <w:style w:type="character" w:customStyle="1" w:styleId="69">
    <w:name w:val="Heading 2 Char"/>
    <w:basedOn w:val="5"/>
    <w:link w:val="3"/>
    <w:uiPriority w:val="9"/>
    <w:rPr>
      <w:rFonts w:asciiTheme="majorHAnsi" w:hAnsiTheme="majorHAnsi" w:eastAsiaTheme="majorEastAsia" w:cstheme="majorBidi"/>
      <w:color w:val="376092" w:themeColor="accent1" w:themeShade="BF"/>
      <w:sz w:val="26"/>
      <w:szCs w:val="26"/>
    </w:rPr>
  </w:style>
  <w:style w:type="character" w:customStyle="1" w:styleId="70">
    <w:name w:val="apple-tab-span"/>
    <w:basedOn w:val="5"/>
    <w:uiPriority w:val="0"/>
  </w:style>
  <w:style w:type="paragraph" w:customStyle="1" w:styleId="71">
    <w:name w:val="ds-markdown-paragraph"/>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E814AA-4FC4-467C-A829-E7F8419AEAE9}">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12</Pages>
  <Words>6060</Words>
  <Characters>34547</Characters>
  <Lines>287</Lines>
  <Paragraphs>81</Paragraphs>
  <TotalTime>47</TotalTime>
  <ScaleCrop>false</ScaleCrop>
  <LinksUpToDate>false</LinksUpToDate>
  <CharactersWithSpaces>40526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2026-01-26T17:54:00Z</dcterms:created>
  <dc:creator>SDI</dc:creator>
  <cp:lastModifiedBy>Arif Zunaidi</cp:lastModifiedBy>
  <cp:lastPrinted>1999-07-06T11:00:00Z</cp:lastPrinted>
  <dcterms:modified xsi:type="dcterms:W3CDTF">2026-01-27T22:35:07Z</dcterms:modified>
  <dc:title>Paper Template</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C04D9CBE2D194C39AFAE8E233A536743_12</vt:lpwstr>
  </property>
</Properties>
</file>