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1"/>
        <w:gridCol w:w="14273"/>
      </w:tblGrid>
      <w:tr w:rsidR="00602F7D" w:rsidRPr="00A93D0D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A93D0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93D0D" w:rsidTr="005C442B">
        <w:trPr>
          <w:trHeight w:val="290"/>
        </w:trPr>
        <w:tc>
          <w:tcPr>
            <w:tcW w:w="1591" w:type="pct"/>
            <w:vAlign w:val="center"/>
          </w:tcPr>
          <w:p w:rsidR="0000007A" w:rsidRPr="00A93D0D" w:rsidRDefault="0000007A" w:rsidP="005C44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4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93D0D" w:rsidRDefault="00321DF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E2438" w:rsidRPr="00A93D0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Economics, Business and Accounting</w:t>
              </w:r>
            </w:hyperlink>
          </w:p>
        </w:tc>
      </w:tr>
      <w:tr w:rsidR="0000007A" w:rsidRPr="00A93D0D" w:rsidTr="005C442B">
        <w:trPr>
          <w:trHeight w:val="290"/>
        </w:trPr>
        <w:tc>
          <w:tcPr>
            <w:tcW w:w="1591" w:type="pct"/>
            <w:vAlign w:val="center"/>
          </w:tcPr>
          <w:p w:rsidR="0000007A" w:rsidRPr="00A93D0D" w:rsidRDefault="0000007A" w:rsidP="005C44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4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93D0D" w:rsidRDefault="00E8508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Ms_AJEBA_151197</w:t>
            </w:r>
          </w:p>
        </w:tc>
      </w:tr>
      <w:tr w:rsidR="0000007A" w:rsidRPr="00A93D0D" w:rsidTr="005C442B">
        <w:trPr>
          <w:trHeight w:val="650"/>
        </w:trPr>
        <w:tc>
          <w:tcPr>
            <w:tcW w:w="1591" w:type="pct"/>
            <w:vAlign w:val="center"/>
          </w:tcPr>
          <w:p w:rsidR="0000007A" w:rsidRPr="00A93D0D" w:rsidRDefault="0000007A" w:rsidP="005C44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4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93D0D" w:rsidRDefault="00E850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/>
                <w:sz w:val="20"/>
                <w:szCs w:val="20"/>
                <w:lang w:val="en-GB"/>
              </w:rPr>
              <w:t>AI Companions, Virtual Influencers, and Nostalgia: Mediating Effects on Emotional Consumer Enga</w:t>
            </w:r>
            <w:r w:rsidR="005C442B" w:rsidRPr="00A93D0D">
              <w:rPr>
                <w:rFonts w:ascii="Arial" w:hAnsi="Arial" w:cs="Arial"/>
                <w:b/>
                <w:sz w:val="20"/>
                <w:szCs w:val="20"/>
                <w:lang w:val="en-GB"/>
              </w:rPr>
              <w:t>gement in the Loneliness Economy</w:t>
            </w:r>
          </w:p>
        </w:tc>
      </w:tr>
      <w:tr w:rsidR="00CF0BBB" w:rsidRPr="00A93D0D" w:rsidTr="005C442B">
        <w:trPr>
          <w:trHeight w:val="332"/>
        </w:trPr>
        <w:tc>
          <w:tcPr>
            <w:tcW w:w="1591" w:type="pct"/>
            <w:vAlign w:val="center"/>
          </w:tcPr>
          <w:p w:rsidR="00CF0BBB" w:rsidRPr="00A93D0D" w:rsidRDefault="00CF0BBB" w:rsidP="005C44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4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A93D0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82DF5" w:rsidRPr="00A93D0D" w:rsidRDefault="00E82DF5" w:rsidP="00E82DF5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:rsidR="00A93D0D" w:rsidRPr="00A93D0D" w:rsidRDefault="00A93D0D" w:rsidP="00E82DF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93D0D" w:rsidRPr="00A93D0D" w:rsidRDefault="00A93D0D" w:rsidP="00E82DF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93D0D" w:rsidRPr="00A93D0D" w:rsidRDefault="00A93D0D" w:rsidP="00E82DF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93D0D" w:rsidRPr="00A93D0D" w:rsidRDefault="00A93D0D" w:rsidP="00E82DF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2"/>
        <w:gridCol w:w="8786"/>
        <w:gridCol w:w="5592"/>
      </w:tblGrid>
      <w:tr w:rsidR="00E82DF5" w:rsidRPr="00A93D0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0903434"/>
            <w:r w:rsidRPr="00A93D0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93D0D">
              <w:rPr>
                <w:rFonts w:ascii="Arial" w:hAnsi="Arial" w:cs="Arial"/>
                <w:lang w:val="en-GB"/>
              </w:rPr>
              <w:t xml:space="preserve"> Comments</w:t>
            </w:r>
          </w:p>
          <w:p w:rsidR="00E82DF5" w:rsidRPr="00A93D0D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A93D0D" w:rsidTr="005C442B">
        <w:tc>
          <w:tcPr>
            <w:tcW w:w="1601" w:type="pct"/>
            <w:noWrap/>
          </w:tcPr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077" w:type="pct"/>
          </w:tcPr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3D0D">
              <w:rPr>
                <w:rFonts w:ascii="Arial" w:hAnsi="Arial" w:cs="Arial"/>
                <w:lang w:val="en-GB"/>
              </w:rPr>
              <w:t>Reviewer’s comment</w:t>
            </w:r>
          </w:p>
          <w:p w:rsidR="00EF54EA" w:rsidRPr="00A93D0D" w:rsidRDefault="00EF54EA" w:rsidP="00EF5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D0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F54EA" w:rsidRPr="00A93D0D" w:rsidRDefault="00EF54EA" w:rsidP="00EF5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2" w:type="pct"/>
          </w:tcPr>
          <w:p w:rsidR="003A04AA" w:rsidRPr="00A93D0D" w:rsidRDefault="003A04AA" w:rsidP="003A04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3D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3D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A93D0D" w:rsidTr="005C442B">
        <w:trPr>
          <w:trHeight w:val="1264"/>
        </w:trPr>
        <w:tc>
          <w:tcPr>
            <w:tcW w:w="1601" w:type="pct"/>
            <w:noWrap/>
            <w:vAlign w:val="center"/>
          </w:tcPr>
          <w:p w:rsidR="00E82DF5" w:rsidRPr="00A93D0D" w:rsidRDefault="00E82DF5" w:rsidP="005C44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E82DF5" w:rsidRPr="00A93D0D" w:rsidRDefault="00E82DF5" w:rsidP="005C442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77" w:type="pct"/>
            <w:vAlign w:val="center"/>
          </w:tcPr>
          <w:p w:rsidR="00E82DF5" w:rsidRPr="00A93D0D" w:rsidRDefault="00056F79" w:rsidP="005C44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Cs/>
                <w:sz w:val="20"/>
                <w:szCs w:val="20"/>
              </w:rPr>
              <w:t>The manuscript examines how AI companions, virtual influencers, and nostalgia</w:t>
            </w:r>
            <w:r w:rsidR="005C442B" w:rsidRPr="00A93D0D">
              <w:rPr>
                <w:rFonts w:ascii="Arial" w:hAnsi="Arial" w:cs="Arial"/>
                <w:bCs/>
                <w:sz w:val="20"/>
                <w:szCs w:val="20"/>
              </w:rPr>
              <w:t xml:space="preserve"> interact with </w:t>
            </w:r>
            <w:r w:rsidRPr="00A93D0D">
              <w:rPr>
                <w:rFonts w:ascii="Arial" w:hAnsi="Arial" w:cs="Arial"/>
                <w:bCs/>
                <w:sz w:val="20"/>
                <w:szCs w:val="20"/>
              </w:rPr>
              <w:t xml:space="preserve">emotional consumer engagement in the growing “loneliness economy.” It connects technological trends with consumer psychology and marketing practice, </w:t>
            </w:r>
            <w:r w:rsidR="005C442B" w:rsidRPr="00A93D0D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proofErr w:type="gramStart"/>
            <w:r w:rsidR="005C442B" w:rsidRPr="00A93D0D">
              <w:rPr>
                <w:rFonts w:ascii="Arial" w:hAnsi="Arial" w:cs="Arial"/>
                <w:bCs/>
                <w:sz w:val="20"/>
                <w:szCs w:val="20"/>
              </w:rPr>
              <w:t>raises</w:t>
            </w:r>
            <w:r w:rsidRPr="00A93D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C442B" w:rsidRPr="00A93D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3D0D">
              <w:rPr>
                <w:rFonts w:ascii="Arial" w:hAnsi="Arial" w:cs="Arial"/>
                <w:bCs/>
                <w:sz w:val="20"/>
                <w:szCs w:val="20"/>
              </w:rPr>
              <w:t>important</w:t>
            </w:r>
            <w:proofErr w:type="gramEnd"/>
            <w:r w:rsidRPr="00A93D0D">
              <w:rPr>
                <w:rFonts w:ascii="Arial" w:hAnsi="Arial" w:cs="Arial"/>
                <w:bCs/>
                <w:sz w:val="20"/>
                <w:szCs w:val="20"/>
              </w:rPr>
              <w:t xml:space="preserve"> ethical questions about turning emotional vulnerability into a commercial asset. </w:t>
            </w:r>
            <w:r w:rsidR="00A6480E" w:rsidRPr="00A93D0D">
              <w:rPr>
                <w:rFonts w:ascii="Arial" w:hAnsi="Arial" w:cs="Arial"/>
                <w:bCs/>
                <w:sz w:val="20"/>
                <w:szCs w:val="20"/>
              </w:rPr>
              <w:t>By emphasizing</w:t>
            </w:r>
            <w:r w:rsidRPr="00A93D0D">
              <w:rPr>
                <w:rFonts w:ascii="Arial" w:hAnsi="Arial" w:cs="Arial"/>
                <w:bCs/>
                <w:sz w:val="20"/>
                <w:szCs w:val="20"/>
              </w:rPr>
              <w:t xml:space="preserve"> on nostalgic sentiment as a mediating factor</w:t>
            </w:r>
            <w:r w:rsidR="00A6480E" w:rsidRPr="00A93D0D">
              <w:rPr>
                <w:rFonts w:ascii="Arial" w:hAnsi="Arial" w:cs="Arial"/>
                <w:bCs/>
                <w:sz w:val="20"/>
                <w:szCs w:val="20"/>
              </w:rPr>
              <w:t>, it can be thoughtful and add</w:t>
            </w:r>
            <w:r w:rsidRPr="00A93D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6480E" w:rsidRPr="00A93D0D">
              <w:rPr>
                <w:rFonts w:ascii="Arial" w:hAnsi="Arial" w:cs="Arial"/>
                <w:bCs/>
                <w:sz w:val="20"/>
                <w:szCs w:val="20"/>
              </w:rPr>
              <w:t xml:space="preserve">huge </w:t>
            </w:r>
            <w:r w:rsidRPr="00A93D0D">
              <w:rPr>
                <w:rFonts w:ascii="Arial" w:hAnsi="Arial" w:cs="Arial"/>
                <w:bCs/>
                <w:sz w:val="20"/>
                <w:szCs w:val="20"/>
              </w:rPr>
              <w:t xml:space="preserve">value to research on social relationships, nostalgia-driven marketing, and digital engagement. </w:t>
            </w:r>
            <w:r w:rsidR="00A6480E" w:rsidRPr="00A93D0D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Pr="00A93D0D">
              <w:rPr>
                <w:rFonts w:ascii="Arial" w:hAnsi="Arial" w:cs="Arial"/>
                <w:bCs/>
                <w:sz w:val="20"/>
                <w:szCs w:val="20"/>
              </w:rPr>
              <w:t xml:space="preserve"> clearer methodological detail and more transparent reporting of results, this paper could make a </w:t>
            </w:r>
            <w:r w:rsidR="00A6480E" w:rsidRPr="00A93D0D">
              <w:rPr>
                <w:rFonts w:ascii="Arial" w:hAnsi="Arial" w:cs="Arial"/>
                <w:bCs/>
                <w:sz w:val="20"/>
                <w:szCs w:val="20"/>
              </w:rPr>
              <w:t>great</w:t>
            </w:r>
            <w:r w:rsidRPr="00A93D0D">
              <w:rPr>
                <w:rFonts w:ascii="Arial" w:hAnsi="Arial" w:cs="Arial"/>
                <w:bCs/>
                <w:sz w:val="20"/>
                <w:szCs w:val="20"/>
              </w:rPr>
              <w:t xml:space="preserve"> interdisciplinary contribution to marketing, consumer psychology, and digital media studies.</w:t>
            </w:r>
          </w:p>
        </w:tc>
        <w:tc>
          <w:tcPr>
            <w:tcW w:w="1322" w:type="pct"/>
          </w:tcPr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A93D0D" w:rsidTr="005C442B">
        <w:trPr>
          <w:trHeight w:val="1262"/>
        </w:trPr>
        <w:tc>
          <w:tcPr>
            <w:tcW w:w="1601" w:type="pct"/>
            <w:noWrap/>
            <w:vAlign w:val="center"/>
          </w:tcPr>
          <w:p w:rsidR="00E82DF5" w:rsidRPr="00A93D0D" w:rsidRDefault="00E82DF5" w:rsidP="005C44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82DF5" w:rsidRPr="00A93D0D" w:rsidRDefault="00E82DF5" w:rsidP="005C44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82DF5" w:rsidRPr="00A93D0D" w:rsidRDefault="00E82DF5" w:rsidP="005C442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077" w:type="pct"/>
            <w:vAlign w:val="center"/>
          </w:tcPr>
          <w:p w:rsidR="00E82DF5" w:rsidRPr="00A93D0D" w:rsidRDefault="00A6480E" w:rsidP="005C44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</w:t>
            </w:r>
          </w:p>
        </w:tc>
        <w:tc>
          <w:tcPr>
            <w:tcW w:w="1322" w:type="pct"/>
          </w:tcPr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A93D0D" w:rsidTr="005C442B">
        <w:trPr>
          <w:trHeight w:val="1262"/>
        </w:trPr>
        <w:tc>
          <w:tcPr>
            <w:tcW w:w="1601" w:type="pct"/>
            <w:noWrap/>
            <w:vAlign w:val="center"/>
          </w:tcPr>
          <w:p w:rsidR="00E82DF5" w:rsidRPr="00A93D0D" w:rsidRDefault="00E82DF5" w:rsidP="005C442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93D0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E82DF5" w:rsidRPr="00A93D0D" w:rsidRDefault="00E82DF5" w:rsidP="005C442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077" w:type="pct"/>
            <w:vAlign w:val="center"/>
          </w:tcPr>
          <w:p w:rsidR="00E82DF5" w:rsidRPr="00A93D0D" w:rsidRDefault="00A6480E" w:rsidP="005C44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322" w:type="pct"/>
          </w:tcPr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A93D0D" w:rsidTr="005C442B">
        <w:trPr>
          <w:trHeight w:val="704"/>
        </w:trPr>
        <w:tc>
          <w:tcPr>
            <w:tcW w:w="1601" w:type="pct"/>
            <w:noWrap/>
            <w:vAlign w:val="center"/>
          </w:tcPr>
          <w:p w:rsidR="00E82DF5" w:rsidRPr="00A93D0D" w:rsidRDefault="00E82DF5" w:rsidP="005C442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93D0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077" w:type="pct"/>
            <w:vAlign w:val="center"/>
          </w:tcPr>
          <w:p w:rsidR="00E82DF5" w:rsidRPr="00A93D0D" w:rsidRDefault="00A6480E" w:rsidP="005C44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Cs/>
                <w:sz w:val="20"/>
                <w:szCs w:val="20"/>
              </w:rPr>
              <w:t>The conceptual model sound</w:t>
            </w:r>
            <w:r w:rsidR="00117317" w:rsidRPr="00A93D0D">
              <w:rPr>
                <w:rFonts w:ascii="Arial" w:hAnsi="Arial" w:cs="Arial"/>
                <w:bCs/>
                <w:sz w:val="20"/>
                <w:szCs w:val="20"/>
              </w:rPr>
              <w:t>s scientifically correct</w:t>
            </w:r>
            <w:r w:rsidRPr="00A93D0D">
              <w:rPr>
                <w:rFonts w:ascii="Arial" w:hAnsi="Arial" w:cs="Arial"/>
                <w:bCs/>
                <w:sz w:val="20"/>
                <w:szCs w:val="20"/>
              </w:rPr>
              <w:t>, but the manuscript requires additional analyses and clearer reporting to substantiate claims</w:t>
            </w:r>
            <w:r w:rsidR="00117317" w:rsidRPr="00A93D0D">
              <w:rPr>
                <w:rFonts w:ascii="Arial" w:hAnsi="Arial" w:cs="Arial"/>
                <w:bCs/>
                <w:sz w:val="20"/>
                <w:szCs w:val="20"/>
              </w:rPr>
              <w:t>. First of all, it should be reviewed if all tables/figures and parts of the demographic table are complete. Secondly, the author should scientifically clarify whether the nostalgia and nostalgic sentiment constructs are distinct conceptually and empirically.</w:t>
            </w:r>
          </w:p>
        </w:tc>
        <w:tc>
          <w:tcPr>
            <w:tcW w:w="1322" w:type="pct"/>
          </w:tcPr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A93D0D" w:rsidTr="005C442B">
        <w:trPr>
          <w:trHeight w:val="703"/>
        </w:trPr>
        <w:tc>
          <w:tcPr>
            <w:tcW w:w="1601" w:type="pct"/>
            <w:noWrap/>
            <w:vAlign w:val="center"/>
          </w:tcPr>
          <w:p w:rsidR="00E82DF5" w:rsidRPr="00A93D0D" w:rsidRDefault="00E82DF5" w:rsidP="005C44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077" w:type="pct"/>
            <w:vAlign w:val="center"/>
          </w:tcPr>
          <w:p w:rsidR="00E82DF5" w:rsidRPr="00A93D0D" w:rsidRDefault="00117317" w:rsidP="005C44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322" w:type="pct"/>
          </w:tcPr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A93D0D" w:rsidTr="005C442B">
        <w:trPr>
          <w:trHeight w:val="386"/>
        </w:trPr>
        <w:tc>
          <w:tcPr>
            <w:tcW w:w="1601" w:type="pct"/>
            <w:noWrap/>
            <w:vAlign w:val="center"/>
          </w:tcPr>
          <w:p w:rsidR="00E82DF5" w:rsidRPr="00A93D0D" w:rsidRDefault="00E82DF5" w:rsidP="005C442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93D0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E82DF5" w:rsidRPr="00A93D0D" w:rsidRDefault="00E82DF5" w:rsidP="005C44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7" w:type="pct"/>
          </w:tcPr>
          <w:p w:rsidR="00E82DF5" w:rsidRPr="00A93D0D" w:rsidRDefault="00117317" w:rsidP="001173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D0D">
              <w:rPr>
                <w:rFonts w:ascii="Arial" w:hAnsi="Arial" w:cs="Arial"/>
                <w:sz w:val="20"/>
                <w:szCs w:val="20"/>
              </w:rPr>
              <w:t xml:space="preserve">The paper readable but it would be better if it </w:t>
            </w:r>
            <w:proofErr w:type="gramStart"/>
            <w:r w:rsidRPr="00A93D0D">
              <w:rPr>
                <w:rFonts w:ascii="Arial" w:hAnsi="Arial" w:cs="Arial"/>
                <w:sz w:val="20"/>
                <w:szCs w:val="20"/>
              </w:rPr>
              <w:t>make</w:t>
            </w:r>
            <w:proofErr w:type="gramEnd"/>
            <w:r w:rsidRPr="00A93D0D">
              <w:rPr>
                <w:rFonts w:ascii="Arial" w:hAnsi="Arial" w:cs="Arial"/>
                <w:sz w:val="20"/>
                <w:szCs w:val="20"/>
              </w:rPr>
              <w:t xml:space="preserve"> some </w:t>
            </w:r>
            <w:r w:rsidRPr="00A93D0D">
              <w:rPr>
                <w:rFonts w:ascii="Arial" w:hAnsi="Arial" w:cs="Arial"/>
                <w:bCs/>
                <w:sz w:val="20"/>
                <w:szCs w:val="20"/>
              </w:rPr>
              <w:t>language polishing</w:t>
            </w:r>
            <w:r w:rsidRPr="00A93D0D">
              <w:rPr>
                <w:rFonts w:ascii="Arial" w:hAnsi="Arial" w:cs="Arial"/>
                <w:sz w:val="20"/>
                <w:szCs w:val="20"/>
              </w:rPr>
              <w:t xml:space="preserve"> for clarity, grammar, and academic tone. Nevertheless, the article suitable for scholarly communication. </w:t>
            </w:r>
          </w:p>
        </w:tc>
        <w:tc>
          <w:tcPr>
            <w:tcW w:w="1322" w:type="pct"/>
          </w:tcPr>
          <w:p w:rsidR="00E82DF5" w:rsidRPr="00A93D0D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A93D0D" w:rsidTr="005C442B">
        <w:trPr>
          <w:trHeight w:val="1178"/>
        </w:trPr>
        <w:tc>
          <w:tcPr>
            <w:tcW w:w="1601" w:type="pct"/>
            <w:noWrap/>
          </w:tcPr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93D0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93D0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93D0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E82DF5" w:rsidRPr="00A93D0D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077" w:type="pct"/>
          </w:tcPr>
          <w:p w:rsidR="00E82DF5" w:rsidRPr="00A93D0D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22" w:type="pct"/>
          </w:tcPr>
          <w:p w:rsidR="00E82DF5" w:rsidRPr="00A93D0D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E82DF5" w:rsidRPr="00A93D0D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7E8A" w:rsidRPr="00A93D0D" w:rsidRDefault="00177E8A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93D0D" w:rsidRPr="00A93D0D" w:rsidRDefault="00A93D0D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93D0D" w:rsidRPr="00A93D0D" w:rsidRDefault="00A93D0D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93D0D" w:rsidRPr="00A93D0D" w:rsidRDefault="00A93D0D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93D0D" w:rsidRPr="00A93D0D" w:rsidRDefault="00A93D0D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177E8A" w:rsidRPr="00A93D0D" w:rsidTr="00177E8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8A" w:rsidRPr="00A93D0D" w:rsidRDefault="00177E8A" w:rsidP="00177E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A93D0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93D0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77E8A" w:rsidRPr="00A93D0D" w:rsidRDefault="00177E8A" w:rsidP="00177E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7E8A" w:rsidRPr="00A93D0D" w:rsidTr="00177E8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8A" w:rsidRPr="00A93D0D" w:rsidRDefault="00177E8A" w:rsidP="00177E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E8A" w:rsidRPr="00A93D0D" w:rsidRDefault="00177E8A" w:rsidP="00177E8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3D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E8A" w:rsidRPr="00A93D0D" w:rsidRDefault="00177E8A" w:rsidP="00177E8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3D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3D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7E8A" w:rsidRPr="00A93D0D" w:rsidRDefault="00177E8A" w:rsidP="00177E8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7E8A" w:rsidRPr="00A93D0D" w:rsidTr="00177E8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8A" w:rsidRPr="00A93D0D" w:rsidRDefault="00177E8A" w:rsidP="00177E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93D0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77E8A" w:rsidRPr="00A93D0D" w:rsidRDefault="00177E8A" w:rsidP="00177E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8A" w:rsidRPr="00A93D0D" w:rsidRDefault="00177E8A" w:rsidP="00177E8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93D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93D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93D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77E8A" w:rsidRPr="00A93D0D" w:rsidRDefault="00177E8A" w:rsidP="00177E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E8A" w:rsidRPr="00A93D0D" w:rsidRDefault="00177E8A" w:rsidP="00177E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7E8A" w:rsidRPr="00A93D0D" w:rsidRDefault="00177E8A" w:rsidP="00177E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7E8A" w:rsidRPr="00A93D0D" w:rsidRDefault="00177E8A" w:rsidP="00177E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177E8A" w:rsidRPr="00A93D0D" w:rsidRDefault="00177E8A" w:rsidP="00177E8A">
      <w:pPr>
        <w:rPr>
          <w:rFonts w:ascii="Arial" w:hAnsi="Arial" w:cs="Arial"/>
          <w:sz w:val="20"/>
          <w:szCs w:val="20"/>
        </w:rPr>
      </w:pPr>
    </w:p>
    <w:p w:rsidR="00177E8A" w:rsidRPr="00A93D0D" w:rsidRDefault="00177E8A" w:rsidP="00177E8A">
      <w:pPr>
        <w:rPr>
          <w:rFonts w:ascii="Arial" w:hAnsi="Arial" w:cs="Arial"/>
          <w:sz w:val="20"/>
          <w:szCs w:val="20"/>
        </w:rPr>
      </w:pPr>
    </w:p>
    <w:p w:rsidR="00A93D0D" w:rsidRPr="00A93D0D" w:rsidRDefault="00A93D0D" w:rsidP="00A93D0D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19286403"/>
      <w:r w:rsidRPr="00A93D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:rsidR="00177E8A" w:rsidRPr="00A93D0D" w:rsidRDefault="00177E8A" w:rsidP="00177E8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A93D0D" w:rsidRPr="00A93D0D" w:rsidRDefault="00A93D0D" w:rsidP="00A93D0D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19286459"/>
      <w:bookmarkStart w:id="6" w:name="_GoBack"/>
      <w:proofErr w:type="spellStart"/>
      <w:r w:rsidRPr="00A93D0D">
        <w:rPr>
          <w:rFonts w:ascii="Arial" w:hAnsi="Arial" w:cs="Arial"/>
          <w:b/>
          <w:bCs/>
          <w:sz w:val="20"/>
          <w:szCs w:val="20"/>
          <w:lang w:val="en-GB"/>
        </w:rPr>
        <w:t>Odashev</w:t>
      </w:r>
      <w:proofErr w:type="spellEnd"/>
      <w:r w:rsidRPr="00A93D0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93D0D">
        <w:rPr>
          <w:rFonts w:ascii="Arial" w:hAnsi="Arial" w:cs="Arial"/>
          <w:b/>
          <w:bCs/>
          <w:sz w:val="20"/>
          <w:szCs w:val="20"/>
          <w:lang w:val="en-GB"/>
        </w:rPr>
        <w:t>Iqboljon</w:t>
      </w:r>
      <w:proofErr w:type="spellEnd"/>
      <w:r w:rsidRPr="00A93D0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93D0D">
        <w:rPr>
          <w:rFonts w:ascii="Arial" w:hAnsi="Arial" w:cs="Arial"/>
          <w:b/>
          <w:bCs/>
          <w:sz w:val="20"/>
          <w:szCs w:val="20"/>
          <w:lang w:val="en-GB"/>
        </w:rPr>
        <w:t>Mashrabjonovich</w:t>
      </w:r>
      <w:proofErr w:type="spellEnd"/>
      <w:r w:rsidRPr="00A93D0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93D0D">
        <w:rPr>
          <w:rFonts w:ascii="Arial" w:hAnsi="Arial" w:cs="Arial"/>
          <w:b/>
          <w:bCs/>
          <w:sz w:val="20"/>
          <w:szCs w:val="20"/>
          <w:lang w:val="en-GB"/>
        </w:rPr>
        <w:t>Institute for Macroeconomic and Regional</w:t>
      </w:r>
      <w:r w:rsidRPr="00A93D0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93D0D">
        <w:rPr>
          <w:rFonts w:ascii="Arial" w:hAnsi="Arial" w:cs="Arial"/>
          <w:b/>
          <w:bCs/>
          <w:sz w:val="20"/>
          <w:szCs w:val="20"/>
          <w:lang w:val="en-GB"/>
        </w:rPr>
        <w:t>Uzbekistan</w:t>
      </w:r>
    </w:p>
    <w:bookmarkEnd w:id="3"/>
    <w:bookmarkEnd w:id="5"/>
    <w:bookmarkEnd w:id="6"/>
    <w:p w:rsidR="00177E8A" w:rsidRPr="00A93D0D" w:rsidRDefault="00177E8A" w:rsidP="00177E8A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177E8A" w:rsidRPr="00A93D0D" w:rsidRDefault="00177E8A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77E8A" w:rsidRPr="00A93D0D" w:rsidSect="00B4332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DFF" w:rsidRPr="0000007A" w:rsidRDefault="00321DFF" w:rsidP="0099583E">
      <w:r>
        <w:separator/>
      </w:r>
    </w:p>
  </w:endnote>
  <w:endnote w:type="continuationSeparator" w:id="0">
    <w:p w:rsidR="00321DFF" w:rsidRPr="0000007A" w:rsidRDefault="00321D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938BD" w:rsidRPr="00D938BD">
      <w:rPr>
        <w:sz w:val="16"/>
      </w:rPr>
      <w:t xml:space="preserve">Version: </w:t>
    </w:r>
    <w:r w:rsidR="00F70534">
      <w:rPr>
        <w:sz w:val="16"/>
      </w:rPr>
      <w:t>3</w:t>
    </w:r>
    <w:r w:rsidR="00D938BD" w:rsidRPr="00D938BD">
      <w:rPr>
        <w:sz w:val="16"/>
      </w:rPr>
      <w:t xml:space="preserve"> (0</w:t>
    </w:r>
    <w:r w:rsidR="00F70534">
      <w:rPr>
        <w:sz w:val="16"/>
      </w:rPr>
      <w:t>7</w:t>
    </w:r>
    <w:r w:rsidR="00D938BD" w:rsidRPr="00D938B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DFF" w:rsidRPr="0000007A" w:rsidRDefault="00321DFF" w:rsidP="0099583E">
      <w:r>
        <w:separator/>
      </w:r>
    </w:p>
  </w:footnote>
  <w:footnote w:type="continuationSeparator" w:id="0">
    <w:p w:rsidR="00321DFF" w:rsidRPr="0000007A" w:rsidRDefault="00321D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7053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6F79"/>
    <w:rsid w:val="000577C2"/>
    <w:rsid w:val="0006257C"/>
    <w:rsid w:val="00084D7C"/>
    <w:rsid w:val="00091112"/>
    <w:rsid w:val="000936AC"/>
    <w:rsid w:val="00095A59"/>
    <w:rsid w:val="000A2134"/>
    <w:rsid w:val="000A6F41"/>
    <w:rsid w:val="000A7F1D"/>
    <w:rsid w:val="000B4EE5"/>
    <w:rsid w:val="000B74A1"/>
    <w:rsid w:val="000B757E"/>
    <w:rsid w:val="000C0837"/>
    <w:rsid w:val="000C3B7E"/>
    <w:rsid w:val="00100577"/>
    <w:rsid w:val="00101322"/>
    <w:rsid w:val="00117317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77E8A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2438"/>
    <w:rsid w:val="002E6D86"/>
    <w:rsid w:val="002F6935"/>
    <w:rsid w:val="00312559"/>
    <w:rsid w:val="00314E00"/>
    <w:rsid w:val="003204B8"/>
    <w:rsid w:val="00321DFF"/>
    <w:rsid w:val="00325209"/>
    <w:rsid w:val="00327424"/>
    <w:rsid w:val="0033692F"/>
    <w:rsid w:val="00346223"/>
    <w:rsid w:val="003A04AA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1CD4"/>
    <w:rsid w:val="004927DC"/>
    <w:rsid w:val="004B4CAD"/>
    <w:rsid w:val="004B4FDC"/>
    <w:rsid w:val="004C2902"/>
    <w:rsid w:val="004C3DF1"/>
    <w:rsid w:val="004D2E36"/>
    <w:rsid w:val="004D59FF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2574"/>
    <w:rsid w:val="005735A5"/>
    <w:rsid w:val="005A5BE0"/>
    <w:rsid w:val="005B12E0"/>
    <w:rsid w:val="005B2ED6"/>
    <w:rsid w:val="005C25A0"/>
    <w:rsid w:val="005C442B"/>
    <w:rsid w:val="005D230D"/>
    <w:rsid w:val="005D4DD2"/>
    <w:rsid w:val="00602F7D"/>
    <w:rsid w:val="00605952"/>
    <w:rsid w:val="00614586"/>
    <w:rsid w:val="00620677"/>
    <w:rsid w:val="00624032"/>
    <w:rsid w:val="006305A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5B6E"/>
    <w:rsid w:val="008F36E4"/>
    <w:rsid w:val="009324B5"/>
    <w:rsid w:val="00933C8B"/>
    <w:rsid w:val="00942422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43EA"/>
    <w:rsid w:val="00A31AAC"/>
    <w:rsid w:val="00A32905"/>
    <w:rsid w:val="00A36C95"/>
    <w:rsid w:val="00A37DE3"/>
    <w:rsid w:val="00A519D1"/>
    <w:rsid w:val="00A6343B"/>
    <w:rsid w:val="00A6480E"/>
    <w:rsid w:val="00A65C50"/>
    <w:rsid w:val="00A66DD2"/>
    <w:rsid w:val="00A93D0D"/>
    <w:rsid w:val="00A953B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5CBC"/>
    <w:rsid w:val="00B03A45"/>
    <w:rsid w:val="00B066E6"/>
    <w:rsid w:val="00B2236C"/>
    <w:rsid w:val="00B22FE6"/>
    <w:rsid w:val="00B3033D"/>
    <w:rsid w:val="00B356AF"/>
    <w:rsid w:val="00B43327"/>
    <w:rsid w:val="00B6006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6D03"/>
    <w:rsid w:val="00D3257B"/>
    <w:rsid w:val="00D40416"/>
    <w:rsid w:val="00D45CF7"/>
    <w:rsid w:val="00D4782A"/>
    <w:rsid w:val="00D7603E"/>
    <w:rsid w:val="00D76F46"/>
    <w:rsid w:val="00D8579C"/>
    <w:rsid w:val="00D90124"/>
    <w:rsid w:val="00D938BD"/>
    <w:rsid w:val="00D9392F"/>
    <w:rsid w:val="00D940D3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03C6"/>
    <w:rsid w:val="00E82DF5"/>
    <w:rsid w:val="00E85080"/>
    <w:rsid w:val="00E90A2A"/>
    <w:rsid w:val="00E972A7"/>
    <w:rsid w:val="00EA2839"/>
    <w:rsid w:val="00EB3E91"/>
    <w:rsid w:val="00EC45AD"/>
    <w:rsid w:val="00EC6894"/>
    <w:rsid w:val="00ED6B12"/>
    <w:rsid w:val="00EE0D3E"/>
    <w:rsid w:val="00EF326D"/>
    <w:rsid w:val="00EF53FE"/>
    <w:rsid w:val="00EF54EA"/>
    <w:rsid w:val="00F136AF"/>
    <w:rsid w:val="00F245A7"/>
    <w:rsid w:val="00F2643C"/>
    <w:rsid w:val="00F3295A"/>
    <w:rsid w:val="00F34D8E"/>
    <w:rsid w:val="00F3669D"/>
    <w:rsid w:val="00F405F8"/>
    <w:rsid w:val="00F41154"/>
    <w:rsid w:val="00F44539"/>
    <w:rsid w:val="00F4700F"/>
    <w:rsid w:val="00F51F7F"/>
    <w:rsid w:val="00F573EA"/>
    <w:rsid w:val="00F57E9D"/>
    <w:rsid w:val="00F70534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C78B3"/>
  <w15:docId w15:val="{BCA11C21-6399-4859-9F55-E8E2FDC9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9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ba.com/index.php/AJE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B5AF-53EE-4C12-BE86-BBB4DE46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https://journalajeba.com/index.php/AJEBA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14</cp:revision>
  <dcterms:created xsi:type="dcterms:W3CDTF">2026-01-10T04:52:00Z</dcterms:created>
  <dcterms:modified xsi:type="dcterms:W3CDTF">2026-01-14T07:04:00Z</dcterms:modified>
</cp:coreProperties>
</file>