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EEB" w:rsidRPr="00C0365E" w:rsidRDefault="00C87EEB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C87EEB" w:rsidRPr="00C0365E">
        <w:trPr>
          <w:trHeight w:val="290"/>
        </w:trPr>
        <w:tc>
          <w:tcPr>
            <w:tcW w:w="5168" w:type="dxa"/>
          </w:tcPr>
          <w:p w:rsidR="00C87EEB" w:rsidRPr="00C0365E" w:rsidRDefault="00733D0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0365E">
              <w:rPr>
                <w:rFonts w:ascii="Arial" w:hAnsi="Arial" w:cs="Arial"/>
                <w:sz w:val="20"/>
                <w:szCs w:val="20"/>
              </w:rPr>
              <w:t>Journal</w:t>
            </w:r>
            <w:r w:rsidRPr="00C0365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C87EEB" w:rsidRPr="00C0365E" w:rsidRDefault="006E2FD4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733D05" w:rsidRPr="00C0365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733D05" w:rsidRPr="00C0365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733D05" w:rsidRPr="00C0365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733D05" w:rsidRPr="00C0365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733D05" w:rsidRPr="00C0365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733D05" w:rsidRPr="00C0365E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733D05" w:rsidRPr="00C0365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Economics,</w:t>
              </w:r>
              <w:r w:rsidR="00733D05" w:rsidRPr="00C0365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733D05" w:rsidRPr="00C0365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Business</w:t>
              </w:r>
              <w:r w:rsidR="00733D05" w:rsidRPr="00C0365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733D05" w:rsidRPr="00C0365E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733D05" w:rsidRPr="00C0365E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733D05" w:rsidRPr="00C0365E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Accounting</w:t>
              </w:r>
            </w:hyperlink>
          </w:p>
        </w:tc>
      </w:tr>
      <w:tr w:rsidR="00C87EEB" w:rsidRPr="00C0365E">
        <w:trPr>
          <w:trHeight w:val="290"/>
        </w:trPr>
        <w:tc>
          <w:tcPr>
            <w:tcW w:w="5168" w:type="dxa"/>
          </w:tcPr>
          <w:p w:rsidR="00C87EEB" w:rsidRPr="00C0365E" w:rsidRDefault="00733D0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0365E">
              <w:rPr>
                <w:rFonts w:ascii="Arial" w:hAnsi="Arial" w:cs="Arial"/>
                <w:sz w:val="20"/>
                <w:szCs w:val="20"/>
              </w:rPr>
              <w:t>Manuscript</w:t>
            </w:r>
            <w:r w:rsidRPr="00C0365E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C87EEB" w:rsidRPr="00C0365E" w:rsidRDefault="00733D05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0365E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Ms_AJEBA_142252</w:t>
            </w:r>
          </w:p>
        </w:tc>
      </w:tr>
      <w:tr w:rsidR="00C87EEB" w:rsidRPr="00C0365E">
        <w:trPr>
          <w:trHeight w:val="650"/>
        </w:trPr>
        <w:tc>
          <w:tcPr>
            <w:tcW w:w="5168" w:type="dxa"/>
          </w:tcPr>
          <w:p w:rsidR="00C87EEB" w:rsidRPr="00C0365E" w:rsidRDefault="00733D0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0365E">
              <w:rPr>
                <w:rFonts w:ascii="Arial" w:hAnsi="Arial" w:cs="Arial"/>
                <w:sz w:val="20"/>
                <w:szCs w:val="20"/>
              </w:rPr>
              <w:t>Title</w:t>
            </w:r>
            <w:r w:rsidRPr="00C036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of</w:t>
            </w:r>
            <w:r w:rsidRPr="00C03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the</w:t>
            </w:r>
            <w:r w:rsidRPr="00C03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C87EEB" w:rsidRPr="00C0365E" w:rsidRDefault="00733D05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0365E">
              <w:rPr>
                <w:rFonts w:ascii="Arial" w:hAnsi="Arial" w:cs="Arial"/>
                <w:b/>
                <w:sz w:val="20"/>
                <w:szCs w:val="20"/>
              </w:rPr>
              <w:t>Reducing</w:t>
            </w:r>
            <w:r w:rsidRPr="00C0365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Transaction</w:t>
            </w:r>
            <w:r w:rsidRPr="00C0365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Costs</w:t>
            </w:r>
            <w:r w:rsidRPr="00C0365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0365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Financing</w:t>
            </w:r>
            <w:r w:rsidRPr="00C0365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Knowledge-Based</w:t>
            </w:r>
            <w:r w:rsidRPr="00C0365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Firms:</w:t>
            </w:r>
            <w:r w:rsidRPr="00C0365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Insights</w:t>
            </w:r>
            <w:r w:rsidRPr="00C0365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C0365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pacing w:val="-4"/>
                <w:sz w:val="20"/>
                <w:szCs w:val="20"/>
              </w:rPr>
              <w:t>Iran</w:t>
            </w:r>
          </w:p>
        </w:tc>
      </w:tr>
      <w:tr w:rsidR="00C87EEB" w:rsidRPr="00C0365E">
        <w:trPr>
          <w:trHeight w:val="333"/>
        </w:trPr>
        <w:tc>
          <w:tcPr>
            <w:tcW w:w="5168" w:type="dxa"/>
          </w:tcPr>
          <w:p w:rsidR="00C87EEB" w:rsidRPr="00C0365E" w:rsidRDefault="00733D05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0365E">
              <w:rPr>
                <w:rFonts w:ascii="Arial" w:hAnsi="Arial" w:cs="Arial"/>
                <w:sz w:val="20"/>
                <w:szCs w:val="20"/>
              </w:rPr>
              <w:t>Type</w:t>
            </w:r>
            <w:r w:rsidRPr="00C03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of</w:t>
            </w:r>
            <w:r w:rsidRPr="00C036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the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C87EEB" w:rsidRPr="00C0365E" w:rsidRDefault="00733D05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0365E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C0365E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0365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C87EEB" w:rsidRPr="00C0365E" w:rsidRDefault="00C87EE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4"/>
        <w:gridCol w:w="9356"/>
        <w:gridCol w:w="6445"/>
      </w:tblGrid>
      <w:tr w:rsidR="00C87EEB" w:rsidRPr="00C0365E" w:rsidTr="00C0365E">
        <w:trPr>
          <w:trHeight w:val="450"/>
        </w:trPr>
        <w:tc>
          <w:tcPr>
            <w:tcW w:w="21075" w:type="dxa"/>
            <w:gridSpan w:val="3"/>
            <w:tcBorders>
              <w:top w:val="nil"/>
              <w:left w:val="nil"/>
              <w:right w:val="nil"/>
            </w:tcBorders>
          </w:tcPr>
          <w:p w:rsidR="00C87EEB" w:rsidRPr="00C0365E" w:rsidRDefault="00733D0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0365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0365E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C0365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036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C87EEB" w:rsidRPr="00C0365E" w:rsidTr="00C0365E">
        <w:trPr>
          <w:trHeight w:val="964"/>
        </w:trPr>
        <w:tc>
          <w:tcPr>
            <w:tcW w:w="5274" w:type="dxa"/>
          </w:tcPr>
          <w:p w:rsidR="00C87EEB" w:rsidRPr="00C0365E" w:rsidRDefault="00C87EE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C87EEB" w:rsidRPr="00C0365E" w:rsidRDefault="00733D0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0365E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0365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C87EEB" w:rsidRPr="00C0365E" w:rsidRDefault="00733D05">
            <w:pPr>
              <w:pStyle w:val="TableParagraph"/>
              <w:ind w:left="108" w:right="286"/>
              <w:rPr>
                <w:rFonts w:ascii="Arial" w:hAnsi="Arial" w:cs="Arial"/>
                <w:b/>
                <w:sz w:val="20"/>
                <w:szCs w:val="20"/>
              </w:rPr>
            </w:pPr>
            <w:r w:rsidRPr="00C0365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0365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0365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0365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0365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0365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0365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0365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0365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0365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0365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0365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0365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0365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0365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0365E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0365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C0365E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0365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C0365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0365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C0365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0365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C0365E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0365E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C036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C87EEB" w:rsidRPr="00C0365E" w:rsidRDefault="00733D05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b/>
                <w:sz w:val="20"/>
                <w:szCs w:val="20"/>
              </w:rPr>
            </w:pPr>
            <w:r w:rsidRPr="00C0365E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0365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036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(It</w:t>
            </w:r>
            <w:r w:rsidRPr="00C0365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0365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mandatory</w:t>
            </w:r>
            <w:r w:rsidRPr="00C036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C0365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C0365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C036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0365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his/her feedback here)</w:t>
            </w:r>
          </w:p>
        </w:tc>
      </w:tr>
      <w:tr w:rsidR="00C87EEB" w:rsidRPr="00C0365E" w:rsidTr="00C0365E">
        <w:trPr>
          <w:trHeight w:val="1610"/>
        </w:trPr>
        <w:tc>
          <w:tcPr>
            <w:tcW w:w="5274" w:type="dxa"/>
          </w:tcPr>
          <w:p w:rsidR="00C87EEB" w:rsidRPr="00C0365E" w:rsidRDefault="00733D0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0365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0365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036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036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0365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0365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0365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65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C0365E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C87EEB" w:rsidRPr="00C0365E" w:rsidRDefault="00733D05">
            <w:pPr>
              <w:pStyle w:val="TableParagraph"/>
              <w:ind w:left="108" w:right="286"/>
              <w:rPr>
                <w:rFonts w:ascii="Arial" w:hAnsi="Arial" w:cs="Arial"/>
                <w:sz w:val="20"/>
                <w:szCs w:val="20"/>
              </w:rPr>
            </w:pPr>
            <w:r w:rsidRPr="00C0365E">
              <w:rPr>
                <w:rFonts w:ascii="Arial" w:hAnsi="Arial" w:cs="Arial"/>
                <w:sz w:val="20"/>
                <w:szCs w:val="20"/>
              </w:rPr>
              <w:t>This manuscript makes a meaningful contribution to the scientific community by addressing a critical gap in current knowledge and offering new insights that can inform both theory and practice. Its methodology is rigorous</w:t>
            </w:r>
            <w:r w:rsidRPr="00C036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and</w:t>
            </w:r>
            <w:r w:rsidRPr="00C036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replicable,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ensuring</w:t>
            </w:r>
            <w:r w:rsidRPr="00C036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that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future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researchers</w:t>
            </w:r>
            <w:r w:rsidRPr="00C036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can</w:t>
            </w:r>
            <w:r w:rsidRPr="00C036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build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upon</w:t>
            </w:r>
            <w:r w:rsidRPr="00C036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its</w:t>
            </w:r>
            <w:r w:rsidRPr="00C036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findings</w:t>
            </w:r>
            <w:r w:rsidRPr="00C036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with</w:t>
            </w:r>
            <w:r w:rsidRPr="00C036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confidence.</w:t>
            </w:r>
            <w:r w:rsidRPr="00C03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The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results have broad implications across multiple domains, offering valuable guidance for policymakers, academics, and practitioners alike. By advancing understanding in this area, the manuscript supports continued innovation and evidence-based decision-making within the field.</w:t>
            </w:r>
          </w:p>
        </w:tc>
        <w:tc>
          <w:tcPr>
            <w:tcW w:w="6445" w:type="dxa"/>
          </w:tcPr>
          <w:p w:rsidR="00C87EEB" w:rsidRPr="00C0365E" w:rsidRDefault="00C87EE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EB" w:rsidRPr="00C0365E" w:rsidTr="00C0365E">
        <w:trPr>
          <w:trHeight w:val="1262"/>
        </w:trPr>
        <w:tc>
          <w:tcPr>
            <w:tcW w:w="5274" w:type="dxa"/>
          </w:tcPr>
          <w:p w:rsidR="00C87EEB" w:rsidRPr="00C0365E" w:rsidRDefault="00733D05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0365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036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65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036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0365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65E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0365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87EEB" w:rsidRPr="00C0365E" w:rsidRDefault="00733D0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0365E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036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036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036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036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036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036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AA3B94" w:rsidRPr="00C0365E" w:rsidRDefault="00733D05">
            <w:pPr>
              <w:pStyle w:val="TableParagraph"/>
              <w:spacing w:before="1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C0365E">
              <w:rPr>
                <w:rFonts w:ascii="Arial" w:hAnsi="Arial" w:cs="Arial"/>
                <w:sz w:val="20"/>
                <w:szCs w:val="20"/>
              </w:rPr>
              <w:t>Yes,</w:t>
            </w:r>
            <w:r w:rsidRPr="00C036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the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title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of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the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Article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is</w:t>
            </w:r>
            <w:r w:rsidRPr="00C036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pacing w:val="-2"/>
                <w:sz w:val="20"/>
                <w:szCs w:val="20"/>
              </w:rPr>
              <w:t>suitable</w:t>
            </w:r>
          </w:p>
          <w:p w:rsidR="00AA3B94" w:rsidRPr="00C0365E" w:rsidRDefault="00AA3B94" w:rsidP="00AA3B94">
            <w:pPr>
              <w:rPr>
                <w:rFonts w:ascii="Arial" w:hAnsi="Arial" w:cs="Arial"/>
                <w:sz w:val="20"/>
                <w:szCs w:val="20"/>
              </w:rPr>
            </w:pPr>
          </w:p>
          <w:p w:rsidR="00AA3B94" w:rsidRPr="00C0365E" w:rsidRDefault="00AA3B94" w:rsidP="00AA3B94">
            <w:pPr>
              <w:rPr>
                <w:rFonts w:ascii="Arial" w:hAnsi="Arial" w:cs="Arial"/>
                <w:sz w:val="20"/>
                <w:szCs w:val="20"/>
              </w:rPr>
            </w:pPr>
          </w:p>
          <w:p w:rsidR="00C87EEB" w:rsidRPr="00C0365E" w:rsidRDefault="00C87EEB" w:rsidP="00AA3B94">
            <w:pPr>
              <w:tabs>
                <w:tab w:val="left" w:pos="29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5" w:type="dxa"/>
          </w:tcPr>
          <w:p w:rsidR="00C87EEB" w:rsidRPr="00C0365E" w:rsidRDefault="00C87EE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EB" w:rsidRPr="00C0365E" w:rsidTr="00C0365E">
        <w:trPr>
          <w:trHeight w:val="555"/>
        </w:trPr>
        <w:tc>
          <w:tcPr>
            <w:tcW w:w="5274" w:type="dxa"/>
          </w:tcPr>
          <w:p w:rsidR="00C87EEB" w:rsidRPr="00C0365E" w:rsidRDefault="00733D0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0365E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C036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6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0365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C036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036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036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036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0365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0365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C87EEB" w:rsidRPr="00C0365E" w:rsidRDefault="00733D05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C0365E">
              <w:rPr>
                <w:rFonts w:ascii="Arial" w:hAnsi="Arial" w:cs="Arial"/>
                <w:sz w:val="20"/>
                <w:szCs w:val="20"/>
              </w:rPr>
              <w:t>Yes,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the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abstract</w:t>
            </w:r>
            <w:r w:rsidRPr="00C036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is</w:t>
            </w:r>
            <w:r w:rsidRPr="00C036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and</w:t>
            </w:r>
            <w:r w:rsidRPr="00C036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represents</w:t>
            </w:r>
            <w:r w:rsidRPr="00C036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a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synopsis</w:t>
            </w:r>
            <w:r w:rsidRPr="00C036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of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the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whole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article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by</w:t>
            </w:r>
            <w:r w:rsidRPr="00C036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outlining</w:t>
            </w:r>
            <w:r w:rsidRPr="00C036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key</w:t>
            </w:r>
            <w:r w:rsidRPr="00C036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areas</w:t>
            </w:r>
            <w:r w:rsidRPr="00C036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of research and the relevance of the work</w:t>
            </w:r>
          </w:p>
        </w:tc>
        <w:tc>
          <w:tcPr>
            <w:tcW w:w="6445" w:type="dxa"/>
          </w:tcPr>
          <w:p w:rsidR="00C87EEB" w:rsidRPr="00C0365E" w:rsidRDefault="00C87EE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EB" w:rsidRPr="00C0365E" w:rsidTr="00C0365E">
        <w:trPr>
          <w:trHeight w:val="705"/>
        </w:trPr>
        <w:tc>
          <w:tcPr>
            <w:tcW w:w="5274" w:type="dxa"/>
          </w:tcPr>
          <w:p w:rsidR="00C87EEB" w:rsidRPr="00C0365E" w:rsidRDefault="00733D0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0365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0365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65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0365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0365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0365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0365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C0365E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C87EEB" w:rsidRPr="00C0365E" w:rsidRDefault="00733D0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0365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C87EEB" w:rsidRPr="00C0365E" w:rsidRDefault="00C87EE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EB" w:rsidRPr="00C0365E" w:rsidTr="00C0365E">
        <w:trPr>
          <w:trHeight w:val="703"/>
        </w:trPr>
        <w:tc>
          <w:tcPr>
            <w:tcW w:w="5274" w:type="dxa"/>
          </w:tcPr>
          <w:p w:rsidR="00C87EEB" w:rsidRPr="00C0365E" w:rsidRDefault="00733D0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0365E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036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65E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0365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0365E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0365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0365E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036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036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C87EEB" w:rsidRPr="00C0365E" w:rsidRDefault="00733D05">
            <w:pPr>
              <w:pStyle w:val="TableParagraph"/>
              <w:spacing w:line="230" w:lineRule="atLeas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0365E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C0365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0365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C0365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C0365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0365E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C87EEB" w:rsidRPr="00C0365E" w:rsidRDefault="00733D0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0365E">
              <w:rPr>
                <w:rFonts w:ascii="Arial" w:hAnsi="Arial" w:cs="Arial"/>
                <w:sz w:val="20"/>
                <w:szCs w:val="20"/>
              </w:rPr>
              <w:t>References</w:t>
            </w:r>
            <w:r w:rsidRPr="00C036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are</w:t>
            </w:r>
            <w:r w:rsidRPr="00C036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sufficient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but</w:t>
            </w:r>
            <w:r w:rsidRPr="00C036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do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not</w:t>
            </w:r>
            <w:r w:rsidRPr="00C036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appear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to</w:t>
            </w:r>
            <w:r w:rsidRPr="00C03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be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well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pacing w:val="-2"/>
                <w:sz w:val="20"/>
                <w:szCs w:val="20"/>
              </w:rPr>
              <w:t>cited.</w:t>
            </w:r>
          </w:p>
        </w:tc>
        <w:tc>
          <w:tcPr>
            <w:tcW w:w="6445" w:type="dxa"/>
          </w:tcPr>
          <w:p w:rsidR="00C87EEB" w:rsidRPr="00C0365E" w:rsidRDefault="00C87EE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EB" w:rsidRPr="00C0365E" w:rsidTr="00C0365E">
        <w:trPr>
          <w:trHeight w:val="690"/>
        </w:trPr>
        <w:tc>
          <w:tcPr>
            <w:tcW w:w="5274" w:type="dxa"/>
          </w:tcPr>
          <w:p w:rsidR="00C87EEB" w:rsidRPr="00C0365E" w:rsidRDefault="00733D05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0365E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0365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6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0365E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0365E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0365E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65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0365E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C87EEB" w:rsidRPr="00C0365E" w:rsidRDefault="00733D0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0365E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C87EEB" w:rsidRPr="00C0365E" w:rsidRDefault="00C87EE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EB" w:rsidRPr="00C0365E" w:rsidTr="00C0365E">
        <w:trPr>
          <w:trHeight w:val="1758"/>
        </w:trPr>
        <w:tc>
          <w:tcPr>
            <w:tcW w:w="5274" w:type="dxa"/>
          </w:tcPr>
          <w:p w:rsidR="00C87EEB" w:rsidRPr="00C0365E" w:rsidRDefault="00733D05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0365E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C0365E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C87EEB" w:rsidRPr="00C0365E" w:rsidRDefault="00733D05">
            <w:pPr>
              <w:pStyle w:val="TableParagraph"/>
              <w:spacing w:line="532" w:lineRule="auto"/>
              <w:ind w:left="108" w:right="1187"/>
              <w:rPr>
                <w:rFonts w:ascii="Arial" w:hAnsi="Arial" w:cs="Arial"/>
                <w:sz w:val="20"/>
                <w:szCs w:val="20"/>
              </w:rPr>
            </w:pPr>
            <w:r w:rsidRPr="00C0365E">
              <w:rPr>
                <w:rFonts w:ascii="Arial" w:hAnsi="Arial" w:cs="Arial"/>
                <w:sz w:val="20"/>
                <w:szCs w:val="20"/>
              </w:rPr>
              <w:t>The paper is relevant to the theme of the journal. The paper</w:t>
            </w:r>
            <w:r w:rsidRPr="00C0365E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is</w:t>
            </w:r>
            <w:r w:rsidRPr="00C036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well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structured</w:t>
            </w:r>
            <w:r w:rsidRPr="00C036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and</w:t>
            </w:r>
            <w:r w:rsidRPr="00C036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the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approach</w:t>
            </w:r>
            <w:r w:rsidRPr="00C036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used</w:t>
            </w:r>
            <w:r w:rsidRPr="00C036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for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the</w:t>
            </w:r>
            <w:r w:rsidRPr="00C03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study</w:t>
            </w:r>
            <w:r w:rsidRPr="00C036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is</w:t>
            </w:r>
            <w:r w:rsidRPr="00C036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sound.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In</w:t>
            </w:r>
            <w:r w:rsidRPr="00C036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my</w:t>
            </w:r>
            <w:r w:rsidRPr="00C0365E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opinion,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I</w:t>
            </w:r>
            <w:r w:rsidRPr="00C03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find</w:t>
            </w:r>
            <w:r w:rsidRPr="00C0365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the</w:t>
            </w:r>
            <w:r w:rsidRPr="00C0365E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z w:val="20"/>
                <w:szCs w:val="20"/>
              </w:rPr>
              <w:t>contribution relevant to the field of research. The paper should be published after references have been</w:t>
            </w:r>
          </w:p>
          <w:p w:rsidR="00C87EEB" w:rsidRPr="00C0365E" w:rsidRDefault="00733D05">
            <w:pPr>
              <w:pStyle w:val="TableParagraph"/>
              <w:spacing w:line="207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0365E">
              <w:rPr>
                <w:rFonts w:ascii="Arial" w:hAnsi="Arial" w:cs="Arial"/>
                <w:sz w:val="20"/>
                <w:szCs w:val="20"/>
              </w:rPr>
              <w:t>properly</w:t>
            </w:r>
            <w:r w:rsidRPr="00C0365E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365E">
              <w:rPr>
                <w:rFonts w:ascii="Arial" w:hAnsi="Arial" w:cs="Arial"/>
                <w:spacing w:val="-2"/>
                <w:sz w:val="20"/>
                <w:szCs w:val="20"/>
              </w:rPr>
              <w:t>cited.</w:t>
            </w:r>
          </w:p>
        </w:tc>
        <w:tc>
          <w:tcPr>
            <w:tcW w:w="6445" w:type="dxa"/>
          </w:tcPr>
          <w:p w:rsidR="00C87EEB" w:rsidRPr="00C0365E" w:rsidRDefault="00C87EE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7EEB" w:rsidRPr="00C0365E" w:rsidRDefault="00C87EEB">
      <w:pPr>
        <w:rPr>
          <w:rFonts w:ascii="Arial" w:hAnsi="Arial" w:cs="Arial"/>
          <w:sz w:val="20"/>
          <w:szCs w:val="20"/>
        </w:rPr>
      </w:pPr>
    </w:p>
    <w:p w:rsidR="00C87EEB" w:rsidRPr="00C0365E" w:rsidRDefault="00C87EEB">
      <w:pPr>
        <w:rPr>
          <w:rFonts w:ascii="Arial" w:hAnsi="Arial" w:cs="Arial"/>
          <w:sz w:val="20"/>
          <w:szCs w:val="20"/>
        </w:rPr>
      </w:pPr>
    </w:p>
    <w:p w:rsidR="00C87EEB" w:rsidRPr="00C0365E" w:rsidRDefault="00C87EEB">
      <w:pPr>
        <w:rPr>
          <w:rFonts w:ascii="Arial" w:hAnsi="Arial" w:cs="Arial"/>
          <w:sz w:val="20"/>
          <w:szCs w:val="20"/>
        </w:rPr>
      </w:pPr>
    </w:p>
    <w:p w:rsidR="00C87EEB" w:rsidRPr="00C0365E" w:rsidRDefault="00C87EEB">
      <w:pPr>
        <w:rPr>
          <w:rFonts w:ascii="Arial" w:hAnsi="Arial" w:cs="Arial"/>
          <w:sz w:val="20"/>
          <w:szCs w:val="20"/>
        </w:rPr>
      </w:pPr>
    </w:p>
    <w:p w:rsidR="00C87EEB" w:rsidRPr="00C0365E" w:rsidRDefault="00C87EEB">
      <w:pPr>
        <w:rPr>
          <w:rFonts w:ascii="Arial" w:hAnsi="Arial" w:cs="Arial"/>
          <w:sz w:val="20"/>
          <w:szCs w:val="20"/>
        </w:rPr>
      </w:pPr>
    </w:p>
    <w:p w:rsidR="00C87EEB" w:rsidRPr="00C0365E" w:rsidRDefault="00C87EEB">
      <w:pPr>
        <w:rPr>
          <w:rFonts w:ascii="Arial" w:hAnsi="Arial" w:cs="Arial"/>
          <w:sz w:val="20"/>
          <w:szCs w:val="20"/>
        </w:rPr>
      </w:pPr>
    </w:p>
    <w:p w:rsidR="00C87EEB" w:rsidRPr="00C0365E" w:rsidRDefault="00C87EEB">
      <w:pPr>
        <w:rPr>
          <w:rFonts w:ascii="Arial" w:hAnsi="Arial" w:cs="Arial"/>
          <w:sz w:val="20"/>
          <w:szCs w:val="20"/>
        </w:rPr>
      </w:pPr>
    </w:p>
    <w:p w:rsidR="00C0365E" w:rsidRPr="00C0365E" w:rsidRDefault="00C0365E">
      <w:pPr>
        <w:rPr>
          <w:rFonts w:ascii="Arial" w:hAnsi="Arial" w:cs="Arial"/>
          <w:sz w:val="20"/>
          <w:szCs w:val="20"/>
        </w:rPr>
      </w:pPr>
    </w:p>
    <w:p w:rsidR="00C87EEB" w:rsidRPr="00C0365E" w:rsidRDefault="00C87EEB">
      <w:pPr>
        <w:rPr>
          <w:rFonts w:ascii="Arial" w:hAnsi="Arial" w:cs="Arial"/>
          <w:sz w:val="20"/>
          <w:szCs w:val="20"/>
        </w:rPr>
      </w:pPr>
    </w:p>
    <w:p w:rsidR="00C87EEB" w:rsidRPr="00C0365E" w:rsidRDefault="00C87EEB">
      <w:pPr>
        <w:rPr>
          <w:rFonts w:ascii="Arial" w:hAnsi="Arial" w:cs="Arial"/>
          <w:sz w:val="20"/>
          <w:szCs w:val="20"/>
        </w:rPr>
      </w:pPr>
    </w:p>
    <w:p w:rsidR="00C87EEB" w:rsidRPr="00C0365E" w:rsidRDefault="00C87EEB">
      <w:pPr>
        <w:rPr>
          <w:rFonts w:ascii="Arial" w:hAnsi="Arial" w:cs="Arial"/>
          <w:sz w:val="20"/>
          <w:szCs w:val="20"/>
        </w:rPr>
      </w:pPr>
    </w:p>
    <w:p w:rsidR="00C87EEB" w:rsidRPr="00C0365E" w:rsidRDefault="00C87EE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87EEB" w:rsidRPr="00C0365E" w:rsidRDefault="00C87EE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830638" w:rsidRPr="00C0365E" w:rsidTr="0040351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638" w:rsidRPr="00C0365E" w:rsidRDefault="00830638" w:rsidP="00830638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C0365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0365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30638" w:rsidRPr="00C0365E" w:rsidRDefault="00830638" w:rsidP="00830638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30638" w:rsidRPr="00C0365E" w:rsidTr="0040351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638" w:rsidRPr="00C0365E" w:rsidRDefault="00830638" w:rsidP="00830638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638" w:rsidRPr="00C0365E" w:rsidRDefault="00830638" w:rsidP="00830638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036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830638" w:rsidRPr="00C0365E" w:rsidRDefault="00830638" w:rsidP="00830638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036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C0365E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C0365E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830638" w:rsidRPr="00C0365E" w:rsidTr="0040351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638" w:rsidRPr="00C0365E" w:rsidRDefault="00830638" w:rsidP="00830638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0365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30638" w:rsidRPr="00C0365E" w:rsidRDefault="00830638" w:rsidP="00830638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0638" w:rsidRPr="00C0365E" w:rsidRDefault="00830638" w:rsidP="00830638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0365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0365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0365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30638" w:rsidRPr="00C0365E" w:rsidRDefault="00830638" w:rsidP="00830638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30638" w:rsidRPr="00C0365E" w:rsidRDefault="00830638" w:rsidP="00830638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830638" w:rsidRPr="00C0365E" w:rsidRDefault="00830638" w:rsidP="00830638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30638" w:rsidRPr="00C0365E" w:rsidRDefault="00830638" w:rsidP="00830638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30638" w:rsidRPr="00C0365E" w:rsidRDefault="00830638" w:rsidP="00830638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830638" w:rsidRPr="00C0365E" w:rsidRDefault="00830638" w:rsidP="0083063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bookmarkEnd w:id="2"/>
    <w:p w:rsidR="00C0365E" w:rsidRPr="00C0365E" w:rsidRDefault="00C0365E" w:rsidP="00C0365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0365E">
        <w:rPr>
          <w:rFonts w:ascii="Arial" w:hAnsi="Arial" w:cs="Arial"/>
          <w:b/>
          <w:u w:val="single"/>
        </w:rPr>
        <w:t>Reviewer details:</w:t>
      </w:r>
    </w:p>
    <w:p w:rsidR="00C0365E" w:rsidRPr="00C0365E" w:rsidRDefault="00C0365E" w:rsidP="00C0365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C0365E" w:rsidRPr="00C0365E" w:rsidRDefault="00C0365E" w:rsidP="00C0365E">
      <w:pPr>
        <w:rPr>
          <w:rFonts w:ascii="Arial" w:hAnsi="Arial" w:cs="Arial"/>
          <w:b/>
          <w:sz w:val="20"/>
          <w:szCs w:val="20"/>
        </w:rPr>
      </w:pPr>
      <w:r w:rsidRPr="00C0365E">
        <w:rPr>
          <w:rFonts w:ascii="Arial" w:hAnsi="Arial" w:cs="Arial"/>
          <w:b/>
          <w:color w:val="000000"/>
          <w:sz w:val="20"/>
          <w:szCs w:val="20"/>
        </w:rPr>
        <w:t xml:space="preserve">Michael </w:t>
      </w:r>
      <w:proofErr w:type="spellStart"/>
      <w:r w:rsidRPr="00C0365E">
        <w:rPr>
          <w:rFonts w:ascii="Arial" w:hAnsi="Arial" w:cs="Arial"/>
          <w:b/>
          <w:color w:val="000000"/>
          <w:sz w:val="20"/>
          <w:szCs w:val="20"/>
        </w:rPr>
        <w:t>Aderemi</w:t>
      </w:r>
      <w:proofErr w:type="spellEnd"/>
      <w:r w:rsidRPr="00C0365E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C0365E">
        <w:rPr>
          <w:rFonts w:ascii="Arial" w:hAnsi="Arial" w:cs="Arial"/>
          <w:b/>
          <w:color w:val="000000"/>
          <w:sz w:val="20"/>
          <w:szCs w:val="20"/>
        </w:rPr>
        <w:t>Adegbite</w:t>
      </w:r>
      <w:proofErr w:type="spellEnd"/>
      <w:r w:rsidRPr="00C0365E">
        <w:rPr>
          <w:rFonts w:ascii="Arial" w:hAnsi="Arial" w:cs="Arial"/>
          <w:b/>
          <w:sz w:val="20"/>
          <w:szCs w:val="20"/>
        </w:rPr>
        <w:t xml:space="preserve">, </w:t>
      </w:r>
      <w:r w:rsidRPr="00C0365E">
        <w:rPr>
          <w:rFonts w:ascii="Arial" w:hAnsi="Arial" w:cs="Arial"/>
          <w:b/>
          <w:color w:val="000000"/>
          <w:sz w:val="20"/>
          <w:szCs w:val="20"/>
        </w:rPr>
        <w:t>William &amp; Mary University, United States</w:t>
      </w:r>
      <w:r w:rsidRPr="00C0365E">
        <w:rPr>
          <w:rFonts w:ascii="Arial" w:hAnsi="Arial" w:cs="Arial"/>
          <w:b/>
          <w:color w:val="000000"/>
          <w:sz w:val="20"/>
          <w:szCs w:val="20"/>
        </w:rPr>
        <w:br/>
      </w:r>
    </w:p>
    <w:p w:rsidR="00830638" w:rsidRPr="00C0365E" w:rsidRDefault="00830638" w:rsidP="00830638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C87EEB" w:rsidRPr="00C0365E" w:rsidRDefault="00C87EEB">
      <w:pPr>
        <w:spacing w:before="10"/>
        <w:rPr>
          <w:rFonts w:ascii="Arial" w:hAnsi="Arial" w:cs="Arial"/>
          <w:sz w:val="20"/>
          <w:szCs w:val="20"/>
        </w:rPr>
      </w:pPr>
    </w:p>
    <w:sectPr w:rsidR="00C87EEB" w:rsidRPr="00C0365E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FD4" w:rsidRDefault="006E2FD4">
      <w:r>
        <w:separator/>
      </w:r>
    </w:p>
  </w:endnote>
  <w:endnote w:type="continuationSeparator" w:id="0">
    <w:p w:rsidR="006E2FD4" w:rsidRDefault="006E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FD4" w:rsidRDefault="006E2FD4">
      <w:r>
        <w:separator/>
      </w:r>
    </w:p>
  </w:footnote>
  <w:footnote w:type="continuationSeparator" w:id="0">
    <w:p w:rsidR="006E2FD4" w:rsidRDefault="006E2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LQ0NzM2tzA1MDQ3sbBQ0lEKTi0uzszPAykwrAUAQnJOISwAAAA="/>
  </w:docVars>
  <w:rsids>
    <w:rsidRoot w:val="00C87EEB"/>
    <w:rsid w:val="00420028"/>
    <w:rsid w:val="006E2FD4"/>
    <w:rsid w:val="00733D05"/>
    <w:rsid w:val="00830638"/>
    <w:rsid w:val="00AA3B94"/>
    <w:rsid w:val="00C0365E"/>
    <w:rsid w:val="00C87EEB"/>
    <w:rsid w:val="00F02F95"/>
    <w:rsid w:val="00FC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3156"/>
  <w15:docId w15:val="{5128EF69-C563-47E4-970B-8A340AA1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C0365E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ba.com/index.php/AJEB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2025-08-07T07:18:00Z</dcterms:created>
  <dcterms:modified xsi:type="dcterms:W3CDTF">2025-08-18T09:46:00Z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for Microsoft 365</vt:lpwstr>
  </property>
</Properties>
</file>