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6D071" w14:textId="77777777" w:rsidR="008958F3" w:rsidRPr="003469A0" w:rsidRDefault="008958F3" w:rsidP="008958F3">
      <w:pPr>
        <w:jc w:val="center"/>
        <w:rPr>
          <w:rFonts w:ascii="Times New Roman" w:hAnsi="Times New Roman" w:cs="Times New Roman"/>
          <w:b/>
          <w:bCs/>
          <w:sz w:val="40"/>
          <w:szCs w:val="40"/>
        </w:rPr>
      </w:pPr>
      <w:r w:rsidRPr="003469A0">
        <w:rPr>
          <w:rFonts w:ascii="Times New Roman" w:hAnsi="Times New Roman" w:cs="Times New Roman"/>
          <w:b/>
          <w:sz w:val="40"/>
          <w:szCs w:val="40"/>
        </w:rPr>
        <w:t xml:space="preserve">Ameliorative </w:t>
      </w:r>
      <w:r w:rsidR="00022712" w:rsidRPr="003469A0">
        <w:rPr>
          <w:rFonts w:ascii="Times New Roman" w:hAnsi="Times New Roman" w:cs="Times New Roman"/>
          <w:b/>
          <w:sz w:val="40"/>
          <w:szCs w:val="40"/>
        </w:rPr>
        <w:t xml:space="preserve">Potentials </w:t>
      </w:r>
      <w:r w:rsidR="00022712" w:rsidRPr="003469A0">
        <w:rPr>
          <w:rFonts w:ascii="Times New Roman" w:hAnsi="Times New Roman" w:cs="Times New Roman"/>
          <w:b/>
          <w:bCs/>
          <w:sz w:val="40"/>
          <w:szCs w:val="40"/>
        </w:rPr>
        <w:t xml:space="preserve">of </w:t>
      </w:r>
      <w:r w:rsidRPr="003469A0">
        <w:rPr>
          <w:rFonts w:ascii="Times New Roman" w:hAnsi="Times New Roman" w:cs="Times New Roman"/>
          <w:b/>
          <w:bCs/>
          <w:i/>
          <w:sz w:val="40"/>
          <w:szCs w:val="40"/>
        </w:rPr>
        <w:t xml:space="preserve">Phoenix </w:t>
      </w:r>
      <w:r w:rsidR="00022712" w:rsidRPr="003469A0">
        <w:rPr>
          <w:rFonts w:ascii="Times New Roman" w:hAnsi="Times New Roman" w:cs="Times New Roman"/>
          <w:b/>
          <w:bCs/>
          <w:i/>
          <w:sz w:val="40"/>
          <w:szCs w:val="40"/>
        </w:rPr>
        <w:t>dactylifera</w:t>
      </w:r>
      <w:r w:rsidR="00326A5A">
        <w:rPr>
          <w:rFonts w:ascii="Times New Roman" w:hAnsi="Times New Roman" w:cs="Times New Roman"/>
          <w:b/>
          <w:bCs/>
          <w:sz w:val="40"/>
          <w:szCs w:val="40"/>
        </w:rPr>
        <w:t xml:space="preserve"> Fruit</w:t>
      </w:r>
      <w:r w:rsidR="00022712" w:rsidRPr="003469A0">
        <w:rPr>
          <w:rFonts w:ascii="Times New Roman" w:hAnsi="Times New Roman" w:cs="Times New Roman"/>
          <w:b/>
          <w:bCs/>
          <w:sz w:val="40"/>
          <w:szCs w:val="40"/>
        </w:rPr>
        <w:t xml:space="preserve"> Extract on Sele</w:t>
      </w:r>
      <w:r w:rsidR="003469A0">
        <w:rPr>
          <w:rFonts w:ascii="Times New Roman" w:hAnsi="Times New Roman" w:cs="Times New Roman"/>
          <w:b/>
          <w:bCs/>
          <w:sz w:val="40"/>
          <w:szCs w:val="40"/>
        </w:rPr>
        <w:t>cted Biochemical Parameters of a</w:t>
      </w:r>
      <w:r w:rsidR="00022712" w:rsidRPr="003469A0">
        <w:rPr>
          <w:rFonts w:ascii="Times New Roman" w:hAnsi="Times New Roman" w:cs="Times New Roman"/>
          <w:b/>
          <w:bCs/>
          <w:sz w:val="40"/>
          <w:szCs w:val="40"/>
        </w:rPr>
        <w:t xml:space="preserve"> Rat Model of Preeclampsia</w:t>
      </w:r>
    </w:p>
    <w:p w14:paraId="20F76CD3" w14:textId="77777777" w:rsidR="008958F3" w:rsidRPr="003469A0" w:rsidRDefault="008958F3" w:rsidP="008958F3">
      <w:pPr>
        <w:jc w:val="both"/>
        <w:rPr>
          <w:rFonts w:ascii="Times New Roman" w:hAnsi="Times New Roman" w:cs="Times New Roman"/>
          <w:sz w:val="24"/>
          <w:szCs w:val="24"/>
        </w:rPr>
      </w:pPr>
    </w:p>
    <w:p w14:paraId="4F16922C" w14:textId="77777777" w:rsidR="007D374D" w:rsidRDefault="007D374D" w:rsidP="008958F3">
      <w:pPr>
        <w:spacing w:after="0" w:line="240" w:lineRule="auto"/>
        <w:ind w:left="-5" w:right="60"/>
        <w:jc w:val="both"/>
        <w:rPr>
          <w:rFonts w:ascii="Times New Roman" w:hAnsi="Times New Roman" w:cs="Times New Roman"/>
          <w:b/>
          <w:sz w:val="32"/>
          <w:szCs w:val="32"/>
        </w:rPr>
      </w:pPr>
      <w:r>
        <w:rPr>
          <w:rFonts w:ascii="Times New Roman" w:hAnsi="Times New Roman" w:cs="Times New Roman"/>
          <w:b/>
          <w:sz w:val="24"/>
          <w:szCs w:val="24"/>
        </w:rPr>
        <w:t>Abstract</w:t>
      </w:r>
    </w:p>
    <w:p w14:paraId="2FF292AE" w14:textId="77777777" w:rsidR="008958F3" w:rsidRPr="003469A0" w:rsidRDefault="008B7DCF" w:rsidP="008958F3">
      <w:pPr>
        <w:spacing w:after="0" w:line="240" w:lineRule="auto"/>
        <w:ind w:left="-5" w:right="60"/>
        <w:jc w:val="both"/>
        <w:rPr>
          <w:rFonts w:ascii="Times New Roman" w:hAnsi="Times New Roman" w:cs="Times New Roman"/>
          <w:b/>
          <w:sz w:val="32"/>
          <w:szCs w:val="32"/>
        </w:rPr>
      </w:pPr>
      <w:r w:rsidRPr="007D374D">
        <w:rPr>
          <w:rFonts w:ascii="Times New Roman" w:hAnsi="Times New Roman" w:cs="Times New Roman"/>
          <w:bCs/>
          <w:sz w:val="24"/>
          <w:szCs w:val="24"/>
        </w:rPr>
        <w:t xml:space="preserve">Ameliorative potentials of </w:t>
      </w:r>
      <w:r w:rsidRPr="00326A5A">
        <w:rPr>
          <w:rFonts w:ascii="Times New Roman" w:hAnsi="Times New Roman" w:cs="Times New Roman"/>
          <w:bCs/>
          <w:i/>
          <w:sz w:val="24"/>
          <w:szCs w:val="24"/>
        </w:rPr>
        <w:t>Phoenix dactylifera</w:t>
      </w:r>
      <w:r w:rsidRPr="007D374D">
        <w:rPr>
          <w:rFonts w:ascii="Times New Roman" w:hAnsi="Times New Roman" w:cs="Times New Roman"/>
          <w:bCs/>
          <w:sz w:val="24"/>
          <w:szCs w:val="24"/>
        </w:rPr>
        <w:t xml:space="preserve"> fruit extract on selected biochemical parameters of rat model of preeclampsia was investigated using standard analytical methods. Phytochemical screening was carried out on the </w:t>
      </w:r>
      <w:r w:rsidRPr="00326A5A">
        <w:rPr>
          <w:rFonts w:ascii="Times New Roman" w:hAnsi="Times New Roman" w:cs="Times New Roman"/>
          <w:bCs/>
          <w:i/>
          <w:sz w:val="24"/>
          <w:szCs w:val="24"/>
        </w:rPr>
        <w:t>Phoenix dactylifera</w:t>
      </w:r>
      <w:r w:rsidRPr="007D374D">
        <w:rPr>
          <w:rFonts w:ascii="Times New Roman" w:hAnsi="Times New Roman" w:cs="Times New Roman"/>
          <w:bCs/>
          <w:sz w:val="24"/>
          <w:szCs w:val="24"/>
        </w:rPr>
        <w:t xml:space="preserve"> fruit</w:t>
      </w:r>
      <w:r w:rsidR="00CE70C4" w:rsidRPr="007D374D">
        <w:rPr>
          <w:rFonts w:ascii="Times New Roman" w:hAnsi="Times New Roman" w:cs="Times New Roman"/>
          <w:bCs/>
          <w:sz w:val="24"/>
          <w:szCs w:val="24"/>
        </w:rPr>
        <w:t xml:space="preserve"> following extraction with ethanol solvent</w:t>
      </w:r>
      <w:r w:rsidRPr="007D374D">
        <w:rPr>
          <w:rFonts w:ascii="Times New Roman" w:hAnsi="Times New Roman" w:cs="Times New Roman"/>
          <w:bCs/>
          <w:sz w:val="24"/>
          <w:szCs w:val="24"/>
        </w:rPr>
        <w:t xml:space="preserve"> before administering to rats. A total of twenty-four (24) healthy albino rats (100 - 200 g) of both sexes were </w:t>
      </w:r>
      <w:r w:rsidRPr="007D374D">
        <w:rPr>
          <w:rFonts w:ascii="Times New Roman" w:hAnsi="Times New Roman" w:cs="Times New Roman"/>
          <w:sz w:val="24"/>
          <w:szCs w:val="24"/>
        </w:rPr>
        <w:t xml:space="preserve">housed and co-habited with fertile male rats in a ratio of 2:1 (F: M). </w:t>
      </w:r>
      <w:r w:rsidRPr="007D374D">
        <w:rPr>
          <w:rFonts w:ascii="Times New Roman" w:hAnsi="Times New Roman" w:cs="Times New Roman"/>
          <w:bCs/>
          <w:sz w:val="24"/>
          <w:szCs w:val="24"/>
        </w:rPr>
        <w:t>The experimental animals were divided into four groups containing six animals each</w:t>
      </w:r>
      <w:r w:rsidRPr="007D374D">
        <w:rPr>
          <w:rFonts w:ascii="Times New Roman" w:hAnsi="Times New Roman" w:cs="Times New Roman"/>
          <w:sz w:val="24"/>
          <w:szCs w:val="24"/>
        </w:rPr>
        <w:t xml:space="preserve"> (Four female rats and two males) as </w:t>
      </w:r>
      <w:commentRangeStart w:id="0"/>
      <w:r w:rsidRPr="007D374D">
        <w:rPr>
          <w:rFonts w:ascii="Times New Roman" w:hAnsi="Times New Roman" w:cs="Times New Roman"/>
          <w:sz w:val="24"/>
          <w:szCs w:val="24"/>
        </w:rPr>
        <w:t>follow</w:t>
      </w:r>
      <w:commentRangeEnd w:id="0"/>
      <w:r w:rsidR="00EB5765">
        <w:rPr>
          <w:rStyle w:val="CommentReference"/>
        </w:rPr>
        <w:commentReference w:id="0"/>
      </w:r>
      <w:r w:rsidRPr="007D374D">
        <w:rPr>
          <w:rFonts w:ascii="Times New Roman" w:hAnsi="Times New Roman" w:cs="Times New Roman"/>
          <w:sz w:val="24"/>
          <w:szCs w:val="24"/>
        </w:rPr>
        <w:t xml:space="preserve">: </w:t>
      </w:r>
      <w:r w:rsidRPr="007D374D">
        <w:rPr>
          <w:rFonts w:ascii="Times New Roman" w:hAnsi="Times New Roman" w:cs="Times New Roman"/>
          <w:bCs/>
          <w:sz w:val="24"/>
          <w:szCs w:val="24"/>
        </w:rPr>
        <w:t xml:space="preserve">group 1- Control (received normal feed and water), group 2- ( induced preeclampsia by administering 50 mg/kg/day of </w:t>
      </w:r>
      <w:r w:rsidRPr="007D374D">
        <w:rPr>
          <w:rFonts w:ascii="Times New Roman" w:hAnsi="Times New Roman" w:cs="Times New Roman"/>
          <w:sz w:val="24"/>
          <w:szCs w:val="24"/>
        </w:rPr>
        <w:t>N (ω)-nitro-L-arginine methyl ester (</w:t>
      </w:r>
      <w:r w:rsidRPr="007D374D">
        <w:rPr>
          <w:rFonts w:ascii="Times New Roman" w:hAnsi="Times New Roman" w:cs="Times New Roman"/>
          <w:bCs/>
          <w:sz w:val="24"/>
          <w:szCs w:val="24"/>
        </w:rPr>
        <w:t xml:space="preserve">L-NAME) on gestation day 11), group 3 and 4 (were induced preeclampsia in addition to 20 mg/kg/day losartan between gestation day 12-20 and 100 mg/kg/day </w:t>
      </w:r>
      <w:r w:rsidRPr="00326A5A">
        <w:rPr>
          <w:rFonts w:ascii="Times New Roman" w:hAnsi="Times New Roman" w:cs="Times New Roman"/>
          <w:bCs/>
          <w:i/>
          <w:sz w:val="24"/>
          <w:szCs w:val="24"/>
        </w:rPr>
        <w:t>Phoenix dactylifera</w:t>
      </w:r>
      <w:r w:rsidRPr="007D374D">
        <w:rPr>
          <w:rFonts w:ascii="Times New Roman" w:hAnsi="Times New Roman" w:cs="Times New Roman"/>
          <w:bCs/>
          <w:sz w:val="24"/>
          <w:szCs w:val="24"/>
        </w:rPr>
        <w:t xml:space="preserve"> fruit extract between gestation 5-18). The pilot study carried out ascertained that </w:t>
      </w:r>
      <w:r w:rsidRPr="007D374D">
        <w:rPr>
          <w:rFonts w:ascii="Times New Roman" w:eastAsia="Times New Roman" w:hAnsi="Times New Roman" w:cs="Times New Roman"/>
          <w:bCs/>
          <w:iCs/>
        </w:rPr>
        <w:t xml:space="preserve">100 mg/kg/day of </w:t>
      </w:r>
      <w:r w:rsidRPr="00326A5A">
        <w:rPr>
          <w:rFonts w:ascii="Times New Roman" w:eastAsia="Times New Roman" w:hAnsi="Times New Roman" w:cs="Times New Roman"/>
          <w:bCs/>
          <w:i/>
          <w:iCs/>
        </w:rPr>
        <w:t>Phoenix dactylifera</w:t>
      </w:r>
      <w:r w:rsidRPr="007D374D">
        <w:rPr>
          <w:rFonts w:ascii="Times New Roman" w:eastAsia="Times New Roman" w:hAnsi="Times New Roman" w:cs="Times New Roman"/>
          <w:bCs/>
          <w:iCs/>
        </w:rPr>
        <w:t xml:space="preserve"> fruit extract was the dose that gave the best treatment on the birth weight and number of live pups in rats.</w:t>
      </w:r>
      <w:r w:rsidRPr="007D374D">
        <w:rPr>
          <w:rFonts w:ascii="Times New Roman" w:hAnsi="Times New Roman" w:cs="Times New Roman"/>
          <w:bCs/>
          <w:sz w:val="24"/>
          <w:szCs w:val="24"/>
        </w:rPr>
        <w:t xml:space="preserve"> Phytochemical screening of </w:t>
      </w:r>
      <w:r w:rsidRPr="00326A5A">
        <w:rPr>
          <w:rFonts w:ascii="Times New Roman" w:hAnsi="Times New Roman" w:cs="Times New Roman"/>
          <w:bCs/>
          <w:i/>
          <w:sz w:val="24"/>
          <w:szCs w:val="24"/>
        </w:rPr>
        <w:t>Phoenix dactylifera</w:t>
      </w:r>
      <w:r w:rsidRPr="007D374D">
        <w:rPr>
          <w:rFonts w:ascii="Times New Roman" w:hAnsi="Times New Roman" w:cs="Times New Roman"/>
          <w:bCs/>
          <w:sz w:val="24"/>
          <w:szCs w:val="24"/>
        </w:rPr>
        <w:t xml:space="preserve"> fruit revealed: </w:t>
      </w:r>
      <w:r w:rsidRPr="007D374D">
        <w:rPr>
          <w:rFonts w:ascii="Times New Roman" w:hAnsi="Times New Roman" w:cs="Times New Roman"/>
          <w:sz w:val="24"/>
          <w:szCs w:val="24"/>
        </w:rPr>
        <w:t>tannins 0.92±</w:t>
      </w:r>
      <w:r w:rsidRPr="007D374D">
        <w:rPr>
          <w:rFonts w:ascii="Times New Roman" w:eastAsia="SimSun" w:hAnsi="Times New Roman" w:cs="Times New Roman"/>
          <w:sz w:val="24"/>
          <w:szCs w:val="24"/>
        </w:rPr>
        <w:t xml:space="preserve">0.20 %, saponins </w:t>
      </w:r>
      <w:r w:rsidRPr="007D374D">
        <w:rPr>
          <w:rFonts w:ascii="Times New Roman" w:hAnsi="Times New Roman" w:cs="Times New Roman"/>
          <w:sz w:val="24"/>
          <w:szCs w:val="24"/>
        </w:rPr>
        <w:t>5.25±</w:t>
      </w:r>
      <w:r w:rsidRPr="007D374D">
        <w:rPr>
          <w:rFonts w:ascii="Times New Roman" w:eastAsia="SimSun" w:hAnsi="Times New Roman" w:cs="Times New Roman"/>
          <w:sz w:val="24"/>
          <w:szCs w:val="24"/>
        </w:rPr>
        <w:t>0.05 %,</w:t>
      </w:r>
      <w:r w:rsidRPr="007D374D">
        <w:rPr>
          <w:rFonts w:ascii="Times New Roman" w:hAnsi="Times New Roman" w:cs="Times New Roman"/>
          <w:sz w:val="24"/>
          <w:szCs w:val="24"/>
        </w:rPr>
        <w:t xml:space="preserve"> alkaloids 4.68±</w:t>
      </w:r>
      <w:r w:rsidRPr="007D374D">
        <w:rPr>
          <w:rFonts w:ascii="Times New Roman" w:eastAsia="SimSun" w:hAnsi="Times New Roman" w:cs="Times New Roman"/>
          <w:sz w:val="24"/>
          <w:szCs w:val="24"/>
        </w:rPr>
        <w:t xml:space="preserve">0.06 %, flavonoids </w:t>
      </w:r>
      <w:r w:rsidRPr="007D374D">
        <w:rPr>
          <w:rFonts w:ascii="Times New Roman" w:hAnsi="Times New Roman" w:cs="Times New Roman"/>
          <w:sz w:val="24"/>
          <w:szCs w:val="24"/>
        </w:rPr>
        <w:t>14.64±</w:t>
      </w:r>
      <w:r w:rsidRPr="007D374D">
        <w:rPr>
          <w:rFonts w:ascii="Times New Roman" w:eastAsia="SimSun" w:hAnsi="Times New Roman" w:cs="Times New Roman"/>
          <w:sz w:val="24"/>
          <w:szCs w:val="24"/>
        </w:rPr>
        <w:t>0.22 %</w:t>
      </w:r>
      <w:r w:rsidR="002B6DB5">
        <w:rPr>
          <w:rFonts w:ascii="Times New Roman" w:hAnsi="Times New Roman" w:cs="Times New Roman"/>
          <w:sz w:val="24"/>
          <w:szCs w:val="24"/>
        </w:rPr>
        <w:t xml:space="preserve">, hydrogen </w:t>
      </w:r>
      <w:r w:rsidRPr="007D374D">
        <w:rPr>
          <w:rFonts w:ascii="Times New Roman" w:hAnsi="Times New Roman" w:cs="Times New Roman"/>
          <w:sz w:val="24"/>
          <w:szCs w:val="24"/>
        </w:rPr>
        <w:t>cyanide 0.01±</w:t>
      </w:r>
      <w:r w:rsidRPr="007D374D">
        <w:rPr>
          <w:rFonts w:ascii="Times New Roman" w:eastAsia="SimSun" w:hAnsi="Times New Roman" w:cs="Times New Roman"/>
          <w:sz w:val="24"/>
          <w:szCs w:val="24"/>
        </w:rPr>
        <w:t>0.00 %, oxalate 3.18</w:t>
      </w:r>
      <w:r w:rsidRPr="007D374D">
        <w:rPr>
          <w:rFonts w:ascii="Times New Roman" w:hAnsi="Times New Roman" w:cs="Times New Roman"/>
          <w:sz w:val="24"/>
          <w:szCs w:val="24"/>
        </w:rPr>
        <w:t>±</w:t>
      </w:r>
      <w:r w:rsidRPr="007D374D">
        <w:rPr>
          <w:rFonts w:ascii="Times New Roman" w:eastAsia="SimSun" w:hAnsi="Times New Roman" w:cs="Times New Roman"/>
          <w:sz w:val="24"/>
          <w:szCs w:val="24"/>
        </w:rPr>
        <w:t xml:space="preserve">0.03 %, </w:t>
      </w:r>
      <w:r w:rsidRPr="007D374D">
        <w:rPr>
          <w:rFonts w:ascii="Times New Roman" w:hAnsi="Times New Roman" w:cs="Times New Roman"/>
          <w:sz w:val="24"/>
          <w:szCs w:val="24"/>
        </w:rPr>
        <w:t>and phenol 10.50±</w:t>
      </w:r>
      <w:r w:rsidRPr="007D374D">
        <w:rPr>
          <w:rFonts w:ascii="Times New Roman" w:eastAsia="SimSun" w:hAnsi="Times New Roman" w:cs="Times New Roman"/>
          <w:sz w:val="24"/>
          <w:szCs w:val="24"/>
        </w:rPr>
        <w:t xml:space="preserve">0.12 %. L-Name induced preeclampsia had a negative effect on the biochemical parameters particularly </w:t>
      </w:r>
      <w:r w:rsidRPr="007D374D">
        <w:rPr>
          <w:rFonts w:ascii="Times New Roman" w:hAnsi="Times New Roman" w:cs="Times New Roman"/>
          <w:sz w:val="24"/>
          <w:szCs w:val="24"/>
        </w:rPr>
        <w:t>lipid profile parameters, cardiac parameters, as well as some liver function and kidney function parameters;</w:t>
      </w:r>
      <w:r w:rsidRPr="007D374D">
        <w:rPr>
          <w:rFonts w:ascii="Times New Roman" w:eastAsia="SimSun" w:hAnsi="Times New Roman" w:cs="Times New Roman"/>
          <w:sz w:val="24"/>
          <w:szCs w:val="24"/>
        </w:rPr>
        <w:t xml:space="preserve"> however, treatment with losartan and </w:t>
      </w:r>
      <w:r w:rsidRPr="00326A5A">
        <w:rPr>
          <w:rFonts w:ascii="Times New Roman" w:hAnsi="Times New Roman" w:cs="Times New Roman"/>
          <w:bCs/>
          <w:i/>
          <w:sz w:val="24"/>
          <w:szCs w:val="24"/>
        </w:rPr>
        <w:t>Phoenix dactylifera</w:t>
      </w:r>
      <w:r w:rsidRPr="007D374D">
        <w:rPr>
          <w:rFonts w:ascii="Times New Roman" w:hAnsi="Times New Roman" w:cs="Times New Roman"/>
          <w:bCs/>
          <w:sz w:val="24"/>
          <w:szCs w:val="24"/>
        </w:rPr>
        <w:t xml:space="preserve"> fruit</w:t>
      </w:r>
      <w:r w:rsidRPr="007D374D">
        <w:rPr>
          <w:rFonts w:ascii="Times New Roman" w:eastAsia="SimSun" w:hAnsi="Times New Roman" w:cs="Times New Roman"/>
          <w:sz w:val="24"/>
          <w:szCs w:val="24"/>
        </w:rPr>
        <w:t xml:space="preserve"> extract significantly reversed this effect on the biochemical parameters. It can be concluded that </w:t>
      </w:r>
      <w:r w:rsidRPr="00326A5A">
        <w:rPr>
          <w:rFonts w:ascii="Times New Roman" w:hAnsi="Times New Roman" w:cs="Times New Roman"/>
          <w:bCs/>
          <w:i/>
          <w:sz w:val="24"/>
          <w:szCs w:val="24"/>
        </w:rPr>
        <w:t>Phoenix dactylifera</w:t>
      </w:r>
      <w:r w:rsidRPr="007D374D">
        <w:rPr>
          <w:rFonts w:ascii="Times New Roman" w:hAnsi="Times New Roman" w:cs="Times New Roman"/>
          <w:bCs/>
          <w:sz w:val="24"/>
          <w:szCs w:val="24"/>
        </w:rPr>
        <w:t xml:space="preserve"> fruit</w:t>
      </w:r>
      <w:r w:rsidRPr="007D374D">
        <w:rPr>
          <w:rFonts w:ascii="Times New Roman" w:hAnsi="Times New Roman" w:cs="Times New Roman"/>
          <w:sz w:val="24"/>
          <w:szCs w:val="24"/>
        </w:rPr>
        <w:t xml:space="preserve"> extract is a promising source for managing preeclampsia in rat model.</w:t>
      </w:r>
    </w:p>
    <w:p w14:paraId="07F1D7E2" w14:textId="77777777" w:rsidR="008958F3" w:rsidRPr="003469A0" w:rsidRDefault="008958F3" w:rsidP="008958F3">
      <w:pPr>
        <w:spacing w:after="0" w:line="240" w:lineRule="auto"/>
        <w:jc w:val="both"/>
        <w:rPr>
          <w:rFonts w:ascii="Times New Roman" w:hAnsi="Times New Roman" w:cs="Times New Roman"/>
          <w:sz w:val="24"/>
          <w:szCs w:val="24"/>
        </w:rPr>
      </w:pPr>
      <w:r w:rsidRPr="003469A0">
        <w:rPr>
          <w:rFonts w:ascii="Times New Roman" w:hAnsi="Times New Roman" w:cs="Times New Roman"/>
          <w:b/>
          <w:bCs/>
          <w:sz w:val="24"/>
          <w:szCs w:val="24"/>
        </w:rPr>
        <w:t>Keywords</w:t>
      </w:r>
      <w:r w:rsidRPr="003469A0">
        <w:rPr>
          <w:rFonts w:ascii="Times New Roman" w:hAnsi="Times New Roman" w:cs="Times New Roman"/>
          <w:sz w:val="24"/>
          <w:szCs w:val="24"/>
        </w:rPr>
        <w:t xml:space="preserve">: </w:t>
      </w:r>
      <w:r w:rsidR="00326A5A">
        <w:rPr>
          <w:rFonts w:ascii="Times New Roman" w:hAnsi="Times New Roman" w:cs="Times New Roman"/>
          <w:sz w:val="24"/>
          <w:szCs w:val="24"/>
        </w:rPr>
        <w:t>P</w:t>
      </w:r>
      <w:r w:rsidR="008B7DCF" w:rsidRPr="003469A0">
        <w:rPr>
          <w:rFonts w:ascii="Times New Roman" w:hAnsi="Times New Roman" w:cs="Times New Roman"/>
          <w:sz w:val="24"/>
          <w:szCs w:val="24"/>
        </w:rPr>
        <w:t>reeclampsia</w:t>
      </w:r>
      <w:r w:rsidRPr="003469A0">
        <w:rPr>
          <w:rFonts w:ascii="Times New Roman" w:hAnsi="Times New Roman" w:cs="Times New Roman"/>
          <w:sz w:val="24"/>
          <w:szCs w:val="24"/>
        </w:rPr>
        <w:t xml:space="preserve">, </w:t>
      </w:r>
      <w:r w:rsidR="008B7DCF" w:rsidRPr="003469A0">
        <w:rPr>
          <w:rFonts w:ascii="Times New Roman" w:hAnsi="Times New Roman" w:cs="Times New Roman"/>
          <w:sz w:val="24"/>
          <w:szCs w:val="24"/>
        </w:rPr>
        <w:t>ameliorative potential</w:t>
      </w:r>
      <w:r w:rsidRPr="003469A0">
        <w:rPr>
          <w:rFonts w:ascii="Times New Roman" w:hAnsi="Times New Roman" w:cs="Times New Roman"/>
          <w:sz w:val="24"/>
          <w:szCs w:val="24"/>
        </w:rPr>
        <w:t xml:space="preserve">, </w:t>
      </w:r>
      <w:r w:rsidR="008B7DCF" w:rsidRPr="003469A0">
        <w:rPr>
          <w:rFonts w:ascii="Times New Roman" w:hAnsi="Times New Roman" w:cs="Times New Roman"/>
          <w:bCs/>
          <w:i/>
          <w:sz w:val="24"/>
          <w:szCs w:val="24"/>
        </w:rPr>
        <w:t>Phoenix dactylifera</w:t>
      </w:r>
      <w:r w:rsidR="008B7DCF" w:rsidRPr="003469A0">
        <w:rPr>
          <w:rFonts w:ascii="Times New Roman" w:hAnsi="Times New Roman" w:cs="Times New Roman"/>
          <w:bCs/>
          <w:sz w:val="24"/>
          <w:szCs w:val="24"/>
        </w:rPr>
        <w:t xml:space="preserve"> fruit</w:t>
      </w:r>
      <w:r w:rsidR="008B7DCF" w:rsidRPr="003469A0">
        <w:rPr>
          <w:rFonts w:ascii="Times New Roman" w:hAnsi="Times New Roman" w:cs="Times New Roman"/>
          <w:sz w:val="24"/>
          <w:szCs w:val="24"/>
        </w:rPr>
        <w:t>, phytochemicals, and biochemical parameters</w:t>
      </w:r>
    </w:p>
    <w:p w14:paraId="63F3B531" w14:textId="77777777" w:rsidR="008958F3" w:rsidRPr="003469A0" w:rsidRDefault="008958F3" w:rsidP="008958F3">
      <w:pPr>
        <w:jc w:val="both"/>
        <w:rPr>
          <w:rFonts w:ascii="Times New Roman" w:hAnsi="Times New Roman" w:cs="Times New Roman"/>
          <w:sz w:val="24"/>
          <w:szCs w:val="24"/>
        </w:rPr>
      </w:pPr>
    </w:p>
    <w:p w14:paraId="177B0C91" w14:textId="77777777" w:rsidR="008818EA" w:rsidRPr="003469A0" w:rsidRDefault="008818EA" w:rsidP="008958F3">
      <w:pPr>
        <w:jc w:val="both"/>
        <w:rPr>
          <w:rFonts w:ascii="Times New Roman" w:hAnsi="Times New Roman" w:cs="Times New Roman"/>
          <w:sz w:val="24"/>
          <w:szCs w:val="24"/>
        </w:rPr>
      </w:pPr>
    </w:p>
    <w:p w14:paraId="669DE280" w14:textId="77777777" w:rsidR="008818EA" w:rsidRPr="003469A0" w:rsidRDefault="008818EA" w:rsidP="008958F3">
      <w:pPr>
        <w:jc w:val="both"/>
        <w:rPr>
          <w:rFonts w:ascii="Times New Roman" w:hAnsi="Times New Roman" w:cs="Times New Roman"/>
          <w:sz w:val="24"/>
          <w:szCs w:val="24"/>
        </w:rPr>
      </w:pPr>
    </w:p>
    <w:p w14:paraId="520741CF" w14:textId="77777777" w:rsidR="008958F3" w:rsidRPr="003469A0" w:rsidRDefault="008958F3" w:rsidP="009B595A">
      <w:pPr>
        <w:pStyle w:val="Heading2"/>
        <w:spacing w:after="0"/>
        <w:rPr>
          <w:rFonts w:cs="Times New Roman"/>
          <w:i/>
          <w:szCs w:val="24"/>
        </w:rPr>
      </w:pPr>
      <w:r w:rsidRPr="003469A0">
        <w:rPr>
          <w:rFonts w:cs="Times New Roman"/>
          <w:szCs w:val="24"/>
        </w:rPr>
        <w:t>INTRODUCTION</w:t>
      </w:r>
      <w:r w:rsidRPr="003469A0">
        <w:rPr>
          <w:rFonts w:cs="Times New Roman"/>
          <w:i/>
          <w:szCs w:val="24"/>
        </w:rPr>
        <w:t xml:space="preserve"> </w:t>
      </w:r>
    </w:p>
    <w:p w14:paraId="7B747EF5" w14:textId="77777777" w:rsidR="00113F3D" w:rsidRPr="003469A0" w:rsidRDefault="00113F3D" w:rsidP="00113F3D">
      <w:pPr>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 xml:space="preserve">Preeclampsia is a pregnancy disorder with numerous symptoms that affects both the mother and the child (Ożarowski et al., 2018; </w:t>
      </w:r>
      <w:r w:rsidRPr="003469A0">
        <w:rPr>
          <w:rStyle w:val="fontstyle01"/>
          <w:rFonts w:ascii="Times New Roman" w:hAnsi="Times New Roman" w:cs="Times New Roman"/>
          <w:color w:val="auto"/>
          <w:sz w:val="24"/>
          <w:szCs w:val="24"/>
        </w:rPr>
        <w:t>Sibai et al., 2005</w:t>
      </w:r>
      <w:r w:rsidRPr="003469A0">
        <w:rPr>
          <w:rFonts w:ascii="Times New Roman" w:hAnsi="Times New Roman" w:cs="Times New Roman"/>
          <w:sz w:val="24"/>
          <w:szCs w:val="24"/>
        </w:rPr>
        <w:t xml:space="preserve">). It is classified as ‘code 014’ in the International Classification of Disease-10 owing to its severe complications (Ożarowski et al., 2021). Presently, there multifactorial nature of this condition makes it difficult to adopt a single acceptable approach. Hence, the only realistic means of addressing this disorder will be to study the pathogenesis and articulate the possible route of developing new molecules that can act </w:t>
      </w:r>
      <w:r w:rsidRPr="003469A0">
        <w:rPr>
          <w:rFonts w:ascii="Times New Roman" w:hAnsi="Times New Roman" w:cs="Times New Roman"/>
          <w:sz w:val="24"/>
          <w:szCs w:val="24"/>
        </w:rPr>
        <w:lastRenderedPageBreak/>
        <w:t xml:space="preserve">independently or in combination to suppress its multiplication (Ożarowski et al., 2021). Several researches have been emphasized on the inflammatory roles of substances against preeclampsia (Haram et al., 2019; </w:t>
      </w:r>
      <w:r w:rsidRPr="003469A0">
        <w:rPr>
          <w:rStyle w:val="fontstyle01"/>
          <w:rFonts w:ascii="Times New Roman" w:hAnsi="Times New Roman" w:cs="Times New Roman"/>
          <w:color w:val="auto"/>
          <w:sz w:val="24"/>
          <w:szCs w:val="24"/>
        </w:rPr>
        <w:t>Michalczyk</w:t>
      </w:r>
      <w:r w:rsidRPr="003469A0">
        <w:rPr>
          <w:rFonts w:ascii="Times New Roman" w:hAnsi="Times New Roman" w:cs="Times New Roman"/>
          <w:sz w:val="24"/>
          <w:szCs w:val="24"/>
        </w:rPr>
        <w:t xml:space="preserve"> et al., 2020; Ożarowski et al., 2018; Peres et al., 2018; Wu et al., 2015). While the inflammatory response produced fair results, other studies anticipated to be promising should consider chemical modifications of phenolic component of plant extract as potential drug due to the anti-inflammatory, antioxidant and antihypertensive potential of plant extracts. </w:t>
      </w:r>
    </w:p>
    <w:p w14:paraId="3F377843" w14:textId="77777777" w:rsidR="007B0DB8" w:rsidRPr="003469A0" w:rsidRDefault="007B0DB8" w:rsidP="00113F3D">
      <w:pPr>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Preeclampsia is a leading cause of maternal death in Africa. Every year, more than 270,000 women die of preeclampsia in Africa, and Nigeria contributes to over 20% of this global burden of preeclampsia: the highest of any African country. Elevated maternal blood pressure, intrauterine growth restrictions, and low birth weight are the most worrisome pregnancy outcomes in preeclampsia. Antihypertensive drugs are usually administered to improve the maternal blood pressure; however, these treatments often do not improve the birth weight and in many reported cases, often causes fetal toxicity. Hence, the development of a therapy that can improve birthweight during preeclampsia is clear and imminent.</w:t>
      </w:r>
    </w:p>
    <w:p w14:paraId="4E0D7489" w14:textId="77777777" w:rsidR="008958F3" w:rsidRPr="003469A0" w:rsidRDefault="00113F3D" w:rsidP="00113F3D">
      <w:pPr>
        <w:spacing w:after="0" w:line="360" w:lineRule="auto"/>
        <w:jc w:val="both"/>
        <w:rPr>
          <w:rStyle w:val="css-1tmeul0"/>
          <w:rFonts w:ascii="Times New Roman" w:hAnsi="Times New Roman" w:cs="Times New Roman"/>
          <w:sz w:val="24"/>
          <w:szCs w:val="24"/>
        </w:rPr>
      </w:pPr>
      <w:r w:rsidRPr="003469A0">
        <w:rPr>
          <w:rStyle w:val="Emphasis"/>
          <w:rFonts w:ascii="Times New Roman" w:hAnsi="Times New Roman" w:cs="Times New Roman"/>
          <w:sz w:val="24"/>
          <w:szCs w:val="24"/>
        </w:rPr>
        <w:t>Phoenix dactylifera</w:t>
      </w:r>
      <w:r w:rsidRPr="003469A0">
        <w:rPr>
          <w:rFonts w:ascii="Times New Roman" w:hAnsi="Times New Roman" w:cs="Times New Roman"/>
          <w:sz w:val="24"/>
          <w:szCs w:val="24"/>
        </w:rPr>
        <w:t xml:space="preserve"> (date tree) belongs to the palm family of Arecaceae. It is a flowering plant that is commonly planted because of the nutritional and pharmacological benefits of the fruit (Al-Shwyeh, 2019).  </w:t>
      </w:r>
      <w:r w:rsidRPr="003469A0">
        <w:rPr>
          <w:rStyle w:val="Emphasis"/>
          <w:rFonts w:ascii="Times New Roman" w:hAnsi="Times New Roman" w:cs="Times New Roman"/>
          <w:sz w:val="24"/>
          <w:szCs w:val="24"/>
        </w:rPr>
        <w:t>Phoenix dactylifera</w:t>
      </w:r>
      <w:r w:rsidRPr="003469A0">
        <w:rPr>
          <w:rFonts w:ascii="Times New Roman" w:hAnsi="Times New Roman" w:cs="Times New Roman"/>
          <w:sz w:val="24"/>
          <w:szCs w:val="24"/>
        </w:rPr>
        <w:t xml:space="preserve"> is commonly found in the North Africa and Middle East, though the true origin of this plant is still under debate. Historically,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is associated with early Christianity and Judaism because of its ancestral history with Israel. As at then,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was consumed as the first food after the period of Ramadan fasting among Muslims (Al-Shwyeh, 2019). This is the reason why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is captured in the Quran and Muslims in the world attach so much religious significance to it (Ghnimi et al., 2017; Selim et al., 2012).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grows well on tropical and subtropical soils in different parts of the world. Presently, it is eaten as food all over the world particularly in European countries (Ghnimi et al., 2017; Tengberg, 2012). Approximately one million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trees is grown in the world with 90% of them cultivated in the Middle East. This study was undertaken to analyze the ameliorative potentials of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fruits extracts on</w:t>
      </w:r>
      <w:r w:rsidR="0083612B" w:rsidRPr="003469A0">
        <w:rPr>
          <w:rFonts w:ascii="Times New Roman" w:hAnsi="Times New Roman" w:cs="Times New Roman"/>
          <w:sz w:val="24"/>
          <w:szCs w:val="24"/>
        </w:rPr>
        <w:t xml:space="preserve"> biochemical parameters of</w:t>
      </w:r>
      <w:r w:rsidRPr="003469A0">
        <w:rPr>
          <w:rFonts w:ascii="Times New Roman" w:hAnsi="Times New Roman" w:cs="Times New Roman"/>
          <w:sz w:val="24"/>
          <w:szCs w:val="24"/>
        </w:rPr>
        <w:t xml:space="preserve"> rat model of preeclampsia</w:t>
      </w:r>
      <w:r w:rsidR="008958F3" w:rsidRPr="003469A0">
        <w:rPr>
          <w:rStyle w:val="css-1tmeul0"/>
          <w:rFonts w:ascii="Times New Roman" w:hAnsi="Times New Roman" w:cs="Times New Roman"/>
          <w:sz w:val="24"/>
          <w:szCs w:val="24"/>
        </w:rPr>
        <w:t>.</w:t>
      </w:r>
    </w:p>
    <w:p w14:paraId="753C8F92" w14:textId="77777777" w:rsidR="009B595A" w:rsidRPr="003469A0" w:rsidRDefault="009B595A" w:rsidP="00113F3D">
      <w:pPr>
        <w:spacing w:after="0" w:line="360" w:lineRule="auto"/>
        <w:jc w:val="both"/>
        <w:rPr>
          <w:rStyle w:val="css-1tmeul0"/>
          <w:rFonts w:ascii="Times New Roman" w:hAnsi="Times New Roman" w:cs="Times New Roman"/>
          <w:sz w:val="24"/>
          <w:szCs w:val="24"/>
        </w:rPr>
      </w:pPr>
    </w:p>
    <w:p w14:paraId="2F5CD225" w14:textId="77777777" w:rsidR="000328AB" w:rsidRPr="003469A0" w:rsidRDefault="000328AB" w:rsidP="000328AB">
      <w:pPr>
        <w:spacing w:after="0" w:line="360" w:lineRule="auto"/>
        <w:rPr>
          <w:rFonts w:ascii="Times New Roman" w:eastAsia="Times New Roman" w:hAnsi="Times New Roman" w:cs="Times New Roman"/>
          <w:b/>
          <w:bCs/>
          <w:sz w:val="24"/>
        </w:rPr>
      </w:pPr>
      <w:r w:rsidRPr="003469A0">
        <w:rPr>
          <w:rFonts w:ascii="Times New Roman" w:eastAsia="Times New Roman" w:hAnsi="Times New Roman" w:cs="Times New Roman"/>
          <w:b/>
          <w:bCs/>
          <w:sz w:val="24"/>
        </w:rPr>
        <w:t>METHODOLOGY</w:t>
      </w:r>
    </w:p>
    <w:p w14:paraId="16F6A3E5" w14:textId="77777777" w:rsidR="000328AB" w:rsidRPr="003469A0" w:rsidRDefault="000328AB" w:rsidP="000328AB">
      <w:pPr>
        <w:spacing w:after="0" w:line="360" w:lineRule="auto"/>
        <w:rPr>
          <w:rFonts w:ascii="Times New Roman" w:hAnsi="Times New Roman" w:cs="Times New Roman"/>
          <w:b/>
          <w:sz w:val="24"/>
          <w:szCs w:val="24"/>
        </w:rPr>
      </w:pPr>
      <w:r w:rsidRPr="003469A0">
        <w:rPr>
          <w:rFonts w:ascii="Times New Roman" w:eastAsia="Times New Roman" w:hAnsi="Times New Roman" w:cs="Times New Roman"/>
          <w:b/>
          <w:bCs/>
          <w:iCs/>
          <w:sz w:val="24"/>
          <w:szCs w:val="24"/>
        </w:rPr>
        <w:t xml:space="preserve">Plant </w:t>
      </w:r>
      <w:r w:rsidR="00C23931" w:rsidRPr="003469A0">
        <w:rPr>
          <w:rFonts w:ascii="Times New Roman" w:eastAsia="Times New Roman" w:hAnsi="Times New Roman" w:cs="Times New Roman"/>
          <w:b/>
          <w:bCs/>
          <w:iCs/>
          <w:sz w:val="24"/>
          <w:szCs w:val="24"/>
        </w:rPr>
        <w:t>Collection and Identification</w:t>
      </w:r>
      <w:r w:rsidRPr="003469A0">
        <w:rPr>
          <w:rFonts w:ascii="Times New Roman" w:eastAsia="Times New Roman" w:hAnsi="Times New Roman" w:cs="Times New Roman"/>
          <w:sz w:val="24"/>
          <w:szCs w:val="24"/>
        </w:rPr>
        <w:t xml:space="preserve"> </w:t>
      </w:r>
    </w:p>
    <w:p w14:paraId="0EFA427D" w14:textId="77777777" w:rsidR="000328AB" w:rsidRPr="003469A0" w:rsidRDefault="000328AB" w:rsidP="000328AB">
      <w:pPr>
        <w:spacing w:after="0" w:line="360" w:lineRule="auto"/>
        <w:jc w:val="both"/>
        <w:rPr>
          <w:rFonts w:ascii="Times New Roman" w:hAnsi="Times New Roman" w:cs="Times New Roman"/>
          <w:bCs/>
          <w:sz w:val="24"/>
          <w:szCs w:val="24"/>
        </w:rPr>
      </w:pPr>
      <w:r w:rsidRPr="003469A0">
        <w:rPr>
          <w:rFonts w:ascii="Times New Roman" w:hAnsi="Times New Roman" w:cs="Times New Roman"/>
          <w:bCs/>
          <w:sz w:val="24"/>
          <w:szCs w:val="24"/>
        </w:rPr>
        <w:lastRenderedPageBreak/>
        <w:t xml:space="preserve">Fresh </w:t>
      </w:r>
      <w:r w:rsidRPr="003469A0">
        <w:rPr>
          <w:rStyle w:val="Emphasis"/>
          <w:rFonts w:ascii="Times New Roman" w:hAnsi="Times New Roman" w:cs="Times New Roman"/>
          <w:sz w:val="24"/>
          <w:szCs w:val="24"/>
        </w:rPr>
        <w:t>Phoenix dactylifera</w:t>
      </w:r>
      <w:r w:rsidRPr="003469A0">
        <w:rPr>
          <w:rFonts w:ascii="Times New Roman" w:hAnsi="Times New Roman" w:cs="Times New Roman"/>
          <w:sz w:val="24"/>
          <w:szCs w:val="24"/>
        </w:rPr>
        <w:t xml:space="preserve"> (dabino) fruits</w:t>
      </w:r>
      <w:r w:rsidRPr="003469A0">
        <w:rPr>
          <w:rFonts w:ascii="Times New Roman" w:hAnsi="Times New Roman" w:cs="Times New Roman"/>
          <w:bCs/>
          <w:sz w:val="24"/>
          <w:szCs w:val="24"/>
        </w:rPr>
        <w:t xml:space="preserve"> were obtained from Kaduna state in the Northern part of Nigeria. The procured plant nuts were identified in the Department of Plant Science and Biotechnology, Imo State University, Owerri.</w:t>
      </w:r>
    </w:p>
    <w:p w14:paraId="31D57507" w14:textId="77777777" w:rsidR="007B0DB8" w:rsidRPr="003469A0" w:rsidRDefault="007B0DB8" w:rsidP="000328AB">
      <w:pPr>
        <w:widowControl w:val="0"/>
        <w:tabs>
          <w:tab w:val="left" w:pos="1864"/>
          <w:tab w:val="left" w:pos="1865"/>
        </w:tabs>
        <w:autoSpaceDE w:val="0"/>
        <w:autoSpaceDN w:val="0"/>
        <w:spacing w:after="0" w:line="360" w:lineRule="auto"/>
        <w:jc w:val="both"/>
        <w:rPr>
          <w:rFonts w:ascii="Times New Roman" w:hAnsi="Times New Roman" w:cs="Times New Roman"/>
          <w:b/>
          <w:sz w:val="24"/>
          <w:szCs w:val="24"/>
        </w:rPr>
      </w:pPr>
    </w:p>
    <w:p w14:paraId="64F7492F" w14:textId="77777777" w:rsidR="000328AB" w:rsidRPr="003469A0" w:rsidRDefault="000328AB" w:rsidP="000328AB">
      <w:pPr>
        <w:widowControl w:val="0"/>
        <w:tabs>
          <w:tab w:val="left" w:pos="1864"/>
          <w:tab w:val="left" w:pos="1865"/>
        </w:tabs>
        <w:autoSpaceDE w:val="0"/>
        <w:autoSpaceDN w:val="0"/>
        <w:spacing w:after="0" w:line="360" w:lineRule="auto"/>
        <w:jc w:val="both"/>
        <w:rPr>
          <w:rFonts w:ascii="Times New Roman" w:hAnsi="Times New Roman" w:cs="Times New Roman"/>
          <w:b/>
          <w:sz w:val="24"/>
          <w:szCs w:val="24"/>
        </w:rPr>
      </w:pPr>
      <w:r w:rsidRPr="003469A0">
        <w:rPr>
          <w:rFonts w:ascii="Times New Roman" w:hAnsi="Times New Roman" w:cs="Times New Roman"/>
          <w:b/>
          <w:sz w:val="24"/>
          <w:szCs w:val="24"/>
        </w:rPr>
        <w:t xml:space="preserve">Sample </w:t>
      </w:r>
      <w:r w:rsidR="00C23931" w:rsidRPr="003469A0">
        <w:rPr>
          <w:rFonts w:ascii="Times New Roman" w:hAnsi="Times New Roman" w:cs="Times New Roman"/>
          <w:b/>
          <w:sz w:val="24"/>
          <w:szCs w:val="24"/>
        </w:rPr>
        <w:t>Preparation</w:t>
      </w:r>
    </w:p>
    <w:p w14:paraId="7DBF8063" w14:textId="77777777" w:rsidR="000328AB" w:rsidRPr="003469A0" w:rsidRDefault="000328AB" w:rsidP="000328AB">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r w:rsidRPr="003469A0">
        <w:rPr>
          <w:rFonts w:ascii="Times New Roman" w:hAnsi="Times New Roman" w:cs="Times New Roman"/>
          <w:bCs/>
          <w:sz w:val="24"/>
          <w:szCs w:val="24"/>
        </w:rPr>
        <w:t xml:space="preserve">Exactly 2 kg of </w:t>
      </w:r>
      <w:r w:rsidRPr="003469A0">
        <w:rPr>
          <w:rFonts w:ascii="Times New Roman" w:hAnsi="Times New Roman" w:cs="Times New Roman"/>
          <w:bCs/>
          <w:i/>
          <w:sz w:val="24"/>
          <w:szCs w:val="24"/>
        </w:rPr>
        <w:t>Phoenix dactylifera</w:t>
      </w:r>
      <w:r w:rsidRPr="003469A0">
        <w:rPr>
          <w:rFonts w:ascii="Times New Roman" w:hAnsi="Times New Roman" w:cs="Times New Roman"/>
          <w:bCs/>
          <w:sz w:val="24"/>
          <w:szCs w:val="24"/>
        </w:rPr>
        <w:t xml:space="preserve"> fruits was washed, sorted, macerated and oven-dried at 40-50</w:t>
      </w:r>
      <w:r w:rsidRPr="003469A0">
        <w:rPr>
          <w:rFonts w:ascii="Times New Roman" w:hAnsi="Times New Roman" w:cs="Times New Roman"/>
          <w:bCs/>
          <w:sz w:val="24"/>
          <w:szCs w:val="24"/>
          <w:vertAlign w:val="superscript"/>
        </w:rPr>
        <w:t>o</w:t>
      </w:r>
      <w:r w:rsidRPr="003469A0">
        <w:rPr>
          <w:rFonts w:ascii="Times New Roman" w:hAnsi="Times New Roman" w:cs="Times New Roman"/>
          <w:bCs/>
          <w:sz w:val="24"/>
          <w:szCs w:val="24"/>
        </w:rPr>
        <w:t>C to steady weight.</w:t>
      </w:r>
      <w:r w:rsidRPr="003469A0">
        <w:rPr>
          <w:rFonts w:ascii="Times New Roman" w:hAnsi="Times New Roman" w:cs="Times New Roman"/>
          <w:sz w:val="24"/>
          <w:szCs w:val="24"/>
        </w:rPr>
        <w:t xml:space="preserve"> This process produced dry red pomegranates as many as ±100 g. Furthermore, the dried fruits were blended until smooth, then dried pomegranate powder was soaked by using 900 ml of ethanol solvent (3 × 24 h) and evaporation process was carried out. The final result of evaporation process was the total extracts. In this study, total of 44 g of pomegranate extracts were obtained from 100 g of dried pomegranates in the form of essential oils (Ambarwati et al., 2017).</w:t>
      </w:r>
    </w:p>
    <w:p w14:paraId="36AD60E2" w14:textId="77777777" w:rsidR="00A059E0" w:rsidRPr="003469A0" w:rsidRDefault="00A059E0" w:rsidP="000328AB">
      <w:pPr>
        <w:widowControl w:val="0"/>
        <w:tabs>
          <w:tab w:val="left" w:pos="1864"/>
          <w:tab w:val="left" w:pos="1865"/>
        </w:tabs>
        <w:autoSpaceDE w:val="0"/>
        <w:autoSpaceDN w:val="0"/>
        <w:spacing w:after="0" w:line="360" w:lineRule="auto"/>
        <w:jc w:val="both"/>
        <w:rPr>
          <w:rFonts w:ascii="Times New Roman" w:hAnsi="Times New Roman" w:cs="Times New Roman"/>
          <w:b/>
          <w:sz w:val="24"/>
          <w:szCs w:val="24"/>
        </w:rPr>
      </w:pPr>
    </w:p>
    <w:p w14:paraId="346A8EF3" w14:textId="77777777" w:rsidR="00C23931" w:rsidRPr="003469A0" w:rsidRDefault="00C23931" w:rsidP="000328AB">
      <w:pPr>
        <w:widowControl w:val="0"/>
        <w:tabs>
          <w:tab w:val="left" w:pos="1864"/>
          <w:tab w:val="left" w:pos="1865"/>
        </w:tabs>
        <w:autoSpaceDE w:val="0"/>
        <w:autoSpaceDN w:val="0"/>
        <w:spacing w:after="0" w:line="360" w:lineRule="auto"/>
        <w:jc w:val="both"/>
        <w:rPr>
          <w:rFonts w:ascii="Times New Roman" w:hAnsi="Times New Roman" w:cs="Times New Roman"/>
          <w:b/>
          <w:sz w:val="24"/>
          <w:szCs w:val="24"/>
        </w:rPr>
      </w:pPr>
      <w:r w:rsidRPr="003469A0">
        <w:rPr>
          <w:rFonts w:ascii="Times New Roman" w:hAnsi="Times New Roman" w:cs="Times New Roman"/>
          <w:b/>
          <w:sz w:val="24"/>
          <w:szCs w:val="24"/>
        </w:rPr>
        <w:t>Phytochemical Screening of Plant Extract</w:t>
      </w:r>
    </w:p>
    <w:p w14:paraId="76FAD9BD" w14:textId="77777777" w:rsidR="00C23931" w:rsidRPr="003469A0" w:rsidRDefault="00C23931" w:rsidP="000328AB">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r w:rsidRPr="003469A0">
        <w:rPr>
          <w:rFonts w:ascii="Times New Roman" w:hAnsi="Times New Roman" w:cs="Times New Roman"/>
          <w:bCs/>
          <w:sz w:val="24"/>
          <w:szCs w:val="24"/>
        </w:rPr>
        <w:t>Phytochemical screening of</w:t>
      </w:r>
      <w:r w:rsidRPr="003469A0">
        <w:rPr>
          <w:rFonts w:ascii="Times New Roman" w:hAnsi="Times New Roman" w:cs="Times New Roman"/>
          <w:bCs/>
          <w:i/>
          <w:sz w:val="24"/>
          <w:szCs w:val="24"/>
        </w:rPr>
        <w:t xml:space="preserve"> Phoenix dactylifera</w:t>
      </w:r>
      <w:r w:rsidRPr="003469A0">
        <w:rPr>
          <w:rFonts w:ascii="Times New Roman" w:hAnsi="Times New Roman" w:cs="Times New Roman"/>
          <w:bCs/>
          <w:sz w:val="24"/>
          <w:szCs w:val="24"/>
        </w:rPr>
        <w:t xml:space="preserve"> </w:t>
      </w:r>
      <w:r w:rsidRPr="003469A0">
        <w:rPr>
          <w:rFonts w:ascii="Times New Roman" w:hAnsi="Times New Roman" w:cs="Times New Roman"/>
          <w:sz w:val="24"/>
          <w:szCs w:val="24"/>
        </w:rPr>
        <w:t>fruit extracts was carried out according to</w:t>
      </w:r>
      <w:r w:rsidRPr="003469A0">
        <w:rPr>
          <w:rFonts w:ascii="Times New Roman" w:hAnsi="Times New Roman" w:cs="Times New Roman"/>
          <w:bCs/>
          <w:sz w:val="24"/>
          <w:szCs w:val="24"/>
        </w:rPr>
        <w:t xml:space="preserve"> AOAC (1990).</w:t>
      </w:r>
    </w:p>
    <w:p w14:paraId="10802338" w14:textId="77777777" w:rsidR="00A059E0" w:rsidRPr="003469A0" w:rsidRDefault="00A059E0" w:rsidP="00950B4C">
      <w:pPr>
        <w:spacing w:after="0" w:line="360" w:lineRule="auto"/>
        <w:jc w:val="both"/>
        <w:rPr>
          <w:rFonts w:ascii="Times New Roman" w:hAnsi="Times New Roman" w:cs="Times New Roman"/>
          <w:b/>
          <w:sz w:val="24"/>
          <w:szCs w:val="24"/>
        </w:rPr>
      </w:pPr>
    </w:p>
    <w:p w14:paraId="1ED3E30D" w14:textId="77777777" w:rsidR="00950B4C" w:rsidRPr="003469A0" w:rsidRDefault="00950B4C" w:rsidP="00950B4C">
      <w:pPr>
        <w:spacing w:after="0" w:line="360" w:lineRule="auto"/>
        <w:jc w:val="both"/>
        <w:rPr>
          <w:rFonts w:ascii="Times New Roman" w:hAnsi="Times New Roman" w:cs="Times New Roman"/>
          <w:b/>
          <w:sz w:val="24"/>
          <w:szCs w:val="24"/>
        </w:rPr>
      </w:pPr>
      <w:r w:rsidRPr="003469A0">
        <w:rPr>
          <w:rFonts w:ascii="Times New Roman" w:hAnsi="Times New Roman" w:cs="Times New Roman"/>
          <w:b/>
          <w:sz w:val="24"/>
          <w:szCs w:val="24"/>
        </w:rPr>
        <w:t>Calculation of LD</w:t>
      </w:r>
      <w:r w:rsidRPr="003469A0">
        <w:rPr>
          <w:rFonts w:ascii="Times New Roman" w:hAnsi="Times New Roman" w:cs="Times New Roman"/>
          <w:b/>
          <w:sz w:val="24"/>
          <w:szCs w:val="24"/>
          <w:vertAlign w:val="subscript"/>
        </w:rPr>
        <w:t>50</w:t>
      </w:r>
      <w:r w:rsidRPr="003469A0">
        <w:rPr>
          <w:rFonts w:ascii="Times New Roman" w:hAnsi="Times New Roman" w:cs="Times New Roman"/>
          <w:b/>
          <w:sz w:val="24"/>
          <w:szCs w:val="24"/>
        </w:rPr>
        <w:t xml:space="preserve"> for </w:t>
      </w:r>
      <w:r w:rsidRPr="003469A0">
        <w:rPr>
          <w:rFonts w:ascii="Times New Roman" w:hAnsi="Times New Roman" w:cs="Times New Roman"/>
          <w:b/>
          <w:i/>
          <w:sz w:val="24"/>
          <w:szCs w:val="24"/>
        </w:rPr>
        <w:t>Phoenix dactylifera</w:t>
      </w:r>
      <w:r w:rsidRPr="003469A0">
        <w:rPr>
          <w:rFonts w:ascii="Times New Roman" w:hAnsi="Times New Roman" w:cs="Times New Roman"/>
          <w:b/>
          <w:sz w:val="24"/>
          <w:szCs w:val="24"/>
        </w:rPr>
        <w:t xml:space="preserve"> fruit Extract</w:t>
      </w:r>
    </w:p>
    <w:p w14:paraId="41BA3D0B" w14:textId="77777777" w:rsidR="00950B4C" w:rsidRPr="003469A0" w:rsidRDefault="00950B4C" w:rsidP="00950B4C">
      <w:pPr>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The LD</w:t>
      </w:r>
      <w:r w:rsidRPr="003469A0">
        <w:rPr>
          <w:rFonts w:ascii="Times New Roman" w:hAnsi="Times New Roman" w:cs="Times New Roman"/>
          <w:sz w:val="24"/>
          <w:szCs w:val="24"/>
          <w:vertAlign w:val="subscript"/>
        </w:rPr>
        <w:t>50</w:t>
      </w:r>
      <w:r w:rsidRPr="003469A0">
        <w:rPr>
          <w:rFonts w:ascii="Times New Roman" w:hAnsi="Times New Roman" w:cs="Times New Roman"/>
          <w:sz w:val="24"/>
          <w:szCs w:val="24"/>
        </w:rPr>
        <w:t xml:space="preserve"> was calculated using the Organisation for Economic Co-operation and Development (OECD) (2001) model. This model also known as the "Up-and-Down Procedure" permits researchers to administer specified doses of extract to individual animals in a sequential manner. However, the dose to be given to the next rat should be adjusted based on the effect (fatality or safety) it has on the previous animal, before ascertaining the LD</w:t>
      </w:r>
      <w:r w:rsidRPr="003469A0">
        <w:rPr>
          <w:rFonts w:ascii="Times New Roman" w:hAnsi="Times New Roman" w:cs="Times New Roman"/>
          <w:sz w:val="24"/>
          <w:szCs w:val="24"/>
          <w:vertAlign w:val="subscript"/>
        </w:rPr>
        <w:t>50</w:t>
      </w:r>
      <w:r w:rsidRPr="003469A0">
        <w:rPr>
          <w:rFonts w:ascii="Times New Roman" w:hAnsi="Times New Roman" w:cs="Times New Roman"/>
          <w:sz w:val="24"/>
          <w:szCs w:val="24"/>
        </w:rPr>
        <w:t xml:space="preserve"> value using maximum likelihood estimation method. The LD</w:t>
      </w:r>
      <w:r w:rsidRPr="003469A0">
        <w:rPr>
          <w:rFonts w:ascii="Times New Roman" w:hAnsi="Times New Roman" w:cs="Times New Roman"/>
          <w:sz w:val="24"/>
          <w:szCs w:val="24"/>
          <w:vertAlign w:val="subscript"/>
        </w:rPr>
        <w:t>50</w:t>
      </w:r>
      <w:r w:rsidRPr="003469A0">
        <w:rPr>
          <w:rFonts w:ascii="Times New Roman" w:hAnsi="Times New Roman" w:cs="Times New Roman"/>
          <w:sz w:val="24"/>
          <w:szCs w:val="24"/>
        </w:rPr>
        <w:t xml:space="preserve"> is the dosage that caaused 50% fatality in animals.</w:t>
      </w:r>
    </w:p>
    <w:p w14:paraId="20C4A83D" w14:textId="77777777" w:rsidR="00950B4C" w:rsidRPr="003469A0" w:rsidRDefault="00950B4C" w:rsidP="00950B4C">
      <w:pPr>
        <w:spacing w:after="0" w:line="360" w:lineRule="auto"/>
        <w:jc w:val="both"/>
        <w:rPr>
          <w:rFonts w:ascii="Times New Roman" w:hAnsi="Times New Roman"/>
          <w:sz w:val="24"/>
          <w:szCs w:val="24"/>
        </w:rPr>
      </w:pPr>
      <w:r w:rsidRPr="003469A0">
        <w:rPr>
          <w:rFonts w:ascii="Times New Roman" w:hAnsi="Times New Roman" w:cs="Times New Roman"/>
          <w:sz w:val="24"/>
          <w:szCs w:val="24"/>
        </w:rPr>
        <w:t>LD</w:t>
      </w:r>
      <w:r w:rsidRPr="003469A0">
        <w:rPr>
          <w:rFonts w:ascii="Times New Roman" w:hAnsi="Times New Roman" w:cs="Times New Roman"/>
          <w:sz w:val="24"/>
          <w:szCs w:val="24"/>
          <w:vertAlign w:val="subscript"/>
        </w:rPr>
        <w:t>50</w:t>
      </w:r>
      <w:r w:rsidRPr="003469A0">
        <w:rPr>
          <w:rFonts w:ascii="Times New Roman" w:hAnsi="Times New Roman" w:cs="Times New Roman"/>
          <w:sz w:val="24"/>
          <w:szCs w:val="24"/>
        </w:rPr>
        <w:t xml:space="preserve"> was carried out using </w:t>
      </w:r>
      <w:r w:rsidRPr="003469A0">
        <w:rPr>
          <w:rFonts w:ascii="Times New Roman" w:hAnsi="Times New Roman"/>
          <w:sz w:val="24"/>
          <w:szCs w:val="24"/>
        </w:rPr>
        <w:t xml:space="preserve">graded doses up to 5,000 mg/kg of </w:t>
      </w:r>
      <w:r w:rsidRPr="003469A0">
        <w:rPr>
          <w:rFonts w:ascii="Times New Roman" w:hAnsi="Times New Roman"/>
          <w:i/>
          <w:sz w:val="24"/>
          <w:szCs w:val="24"/>
        </w:rPr>
        <w:t>Phoenix dactylifera</w:t>
      </w:r>
      <w:r w:rsidRPr="003469A0">
        <w:rPr>
          <w:rFonts w:ascii="Times New Roman" w:hAnsi="Times New Roman"/>
          <w:sz w:val="24"/>
          <w:szCs w:val="24"/>
        </w:rPr>
        <w:t xml:space="preserve"> fruit extract as shown in Tables 1A, 1B and 1C. Results of the acute toxicity produced no mortality in the rats. The treated rats also did not show signs of severe toxicity like tremor, convulsions, writhing reflexes and agitations, but remained active and physically stable throughout the 24 hour period and a further 7 days of observation.</w:t>
      </w:r>
    </w:p>
    <w:p w14:paraId="3376EC73" w14:textId="77777777" w:rsidR="00950B4C" w:rsidRPr="003469A0" w:rsidRDefault="00950B4C" w:rsidP="00950B4C">
      <w:pPr>
        <w:spacing w:after="0" w:line="360" w:lineRule="auto"/>
        <w:jc w:val="both"/>
        <w:rPr>
          <w:rFonts w:ascii="Times New Roman" w:hAnsi="Times New Roman"/>
          <w:sz w:val="24"/>
          <w:szCs w:val="24"/>
        </w:rPr>
      </w:pPr>
    </w:p>
    <w:p w14:paraId="7459CBC5" w14:textId="77777777" w:rsidR="00950B4C" w:rsidRPr="003469A0" w:rsidRDefault="00950B4C" w:rsidP="00950B4C">
      <w:pPr>
        <w:jc w:val="both"/>
        <w:rPr>
          <w:rFonts w:ascii="Times New Roman" w:hAnsi="Times New Roman"/>
          <w:b/>
          <w:sz w:val="24"/>
          <w:szCs w:val="24"/>
        </w:rPr>
      </w:pPr>
      <w:r w:rsidRPr="003469A0">
        <w:rPr>
          <w:rFonts w:ascii="Times New Roman" w:hAnsi="Times New Roman"/>
          <w:b/>
          <w:sz w:val="24"/>
          <w:szCs w:val="24"/>
        </w:rPr>
        <w:t>Table 1A: Stage 1 Acute toxicity (LD</w:t>
      </w:r>
      <w:r w:rsidRPr="003469A0">
        <w:rPr>
          <w:rFonts w:ascii="Times New Roman" w:hAnsi="Times New Roman"/>
          <w:b/>
          <w:sz w:val="24"/>
          <w:szCs w:val="24"/>
          <w:vertAlign w:val="subscript"/>
        </w:rPr>
        <w:t>50</w:t>
      </w:r>
      <w:r w:rsidRPr="003469A0">
        <w:rPr>
          <w:rFonts w:ascii="Times New Roman" w:hAnsi="Times New Roman"/>
          <w:b/>
          <w:sz w:val="24"/>
          <w:szCs w:val="24"/>
        </w:rPr>
        <w:t xml:space="preserve">) Evaluation of the </w:t>
      </w:r>
      <w:r w:rsidRPr="003469A0">
        <w:rPr>
          <w:rFonts w:ascii="Times New Roman" w:hAnsi="Times New Roman"/>
          <w:b/>
          <w:i/>
          <w:sz w:val="24"/>
          <w:szCs w:val="24"/>
        </w:rPr>
        <w:t>Phoenix dactylifera</w:t>
      </w:r>
      <w:r w:rsidRPr="003469A0">
        <w:rPr>
          <w:rFonts w:ascii="Times New Roman" w:hAnsi="Times New Roman"/>
          <w:b/>
          <w:sz w:val="24"/>
          <w:szCs w:val="24"/>
        </w:rPr>
        <w:t xml:space="preserve"> fruit Extract in Rats </w:t>
      </w:r>
    </w:p>
    <w:tbl>
      <w:tblPr>
        <w:tblW w:w="0" w:type="auto"/>
        <w:tblBorders>
          <w:top w:val="single" w:sz="8" w:space="0" w:color="000000"/>
          <w:bottom w:val="single" w:sz="8" w:space="0" w:color="000000"/>
        </w:tblBorders>
        <w:shd w:val="clear" w:color="auto" w:fill="FFFFFF"/>
        <w:tblLook w:val="04A0" w:firstRow="1" w:lastRow="0" w:firstColumn="1" w:lastColumn="0" w:noHBand="0" w:noVBand="1"/>
      </w:tblPr>
      <w:tblGrid>
        <w:gridCol w:w="897"/>
        <w:gridCol w:w="1086"/>
        <w:gridCol w:w="923"/>
        <w:gridCol w:w="1489"/>
        <w:gridCol w:w="4965"/>
      </w:tblGrid>
      <w:tr w:rsidR="003469A0" w:rsidRPr="003469A0" w14:paraId="51AF347F" w14:textId="77777777" w:rsidTr="006B095C">
        <w:tc>
          <w:tcPr>
            <w:tcW w:w="897" w:type="dxa"/>
            <w:tcBorders>
              <w:top w:val="single" w:sz="12" w:space="0" w:color="auto"/>
              <w:bottom w:val="single" w:sz="12" w:space="0" w:color="auto"/>
            </w:tcBorders>
            <w:shd w:val="clear" w:color="auto" w:fill="FFFFFF"/>
          </w:tcPr>
          <w:p w14:paraId="33EB3629" w14:textId="77777777" w:rsidR="00950B4C" w:rsidRPr="003469A0" w:rsidRDefault="00950B4C" w:rsidP="006B095C">
            <w:pPr>
              <w:spacing w:after="0"/>
              <w:jc w:val="both"/>
              <w:rPr>
                <w:rFonts w:ascii="Times New Roman" w:hAnsi="Times New Roman"/>
                <w:bCs/>
                <w:sz w:val="24"/>
                <w:szCs w:val="24"/>
              </w:rPr>
            </w:pPr>
            <w:r w:rsidRPr="003469A0">
              <w:rPr>
                <w:rFonts w:ascii="Times New Roman" w:hAnsi="Times New Roman"/>
                <w:b/>
                <w:bCs/>
                <w:sz w:val="24"/>
                <w:szCs w:val="24"/>
              </w:rPr>
              <w:lastRenderedPageBreak/>
              <w:t>Group</w:t>
            </w:r>
          </w:p>
        </w:tc>
        <w:tc>
          <w:tcPr>
            <w:tcW w:w="1086" w:type="dxa"/>
            <w:tcBorders>
              <w:top w:val="single" w:sz="12" w:space="0" w:color="auto"/>
              <w:bottom w:val="single" w:sz="12" w:space="0" w:color="auto"/>
            </w:tcBorders>
            <w:shd w:val="clear" w:color="auto" w:fill="FFFFFF"/>
          </w:tcPr>
          <w:p w14:paraId="61898474" w14:textId="77777777" w:rsidR="00950B4C" w:rsidRPr="003469A0" w:rsidRDefault="00950B4C" w:rsidP="006B095C">
            <w:pPr>
              <w:spacing w:after="0"/>
              <w:jc w:val="both"/>
              <w:rPr>
                <w:rFonts w:ascii="Times New Roman" w:hAnsi="Times New Roman"/>
                <w:bCs/>
                <w:sz w:val="24"/>
                <w:szCs w:val="24"/>
              </w:rPr>
            </w:pPr>
            <w:r w:rsidRPr="003469A0">
              <w:rPr>
                <w:rFonts w:ascii="Times New Roman" w:hAnsi="Times New Roman"/>
                <w:b/>
                <w:bCs/>
                <w:sz w:val="24"/>
                <w:szCs w:val="24"/>
              </w:rPr>
              <w:t>Dose (mg/kg)</w:t>
            </w:r>
          </w:p>
        </w:tc>
        <w:tc>
          <w:tcPr>
            <w:tcW w:w="923" w:type="dxa"/>
            <w:tcBorders>
              <w:top w:val="single" w:sz="12" w:space="0" w:color="auto"/>
              <w:bottom w:val="single" w:sz="12" w:space="0" w:color="auto"/>
            </w:tcBorders>
            <w:shd w:val="clear" w:color="auto" w:fill="FFFFFF"/>
          </w:tcPr>
          <w:p w14:paraId="73AB53DE" w14:textId="77777777" w:rsidR="00950B4C" w:rsidRPr="003469A0" w:rsidRDefault="00950B4C" w:rsidP="006B095C">
            <w:pPr>
              <w:spacing w:after="0"/>
              <w:jc w:val="both"/>
              <w:rPr>
                <w:rFonts w:ascii="Times New Roman" w:hAnsi="Times New Roman"/>
                <w:bCs/>
                <w:sz w:val="24"/>
                <w:szCs w:val="24"/>
              </w:rPr>
            </w:pPr>
            <w:r w:rsidRPr="003469A0">
              <w:rPr>
                <w:rFonts w:ascii="Times New Roman" w:hAnsi="Times New Roman"/>
                <w:b/>
                <w:bCs/>
                <w:sz w:val="24"/>
                <w:szCs w:val="24"/>
              </w:rPr>
              <w:t>No. of Deaths</w:t>
            </w:r>
          </w:p>
        </w:tc>
        <w:tc>
          <w:tcPr>
            <w:tcW w:w="1489" w:type="dxa"/>
            <w:tcBorders>
              <w:top w:val="single" w:sz="12" w:space="0" w:color="auto"/>
              <w:bottom w:val="single" w:sz="12" w:space="0" w:color="auto"/>
            </w:tcBorders>
            <w:shd w:val="clear" w:color="auto" w:fill="FFFFFF"/>
          </w:tcPr>
          <w:p w14:paraId="0EBD63E9" w14:textId="77777777" w:rsidR="00950B4C" w:rsidRPr="003469A0" w:rsidRDefault="00950B4C" w:rsidP="006B095C">
            <w:pPr>
              <w:spacing w:after="0"/>
              <w:jc w:val="both"/>
              <w:rPr>
                <w:rFonts w:ascii="Times New Roman" w:hAnsi="Times New Roman"/>
                <w:bCs/>
                <w:sz w:val="24"/>
                <w:szCs w:val="24"/>
              </w:rPr>
            </w:pPr>
            <w:r w:rsidRPr="003469A0">
              <w:rPr>
                <w:rFonts w:ascii="Times New Roman" w:hAnsi="Times New Roman"/>
                <w:b/>
                <w:bCs/>
                <w:sz w:val="24"/>
                <w:szCs w:val="24"/>
              </w:rPr>
              <w:t>Percentage of mortality</w:t>
            </w:r>
          </w:p>
        </w:tc>
        <w:tc>
          <w:tcPr>
            <w:tcW w:w="4965" w:type="dxa"/>
            <w:tcBorders>
              <w:top w:val="single" w:sz="12" w:space="0" w:color="auto"/>
              <w:bottom w:val="single" w:sz="12" w:space="0" w:color="auto"/>
            </w:tcBorders>
            <w:shd w:val="clear" w:color="auto" w:fill="FFFFFF"/>
          </w:tcPr>
          <w:p w14:paraId="12AEA9A7" w14:textId="77777777" w:rsidR="00950B4C" w:rsidRPr="003469A0" w:rsidRDefault="00950B4C" w:rsidP="006B095C">
            <w:pPr>
              <w:spacing w:after="0"/>
              <w:jc w:val="both"/>
              <w:rPr>
                <w:rFonts w:ascii="Times New Roman" w:hAnsi="Times New Roman"/>
                <w:bCs/>
                <w:sz w:val="24"/>
                <w:szCs w:val="24"/>
              </w:rPr>
            </w:pPr>
            <w:r w:rsidRPr="003469A0">
              <w:rPr>
                <w:rFonts w:ascii="Times New Roman" w:hAnsi="Times New Roman"/>
                <w:b/>
                <w:bCs/>
                <w:sz w:val="24"/>
                <w:szCs w:val="24"/>
              </w:rPr>
              <w:t>Observations</w:t>
            </w:r>
          </w:p>
        </w:tc>
      </w:tr>
      <w:tr w:rsidR="003469A0" w:rsidRPr="003469A0" w14:paraId="0DD478C6" w14:textId="77777777" w:rsidTr="006B095C">
        <w:tc>
          <w:tcPr>
            <w:tcW w:w="897" w:type="dxa"/>
            <w:tcBorders>
              <w:top w:val="single" w:sz="12" w:space="0" w:color="auto"/>
            </w:tcBorders>
            <w:shd w:val="clear" w:color="auto" w:fill="FFFFFF"/>
          </w:tcPr>
          <w:p w14:paraId="497DDB41" w14:textId="77777777" w:rsidR="00950B4C" w:rsidRPr="003469A0" w:rsidRDefault="00950B4C" w:rsidP="006B095C">
            <w:pPr>
              <w:spacing w:after="0"/>
              <w:jc w:val="both"/>
              <w:rPr>
                <w:rFonts w:ascii="Times New Roman" w:hAnsi="Times New Roman"/>
                <w:b/>
                <w:bCs/>
                <w:sz w:val="24"/>
                <w:szCs w:val="24"/>
              </w:rPr>
            </w:pPr>
            <w:r w:rsidRPr="003469A0">
              <w:rPr>
                <w:rFonts w:ascii="Times New Roman" w:hAnsi="Times New Roman"/>
                <w:b/>
                <w:bCs/>
                <w:sz w:val="24"/>
                <w:szCs w:val="24"/>
              </w:rPr>
              <w:t>1</w:t>
            </w:r>
          </w:p>
        </w:tc>
        <w:tc>
          <w:tcPr>
            <w:tcW w:w="1086" w:type="dxa"/>
            <w:tcBorders>
              <w:top w:val="single" w:sz="12" w:space="0" w:color="auto"/>
              <w:left w:val="nil"/>
              <w:right w:val="nil"/>
            </w:tcBorders>
            <w:shd w:val="clear" w:color="auto" w:fill="FFFFFF"/>
          </w:tcPr>
          <w:p w14:paraId="7C5134C3" w14:textId="77777777" w:rsidR="00950B4C" w:rsidRPr="003469A0" w:rsidRDefault="00950B4C" w:rsidP="006B095C">
            <w:pPr>
              <w:spacing w:after="0"/>
              <w:jc w:val="both"/>
              <w:rPr>
                <w:rFonts w:ascii="Times New Roman" w:hAnsi="Times New Roman"/>
                <w:sz w:val="24"/>
                <w:szCs w:val="24"/>
              </w:rPr>
            </w:pPr>
            <w:r w:rsidRPr="003469A0">
              <w:rPr>
                <w:rFonts w:ascii="Times New Roman" w:hAnsi="Times New Roman"/>
                <w:sz w:val="24"/>
                <w:szCs w:val="24"/>
              </w:rPr>
              <w:t>10</w:t>
            </w:r>
          </w:p>
        </w:tc>
        <w:tc>
          <w:tcPr>
            <w:tcW w:w="923" w:type="dxa"/>
            <w:tcBorders>
              <w:top w:val="single" w:sz="12" w:space="0" w:color="auto"/>
            </w:tcBorders>
            <w:shd w:val="clear" w:color="auto" w:fill="FFFFFF"/>
          </w:tcPr>
          <w:p w14:paraId="5262091C" w14:textId="77777777" w:rsidR="00950B4C" w:rsidRPr="003469A0" w:rsidRDefault="00950B4C" w:rsidP="006B095C">
            <w:pPr>
              <w:spacing w:after="0"/>
              <w:jc w:val="both"/>
              <w:rPr>
                <w:rFonts w:ascii="Times New Roman" w:hAnsi="Times New Roman"/>
                <w:sz w:val="24"/>
                <w:szCs w:val="24"/>
              </w:rPr>
            </w:pPr>
            <w:r w:rsidRPr="003469A0">
              <w:rPr>
                <w:rFonts w:ascii="Times New Roman" w:hAnsi="Times New Roman"/>
                <w:sz w:val="24"/>
                <w:szCs w:val="24"/>
              </w:rPr>
              <w:t>0/3</w:t>
            </w:r>
          </w:p>
        </w:tc>
        <w:tc>
          <w:tcPr>
            <w:tcW w:w="1489" w:type="dxa"/>
            <w:tcBorders>
              <w:top w:val="single" w:sz="12" w:space="0" w:color="auto"/>
              <w:left w:val="nil"/>
              <w:right w:val="nil"/>
            </w:tcBorders>
            <w:shd w:val="clear" w:color="auto" w:fill="FFFFFF"/>
          </w:tcPr>
          <w:p w14:paraId="16046325" w14:textId="77777777" w:rsidR="00950B4C" w:rsidRPr="003469A0" w:rsidRDefault="00950B4C" w:rsidP="006B095C">
            <w:pPr>
              <w:spacing w:after="0"/>
              <w:jc w:val="both"/>
              <w:rPr>
                <w:rFonts w:ascii="Times New Roman" w:hAnsi="Times New Roman"/>
                <w:sz w:val="24"/>
                <w:szCs w:val="24"/>
              </w:rPr>
            </w:pPr>
            <w:r w:rsidRPr="003469A0">
              <w:rPr>
                <w:rFonts w:ascii="Times New Roman" w:hAnsi="Times New Roman"/>
                <w:sz w:val="24"/>
                <w:szCs w:val="24"/>
              </w:rPr>
              <w:t>0.00</w:t>
            </w:r>
          </w:p>
        </w:tc>
        <w:tc>
          <w:tcPr>
            <w:tcW w:w="4965" w:type="dxa"/>
            <w:tcBorders>
              <w:top w:val="single" w:sz="12" w:space="0" w:color="auto"/>
            </w:tcBorders>
            <w:shd w:val="clear" w:color="auto" w:fill="FFFFFF"/>
          </w:tcPr>
          <w:p w14:paraId="415C5277" w14:textId="77777777" w:rsidR="00950B4C" w:rsidRPr="003469A0" w:rsidRDefault="00950B4C" w:rsidP="006B095C">
            <w:pPr>
              <w:spacing w:after="0"/>
              <w:jc w:val="both"/>
              <w:rPr>
                <w:rFonts w:ascii="Times New Roman" w:hAnsi="Times New Roman"/>
                <w:sz w:val="24"/>
                <w:szCs w:val="24"/>
              </w:rPr>
            </w:pPr>
            <w:r w:rsidRPr="003469A0">
              <w:rPr>
                <w:rFonts w:ascii="Times New Roman" w:hAnsi="Times New Roman"/>
                <w:sz w:val="24"/>
                <w:szCs w:val="24"/>
              </w:rPr>
              <w:t>No mortality observed, instead animals remained active and physically stable.</w:t>
            </w:r>
          </w:p>
        </w:tc>
      </w:tr>
      <w:tr w:rsidR="003469A0" w:rsidRPr="003469A0" w14:paraId="79F87A62" w14:textId="77777777" w:rsidTr="006B095C">
        <w:tc>
          <w:tcPr>
            <w:tcW w:w="897" w:type="dxa"/>
            <w:shd w:val="clear" w:color="auto" w:fill="FFFFFF"/>
          </w:tcPr>
          <w:p w14:paraId="2B29F9BB" w14:textId="77777777" w:rsidR="00950B4C" w:rsidRPr="003469A0" w:rsidRDefault="00950B4C" w:rsidP="006B095C">
            <w:pPr>
              <w:spacing w:after="0"/>
              <w:jc w:val="both"/>
              <w:rPr>
                <w:rFonts w:ascii="Times New Roman" w:hAnsi="Times New Roman"/>
                <w:b/>
                <w:bCs/>
                <w:sz w:val="24"/>
                <w:szCs w:val="24"/>
              </w:rPr>
            </w:pPr>
            <w:r w:rsidRPr="003469A0">
              <w:rPr>
                <w:rFonts w:ascii="Times New Roman" w:hAnsi="Times New Roman"/>
                <w:b/>
                <w:bCs/>
                <w:sz w:val="24"/>
                <w:szCs w:val="24"/>
              </w:rPr>
              <w:t>2</w:t>
            </w:r>
          </w:p>
        </w:tc>
        <w:tc>
          <w:tcPr>
            <w:tcW w:w="1086" w:type="dxa"/>
            <w:shd w:val="clear" w:color="auto" w:fill="FFFFFF"/>
          </w:tcPr>
          <w:p w14:paraId="045E3E73" w14:textId="77777777" w:rsidR="00950B4C" w:rsidRPr="003469A0" w:rsidRDefault="00950B4C" w:rsidP="006B095C">
            <w:pPr>
              <w:spacing w:after="0"/>
              <w:jc w:val="both"/>
              <w:rPr>
                <w:rFonts w:ascii="Times New Roman" w:hAnsi="Times New Roman"/>
                <w:sz w:val="24"/>
                <w:szCs w:val="24"/>
              </w:rPr>
            </w:pPr>
            <w:r w:rsidRPr="003469A0">
              <w:rPr>
                <w:rFonts w:ascii="Times New Roman" w:hAnsi="Times New Roman"/>
                <w:sz w:val="24"/>
                <w:szCs w:val="24"/>
              </w:rPr>
              <w:t>100</w:t>
            </w:r>
          </w:p>
        </w:tc>
        <w:tc>
          <w:tcPr>
            <w:tcW w:w="923" w:type="dxa"/>
            <w:shd w:val="clear" w:color="auto" w:fill="FFFFFF"/>
          </w:tcPr>
          <w:p w14:paraId="2E8E6824" w14:textId="77777777" w:rsidR="00950B4C" w:rsidRPr="003469A0" w:rsidRDefault="00950B4C" w:rsidP="006B095C">
            <w:pPr>
              <w:spacing w:after="0"/>
              <w:jc w:val="both"/>
              <w:rPr>
                <w:rFonts w:ascii="Times New Roman" w:hAnsi="Times New Roman"/>
                <w:sz w:val="24"/>
                <w:szCs w:val="24"/>
              </w:rPr>
            </w:pPr>
            <w:r w:rsidRPr="003469A0">
              <w:rPr>
                <w:rFonts w:ascii="Times New Roman" w:hAnsi="Times New Roman"/>
                <w:sz w:val="24"/>
                <w:szCs w:val="24"/>
              </w:rPr>
              <w:t>0/3</w:t>
            </w:r>
          </w:p>
        </w:tc>
        <w:tc>
          <w:tcPr>
            <w:tcW w:w="1489" w:type="dxa"/>
            <w:shd w:val="clear" w:color="auto" w:fill="FFFFFF"/>
          </w:tcPr>
          <w:p w14:paraId="283E06EB" w14:textId="77777777" w:rsidR="00950B4C" w:rsidRPr="003469A0" w:rsidRDefault="00950B4C" w:rsidP="006B095C">
            <w:pPr>
              <w:spacing w:after="0"/>
              <w:jc w:val="both"/>
              <w:rPr>
                <w:rFonts w:ascii="Times New Roman" w:hAnsi="Times New Roman"/>
                <w:sz w:val="24"/>
                <w:szCs w:val="24"/>
              </w:rPr>
            </w:pPr>
            <w:r w:rsidRPr="003469A0">
              <w:rPr>
                <w:rFonts w:ascii="Times New Roman" w:hAnsi="Times New Roman"/>
                <w:sz w:val="24"/>
                <w:szCs w:val="24"/>
              </w:rPr>
              <w:t>0.00</w:t>
            </w:r>
          </w:p>
        </w:tc>
        <w:tc>
          <w:tcPr>
            <w:tcW w:w="4965" w:type="dxa"/>
            <w:shd w:val="clear" w:color="auto" w:fill="FFFFFF"/>
          </w:tcPr>
          <w:p w14:paraId="6E9C370A" w14:textId="77777777" w:rsidR="00950B4C" w:rsidRPr="003469A0" w:rsidRDefault="00950B4C" w:rsidP="006B095C">
            <w:pPr>
              <w:spacing w:after="0"/>
              <w:jc w:val="both"/>
              <w:rPr>
                <w:rFonts w:ascii="Times New Roman" w:hAnsi="Times New Roman"/>
                <w:sz w:val="24"/>
                <w:szCs w:val="24"/>
              </w:rPr>
            </w:pPr>
            <w:r w:rsidRPr="003469A0">
              <w:rPr>
                <w:rFonts w:ascii="Times New Roman" w:hAnsi="Times New Roman"/>
                <w:sz w:val="24"/>
                <w:szCs w:val="24"/>
              </w:rPr>
              <w:t>No mortality observed, instead animals remained active and physically stable</w:t>
            </w:r>
          </w:p>
        </w:tc>
      </w:tr>
      <w:tr w:rsidR="003469A0" w:rsidRPr="003469A0" w14:paraId="3EA0605D" w14:textId="77777777" w:rsidTr="006B095C">
        <w:tc>
          <w:tcPr>
            <w:tcW w:w="897" w:type="dxa"/>
            <w:tcBorders>
              <w:bottom w:val="single" w:sz="12" w:space="0" w:color="auto"/>
            </w:tcBorders>
            <w:shd w:val="clear" w:color="auto" w:fill="FFFFFF"/>
          </w:tcPr>
          <w:p w14:paraId="4C7BF644" w14:textId="77777777" w:rsidR="00950B4C" w:rsidRPr="003469A0" w:rsidRDefault="00950B4C" w:rsidP="006B095C">
            <w:pPr>
              <w:spacing w:after="0"/>
              <w:jc w:val="both"/>
              <w:rPr>
                <w:rFonts w:ascii="Times New Roman" w:hAnsi="Times New Roman"/>
                <w:b/>
                <w:bCs/>
                <w:sz w:val="24"/>
                <w:szCs w:val="24"/>
              </w:rPr>
            </w:pPr>
            <w:r w:rsidRPr="003469A0">
              <w:rPr>
                <w:rFonts w:ascii="Times New Roman" w:hAnsi="Times New Roman"/>
                <w:b/>
                <w:bCs/>
                <w:sz w:val="24"/>
                <w:szCs w:val="24"/>
              </w:rPr>
              <w:t>3</w:t>
            </w:r>
          </w:p>
        </w:tc>
        <w:tc>
          <w:tcPr>
            <w:tcW w:w="1086" w:type="dxa"/>
            <w:tcBorders>
              <w:left w:val="nil"/>
              <w:bottom w:val="single" w:sz="12" w:space="0" w:color="auto"/>
              <w:right w:val="nil"/>
            </w:tcBorders>
            <w:shd w:val="clear" w:color="auto" w:fill="FFFFFF"/>
          </w:tcPr>
          <w:p w14:paraId="4AA36180" w14:textId="77777777" w:rsidR="00950B4C" w:rsidRPr="003469A0" w:rsidRDefault="00950B4C" w:rsidP="006B095C">
            <w:pPr>
              <w:spacing w:after="0"/>
              <w:jc w:val="both"/>
              <w:rPr>
                <w:rFonts w:ascii="Times New Roman" w:hAnsi="Times New Roman"/>
                <w:sz w:val="24"/>
                <w:szCs w:val="24"/>
              </w:rPr>
            </w:pPr>
            <w:r w:rsidRPr="003469A0">
              <w:rPr>
                <w:rFonts w:ascii="Times New Roman" w:hAnsi="Times New Roman"/>
                <w:sz w:val="24"/>
                <w:szCs w:val="24"/>
              </w:rPr>
              <w:t>500</w:t>
            </w:r>
          </w:p>
        </w:tc>
        <w:tc>
          <w:tcPr>
            <w:tcW w:w="923" w:type="dxa"/>
            <w:tcBorders>
              <w:bottom w:val="single" w:sz="12" w:space="0" w:color="auto"/>
            </w:tcBorders>
            <w:shd w:val="clear" w:color="auto" w:fill="FFFFFF"/>
          </w:tcPr>
          <w:p w14:paraId="78E03A52" w14:textId="77777777" w:rsidR="00950B4C" w:rsidRPr="003469A0" w:rsidRDefault="00950B4C" w:rsidP="006B095C">
            <w:pPr>
              <w:spacing w:after="0"/>
              <w:jc w:val="both"/>
              <w:rPr>
                <w:rFonts w:ascii="Times New Roman" w:hAnsi="Times New Roman"/>
                <w:sz w:val="24"/>
                <w:szCs w:val="24"/>
              </w:rPr>
            </w:pPr>
            <w:r w:rsidRPr="003469A0">
              <w:rPr>
                <w:rFonts w:ascii="Times New Roman" w:hAnsi="Times New Roman"/>
                <w:sz w:val="24"/>
                <w:szCs w:val="24"/>
              </w:rPr>
              <w:t>0/3</w:t>
            </w:r>
          </w:p>
        </w:tc>
        <w:tc>
          <w:tcPr>
            <w:tcW w:w="1489" w:type="dxa"/>
            <w:tcBorders>
              <w:left w:val="nil"/>
              <w:bottom w:val="single" w:sz="12" w:space="0" w:color="auto"/>
              <w:right w:val="nil"/>
            </w:tcBorders>
            <w:shd w:val="clear" w:color="auto" w:fill="FFFFFF"/>
          </w:tcPr>
          <w:p w14:paraId="4D2A5F4A" w14:textId="77777777" w:rsidR="00950B4C" w:rsidRPr="003469A0" w:rsidRDefault="00950B4C" w:rsidP="006B095C">
            <w:pPr>
              <w:spacing w:after="0"/>
              <w:jc w:val="both"/>
              <w:rPr>
                <w:rFonts w:ascii="Times New Roman" w:hAnsi="Times New Roman"/>
                <w:sz w:val="24"/>
                <w:szCs w:val="24"/>
              </w:rPr>
            </w:pPr>
            <w:r w:rsidRPr="003469A0">
              <w:rPr>
                <w:rFonts w:ascii="Times New Roman" w:hAnsi="Times New Roman"/>
                <w:sz w:val="24"/>
                <w:szCs w:val="24"/>
              </w:rPr>
              <w:t>0.00</w:t>
            </w:r>
          </w:p>
        </w:tc>
        <w:tc>
          <w:tcPr>
            <w:tcW w:w="4965" w:type="dxa"/>
            <w:tcBorders>
              <w:bottom w:val="single" w:sz="12" w:space="0" w:color="auto"/>
            </w:tcBorders>
            <w:shd w:val="clear" w:color="auto" w:fill="FFFFFF"/>
          </w:tcPr>
          <w:p w14:paraId="6D966B54" w14:textId="77777777" w:rsidR="00950B4C" w:rsidRPr="003469A0" w:rsidRDefault="00950B4C" w:rsidP="006B095C">
            <w:pPr>
              <w:spacing w:after="0"/>
              <w:jc w:val="both"/>
              <w:rPr>
                <w:rFonts w:ascii="Times New Roman" w:hAnsi="Times New Roman"/>
                <w:sz w:val="24"/>
                <w:szCs w:val="24"/>
              </w:rPr>
            </w:pPr>
            <w:r w:rsidRPr="003469A0">
              <w:rPr>
                <w:rFonts w:ascii="Times New Roman" w:hAnsi="Times New Roman"/>
                <w:sz w:val="24"/>
                <w:szCs w:val="24"/>
              </w:rPr>
              <w:t>No mortality observed, instead animals remained active and physically stable</w:t>
            </w:r>
          </w:p>
        </w:tc>
      </w:tr>
    </w:tbl>
    <w:p w14:paraId="299DAA86" w14:textId="77777777" w:rsidR="00950B4C" w:rsidRPr="003469A0" w:rsidRDefault="00950B4C" w:rsidP="00950B4C">
      <w:pPr>
        <w:jc w:val="both"/>
        <w:rPr>
          <w:rFonts w:ascii="Times New Roman" w:hAnsi="Times New Roman"/>
          <w:b/>
          <w:sz w:val="24"/>
          <w:szCs w:val="24"/>
        </w:rPr>
      </w:pPr>
    </w:p>
    <w:p w14:paraId="20A3AF3F" w14:textId="77777777" w:rsidR="00950B4C" w:rsidRPr="003469A0" w:rsidRDefault="00950B4C" w:rsidP="00950B4C">
      <w:pPr>
        <w:jc w:val="both"/>
        <w:rPr>
          <w:rFonts w:ascii="Times New Roman" w:hAnsi="Times New Roman"/>
          <w:b/>
          <w:sz w:val="24"/>
          <w:szCs w:val="24"/>
        </w:rPr>
      </w:pPr>
      <w:r w:rsidRPr="003469A0">
        <w:rPr>
          <w:rFonts w:ascii="Times New Roman" w:hAnsi="Times New Roman"/>
          <w:b/>
          <w:sz w:val="24"/>
          <w:szCs w:val="24"/>
        </w:rPr>
        <w:t>Table 1B: Stage 2: Acute Toxicity (LD</w:t>
      </w:r>
      <w:r w:rsidRPr="003469A0">
        <w:rPr>
          <w:rFonts w:ascii="Times New Roman" w:hAnsi="Times New Roman"/>
          <w:b/>
          <w:sz w:val="24"/>
          <w:szCs w:val="24"/>
          <w:vertAlign w:val="subscript"/>
        </w:rPr>
        <w:t>50</w:t>
      </w:r>
      <w:r w:rsidRPr="003469A0">
        <w:rPr>
          <w:rFonts w:ascii="Times New Roman" w:hAnsi="Times New Roman"/>
          <w:b/>
          <w:sz w:val="24"/>
          <w:szCs w:val="24"/>
        </w:rPr>
        <w:t xml:space="preserve">) Evaluation of the </w:t>
      </w:r>
      <w:r w:rsidRPr="003469A0">
        <w:rPr>
          <w:rFonts w:ascii="Times New Roman" w:hAnsi="Times New Roman"/>
          <w:b/>
          <w:i/>
          <w:sz w:val="24"/>
          <w:szCs w:val="24"/>
        </w:rPr>
        <w:t>Phoenix dactylifera</w:t>
      </w:r>
      <w:r w:rsidRPr="003469A0">
        <w:rPr>
          <w:rFonts w:ascii="Times New Roman" w:hAnsi="Times New Roman"/>
          <w:b/>
          <w:sz w:val="24"/>
          <w:szCs w:val="24"/>
        </w:rPr>
        <w:t xml:space="preserve"> fruit Extract in Rats</w:t>
      </w:r>
    </w:p>
    <w:tbl>
      <w:tblPr>
        <w:tblW w:w="0" w:type="auto"/>
        <w:tblBorders>
          <w:top w:val="single" w:sz="8" w:space="0" w:color="000000"/>
          <w:bottom w:val="single" w:sz="8" w:space="0" w:color="000000"/>
        </w:tblBorders>
        <w:shd w:val="clear" w:color="auto" w:fill="FFFFFF"/>
        <w:tblLook w:val="04A0" w:firstRow="1" w:lastRow="0" w:firstColumn="1" w:lastColumn="0" w:noHBand="0" w:noVBand="1"/>
      </w:tblPr>
      <w:tblGrid>
        <w:gridCol w:w="897"/>
        <w:gridCol w:w="1086"/>
        <w:gridCol w:w="923"/>
        <w:gridCol w:w="1489"/>
        <w:gridCol w:w="4965"/>
      </w:tblGrid>
      <w:tr w:rsidR="003469A0" w:rsidRPr="003469A0" w14:paraId="5FF392AE" w14:textId="77777777" w:rsidTr="006B095C">
        <w:tc>
          <w:tcPr>
            <w:tcW w:w="897" w:type="dxa"/>
            <w:tcBorders>
              <w:top w:val="single" w:sz="12" w:space="0" w:color="auto"/>
              <w:bottom w:val="single" w:sz="12" w:space="0" w:color="auto"/>
            </w:tcBorders>
            <w:shd w:val="clear" w:color="auto" w:fill="FFFFFF"/>
          </w:tcPr>
          <w:p w14:paraId="4286D230" w14:textId="77777777" w:rsidR="00232335" w:rsidRPr="003469A0" w:rsidRDefault="00232335" w:rsidP="006B095C">
            <w:pPr>
              <w:spacing w:after="0"/>
              <w:jc w:val="both"/>
              <w:rPr>
                <w:rFonts w:ascii="Times New Roman" w:hAnsi="Times New Roman"/>
                <w:bCs/>
                <w:sz w:val="24"/>
                <w:szCs w:val="24"/>
              </w:rPr>
            </w:pPr>
            <w:r w:rsidRPr="003469A0">
              <w:rPr>
                <w:rFonts w:ascii="Times New Roman" w:hAnsi="Times New Roman"/>
                <w:b/>
                <w:bCs/>
                <w:sz w:val="24"/>
                <w:szCs w:val="24"/>
              </w:rPr>
              <w:t>Group</w:t>
            </w:r>
          </w:p>
        </w:tc>
        <w:tc>
          <w:tcPr>
            <w:tcW w:w="1086" w:type="dxa"/>
            <w:tcBorders>
              <w:top w:val="single" w:sz="12" w:space="0" w:color="auto"/>
              <w:bottom w:val="single" w:sz="12" w:space="0" w:color="auto"/>
            </w:tcBorders>
            <w:shd w:val="clear" w:color="auto" w:fill="FFFFFF"/>
          </w:tcPr>
          <w:p w14:paraId="493A4E28" w14:textId="77777777" w:rsidR="00232335" w:rsidRPr="003469A0" w:rsidRDefault="00232335" w:rsidP="006B095C">
            <w:pPr>
              <w:spacing w:after="0"/>
              <w:jc w:val="both"/>
              <w:rPr>
                <w:rFonts w:ascii="Times New Roman" w:hAnsi="Times New Roman"/>
                <w:bCs/>
                <w:sz w:val="24"/>
                <w:szCs w:val="24"/>
              </w:rPr>
            </w:pPr>
            <w:r w:rsidRPr="003469A0">
              <w:rPr>
                <w:rFonts w:ascii="Times New Roman" w:hAnsi="Times New Roman"/>
                <w:b/>
                <w:bCs/>
                <w:sz w:val="24"/>
                <w:szCs w:val="24"/>
              </w:rPr>
              <w:t>Dose (mg/kg)</w:t>
            </w:r>
          </w:p>
        </w:tc>
        <w:tc>
          <w:tcPr>
            <w:tcW w:w="923" w:type="dxa"/>
            <w:tcBorders>
              <w:top w:val="single" w:sz="12" w:space="0" w:color="auto"/>
              <w:bottom w:val="single" w:sz="12" w:space="0" w:color="auto"/>
            </w:tcBorders>
            <w:shd w:val="clear" w:color="auto" w:fill="FFFFFF"/>
          </w:tcPr>
          <w:p w14:paraId="5CD542C0" w14:textId="77777777" w:rsidR="00232335" w:rsidRPr="003469A0" w:rsidRDefault="00232335" w:rsidP="006B095C">
            <w:pPr>
              <w:spacing w:after="0"/>
              <w:jc w:val="both"/>
              <w:rPr>
                <w:rFonts w:ascii="Times New Roman" w:hAnsi="Times New Roman"/>
                <w:bCs/>
                <w:sz w:val="24"/>
                <w:szCs w:val="24"/>
              </w:rPr>
            </w:pPr>
            <w:r w:rsidRPr="003469A0">
              <w:rPr>
                <w:rFonts w:ascii="Times New Roman" w:hAnsi="Times New Roman"/>
                <w:b/>
                <w:bCs/>
                <w:sz w:val="24"/>
                <w:szCs w:val="24"/>
              </w:rPr>
              <w:t>No. of Deaths</w:t>
            </w:r>
          </w:p>
        </w:tc>
        <w:tc>
          <w:tcPr>
            <w:tcW w:w="1489" w:type="dxa"/>
            <w:tcBorders>
              <w:top w:val="single" w:sz="12" w:space="0" w:color="auto"/>
              <w:bottom w:val="single" w:sz="12" w:space="0" w:color="auto"/>
            </w:tcBorders>
            <w:shd w:val="clear" w:color="auto" w:fill="FFFFFF"/>
          </w:tcPr>
          <w:p w14:paraId="7C6EA101" w14:textId="77777777" w:rsidR="00232335" w:rsidRPr="003469A0" w:rsidRDefault="00232335" w:rsidP="006B095C">
            <w:pPr>
              <w:spacing w:after="0"/>
              <w:jc w:val="both"/>
              <w:rPr>
                <w:rFonts w:ascii="Times New Roman" w:hAnsi="Times New Roman"/>
                <w:bCs/>
                <w:sz w:val="24"/>
                <w:szCs w:val="24"/>
              </w:rPr>
            </w:pPr>
            <w:r w:rsidRPr="003469A0">
              <w:rPr>
                <w:rFonts w:ascii="Times New Roman" w:hAnsi="Times New Roman"/>
                <w:b/>
                <w:bCs/>
                <w:sz w:val="24"/>
                <w:szCs w:val="24"/>
              </w:rPr>
              <w:t>Percentage of mortality</w:t>
            </w:r>
          </w:p>
        </w:tc>
        <w:tc>
          <w:tcPr>
            <w:tcW w:w="4965" w:type="dxa"/>
            <w:tcBorders>
              <w:top w:val="single" w:sz="12" w:space="0" w:color="auto"/>
              <w:bottom w:val="single" w:sz="12" w:space="0" w:color="auto"/>
            </w:tcBorders>
            <w:shd w:val="clear" w:color="auto" w:fill="FFFFFF"/>
          </w:tcPr>
          <w:p w14:paraId="3B239ABA" w14:textId="77777777" w:rsidR="00232335" w:rsidRPr="003469A0" w:rsidRDefault="00232335" w:rsidP="006B095C">
            <w:pPr>
              <w:spacing w:after="0"/>
              <w:jc w:val="both"/>
              <w:rPr>
                <w:rFonts w:ascii="Times New Roman" w:hAnsi="Times New Roman"/>
                <w:bCs/>
                <w:sz w:val="24"/>
                <w:szCs w:val="24"/>
              </w:rPr>
            </w:pPr>
            <w:r w:rsidRPr="003469A0">
              <w:rPr>
                <w:rFonts w:ascii="Times New Roman" w:hAnsi="Times New Roman"/>
                <w:b/>
                <w:bCs/>
                <w:sz w:val="24"/>
                <w:szCs w:val="24"/>
              </w:rPr>
              <w:t>Observations</w:t>
            </w:r>
          </w:p>
        </w:tc>
      </w:tr>
      <w:tr w:rsidR="003469A0" w:rsidRPr="003469A0" w14:paraId="16B16288" w14:textId="77777777" w:rsidTr="006B095C">
        <w:tc>
          <w:tcPr>
            <w:tcW w:w="897" w:type="dxa"/>
            <w:tcBorders>
              <w:top w:val="single" w:sz="12" w:space="0" w:color="auto"/>
            </w:tcBorders>
            <w:shd w:val="clear" w:color="auto" w:fill="FFFFFF"/>
          </w:tcPr>
          <w:p w14:paraId="1E4F177F" w14:textId="77777777" w:rsidR="00232335" w:rsidRPr="003469A0" w:rsidRDefault="00232335" w:rsidP="006B095C">
            <w:pPr>
              <w:spacing w:after="0"/>
              <w:jc w:val="both"/>
              <w:rPr>
                <w:rFonts w:ascii="Times New Roman" w:hAnsi="Times New Roman"/>
                <w:b/>
                <w:bCs/>
                <w:sz w:val="24"/>
                <w:szCs w:val="24"/>
              </w:rPr>
            </w:pPr>
            <w:r w:rsidRPr="003469A0">
              <w:rPr>
                <w:rFonts w:ascii="Times New Roman" w:hAnsi="Times New Roman"/>
                <w:b/>
                <w:bCs/>
                <w:sz w:val="24"/>
                <w:szCs w:val="24"/>
              </w:rPr>
              <w:t>1</w:t>
            </w:r>
          </w:p>
        </w:tc>
        <w:tc>
          <w:tcPr>
            <w:tcW w:w="1086" w:type="dxa"/>
            <w:tcBorders>
              <w:top w:val="single" w:sz="12" w:space="0" w:color="auto"/>
              <w:left w:val="nil"/>
              <w:right w:val="nil"/>
            </w:tcBorders>
            <w:shd w:val="clear" w:color="auto" w:fill="FFFFFF"/>
          </w:tcPr>
          <w:p w14:paraId="5B452765"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1000</w:t>
            </w:r>
          </w:p>
        </w:tc>
        <w:tc>
          <w:tcPr>
            <w:tcW w:w="923" w:type="dxa"/>
            <w:tcBorders>
              <w:top w:val="single" w:sz="12" w:space="0" w:color="auto"/>
            </w:tcBorders>
            <w:shd w:val="clear" w:color="auto" w:fill="FFFFFF"/>
          </w:tcPr>
          <w:p w14:paraId="070539BE"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0/3</w:t>
            </w:r>
          </w:p>
        </w:tc>
        <w:tc>
          <w:tcPr>
            <w:tcW w:w="1489" w:type="dxa"/>
            <w:tcBorders>
              <w:top w:val="single" w:sz="12" w:space="0" w:color="auto"/>
              <w:left w:val="nil"/>
              <w:right w:val="nil"/>
            </w:tcBorders>
            <w:shd w:val="clear" w:color="auto" w:fill="FFFFFF"/>
          </w:tcPr>
          <w:p w14:paraId="6E84DEA6"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0.00</w:t>
            </w:r>
          </w:p>
        </w:tc>
        <w:tc>
          <w:tcPr>
            <w:tcW w:w="4965" w:type="dxa"/>
            <w:tcBorders>
              <w:top w:val="single" w:sz="12" w:space="0" w:color="auto"/>
            </w:tcBorders>
            <w:shd w:val="clear" w:color="auto" w:fill="FFFFFF"/>
          </w:tcPr>
          <w:p w14:paraId="7A5E8215"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No mortality observed, instead animals remained active and physically stable.</w:t>
            </w:r>
          </w:p>
        </w:tc>
      </w:tr>
      <w:tr w:rsidR="003469A0" w:rsidRPr="003469A0" w14:paraId="1DFCBC84" w14:textId="77777777" w:rsidTr="006B095C">
        <w:tc>
          <w:tcPr>
            <w:tcW w:w="897" w:type="dxa"/>
            <w:shd w:val="clear" w:color="auto" w:fill="FFFFFF"/>
          </w:tcPr>
          <w:p w14:paraId="2E1DBB79" w14:textId="77777777" w:rsidR="00232335" w:rsidRPr="003469A0" w:rsidRDefault="00232335" w:rsidP="006B095C">
            <w:pPr>
              <w:spacing w:after="0"/>
              <w:jc w:val="both"/>
              <w:rPr>
                <w:rFonts w:ascii="Times New Roman" w:hAnsi="Times New Roman"/>
                <w:b/>
                <w:bCs/>
                <w:sz w:val="24"/>
                <w:szCs w:val="24"/>
              </w:rPr>
            </w:pPr>
            <w:r w:rsidRPr="003469A0">
              <w:rPr>
                <w:rFonts w:ascii="Times New Roman" w:hAnsi="Times New Roman"/>
                <w:b/>
                <w:bCs/>
                <w:sz w:val="24"/>
                <w:szCs w:val="24"/>
              </w:rPr>
              <w:t>2</w:t>
            </w:r>
          </w:p>
        </w:tc>
        <w:tc>
          <w:tcPr>
            <w:tcW w:w="1086" w:type="dxa"/>
            <w:shd w:val="clear" w:color="auto" w:fill="FFFFFF"/>
          </w:tcPr>
          <w:p w14:paraId="45ADD00C"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1600</w:t>
            </w:r>
          </w:p>
        </w:tc>
        <w:tc>
          <w:tcPr>
            <w:tcW w:w="923" w:type="dxa"/>
            <w:shd w:val="clear" w:color="auto" w:fill="FFFFFF"/>
          </w:tcPr>
          <w:p w14:paraId="381333F4"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0/3</w:t>
            </w:r>
          </w:p>
        </w:tc>
        <w:tc>
          <w:tcPr>
            <w:tcW w:w="1489" w:type="dxa"/>
            <w:shd w:val="clear" w:color="auto" w:fill="FFFFFF"/>
          </w:tcPr>
          <w:p w14:paraId="53BCD814"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0.00</w:t>
            </w:r>
          </w:p>
        </w:tc>
        <w:tc>
          <w:tcPr>
            <w:tcW w:w="4965" w:type="dxa"/>
            <w:shd w:val="clear" w:color="auto" w:fill="FFFFFF"/>
          </w:tcPr>
          <w:p w14:paraId="0EBA5933"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No mortality observed, instead animals remained active and physically stable</w:t>
            </w:r>
          </w:p>
        </w:tc>
      </w:tr>
      <w:tr w:rsidR="003469A0" w:rsidRPr="003469A0" w14:paraId="195D1D52" w14:textId="77777777" w:rsidTr="006B095C">
        <w:tc>
          <w:tcPr>
            <w:tcW w:w="897" w:type="dxa"/>
            <w:tcBorders>
              <w:bottom w:val="single" w:sz="12" w:space="0" w:color="auto"/>
            </w:tcBorders>
            <w:shd w:val="clear" w:color="auto" w:fill="FFFFFF"/>
          </w:tcPr>
          <w:p w14:paraId="03D8D645" w14:textId="77777777" w:rsidR="00232335" w:rsidRPr="003469A0" w:rsidRDefault="00232335" w:rsidP="006B095C">
            <w:pPr>
              <w:spacing w:after="0"/>
              <w:jc w:val="both"/>
              <w:rPr>
                <w:rFonts w:ascii="Times New Roman" w:hAnsi="Times New Roman"/>
                <w:b/>
                <w:bCs/>
                <w:sz w:val="24"/>
                <w:szCs w:val="24"/>
              </w:rPr>
            </w:pPr>
            <w:r w:rsidRPr="003469A0">
              <w:rPr>
                <w:rFonts w:ascii="Times New Roman" w:hAnsi="Times New Roman"/>
                <w:b/>
                <w:bCs/>
                <w:sz w:val="24"/>
                <w:szCs w:val="24"/>
              </w:rPr>
              <w:t>3</w:t>
            </w:r>
          </w:p>
        </w:tc>
        <w:tc>
          <w:tcPr>
            <w:tcW w:w="1086" w:type="dxa"/>
            <w:tcBorders>
              <w:left w:val="nil"/>
              <w:bottom w:val="single" w:sz="12" w:space="0" w:color="auto"/>
              <w:right w:val="nil"/>
            </w:tcBorders>
            <w:shd w:val="clear" w:color="auto" w:fill="FFFFFF"/>
          </w:tcPr>
          <w:p w14:paraId="30A0BF07"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3000</w:t>
            </w:r>
          </w:p>
        </w:tc>
        <w:tc>
          <w:tcPr>
            <w:tcW w:w="923" w:type="dxa"/>
            <w:tcBorders>
              <w:bottom w:val="single" w:sz="12" w:space="0" w:color="auto"/>
            </w:tcBorders>
            <w:shd w:val="clear" w:color="auto" w:fill="FFFFFF"/>
          </w:tcPr>
          <w:p w14:paraId="21CD3E98"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0/3</w:t>
            </w:r>
          </w:p>
        </w:tc>
        <w:tc>
          <w:tcPr>
            <w:tcW w:w="1489" w:type="dxa"/>
            <w:tcBorders>
              <w:left w:val="nil"/>
              <w:bottom w:val="single" w:sz="12" w:space="0" w:color="auto"/>
              <w:right w:val="nil"/>
            </w:tcBorders>
            <w:shd w:val="clear" w:color="auto" w:fill="FFFFFF"/>
          </w:tcPr>
          <w:p w14:paraId="59E718E5"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0.00</w:t>
            </w:r>
          </w:p>
        </w:tc>
        <w:tc>
          <w:tcPr>
            <w:tcW w:w="4965" w:type="dxa"/>
            <w:tcBorders>
              <w:bottom w:val="single" w:sz="12" w:space="0" w:color="auto"/>
            </w:tcBorders>
            <w:shd w:val="clear" w:color="auto" w:fill="FFFFFF"/>
          </w:tcPr>
          <w:p w14:paraId="11B2F491"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No mortality observed, instead animals remained active and physically stable</w:t>
            </w:r>
          </w:p>
        </w:tc>
      </w:tr>
    </w:tbl>
    <w:p w14:paraId="243A8093" w14:textId="77777777" w:rsidR="00950B4C" w:rsidRPr="003469A0" w:rsidRDefault="00950B4C" w:rsidP="00950B4C">
      <w:pPr>
        <w:jc w:val="both"/>
        <w:rPr>
          <w:rFonts w:ascii="Times New Roman" w:hAnsi="Times New Roman"/>
          <w:b/>
          <w:sz w:val="24"/>
          <w:szCs w:val="24"/>
        </w:rPr>
      </w:pPr>
    </w:p>
    <w:p w14:paraId="73633A33" w14:textId="77777777" w:rsidR="00A059E0" w:rsidRPr="003469A0" w:rsidRDefault="00A059E0" w:rsidP="00950B4C">
      <w:pPr>
        <w:jc w:val="both"/>
        <w:rPr>
          <w:rFonts w:ascii="Times New Roman" w:hAnsi="Times New Roman"/>
          <w:b/>
          <w:sz w:val="24"/>
          <w:szCs w:val="24"/>
        </w:rPr>
      </w:pPr>
    </w:p>
    <w:p w14:paraId="40BCBC93" w14:textId="77777777" w:rsidR="00A059E0" w:rsidRPr="003469A0" w:rsidRDefault="00A059E0" w:rsidP="00950B4C">
      <w:pPr>
        <w:jc w:val="both"/>
        <w:rPr>
          <w:rFonts w:ascii="Times New Roman" w:hAnsi="Times New Roman"/>
          <w:b/>
          <w:sz w:val="24"/>
          <w:szCs w:val="24"/>
        </w:rPr>
      </w:pPr>
    </w:p>
    <w:p w14:paraId="239B2B98" w14:textId="77777777" w:rsidR="00A059E0" w:rsidRDefault="00A059E0" w:rsidP="00950B4C">
      <w:pPr>
        <w:jc w:val="both"/>
        <w:rPr>
          <w:rFonts w:ascii="Times New Roman" w:hAnsi="Times New Roman"/>
          <w:b/>
          <w:sz w:val="24"/>
          <w:szCs w:val="24"/>
        </w:rPr>
      </w:pPr>
    </w:p>
    <w:p w14:paraId="12E4380B" w14:textId="77777777" w:rsidR="00E2451C" w:rsidRDefault="00E2451C" w:rsidP="00950B4C">
      <w:pPr>
        <w:jc w:val="both"/>
        <w:rPr>
          <w:rFonts w:ascii="Times New Roman" w:hAnsi="Times New Roman"/>
          <w:b/>
          <w:sz w:val="24"/>
          <w:szCs w:val="24"/>
        </w:rPr>
      </w:pPr>
    </w:p>
    <w:p w14:paraId="5846BEF5" w14:textId="77777777" w:rsidR="00E2451C" w:rsidRPr="003469A0" w:rsidRDefault="00E2451C" w:rsidP="00950B4C">
      <w:pPr>
        <w:jc w:val="both"/>
        <w:rPr>
          <w:rFonts w:ascii="Times New Roman" w:hAnsi="Times New Roman"/>
          <w:b/>
          <w:sz w:val="24"/>
          <w:szCs w:val="24"/>
        </w:rPr>
      </w:pPr>
    </w:p>
    <w:p w14:paraId="2D18A95A" w14:textId="77777777" w:rsidR="00950B4C" w:rsidRPr="003469A0" w:rsidRDefault="00950B4C" w:rsidP="00950B4C">
      <w:pPr>
        <w:jc w:val="both"/>
        <w:rPr>
          <w:rFonts w:ascii="Times New Roman" w:hAnsi="Times New Roman"/>
          <w:b/>
          <w:sz w:val="24"/>
          <w:szCs w:val="24"/>
        </w:rPr>
      </w:pPr>
      <w:r w:rsidRPr="003469A0">
        <w:rPr>
          <w:rFonts w:ascii="Times New Roman" w:hAnsi="Times New Roman"/>
          <w:b/>
          <w:sz w:val="24"/>
          <w:szCs w:val="24"/>
        </w:rPr>
        <w:t>Table 1C: Stage 3: Acute Toxicity (LD</w:t>
      </w:r>
      <w:r w:rsidRPr="003469A0">
        <w:rPr>
          <w:rFonts w:ascii="Times New Roman" w:hAnsi="Times New Roman"/>
          <w:b/>
          <w:sz w:val="24"/>
          <w:szCs w:val="24"/>
          <w:vertAlign w:val="subscript"/>
        </w:rPr>
        <w:t>50</w:t>
      </w:r>
      <w:r w:rsidRPr="003469A0">
        <w:rPr>
          <w:rFonts w:ascii="Times New Roman" w:hAnsi="Times New Roman"/>
          <w:b/>
          <w:sz w:val="24"/>
          <w:szCs w:val="24"/>
        </w:rPr>
        <w:t xml:space="preserve">) Evaluation of the </w:t>
      </w:r>
      <w:r w:rsidRPr="003469A0">
        <w:rPr>
          <w:rFonts w:ascii="Times New Roman" w:hAnsi="Times New Roman"/>
          <w:b/>
          <w:i/>
          <w:sz w:val="24"/>
          <w:szCs w:val="24"/>
        </w:rPr>
        <w:t>Phoenix dactylifera</w:t>
      </w:r>
      <w:r w:rsidRPr="003469A0">
        <w:rPr>
          <w:rFonts w:ascii="Times New Roman" w:hAnsi="Times New Roman"/>
          <w:b/>
          <w:sz w:val="24"/>
          <w:szCs w:val="24"/>
        </w:rPr>
        <w:t xml:space="preserve"> fruit Extract in Rats</w:t>
      </w:r>
    </w:p>
    <w:tbl>
      <w:tblPr>
        <w:tblW w:w="0" w:type="auto"/>
        <w:tblBorders>
          <w:top w:val="single" w:sz="8" w:space="0" w:color="000000"/>
          <w:bottom w:val="single" w:sz="8" w:space="0" w:color="000000"/>
        </w:tblBorders>
        <w:shd w:val="clear" w:color="auto" w:fill="FFFFFF"/>
        <w:tblLook w:val="04A0" w:firstRow="1" w:lastRow="0" w:firstColumn="1" w:lastColumn="0" w:noHBand="0" w:noVBand="1"/>
      </w:tblPr>
      <w:tblGrid>
        <w:gridCol w:w="897"/>
        <w:gridCol w:w="1086"/>
        <w:gridCol w:w="923"/>
        <w:gridCol w:w="1489"/>
        <w:gridCol w:w="4965"/>
      </w:tblGrid>
      <w:tr w:rsidR="003469A0" w:rsidRPr="003469A0" w14:paraId="4D06A97D" w14:textId="77777777" w:rsidTr="006B095C">
        <w:tc>
          <w:tcPr>
            <w:tcW w:w="897" w:type="dxa"/>
            <w:tcBorders>
              <w:top w:val="single" w:sz="12" w:space="0" w:color="auto"/>
              <w:bottom w:val="single" w:sz="12" w:space="0" w:color="auto"/>
            </w:tcBorders>
            <w:shd w:val="clear" w:color="auto" w:fill="FFFFFF"/>
          </w:tcPr>
          <w:p w14:paraId="2625AE33" w14:textId="77777777" w:rsidR="00232335" w:rsidRPr="003469A0" w:rsidRDefault="00232335" w:rsidP="006B095C">
            <w:pPr>
              <w:spacing w:after="0"/>
              <w:jc w:val="both"/>
              <w:rPr>
                <w:rFonts w:ascii="Times New Roman" w:hAnsi="Times New Roman"/>
                <w:bCs/>
                <w:sz w:val="24"/>
                <w:szCs w:val="24"/>
              </w:rPr>
            </w:pPr>
            <w:r w:rsidRPr="003469A0">
              <w:rPr>
                <w:rFonts w:ascii="Times New Roman" w:hAnsi="Times New Roman"/>
                <w:b/>
                <w:bCs/>
                <w:sz w:val="24"/>
                <w:szCs w:val="24"/>
              </w:rPr>
              <w:t>Group</w:t>
            </w:r>
          </w:p>
        </w:tc>
        <w:tc>
          <w:tcPr>
            <w:tcW w:w="1086" w:type="dxa"/>
            <w:tcBorders>
              <w:top w:val="single" w:sz="12" w:space="0" w:color="auto"/>
              <w:bottom w:val="single" w:sz="12" w:space="0" w:color="auto"/>
            </w:tcBorders>
            <w:shd w:val="clear" w:color="auto" w:fill="FFFFFF"/>
          </w:tcPr>
          <w:p w14:paraId="0E989F77" w14:textId="77777777" w:rsidR="00232335" w:rsidRPr="003469A0" w:rsidRDefault="00232335" w:rsidP="006B095C">
            <w:pPr>
              <w:spacing w:after="0"/>
              <w:jc w:val="both"/>
              <w:rPr>
                <w:rFonts w:ascii="Times New Roman" w:hAnsi="Times New Roman"/>
                <w:bCs/>
                <w:sz w:val="24"/>
                <w:szCs w:val="24"/>
              </w:rPr>
            </w:pPr>
            <w:r w:rsidRPr="003469A0">
              <w:rPr>
                <w:rFonts w:ascii="Times New Roman" w:hAnsi="Times New Roman"/>
                <w:b/>
                <w:bCs/>
                <w:sz w:val="24"/>
                <w:szCs w:val="24"/>
              </w:rPr>
              <w:t>Dose (mg/kg)</w:t>
            </w:r>
          </w:p>
        </w:tc>
        <w:tc>
          <w:tcPr>
            <w:tcW w:w="923" w:type="dxa"/>
            <w:tcBorders>
              <w:top w:val="single" w:sz="12" w:space="0" w:color="auto"/>
              <w:bottom w:val="single" w:sz="12" w:space="0" w:color="auto"/>
            </w:tcBorders>
            <w:shd w:val="clear" w:color="auto" w:fill="FFFFFF"/>
          </w:tcPr>
          <w:p w14:paraId="102A4FE8" w14:textId="77777777" w:rsidR="00232335" w:rsidRPr="003469A0" w:rsidRDefault="00232335" w:rsidP="006B095C">
            <w:pPr>
              <w:spacing w:after="0"/>
              <w:jc w:val="both"/>
              <w:rPr>
                <w:rFonts w:ascii="Times New Roman" w:hAnsi="Times New Roman"/>
                <w:bCs/>
                <w:sz w:val="24"/>
                <w:szCs w:val="24"/>
              </w:rPr>
            </w:pPr>
            <w:r w:rsidRPr="003469A0">
              <w:rPr>
                <w:rFonts w:ascii="Times New Roman" w:hAnsi="Times New Roman"/>
                <w:b/>
                <w:bCs/>
                <w:sz w:val="24"/>
                <w:szCs w:val="24"/>
              </w:rPr>
              <w:t>No. of Deaths</w:t>
            </w:r>
          </w:p>
        </w:tc>
        <w:tc>
          <w:tcPr>
            <w:tcW w:w="1489" w:type="dxa"/>
            <w:tcBorders>
              <w:top w:val="single" w:sz="12" w:space="0" w:color="auto"/>
              <w:bottom w:val="single" w:sz="12" w:space="0" w:color="auto"/>
            </w:tcBorders>
            <w:shd w:val="clear" w:color="auto" w:fill="FFFFFF"/>
          </w:tcPr>
          <w:p w14:paraId="4248292F" w14:textId="77777777" w:rsidR="00232335" w:rsidRPr="003469A0" w:rsidRDefault="00232335" w:rsidP="006B095C">
            <w:pPr>
              <w:spacing w:after="0"/>
              <w:jc w:val="both"/>
              <w:rPr>
                <w:rFonts w:ascii="Times New Roman" w:hAnsi="Times New Roman"/>
                <w:bCs/>
                <w:sz w:val="24"/>
                <w:szCs w:val="24"/>
              </w:rPr>
            </w:pPr>
            <w:r w:rsidRPr="003469A0">
              <w:rPr>
                <w:rFonts w:ascii="Times New Roman" w:hAnsi="Times New Roman"/>
                <w:b/>
                <w:bCs/>
                <w:sz w:val="24"/>
                <w:szCs w:val="24"/>
              </w:rPr>
              <w:t>Percentage of mortality</w:t>
            </w:r>
          </w:p>
        </w:tc>
        <w:tc>
          <w:tcPr>
            <w:tcW w:w="4965" w:type="dxa"/>
            <w:tcBorders>
              <w:top w:val="single" w:sz="12" w:space="0" w:color="auto"/>
              <w:bottom w:val="single" w:sz="12" w:space="0" w:color="auto"/>
            </w:tcBorders>
            <w:shd w:val="clear" w:color="auto" w:fill="FFFFFF"/>
          </w:tcPr>
          <w:p w14:paraId="6560C8DD" w14:textId="77777777" w:rsidR="00232335" w:rsidRPr="003469A0" w:rsidRDefault="00232335" w:rsidP="006B095C">
            <w:pPr>
              <w:spacing w:after="0"/>
              <w:jc w:val="both"/>
              <w:rPr>
                <w:rFonts w:ascii="Times New Roman" w:hAnsi="Times New Roman"/>
                <w:bCs/>
                <w:sz w:val="24"/>
                <w:szCs w:val="24"/>
              </w:rPr>
            </w:pPr>
            <w:r w:rsidRPr="003469A0">
              <w:rPr>
                <w:rFonts w:ascii="Times New Roman" w:hAnsi="Times New Roman"/>
                <w:b/>
                <w:bCs/>
                <w:sz w:val="24"/>
                <w:szCs w:val="24"/>
              </w:rPr>
              <w:t>Observations</w:t>
            </w:r>
          </w:p>
        </w:tc>
      </w:tr>
      <w:tr w:rsidR="003469A0" w:rsidRPr="003469A0" w14:paraId="5D547EC0" w14:textId="77777777" w:rsidTr="006B095C">
        <w:tc>
          <w:tcPr>
            <w:tcW w:w="897" w:type="dxa"/>
            <w:tcBorders>
              <w:top w:val="single" w:sz="12" w:space="0" w:color="auto"/>
            </w:tcBorders>
            <w:shd w:val="clear" w:color="auto" w:fill="FFFFFF"/>
          </w:tcPr>
          <w:p w14:paraId="13A10D22" w14:textId="77777777" w:rsidR="00232335" w:rsidRPr="003469A0" w:rsidRDefault="00232335" w:rsidP="006B095C">
            <w:pPr>
              <w:spacing w:after="0"/>
              <w:jc w:val="both"/>
              <w:rPr>
                <w:rFonts w:ascii="Times New Roman" w:hAnsi="Times New Roman"/>
                <w:b/>
                <w:bCs/>
                <w:sz w:val="24"/>
                <w:szCs w:val="24"/>
              </w:rPr>
            </w:pPr>
            <w:r w:rsidRPr="003469A0">
              <w:rPr>
                <w:rFonts w:ascii="Times New Roman" w:hAnsi="Times New Roman"/>
                <w:b/>
                <w:bCs/>
                <w:sz w:val="24"/>
                <w:szCs w:val="24"/>
              </w:rPr>
              <w:t>1</w:t>
            </w:r>
          </w:p>
        </w:tc>
        <w:tc>
          <w:tcPr>
            <w:tcW w:w="1086" w:type="dxa"/>
            <w:tcBorders>
              <w:top w:val="single" w:sz="12" w:space="0" w:color="auto"/>
              <w:left w:val="nil"/>
              <w:right w:val="nil"/>
            </w:tcBorders>
            <w:shd w:val="clear" w:color="auto" w:fill="FFFFFF"/>
          </w:tcPr>
          <w:p w14:paraId="24819A55"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3500</w:t>
            </w:r>
          </w:p>
        </w:tc>
        <w:tc>
          <w:tcPr>
            <w:tcW w:w="923" w:type="dxa"/>
            <w:tcBorders>
              <w:top w:val="single" w:sz="12" w:space="0" w:color="auto"/>
            </w:tcBorders>
            <w:shd w:val="clear" w:color="auto" w:fill="FFFFFF"/>
          </w:tcPr>
          <w:p w14:paraId="1B0A8593"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0/3</w:t>
            </w:r>
          </w:p>
        </w:tc>
        <w:tc>
          <w:tcPr>
            <w:tcW w:w="1489" w:type="dxa"/>
            <w:tcBorders>
              <w:top w:val="single" w:sz="12" w:space="0" w:color="auto"/>
              <w:left w:val="nil"/>
              <w:right w:val="nil"/>
            </w:tcBorders>
            <w:shd w:val="clear" w:color="auto" w:fill="FFFFFF"/>
          </w:tcPr>
          <w:p w14:paraId="7DB311F2"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0.00</w:t>
            </w:r>
          </w:p>
        </w:tc>
        <w:tc>
          <w:tcPr>
            <w:tcW w:w="4965" w:type="dxa"/>
            <w:tcBorders>
              <w:top w:val="single" w:sz="12" w:space="0" w:color="auto"/>
            </w:tcBorders>
            <w:shd w:val="clear" w:color="auto" w:fill="FFFFFF"/>
          </w:tcPr>
          <w:p w14:paraId="59C45DEF"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No mortality observed, instead animals remained active and physically stable.</w:t>
            </w:r>
          </w:p>
        </w:tc>
      </w:tr>
      <w:tr w:rsidR="003469A0" w:rsidRPr="003469A0" w14:paraId="1E5D8AB6" w14:textId="77777777" w:rsidTr="006B095C">
        <w:tc>
          <w:tcPr>
            <w:tcW w:w="897" w:type="dxa"/>
            <w:shd w:val="clear" w:color="auto" w:fill="FFFFFF"/>
          </w:tcPr>
          <w:p w14:paraId="0D8F7F4B" w14:textId="77777777" w:rsidR="00232335" w:rsidRPr="003469A0" w:rsidRDefault="00232335" w:rsidP="006B095C">
            <w:pPr>
              <w:spacing w:after="0"/>
              <w:jc w:val="both"/>
              <w:rPr>
                <w:rFonts w:ascii="Times New Roman" w:hAnsi="Times New Roman"/>
                <w:b/>
                <w:bCs/>
                <w:sz w:val="24"/>
                <w:szCs w:val="24"/>
              </w:rPr>
            </w:pPr>
            <w:r w:rsidRPr="003469A0">
              <w:rPr>
                <w:rFonts w:ascii="Times New Roman" w:hAnsi="Times New Roman"/>
                <w:b/>
                <w:bCs/>
                <w:sz w:val="24"/>
                <w:szCs w:val="24"/>
              </w:rPr>
              <w:t>2</w:t>
            </w:r>
          </w:p>
        </w:tc>
        <w:tc>
          <w:tcPr>
            <w:tcW w:w="1086" w:type="dxa"/>
            <w:shd w:val="clear" w:color="auto" w:fill="FFFFFF"/>
          </w:tcPr>
          <w:p w14:paraId="5513172B"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4000</w:t>
            </w:r>
          </w:p>
        </w:tc>
        <w:tc>
          <w:tcPr>
            <w:tcW w:w="923" w:type="dxa"/>
            <w:shd w:val="clear" w:color="auto" w:fill="FFFFFF"/>
          </w:tcPr>
          <w:p w14:paraId="586CABEE"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0/3</w:t>
            </w:r>
          </w:p>
        </w:tc>
        <w:tc>
          <w:tcPr>
            <w:tcW w:w="1489" w:type="dxa"/>
            <w:shd w:val="clear" w:color="auto" w:fill="FFFFFF"/>
          </w:tcPr>
          <w:p w14:paraId="5C0CA519"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0.00</w:t>
            </w:r>
          </w:p>
        </w:tc>
        <w:tc>
          <w:tcPr>
            <w:tcW w:w="4965" w:type="dxa"/>
            <w:shd w:val="clear" w:color="auto" w:fill="FFFFFF"/>
          </w:tcPr>
          <w:p w14:paraId="6C268F8A"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No mortality observed, instead animals remained active and physically stable</w:t>
            </w:r>
          </w:p>
        </w:tc>
      </w:tr>
      <w:tr w:rsidR="003469A0" w:rsidRPr="003469A0" w14:paraId="25A73DE8" w14:textId="77777777" w:rsidTr="006B095C">
        <w:tc>
          <w:tcPr>
            <w:tcW w:w="897" w:type="dxa"/>
            <w:tcBorders>
              <w:bottom w:val="single" w:sz="12" w:space="0" w:color="auto"/>
            </w:tcBorders>
            <w:shd w:val="clear" w:color="auto" w:fill="FFFFFF"/>
          </w:tcPr>
          <w:p w14:paraId="059F190D" w14:textId="77777777" w:rsidR="00232335" w:rsidRPr="003469A0" w:rsidRDefault="00232335" w:rsidP="006B095C">
            <w:pPr>
              <w:spacing w:after="0"/>
              <w:jc w:val="both"/>
              <w:rPr>
                <w:rFonts w:ascii="Times New Roman" w:hAnsi="Times New Roman"/>
                <w:b/>
                <w:bCs/>
                <w:sz w:val="24"/>
                <w:szCs w:val="24"/>
              </w:rPr>
            </w:pPr>
            <w:r w:rsidRPr="003469A0">
              <w:rPr>
                <w:rFonts w:ascii="Times New Roman" w:hAnsi="Times New Roman"/>
                <w:b/>
                <w:bCs/>
                <w:sz w:val="24"/>
                <w:szCs w:val="24"/>
              </w:rPr>
              <w:t>3</w:t>
            </w:r>
          </w:p>
        </w:tc>
        <w:tc>
          <w:tcPr>
            <w:tcW w:w="1086" w:type="dxa"/>
            <w:tcBorders>
              <w:left w:val="nil"/>
              <w:bottom w:val="single" w:sz="12" w:space="0" w:color="auto"/>
              <w:right w:val="nil"/>
            </w:tcBorders>
            <w:shd w:val="clear" w:color="auto" w:fill="FFFFFF"/>
          </w:tcPr>
          <w:p w14:paraId="4390AC4A"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5000</w:t>
            </w:r>
          </w:p>
        </w:tc>
        <w:tc>
          <w:tcPr>
            <w:tcW w:w="923" w:type="dxa"/>
            <w:tcBorders>
              <w:bottom w:val="single" w:sz="12" w:space="0" w:color="auto"/>
            </w:tcBorders>
            <w:shd w:val="clear" w:color="auto" w:fill="FFFFFF"/>
          </w:tcPr>
          <w:p w14:paraId="202E5EF0"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0/3</w:t>
            </w:r>
          </w:p>
        </w:tc>
        <w:tc>
          <w:tcPr>
            <w:tcW w:w="1489" w:type="dxa"/>
            <w:tcBorders>
              <w:left w:val="nil"/>
              <w:bottom w:val="single" w:sz="12" w:space="0" w:color="auto"/>
              <w:right w:val="nil"/>
            </w:tcBorders>
            <w:shd w:val="clear" w:color="auto" w:fill="FFFFFF"/>
          </w:tcPr>
          <w:p w14:paraId="2DFCDEAD"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0.00</w:t>
            </w:r>
          </w:p>
        </w:tc>
        <w:tc>
          <w:tcPr>
            <w:tcW w:w="4965" w:type="dxa"/>
            <w:tcBorders>
              <w:bottom w:val="single" w:sz="12" w:space="0" w:color="auto"/>
            </w:tcBorders>
            <w:shd w:val="clear" w:color="auto" w:fill="FFFFFF"/>
          </w:tcPr>
          <w:p w14:paraId="58F7633F"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 xml:space="preserve">No mortality observed, instead animals remained </w:t>
            </w:r>
            <w:r w:rsidRPr="003469A0">
              <w:rPr>
                <w:rFonts w:ascii="Times New Roman" w:hAnsi="Times New Roman"/>
                <w:sz w:val="24"/>
                <w:szCs w:val="24"/>
              </w:rPr>
              <w:lastRenderedPageBreak/>
              <w:t>active and physically stable</w:t>
            </w:r>
          </w:p>
        </w:tc>
      </w:tr>
    </w:tbl>
    <w:p w14:paraId="1BFEB4D7" w14:textId="77777777" w:rsidR="00950B4C" w:rsidRPr="003469A0" w:rsidRDefault="00950B4C" w:rsidP="00950B4C">
      <w:pPr>
        <w:spacing w:after="0"/>
        <w:jc w:val="both"/>
        <w:rPr>
          <w:rFonts w:ascii="Times New Roman" w:hAnsi="Times New Roman"/>
          <w:sz w:val="24"/>
          <w:szCs w:val="24"/>
        </w:rPr>
      </w:pPr>
    </w:p>
    <w:p w14:paraId="156C617E" w14:textId="77777777" w:rsidR="00950B4C" w:rsidRPr="003469A0" w:rsidRDefault="00950B4C" w:rsidP="00950B4C">
      <w:pPr>
        <w:spacing w:after="0"/>
        <w:jc w:val="both"/>
        <w:rPr>
          <w:rFonts w:ascii="Times New Roman" w:hAnsi="Times New Roman"/>
          <w:sz w:val="24"/>
          <w:szCs w:val="24"/>
        </w:rPr>
      </w:pPr>
      <w:r w:rsidRPr="003469A0">
        <w:rPr>
          <w:rFonts w:ascii="Times New Roman" w:hAnsi="Times New Roman"/>
          <w:sz w:val="24"/>
          <w:szCs w:val="24"/>
        </w:rPr>
        <w:t>LD</w:t>
      </w:r>
      <w:r w:rsidRPr="003469A0">
        <w:rPr>
          <w:rFonts w:ascii="Times New Roman" w:hAnsi="Times New Roman"/>
          <w:sz w:val="24"/>
          <w:szCs w:val="24"/>
          <w:vertAlign w:val="subscript"/>
        </w:rPr>
        <w:t>50</w:t>
      </w:r>
      <w:r w:rsidRPr="003469A0">
        <w:rPr>
          <w:rFonts w:ascii="Times New Roman" w:hAnsi="Times New Roman"/>
          <w:sz w:val="24"/>
          <w:szCs w:val="24"/>
        </w:rPr>
        <w:t xml:space="preserve"> &gt; 10,000 mg/kg body weight</w:t>
      </w:r>
    </w:p>
    <w:p w14:paraId="79E4D9E3" w14:textId="77777777" w:rsidR="00232335" w:rsidRPr="003469A0" w:rsidRDefault="00232335" w:rsidP="00950B4C">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p>
    <w:p w14:paraId="5B87E5BB" w14:textId="77777777" w:rsidR="00950B4C" w:rsidRPr="003469A0" w:rsidRDefault="00950B4C" w:rsidP="00950B4C">
      <w:pPr>
        <w:spacing w:after="0" w:line="360" w:lineRule="auto"/>
        <w:jc w:val="both"/>
        <w:rPr>
          <w:rFonts w:ascii="Times New Roman" w:hAnsi="Times New Roman" w:cs="Times New Roman"/>
          <w:b/>
          <w:sz w:val="24"/>
          <w:szCs w:val="24"/>
        </w:rPr>
      </w:pPr>
      <w:r w:rsidRPr="003469A0">
        <w:rPr>
          <w:rFonts w:ascii="Times New Roman" w:hAnsi="Times New Roman" w:cs="Times New Roman"/>
          <w:b/>
          <w:sz w:val="24"/>
          <w:szCs w:val="24"/>
        </w:rPr>
        <w:t>Pilot Study</w:t>
      </w:r>
    </w:p>
    <w:p w14:paraId="078511FA" w14:textId="77777777" w:rsidR="00950B4C" w:rsidRPr="003469A0" w:rsidRDefault="00950B4C" w:rsidP="00950B4C">
      <w:pPr>
        <w:spacing w:after="0" w:line="360" w:lineRule="auto"/>
        <w:jc w:val="both"/>
        <w:rPr>
          <w:rFonts w:ascii="Times New Roman" w:hAnsi="Times New Roman" w:cs="Times New Roman"/>
          <w:b/>
          <w:sz w:val="24"/>
          <w:szCs w:val="24"/>
        </w:rPr>
      </w:pPr>
      <w:r w:rsidRPr="003469A0">
        <w:rPr>
          <w:rFonts w:ascii="Times New Roman" w:hAnsi="Times New Roman" w:cs="Times New Roman"/>
          <w:b/>
          <w:bCs/>
          <w:iCs/>
          <w:sz w:val="24"/>
          <w:szCs w:val="24"/>
        </w:rPr>
        <w:t>Aim:</w:t>
      </w:r>
      <w:r w:rsidRPr="003469A0">
        <w:rPr>
          <w:rFonts w:ascii="Times New Roman" w:hAnsi="Times New Roman" w:cs="Times New Roman"/>
          <w:sz w:val="24"/>
          <w:szCs w:val="24"/>
        </w:rPr>
        <w:t xml:space="preserve"> To determine the optimum dose of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extract needed to achieve an effect size of ≥10g increase in birth weight following an N (ω)-nitro-L-arginine methyl ester (L-NAME) induced preeclampsia.</w:t>
      </w:r>
    </w:p>
    <w:p w14:paraId="170F4B89" w14:textId="77777777" w:rsidR="00950B4C" w:rsidRPr="003469A0" w:rsidRDefault="00950B4C" w:rsidP="00950B4C">
      <w:pPr>
        <w:spacing w:after="0" w:line="360" w:lineRule="auto"/>
        <w:jc w:val="both"/>
        <w:rPr>
          <w:rFonts w:ascii="Times New Roman" w:hAnsi="Times New Roman" w:cs="Times New Roman"/>
          <w:b/>
          <w:sz w:val="24"/>
          <w:szCs w:val="24"/>
        </w:rPr>
      </w:pPr>
      <w:r w:rsidRPr="003469A0">
        <w:rPr>
          <w:rFonts w:ascii="Times New Roman" w:hAnsi="Times New Roman" w:cs="Times New Roman"/>
          <w:b/>
          <w:bCs/>
          <w:iCs/>
          <w:sz w:val="24"/>
          <w:szCs w:val="24"/>
        </w:rPr>
        <w:t>Design:</w:t>
      </w:r>
      <w:r w:rsidRPr="003469A0">
        <w:rPr>
          <w:rFonts w:ascii="Times New Roman" w:hAnsi="Times New Roman" w:cs="Times New Roman"/>
          <w:sz w:val="24"/>
          <w:szCs w:val="24"/>
        </w:rPr>
        <w:t xml:space="preserve"> </w:t>
      </w:r>
      <w:r w:rsidRPr="003469A0">
        <w:rPr>
          <w:rFonts w:ascii="Times New Roman" w:eastAsia="Times New Roman" w:hAnsi="Times New Roman" w:cs="Times New Roman"/>
          <w:sz w:val="24"/>
          <w:szCs w:val="24"/>
        </w:rPr>
        <w:t xml:space="preserve">Thirty rats was needed for this study for </w:t>
      </w:r>
      <w:r w:rsidRPr="003469A0">
        <w:rPr>
          <w:rFonts w:ascii="Times New Roman" w:eastAsia="Times New Roman" w:hAnsi="Times New Roman"/>
          <w:sz w:val="24"/>
          <w:szCs w:val="24"/>
        </w:rPr>
        <w:t>a power of α = β = 0.05 at a 95% significance level.</w:t>
      </w:r>
      <w:r w:rsidRPr="003469A0">
        <w:rPr>
          <w:rFonts w:ascii="Times New Roman" w:eastAsia="Times New Roman" w:hAnsi="Times New Roman" w:cs="Times New Roman"/>
          <w:sz w:val="24"/>
          <w:szCs w:val="24"/>
        </w:rPr>
        <w:t xml:space="preserve"> For mating purposes, 16-week-old inbred Wistar male rats weighing 180-200g with non-pregnant female rats of similar weight range were utilised in this study. Rats were provided suitable beddings and commercial rat feeds (UAC Nigeria Vital Feeds Grand Cereals, Jos, Nigeria) and water, </w:t>
      </w:r>
      <w:r w:rsidRPr="003469A0">
        <w:rPr>
          <w:rFonts w:ascii="Times New Roman" w:eastAsia="Times New Roman" w:hAnsi="Times New Roman" w:cs="Times New Roman"/>
          <w:i/>
          <w:sz w:val="24"/>
          <w:szCs w:val="24"/>
        </w:rPr>
        <w:t>ad libitum</w:t>
      </w:r>
      <w:r w:rsidRPr="003469A0">
        <w:rPr>
          <w:rFonts w:ascii="Times New Roman" w:eastAsia="Times New Roman" w:hAnsi="Times New Roman" w:cs="Times New Roman"/>
          <w:sz w:val="24"/>
          <w:szCs w:val="24"/>
        </w:rPr>
        <w:t>. The oestrous cycle of the rats was determined by vaginal lavage. In a ratio of 3:1 female to male, the rats were placed in separate cages and housed overnight together. Pregnancy was confirmed the next morning through a mating plug/positive vaginal smear check and recorded as gestation day 1. Pregnant rats were separated into individual metabolic cages and monitored until the study endpoint.</w:t>
      </w:r>
    </w:p>
    <w:p w14:paraId="40D18496" w14:textId="77777777" w:rsidR="00950B4C" w:rsidRPr="003469A0" w:rsidRDefault="00950B4C" w:rsidP="000328AB">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r w:rsidRPr="003469A0">
        <w:rPr>
          <w:rFonts w:ascii="Times New Roman" w:eastAsia="Times New Roman" w:hAnsi="Times New Roman" w:cs="Times New Roman"/>
          <w:sz w:val="24"/>
          <w:szCs w:val="24"/>
        </w:rPr>
        <w:t>Preeclampsia was induced by daily intraperitoneal injection of 125mg/kg L-NAME on gestation day 12-15 as well as 0.3g/l L-NAME in drinking water, until endpoint. Preeclampsia was confirmed on day 15 based on urine protein levels and blood pressure measurement. After day 15, intraperitoneal administration of L-NAME was discontinued. Daily administration of 50 - 1000 mg/kg b.w of Dabino pulp extract began on day 16 until day 20 of euthanasia.</w:t>
      </w:r>
    </w:p>
    <w:p w14:paraId="40D842B6" w14:textId="77777777" w:rsidR="007B0DB8" w:rsidRPr="003469A0" w:rsidRDefault="007B0DB8" w:rsidP="000328AB">
      <w:pPr>
        <w:widowControl w:val="0"/>
        <w:tabs>
          <w:tab w:val="left" w:pos="1864"/>
          <w:tab w:val="left" w:pos="1865"/>
        </w:tabs>
        <w:autoSpaceDE w:val="0"/>
        <w:autoSpaceDN w:val="0"/>
        <w:spacing w:after="0" w:line="360" w:lineRule="auto"/>
        <w:jc w:val="both"/>
        <w:rPr>
          <w:rFonts w:ascii="Times New Roman" w:hAnsi="Times New Roman" w:cs="Times New Roman"/>
          <w:b/>
          <w:sz w:val="24"/>
          <w:szCs w:val="24"/>
        </w:rPr>
      </w:pPr>
    </w:p>
    <w:p w14:paraId="43842040" w14:textId="77777777" w:rsidR="00A059E0" w:rsidRDefault="00A059E0" w:rsidP="000328AB">
      <w:pPr>
        <w:widowControl w:val="0"/>
        <w:tabs>
          <w:tab w:val="left" w:pos="1864"/>
          <w:tab w:val="left" w:pos="1865"/>
        </w:tabs>
        <w:autoSpaceDE w:val="0"/>
        <w:autoSpaceDN w:val="0"/>
        <w:spacing w:after="0" w:line="360" w:lineRule="auto"/>
        <w:jc w:val="both"/>
        <w:rPr>
          <w:rFonts w:ascii="Times New Roman" w:hAnsi="Times New Roman" w:cs="Times New Roman"/>
          <w:b/>
          <w:sz w:val="24"/>
          <w:szCs w:val="24"/>
        </w:rPr>
      </w:pPr>
    </w:p>
    <w:p w14:paraId="3ED612D0" w14:textId="77777777" w:rsidR="00E2451C" w:rsidRPr="003469A0" w:rsidRDefault="00E2451C" w:rsidP="000328AB">
      <w:pPr>
        <w:widowControl w:val="0"/>
        <w:tabs>
          <w:tab w:val="left" w:pos="1864"/>
          <w:tab w:val="left" w:pos="1865"/>
        </w:tabs>
        <w:autoSpaceDE w:val="0"/>
        <w:autoSpaceDN w:val="0"/>
        <w:spacing w:after="0" w:line="360" w:lineRule="auto"/>
        <w:jc w:val="both"/>
        <w:rPr>
          <w:rFonts w:ascii="Times New Roman" w:hAnsi="Times New Roman" w:cs="Times New Roman"/>
          <w:b/>
          <w:sz w:val="24"/>
          <w:szCs w:val="24"/>
        </w:rPr>
      </w:pPr>
    </w:p>
    <w:p w14:paraId="359C8E0E" w14:textId="77777777" w:rsidR="000328AB" w:rsidRPr="003469A0" w:rsidRDefault="00950B4C" w:rsidP="000328AB">
      <w:pPr>
        <w:widowControl w:val="0"/>
        <w:tabs>
          <w:tab w:val="left" w:pos="1864"/>
          <w:tab w:val="left" w:pos="1865"/>
        </w:tabs>
        <w:autoSpaceDE w:val="0"/>
        <w:autoSpaceDN w:val="0"/>
        <w:spacing w:after="0" w:line="360" w:lineRule="auto"/>
        <w:jc w:val="both"/>
        <w:rPr>
          <w:rFonts w:ascii="Times New Roman" w:hAnsi="Times New Roman" w:cs="Times New Roman"/>
          <w:b/>
          <w:sz w:val="24"/>
          <w:szCs w:val="24"/>
        </w:rPr>
      </w:pPr>
      <w:r w:rsidRPr="003469A0">
        <w:rPr>
          <w:rFonts w:ascii="Times New Roman" w:hAnsi="Times New Roman" w:cs="Times New Roman"/>
          <w:b/>
          <w:sz w:val="24"/>
          <w:szCs w:val="24"/>
        </w:rPr>
        <w:t>Experimental Design</w:t>
      </w:r>
    </w:p>
    <w:p w14:paraId="5202766B" w14:textId="77777777" w:rsidR="000328AB" w:rsidRPr="003469A0" w:rsidRDefault="000328AB" w:rsidP="000328AB">
      <w:pPr>
        <w:spacing w:after="0" w:line="360" w:lineRule="auto"/>
        <w:jc w:val="both"/>
        <w:rPr>
          <w:rFonts w:ascii="Times New Roman" w:hAnsi="Times New Roman" w:cs="Times New Roman"/>
          <w:sz w:val="24"/>
          <w:szCs w:val="24"/>
        </w:rPr>
      </w:pPr>
      <w:r w:rsidRPr="003469A0">
        <w:rPr>
          <w:rFonts w:ascii="Times New Roman" w:hAnsi="Times New Roman" w:cs="Times New Roman"/>
          <w:bCs/>
          <w:sz w:val="24"/>
          <w:szCs w:val="24"/>
        </w:rPr>
        <w:t>A total of twenty-four (24) healthy albino rats (100 - 200 g) of both sexes were utilized for this study</w:t>
      </w:r>
      <w:r w:rsidRPr="003469A0">
        <w:rPr>
          <w:rFonts w:ascii="Times New Roman" w:hAnsi="Times New Roman" w:cs="Times New Roman"/>
          <w:sz w:val="24"/>
          <w:szCs w:val="24"/>
        </w:rPr>
        <w:t xml:space="preserve">. Albino rats were purchased from Mr Samuel of the Anatomy Department of Imo State University and carefully transferred to Animal house of Department of Biochemistry, Imo State University Owerri where the experimental animals were housed at room temperature controlled (27±3 </w:t>
      </w:r>
      <w:r w:rsidRPr="003469A0">
        <w:rPr>
          <w:rFonts w:ascii="Times New Roman" w:hAnsi="Times New Roman" w:cs="Times New Roman"/>
          <w:sz w:val="24"/>
          <w:szCs w:val="24"/>
          <w:vertAlign w:val="superscript"/>
        </w:rPr>
        <w:t>o</w:t>
      </w:r>
      <w:r w:rsidRPr="003469A0">
        <w:rPr>
          <w:rFonts w:ascii="Times New Roman" w:hAnsi="Times New Roman" w:cs="Times New Roman"/>
          <w:sz w:val="24"/>
          <w:szCs w:val="24"/>
        </w:rPr>
        <w:t xml:space="preserve">C) in cages with a 12; 12 light dark cycle and wire lid to allow proper ventilation for the whole period of the experiments. Albino rats were allowed access to standard animal chow and </w:t>
      </w:r>
      <w:r w:rsidRPr="003469A0">
        <w:rPr>
          <w:rFonts w:ascii="Times New Roman" w:hAnsi="Times New Roman" w:cs="Times New Roman"/>
          <w:sz w:val="24"/>
          <w:szCs w:val="24"/>
        </w:rPr>
        <w:lastRenderedPageBreak/>
        <w:t xml:space="preserve">filtered water </w:t>
      </w:r>
      <w:r w:rsidRPr="003469A0">
        <w:rPr>
          <w:rFonts w:ascii="Times New Roman" w:hAnsi="Times New Roman" w:cs="Times New Roman"/>
          <w:i/>
          <w:sz w:val="24"/>
          <w:szCs w:val="24"/>
        </w:rPr>
        <w:t>ad libitum</w:t>
      </w:r>
      <w:r w:rsidRPr="003469A0">
        <w:rPr>
          <w:rFonts w:ascii="Times New Roman" w:hAnsi="Times New Roman" w:cs="Times New Roman"/>
          <w:sz w:val="24"/>
          <w:szCs w:val="24"/>
        </w:rPr>
        <w:t xml:space="preserve">. The female rats which were in estrous phase (identified by microscopic demonstration of typical epithelial cells on vaginal smear) were housed and co-habited with fertile male rats in a ratio of 2:1. (F: M). Four female rats and two males were house in a cage for the respective groups. The gestation day one was depicted as the day that copulation occurred as demonstrated by the presence of vaginal plugs and sperm cells on vaginal plug hence pregnancy, then male rats were separated from the female rats (Mergiaw et al., 2020). </w:t>
      </w:r>
      <w:r w:rsidRPr="003469A0">
        <w:rPr>
          <w:rFonts w:ascii="Times New Roman" w:hAnsi="Times New Roman" w:cs="Times New Roman"/>
          <w:bCs/>
          <w:sz w:val="24"/>
          <w:szCs w:val="24"/>
        </w:rPr>
        <w:t xml:space="preserve"> </w:t>
      </w:r>
    </w:p>
    <w:p w14:paraId="4385BDB7" w14:textId="77777777" w:rsidR="000328AB" w:rsidRPr="003469A0" w:rsidRDefault="000328AB" w:rsidP="000328AB">
      <w:pPr>
        <w:spacing w:after="0" w:line="360" w:lineRule="auto"/>
        <w:jc w:val="both"/>
        <w:rPr>
          <w:rFonts w:ascii="Times New Roman" w:hAnsi="Times New Roman" w:cs="Times New Roman"/>
          <w:bCs/>
          <w:sz w:val="24"/>
          <w:szCs w:val="24"/>
        </w:rPr>
      </w:pPr>
      <w:r w:rsidRPr="003469A0">
        <w:rPr>
          <w:rFonts w:ascii="Times New Roman" w:hAnsi="Times New Roman" w:cs="Times New Roman"/>
          <w:bCs/>
          <w:sz w:val="24"/>
          <w:szCs w:val="24"/>
        </w:rPr>
        <w:t xml:space="preserve">The experimental animals were divided into four groups containing six animals each: </w:t>
      </w:r>
    </w:p>
    <w:p w14:paraId="7CCBDCF5" w14:textId="77777777" w:rsidR="000328AB" w:rsidRPr="003469A0" w:rsidRDefault="000328AB" w:rsidP="000328AB">
      <w:pPr>
        <w:numPr>
          <w:ilvl w:val="0"/>
          <w:numId w:val="1"/>
        </w:numPr>
        <w:spacing w:after="0" w:line="360" w:lineRule="auto"/>
        <w:jc w:val="both"/>
        <w:rPr>
          <w:rFonts w:ascii="Times New Roman" w:hAnsi="Times New Roman" w:cs="Times New Roman"/>
          <w:bCs/>
          <w:sz w:val="24"/>
          <w:szCs w:val="24"/>
        </w:rPr>
      </w:pPr>
      <w:r w:rsidRPr="003469A0">
        <w:rPr>
          <w:rFonts w:ascii="Times New Roman" w:hAnsi="Times New Roman" w:cs="Times New Roman"/>
          <w:bCs/>
          <w:sz w:val="24"/>
          <w:szCs w:val="24"/>
        </w:rPr>
        <w:t>Group I- Control (received normal feed and water)</w:t>
      </w:r>
    </w:p>
    <w:p w14:paraId="33E8AE26" w14:textId="77777777" w:rsidR="000328AB" w:rsidRPr="003469A0" w:rsidRDefault="000328AB" w:rsidP="000328AB">
      <w:pPr>
        <w:numPr>
          <w:ilvl w:val="0"/>
          <w:numId w:val="1"/>
        </w:numPr>
        <w:spacing w:after="0" w:line="360" w:lineRule="auto"/>
        <w:jc w:val="both"/>
        <w:rPr>
          <w:rFonts w:ascii="Times New Roman" w:hAnsi="Times New Roman" w:cs="Times New Roman"/>
          <w:bCs/>
          <w:sz w:val="24"/>
          <w:szCs w:val="24"/>
        </w:rPr>
      </w:pPr>
      <w:r w:rsidRPr="003469A0">
        <w:rPr>
          <w:rFonts w:ascii="Times New Roman" w:hAnsi="Times New Roman" w:cs="Times New Roman"/>
          <w:bCs/>
          <w:sz w:val="24"/>
          <w:szCs w:val="24"/>
        </w:rPr>
        <w:t>Group II- L-NAME (50 mg/kg/day) on gestation day 11 to induce preeclampsia</w:t>
      </w:r>
    </w:p>
    <w:p w14:paraId="006DA720" w14:textId="77777777" w:rsidR="000328AB" w:rsidRPr="003469A0" w:rsidRDefault="000328AB" w:rsidP="000328AB">
      <w:pPr>
        <w:numPr>
          <w:ilvl w:val="0"/>
          <w:numId w:val="1"/>
        </w:numPr>
        <w:spacing w:after="0" w:line="360" w:lineRule="auto"/>
        <w:jc w:val="both"/>
        <w:rPr>
          <w:rFonts w:ascii="Times New Roman" w:hAnsi="Times New Roman" w:cs="Times New Roman"/>
          <w:bCs/>
          <w:sz w:val="24"/>
          <w:szCs w:val="24"/>
        </w:rPr>
      </w:pPr>
      <w:r w:rsidRPr="003469A0">
        <w:rPr>
          <w:rFonts w:ascii="Times New Roman" w:hAnsi="Times New Roman" w:cs="Times New Roman"/>
          <w:bCs/>
          <w:sz w:val="24"/>
          <w:szCs w:val="24"/>
        </w:rPr>
        <w:t>Group III- preeclampsia + losartan drug (20 mg/kg/day) between gestation day 12-20</w:t>
      </w:r>
    </w:p>
    <w:p w14:paraId="09B11666" w14:textId="77777777" w:rsidR="000328AB" w:rsidRPr="003469A0" w:rsidRDefault="000328AB" w:rsidP="00950B4C">
      <w:pPr>
        <w:numPr>
          <w:ilvl w:val="0"/>
          <w:numId w:val="1"/>
        </w:numPr>
        <w:spacing w:after="0" w:line="360" w:lineRule="auto"/>
        <w:jc w:val="both"/>
        <w:rPr>
          <w:rFonts w:ascii="Times New Roman" w:hAnsi="Times New Roman" w:cs="Times New Roman"/>
          <w:bCs/>
          <w:sz w:val="24"/>
          <w:szCs w:val="24"/>
        </w:rPr>
      </w:pPr>
      <w:r w:rsidRPr="003469A0">
        <w:rPr>
          <w:rFonts w:ascii="Times New Roman" w:hAnsi="Times New Roman" w:cs="Times New Roman"/>
          <w:bCs/>
          <w:sz w:val="24"/>
          <w:szCs w:val="24"/>
        </w:rPr>
        <w:t>Group IV- preeclampsia + extract (100 mg/kg/day) between gestation 5-18</w:t>
      </w:r>
    </w:p>
    <w:p w14:paraId="69B4FB21" w14:textId="77777777" w:rsidR="007B0DB8" w:rsidRPr="003469A0" w:rsidRDefault="007B0DB8" w:rsidP="000328AB">
      <w:pPr>
        <w:spacing w:after="0" w:line="360" w:lineRule="auto"/>
        <w:jc w:val="both"/>
        <w:rPr>
          <w:rFonts w:ascii="Times New Roman" w:hAnsi="Times New Roman" w:cs="Times New Roman"/>
          <w:b/>
          <w:bCs/>
          <w:sz w:val="24"/>
          <w:szCs w:val="24"/>
        </w:rPr>
      </w:pPr>
    </w:p>
    <w:p w14:paraId="5F130F8B" w14:textId="77777777" w:rsidR="000328AB" w:rsidRPr="003469A0" w:rsidRDefault="00DE2433" w:rsidP="000328AB">
      <w:pPr>
        <w:spacing w:after="0" w:line="360" w:lineRule="auto"/>
        <w:jc w:val="both"/>
        <w:rPr>
          <w:rFonts w:ascii="Times New Roman" w:hAnsi="Times New Roman" w:cs="Times New Roman"/>
          <w:b/>
          <w:bCs/>
          <w:sz w:val="24"/>
          <w:szCs w:val="24"/>
        </w:rPr>
      </w:pPr>
      <w:r w:rsidRPr="003469A0">
        <w:rPr>
          <w:rFonts w:ascii="Times New Roman" w:hAnsi="Times New Roman" w:cs="Times New Roman"/>
          <w:b/>
          <w:bCs/>
          <w:sz w:val="24"/>
          <w:szCs w:val="24"/>
        </w:rPr>
        <w:t>Induction of Preeclampsia (PE)</w:t>
      </w:r>
    </w:p>
    <w:p w14:paraId="794834E3" w14:textId="77777777" w:rsidR="000328AB" w:rsidRPr="003469A0" w:rsidRDefault="000328AB" w:rsidP="000328AB">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 xml:space="preserve">N (ω)-nitro-L-arginine methyl ester (L-NAME), an L-arginine analogue widely used inhibitor of nitric oxide synthase (NOS) activity both </w:t>
      </w:r>
      <w:r w:rsidRPr="003469A0">
        <w:rPr>
          <w:rFonts w:ascii="Times New Roman" w:hAnsi="Times New Roman" w:cs="Times New Roman"/>
          <w:i/>
          <w:iCs/>
          <w:sz w:val="24"/>
          <w:szCs w:val="24"/>
        </w:rPr>
        <w:t xml:space="preserve">in vitro </w:t>
      </w:r>
      <w:r w:rsidRPr="003469A0">
        <w:rPr>
          <w:rFonts w:ascii="Times New Roman" w:hAnsi="Times New Roman" w:cs="Times New Roman"/>
          <w:sz w:val="24"/>
          <w:szCs w:val="24"/>
        </w:rPr>
        <w:t xml:space="preserve">and </w:t>
      </w:r>
      <w:r w:rsidRPr="003469A0">
        <w:rPr>
          <w:rFonts w:ascii="Times New Roman" w:hAnsi="Times New Roman" w:cs="Times New Roman"/>
          <w:i/>
          <w:iCs/>
          <w:sz w:val="24"/>
          <w:szCs w:val="24"/>
        </w:rPr>
        <w:t>in vivo</w:t>
      </w:r>
      <w:r w:rsidRPr="003469A0">
        <w:rPr>
          <w:rFonts w:ascii="Times New Roman" w:hAnsi="Times New Roman" w:cs="Times New Roman"/>
          <w:sz w:val="24"/>
          <w:szCs w:val="24"/>
        </w:rPr>
        <w:t>, was used to induce PE in rats with oral doses of 50 mg/kg/d at gestation day 11 (Mergiaw et al., 2020). Losartan was used as a standard against preeclampsia in animals in Group III.</w:t>
      </w:r>
    </w:p>
    <w:p w14:paraId="6221F029" w14:textId="77777777" w:rsidR="00A059E0" w:rsidRPr="003469A0" w:rsidRDefault="00A059E0" w:rsidP="000328AB">
      <w:pPr>
        <w:spacing w:line="360" w:lineRule="auto"/>
        <w:jc w:val="both"/>
        <w:rPr>
          <w:rFonts w:ascii="Times New Roman" w:hAnsi="Times New Roman" w:cs="Times New Roman"/>
          <w:b/>
          <w:sz w:val="24"/>
          <w:szCs w:val="24"/>
        </w:rPr>
      </w:pPr>
    </w:p>
    <w:p w14:paraId="4B072CEF" w14:textId="77777777" w:rsidR="000328AB" w:rsidRPr="003469A0" w:rsidRDefault="000328AB" w:rsidP="00A059E0">
      <w:pPr>
        <w:spacing w:after="0" w:line="360" w:lineRule="auto"/>
        <w:jc w:val="both"/>
        <w:rPr>
          <w:rFonts w:ascii="Times New Roman" w:hAnsi="Times New Roman" w:cs="Times New Roman"/>
          <w:b/>
          <w:sz w:val="24"/>
          <w:szCs w:val="24"/>
        </w:rPr>
      </w:pPr>
      <w:r w:rsidRPr="003469A0">
        <w:rPr>
          <w:rFonts w:ascii="Times New Roman" w:hAnsi="Times New Roman" w:cs="Times New Roman"/>
          <w:b/>
          <w:sz w:val="24"/>
          <w:szCs w:val="24"/>
        </w:rPr>
        <w:t xml:space="preserve">Collection </w:t>
      </w:r>
      <w:r w:rsidR="00DE2433" w:rsidRPr="003469A0">
        <w:rPr>
          <w:rFonts w:ascii="Times New Roman" w:hAnsi="Times New Roman" w:cs="Times New Roman"/>
          <w:b/>
          <w:sz w:val="24"/>
          <w:szCs w:val="24"/>
        </w:rPr>
        <w:t>of Blood Samples</w:t>
      </w:r>
    </w:p>
    <w:p w14:paraId="6D53B712" w14:textId="77777777" w:rsidR="000328AB" w:rsidRPr="003469A0" w:rsidRDefault="000328AB" w:rsidP="000328AB">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 xml:space="preserve">After treatment for twenty-eight days, the four albino rats per group were fasted overnight (12 hours), weighed and anaesthetized by exposure to chloroform. </w:t>
      </w:r>
      <w:r w:rsidR="00DE2433" w:rsidRPr="003469A0">
        <w:rPr>
          <w:rFonts w:ascii="Times New Roman" w:hAnsi="Times New Roman" w:cs="Times New Roman"/>
          <w:sz w:val="24"/>
          <w:szCs w:val="24"/>
        </w:rPr>
        <w:t>The rats were sacrificed painlessly and blood was collected through cardiac puncture from each rat into heparin and ethylenediaminetetra-acetic acid (EDTA) sample bottles for hematological and biochemical analysis, respectively. The anti-coagulated blood in the heparin sample vials was centrifuged for 10 minutes at 1000 rpm to extract plasma that was used for the analysis. Samples were carefully stored in refrigerator for analyses (Iwu et al., 2020)</w:t>
      </w:r>
      <w:r w:rsidRPr="003469A0">
        <w:rPr>
          <w:rFonts w:ascii="Times New Roman" w:hAnsi="Times New Roman" w:cs="Times New Roman"/>
          <w:sz w:val="24"/>
          <w:szCs w:val="24"/>
        </w:rPr>
        <w:t xml:space="preserve">. </w:t>
      </w:r>
    </w:p>
    <w:p w14:paraId="3FA31D1C" w14:textId="77777777" w:rsidR="00A059E0" w:rsidRPr="003469A0" w:rsidRDefault="00A059E0" w:rsidP="00DE2433">
      <w:pPr>
        <w:widowControl w:val="0"/>
        <w:tabs>
          <w:tab w:val="left" w:pos="1864"/>
          <w:tab w:val="left" w:pos="1865"/>
        </w:tabs>
        <w:autoSpaceDE w:val="0"/>
        <w:autoSpaceDN w:val="0"/>
        <w:spacing w:after="0" w:line="360" w:lineRule="auto"/>
        <w:jc w:val="both"/>
        <w:rPr>
          <w:rFonts w:ascii="Times New Roman" w:hAnsi="Times New Roman" w:cs="Times New Roman"/>
          <w:b/>
          <w:sz w:val="24"/>
          <w:szCs w:val="24"/>
        </w:rPr>
      </w:pPr>
    </w:p>
    <w:p w14:paraId="6FA0807A" w14:textId="77777777" w:rsidR="00DE2433" w:rsidRPr="003469A0" w:rsidRDefault="00DE2433" w:rsidP="00DE2433">
      <w:pPr>
        <w:widowControl w:val="0"/>
        <w:tabs>
          <w:tab w:val="left" w:pos="1864"/>
          <w:tab w:val="left" w:pos="1865"/>
        </w:tabs>
        <w:autoSpaceDE w:val="0"/>
        <w:autoSpaceDN w:val="0"/>
        <w:spacing w:after="0" w:line="360" w:lineRule="auto"/>
        <w:jc w:val="both"/>
        <w:rPr>
          <w:rFonts w:ascii="Times New Roman" w:hAnsi="Times New Roman" w:cs="Times New Roman"/>
          <w:b/>
          <w:sz w:val="24"/>
          <w:szCs w:val="24"/>
        </w:rPr>
      </w:pPr>
      <w:r w:rsidRPr="003469A0">
        <w:rPr>
          <w:rFonts w:ascii="Times New Roman" w:hAnsi="Times New Roman" w:cs="Times New Roman"/>
          <w:b/>
          <w:sz w:val="24"/>
          <w:szCs w:val="24"/>
        </w:rPr>
        <w:t>Ethical Approach</w:t>
      </w:r>
      <w:r w:rsidR="00A059E0" w:rsidRPr="003469A0">
        <w:rPr>
          <w:rFonts w:ascii="Times New Roman" w:hAnsi="Times New Roman" w:cs="Times New Roman"/>
          <w:b/>
          <w:sz w:val="24"/>
          <w:szCs w:val="24"/>
        </w:rPr>
        <w:t>/Approval</w:t>
      </w:r>
    </w:p>
    <w:p w14:paraId="7B6DC932" w14:textId="77777777" w:rsidR="00DE2433" w:rsidRPr="003469A0" w:rsidRDefault="00DE2433" w:rsidP="000328AB">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All animals produced were conducted according to natural institutes of health guide for the care and use of laboratory animals and were approved by the Institutional Animal Care and Use Committee (IACUC) of Imo State University under the ethical number (IMSU/FBS/2023/021).</w:t>
      </w:r>
    </w:p>
    <w:p w14:paraId="3DCC6D30" w14:textId="77777777" w:rsidR="00DE2433" w:rsidRPr="003469A0" w:rsidRDefault="00DE2433" w:rsidP="000328AB">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p>
    <w:p w14:paraId="6685A52C" w14:textId="77777777" w:rsidR="006B095C" w:rsidRPr="003469A0" w:rsidRDefault="00DE2433" w:rsidP="006B095C">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r w:rsidRPr="003469A0">
        <w:rPr>
          <w:rFonts w:ascii="Times New Roman" w:hAnsi="Times New Roman" w:cs="Times New Roman"/>
          <w:b/>
          <w:bCs/>
          <w:sz w:val="24"/>
          <w:szCs w:val="24"/>
        </w:rPr>
        <w:t>Measurement of Biochemical Parameters</w:t>
      </w:r>
    </w:p>
    <w:p w14:paraId="301E87EA" w14:textId="77777777" w:rsidR="00A059E0" w:rsidRPr="003469A0" w:rsidRDefault="006B095C" w:rsidP="000328AB">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For liver function parameters; a</w:t>
      </w:r>
      <w:r w:rsidR="00DE2433" w:rsidRPr="003469A0">
        <w:rPr>
          <w:rFonts w:ascii="Times New Roman" w:hAnsi="Times New Roman" w:cs="Times New Roman"/>
          <w:sz w:val="24"/>
          <w:szCs w:val="24"/>
        </w:rPr>
        <w:t>lanine aminotransferase (ALT)</w:t>
      </w:r>
      <w:r w:rsidRPr="003469A0">
        <w:rPr>
          <w:rFonts w:ascii="Times New Roman" w:hAnsi="Times New Roman" w:cs="Times New Roman"/>
          <w:sz w:val="24"/>
          <w:szCs w:val="24"/>
        </w:rPr>
        <w:t xml:space="preserve"> and a</w:t>
      </w:r>
      <w:r w:rsidR="00DE2433" w:rsidRPr="003469A0">
        <w:rPr>
          <w:rFonts w:ascii="Times New Roman" w:hAnsi="Times New Roman" w:cs="Times New Roman"/>
          <w:sz w:val="24"/>
          <w:szCs w:val="24"/>
        </w:rPr>
        <w:t xml:space="preserve">spartate aminotransferase (AST) determinations were carried out according to </w:t>
      </w:r>
      <w:r w:rsidR="00DE2433" w:rsidRPr="003469A0">
        <w:rPr>
          <w:rFonts w:ascii="Times New Roman" w:hAnsi="Times New Roman" w:cs="Times New Roman"/>
          <w:noProof/>
          <w:sz w:val="24"/>
          <w:szCs w:val="24"/>
        </w:rPr>
        <w:t>Reitman &amp; Frankel (1957</w:t>
      </w:r>
      <w:r w:rsidR="00DE2433" w:rsidRPr="003469A0">
        <w:rPr>
          <w:rFonts w:ascii="Times New Roman" w:hAnsi="Times New Roman" w:cs="Times New Roman"/>
          <w:sz w:val="24"/>
          <w:szCs w:val="24"/>
        </w:rPr>
        <w:t xml:space="preserve">), </w:t>
      </w:r>
      <w:r w:rsidR="00DE2433" w:rsidRPr="003469A0">
        <w:rPr>
          <w:rFonts w:ascii="Times New Roman" w:hAnsi="Times New Roman" w:cs="Times New Roman"/>
          <w:bCs/>
          <w:sz w:val="24"/>
          <w:szCs w:val="24"/>
        </w:rPr>
        <w:t>Alkaline Phosphatase was done following the (</w:t>
      </w:r>
      <w:r w:rsidR="00DE2433" w:rsidRPr="003469A0">
        <w:rPr>
          <w:rFonts w:ascii="Times New Roman" w:hAnsi="Times New Roman" w:cs="Times New Roman"/>
          <w:sz w:val="24"/>
          <w:szCs w:val="24"/>
        </w:rPr>
        <w:t>Recommendations of the German Society for Clinical Chemistry (GSCC)</w:t>
      </w:r>
      <w:r w:rsidR="00DE2433" w:rsidRPr="003469A0">
        <w:rPr>
          <w:rFonts w:ascii="Times New Roman" w:hAnsi="Times New Roman" w:cs="Times New Roman"/>
          <w:noProof/>
          <w:sz w:val="24"/>
          <w:szCs w:val="24"/>
        </w:rPr>
        <w:t xml:space="preserve"> (1972</w:t>
      </w:r>
      <w:r w:rsidR="00DE2433" w:rsidRPr="003469A0">
        <w:rPr>
          <w:rFonts w:ascii="Times New Roman" w:hAnsi="Times New Roman" w:cs="Times New Roman"/>
          <w:sz w:val="24"/>
          <w:szCs w:val="24"/>
        </w:rPr>
        <w:t>),</w:t>
      </w:r>
      <w:r w:rsidRPr="003469A0">
        <w:rPr>
          <w:rFonts w:ascii="Times New Roman" w:hAnsi="Times New Roman" w:cs="Times New Roman"/>
          <w:sz w:val="24"/>
          <w:szCs w:val="24"/>
        </w:rPr>
        <w:t xml:space="preserve"> total protein according to </w:t>
      </w:r>
      <w:r w:rsidRPr="003469A0">
        <w:rPr>
          <w:rFonts w:ascii="Times New Roman" w:hAnsi="Times New Roman" w:cs="Times New Roman"/>
          <w:noProof/>
          <w:sz w:val="24"/>
          <w:szCs w:val="24"/>
        </w:rPr>
        <w:t>Tietz (1995</w:t>
      </w:r>
      <w:r w:rsidRPr="003469A0">
        <w:rPr>
          <w:rFonts w:ascii="Times New Roman" w:hAnsi="Times New Roman" w:cs="Times New Roman"/>
          <w:sz w:val="24"/>
          <w:szCs w:val="24"/>
        </w:rPr>
        <w:t xml:space="preserve">), while conjugated bilirubin was determined using </w:t>
      </w:r>
      <w:r w:rsidRPr="003469A0">
        <w:rPr>
          <w:rFonts w:ascii="Times New Roman" w:hAnsi="Times New Roman" w:cs="Times New Roman"/>
          <w:noProof/>
          <w:sz w:val="24"/>
          <w:szCs w:val="24"/>
        </w:rPr>
        <w:t>Jendrassik &amp; Grof (1938</w:t>
      </w:r>
      <w:r w:rsidRPr="003469A0">
        <w:rPr>
          <w:rFonts w:ascii="Times New Roman" w:hAnsi="Times New Roman" w:cs="Times New Roman"/>
          <w:sz w:val="24"/>
          <w:szCs w:val="24"/>
        </w:rPr>
        <w:t>). For the cardiac function parameters; cardiac troponin levels was measured using the gold linked optical read immune assay (GLORIA) as described by Collinson et al. (1995), angiotensin II levels was determined following methods by Boucher et al. (1964) and Kako, Tatematsu and Nonoyama (1976),</w:t>
      </w:r>
      <w:r w:rsidR="006826B2" w:rsidRPr="003469A0">
        <w:rPr>
          <w:rFonts w:ascii="Times New Roman" w:hAnsi="Times New Roman" w:cs="Times New Roman"/>
          <w:sz w:val="24"/>
          <w:szCs w:val="24"/>
        </w:rPr>
        <w:t xml:space="preserve"> while</w:t>
      </w:r>
      <w:r w:rsidRPr="003469A0">
        <w:rPr>
          <w:rFonts w:ascii="Times New Roman" w:hAnsi="Times New Roman" w:cs="Times New Roman"/>
          <w:sz w:val="24"/>
          <w:szCs w:val="24"/>
        </w:rPr>
        <w:t xml:space="preserve"> lactate dehydrogenase levels was assayed according to Taher et al. (2016</w:t>
      </w:r>
      <w:r w:rsidRPr="003469A0">
        <w:rPr>
          <w:rFonts w:ascii="Times New Roman" w:eastAsia="Times New Roman" w:hAnsi="Times New Roman" w:cs="Times New Roman"/>
          <w:sz w:val="24"/>
          <w:szCs w:val="24"/>
        </w:rPr>
        <w:t>)</w:t>
      </w:r>
      <w:r w:rsidR="006826B2" w:rsidRPr="003469A0">
        <w:rPr>
          <w:rFonts w:ascii="Times New Roman" w:eastAsia="Times New Roman" w:hAnsi="Times New Roman" w:cs="Times New Roman"/>
          <w:sz w:val="24"/>
          <w:szCs w:val="24"/>
        </w:rPr>
        <w:t>.</w:t>
      </w:r>
      <w:r w:rsidR="00544D14" w:rsidRPr="003469A0">
        <w:rPr>
          <w:rFonts w:ascii="Times New Roman" w:hAnsi="Times New Roman" w:cs="Times New Roman"/>
          <w:sz w:val="24"/>
          <w:szCs w:val="24"/>
        </w:rPr>
        <w:t xml:space="preserve"> For the renal function parameters; serum urea levels were measured spectrophotometrically while blood urea nitrogen was calculated with the formula BUN = urea × 0.48 (Isik et al., 2024), creatinine was determined following </w:t>
      </w:r>
      <w:r w:rsidR="00544D14" w:rsidRPr="003469A0">
        <w:rPr>
          <w:rFonts w:ascii="Times New Roman" w:hAnsi="Times New Roman" w:cs="Times New Roman"/>
          <w:noProof/>
          <w:sz w:val="24"/>
          <w:szCs w:val="24"/>
        </w:rPr>
        <w:t>Bartels &amp; Bolmer (1971),</w:t>
      </w:r>
      <w:r w:rsidR="00544D14" w:rsidRPr="003469A0">
        <w:rPr>
          <w:rFonts w:ascii="Times New Roman" w:hAnsi="Times New Roman" w:cs="Times New Roman"/>
          <w:b/>
          <w:noProof/>
          <w:sz w:val="24"/>
          <w:szCs w:val="24"/>
        </w:rPr>
        <w:t xml:space="preserve"> </w:t>
      </w:r>
      <w:r w:rsidR="00544D14" w:rsidRPr="003469A0">
        <w:rPr>
          <w:rFonts w:ascii="Times New Roman" w:hAnsi="Times New Roman" w:cs="Times New Roman"/>
          <w:sz w:val="24"/>
          <w:szCs w:val="24"/>
        </w:rPr>
        <w:t xml:space="preserve">anion gap level was done by subtracting the sum of chloride and bicarbonate ions from serum sodium ions (Kashyap et al., 2006), while glomerular filtration rate was </w:t>
      </w:r>
      <w:r w:rsidR="00544D14" w:rsidRPr="003469A0">
        <w:rPr>
          <w:rStyle w:val="markedcontent"/>
          <w:rFonts w:ascii="Times New Roman" w:hAnsi="Times New Roman" w:cs="Times New Roman"/>
          <w:sz w:val="24"/>
          <w:szCs w:val="24"/>
        </w:rPr>
        <w:t>calculated in</w:t>
      </w:r>
      <w:r w:rsidR="00544D14" w:rsidRPr="003469A0">
        <w:rPr>
          <w:rFonts w:ascii="Times New Roman" w:hAnsi="Times New Roman" w:cs="Times New Roman"/>
          <w:sz w:val="24"/>
          <w:szCs w:val="24"/>
        </w:rPr>
        <w:t xml:space="preserve"> </w:t>
      </w:r>
      <w:r w:rsidR="00544D14" w:rsidRPr="003469A0">
        <w:rPr>
          <w:rStyle w:val="markedcontent"/>
          <w:rFonts w:ascii="Times New Roman" w:hAnsi="Times New Roman" w:cs="Times New Roman"/>
          <w:sz w:val="24"/>
          <w:szCs w:val="24"/>
        </w:rPr>
        <w:t>ml/min/m</w:t>
      </w:r>
      <w:r w:rsidR="00544D14" w:rsidRPr="003469A0">
        <w:rPr>
          <w:rStyle w:val="markedcontent"/>
          <w:rFonts w:ascii="Times New Roman" w:hAnsi="Times New Roman" w:cs="Times New Roman"/>
          <w:sz w:val="24"/>
          <w:szCs w:val="24"/>
          <w:vertAlign w:val="superscript"/>
        </w:rPr>
        <w:t>2</w:t>
      </w:r>
      <w:r w:rsidR="00544D14" w:rsidRPr="003469A0">
        <w:rPr>
          <w:rStyle w:val="markedcontent"/>
          <w:rFonts w:ascii="Times New Roman" w:hAnsi="Times New Roman" w:cs="Times New Roman"/>
          <w:sz w:val="24"/>
          <w:szCs w:val="24"/>
        </w:rPr>
        <w:t xml:space="preserve"> using John Hopkins’ method (ABX Guide Johns Hopkins Medicine, 2003). For the lipid profile parameters, total cholesterol was measured using </w:t>
      </w:r>
      <w:r w:rsidR="00544D14" w:rsidRPr="003469A0">
        <w:rPr>
          <w:rFonts w:ascii="Times New Roman" w:hAnsi="Times New Roman" w:cs="Times New Roman"/>
          <w:sz w:val="24"/>
          <w:szCs w:val="24"/>
        </w:rPr>
        <w:t>Richmond (</w:t>
      </w:r>
      <w:r w:rsidR="00544D14" w:rsidRPr="003469A0">
        <w:rPr>
          <w:rFonts w:ascii="Times New Roman" w:hAnsi="Times New Roman" w:cs="Times New Roman"/>
          <w:sz w:val="24"/>
        </w:rPr>
        <w:t>1973),</w:t>
      </w:r>
      <w:r w:rsidR="00544D14" w:rsidRPr="003469A0">
        <w:rPr>
          <w:rFonts w:ascii="Times New Roman" w:hAnsi="Times New Roman" w:cs="Times New Roman"/>
          <w:b/>
          <w:sz w:val="24"/>
        </w:rPr>
        <w:t xml:space="preserve"> </w:t>
      </w:r>
      <w:r w:rsidR="00544D14" w:rsidRPr="003469A0">
        <w:rPr>
          <w:rFonts w:ascii="Times New Roman" w:hAnsi="Times New Roman" w:cs="Times New Roman"/>
          <w:sz w:val="24"/>
        </w:rPr>
        <w:t xml:space="preserve">triglycerides by </w:t>
      </w:r>
      <w:r w:rsidR="00544D14" w:rsidRPr="003469A0">
        <w:rPr>
          <w:rFonts w:ascii="Times New Roman" w:hAnsi="Times New Roman" w:cs="Times New Roman"/>
          <w:sz w:val="24"/>
          <w:szCs w:val="24"/>
        </w:rPr>
        <w:t>Abell et al. (</w:t>
      </w:r>
      <w:r w:rsidR="00544D14" w:rsidRPr="003469A0">
        <w:rPr>
          <w:rFonts w:ascii="Times New Roman" w:hAnsi="Times New Roman" w:cs="Times New Roman"/>
          <w:sz w:val="24"/>
        </w:rPr>
        <w:t>1952),</w:t>
      </w:r>
      <w:r w:rsidR="00544D14" w:rsidRPr="003469A0">
        <w:rPr>
          <w:rFonts w:ascii="Times New Roman" w:hAnsi="Times New Roman" w:cs="Times New Roman"/>
          <w:b/>
          <w:sz w:val="24"/>
        </w:rPr>
        <w:t xml:space="preserve"> </w:t>
      </w:r>
      <w:r w:rsidR="006A35E4" w:rsidRPr="003469A0">
        <w:rPr>
          <w:rFonts w:ascii="Times New Roman" w:hAnsi="Times New Roman" w:cs="Times New Roman"/>
          <w:sz w:val="24"/>
          <w:szCs w:val="24"/>
        </w:rPr>
        <w:t xml:space="preserve">High density lipoprotein-cholesterol by </w:t>
      </w:r>
      <w:r w:rsidR="006A35E4" w:rsidRPr="003469A0">
        <w:rPr>
          <w:rFonts w:ascii="Times New Roman" w:hAnsi="Times New Roman" w:cs="Times New Roman"/>
          <w:sz w:val="24"/>
        </w:rPr>
        <w:t>Lopes-Virella et al.</w:t>
      </w:r>
      <w:r w:rsidR="006A35E4" w:rsidRPr="003469A0">
        <w:rPr>
          <w:rFonts w:ascii="Times New Roman" w:hAnsi="Times New Roman" w:cs="Times New Roman"/>
          <w:i/>
          <w:sz w:val="24"/>
        </w:rPr>
        <w:t xml:space="preserve"> </w:t>
      </w:r>
      <w:r w:rsidR="006A35E4" w:rsidRPr="003469A0">
        <w:rPr>
          <w:rFonts w:ascii="Times New Roman" w:hAnsi="Times New Roman" w:cs="Times New Roman"/>
          <w:sz w:val="24"/>
        </w:rPr>
        <w:t>(1977</w:t>
      </w:r>
      <w:r w:rsidR="006A35E4" w:rsidRPr="003469A0">
        <w:rPr>
          <w:rFonts w:ascii="Times New Roman" w:hAnsi="Times New Roman" w:cs="Times New Roman"/>
          <w:sz w:val="24"/>
          <w:szCs w:val="24"/>
        </w:rPr>
        <w:t xml:space="preserve">), while low density lipoprotein and very low density lipoprotein cholesterols were calculated according to </w:t>
      </w:r>
      <w:r w:rsidR="006A35E4" w:rsidRPr="003469A0">
        <w:rPr>
          <w:rFonts w:ascii="Times New Roman" w:hAnsi="Times New Roman" w:cs="Times New Roman"/>
        </w:rPr>
        <w:t xml:space="preserve">Friedewald (1972). </w:t>
      </w:r>
      <w:r w:rsidR="006A35E4" w:rsidRPr="003469A0">
        <w:rPr>
          <w:rFonts w:ascii="Times New Roman" w:hAnsi="Times New Roman" w:cs="Times New Roman"/>
          <w:bCs/>
          <w:sz w:val="24"/>
          <w:szCs w:val="24"/>
        </w:rPr>
        <w:t>Hematological parameters were performed using an Automated Hematology Analyzer.</w:t>
      </w:r>
    </w:p>
    <w:p w14:paraId="1E50EA4F" w14:textId="77777777" w:rsidR="00A059E0" w:rsidRPr="003469A0" w:rsidRDefault="00A059E0" w:rsidP="000328AB">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p>
    <w:p w14:paraId="2139AB6C" w14:textId="77777777" w:rsidR="000328AB" w:rsidRPr="003469A0" w:rsidRDefault="000328AB" w:rsidP="000328AB">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r w:rsidRPr="003469A0">
        <w:rPr>
          <w:rFonts w:ascii="Times New Roman" w:hAnsi="Times New Roman" w:cs="Times New Roman"/>
          <w:b/>
          <w:bCs/>
          <w:sz w:val="24"/>
          <w:szCs w:val="24"/>
        </w:rPr>
        <w:t xml:space="preserve">Data Analysis </w:t>
      </w:r>
    </w:p>
    <w:p w14:paraId="3C721617" w14:textId="77777777" w:rsidR="000328AB" w:rsidRPr="003469A0" w:rsidRDefault="000328AB" w:rsidP="000328AB">
      <w:pPr>
        <w:widowControl w:val="0"/>
        <w:tabs>
          <w:tab w:val="left" w:pos="1864"/>
          <w:tab w:val="left" w:pos="1865"/>
        </w:tabs>
        <w:autoSpaceDE w:val="0"/>
        <w:autoSpaceDN w:val="0"/>
        <w:spacing w:after="0" w:line="360" w:lineRule="auto"/>
        <w:jc w:val="both"/>
        <w:rPr>
          <w:rFonts w:ascii="Times New Roman" w:hAnsi="Times New Roman" w:cs="Times New Roman"/>
          <w:bCs/>
          <w:sz w:val="24"/>
          <w:szCs w:val="24"/>
        </w:rPr>
      </w:pPr>
      <w:r w:rsidRPr="003469A0">
        <w:rPr>
          <w:rFonts w:ascii="Times New Roman" w:hAnsi="Times New Roman" w:cs="Times New Roman"/>
          <w:sz w:val="24"/>
          <w:szCs w:val="24"/>
        </w:rPr>
        <w:t xml:space="preserve">Statistical Package for Biological and Social Sciences (SPSS) Inc. 27.0 Software program was used. Mean values (M) ± SD were calculated and one-way analysis of variance (ANOVA) was performed for multiple comparison. </w:t>
      </w:r>
      <w:r w:rsidRPr="003469A0">
        <w:rPr>
          <w:rFonts w:ascii="Times New Roman" w:hAnsi="Times New Roman" w:cs="Times New Roman"/>
          <w:bCs/>
          <w:sz w:val="24"/>
          <w:szCs w:val="24"/>
        </w:rPr>
        <w:t>A p≤0.05 was considered statistically significant.</w:t>
      </w:r>
    </w:p>
    <w:p w14:paraId="7FC6519C" w14:textId="77777777" w:rsidR="000328AB" w:rsidRPr="003469A0" w:rsidRDefault="000328AB" w:rsidP="000328AB">
      <w:pPr>
        <w:widowControl w:val="0"/>
        <w:tabs>
          <w:tab w:val="left" w:pos="1864"/>
          <w:tab w:val="left" w:pos="1865"/>
        </w:tabs>
        <w:autoSpaceDE w:val="0"/>
        <w:autoSpaceDN w:val="0"/>
        <w:spacing w:after="0" w:line="240" w:lineRule="auto"/>
        <w:jc w:val="both"/>
        <w:rPr>
          <w:rFonts w:ascii="Times New Roman" w:hAnsi="Times New Roman" w:cs="Times New Roman"/>
          <w:sz w:val="24"/>
          <w:szCs w:val="24"/>
        </w:rPr>
      </w:pPr>
    </w:p>
    <w:p w14:paraId="7635C508" w14:textId="77777777" w:rsidR="00A059E0" w:rsidRPr="003469A0" w:rsidRDefault="00A059E0" w:rsidP="000328AB">
      <w:pPr>
        <w:spacing w:after="0" w:line="360" w:lineRule="auto"/>
        <w:rPr>
          <w:rFonts w:ascii="Times New Roman" w:eastAsia="Times New Roman" w:hAnsi="Times New Roman" w:cs="Times New Roman"/>
          <w:b/>
          <w:bCs/>
          <w:sz w:val="24"/>
        </w:rPr>
      </w:pPr>
    </w:p>
    <w:p w14:paraId="07D4AB63" w14:textId="77777777" w:rsidR="000328AB" w:rsidRPr="003469A0" w:rsidRDefault="000328AB" w:rsidP="000328AB">
      <w:pPr>
        <w:spacing w:after="0" w:line="360" w:lineRule="auto"/>
        <w:rPr>
          <w:rFonts w:ascii="Times New Roman" w:eastAsia="Times New Roman" w:hAnsi="Times New Roman" w:cs="Times New Roman"/>
          <w:b/>
          <w:bCs/>
          <w:sz w:val="24"/>
        </w:rPr>
      </w:pPr>
      <w:r w:rsidRPr="003469A0">
        <w:rPr>
          <w:rFonts w:ascii="Times New Roman" w:eastAsia="Times New Roman" w:hAnsi="Times New Roman" w:cs="Times New Roman"/>
          <w:b/>
          <w:bCs/>
          <w:sz w:val="24"/>
        </w:rPr>
        <w:t>RESULTS AND DISCUSSION</w:t>
      </w:r>
    </w:p>
    <w:p w14:paraId="04BFA29A" w14:textId="77777777" w:rsidR="000328AB" w:rsidRPr="003469A0" w:rsidRDefault="006A35E4" w:rsidP="000328AB">
      <w:pPr>
        <w:spacing w:after="0" w:line="360" w:lineRule="auto"/>
        <w:jc w:val="both"/>
        <w:rPr>
          <w:rFonts w:ascii="Times New Roman" w:hAnsi="Times New Roman" w:cs="Times New Roman"/>
          <w:sz w:val="24"/>
          <w:szCs w:val="24"/>
        </w:rPr>
      </w:pPr>
      <w:r w:rsidRPr="003469A0">
        <w:rPr>
          <w:rFonts w:ascii="Times New Roman" w:hAnsi="Times New Roman" w:cs="Times New Roman"/>
          <w:b/>
          <w:sz w:val="24"/>
          <w:szCs w:val="24"/>
        </w:rPr>
        <w:t xml:space="preserve">Result of Phytochemical screening </w:t>
      </w:r>
    </w:p>
    <w:p w14:paraId="46CD92CF" w14:textId="77777777" w:rsidR="006A35E4" w:rsidRPr="003469A0" w:rsidRDefault="006A35E4" w:rsidP="006A35E4">
      <w:pPr>
        <w:tabs>
          <w:tab w:val="left" w:pos="3135"/>
        </w:tabs>
        <w:spacing w:line="480" w:lineRule="auto"/>
        <w:jc w:val="both"/>
        <w:rPr>
          <w:rFonts w:ascii="Times New Roman" w:eastAsia="SimSun" w:hAnsi="Times New Roman" w:cs="Times New Roman"/>
          <w:sz w:val="24"/>
          <w:szCs w:val="24"/>
        </w:rPr>
      </w:pPr>
      <w:r w:rsidRPr="003469A0">
        <w:rPr>
          <w:rFonts w:ascii="Times New Roman" w:hAnsi="Times New Roman" w:cs="Times New Roman"/>
          <w:b/>
          <w:sz w:val="24"/>
          <w:szCs w:val="24"/>
        </w:rPr>
        <w:t xml:space="preserve">Table 2: Phytochemical content of </w:t>
      </w:r>
      <w:r w:rsidRPr="003469A0">
        <w:rPr>
          <w:rFonts w:ascii="Times New Roman" w:hAnsi="Times New Roman" w:cs="Times New Roman"/>
          <w:b/>
          <w:i/>
          <w:sz w:val="24"/>
          <w:szCs w:val="24"/>
        </w:rPr>
        <w:t>Phoenix dactylifera</w:t>
      </w:r>
      <w:r w:rsidRPr="003469A0">
        <w:rPr>
          <w:rFonts w:ascii="Times New Roman" w:hAnsi="Times New Roman" w:cs="Times New Roman"/>
          <w:b/>
          <w:sz w:val="24"/>
          <w:szCs w:val="24"/>
        </w:rPr>
        <w:t xml:space="preserve"> (dabino) fruit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3469A0" w:rsidRPr="003469A0" w14:paraId="7730AB2B" w14:textId="77777777" w:rsidTr="00C90038">
        <w:tc>
          <w:tcPr>
            <w:tcW w:w="4788" w:type="dxa"/>
            <w:tcBorders>
              <w:bottom w:val="single" w:sz="4" w:space="0" w:color="000000" w:themeColor="text1"/>
            </w:tcBorders>
          </w:tcPr>
          <w:p w14:paraId="5785F720" w14:textId="77777777" w:rsidR="006A35E4" w:rsidRPr="003469A0" w:rsidRDefault="006A35E4" w:rsidP="00C90038">
            <w:pPr>
              <w:tabs>
                <w:tab w:val="left" w:pos="3135"/>
              </w:tabs>
              <w:spacing w:before="240" w:line="276" w:lineRule="auto"/>
              <w:jc w:val="both"/>
              <w:rPr>
                <w:rFonts w:ascii="Times New Roman" w:hAnsi="Times New Roman" w:cs="Times New Roman"/>
                <w:b/>
                <w:sz w:val="24"/>
                <w:szCs w:val="24"/>
              </w:rPr>
            </w:pPr>
            <w:r w:rsidRPr="003469A0">
              <w:rPr>
                <w:rFonts w:ascii="Times New Roman" w:hAnsi="Times New Roman" w:cs="Times New Roman"/>
                <w:b/>
                <w:sz w:val="24"/>
                <w:szCs w:val="24"/>
              </w:rPr>
              <w:lastRenderedPageBreak/>
              <w:t>Phytochemical content</w:t>
            </w:r>
          </w:p>
        </w:tc>
        <w:tc>
          <w:tcPr>
            <w:tcW w:w="4788" w:type="dxa"/>
            <w:tcBorders>
              <w:bottom w:val="single" w:sz="4" w:space="0" w:color="000000" w:themeColor="text1"/>
            </w:tcBorders>
          </w:tcPr>
          <w:p w14:paraId="49665DFE" w14:textId="77777777" w:rsidR="006A35E4" w:rsidRPr="003469A0" w:rsidRDefault="006A35E4" w:rsidP="00C90038">
            <w:pPr>
              <w:tabs>
                <w:tab w:val="left" w:pos="3135"/>
              </w:tabs>
              <w:spacing w:before="240" w:line="276" w:lineRule="auto"/>
              <w:jc w:val="both"/>
              <w:rPr>
                <w:rFonts w:ascii="Times New Roman" w:hAnsi="Times New Roman" w:cs="Times New Roman"/>
                <w:sz w:val="24"/>
                <w:szCs w:val="24"/>
              </w:rPr>
            </w:pPr>
            <w:r w:rsidRPr="003469A0">
              <w:rPr>
                <w:rFonts w:ascii="Times New Roman" w:hAnsi="Times New Roman" w:cs="Times New Roman"/>
                <w:b/>
                <w:i/>
                <w:sz w:val="24"/>
                <w:szCs w:val="24"/>
              </w:rPr>
              <w:t>Phoenix dactylifera</w:t>
            </w:r>
            <w:r w:rsidRPr="003469A0">
              <w:rPr>
                <w:rFonts w:ascii="Times New Roman" w:hAnsi="Times New Roman" w:cs="Times New Roman"/>
                <w:b/>
                <w:sz w:val="24"/>
                <w:szCs w:val="24"/>
              </w:rPr>
              <w:t xml:space="preserve"> fruit</w:t>
            </w:r>
            <w:r w:rsidRPr="003469A0">
              <w:rPr>
                <w:rFonts w:ascii="Times New Roman" w:hAnsi="Times New Roman" w:cs="Times New Roman"/>
                <w:b/>
                <w:i/>
                <w:sz w:val="24"/>
                <w:szCs w:val="24"/>
              </w:rPr>
              <w:t xml:space="preserve"> </w:t>
            </w:r>
            <w:r w:rsidRPr="003469A0">
              <w:rPr>
                <w:rFonts w:ascii="Times New Roman" w:hAnsi="Times New Roman" w:cs="Times New Roman"/>
                <w:b/>
                <w:sz w:val="24"/>
                <w:szCs w:val="24"/>
              </w:rPr>
              <w:t>(%)</w:t>
            </w:r>
          </w:p>
        </w:tc>
      </w:tr>
      <w:tr w:rsidR="003469A0" w:rsidRPr="003469A0" w14:paraId="555D2DAC" w14:textId="77777777" w:rsidTr="00C90038">
        <w:tc>
          <w:tcPr>
            <w:tcW w:w="4788" w:type="dxa"/>
            <w:tcBorders>
              <w:bottom w:val="nil"/>
            </w:tcBorders>
          </w:tcPr>
          <w:p w14:paraId="21237EEB" w14:textId="77777777" w:rsidR="006A35E4" w:rsidRPr="003469A0" w:rsidRDefault="006A35E4" w:rsidP="00C90038">
            <w:pPr>
              <w:spacing w:before="240" w:line="276" w:lineRule="auto"/>
              <w:rPr>
                <w:rFonts w:ascii="Times New Roman" w:hAnsi="Times New Roman" w:cs="Times New Roman"/>
                <w:sz w:val="24"/>
                <w:szCs w:val="24"/>
              </w:rPr>
            </w:pPr>
            <w:r w:rsidRPr="003469A0">
              <w:rPr>
                <w:rFonts w:ascii="Times New Roman" w:hAnsi="Times New Roman" w:cs="Times New Roman"/>
                <w:sz w:val="24"/>
                <w:szCs w:val="24"/>
              </w:rPr>
              <w:t xml:space="preserve">Tannins </w:t>
            </w:r>
          </w:p>
        </w:tc>
        <w:tc>
          <w:tcPr>
            <w:tcW w:w="4788" w:type="dxa"/>
            <w:tcBorders>
              <w:bottom w:val="nil"/>
            </w:tcBorders>
          </w:tcPr>
          <w:p w14:paraId="69C8BF3B" w14:textId="77777777" w:rsidR="006A35E4" w:rsidRPr="003469A0" w:rsidRDefault="006A35E4" w:rsidP="00C90038">
            <w:pPr>
              <w:spacing w:before="240" w:line="276" w:lineRule="auto"/>
              <w:rPr>
                <w:rFonts w:ascii="Times New Roman" w:hAnsi="Times New Roman" w:cs="Times New Roman"/>
                <w:sz w:val="24"/>
                <w:szCs w:val="24"/>
              </w:rPr>
            </w:pPr>
            <w:r w:rsidRPr="003469A0">
              <w:rPr>
                <w:rFonts w:ascii="Times New Roman" w:hAnsi="Times New Roman" w:cs="Times New Roman"/>
                <w:sz w:val="24"/>
                <w:szCs w:val="24"/>
              </w:rPr>
              <w:t>0.92±</w:t>
            </w:r>
            <w:r w:rsidRPr="003469A0">
              <w:rPr>
                <w:rFonts w:ascii="Times New Roman" w:eastAsia="SimSun" w:hAnsi="Times New Roman" w:cs="Times New Roman"/>
                <w:sz w:val="24"/>
                <w:szCs w:val="24"/>
              </w:rPr>
              <w:t>0.20</w:t>
            </w:r>
          </w:p>
        </w:tc>
      </w:tr>
      <w:tr w:rsidR="003469A0" w:rsidRPr="003469A0" w14:paraId="149585B5" w14:textId="77777777" w:rsidTr="00C90038">
        <w:tc>
          <w:tcPr>
            <w:tcW w:w="4788" w:type="dxa"/>
            <w:tcBorders>
              <w:top w:val="nil"/>
              <w:bottom w:val="nil"/>
            </w:tcBorders>
          </w:tcPr>
          <w:p w14:paraId="72AE0742" w14:textId="77777777" w:rsidR="006A35E4" w:rsidRPr="003469A0" w:rsidRDefault="006A35E4" w:rsidP="00C90038">
            <w:pPr>
              <w:spacing w:before="240" w:line="276" w:lineRule="auto"/>
              <w:rPr>
                <w:rFonts w:ascii="Times New Roman" w:hAnsi="Times New Roman" w:cs="Times New Roman"/>
                <w:sz w:val="24"/>
                <w:szCs w:val="24"/>
              </w:rPr>
            </w:pPr>
            <w:r w:rsidRPr="003469A0">
              <w:rPr>
                <w:rFonts w:ascii="Times New Roman" w:hAnsi="Times New Roman" w:cs="Times New Roman"/>
                <w:sz w:val="24"/>
                <w:szCs w:val="24"/>
              </w:rPr>
              <w:t xml:space="preserve">Saponins </w:t>
            </w:r>
          </w:p>
        </w:tc>
        <w:tc>
          <w:tcPr>
            <w:tcW w:w="4788" w:type="dxa"/>
            <w:tcBorders>
              <w:top w:val="nil"/>
              <w:bottom w:val="nil"/>
            </w:tcBorders>
          </w:tcPr>
          <w:p w14:paraId="19595EC6" w14:textId="77777777" w:rsidR="006A35E4" w:rsidRPr="003469A0" w:rsidRDefault="006A35E4" w:rsidP="00C90038">
            <w:pPr>
              <w:spacing w:before="240" w:line="276" w:lineRule="auto"/>
              <w:rPr>
                <w:rFonts w:ascii="Times New Roman" w:hAnsi="Times New Roman" w:cs="Times New Roman"/>
                <w:sz w:val="24"/>
                <w:szCs w:val="24"/>
              </w:rPr>
            </w:pPr>
            <w:r w:rsidRPr="003469A0">
              <w:rPr>
                <w:rFonts w:ascii="Times New Roman" w:hAnsi="Times New Roman" w:cs="Times New Roman"/>
                <w:sz w:val="24"/>
                <w:szCs w:val="24"/>
              </w:rPr>
              <w:t>5.25±</w:t>
            </w:r>
            <w:r w:rsidRPr="003469A0">
              <w:rPr>
                <w:rFonts w:ascii="Times New Roman" w:eastAsia="SimSun" w:hAnsi="Times New Roman" w:cs="Times New Roman"/>
                <w:sz w:val="24"/>
                <w:szCs w:val="24"/>
              </w:rPr>
              <w:t>0.05</w:t>
            </w:r>
          </w:p>
        </w:tc>
      </w:tr>
      <w:tr w:rsidR="003469A0" w:rsidRPr="003469A0" w14:paraId="6F3B5771" w14:textId="77777777" w:rsidTr="00C90038">
        <w:tc>
          <w:tcPr>
            <w:tcW w:w="4788" w:type="dxa"/>
            <w:tcBorders>
              <w:top w:val="nil"/>
              <w:bottom w:val="nil"/>
            </w:tcBorders>
          </w:tcPr>
          <w:p w14:paraId="473737F0" w14:textId="77777777" w:rsidR="006A35E4" w:rsidRPr="003469A0" w:rsidRDefault="006A35E4" w:rsidP="00C90038">
            <w:pPr>
              <w:spacing w:before="240" w:line="276" w:lineRule="auto"/>
              <w:rPr>
                <w:rFonts w:ascii="Times New Roman" w:hAnsi="Times New Roman" w:cs="Times New Roman"/>
                <w:sz w:val="24"/>
                <w:szCs w:val="24"/>
              </w:rPr>
            </w:pPr>
            <w:r w:rsidRPr="003469A0">
              <w:rPr>
                <w:rFonts w:ascii="Times New Roman" w:hAnsi="Times New Roman" w:cs="Times New Roman"/>
                <w:sz w:val="24"/>
                <w:szCs w:val="24"/>
              </w:rPr>
              <w:t xml:space="preserve">Alkaloids </w:t>
            </w:r>
          </w:p>
        </w:tc>
        <w:tc>
          <w:tcPr>
            <w:tcW w:w="4788" w:type="dxa"/>
            <w:tcBorders>
              <w:top w:val="nil"/>
              <w:bottom w:val="nil"/>
            </w:tcBorders>
          </w:tcPr>
          <w:p w14:paraId="2C69BB18" w14:textId="77777777" w:rsidR="006A35E4" w:rsidRPr="003469A0" w:rsidRDefault="006A35E4" w:rsidP="00C90038">
            <w:pPr>
              <w:spacing w:before="240" w:line="276" w:lineRule="auto"/>
              <w:rPr>
                <w:rFonts w:ascii="Times New Roman" w:hAnsi="Times New Roman" w:cs="Times New Roman"/>
                <w:sz w:val="24"/>
                <w:szCs w:val="24"/>
              </w:rPr>
            </w:pPr>
            <w:r w:rsidRPr="003469A0">
              <w:rPr>
                <w:rFonts w:ascii="Times New Roman" w:hAnsi="Times New Roman" w:cs="Times New Roman"/>
                <w:sz w:val="24"/>
                <w:szCs w:val="24"/>
              </w:rPr>
              <w:t>4.68±</w:t>
            </w:r>
            <w:r w:rsidRPr="003469A0">
              <w:rPr>
                <w:rFonts w:ascii="Times New Roman" w:eastAsia="SimSun" w:hAnsi="Times New Roman" w:cs="Times New Roman"/>
                <w:sz w:val="24"/>
                <w:szCs w:val="24"/>
              </w:rPr>
              <w:t>0.06</w:t>
            </w:r>
          </w:p>
        </w:tc>
      </w:tr>
      <w:tr w:rsidR="003469A0" w:rsidRPr="003469A0" w14:paraId="462F6FE4" w14:textId="77777777" w:rsidTr="00C90038">
        <w:tc>
          <w:tcPr>
            <w:tcW w:w="4788" w:type="dxa"/>
            <w:tcBorders>
              <w:top w:val="nil"/>
              <w:bottom w:val="nil"/>
            </w:tcBorders>
          </w:tcPr>
          <w:p w14:paraId="52966E14" w14:textId="77777777" w:rsidR="006A35E4" w:rsidRPr="003469A0" w:rsidRDefault="006A35E4" w:rsidP="00C90038">
            <w:pPr>
              <w:spacing w:before="240" w:line="276" w:lineRule="auto"/>
              <w:rPr>
                <w:rFonts w:ascii="Times New Roman" w:hAnsi="Times New Roman" w:cs="Times New Roman"/>
                <w:sz w:val="24"/>
                <w:szCs w:val="24"/>
              </w:rPr>
            </w:pPr>
            <w:r w:rsidRPr="003469A0">
              <w:rPr>
                <w:rFonts w:ascii="Times New Roman" w:hAnsi="Times New Roman" w:cs="Times New Roman"/>
                <w:sz w:val="24"/>
                <w:szCs w:val="24"/>
              </w:rPr>
              <w:t xml:space="preserve">Flavonoids </w:t>
            </w:r>
          </w:p>
        </w:tc>
        <w:tc>
          <w:tcPr>
            <w:tcW w:w="4788" w:type="dxa"/>
            <w:tcBorders>
              <w:top w:val="nil"/>
              <w:bottom w:val="nil"/>
            </w:tcBorders>
          </w:tcPr>
          <w:p w14:paraId="7009E1FC" w14:textId="77777777" w:rsidR="006A35E4" w:rsidRPr="003469A0" w:rsidRDefault="006A35E4" w:rsidP="00C90038">
            <w:pPr>
              <w:spacing w:before="240" w:line="276" w:lineRule="auto"/>
              <w:rPr>
                <w:rFonts w:ascii="Times New Roman" w:hAnsi="Times New Roman" w:cs="Times New Roman"/>
                <w:sz w:val="24"/>
                <w:szCs w:val="24"/>
              </w:rPr>
            </w:pPr>
            <w:r w:rsidRPr="003469A0">
              <w:rPr>
                <w:rFonts w:ascii="Times New Roman" w:hAnsi="Times New Roman" w:cs="Times New Roman"/>
                <w:sz w:val="24"/>
                <w:szCs w:val="24"/>
              </w:rPr>
              <w:t>14.64±</w:t>
            </w:r>
            <w:r w:rsidRPr="003469A0">
              <w:rPr>
                <w:rFonts w:ascii="Times New Roman" w:eastAsia="SimSun" w:hAnsi="Times New Roman" w:cs="Times New Roman"/>
                <w:sz w:val="24"/>
                <w:szCs w:val="24"/>
              </w:rPr>
              <w:t>0.22</w:t>
            </w:r>
          </w:p>
        </w:tc>
      </w:tr>
      <w:tr w:rsidR="003469A0" w:rsidRPr="003469A0" w14:paraId="666B1582" w14:textId="77777777" w:rsidTr="00C90038">
        <w:tc>
          <w:tcPr>
            <w:tcW w:w="4788" w:type="dxa"/>
            <w:tcBorders>
              <w:top w:val="nil"/>
              <w:bottom w:val="nil"/>
            </w:tcBorders>
          </w:tcPr>
          <w:p w14:paraId="24E454AC" w14:textId="77777777" w:rsidR="006A35E4" w:rsidRPr="003469A0" w:rsidRDefault="006A35E4" w:rsidP="00C90038">
            <w:pPr>
              <w:spacing w:before="240" w:line="276" w:lineRule="auto"/>
              <w:rPr>
                <w:rFonts w:ascii="Times New Roman" w:hAnsi="Times New Roman" w:cs="Times New Roman"/>
                <w:sz w:val="24"/>
                <w:szCs w:val="24"/>
              </w:rPr>
            </w:pPr>
            <w:r w:rsidRPr="003469A0">
              <w:rPr>
                <w:rFonts w:ascii="Times New Roman" w:hAnsi="Times New Roman" w:cs="Times New Roman"/>
                <w:sz w:val="24"/>
                <w:szCs w:val="24"/>
              </w:rPr>
              <w:t xml:space="preserve">HCN </w:t>
            </w:r>
          </w:p>
        </w:tc>
        <w:tc>
          <w:tcPr>
            <w:tcW w:w="4788" w:type="dxa"/>
            <w:tcBorders>
              <w:top w:val="nil"/>
              <w:bottom w:val="nil"/>
            </w:tcBorders>
          </w:tcPr>
          <w:p w14:paraId="669111F7" w14:textId="77777777" w:rsidR="006A35E4" w:rsidRPr="003469A0" w:rsidRDefault="006A35E4" w:rsidP="00C90038">
            <w:pPr>
              <w:spacing w:before="240" w:line="276" w:lineRule="auto"/>
              <w:rPr>
                <w:rFonts w:ascii="Times New Roman" w:hAnsi="Times New Roman" w:cs="Times New Roman"/>
                <w:sz w:val="24"/>
                <w:szCs w:val="24"/>
              </w:rPr>
            </w:pPr>
            <w:r w:rsidRPr="003469A0">
              <w:rPr>
                <w:rFonts w:ascii="Times New Roman" w:hAnsi="Times New Roman" w:cs="Times New Roman"/>
                <w:sz w:val="24"/>
                <w:szCs w:val="24"/>
              </w:rPr>
              <w:t>0.01±</w:t>
            </w:r>
            <w:r w:rsidRPr="003469A0">
              <w:rPr>
                <w:rFonts w:ascii="Times New Roman" w:eastAsia="SimSun" w:hAnsi="Times New Roman" w:cs="Times New Roman"/>
                <w:sz w:val="24"/>
                <w:szCs w:val="24"/>
              </w:rPr>
              <w:t>0.00</w:t>
            </w:r>
          </w:p>
        </w:tc>
      </w:tr>
      <w:tr w:rsidR="003469A0" w:rsidRPr="003469A0" w14:paraId="66623E0E" w14:textId="77777777" w:rsidTr="00C90038">
        <w:tc>
          <w:tcPr>
            <w:tcW w:w="4788" w:type="dxa"/>
            <w:tcBorders>
              <w:top w:val="nil"/>
              <w:bottom w:val="nil"/>
            </w:tcBorders>
          </w:tcPr>
          <w:p w14:paraId="352501D5" w14:textId="77777777" w:rsidR="006A35E4" w:rsidRPr="003469A0" w:rsidRDefault="006A35E4" w:rsidP="00C90038">
            <w:pPr>
              <w:spacing w:before="240" w:line="276" w:lineRule="auto"/>
              <w:rPr>
                <w:rFonts w:ascii="Times New Roman" w:hAnsi="Times New Roman" w:cs="Times New Roman"/>
                <w:sz w:val="24"/>
                <w:szCs w:val="24"/>
              </w:rPr>
            </w:pPr>
            <w:r w:rsidRPr="003469A0">
              <w:rPr>
                <w:rFonts w:ascii="Times New Roman" w:hAnsi="Times New Roman" w:cs="Times New Roman"/>
                <w:sz w:val="24"/>
                <w:szCs w:val="24"/>
              </w:rPr>
              <w:t xml:space="preserve">Oxalate content </w:t>
            </w:r>
          </w:p>
        </w:tc>
        <w:tc>
          <w:tcPr>
            <w:tcW w:w="4788" w:type="dxa"/>
            <w:tcBorders>
              <w:top w:val="nil"/>
              <w:bottom w:val="nil"/>
            </w:tcBorders>
          </w:tcPr>
          <w:p w14:paraId="67C4078B" w14:textId="77777777" w:rsidR="006A35E4" w:rsidRPr="003469A0" w:rsidRDefault="006A35E4" w:rsidP="00C90038">
            <w:pPr>
              <w:spacing w:before="240" w:line="276" w:lineRule="auto"/>
              <w:rPr>
                <w:rFonts w:ascii="Times New Roman" w:hAnsi="Times New Roman" w:cs="Times New Roman"/>
                <w:sz w:val="24"/>
                <w:szCs w:val="24"/>
              </w:rPr>
            </w:pPr>
            <w:r w:rsidRPr="003469A0">
              <w:rPr>
                <w:rFonts w:ascii="Times New Roman" w:hAnsi="Times New Roman" w:cs="Times New Roman"/>
                <w:sz w:val="24"/>
                <w:szCs w:val="24"/>
              </w:rPr>
              <w:t>3.18±</w:t>
            </w:r>
            <w:r w:rsidRPr="003469A0">
              <w:rPr>
                <w:rFonts w:ascii="Times New Roman" w:eastAsia="SimSun" w:hAnsi="Times New Roman" w:cs="Times New Roman"/>
                <w:sz w:val="24"/>
                <w:szCs w:val="24"/>
              </w:rPr>
              <w:t>0.03</w:t>
            </w:r>
          </w:p>
        </w:tc>
      </w:tr>
      <w:tr w:rsidR="003469A0" w:rsidRPr="003469A0" w14:paraId="2C8D470E" w14:textId="77777777" w:rsidTr="00C90038">
        <w:tc>
          <w:tcPr>
            <w:tcW w:w="4788" w:type="dxa"/>
            <w:tcBorders>
              <w:top w:val="nil"/>
            </w:tcBorders>
          </w:tcPr>
          <w:p w14:paraId="61F381C4" w14:textId="77777777" w:rsidR="006A35E4" w:rsidRPr="003469A0" w:rsidRDefault="006A35E4" w:rsidP="00C90038">
            <w:pPr>
              <w:spacing w:before="240" w:line="276" w:lineRule="auto"/>
            </w:pPr>
            <w:r w:rsidRPr="003469A0">
              <w:rPr>
                <w:rFonts w:ascii="Times New Roman" w:hAnsi="Times New Roman" w:cs="Times New Roman"/>
                <w:sz w:val="24"/>
                <w:szCs w:val="24"/>
              </w:rPr>
              <w:t xml:space="preserve">Phenol content </w:t>
            </w:r>
          </w:p>
        </w:tc>
        <w:tc>
          <w:tcPr>
            <w:tcW w:w="4788" w:type="dxa"/>
            <w:tcBorders>
              <w:top w:val="nil"/>
            </w:tcBorders>
          </w:tcPr>
          <w:p w14:paraId="55C61E82" w14:textId="77777777" w:rsidR="006A35E4" w:rsidRPr="003469A0" w:rsidRDefault="006A35E4" w:rsidP="00C90038">
            <w:pPr>
              <w:spacing w:before="240" w:line="276" w:lineRule="auto"/>
            </w:pPr>
            <w:r w:rsidRPr="003469A0">
              <w:rPr>
                <w:rFonts w:ascii="Times New Roman" w:hAnsi="Times New Roman" w:cs="Times New Roman"/>
                <w:sz w:val="24"/>
                <w:szCs w:val="24"/>
              </w:rPr>
              <w:t>10.50±</w:t>
            </w:r>
            <w:r w:rsidRPr="003469A0">
              <w:rPr>
                <w:rFonts w:ascii="Times New Roman" w:eastAsia="SimSun" w:hAnsi="Times New Roman" w:cs="Times New Roman"/>
                <w:sz w:val="24"/>
                <w:szCs w:val="24"/>
              </w:rPr>
              <w:t>0.12</w:t>
            </w:r>
          </w:p>
        </w:tc>
      </w:tr>
    </w:tbl>
    <w:p w14:paraId="42EBB828" w14:textId="77777777" w:rsidR="006A35E4" w:rsidRPr="003469A0" w:rsidRDefault="006A35E4" w:rsidP="006A35E4">
      <w:pPr>
        <w:tabs>
          <w:tab w:val="left" w:pos="3135"/>
        </w:tabs>
        <w:spacing w:line="480" w:lineRule="auto"/>
        <w:jc w:val="both"/>
        <w:rPr>
          <w:rFonts w:ascii="Times New Roman" w:hAnsi="Times New Roman" w:cs="Times New Roman"/>
          <w:sz w:val="20"/>
          <w:szCs w:val="20"/>
        </w:rPr>
      </w:pPr>
      <w:r w:rsidRPr="003469A0">
        <w:rPr>
          <w:rFonts w:ascii="Times New Roman" w:hAnsi="Times New Roman" w:cs="Times New Roman"/>
          <w:iCs/>
          <w:sz w:val="20"/>
          <w:szCs w:val="20"/>
        </w:rPr>
        <w:t>Values are Mean ± SD of triplicate determinations. n=3.</w:t>
      </w:r>
    </w:p>
    <w:p w14:paraId="6804A8BA" w14:textId="77777777" w:rsidR="00A059E0" w:rsidRPr="003469A0" w:rsidRDefault="006A35E4" w:rsidP="00A059E0">
      <w:pPr>
        <w:spacing w:line="480" w:lineRule="auto"/>
        <w:rPr>
          <w:rFonts w:ascii="Times New Roman" w:hAnsi="Times New Roman" w:cs="Times New Roman"/>
          <w:b/>
          <w:sz w:val="24"/>
          <w:szCs w:val="24"/>
        </w:rPr>
      </w:pPr>
      <w:r w:rsidRPr="003469A0">
        <w:rPr>
          <w:rFonts w:ascii="Times New Roman" w:hAnsi="Times New Roman" w:cs="Times New Roman"/>
          <w:b/>
          <w:sz w:val="24"/>
          <w:szCs w:val="24"/>
        </w:rPr>
        <w:t>Results of pilot study</w:t>
      </w:r>
      <w:r w:rsidR="00A059E0" w:rsidRPr="003469A0">
        <w:rPr>
          <w:noProof/>
          <w:lang w:val="en-IN" w:eastAsia="en-IN"/>
        </w:rPr>
        <w:drawing>
          <wp:inline distT="0" distB="0" distL="0" distR="0" wp14:anchorId="11D3840A" wp14:editId="7A7D2C5A">
            <wp:extent cx="4572000" cy="22098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5C9CB61" w14:textId="77777777" w:rsidR="000328AB" w:rsidRPr="003469A0" w:rsidRDefault="000328AB" w:rsidP="00A059E0">
      <w:pPr>
        <w:spacing w:line="480" w:lineRule="auto"/>
        <w:rPr>
          <w:rFonts w:ascii="Times New Roman" w:hAnsi="Times New Roman" w:cs="Times New Roman"/>
          <w:sz w:val="20"/>
          <w:szCs w:val="20"/>
        </w:rPr>
      </w:pPr>
      <w:r w:rsidRPr="003469A0">
        <w:rPr>
          <w:rFonts w:ascii="Times New Roman" w:hAnsi="Times New Roman" w:cs="Times New Roman"/>
          <w:b/>
          <w:sz w:val="20"/>
          <w:szCs w:val="20"/>
        </w:rPr>
        <w:t>Figure 1A:</w:t>
      </w:r>
      <w:r w:rsidRPr="003469A0">
        <w:rPr>
          <w:rFonts w:ascii="Times New Roman" w:hAnsi="Times New Roman" w:cs="Times New Roman"/>
          <w:sz w:val="20"/>
          <w:szCs w:val="20"/>
        </w:rPr>
        <w:t xml:space="preserve"> Pilot study showing the dose that gave effective treatment on birth weight for </w:t>
      </w:r>
      <w:r w:rsidRPr="003469A0">
        <w:rPr>
          <w:rFonts w:ascii="Times New Roman" w:hAnsi="Times New Roman" w:cs="Times New Roman"/>
          <w:i/>
          <w:sz w:val="20"/>
          <w:szCs w:val="20"/>
        </w:rPr>
        <w:t>Phoenix dactylifera</w:t>
      </w:r>
      <w:r w:rsidRPr="003469A0">
        <w:rPr>
          <w:rFonts w:ascii="Times New Roman" w:hAnsi="Times New Roman" w:cs="Times New Roman"/>
          <w:sz w:val="20"/>
          <w:szCs w:val="20"/>
        </w:rPr>
        <w:t xml:space="preserve"> fruit extract</w:t>
      </w:r>
    </w:p>
    <w:p w14:paraId="798BF99D" w14:textId="77777777" w:rsidR="000328AB" w:rsidRPr="003469A0" w:rsidRDefault="000328AB" w:rsidP="000328AB">
      <w:pPr>
        <w:spacing w:line="480" w:lineRule="auto"/>
        <w:jc w:val="both"/>
        <w:rPr>
          <w:rFonts w:ascii="Times New Roman" w:hAnsi="Times New Roman" w:cs="Times New Roman"/>
          <w:sz w:val="24"/>
          <w:szCs w:val="24"/>
        </w:rPr>
      </w:pPr>
      <w:r w:rsidRPr="003469A0">
        <w:rPr>
          <w:noProof/>
          <w:lang w:val="en-IN" w:eastAsia="en-IN"/>
        </w:rPr>
        <w:lastRenderedPageBreak/>
        <w:drawing>
          <wp:inline distT="0" distB="0" distL="0" distR="0" wp14:anchorId="2F1B65CB" wp14:editId="491CE234">
            <wp:extent cx="4333875" cy="231457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9F3F0C7" w14:textId="77777777" w:rsidR="000328AB" w:rsidRPr="003469A0" w:rsidRDefault="000328AB" w:rsidP="00A059E0">
      <w:pPr>
        <w:spacing w:after="0" w:line="240" w:lineRule="auto"/>
        <w:jc w:val="both"/>
        <w:rPr>
          <w:rFonts w:ascii="Times New Roman" w:hAnsi="Times New Roman" w:cs="Times New Roman"/>
          <w:sz w:val="20"/>
          <w:szCs w:val="20"/>
        </w:rPr>
      </w:pPr>
      <w:r w:rsidRPr="003469A0">
        <w:rPr>
          <w:rFonts w:ascii="Times New Roman" w:hAnsi="Times New Roman" w:cs="Times New Roman"/>
          <w:b/>
          <w:sz w:val="20"/>
          <w:szCs w:val="20"/>
        </w:rPr>
        <w:t>Figure 1B:</w:t>
      </w:r>
      <w:r w:rsidRPr="003469A0">
        <w:rPr>
          <w:rFonts w:ascii="Times New Roman" w:hAnsi="Times New Roman" w:cs="Times New Roman"/>
          <w:sz w:val="20"/>
          <w:szCs w:val="20"/>
        </w:rPr>
        <w:t xml:space="preserve"> Pilot study showing the dose that gave effective treatment on number of live pups for </w:t>
      </w:r>
      <w:r w:rsidRPr="003469A0">
        <w:rPr>
          <w:rFonts w:ascii="Times New Roman" w:hAnsi="Times New Roman" w:cs="Times New Roman"/>
          <w:i/>
          <w:sz w:val="20"/>
          <w:szCs w:val="20"/>
        </w:rPr>
        <w:t>Phoenix dactylifera</w:t>
      </w:r>
      <w:r w:rsidRPr="003469A0">
        <w:rPr>
          <w:rFonts w:ascii="Times New Roman" w:hAnsi="Times New Roman" w:cs="Times New Roman"/>
          <w:sz w:val="20"/>
          <w:szCs w:val="20"/>
        </w:rPr>
        <w:t xml:space="preserve"> fruit extract</w:t>
      </w:r>
    </w:p>
    <w:p w14:paraId="6E68B5C4" w14:textId="77777777" w:rsidR="00A059E0" w:rsidRPr="003469A0" w:rsidRDefault="00A059E0" w:rsidP="00FE7EF3">
      <w:pPr>
        <w:spacing w:after="0" w:line="360" w:lineRule="auto"/>
        <w:jc w:val="both"/>
        <w:rPr>
          <w:rFonts w:ascii="Times New Roman" w:hAnsi="Times New Roman" w:cs="Times New Roman"/>
          <w:b/>
          <w:sz w:val="24"/>
          <w:szCs w:val="24"/>
        </w:rPr>
      </w:pPr>
    </w:p>
    <w:p w14:paraId="4212183D" w14:textId="77777777" w:rsidR="00A059E0" w:rsidRPr="003469A0" w:rsidRDefault="00A059E0" w:rsidP="00FE7EF3">
      <w:pPr>
        <w:spacing w:after="0" w:line="360" w:lineRule="auto"/>
        <w:jc w:val="both"/>
        <w:rPr>
          <w:rFonts w:ascii="Times New Roman" w:hAnsi="Times New Roman" w:cs="Times New Roman"/>
          <w:b/>
          <w:sz w:val="24"/>
          <w:szCs w:val="24"/>
        </w:rPr>
      </w:pPr>
    </w:p>
    <w:p w14:paraId="4B38B5B3" w14:textId="77777777" w:rsidR="00FE7EF3" w:rsidRPr="003469A0" w:rsidRDefault="006A35E4" w:rsidP="00FE7EF3">
      <w:pPr>
        <w:spacing w:after="0" w:line="360" w:lineRule="auto"/>
        <w:jc w:val="both"/>
        <w:rPr>
          <w:rFonts w:ascii="Times New Roman" w:hAnsi="Times New Roman" w:cs="Times New Roman"/>
          <w:b/>
          <w:sz w:val="24"/>
          <w:szCs w:val="24"/>
        </w:rPr>
      </w:pPr>
      <w:r w:rsidRPr="003469A0">
        <w:rPr>
          <w:rFonts w:ascii="Times New Roman" w:hAnsi="Times New Roman" w:cs="Times New Roman"/>
          <w:b/>
          <w:sz w:val="24"/>
          <w:szCs w:val="24"/>
        </w:rPr>
        <w:t xml:space="preserve">Effects of </w:t>
      </w:r>
      <w:r w:rsidRPr="003469A0">
        <w:rPr>
          <w:rFonts w:ascii="Times New Roman" w:hAnsi="Times New Roman" w:cs="Times New Roman"/>
          <w:b/>
          <w:i/>
          <w:sz w:val="24"/>
          <w:szCs w:val="24"/>
        </w:rPr>
        <w:t>Phoenix dactylifera</w:t>
      </w:r>
      <w:r w:rsidRPr="003469A0">
        <w:rPr>
          <w:rFonts w:ascii="Times New Roman" w:hAnsi="Times New Roman" w:cs="Times New Roman"/>
          <w:b/>
          <w:sz w:val="24"/>
          <w:szCs w:val="24"/>
        </w:rPr>
        <w:t xml:space="preserve"> fruit Extract on Liver Function Parameters</w:t>
      </w:r>
    </w:p>
    <w:p w14:paraId="599F7030" w14:textId="77777777" w:rsidR="00FE7EF3" w:rsidRPr="003469A0" w:rsidRDefault="00FE7EF3" w:rsidP="00FE7EF3">
      <w:pPr>
        <w:spacing w:line="360" w:lineRule="auto"/>
        <w:jc w:val="both"/>
        <w:rPr>
          <w:rFonts w:ascii="Times New Roman" w:hAnsi="Times New Roman" w:cs="Times New Roman"/>
          <w:b/>
          <w:sz w:val="28"/>
          <w:szCs w:val="28"/>
        </w:rPr>
      </w:pPr>
      <w:r w:rsidRPr="003469A0">
        <w:rPr>
          <w:noProof/>
          <w:lang w:val="en-IN" w:eastAsia="en-IN"/>
        </w:rPr>
        <w:drawing>
          <wp:inline distT="0" distB="0" distL="0" distR="0" wp14:anchorId="741ECD56" wp14:editId="5CB86463">
            <wp:extent cx="4600575" cy="2343150"/>
            <wp:effectExtent l="0" t="0" r="9525"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49FCB4F" w14:textId="77777777" w:rsidR="00FE7EF3" w:rsidRPr="003469A0" w:rsidRDefault="00FE7EF3" w:rsidP="00FE7EF3">
      <w:pPr>
        <w:autoSpaceDE w:val="0"/>
        <w:autoSpaceDN w:val="0"/>
        <w:adjustRightInd w:val="0"/>
        <w:spacing w:after="0"/>
        <w:jc w:val="both"/>
        <w:rPr>
          <w:rFonts w:ascii="Times New Roman" w:hAnsi="Times New Roman" w:cs="Times New Roman"/>
          <w:sz w:val="20"/>
          <w:szCs w:val="20"/>
        </w:rPr>
      </w:pPr>
      <w:r w:rsidRPr="003469A0">
        <w:rPr>
          <w:rFonts w:ascii="Times New Roman" w:hAnsi="Times New Roman" w:cs="Times New Roman"/>
          <w:sz w:val="20"/>
          <w:szCs w:val="20"/>
        </w:rPr>
        <w:t>Values are (M±S.D) of four determinations (n=4). Bars bearing different superscript letters (a, b) are significantly different (p&lt;0.05) when compared to Groups I and II.</w:t>
      </w:r>
    </w:p>
    <w:p w14:paraId="114788CB" w14:textId="77777777" w:rsidR="00FE7EF3" w:rsidRPr="003469A0" w:rsidRDefault="00FE7EF3" w:rsidP="00FE7EF3">
      <w:pPr>
        <w:jc w:val="both"/>
        <w:rPr>
          <w:rFonts w:ascii="Times New Roman" w:hAnsi="Times New Roman" w:cs="Times New Roman"/>
          <w:sz w:val="20"/>
          <w:szCs w:val="20"/>
        </w:rPr>
      </w:pPr>
      <w:r w:rsidRPr="003469A0">
        <w:rPr>
          <w:rFonts w:ascii="Times New Roman" w:hAnsi="Times New Roman" w:cs="Times New Roman"/>
          <w:sz w:val="20"/>
          <w:szCs w:val="20"/>
        </w:rPr>
        <w:t xml:space="preserve">N/B- ALT- Alanine aminotransferase; u/L- </w:t>
      </w:r>
      <w:r w:rsidRPr="003469A0">
        <w:rPr>
          <w:rStyle w:val="hgkelc"/>
          <w:rFonts w:ascii="Times New Roman" w:hAnsi="Times New Roman" w:cs="Times New Roman"/>
          <w:bCs/>
          <w:sz w:val="20"/>
          <w:szCs w:val="20"/>
          <w:lang w:val="en"/>
        </w:rPr>
        <w:t>units per litre.</w:t>
      </w:r>
    </w:p>
    <w:p w14:paraId="0057873A" w14:textId="77777777" w:rsidR="00A059E0" w:rsidRPr="003469A0" w:rsidRDefault="00A059E0" w:rsidP="00A059E0">
      <w:pPr>
        <w:spacing w:line="360" w:lineRule="auto"/>
        <w:jc w:val="both"/>
        <w:rPr>
          <w:rFonts w:ascii="Times New Roman" w:hAnsi="Times New Roman" w:cs="Times New Roman"/>
          <w:sz w:val="24"/>
          <w:szCs w:val="24"/>
        </w:rPr>
      </w:pPr>
      <w:r w:rsidRPr="003469A0">
        <w:rPr>
          <w:rFonts w:ascii="Times New Roman" w:hAnsi="Times New Roman" w:cs="Times New Roman"/>
          <w:b/>
          <w:sz w:val="24"/>
          <w:szCs w:val="24"/>
        </w:rPr>
        <w:t>Figure 2:</w:t>
      </w:r>
      <w:r w:rsidRPr="003469A0">
        <w:rPr>
          <w:rFonts w:ascii="Times New Roman" w:hAnsi="Times New Roman" w:cs="Times New Roman"/>
          <w:sz w:val="24"/>
          <w:szCs w:val="24"/>
        </w:rPr>
        <w:t xml:space="preserve"> ALT Concentrations of Preeclampsia-Induced Albino Rats Treated with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w:t>
      </w:r>
    </w:p>
    <w:p w14:paraId="38EB6761" w14:textId="77777777" w:rsidR="00FE7EF3" w:rsidRPr="003469A0" w:rsidRDefault="00FE7EF3" w:rsidP="00FE7EF3">
      <w:pPr>
        <w:autoSpaceDE w:val="0"/>
        <w:autoSpaceDN w:val="0"/>
        <w:adjustRightInd w:val="0"/>
        <w:spacing w:after="0" w:line="480" w:lineRule="auto"/>
        <w:jc w:val="both"/>
        <w:rPr>
          <w:rFonts w:ascii="Times New Roman" w:hAnsi="Times New Roman" w:cs="Times New Roman"/>
          <w:sz w:val="24"/>
          <w:szCs w:val="24"/>
        </w:rPr>
      </w:pPr>
    </w:p>
    <w:p w14:paraId="39E9CDA1" w14:textId="77777777" w:rsidR="00FE7EF3" w:rsidRPr="003469A0" w:rsidRDefault="00FE7EF3" w:rsidP="00FE7EF3">
      <w:pPr>
        <w:autoSpaceDE w:val="0"/>
        <w:autoSpaceDN w:val="0"/>
        <w:adjustRightInd w:val="0"/>
        <w:spacing w:after="0" w:line="480" w:lineRule="auto"/>
        <w:jc w:val="both"/>
        <w:rPr>
          <w:rFonts w:ascii="Times New Roman" w:hAnsi="Times New Roman" w:cs="Times New Roman"/>
          <w:sz w:val="24"/>
          <w:szCs w:val="24"/>
        </w:rPr>
      </w:pPr>
    </w:p>
    <w:p w14:paraId="59827619" w14:textId="77777777" w:rsidR="00FE7EF3" w:rsidRPr="003469A0" w:rsidRDefault="00FE7EF3" w:rsidP="00FE7EF3">
      <w:pPr>
        <w:autoSpaceDE w:val="0"/>
        <w:autoSpaceDN w:val="0"/>
        <w:adjustRightInd w:val="0"/>
        <w:spacing w:after="0" w:line="480" w:lineRule="auto"/>
        <w:jc w:val="both"/>
        <w:rPr>
          <w:rFonts w:ascii="Times New Roman" w:hAnsi="Times New Roman" w:cs="Times New Roman"/>
          <w:sz w:val="24"/>
          <w:szCs w:val="24"/>
        </w:rPr>
      </w:pPr>
    </w:p>
    <w:p w14:paraId="7CF98A66" w14:textId="77777777" w:rsidR="00FE7EF3" w:rsidRPr="003469A0" w:rsidRDefault="00FE7EF3" w:rsidP="00FE7EF3">
      <w:pPr>
        <w:autoSpaceDE w:val="0"/>
        <w:autoSpaceDN w:val="0"/>
        <w:adjustRightInd w:val="0"/>
        <w:spacing w:after="0" w:line="480" w:lineRule="auto"/>
        <w:jc w:val="both"/>
        <w:rPr>
          <w:rFonts w:ascii="Times New Roman" w:hAnsi="Times New Roman" w:cs="Times New Roman"/>
          <w:sz w:val="24"/>
          <w:szCs w:val="24"/>
        </w:rPr>
      </w:pPr>
      <w:r w:rsidRPr="003469A0">
        <w:rPr>
          <w:noProof/>
          <w:lang w:val="en-IN" w:eastAsia="en-IN"/>
        </w:rPr>
        <w:drawing>
          <wp:inline distT="0" distB="0" distL="0" distR="0" wp14:anchorId="28F00574" wp14:editId="1B0E04AA">
            <wp:extent cx="4648200" cy="2286000"/>
            <wp:effectExtent l="0" t="0" r="1905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C3F6BC9" w14:textId="77777777" w:rsidR="00FE7EF3" w:rsidRPr="003469A0" w:rsidRDefault="00FE7EF3" w:rsidP="00FE7EF3">
      <w:pPr>
        <w:autoSpaceDE w:val="0"/>
        <w:autoSpaceDN w:val="0"/>
        <w:adjustRightInd w:val="0"/>
        <w:spacing w:after="0"/>
        <w:jc w:val="both"/>
        <w:rPr>
          <w:rFonts w:ascii="Times New Roman" w:hAnsi="Times New Roman" w:cs="Times New Roman"/>
          <w:sz w:val="20"/>
          <w:szCs w:val="20"/>
        </w:rPr>
      </w:pPr>
      <w:r w:rsidRPr="003469A0">
        <w:rPr>
          <w:rFonts w:ascii="Times New Roman" w:hAnsi="Times New Roman" w:cs="Times New Roman"/>
          <w:sz w:val="20"/>
          <w:szCs w:val="20"/>
        </w:rPr>
        <w:t>Values are (M±S.D) of four determinations (n=4). Bars bearing different superscript letters (a, b) are significantly different (p&lt;0.05) when compared to Groups I and II.</w:t>
      </w:r>
    </w:p>
    <w:p w14:paraId="7816B3E4" w14:textId="77777777" w:rsidR="00FE7EF3" w:rsidRPr="003469A0" w:rsidRDefault="00FE7EF3" w:rsidP="00FE7EF3">
      <w:pPr>
        <w:jc w:val="both"/>
        <w:rPr>
          <w:rStyle w:val="hgkelc"/>
          <w:rFonts w:ascii="Times New Roman" w:hAnsi="Times New Roman" w:cs="Times New Roman"/>
          <w:bCs/>
          <w:sz w:val="20"/>
          <w:szCs w:val="20"/>
          <w:lang w:val="en"/>
        </w:rPr>
      </w:pPr>
      <w:r w:rsidRPr="003469A0">
        <w:rPr>
          <w:rFonts w:ascii="Times New Roman" w:hAnsi="Times New Roman" w:cs="Times New Roman"/>
          <w:sz w:val="20"/>
          <w:szCs w:val="20"/>
        </w:rPr>
        <w:t xml:space="preserve">N/B- AST- Aspartate aminotransferase; u/L- </w:t>
      </w:r>
      <w:r w:rsidRPr="003469A0">
        <w:rPr>
          <w:rStyle w:val="hgkelc"/>
          <w:rFonts w:ascii="Times New Roman" w:hAnsi="Times New Roman" w:cs="Times New Roman"/>
          <w:bCs/>
          <w:sz w:val="20"/>
          <w:szCs w:val="20"/>
          <w:lang w:val="en"/>
        </w:rPr>
        <w:t>units per litre.</w:t>
      </w:r>
    </w:p>
    <w:p w14:paraId="1A0022AC" w14:textId="77777777" w:rsidR="00A059E0" w:rsidRPr="003469A0" w:rsidRDefault="00A059E0" w:rsidP="00A059E0">
      <w:pPr>
        <w:spacing w:line="360" w:lineRule="auto"/>
        <w:jc w:val="both"/>
        <w:rPr>
          <w:rFonts w:ascii="Times New Roman" w:hAnsi="Times New Roman" w:cs="Times New Roman"/>
          <w:sz w:val="24"/>
          <w:szCs w:val="24"/>
        </w:rPr>
      </w:pPr>
      <w:r w:rsidRPr="003469A0">
        <w:rPr>
          <w:rFonts w:ascii="Times New Roman" w:hAnsi="Times New Roman" w:cs="Times New Roman"/>
          <w:b/>
          <w:sz w:val="24"/>
          <w:szCs w:val="24"/>
        </w:rPr>
        <w:t>Figure 3:</w:t>
      </w:r>
      <w:r w:rsidRPr="003469A0">
        <w:rPr>
          <w:rFonts w:ascii="Times New Roman" w:hAnsi="Times New Roman" w:cs="Times New Roman"/>
          <w:sz w:val="24"/>
          <w:szCs w:val="24"/>
        </w:rPr>
        <w:t xml:space="preserve"> AST Concentrations of Preeclampsia-Induced Albino Rats Treated with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w:t>
      </w:r>
    </w:p>
    <w:p w14:paraId="123EE93E" w14:textId="77777777" w:rsidR="00A059E0" w:rsidRPr="003469A0" w:rsidRDefault="00A059E0" w:rsidP="00FE7EF3">
      <w:pPr>
        <w:jc w:val="both"/>
        <w:rPr>
          <w:rFonts w:ascii="Times New Roman" w:hAnsi="Times New Roman" w:cs="Times New Roman"/>
          <w:sz w:val="24"/>
          <w:szCs w:val="24"/>
        </w:rPr>
      </w:pPr>
    </w:p>
    <w:p w14:paraId="1286B150" w14:textId="77777777" w:rsidR="00FE7EF3" w:rsidRPr="003469A0" w:rsidRDefault="00FE7EF3" w:rsidP="00FE7EF3">
      <w:pPr>
        <w:autoSpaceDE w:val="0"/>
        <w:autoSpaceDN w:val="0"/>
        <w:adjustRightInd w:val="0"/>
        <w:spacing w:after="0" w:line="480" w:lineRule="auto"/>
        <w:jc w:val="both"/>
        <w:rPr>
          <w:rFonts w:ascii="Times New Roman" w:hAnsi="Times New Roman" w:cs="Times New Roman"/>
          <w:sz w:val="24"/>
          <w:szCs w:val="24"/>
        </w:rPr>
      </w:pPr>
      <w:r w:rsidRPr="003469A0">
        <w:rPr>
          <w:noProof/>
          <w:lang w:val="en-IN" w:eastAsia="en-IN"/>
        </w:rPr>
        <w:drawing>
          <wp:inline distT="0" distB="0" distL="0" distR="0" wp14:anchorId="03D5B937" wp14:editId="392F2316">
            <wp:extent cx="4600575" cy="2209800"/>
            <wp:effectExtent l="0" t="0" r="9525"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4D0FF8" w14:textId="77777777" w:rsidR="00FE7EF3" w:rsidRPr="003469A0" w:rsidRDefault="00FE7EF3" w:rsidP="00FE7EF3">
      <w:pPr>
        <w:autoSpaceDE w:val="0"/>
        <w:autoSpaceDN w:val="0"/>
        <w:adjustRightInd w:val="0"/>
        <w:spacing w:after="0"/>
        <w:jc w:val="both"/>
        <w:rPr>
          <w:rFonts w:ascii="Times New Roman" w:hAnsi="Times New Roman" w:cs="Times New Roman"/>
          <w:sz w:val="20"/>
          <w:szCs w:val="20"/>
        </w:rPr>
      </w:pPr>
      <w:r w:rsidRPr="003469A0">
        <w:rPr>
          <w:rFonts w:ascii="Times New Roman" w:hAnsi="Times New Roman" w:cs="Times New Roman"/>
          <w:sz w:val="20"/>
          <w:szCs w:val="20"/>
        </w:rPr>
        <w:t>Values are (M±S.D) of four determinations (n=4). Bars bearing different superscript letters (a, b, c) are significantly different (p&lt;0.05) when compared to Groups I and II.</w:t>
      </w:r>
    </w:p>
    <w:p w14:paraId="2B6A88FE" w14:textId="77777777" w:rsidR="00FE7EF3" w:rsidRPr="003469A0" w:rsidRDefault="00FE7EF3" w:rsidP="00FE7EF3">
      <w:pPr>
        <w:jc w:val="both"/>
        <w:rPr>
          <w:rFonts w:ascii="Times New Roman" w:hAnsi="Times New Roman" w:cs="Times New Roman"/>
          <w:sz w:val="20"/>
          <w:szCs w:val="20"/>
        </w:rPr>
      </w:pPr>
      <w:r w:rsidRPr="003469A0">
        <w:rPr>
          <w:rFonts w:ascii="Times New Roman" w:hAnsi="Times New Roman" w:cs="Times New Roman"/>
          <w:sz w:val="20"/>
          <w:szCs w:val="20"/>
        </w:rPr>
        <w:t xml:space="preserve">N/B- ALP- Alkaline phosphatase; u/L- </w:t>
      </w:r>
      <w:r w:rsidRPr="003469A0">
        <w:rPr>
          <w:rStyle w:val="hgkelc"/>
          <w:rFonts w:ascii="Times New Roman" w:hAnsi="Times New Roman" w:cs="Times New Roman"/>
          <w:bCs/>
          <w:sz w:val="20"/>
          <w:szCs w:val="20"/>
          <w:lang w:val="en"/>
        </w:rPr>
        <w:t>units per litre.</w:t>
      </w:r>
    </w:p>
    <w:p w14:paraId="31164154" w14:textId="77777777" w:rsidR="00A059E0" w:rsidRPr="003469A0" w:rsidRDefault="00A059E0" w:rsidP="00A059E0">
      <w:pPr>
        <w:spacing w:line="360" w:lineRule="auto"/>
        <w:jc w:val="both"/>
        <w:rPr>
          <w:rFonts w:ascii="Times New Roman" w:hAnsi="Times New Roman" w:cs="Times New Roman"/>
          <w:sz w:val="24"/>
          <w:szCs w:val="24"/>
        </w:rPr>
      </w:pPr>
      <w:r w:rsidRPr="003469A0">
        <w:rPr>
          <w:rFonts w:ascii="Times New Roman" w:hAnsi="Times New Roman" w:cs="Times New Roman"/>
          <w:b/>
          <w:sz w:val="24"/>
          <w:szCs w:val="24"/>
        </w:rPr>
        <w:t>Figure 4:</w:t>
      </w:r>
      <w:r w:rsidRPr="003469A0">
        <w:rPr>
          <w:rFonts w:ascii="Times New Roman" w:hAnsi="Times New Roman" w:cs="Times New Roman"/>
          <w:sz w:val="24"/>
          <w:szCs w:val="24"/>
        </w:rPr>
        <w:t xml:space="preserve"> ALP Concentrations of Preeclampsia-Induced Albino Rats Treated with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w:t>
      </w:r>
    </w:p>
    <w:p w14:paraId="3DD5112D" w14:textId="77777777" w:rsidR="00FE7EF3" w:rsidRPr="003469A0" w:rsidRDefault="00FE7EF3" w:rsidP="00FE7EF3">
      <w:pPr>
        <w:autoSpaceDE w:val="0"/>
        <w:autoSpaceDN w:val="0"/>
        <w:adjustRightInd w:val="0"/>
        <w:spacing w:after="0" w:line="480" w:lineRule="auto"/>
        <w:jc w:val="both"/>
        <w:rPr>
          <w:rFonts w:ascii="Times New Roman" w:hAnsi="Times New Roman" w:cs="Times New Roman"/>
          <w:sz w:val="24"/>
          <w:szCs w:val="24"/>
        </w:rPr>
      </w:pPr>
    </w:p>
    <w:p w14:paraId="3200C723" w14:textId="77777777" w:rsidR="00FE7EF3" w:rsidRPr="003469A0" w:rsidRDefault="00FE7EF3" w:rsidP="00FE7EF3">
      <w:pPr>
        <w:autoSpaceDE w:val="0"/>
        <w:autoSpaceDN w:val="0"/>
        <w:adjustRightInd w:val="0"/>
        <w:spacing w:after="0" w:line="480" w:lineRule="auto"/>
        <w:jc w:val="both"/>
        <w:rPr>
          <w:rFonts w:ascii="Times New Roman" w:hAnsi="Times New Roman" w:cs="Times New Roman"/>
          <w:sz w:val="24"/>
          <w:szCs w:val="24"/>
        </w:rPr>
      </w:pPr>
      <w:r w:rsidRPr="003469A0">
        <w:rPr>
          <w:noProof/>
          <w:lang w:val="en-IN" w:eastAsia="en-IN"/>
        </w:rPr>
        <w:lastRenderedPageBreak/>
        <w:drawing>
          <wp:inline distT="0" distB="0" distL="0" distR="0" wp14:anchorId="6061CDFE" wp14:editId="232882A9">
            <wp:extent cx="4572000" cy="240030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2E450BF" w14:textId="77777777" w:rsidR="00FE7EF3" w:rsidRPr="003469A0" w:rsidRDefault="00FE7EF3" w:rsidP="00FE7EF3">
      <w:pPr>
        <w:autoSpaceDE w:val="0"/>
        <w:autoSpaceDN w:val="0"/>
        <w:adjustRightInd w:val="0"/>
        <w:spacing w:after="0"/>
        <w:jc w:val="both"/>
        <w:rPr>
          <w:rFonts w:ascii="Times New Roman" w:hAnsi="Times New Roman" w:cs="Times New Roman"/>
          <w:sz w:val="20"/>
          <w:szCs w:val="20"/>
        </w:rPr>
      </w:pPr>
      <w:r w:rsidRPr="003469A0">
        <w:rPr>
          <w:rFonts w:ascii="Times New Roman" w:hAnsi="Times New Roman" w:cs="Times New Roman"/>
          <w:sz w:val="20"/>
          <w:szCs w:val="20"/>
        </w:rPr>
        <w:t>Values are (M±S.D) of four determinations (n=4). Bars bearing different superscript letters (a, b) are significantly different (p&lt;0.05) when compared to Groups I and II.</w:t>
      </w:r>
    </w:p>
    <w:p w14:paraId="6BFA90B7" w14:textId="77777777" w:rsidR="00FE7EF3" w:rsidRPr="003469A0" w:rsidRDefault="00FE7EF3" w:rsidP="00FE7EF3">
      <w:pPr>
        <w:jc w:val="both"/>
        <w:rPr>
          <w:rStyle w:val="hgkelc"/>
          <w:rFonts w:ascii="Times New Roman" w:hAnsi="Times New Roman" w:cs="Times New Roman"/>
          <w:bCs/>
          <w:sz w:val="20"/>
          <w:szCs w:val="20"/>
          <w:lang w:val="en"/>
        </w:rPr>
      </w:pPr>
      <w:r w:rsidRPr="003469A0">
        <w:rPr>
          <w:rFonts w:ascii="Times New Roman" w:hAnsi="Times New Roman" w:cs="Times New Roman"/>
          <w:sz w:val="20"/>
          <w:szCs w:val="20"/>
        </w:rPr>
        <w:t>N/B- g/dl- grams per deciliter</w:t>
      </w:r>
      <w:r w:rsidRPr="003469A0">
        <w:rPr>
          <w:rStyle w:val="hgkelc"/>
          <w:rFonts w:ascii="Times New Roman" w:hAnsi="Times New Roman" w:cs="Times New Roman"/>
          <w:bCs/>
          <w:sz w:val="20"/>
          <w:szCs w:val="20"/>
          <w:lang w:val="en"/>
        </w:rPr>
        <w:t>.</w:t>
      </w:r>
    </w:p>
    <w:p w14:paraId="068EBAD0" w14:textId="77777777" w:rsidR="00A059E0" w:rsidRPr="003469A0" w:rsidRDefault="00A059E0" w:rsidP="00A059E0">
      <w:pPr>
        <w:spacing w:line="360" w:lineRule="auto"/>
        <w:jc w:val="both"/>
        <w:rPr>
          <w:rFonts w:ascii="Times New Roman" w:hAnsi="Times New Roman" w:cs="Times New Roman"/>
          <w:sz w:val="24"/>
          <w:szCs w:val="24"/>
        </w:rPr>
      </w:pPr>
      <w:r w:rsidRPr="003469A0">
        <w:rPr>
          <w:rFonts w:ascii="Times New Roman" w:hAnsi="Times New Roman" w:cs="Times New Roman"/>
          <w:b/>
          <w:sz w:val="24"/>
          <w:szCs w:val="24"/>
        </w:rPr>
        <w:t>Figure 5:</w:t>
      </w:r>
      <w:r w:rsidRPr="003469A0">
        <w:rPr>
          <w:rFonts w:ascii="Times New Roman" w:hAnsi="Times New Roman" w:cs="Times New Roman"/>
          <w:sz w:val="24"/>
          <w:szCs w:val="24"/>
        </w:rPr>
        <w:t xml:space="preserve"> Total Protein Concentrations of Preeclampsia-Induced Albino Rats Treated with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w:t>
      </w:r>
    </w:p>
    <w:p w14:paraId="2CA17AA1" w14:textId="77777777" w:rsidR="00A059E0" w:rsidRPr="003469A0" w:rsidRDefault="00A059E0" w:rsidP="00FE7EF3">
      <w:pPr>
        <w:jc w:val="both"/>
        <w:rPr>
          <w:rFonts w:ascii="Times New Roman" w:hAnsi="Times New Roman" w:cs="Times New Roman"/>
          <w:sz w:val="24"/>
          <w:szCs w:val="24"/>
        </w:rPr>
      </w:pPr>
    </w:p>
    <w:p w14:paraId="49EA4DC0" w14:textId="77777777" w:rsidR="00FE7EF3" w:rsidRPr="003469A0" w:rsidRDefault="00FE7EF3" w:rsidP="00FE7EF3">
      <w:pPr>
        <w:autoSpaceDE w:val="0"/>
        <w:autoSpaceDN w:val="0"/>
        <w:adjustRightInd w:val="0"/>
        <w:spacing w:after="0" w:line="480" w:lineRule="auto"/>
        <w:jc w:val="both"/>
        <w:rPr>
          <w:rFonts w:ascii="Times New Roman" w:hAnsi="Times New Roman" w:cs="Times New Roman"/>
          <w:sz w:val="24"/>
          <w:szCs w:val="24"/>
        </w:rPr>
      </w:pPr>
      <w:r w:rsidRPr="003469A0">
        <w:rPr>
          <w:noProof/>
          <w:lang w:val="en-IN" w:eastAsia="en-IN"/>
        </w:rPr>
        <w:drawing>
          <wp:inline distT="0" distB="0" distL="0" distR="0" wp14:anchorId="64294AC2" wp14:editId="1F25EB9D">
            <wp:extent cx="4572000" cy="2200275"/>
            <wp:effectExtent l="0" t="0" r="19050"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B5A1BB" w14:textId="77777777" w:rsidR="00FE7EF3" w:rsidRPr="003469A0" w:rsidRDefault="00FE7EF3" w:rsidP="00FE7EF3">
      <w:pPr>
        <w:autoSpaceDE w:val="0"/>
        <w:autoSpaceDN w:val="0"/>
        <w:adjustRightInd w:val="0"/>
        <w:spacing w:after="0"/>
        <w:jc w:val="both"/>
        <w:rPr>
          <w:rFonts w:ascii="Times New Roman" w:hAnsi="Times New Roman" w:cs="Times New Roman"/>
          <w:sz w:val="20"/>
          <w:szCs w:val="20"/>
        </w:rPr>
      </w:pPr>
      <w:r w:rsidRPr="003469A0">
        <w:rPr>
          <w:rFonts w:ascii="Times New Roman" w:hAnsi="Times New Roman" w:cs="Times New Roman"/>
          <w:sz w:val="20"/>
          <w:szCs w:val="20"/>
        </w:rPr>
        <w:t>Values are (M±S.D) of four determinations (n=4). Bars bearing different superscript letters (a, b, c) are significantly different (p&lt;0.05) when compared to Groups I and II.</w:t>
      </w:r>
    </w:p>
    <w:p w14:paraId="1F0A5AC0" w14:textId="77777777" w:rsidR="00FE7EF3" w:rsidRPr="003469A0" w:rsidRDefault="00FE7EF3" w:rsidP="00FE7EF3">
      <w:pPr>
        <w:spacing w:after="0"/>
        <w:jc w:val="both"/>
        <w:rPr>
          <w:rFonts w:ascii="Times New Roman" w:hAnsi="Times New Roman" w:cs="Times New Roman"/>
          <w:sz w:val="20"/>
          <w:szCs w:val="20"/>
        </w:rPr>
      </w:pPr>
      <w:r w:rsidRPr="003469A0">
        <w:rPr>
          <w:rFonts w:ascii="Times New Roman" w:hAnsi="Times New Roman" w:cs="Times New Roman"/>
          <w:sz w:val="20"/>
          <w:szCs w:val="20"/>
        </w:rPr>
        <w:t xml:space="preserve">N/B- </w:t>
      </w:r>
      <w:r w:rsidRPr="003469A0">
        <w:rPr>
          <w:rStyle w:val="hgkelc"/>
          <w:rFonts w:ascii="Times New Roman" w:hAnsi="Times New Roman" w:cs="Times New Roman"/>
          <w:bCs/>
          <w:sz w:val="20"/>
          <w:szCs w:val="20"/>
          <w:lang w:val="en"/>
        </w:rPr>
        <w:t>µmol/L- micromoles per litre.</w:t>
      </w:r>
    </w:p>
    <w:p w14:paraId="6B484D17" w14:textId="77777777" w:rsidR="00A059E0" w:rsidRPr="003469A0" w:rsidRDefault="00A059E0" w:rsidP="00A059E0">
      <w:pPr>
        <w:spacing w:line="360" w:lineRule="auto"/>
        <w:jc w:val="both"/>
        <w:rPr>
          <w:rFonts w:ascii="Times New Roman" w:hAnsi="Times New Roman" w:cs="Times New Roman"/>
          <w:sz w:val="24"/>
          <w:szCs w:val="24"/>
        </w:rPr>
      </w:pPr>
      <w:r w:rsidRPr="003469A0">
        <w:rPr>
          <w:rFonts w:ascii="Times New Roman" w:hAnsi="Times New Roman" w:cs="Times New Roman"/>
          <w:b/>
          <w:sz w:val="24"/>
          <w:szCs w:val="24"/>
        </w:rPr>
        <w:t xml:space="preserve">Figure 6: </w:t>
      </w:r>
      <w:r w:rsidRPr="003469A0">
        <w:rPr>
          <w:rFonts w:ascii="Times New Roman" w:hAnsi="Times New Roman" w:cs="Times New Roman"/>
          <w:sz w:val="24"/>
          <w:szCs w:val="24"/>
        </w:rPr>
        <w:t xml:space="preserve">Conjugated Bilirubin Concentrations of Preeclampsia-Induced Albino Rats Treated with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w:t>
      </w:r>
    </w:p>
    <w:p w14:paraId="4FC26749" w14:textId="77777777" w:rsidR="00FE7EF3" w:rsidRPr="003469A0" w:rsidRDefault="00FE7EF3" w:rsidP="000328AB">
      <w:pPr>
        <w:spacing w:after="0" w:line="360" w:lineRule="auto"/>
        <w:jc w:val="both"/>
        <w:rPr>
          <w:rFonts w:ascii="Times New Roman" w:hAnsi="Times New Roman" w:cs="Times New Roman"/>
          <w:sz w:val="24"/>
          <w:szCs w:val="24"/>
        </w:rPr>
      </w:pPr>
    </w:p>
    <w:p w14:paraId="70014624" w14:textId="77777777" w:rsidR="00FE7EF3" w:rsidRPr="003469A0" w:rsidRDefault="00FE7EF3" w:rsidP="000328AB">
      <w:pPr>
        <w:spacing w:after="0" w:line="360" w:lineRule="auto"/>
        <w:jc w:val="both"/>
        <w:rPr>
          <w:rFonts w:ascii="Times New Roman" w:hAnsi="Times New Roman" w:cs="Times New Roman"/>
          <w:sz w:val="24"/>
          <w:szCs w:val="24"/>
        </w:rPr>
      </w:pPr>
    </w:p>
    <w:p w14:paraId="7BECBF1F" w14:textId="77777777" w:rsidR="009E1460" w:rsidRPr="003469A0" w:rsidRDefault="009E1460" w:rsidP="009E1460">
      <w:pPr>
        <w:spacing w:after="0" w:line="360" w:lineRule="auto"/>
        <w:jc w:val="both"/>
        <w:rPr>
          <w:rFonts w:ascii="Times New Roman" w:hAnsi="Times New Roman" w:cs="Times New Roman"/>
          <w:sz w:val="24"/>
          <w:szCs w:val="24"/>
        </w:rPr>
      </w:pPr>
      <w:r w:rsidRPr="003469A0">
        <w:rPr>
          <w:rFonts w:ascii="Times New Roman" w:hAnsi="Times New Roman" w:cs="Times New Roman"/>
          <w:b/>
          <w:sz w:val="24"/>
          <w:szCs w:val="24"/>
        </w:rPr>
        <w:lastRenderedPageBreak/>
        <w:t xml:space="preserve">Table 3: Effects of </w:t>
      </w:r>
      <w:r w:rsidRPr="003469A0">
        <w:rPr>
          <w:rFonts w:ascii="Times New Roman" w:hAnsi="Times New Roman" w:cs="Times New Roman"/>
          <w:b/>
          <w:i/>
          <w:sz w:val="24"/>
          <w:szCs w:val="24"/>
        </w:rPr>
        <w:t>Phoenix dactylifera</w:t>
      </w:r>
      <w:r w:rsidRPr="003469A0">
        <w:rPr>
          <w:rFonts w:ascii="Times New Roman" w:hAnsi="Times New Roman" w:cs="Times New Roman"/>
          <w:b/>
          <w:sz w:val="24"/>
          <w:szCs w:val="24"/>
        </w:rPr>
        <w:t xml:space="preserve"> fruit Extract on Cardiac Function Parameters of Albino Rats</w:t>
      </w:r>
    </w:p>
    <w:tbl>
      <w:tblPr>
        <w:tblStyle w:val="TableGrid"/>
        <w:tblW w:w="9828" w:type="dxa"/>
        <w:tblBorders>
          <w:left w:val="none" w:sz="0" w:space="0" w:color="auto"/>
          <w:right w:val="none" w:sz="0" w:space="0" w:color="auto"/>
          <w:insideV w:val="none" w:sz="0" w:space="0" w:color="auto"/>
        </w:tblBorders>
        <w:tblLook w:val="04A0" w:firstRow="1" w:lastRow="0" w:firstColumn="1" w:lastColumn="0" w:noHBand="0" w:noVBand="1"/>
      </w:tblPr>
      <w:tblGrid>
        <w:gridCol w:w="2394"/>
        <w:gridCol w:w="2664"/>
        <w:gridCol w:w="2340"/>
        <w:gridCol w:w="2430"/>
      </w:tblGrid>
      <w:tr w:rsidR="003469A0" w:rsidRPr="003469A0" w14:paraId="62CE1FC4" w14:textId="77777777" w:rsidTr="00C90038">
        <w:tc>
          <w:tcPr>
            <w:tcW w:w="2394" w:type="dxa"/>
            <w:tcBorders>
              <w:bottom w:val="single" w:sz="4" w:space="0" w:color="000000" w:themeColor="text1"/>
            </w:tcBorders>
          </w:tcPr>
          <w:p w14:paraId="446D05C4" w14:textId="77777777" w:rsidR="009E1460" w:rsidRPr="003469A0" w:rsidRDefault="009E1460" w:rsidP="009E1460">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Treatment groups</w:t>
            </w:r>
          </w:p>
        </w:tc>
        <w:tc>
          <w:tcPr>
            <w:tcW w:w="2664" w:type="dxa"/>
            <w:tcBorders>
              <w:bottom w:val="single" w:sz="4" w:space="0" w:color="000000" w:themeColor="text1"/>
            </w:tcBorders>
          </w:tcPr>
          <w:p w14:paraId="258313A3" w14:textId="77777777" w:rsidR="009E1460" w:rsidRPr="003469A0" w:rsidRDefault="009E1460" w:rsidP="009E1460">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Cardiac Troponin (ng/ml)</w:t>
            </w:r>
          </w:p>
        </w:tc>
        <w:tc>
          <w:tcPr>
            <w:tcW w:w="2340" w:type="dxa"/>
            <w:tcBorders>
              <w:bottom w:val="single" w:sz="4" w:space="0" w:color="000000" w:themeColor="text1"/>
            </w:tcBorders>
          </w:tcPr>
          <w:p w14:paraId="3095091E" w14:textId="77777777" w:rsidR="009E1460" w:rsidRPr="003469A0" w:rsidRDefault="009E1460" w:rsidP="009E1460">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Angiotensin (ng/ml)</w:t>
            </w:r>
          </w:p>
        </w:tc>
        <w:tc>
          <w:tcPr>
            <w:tcW w:w="2430" w:type="dxa"/>
            <w:tcBorders>
              <w:bottom w:val="single" w:sz="4" w:space="0" w:color="000000" w:themeColor="text1"/>
            </w:tcBorders>
          </w:tcPr>
          <w:p w14:paraId="608B8084" w14:textId="77777777" w:rsidR="009E1460" w:rsidRPr="003469A0" w:rsidRDefault="009E1460" w:rsidP="009E1460">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LDH (u/l)</w:t>
            </w:r>
          </w:p>
        </w:tc>
      </w:tr>
      <w:tr w:rsidR="003469A0" w:rsidRPr="003469A0" w14:paraId="17334378" w14:textId="77777777" w:rsidTr="00C90038">
        <w:tc>
          <w:tcPr>
            <w:tcW w:w="2394" w:type="dxa"/>
            <w:tcBorders>
              <w:bottom w:val="nil"/>
            </w:tcBorders>
          </w:tcPr>
          <w:p w14:paraId="18A59DEA"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w:t>
            </w:r>
          </w:p>
        </w:tc>
        <w:tc>
          <w:tcPr>
            <w:tcW w:w="2664" w:type="dxa"/>
            <w:tcBorders>
              <w:bottom w:val="nil"/>
            </w:tcBorders>
          </w:tcPr>
          <w:p w14:paraId="24A7C937" w14:textId="77777777" w:rsidR="009E1460" w:rsidRPr="003469A0" w:rsidRDefault="009E1460" w:rsidP="009E1460">
            <w:pPr>
              <w:autoSpaceDE w:val="0"/>
              <w:autoSpaceDN w:val="0"/>
              <w:adjustRightInd w:val="0"/>
              <w:spacing w:line="360" w:lineRule="auto"/>
              <w:ind w:left="60" w:right="60"/>
              <w:rPr>
                <w:rFonts w:ascii="Times New Roman" w:hAnsi="Times New Roman" w:cs="Times New Roman"/>
                <w:sz w:val="24"/>
                <w:szCs w:val="24"/>
              </w:rPr>
            </w:pPr>
            <w:r w:rsidRPr="003469A0">
              <w:rPr>
                <w:rFonts w:ascii="Times New Roman" w:hAnsi="Times New Roman" w:cs="Times New Roman"/>
                <w:sz w:val="24"/>
                <w:szCs w:val="24"/>
              </w:rPr>
              <w:t>5.50±0.42</w:t>
            </w:r>
            <w:r w:rsidRPr="003469A0">
              <w:rPr>
                <w:rFonts w:ascii="Times New Roman" w:hAnsi="Times New Roman" w:cs="Times New Roman"/>
                <w:sz w:val="24"/>
                <w:szCs w:val="24"/>
                <w:vertAlign w:val="superscript"/>
              </w:rPr>
              <w:t>a</w:t>
            </w:r>
          </w:p>
        </w:tc>
        <w:tc>
          <w:tcPr>
            <w:tcW w:w="2340" w:type="dxa"/>
            <w:tcBorders>
              <w:bottom w:val="nil"/>
            </w:tcBorders>
          </w:tcPr>
          <w:p w14:paraId="53DF0717" w14:textId="77777777" w:rsidR="009E1460" w:rsidRPr="003469A0" w:rsidRDefault="009E1460" w:rsidP="009E1460">
            <w:pPr>
              <w:autoSpaceDE w:val="0"/>
              <w:autoSpaceDN w:val="0"/>
              <w:adjustRightInd w:val="0"/>
              <w:spacing w:line="360" w:lineRule="auto"/>
              <w:ind w:left="60" w:right="60"/>
              <w:rPr>
                <w:rFonts w:ascii="Times New Roman" w:hAnsi="Times New Roman" w:cs="Times New Roman"/>
                <w:sz w:val="24"/>
                <w:szCs w:val="24"/>
              </w:rPr>
            </w:pPr>
            <w:r w:rsidRPr="003469A0">
              <w:rPr>
                <w:rFonts w:ascii="Times New Roman" w:hAnsi="Times New Roman" w:cs="Times New Roman"/>
                <w:sz w:val="24"/>
                <w:szCs w:val="24"/>
              </w:rPr>
              <w:t>0.50±0.08</w:t>
            </w:r>
            <w:r w:rsidRPr="003469A0">
              <w:rPr>
                <w:rFonts w:ascii="Times New Roman" w:hAnsi="Times New Roman" w:cs="Times New Roman"/>
                <w:sz w:val="24"/>
                <w:szCs w:val="24"/>
                <w:vertAlign w:val="superscript"/>
              </w:rPr>
              <w:t>a</w:t>
            </w:r>
          </w:p>
        </w:tc>
        <w:tc>
          <w:tcPr>
            <w:tcW w:w="2430" w:type="dxa"/>
            <w:tcBorders>
              <w:bottom w:val="nil"/>
            </w:tcBorders>
          </w:tcPr>
          <w:p w14:paraId="2E1FDB78" w14:textId="77777777" w:rsidR="009E1460" w:rsidRPr="003469A0" w:rsidRDefault="009E1460" w:rsidP="009E1460">
            <w:pPr>
              <w:autoSpaceDE w:val="0"/>
              <w:autoSpaceDN w:val="0"/>
              <w:adjustRightInd w:val="0"/>
              <w:spacing w:line="360" w:lineRule="auto"/>
              <w:ind w:left="60" w:right="60"/>
              <w:rPr>
                <w:rFonts w:ascii="Times New Roman" w:hAnsi="Times New Roman" w:cs="Times New Roman"/>
                <w:sz w:val="24"/>
                <w:szCs w:val="24"/>
              </w:rPr>
            </w:pPr>
            <w:r w:rsidRPr="003469A0">
              <w:rPr>
                <w:rFonts w:ascii="Times New Roman" w:hAnsi="Times New Roman" w:cs="Times New Roman"/>
                <w:sz w:val="24"/>
                <w:szCs w:val="24"/>
              </w:rPr>
              <w:t>149.00±8.83</w:t>
            </w:r>
            <w:r w:rsidRPr="003469A0">
              <w:rPr>
                <w:rFonts w:ascii="Times New Roman" w:hAnsi="Times New Roman" w:cs="Times New Roman"/>
                <w:sz w:val="24"/>
                <w:szCs w:val="24"/>
                <w:vertAlign w:val="superscript"/>
              </w:rPr>
              <w:t>a</w:t>
            </w:r>
          </w:p>
        </w:tc>
      </w:tr>
      <w:tr w:rsidR="003469A0" w:rsidRPr="003469A0" w14:paraId="186074EF" w14:textId="77777777" w:rsidTr="00C90038">
        <w:tc>
          <w:tcPr>
            <w:tcW w:w="2394" w:type="dxa"/>
            <w:tcBorders>
              <w:top w:val="nil"/>
              <w:bottom w:val="nil"/>
            </w:tcBorders>
          </w:tcPr>
          <w:p w14:paraId="24B000E7"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II</w:t>
            </w:r>
          </w:p>
        </w:tc>
        <w:tc>
          <w:tcPr>
            <w:tcW w:w="2664" w:type="dxa"/>
            <w:tcBorders>
              <w:top w:val="nil"/>
              <w:bottom w:val="nil"/>
            </w:tcBorders>
          </w:tcPr>
          <w:p w14:paraId="0F1F5B23" w14:textId="77777777" w:rsidR="009E1460" w:rsidRPr="003469A0" w:rsidRDefault="009E1460" w:rsidP="009E1460">
            <w:pPr>
              <w:autoSpaceDE w:val="0"/>
              <w:autoSpaceDN w:val="0"/>
              <w:adjustRightInd w:val="0"/>
              <w:spacing w:line="360" w:lineRule="auto"/>
              <w:ind w:left="60" w:right="60"/>
              <w:rPr>
                <w:rFonts w:ascii="Times New Roman" w:hAnsi="Times New Roman" w:cs="Times New Roman"/>
                <w:sz w:val="24"/>
                <w:szCs w:val="24"/>
              </w:rPr>
            </w:pPr>
            <w:r w:rsidRPr="003469A0">
              <w:rPr>
                <w:rFonts w:ascii="Times New Roman" w:hAnsi="Times New Roman" w:cs="Times New Roman"/>
                <w:sz w:val="24"/>
                <w:szCs w:val="24"/>
              </w:rPr>
              <w:t>11.43±0.69</w:t>
            </w:r>
            <w:r w:rsidRPr="003469A0">
              <w:rPr>
                <w:rFonts w:ascii="Times New Roman" w:hAnsi="Times New Roman" w:cs="Times New Roman"/>
                <w:sz w:val="24"/>
                <w:szCs w:val="24"/>
                <w:vertAlign w:val="superscript"/>
              </w:rPr>
              <w:t>b</w:t>
            </w:r>
          </w:p>
        </w:tc>
        <w:tc>
          <w:tcPr>
            <w:tcW w:w="2340" w:type="dxa"/>
            <w:tcBorders>
              <w:top w:val="nil"/>
              <w:bottom w:val="nil"/>
            </w:tcBorders>
          </w:tcPr>
          <w:p w14:paraId="40F8108D" w14:textId="77777777" w:rsidR="009E1460" w:rsidRPr="003469A0" w:rsidRDefault="009E1460" w:rsidP="009E1460">
            <w:pPr>
              <w:autoSpaceDE w:val="0"/>
              <w:autoSpaceDN w:val="0"/>
              <w:adjustRightInd w:val="0"/>
              <w:spacing w:line="360" w:lineRule="auto"/>
              <w:ind w:left="60" w:right="60"/>
              <w:rPr>
                <w:rFonts w:ascii="Times New Roman" w:hAnsi="Times New Roman" w:cs="Times New Roman"/>
                <w:sz w:val="24"/>
                <w:szCs w:val="24"/>
              </w:rPr>
            </w:pPr>
            <w:r w:rsidRPr="003469A0">
              <w:rPr>
                <w:rFonts w:ascii="Times New Roman" w:hAnsi="Times New Roman" w:cs="Times New Roman"/>
                <w:sz w:val="24"/>
                <w:szCs w:val="24"/>
              </w:rPr>
              <w:t>1.00±0.18</w:t>
            </w:r>
            <w:r w:rsidRPr="003469A0">
              <w:rPr>
                <w:rFonts w:ascii="Times New Roman" w:hAnsi="Times New Roman" w:cs="Times New Roman"/>
                <w:sz w:val="24"/>
                <w:szCs w:val="24"/>
                <w:vertAlign w:val="superscript"/>
              </w:rPr>
              <w:t>b</w:t>
            </w:r>
          </w:p>
        </w:tc>
        <w:tc>
          <w:tcPr>
            <w:tcW w:w="2430" w:type="dxa"/>
            <w:tcBorders>
              <w:top w:val="nil"/>
              <w:bottom w:val="nil"/>
            </w:tcBorders>
          </w:tcPr>
          <w:p w14:paraId="079FCBF7" w14:textId="77777777" w:rsidR="009E1460" w:rsidRPr="003469A0" w:rsidRDefault="009E1460" w:rsidP="009E1460">
            <w:pPr>
              <w:autoSpaceDE w:val="0"/>
              <w:autoSpaceDN w:val="0"/>
              <w:adjustRightInd w:val="0"/>
              <w:spacing w:line="360" w:lineRule="auto"/>
              <w:ind w:left="60" w:right="60"/>
              <w:rPr>
                <w:rFonts w:ascii="Times New Roman" w:hAnsi="Times New Roman" w:cs="Times New Roman"/>
                <w:sz w:val="24"/>
                <w:szCs w:val="24"/>
              </w:rPr>
            </w:pPr>
            <w:r w:rsidRPr="003469A0">
              <w:rPr>
                <w:rFonts w:ascii="Times New Roman" w:hAnsi="Times New Roman" w:cs="Times New Roman"/>
                <w:sz w:val="24"/>
                <w:szCs w:val="24"/>
              </w:rPr>
              <w:t>341.00±17.80</w:t>
            </w:r>
            <w:r w:rsidRPr="003469A0">
              <w:rPr>
                <w:rFonts w:ascii="Times New Roman" w:hAnsi="Times New Roman" w:cs="Times New Roman"/>
                <w:sz w:val="24"/>
                <w:szCs w:val="24"/>
                <w:vertAlign w:val="superscript"/>
              </w:rPr>
              <w:t>b</w:t>
            </w:r>
          </w:p>
        </w:tc>
      </w:tr>
      <w:tr w:rsidR="003469A0" w:rsidRPr="003469A0" w14:paraId="43B3DEA9" w14:textId="77777777" w:rsidTr="00C90038">
        <w:tc>
          <w:tcPr>
            <w:tcW w:w="2394" w:type="dxa"/>
            <w:tcBorders>
              <w:top w:val="nil"/>
              <w:bottom w:val="nil"/>
            </w:tcBorders>
          </w:tcPr>
          <w:p w14:paraId="4772C320"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III</w:t>
            </w:r>
          </w:p>
        </w:tc>
        <w:tc>
          <w:tcPr>
            <w:tcW w:w="2664" w:type="dxa"/>
            <w:tcBorders>
              <w:top w:val="nil"/>
              <w:bottom w:val="nil"/>
            </w:tcBorders>
          </w:tcPr>
          <w:p w14:paraId="18B47559" w14:textId="77777777" w:rsidR="009E1460" w:rsidRPr="003469A0" w:rsidRDefault="009E1460" w:rsidP="009E1460">
            <w:pPr>
              <w:autoSpaceDE w:val="0"/>
              <w:autoSpaceDN w:val="0"/>
              <w:adjustRightInd w:val="0"/>
              <w:spacing w:line="360" w:lineRule="auto"/>
              <w:ind w:left="60" w:right="60"/>
              <w:rPr>
                <w:rFonts w:ascii="Times New Roman" w:hAnsi="Times New Roman" w:cs="Times New Roman"/>
                <w:sz w:val="24"/>
                <w:szCs w:val="24"/>
              </w:rPr>
            </w:pPr>
            <w:r w:rsidRPr="003469A0">
              <w:rPr>
                <w:rFonts w:ascii="Times New Roman" w:hAnsi="Times New Roman" w:cs="Times New Roman"/>
                <w:sz w:val="24"/>
                <w:szCs w:val="24"/>
              </w:rPr>
              <w:t>8.10±0.57</w:t>
            </w:r>
            <w:r w:rsidRPr="003469A0">
              <w:rPr>
                <w:rFonts w:ascii="Times New Roman" w:hAnsi="Times New Roman" w:cs="Times New Roman"/>
                <w:sz w:val="24"/>
                <w:szCs w:val="24"/>
                <w:vertAlign w:val="superscript"/>
              </w:rPr>
              <w:t>c</w:t>
            </w:r>
          </w:p>
        </w:tc>
        <w:tc>
          <w:tcPr>
            <w:tcW w:w="2340" w:type="dxa"/>
            <w:tcBorders>
              <w:top w:val="nil"/>
              <w:bottom w:val="nil"/>
            </w:tcBorders>
          </w:tcPr>
          <w:p w14:paraId="5E069F30" w14:textId="77777777" w:rsidR="009E1460" w:rsidRPr="003469A0" w:rsidRDefault="009E1460" w:rsidP="009E1460">
            <w:pPr>
              <w:autoSpaceDE w:val="0"/>
              <w:autoSpaceDN w:val="0"/>
              <w:adjustRightInd w:val="0"/>
              <w:spacing w:line="360" w:lineRule="auto"/>
              <w:ind w:left="60" w:right="60"/>
              <w:rPr>
                <w:rFonts w:ascii="Times New Roman" w:hAnsi="Times New Roman" w:cs="Times New Roman"/>
                <w:sz w:val="24"/>
                <w:szCs w:val="24"/>
              </w:rPr>
            </w:pPr>
            <w:r w:rsidRPr="003469A0">
              <w:rPr>
                <w:rFonts w:ascii="Times New Roman" w:hAnsi="Times New Roman" w:cs="Times New Roman"/>
                <w:sz w:val="24"/>
                <w:szCs w:val="24"/>
              </w:rPr>
              <w:t>0.65±0.06</w:t>
            </w:r>
            <w:r w:rsidRPr="003469A0">
              <w:rPr>
                <w:rFonts w:ascii="Times New Roman" w:hAnsi="Times New Roman" w:cs="Times New Roman"/>
                <w:sz w:val="24"/>
                <w:szCs w:val="24"/>
                <w:vertAlign w:val="superscript"/>
              </w:rPr>
              <w:t>a</w:t>
            </w:r>
          </w:p>
        </w:tc>
        <w:tc>
          <w:tcPr>
            <w:tcW w:w="2430" w:type="dxa"/>
            <w:tcBorders>
              <w:top w:val="nil"/>
              <w:bottom w:val="nil"/>
            </w:tcBorders>
          </w:tcPr>
          <w:p w14:paraId="3F15D5B2" w14:textId="77777777" w:rsidR="009E1460" w:rsidRPr="003469A0" w:rsidRDefault="009E1460" w:rsidP="009E1460">
            <w:pPr>
              <w:autoSpaceDE w:val="0"/>
              <w:autoSpaceDN w:val="0"/>
              <w:adjustRightInd w:val="0"/>
              <w:spacing w:line="360" w:lineRule="auto"/>
              <w:ind w:left="60" w:right="60"/>
              <w:rPr>
                <w:rFonts w:ascii="Times New Roman" w:hAnsi="Times New Roman" w:cs="Times New Roman"/>
                <w:sz w:val="24"/>
                <w:szCs w:val="24"/>
              </w:rPr>
            </w:pPr>
            <w:r w:rsidRPr="003469A0">
              <w:rPr>
                <w:rFonts w:ascii="Times New Roman" w:hAnsi="Times New Roman" w:cs="Times New Roman"/>
                <w:sz w:val="24"/>
                <w:szCs w:val="24"/>
              </w:rPr>
              <w:t>271.75±8.73</w:t>
            </w:r>
            <w:r w:rsidRPr="003469A0">
              <w:rPr>
                <w:rFonts w:ascii="Times New Roman" w:hAnsi="Times New Roman" w:cs="Times New Roman"/>
                <w:sz w:val="24"/>
                <w:szCs w:val="24"/>
                <w:vertAlign w:val="superscript"/>
              </w:rPr>
              <w:t>c</w:t>
            </w:r>
          </w:p>
        </w:tc>
      </w:tr>
      <w:tr w:rsidR="003469A0" w:rsidRPr="003469A0" w14:paraId="64772C78" w14:textId="77777777" w:rsidTr="00C90038">
        <w:tc>
          <w:tcPr>
            <w:tcW w:w="2394" w:type="dxa"/>
            <w:tcBorders>
              <w:top w:val="nil"/>
            </w:tcBorders>
          </w:tcPr>
          <w:p w14:paraId="6671E0CB"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IV</w:t>
            </w:r>
          </w:p>
        </w:tc>
        <w:tc>
          <w:tcPr>
            <w:tcW w:w="2664" w:type="dxa"/>
            <w:tcBorders>
              <w:top w:val="nil"/>
            </w:tcBorders>
          </w:tcPr>
          <w:p w14:paraId="39C9BF10" w14:textId="77777777" w:rsidR="009E1460" w:rsidRPr="003469A0" w:rsidRDefault="009E1460" w:rsidP="009E1460">
            <w:pPr>
              <w:autoSpaceDE w:val="0"/>
              <w:autoSpaceDN w:val="0"/>
              <w:adjustRightInd w:val="0"/>
              <w:spacing w:line="360" w:lineRule="auto"/>
              <w:ind w:left="60" w:right="60"/>
              <w:rPr>
                <w:rFonts w:ascii="Times New Roman" w:hAnsi="Times New Roman" w:cs="Times New Roman"/>
                <w:sz w:val="24"/>
                <w:szCs w:val="24"/>
              </w:rPr>
            </w:pPr>
            <w:r w:rsidRPr="003469A0">
              <w:rPr>
                <w:rFonts w:ascii="Times New Roman" w:hAnsi="Times New Roman" w:cs="Times New Roman"/>
                <w:sz w:val="24"/>
                <w:szCs w:val="24"/>
              </w:rPr>
              <w:t>6.23±0.40</w:t>
            </w:r>
            <w:r w:rsidRPr="003469A0">
              <w:rPr>
                <w:rFonts w:ascii="Times New Roman" w:hAnsi="Times New Roman" w:cs="Times New Roman"/>
                <w:sz w:val="24"/>
                <w:szCs w:val="24"/>
                <w:vertAlign w:val="superscript"/>
              </w:rPr>
              <w:t>a</w:t>
            </w:r>
          </w:p>
        </w:tc>
        <w:tc>
          <w:tcPr>
            <w:tcW w:w="2340" w:type="dxa"/>
            <w:tcBorders>
              <w:top w:val="nil"/>
            </w:tcBorders>
          </w:tcPr>
          <w:p w14:paraId="0BB39132" w14:textId="77777777" w:rsidR="009E1460" w:rsidRPr="003469A0" w:rsidRDefault="009E1460" w:rsidP="009E1460">
            <w:pPr>
              <w:autoSpaceDE w:val="0"/>
              <w:autoSpaceDN w:val="0"/>
              <w:adjustRightInd w:val="0"/>
              <w:spacing w:line="360" w:lineRule="auto"/>
              <w:ind w:left="60" w:right="60"/>
              <w:rPr>
                <w:rFonts w:ascii="Times New Roman" w:hAnsi="Times New Roman" w:cs="Times New Roman"/>
                <w:sz w:val="24"/>
                <w:szCs w:val="24"/>
              </w:rPr>
            </w:pPr>
            <w:r w:rsidRPr="003469A0">
              <w:rPr>
                <w:rFonts w:ascii="Times New Roman" w:hAnsi="Times New Roman" w:cs="Times New Roman"/>
                <w:sz w:val="24"/>
                <w:szCs w:val="24"/>
              </w:rPr>
              <w:t>0.58±0.10</w:t>
            </w:r>
            <w:r w:rsidRPr="003469A0">
              <w:rPr>
                <w:rFonts w:ascii="Times New Roman" w:hAnsi="Times New Roman" w:cs="Times New Roman"/>
                <w:sz w:val="24"/>
                <w:szCs w:val="24"/>
                <w:vertAlign w:val="superscript"/>
              </w:rPr>
              <w:t>a</w:t>
            </w:r>
          </w:p>
        </w:tc>
        <w:tc>
          <w:tcPr>
            <w:tcW w:w="2430" w:type="dxa"/>
            <w:tcBorders>
              <w:top w:val="nil"/>
            </w:tcBorders>
          </w:tcPr>
          <w:p w14:paraId="02D5F07A" w14:textId="77777777" w:rsidR="009E1460" w:rsidRPr="003469A0" w:rsidRDefault="009E1460" w:rsidP="009E1460">
            <w:pPr>
              <w:autoSpaceDE w:val="0"/>
              <w:autoSpaceDN w:val="0"/>
              <w:adjustRightInd w:val="0"/>
              <w:spacing w:line="360" w:lineRule="auto"/>
              <w:ind w:left="60" w:right="60"/>
              <w:rPr>
                <w:rFonts w:ascii="Times New Roman" w:hAnsi="Times New Roman" w:cs="Times New Roman"/>
                <w:sz w:val="24"/>
                <w:szCs w:val="24"/>
              </w:rPr>
            </w:pPr>
            <w:r w:rsidRPr="003469A0">
              <w:rPr>
                <w:rFonts w:ascii="Times New Roman" w:hAnsi="Times New Roman" w:cs="Times New Roman"/>
                <w:sz w:val="24"/>
                <w:szCs w:val="24"/>
              </w:rPr>
              <w:t>212.75±6.24</w:t>
            </w:r>
            <w:r w:rsidRPr="003469A0">
              <w:rPr>
                <w:rFonts w:ascii="Times New Roman" w:hAnsi="Times New Roman" w:cs="Times New Roman"/>
                <w:sz w:val="24"/>
                <w:szCs w:val="24"/>
                <w:vertAlign w:val="superscript"/>
              </w:rPr>
              <w:t>c</w:t>
            </w:r>
          </w:p>
        </w:tc>
      </w:tr>
    </w:tbl>
    <w:p w14:paraId="4AF1E19F" w14:textId="77777777" w:rsidR="009E1460" w:rsidRPr="003469A0" w:rsidRDefault="009E1460" w:rsidP="009E1460">
      <w:pPr>
        <w:spacing w:after="0" w:line="240" w:lineRule="auto"/>
        <w:jc w:val="both"/>
        <w:rPr>
          <w:rFonts w:ascii="Times New Roman" w:hAnsi="Times New Roman" w:cs="Times New Roman"/>
          <w:sz w:val="20"/>
          <w:szCs w:val="20"/>
        </w:rPr>
      </w:pPr>
      <w:r w:rsidRPr="003469A0">
        <w:rPr>
          <w:rFonts w:ascii="Times New Roman" w:hAnsi="Times New Roman" w:cs="Times New Roman"/>
          <w:sz w:val="20"/>
          <w:szCs w:val="20"/>
        </w:rPr>
        <w:t>Data are (M±S.D) of four determinations (n=4). Values bearing different superscript letters (a, b, c) are significantly different (p&lt;0.05) down the column when compared to groups I and II.</w:t>
      </w:r>
    </w:p>
    <w:p w14:paraId="3C695C11" w14:textId="77777777" w:rsidR="009E1460" w:rsidRPr="003469A0" w:rsidRDefault="009E1460" w:rsidP="009E1460">
      <w:pPr>
        <w:spacing w:after="0" w:line="240" w:lineRule="auto"/>
        <w:jc w:val="both"/>
        <w:rPr>
          <w:rStyle w:val="hgkelc"/>
          <w:rFonts w:ascii="Times New Roman" w:hAnsi="Times New Roman" w:cs="Times New Roman"/>
          <w:bCs/>
          <w:sz w:val="20"/>
          <w:szCs w:val="20"/>
          <w:lang w:val="en"/>
        </w:rPr>
      </w:pPr>
      <w:r w:rsidRPr="003469A0">
        <w:rPr>
          <w:rFonts w:ascii="Times New Roman" w:hAnsi="Times New Roman" w:cs="Times New Roman"/>
          <w:sz w:val="20"/>
          <w:szCs w:val="20"/>
        </w:rPr>
        <w:t xml:space="preserve">N/B- LDH- lactate dehydrogenase; ng/ml - nanogram per milliliter; u/l- </w:t>
      </w:r>
      <w:r w:rsidRPr="003469A0">
        <w:rPr>
          <w:rStyle w:val="hgkelc"/>
          <w:rFonts w:ascii="Times New Roman" w:hAnsi="Times New Roman" w:cs="Times New Roman"/>
          <w:bCs/>
          <w:sz w:val="20"/>
          <w:szCs w:val="20"/>
          <w:lang w:val="en"/>
        </w:rPr>
        <w:t>units per litre.</w:t>
      </w:r>
    </w:p>
    <w:p w14:paraId="30FDC0B5" w14:textId="77777777" w:rsidR="00B93BAB" w:rsidRPr="003469A0" w:rsidRDefault="00B93BAB" w:rsidP="009E1460">
      <w:pPr>
        <w:spacing w:after="0" w:line="240" w:lineRule="auto"/>
        <w:jc w:val="both"/>
        <w:rPr>
          <w:rStyle w:val="hgkelc"/>
          <w:rFonts w:ascii="Times New Roman" w:hAnsi="Times New Roman" w:cs="Times New Roman"/>
          <w:bCs/>
          <w:sz w:val="20"/>
          <w:szCs w:val="20"/>
          <w:lang w:val="en"/>
        </w:rPr>
      </w:pPr>
    </w:p>
    <w:p w14:paraId="11D6B301" w14:textId="77777777" w:rsidR="00A059E0" w:rsidRPr="003469A0" w:rsidRDefault="00A059E0" w:rsidP="00B93BAB">
      <w:pPr>
        <w:spacing w:after="0" w:line="360" w:lineRule="auto"/>
        <w:jc w:val="both"/>
        <w:rPr>
          <w:rFonts w:ascii="Times New Roman" w:hAnsi="Times New Roman" w:cs="Times New Roman"/>
          <w:b/>
          <w:sz w:val="24"/>
          <w:szCs w:val="24"/>
        </w:rPr>
      </w:pPr>
    </w:p>
    <w:p w14:paraId="749DD945" w14:textId="77777777" w:rsidR="009E1460" w:rsidRPr="003469A0" w:rsidRDefault="009E1460" w:rsidP="00B93BAB">
      <w:pPr>
        <w:spacing w:after="0" w:line="360" w:lineRule="auto"/>
        <w:jc w:val="both"/>
        <w:rPr>
          <w:rFonts w:ascii="Times New Roman" w:hAnsi="Times New Roman" w:cs="Times New Roman"/>
          <w:sz w:val="24"/>
          <w:szCs w:val="24"/>
        </w:rPr>
      </w:pPr>
      <w:r w:rsidRPr="003469A0">
        <w:rPr>
          <w:rFonts w:ascii="Times New Roman" w:hAnsi="Times New Roman" w:cs="Times New Roman"/>
          <w:b/>
          <w:sz w:val="24"/>
          <w:szCs w:val="24"/>
        </w:rPr>
        <w:t xml:space="preserve">Table 4: Effects of </w:t>
      </w:r>
      <w:r w:rsidRPr="003469A0">
        <w:rPr>
          <w:rFonts w:ascii="Times New Roman" w:hAnsi="Times New Roman" w:cs="Times New Roman"/>
          <w:b/>
          <w:i/>
          <w:sz w:val="24"/>
          <w:szCs w:val="24"/>
        </w:rPr>
        <w:t>Phoenix dactylifera</w:t>
      </w:r>
      <w:r w:rsidRPr="003469A0">
        <w:rPr>
          <w:rFonts w:ascii="Times New Roman" w:hAnsi="Times New Roman" w:cs="Times New Roman"/>
          <w:b/>
          <w:sz w:val="24"/>
          <w:szCs w:val="24"/>
        </w:rPr>
        <w:t xml:space="preserve"> fruit Extract on Kidney Function Parameters of Albino Rats</w:t>
      </w:r>
    </w:p>
    <w:tbl>
      <w:tblPr>
        <w:tblStyle w:val="TableGrid"/>
        <w:tblW w:w="9636" w:type="dxa"/>
        <w:tblBorders>
          <w:left w:val="none" w:sz="0" w:space="0" w:color="auto"/>
          <w:right w:val="none" w:sz="0" w:space="0" w:color="auto"/>
          <w:insideV w:val="none" w:sz="0" w:space="0" w:color="auto"/>
        </w:tblBorders>
        <w:tblLook w:val="04A0" w:firstRow="1" w:lastRow="0" w:firstColumn="1" w:lastColumn="0" w:noHBand="0" w:noVBand="1"/>
      </w:tblPr>
      <w:tblGrid>
        <w:gridCol w:w="1947"/>
        <w:gridCol w:w="1813"/>
        <w:gridCol w:w="1725"/>
        <w:gridCol w:w="1748"/>
        <w:gridCol w:w="2403"/>
      </w:tblGrid>
      <w:tr w:rsidR="003469A0" w:rsidRPr="003469A0" w14:paraId="7110B502" w14:textId="77777777" w:rsidTr="00C90038">
        <w:trPr>
          <w:trHeight w:val="800"/>
        </w:trPr>
        <w:tc>
          <w:tcPr>
            <w:tcW w:w="1947" w:type="dxa"/>
            <w:tcBorders>
              <w:bottom w:val="single" w:sz="4" w:space="0" w:color="000000" w:themeColor="text1"/>
            </w:tcBorders>
          </w:tcPr>
          <w:p w14:paraId="66A516D6" w14:textId="77777777" w:rsidR="009E1460" w:rsidRPr="003469A0" w:rsidRDefault="009E1460" w:rsidP="009E1460">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Treatment Groups</w:t>
            </w:r>
          </w:p>
        </w:tc>
        <w:tc>
          <w:tcPr>
            <w:tcW w:w="1813" w:type="dxa"/>
            <w:tcBorders>
              <w:bottom w:val="single" w:sz="4" w:space="0" w:color="000000" w:themeColor="text1"/>
            </w:tcBorders>
          </w:tcPr>
          <w:p w14:paraId="666A09CC" w14:textId="77777777" w:rsidR="009E1460" w:rsidRPr="003469A0" w:rsidRDefault="009E1460" w:rsidP="009E1460">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BUN (mg/dl)</w:t>
            </w:r>
          </w:p>
        </w:tc>
        <w:tc>
          <w:tcPr>
            <w:tcW w:w="1725" w:type="dxa"/>
            <w:tcBorders>
              <w:bottom w:val="single" w:sz="4" w:space="0" w:color="000000" w:themeColor="text1"/>
            </w:tcBorders>
          </w:tcPr>
          <w:p w14:paraId="0D06D332" w14:textId="77777777" w:rsidR="009E1460" w:rsidRPr="003469A0" w:rsidRDefault="009E1460" w:rsidP="009E1460">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Creatinine (mg/dl)</w:t>
            </w:r>
          </w:p>
        </w:tc>
        <w:tc>
          <w:tcPr>
            <w:tcW w:w="1748" w:type="dxa"/>
            <w:tcBorders>
              <w:bottom w:val="single" w:sz="4" w:space="0" w:color="000000" w:themeColor="text1"/>
            </w:tcBorders>
          </w:tcPr>
          <w:p w14:paraId="59E0D0D9" w14:textId="77777777" w:rsidR="009E1460" w:rsidRPr="003469A0" w:rsidRDefault="009E1460" w:rsidP="009E1460">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Anion Gap (mEq/l)</w:t>
            </w:r>
          </w:p>
        </w:tc>
        <w:tc>
          <w:tcPr>
            <w:tcW w:w="2403" w:type="dxa"/>
            <w:tcBorders>
              <w:bottom w:val="single" w:sz="4" w:space="0" w:color="000000" w:themeColor="text1"/>
            </w:tcBorders>
          </w:tcPr>
          <w:p w14:paraId="20B8EAB4" w14:textId="77777777" w:rsidR="009E1460" w:rsidRPr="003469A0" w:rsidRDefault="009E1460" w:rsidP="009E1460">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GFR (ml/min/1.7cm</w:t>
            </w:r>
            <w:r w:rsidRPr="003469A0">
              <w:rPr>
                <w:rFonts w:ascii="Times New Roman" w:hAnsi="Times New Roman" w:cs="Times New Roman"/>
                <w:b/>
                <w:sz w:val="24"/>
                <w:szCs w:val="24"/>
                <w:vertAlign w:val="superscript"/>
              </w:rPr>
              <w:t>2</w:t>
            </w:r>
            <w:r w:rsidRPr="003469A0">
              <w:rPr>
                <w:rFonts w:ascii="Times New Roman" w:hAnsi="Times New Roman" w:cs="Times New Roman"/>
                <w:b/>
                <w:sz w:val="24"/>
                <w:szCs w:val="24"/>
              </w:rPr>
              <w:t>)</w:t>
            </w:r>
          </w:p>
        </w:tc>
      </w:tr>
      <w:tr w:rsidR="003469A0" w:rsidRPr="003469A0" w14:paraId="72840897" w14:textId="77777777" w:rsidTr="00C90038">
        <w:trPr>
          <w:trHeight w:val="413"/>
        </w:trPr>
        <w:tc>
          <w:tcPr>
            <w:tcW w:w="1947" w:type="dxa"/>
            <w:tcBorders>
              <w:bottom w:val="nil"/>
            </w:tcBorders>
          </w:tcPr>
          <w:p w14:paraId="28FD01B8"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w:t>
            </w:r>
          </w:p>
        </w:tc>
        <w:tc>
          <w:tcPr>
            <w:tcW w:w="1813" w:type="dxa"/>
            <w:tcBorders>
              <w:bottom w:val="nil"/>
            </w:tcBorders>
          </w:tcPr>
          <w:p w14:paraId="0D37AA37"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23.70±3.23</w:t>
            </w:r>
            <w:r w:rsidRPr="003469A0">
              <w:rPr>
                <w:rFonts w:ascii="Times New Roman" w:hAnsi="Times New Roman" w:cs="Times New Roman"/>
                <w:sz w:val="24"/>
                <w:szCs w:val="24"/>
                <w:vertAlign w:val="superscript"/>
              </w:rPr>
              <w:t>a</w:t>
            </w:r>
          </w:p>
        </w:tc>
        <w:tc>
          <w:tcPr>
            <w:tcW w:w="1725" w:type="dxa"/>
            <w:tcBorders>
              <w:bottom w:val="nil"/>
            </w:tcBorders>
          </w:tcPr>
          <w:p w14:paraId="2B89C691"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0.63±0.15</w:t>
            </w:r>
            <w:r w:rsidRPr="003469A0">
              <w:rPr>
                <w:rFonts w:ascii="Times New Roman" w:hAnsi="Times New Roman" w:cs="Times New Roman"/>
                <w:sz w:val="24"/>
                <w:szCs w:val="24"/>
                <w:vertAlign w:val="superscript"/>
              </w:rPr>
              <w:t>a</w:t>
            </w:r>
          </w:p>
        </w:tc>
        <w:tc>
          <w:tcPr>
            <w:tcW w:w="1748" w:type="dxa"/>
            <w:tcBorders>
              <w:bottom w:val="nil"/>
            </w:tcBorders>
          </w:tcPr>
          <w:p w14:paraId="5F936032"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7.40±0.26</w:t>
            </w:r>
            <w:r w:rsidRPr="003469A0">
              <w:rPr>
                <w:rFonts w:ascii="Times New Roman" w:hAnsi="Times New Roman" w:cs="Times New Roman"/>
                <w:sz w:val="24"/>
                <w:szCs w:val="24"/>
                <w:vertAlign w:val="superscript"/>
              </w:rPr>
              <w:t>a</w:t>
            </w:r>
          </w:p>
        </w:tc>
        <w:tc>
          <w:tcPr>
            <w:tcW w:w="2403" w:type="dxa"/>
            <w:tcBorders>
              <w:bottom w:val="nil"/>
            </w:tcBorders>
          </w:tcPr>
          <w:p w14:paraId="33DE4EDB"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0.80±0.08</w:t>
            </w:r>
            <w:r w:rsidRPr="003469A0">
              <w:rPr>
                <w:rFonts w:ascii="Times New Roman" w:hAnsi="Times New Roman" w:cs="Times New Roman"/>
                <w:sz w:val="24"/>
                <w:szCs w:val="24"/>
                <w:vertAlign w:val="superscript"/>
              </w:rPr>
              <w:t>a</w:t>
            </w:r>
          </w:p>
        </w:tc>
      </w:tr>
      <w:tr w:rsidR="003469A0" w:rsidRPr="003469A0" w14:paraId="52E1C8C6" w14:textId="77777777" w:rsidTr="00C90038">
        <w:trPr>
          <w:trHeight w:val="720"/>
        </w:trPr>
        <w:tc>
          <w:tcPr>
            <w:tcW w:w="1947" w:type="dxa"/>
            <w:tcBorders>
              <w:top w:val="nil"/>
              <w:bottom w:val="nil"/>
            </w:tcBorders>
          </w:tcPr>
          <w:p w14:paraId="4E4A6B50"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II</w:t>
            </w:r>
          </w:p>
        </w:tc>
        <w:tc>
          <w:tcPr>
            <w:tcW w:w="1813" w:type="dxa"/>
            <w:tcBorders>
              <w:top w:val="nil"/>
              <w:bottom w:val="nil"/>
            </w:tcBorders>
          </w:tcPr>
          <w:p w14:paraId="1803A99E"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37.03±3.96</w:t>
            </w:r>
            <w:r w:rsidRPr="003469A0">
              <w:rPr>
                <w:rFonts w:ascii="Times New Roman" w:hAnsi="Times New Roman" w:cs="Times New Roman"/>
                <w:sz w:val="24"/>
                <w:szCs w:val="24"/>
                <w:vertAlign w:val="superscript"/>
              </w:rPr>
              <w:t>b</w:t>
            </w:r>
          </w:p>
        </w:tc>
        <w:tc>
          <w:tcPr>
            <w:tcW w:w="1725" w:type="dxa"/>
            <w:tcBorders>
              <w:top w:val="nil"/>
              <w:bottom w:val="nil"/>
            </w:tcBorders>
          </w:tcPr>
          <w:p w14:paraId="5F8EC5CC"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1.50±0.14</w:t>
            </w:r>
            <w:r w:rsidRPr="003469A0">
              <w:rPr>
                <w:rFonts w:ascii="Times New Roman" w:hAnsi="Times New Roman" w:cs="Times New Roman"/>
                <w:sz w:val="24"/>
                <w:szCs w:val="24"/>
                <w:vertAlign w:val="superscript"/>
              </w:rPr>
              <w:t>b</w:t>
            </w:r>
          </w:p>
        </w:tc>
        <w:tc>
          <w:tcPr>
            <w:tcW w:w="1748" w:type="dxa"/>
            <w:tcBorders>
              <w:top w:val="nil"/>
              <w:bottom w:val="nil"/>
            </w:tcBorders>
          </w:tcPr>
          <w:p w14:paraId="0347142E"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16.28±2.03</w:t>
            </w:r>
            <w:r w:rsidRPr="003469A0">
              <w:rPr>
                <w:rFonts w:ascii="Times New Roman" w:hAnsi="Times New Roman" w:cs="Times New Roman"/>
                <w:sz w:val="24"/>
                <w:szCs w:val="24"/>
                <w:vertAlign w:val="superscript"/>
              </w:rPr>
              <w:t>b</w:t>
            </w:r>
          </w:p>
        </w:tc>
        <w:tc>
          <w:tcPr>
            <w:tcW w:w="2403" w:type="dxa"/>
            <w:tcBorders>
              <w:top w:val="nil"/>
              <w:bottom w:val="nil"/>
            </w:tcBorders>
          </w:tcPr>
          <w:p w14:paraId="58DDDFDB"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0.38±0.13</w:t>
            </w:r>
            <w:r w:rsidRPr="003469A0">
              <w:rPr>
                <w:rFonts w:ascii="Times New Roman" w:hAnsi="Times New Roman" w:cs="Times New Roman"/>
                <w:sz w:val="24"/>
                <w:szCs w:val="24"/>
                <w:vertAlign w:val="superscript"/>
              </w:rPr>
              <w:t>b</w:t>
            </w:r>
          </w:p>
        </w:tc>
      </w:tr>
      <w:tr w:rsidR="003469A0" w:rsidRPr="003469A0" w14:paraId="13B862DB" w14:textId="77777777" w:rsidTr="00C90038">
        <w:trPr>
          <w:trHeight w:val="813"/>
        </w:trPr>
        <w:tc>
          <w:tcPr>
            <w:tcW w:w="1947" w:type="dxa"/>
            <w:tcBorders>
              <w:top w:val="nil"/>
              <w:bottom w:val="nil"/>
            </w:tcBorders>
          </w:tcPr>
          <w:p w14:paraId="3AE03A35"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III</w:t>
            </w:r>
          </w:p>
        </w:tc>
        <w:tc>
          <w:tcPr>
            <w:tcW w:w="1813" w:type="dxa"/>
            <w:tcBorders>
              <w:top w:val="nil"/>
              <w:bottom w:val="nil"/>
            </w:tcBorders>
          </w:tcPr>
          <w:p w14:paraId="4725DAC5"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28.90±1.24</w:t>
            </w:r>
            <w:r w:rsidRPr="003469A0">
              <w:rPr>
                <w:rFonts w:ascii="Times New Roman" w:hAnsi="Times New Roman" w:cs="Times New Roman"/>
                <w:sz w:val="24"/>
                <w:szCs w:val="24"/>
                <w:vertAlign w:val="superscript"/>
              </w:rPr>
              <w:t>c</w:t>
            </w:r>
          </w:p>
        </w:tc>
        <w:tc>
          <w:tcPr>
            <w:tcW w:w="1725" w:type="dxa"/>
            <w:tcBorders>
              <w:top w:val="nil"/>
              <w:bottom w:val="nil"/>
            </w:tcBorders>
          </w:tcPr>
          <w:p w14:paraId="12469767"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1.10±0.16</w:t>
            </w:r>
            <w:r w:rsidRPr="003469A0">
              <w:rPr>
                <w:rFonts w:ascii="Times New Roman" w:hAnsi="Times New Roman" w:cs="Times New Roman"/>
                <w:sz w:val="24"/>
                <w:szCs w:val="24"/>
                <w:vertAlign w:val="superscript"/>
              </w:rPr>
              <w:t>c</w:t>
            </w:r>
          </w:p>
        </w:tc>
        <w:tc>
          <w:tcPr>
            <w:tcW w:w="1748" w:type="dxa"/>
            <w:tcBorders>
              <w:top w:val="nil"/>
              <w:bottom w:val="nil"/>
            </w:tcBorders>
          </w:tcPr>
          <w:p w14:paraId="392B0A1C"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12.85±1.63</w:t>
            </w:r>
            <w:r w:rsidRPr="003469A0">
              <w:rPr>
                <w:rFonts w:ascii="Times New Roman" w:hAnsi="Times New Roman" w:cs="Times New Roman"/>
                <w:sz w:val="24"/>
                <w:szCs w:val="24"/>
                <w:vertAlign w:val="superscript"/>
              </w:rPr>
              <w:t>c</w:t>
            </w:r>
          </w:p>
        </w:tc>
        <w:tc>
          <w:tcPr>
            <w:tcW w:w="2403" w:type="dxa"/>
            <w:tcBorders>
              <w:top w:val="nil"/>
              <w:bottom w:val="nil"/>
            </w:tcBorders>
          </w:tcPr>
          <w:p w14:paraId="432F96C9"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0.63±0.05</w:t>
            </w:r>
            <w:r w:rsidRPr="003469A0">
              <w:rPr>
                <w:rFonts w:ascii="Times New Roman" w:hAnsi="Times New Roman" w:cs="Times New Roman"/>
                <w:sz w:val="24"/>
                <w:szCs w:val="24"/>
                <w:vertAlign w:val="superscript"/>
              </w:rPr>
              <w:t>c</w:t>
            </w:r>
          </w:p>
        </w:tc>
      </w:tr>
      <w:tr w:rsidR="003469A0" w:rsidRPr="003469A0" w14:paraId="19576462" w14:textId="77777777" w:rsidTr="00C90038">
        <w:trPr>
          <w:trHeight w:val="828"/>
        </w:trPr>
        <w:tc>
          <w:tcPr>
            <w:tcW w:w="1947" w:type="dxa"/>
            <w:tcBorders>
              <w:top w:val="nil"/>
            </w:tcBorders>
          </w:tcPr>
          <w:p w14:paraId="23B52A20"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IV</w:t>
            </w:r>
          </w:p>
        </w:tc>
        <w:tc>
          <w:tcPr>
            <w:tcW w:w="1813" w:type="dxa"/>
            <w:tcBorders>
              <w:top w:val="nil"/>
            </w:tcBorders>
          </w:tcPr>
          <w:p w14:paraId="781DDACC"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27.73±2.75</w:t>
            </w:r>
            <w:r w:rsidRPr="003469A0">
              <w:rPr>
                <w:rFonts w:ascii="Times New Roman" w:hAnsi="Times New Roman" w:cs="Times New Roman"/>
                <w:sz w:val="24"/>
                <w:szCs w:val="24"/>
                <w:vertAlign w:val="superscript"/>
              </w:rPr>
              <w:t>a</w:t>
            </w:r>
          </w:p>
        </w:tc>
        <w:tc>
          <w:tcPr>
            <w:tcW w:w="1725" w:type="dxa"/>
            <w:tcBorders>
              <w:top w:val="nil"/>
            </w:tcBorders>
          </w:tcPr>
          <w:p w14:paraId="2C5FC7C3"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1.03±0.17</w:t>
            </w:r>
            <w:r w:rsidRPr="003469A0">
              <w:rPr>
                <w:rFonts w:ascii="Times New Roman" w:hAnsi="Times New Roman" w:cs="Times New Roman"/>
                <w:sz w:val="24"/>
                <w:szCs w:val="24"/>
                <w:vertAlign w:val="superscript"/>
              </w:rPr>
              <w:t>c</w:t>
            </w:r>
          </w:p>
        </w:tc>
        <w:tc>
          <w:tcPr>
            <w:tcW w:w="1748" w:type="dxa"/>
            <w:tcBorders>
              <w:top w:val="nil"/>
            </w:tcBorders>
          </w:tcPr>
          <w:p w14:paraId="717F3CDC"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12.68±1.76</w:t>
            </w:r>
            <w:r w:rsidRPr="003469A0">
              <w:rPr>
                <w:rFonts w:ascii="Times New Roman" w:hAnsi="Times New Roman" w:cs="Times New Roman"/>
                <w:sz w:val="24"/>
                <w:szCs w:val="24"/>
                <w:vertAlign w:val="superscript"/>
              </w:rPr>
              <w:t>c</w:t>
            </w:r>
          </w:p>
        </w:tc>
        <w:tc>
          <w:tcPr>
            <w:tcW w:w="2403" w:type="dxa"/>
            <w:tcBorders>
              <w:top w:val="nil"/>
            </w:tcBorders>
          </w:tcPr>
          <w:p w14:paraId="394EA687"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0.48±0.10</w:t>
            </w:r>
            <w:r w:rsidRPr="003469A0">
              <w:rPr>
                <w:rFonts w:ascii="Times New Roman" w:hAnsi="Times New Roman" w:cs="Times New Roman"/>
                <w:sz w:val="24"/>
                <w:szCs w:val="24"/>
                <w:vertAlign w:val="superscript"/>
              </w:rPr>
              <w:t>b</w:t>
            </w:r>
          </w:p>
        </w:tc>
      </w:tr>
    </w:tbl>
    <w:p w14:paraId="48B2C730" w14:textId="77777777" w:rsidR="009E1460" w:rsidRPr="003469A0" w:rsidRDefault="009E1460" w:rsidP="009E1460">
      <w:pPr>
        <w:spacing w:after="0" w:line="240" w:lineRule="auto"/>
        <w:jc w:val="both"/>
        <w:rPr>
          <w:rFonts w:ascii="Times New Roman" w:hAnsi="Times New Roman" w:cs="Times New Roman"/>
          <w:sz w:val="20"/>
          <w:szCs w:val="20"/>
        </w:rPr>
      </w:pPr>
      <w:r w:rsidRPr="003469A0">
        <w:rPr>
          <w:rFonts w:ascii="Times New Roman" w:hAnsi="Times New Roman" w:cs="Times New Roman"/>
          <w:sz w:val="20"/>
          <w:szCs w:val="20"/>
        </w:rPr>
        <w:t>Data are (M±S.D) of four determinations (n=4). Values bearing different superscript letters (a, b, c) are significantly different (p&lt;0.05) down the column when compared to groups I and II.</w:t>
      </w:r>
    </w:p>
    <w:p w14:paraId="0D905023" w14:textId="77777777" w:rsidR="009E1460" w:rsidRPr="003469A0" w:rsidRDefault="009E1460" w:rsidP="009E1460">
      <w:pPr>
        <w:spacing w:after="0" w:line="240" w:lineRule="auto"/>
        <w:jc w:val="both"/>
        <w:rPr>
          <w:rStyle w:val="hgkelc"/>
          <w:rFonts w:ascii="Times New Roman" w:hAnsi="Times New Roman" w:cs="Times New Roman"/>
          <w:sz w:val="20"/>
          <w:szCs w:val="20"/>
        </w:rPr>
      </w:pPr>
      <w:r w:rsidRPr="003469A0">
        <w:rPr>
          <w:rFonts w:ascii="Times New Roman" w:hAnsi="Times New Roman" w:cs="Times New Roman"/>
          <w:sz w:val="20"/>
          <w:szCs w:val="20"/>
        </w:rPr>
        <w:t>N/B- BUN- blood urea nitrogen; GFR- glomerular filtration rate; mg/dl - milligram per deciliter; ml/min/1.7cm</w:t>
      </w:r>
      <w:r w:rsidRPr="003469A0">
        <w:rPr>
          <w:rFonts w:ascii="Times New Roman" w:hAnsi="Times New Roman" w:cs="Times New Roman"/>
          <w:sz w:val="20"/>
          <w:szCs w:val="20"/>
          <w:vertAlign w:val="superscript"/>
        </w:rPr>
        <w:t>2</w:t>
      </w:r>
      <w:r w:rsidRPr="003469A0">
        <w:rPr>
          <w:rFonts w:ascii="Times New Roman" w:hAnsi="Times New Roman" w:cs="Times New Roman"/>
          <w:sz w:val="20"/>
          <w:szCs w:val="20"/>
        </w:rPr>
        <w:t xml:space="preserve">- </w:t>
      </w:r>
      <w:r w:rsidRPr="003469A0">
        <w:rPr>
          <w:rStyle w:val="hgkelc"/>
          <w:rFonts w:ascii="Times New Roman" w:hAnsi="Times New Roman" w:cs="Times New Roman"/>
          <w:bCs/>
          <w:sz w:val="20"/>
          <w:szCs w:val="20"/>
          <w:lang w:val="en"/>
        </w:rPr>
        <w:t>milliliter per minute per 1.7 centimeter square; mEq/l- mole equivalent per litre.</w:t>
      </w:r>
    </w:p>
    <w:p w14:paraId="745EFE11" w14:textId="77777777" w:rsidR="000328AB" w:rsidRPr="003469A0" w:rsidRDefault="000328AB" w:rsidP="000328AB">
      <w:pPr>
        <w:spacing w:line="240" w:lineRule="auto"/>
        <w:jc w:val="both"/>
        <w:rPr>
          <w:rFonts w:ascii="Times New Roman" w:hAnsi="Times New Roman" w:cs="Times New Roman"/>
          <w:sz w:val="20"/>
          <w:szCs w:val="20"/>
        </w:rPr>
      </w:pPr>
    </w:p>
    <w:p w14:paraId="7B45CA95" w14:textId="77777777" w:rsidR="00B93BAB" w:rsidRPr="003469A0" w:rsidRDefault="00B93BAB" w:rsidP="000328AB">
      <w:pPr>
        <w:spacing w:line="240" w:lineRule="auto"/>
        <w:jc w:val="both"/>
        <w:rPr>
          <w:rFonts w:ascii="Times New Roman" w:hAnsi="Times New Roman" w:cs="Times New Roman"/>
          <w:sz w:val="24"/>
          <w:szCs w:val="24"/>
        </w:rPr>
      </w:pPr>
    </w:p>
    <w:p w14:paraId="3F79B26F" w14:textId="77777777" w:rsidR="000A5311" w:rsidRPr="003469A0" w:rsidRDefault="000A5311" w:rsidP="000328AB">
      <w:pPr>
        <w:spacing w:line="240" w:lineRule="auto"/>
        <w:jc w:val="both"/>
        <w:rPr>
          <w:rFonts w:ascii="Times New Roman" w:hAnsi="Times New Roman" w:cs="Times New Roman"/>
          <w:sz w:val="24"/>
          <w:szCs w:val="24"/>
        </w:rPr>
      </w:pPr>
    </w:p>
    <w:p w14:paraId="3ABF335A" w14:textId="77777777" w:rsidR="00B93BAB" w:rsidRPr="003469A0" w:rsidRDefault="00B93BAB" w:rsidP="000328AB">
      <w:pPr>
        <w:spacing w:line="240" w:lineRule="auto"/>
        <w:jc w:val="both"/>
        <w:rPr>
          <w:rFonts w:ascii="Times New Roman" w:hAnsi="Times New Roman" w:cs="Times New Roman"/>
          <w:sz w:val="24"/>
          <w:szCs w:val="24"/>
        </w:rPr>
      </w:pPr>
    </w:p>
    <w:p w14:paraId="5421D42B" w14:textId="77777777" w:rsidR="000A5311" w:rsidRPr="003469A0" w:rsidRDefault="000A5311" w:rsidP="00B93BAB">
      <w:pPr>
        <w:spacing w:after="0" w:line="360" w:lineRule="auto"/>
        <w:jc w:val="both"/>
        <w:rPr>
          <w:rFonts w:ascii="Times New Roman" w:hAnsi="Times New Roman" w:cs="Times New Roman"/>
          <w:b/>
          <w:sz w:val="24"/>
          <w:szCs w:val="24"/>
        </w:rPr>
      </w:pPr>
    </w:p>
    <w:p w14:paraId="30D5529C" w14:textId="77777777" w:rsidR="000A5311" w:rsidRPr="003469A0" w:rsidRDefault="000A5311" w:rsidP="00B93BAB">
      <w:pPr>
        <w:spacing w:after="0" w:line="360" w:lineRule="auto"/>
        <w:jc w:val="both"/>
        <w:rPr>
          <w:rFonts w:ascii="Times New Roman" w:hAnsi="Times New Roman" w:cs="Times New Roman"/>
          <w:b/>
          <w:sz w:val="24"/>
          <w:szCs w:val="24"/>
        </w:rPr>
      </w:pPr>
    </w:p>
    <w:p w14:paraId="02CEEE1D" w14:textId="77777777" w:rsidR="00B93BAB" w:rsidRPr="003469A0" w:rsidRDefault="00B93BAB" w:rsidP="00B93BAB">
      <w:pPr>
        <w:spacing w:after="0" w:line="360" w:lineRule="auto"/>
        <w:jc w:val="both"/>
        <w:rPr>
          <w:rFonts w:ascii="Times New Roman" w:hAnsi="Times New Roman" w:cs="Times New Roman"/>
          <w:b/>
          <w:sz w:val="24"/>
          <w:szCs w:val="24"/>
        </w:rPr>
      </w:pPr>
      <w:r w:rsidRPr="003469A0">
        <w:rPr>
          <w:rFonts w:ascii="Times New Roman" w:hAnsi="Times New Roman" w:cs="Times New Roman"/>
          <w:b/>
          <w:sz w:val="24"/>
          <w:szCs w:val="24"/>
        </w:rPr>
        <w:lastRenderedPageBreak/>
        <w:t xml:space="preserve">Table 5: Effects of </w:t>
      </w:r>
      <w:r w:rsidRPr="003469A0">
        <w:rPr>
          <w:rFonts w:ascii="Times New Roman" w:hAnsi="Times New Roman" w:cs="Times New Roman"/>
          <w:b/>
          <w:i/>
          <w:sz w:val="24"/>
          <w:szCs w:val="24"/>
        </w:rPr>
        <w:t>Phoenix dactylifera</w:t>
      </w:r>
      <w:r w:rsidRPr="003469A0">
        <w:rPr>
          <w:rFonts w:ascii="Times New Roman" w:hAnsi="Times New Roman" w:cs="Times New Roman"/>
          <w:b/>
          <w:sz w:val="24"/>
          <w:szCs w:val="24"/>
        </w:rPr>
        <w:t xml:space="preserve"> fruit Extract on Lipid Profile Parameters of Albino Rats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00"/>
        <w:gridCol w:w="1508"/>
        <w:gridCol w:w="1421"/>
        <w:gridCol w:w="1439"/>
        <w:gridCol w:w="1973"/>
        <w:gridCol w:w="1635"/>
      </w:tblGrid>
      <w:tr w:rsidR="003469A0" w:rsidRPr="003469A0" w14:paraId="1A9BC5A5" w14:textId="77777777" w:rsidTr="00C90038">
        <w:tc>
          <w:tcPr>
            <w:tcW w:w="1604" w:type="dxa"/>
            <w:tcBorders>
              <w:bottom w:val="single" w:sz="4" w:space="0" w:color="000000" w:themeColor="text1"/>
            </w:tcBorders>
          </w:tcPr>
          <w:p w14:paraId="57916DEE" w14:textId="77777777" w:rsidR="00B93BAB" w:rsidRPr="003469A0" w:rsidRDefault="00B93BAB" w:rsidP="00B93BAB">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Treatment Groups</w:t>
            </w:r>
          </w:p>
        </w:tc>
        <w:tc>
          <w:tcPr>
            <w:tcW w:w="1493" w:type="dxa"/>
            <w:tcBorders>
              <w:bottom w:val="single" w:sz="4" w:space="0" w:color="000000" w:themeColor="text1"/>
            </w:tcBorders>
          </w:tcPr>
          <w:p w14:paraId="0133216D" w14:textId="77777777" w:rsidR="00B93BAB" w:rsidRPr="003469A0" w:rsidRDefault="00B93BAB" w:rsidP="00B93BAB">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Total chol (mg/dl)</w:t>
            </w:r>
          </w:p>
        </w:tc>
        <w:tc>
          <w:tcPr>
            <w:tcW w:w="1421" w:type="dxa"/>
            <w:tcBorders>
              <w:bottom w:val="single" w:sz="4" w:space="0" w:color="000000" w:themeColor="text1"/>
            </w:tcBorders>
          </w:tcPr>
          <w:p w14:paraId="21961489" w14:textId="77777777" w:rsidR="00B93BAB" w:rsidRPr="003469A0" w:rsidRDefault="00B93BAB" w:rsidP="00B93BAB">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 xml:space="preserve">TAG (mg/dl) </w:t>
            </w:r>
          </w:p>
        </w:tc>
        <w:tc>
          <w:tcPr>
            <w:tcW w:w="1440" w:type="dxa"/>
            <w:tcBorders>
              <w:bottom w:val="single" w:sz="4" w:space="0" w:color="000000" w:themeColor="text1"/>
            </w:tcBorders>
          </w:tcPr>
          <w:p w14:paraId="159E9F9E" w14:textId="77777777" w:rsidR="00B93BAB" w:rsidRPr="003469A0" w:rsidRDefault="00B93BAB" w:rsidP="00B93BAB">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 xml:space="preserve">HDL (mg/dl) </w:t>
            </w:r>
          </w:p>
        </w:tc>
        <w:tc>
          <w:tcPr>
            <w:tcW w:w="1980" w:type="dxa"/>
            <w:tcBorders>
              <w:bottom w:val="single" w:sz="4" w:space="0" w:color="000000" w:themeColor="text1"/>
            </w:tcBorders>
          </w:tcPr>
          <w:p w14:paraId="015E3932" w14:textId="77777777" w:rsidR="00B93BAB" w:rsidRPr="003469A0" w:rsidRDefault="00B93BAB" w:rsidP="00B93BAB">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LDL (mg/dl)</w:t>
            </w:r>
          </w:p>
        </w:tc>
        <w:tc>
          <w:tcPr>
            <w:tcW w:w="1638" w:type="dxa"/>
            <w:tcBorders>
              <w:bottom w:val="single" w:sz="4" w:space="0" w:color="000000" w:themeColor="text1"/>
            </w:tcBorders>
          </w:tcPr>
          <w:p w14:paraId="16C4E542" w14:textId="77777777" w:rsidR="00B93BAB" w:rsidRPr="003469A0" w:rsidRDefault="00B93BAB" w:rsidP="00B93BAB">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 xml:space="preserve">VLDL (mg/dl) </w:t>
            </w:r>
          </w:p>
        </w:tc>
      </w:tr>
      <w:tr w:rsidR="003469A0" w:rsidRPr="003469A0" w14:paraId="77B8CE16" w14:textId="77777777" w:rsidTr="00C90038">
        <w:trPr>
          <w:trHeight w:val="323"/>
        </w:trPr>
        <w:tc>
          <w:tcPr>
            <w:tcW w:w="1604" w:type="dxa"/>
            <w:tcBorders>
              <w:bottom w:val="nil"/>
            </w:tcBorders>
          </w:tcPr>
          <w:p w14:paraId="64FA1C29"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w:t>
            </w:r>
          </w:p>
        </w:tc>
        <w:tc>
          <w:tcPr>
            <w:tcW w:w="1493" w:type="dxa"/>
            <w:tcBorders>
              <w:bottom w:val="nil"/>
            </w:tcBorders>
          </w:tcPr>
          <w:p w14:paraId="6A174D33"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74.53±4.05</w:t>
            </w:r>
            <w:r w:rsidRPr="003469A0">
              <w:rPr>
                <w:rFonts w:ascii="Times New Roman" w:hAnsi="Times New Roman" w:cs="Times New Roman"/>
                <w:sz w:val="24"/>
                <w:szCs w:val="24"/>
                <w:vertAlign w:val="superscript"/>
              </w:rPr>
              <w:t>a</w:t>
            </w:r>
          </w:p>
        </w:tc>
        <w:tc>
          <w:tcPr>
            <w:tcW w:w="1421" w:type="dxa"/>
            <w:tcBorders>
              <w:bottom w:val="nil"/>
            </w:tcBorders>
          </w:tcPr>
          <w:p w14:paraId="1AF9847B"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43.20±3.76</w:t>
            </w:r>
            <w:r w:rsidRPr="003469A0">
              <w:rPr>
                <w:rFonts w:ascii="Times New Roman" w:hAnsi="Times New Roman" w:cs="Times New Roman"/>
                <w:sz w:val="24"/>
                <w:szCs w:val="24"/>
                <w:vertAlign w:val="superscript"/>
              </w:rPr>
              <w:t>a</w:t>
            </w:r>
          </w:p>
        </w:tc>
        <w:tc>
          <w:tcPr>
            <w:tcW w:w="1440" w:type="dxa"/>
            <w:tcBorders>
              <w:bottom w:val="nil"/>
            </w:tcBorders>
          </w:tcPr>
          <w:p w14:paraId="715C2C30"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29.13±2.68</w:t>
            </w:r>
            <w:r w:rsidRPr="003469A0">
              <w:rPr>
                <w:rFonts w:ascii="Times New Roman" w:hAnsi="Times New Roman" w:cs="Times New Roman"/>
                <w:sz w:val="24"/>
                <w:szCs w:val="24"/>
                <w:vertAlign w:val="superscript"/>
              </w:rPr>
              <w:t>a</w:t>
            </w:r>
          </w:p>
        </w:tc>
        <w:tc>
          <w:tcPr>
            <w:tcW w:w="1980" w:type="dxa"/>
            <w:tcBorders>
              <w:bottom w:val="nil"/>
            </w:tcBorders>
          </w:tcPr>
          <w:p w14:paraId="78180E8B"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36.76±1.93</w:t>
            </w:r>
            <w:r w:rsidRPr="003469A0">
              <w:rPr>
                <w:rFonts w:ascii="Times New Roman" w:hAnsi="Times New Roman" w:cs="Times New Roman"/>
                <w:sz w:val="24"/>
                <w:szCs w:val="24"/>
                <w:vertAlign w:val="superscript"/>
              </w:rPr>
              <w:t>a</w:t>
            </w:r>
          </w:p>
        </w:tc>
        <w:tc>
          <w:tcPr>
            <w:tcW w:w="1638" w:type="dxa"/>
            <w:tcBorders>
              <w:bottom w:val="nil"/>
            </w:tcBorders>
          </w:tcPr>
          <w:p w14:paraId="4DF2D3EB"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19.64±1.71</w:t>
            </w:r>
            <w:r w:rsidRPr="003469A0">
              <w:rPr>
                <w:rFonts w:ascii="Times New Roman" w:hAnsi="Times New Roman" w:cs="Times New Roman"/>
                <w:sz w:val="24"/>
                <w:szCs w:val="24"/>
                <w:vertAlign w:val="superscript"/>
              </w:rPr>
              <w:t>a</w:t>
            </w:r>
          </w:p>
        </w:tc>
      </w:tr>
      <w:tr w:rsidR="003469A0" w:rsidRPr="003469A0" w14:paraId="2336579A" w14:textId="77777777" w:rsidTr="00C90038">
        <w:tc>
          <w:tcPr>
            <w:tcW w:w="1604" w:type="dxa"/>
            <w:tcBorders>
              <w:top w:val="nil"/>
              <w:bottom w:val="nil"/>
            </w:tcBorders>
          </w:tcPr>
          <w:p w14:paraId="07C71B88"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II</w:t>
            </w:r>
          </w:p>
        </w:tc>
        <w:tc>
          <w:tcPr>
            <w:tcW w:w="1493" w:type="dxa"/>
            <w:tcBorders>
              <w:top w:val="nil"/>
              <w:bottom w:val="nil"/>
            </w:tcBorders>
          </w:tcPr>
          <w:p w14:paraId="7C77D57E"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100.00±4.55</w:t>
            </w:r>
            <w:r w:rsidRPr="003469A0">
              <w:rPr>
                <w:rFonts w:ascii="Times New Roman" w:hAnsi="Times New Roman" w:cs="Times New Roman"/>
                <w:sz w:val="24"/>
                <w:szCs w:val="24"/>
                <w:vertAlign w:val="superscript"/>
              </w:rPr>
              <w:t>b</w:t>
            </w:r>
          </w:p>
        </w:tc>
        <w:tc>
          <w:tcPr>
            <w:tcW w:w="1421" w:type="dxa"/>
            <w:tcBorders>
              <w:top w:val="nil"/>
              <w:bottom w:val="nil"/>
            </w:tcBorders>
          </w:tcPr>
          <w:p w14:paraId="1C463F9B"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61.85±1.87</w:t>
            </w:r>
            <w:r w:rsidRPr="003469A0">
              <w:rPr>
                <w:rFonts w:ascii="Times New Roman" w:hAnsi="Times New Roman" w:cs="Times New Roman"/>
                <w:sz w:val="24"/>
                <w:szCs w:val="24"/>
                <w:vertAlign w:val="superscript"/>
              </w:rPr>
              <w:t>b</w:t>
            </w:r>
          </w:p>
        </w:tc>
        <w:tc>
          <w:tcPr>
            <w:tcW w:w="1440" w:type="dxa"/>
            <w:tcBorders>
              <w:top w:val="nil"/>
              <w:bottom w:val="nil"/>
            </w:tcBorders>
          </w:tcPr>
          <w:p w14:paraId="4E02E876"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15.75±1.11</w:t>
            </w:r>
            <w:r w:rsidRPr="003469A0">
              <w:rPr>
                <w:rFonts w:ascii="Times New Roman" w:hAnsi="Times New Roman" w:cs="Times New Roman"/>
                <w:sz w:val="24"/>
                <w:szCs w:val="24"/>
                <w:vertAlign w:val="superscript"/>
              </w:rPr>
              <w:t>b</w:t>
            </w:r>
          </w:p>
        </w:tc>
        <w:tc>
          <w:tcPr>
            <w:tcW w:w="1980" w:type="dxa"/>
            <w:tcBorders>
              <w:top w:val="nil"/>
              <w:bottom w:val="nil"/>
            </w:tcBorders>
          </w:tcPr>
          <w:p w14:paraId="609CD7D3"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71.58±3.73</w:t>
            </w:r>
            <w:r w:rsidRPr="003469A0">
              <w:rPr>
                <w:rFonts w:ascii="Times New Roman" w:hAnsi="Times New Roman" w:cs="Times New Roman"/>
                <w:sz w:val="24"/>
                <w:szCs w:val="24"/>
                <w:vertAlign w:val="superscript"/>
              </w:rPr>
              <w:t>b</w:t>
            </w:r>
          </w:p>
        </w:tc>
        <w:tc>
          <w:tcPr>
            <w:tcW w:w="1638" w:type="dxa"/>
            <w:tcBorders>
              <w:top w:val="nil"/>
              <w:bottom w:val="nil"/>
            </w:tcBorders>
          </w:tcPr>
          <w:p w14:paraId="7C109523"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28.80±1.14</w:t>
            </w:r>
            <w:r w:rsidRPr="003469A0">
              <w:rPr>
                <w:rFonts w:ascii="Times New Roman" w:hAnsi="Times New Roman" w:cs="Times New Roman"/>
                <w:sz w:val="24"/>
                <w:szCs w:val="24"/>
                <w:vertAlign w:val="superscript"/>
              </w:rPr>
              <w:t>b</w:t>
            </w:r>
          </w:p>
        </w:tc>
      </w:tr>
      <w:tr w:rsidR="003469A0" w:rsidRPr="003469A0" w14:paraId="22419529" w14:textId="77777777" w:rsidTr="00C90038">
        <w:tc>
          <w:tcPr>
            <w:tcW w:w="1604" w:type="dxa"/>
            <w:tcBorders>
              <w:top w:val="nil"/>
              <w:bottom w:val="nil"/>
            </w:tcBorders>
          </w:tcPr>
          <w:p w14:paraId="76CB7A65"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III</w:t>
            </w:r>
          </w:p>
        </w:tc>
        <w:tc>
          <w:tcPr>
            <w:tcW w:w="1493" w:type="dxa"/>
            <w:tcBorders>
              <w:top w:val="nil"/>
              <w:bottom w:val="nil"/>
            </w:tcBorders>
          </w:tcPr>
          <w:p w14:paraId="77237185"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84.00±2.94</w:t>
            </w:r>
            <w:r w:rsidRPr="003469A0">
              <w:rPr>
                <w:rFonts w:ascii="Times New Roman" w:hAnsi="Times New Roman" w:cs="Times New Roman"/>
                <w:sz w:val="24"/>
                <w:szCs w:val="24"/>
                <w:vertAlign w:val="superscript"/>
              </w:rPr>
              <w:t>c</w:t>
            </w:r>
          </w:p>
        </w:tc>
        <w:tc>
          <w:tcPr>
            <w:tcW w:w="1421" w:type="dxa"/>
            <w:tcBorders>
              <w:top w:val="nil"/>
              <w:bottom w:val="nil"/>
            </w:tcBorders>
          </w:tcPr>
          <w:p w14:paraId="25C6ECD6"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47.90±4.92</w:t>
            </w:r>
            <w:r w:rsidRPr="003469A0">
              <w:rPr>
                <w:rFonts w:ascii="Times New Roman" w:hAnsi="Times New Roman" w:cs="Times New Roman"/>
                <w:sz w:val="24"/>
                <w:szCs w:val="24"/>
                <w:vertAlign w:val="superscript"/>
              </w:rPr>
              <w:t>a</w:t>
            </w:r>
          </w:p>
        </w:tc>
        <w:tc>
          <w:tcPr>
            <w:tcW w:w="1440" w:type="dxa"/>
            <w:tcBorders>
              <w:top w:val="nil"/>
              <w:bottom w:val="nil"/>
            </w:tcBorders>
          </w:tcPr>
          <w:p w14:paraId="5B788869"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27.98±2.05</w:t>
            </w:r>
            <w:r w:rsidRPr="003469A0">
              <w:rPr>
                <w:rFonts w:ascii="Times New Roman" w:hAnsi="Times New Roman" w:cs="Times New Roman"/>
                <w:sz w:val="24"/>
                <w:szCs w:val="24"/>
                <w:vertAlign w:val="superscript"/>
              </w:rPr>
              <w:t>a</w:t>
            </w:r>
          </w:p>
        </w:tc>
        <w:tc>
          <w:tcPr>
            <w:tcW w:w="1980" w:type="dxa"/>
            <w:tcBorders>
              <w:top w:val="nil"/>
              <w:bottom w:val="nil"/>
            </w:tcBorders>
          </w:tcPr>
          <w:p w14:paraId="3A16069A"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46.40±5.17</w:t>
            </w:r>
            <w:r w:rsidRPr="003469A0">
              <w:rPr>
                <w:rFonts w:ascii="Times New Roman" w:hAnsi="Times New Roman" w:cs="Times New Roman"/>
                <w:sz w:val="24"/>
                <w:szCs w:val="24"/>
                <w:vertAlign w:val="superscript"/>
              </w:rPr>
              <w:t>c</w:t>
            </w:r>
          </w:p>
        </w:tc>
        <w:tc>
          <w:tcPr>
            <w:tcW w:w="1638" w:type="dxa"/>
            <w:tcBorders>
              <w:top w:val="nil"/>
              <w:bottom w:val="nil"/>
            </w:tcBorders>
          </w:tcPr>
          <w:p w14:paraId="7A080F58"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21.78±2.24</w:t>
            </w:r>
            <w:r w:rsidRPr="003469A0">
              <w:rPr>
                <w:rFonts w:ascii="Times New Roman" w:hAnsi="Times New Roman" w:cs="Times New Roman"/>
                <w:sz w:val="24"/>
                <w:szCs w:val="24"/>
                <w:vertAlign w:val="superscript"/>
              </w:rPr>
              <w:t>a</w:t>
            </w:r>
          </w:p>
        </w:tc>
      </w:tr>
      <w:tr w:rsidR="003469A0" w:rsidRPr="003469A0" w14:paraId="3839D38C" w14:textId="77777777" w:rsidTr="00C90038">
        <w:tc>
          <w:tcPr>
            <w:tcW w:w="1604" w:type="dxa"/>
            <w:tcBorders>
              <w:top w:val="nil"/>
            </w:tcBorders>
          </w:tcPr>
          <w:p w14:paraId="490418D7"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IV</w:t>
            </w:r>
          </w:p>
        </w:tc>
        <w:tc>
          <w:tcPr>
            <w:tcW w:w="1493" w:type="dxa"/>
            <w:tcBorders>
              <w:top w:val="nil"/>
            </w:tcBorders>
          </w:tcPr>
          <w:p w14:paraId="3D39CCDE"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78.75±2.36</w:t>
            </w:r>
            <w:r w:rsidRPr="003469A0">
              <w:rPr>
                <w:rFonts w:ascii="Times New Roman" w:hAnsi="Times New Roman" w:cs="Times New Roman"/>
                <w:sz w:val="24"/>
                <w:szCs w:val="24"/>
                <w:vertAlign w:val="superscript"/>
              </w:rPr>
              <w:t>a</w:t>
            </w:r>
          </w:p>
        </w:tc>
        <w:tc>
          <w:tcPr>
            <w:tcW w:w="1421" w:type="dxa"/>
            <w:tcBorders>
              <w:top w:val="nil"/>
            </w:tcBorders>
          </w:tcPr>
          <w:p w14:paraId="6D75358A"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45.35±3.46</w:t>
            </w:r>
            <w:r w:rsidRPr="003469A0">
              <w:rPr>
                <w:rFonts w:ascii="Times New Roman" w:hAnsi="Times New Roman" w:cs="Times New Roman"/>
                <w:sz w:val="24"/>
                <w:szCs w:val="24"/>
                <w:vertAlign w:val="superscript"/>
              </w:rPr>
              <w:t>a</w:t>
            </w:r>
          </w:p>
        </w:tc>
        <w:tc>
          <w:tcPr>
            <w:tcW w:w="1440" w:type="dxa"/>
            <w:tcBorders>
              <w:top w:val="nil"/>
            </w:tcBorders>
          </w:tcPr>
          <w:p w14:paraId="4493E79E"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33.30±4.01</w:t>
            </w:r>
            <w:r w:rsidRPr="003469A0">
              <w:rPr>
                <w:rFonts w:ascii="Times New Roman" w:hAnsi="Times New Roman" w:cs="Times New Roman"/>
                <w:sz w:val="24"/>
                <w:szCs w:val="24"/>
                <w:vertAlign w:val="superscript"/>
              </w:rPr>
              <w:t>c</w:t>
            </w:r>
          </w:p>
        </w:tc>
        <w:tc>
          <w:tcPr>
            <w:tcW w:w="1980" w:type="dxa"/>
            <w:tcBorders>
              <w:top w:val="nil"/>
            </w:tcBorders>
          </w:tcPr>
          <w:p w14:paraId="7929753B"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36.38±3.31</w:t>
            </w:r>
            <w:r w:rsidRPr="003469A0">
              <w:rPr>
                <w:rFonts w:ascii="Times New Roman" w:hAnsi="Times New Roman" w:cs="Times New Roman"/>
                <w:sz w:val="24"/>
                <w:szCs w:val="24"/>
                <w:vertAlign w:val="superscript"/>
              </w:rPr>
              <w:t>a</w:t>
            </w:r>
          </w:p>
        </w:tc>
        <w:tc>
          <w:tcPr>
            <w:tcW w:w="1638" w:type="dxa"/>
            <w:tcBorders>
              <w:top w:val="nil"/>
            </w:tcBorders>
          </w:tcPr>
          <w:p w14:paraId="46835AA9"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20.62±1.57</w:t>
            </w:r>
            <w:r w:rsidRPr="003469A0">
              <w:rPr>
                <w:rFonts w:ascii="Times New Roman" w:hAnsi="Times New Roman" w:cs="Times New Roman"/>
                <w:sz w:val="24"/>
                <w:szCs w:val="24"/>
                <w:vertAlign w:val="superscript"/>
              </w:rPr>
              <w:t>a</w:t>
            </w:r>
          </w:p>
        </w:tc>
      </w:tr>
    </w:tbl>
    <w:p w14:paraId="1D7566A5" w14:textId="77777777" w:rsidR="00B93BAB" w:rsidRPr="003469A0" w:rsidRDefault="00B93BAB" w:rsidP="00B93BAB">
      <w:pPr>
        <w:spacing w:line="240" w:lineRule="auto"/>
        <w:jc w:val="both"/>
        <w:rPr>
          <w:rFonts w:ascii="Times New Roman" w:hAnsi="Times New Roman" w:cs="Times New Roman"/>
          <w:sz w:val="20"/>
          <w:szCs w:val="20"/>
        </w:rPr>
      </w:pPr>
      <w:r w:rsidRPr="003469A0">
        <w:rPr>
          <w:rFonts w:ascii="Times New Roman" w:hAnsi="Times New Roman" w:cs="Times New Roman"/>
          <w:sz w:val="20"/>
          <w:szCs w:val="20"/>
        </w:rPr>
        <w:t>Data are (M±S.D) of four determinations (n=4). Values bearing different superscript letters (a, b, c) are significantly different (p&lt;0.05) down the column when compared to groups I and II.</w:t>
      </w:r>
    </w:p>
    <w:p w14:paraId="3BEF980A" w14:textId="77777777" w:rsidR="00B93BAB" w:rsidRPr="003469A0" w:rsidRDefault="00B93BAB" w:rsidP="00B93BAB">
      <w:pPr>
        <w:spacing w:line="240" w:lineRule="auto"/>
        <w:jc w:val="both"/>
        <w:rPr>
          <w:rStyle w:val="hgkelc"/>
          <w:rFonts w:ascii="Times New Roman" w:hAnsi="Times New Roman" w:cs="Times New Roman"/>
          <w:bCs/>
          <w:sz w:val="20"/>
          <w:szCs w:val="20"/>
          <w:lang w:val="en"/>
        </w:rPr>
      </w:pPr>
      <w:r w:rsidRPr="003469A0">
        <w:rPr>
          <w:rFonts w:ascii="Times New Roman" w:hAnsi="Times New Roman" w:cs="Times New Roman"/>
          <w:sz w:val="20"/>
          <w:szCs w:val="20"/>
        </w:rPr>
        <w:t>N/B- Total Chol- total cholesterol; TAG- triglyceride, HDL– high density lipoprotein, LDL- low density lipoprotein, VLDL– very low density lipoprotein; mg/dl - milligram per deciliter</w:t>
      </w:r>
      <w:r w:rsidRPr="003469A0">
        <w:rPr>
          <w:rStyle w:val="hgkelc"/>
          <w:rFonts w:ascii="Times New Roman" w:hAnsi="Times New Roman" w:cs="Times New Roman"/>
          <w:bCs/>
          <w:sz w:val="20"/>
          <w:szCs w:val="20"/>
          <w:lang w:val="en"/>
        </w:rPr>
        <w:t>.</w:t>
      </w:r>
    </w:p>
    <w:p w14:paraId="71A89823" w14:textId="77777777" w:rsidR="00B93BAB" w:rsidRPr="003469A0" w:rsidRDefault="00B93BAB" w:rsidP="00B93BAB">
      <w:pPr>
        <w:spacing w:line="240" w:lineRule="auto"/>
        <w:jc w:val="both"/>
        <w:rPr>
          <w:rStyle w:val="hgkelc"/>
          <w:rFonts w:ascii="Times New Roman" w:hAnsi="Times New Roman" w:cs="Times New Roman"/>
          <w:bCs/>
          <w:sz w:val="24"/>
          <w:szCs w:val="24"/>
          <w:lang w:val="en"/>
        </w:rPr>
      </w:pPr>
    </w:p>
    <w:p w14:paraId="6BE1751E" w14:textId="77777777" w:rsidR="00B93BAB" w:rsidRPr="003469A0" w:rsidRDefault="00B93BAB" w:rsidP="00B93BAB">
      <w:pPr>
        <w:spacing w:after="0" w:line="360" w:lineRule="auto"/>
        <w:jc w:val="both"/>
        <w:rPr>
          <w:rFonts w:ascii="Times New Roman" w:hAnsi="Times New Roman" w:cs="Times New Roman"/>
          <w:sz w:val="24"/>
          <w:szCs w:val="24"/>
        </w:rPr>
      </w:pPr>
      <w:r w:rsidRPr="003469A0">
        <w:rPr>
          <w:rFonts w:ascii="Times New Roman" w:hAnsi="Times New Roman" w:cs="Times New Roman"/>
          <w:b/>
          <w:sz w:val="24"/>
          <w:szCs w:val="24"/>
        </w:rPr>
        <w:t xml:space="preserve">Table 6: Effects of </w:t>
      </w:r>
      <w:r w:rsidRPr="003469A0">
        <w:rPr>
          <w:rFonts w:ascii="Times New Roman" w:hAnsi="Times New Roman" w:cs="Times New Roman"/>
          <w:b/>
          <w:i/>
          <w:sz w:val="24"/>
          <w:szCs w:val="24"/>
        </w:rPr>
        <w:t>Phoenix dactylifera</w:t>
      </w:r>
      <w:r w:rsidRPr="003469A0">
        <w:rPr>
          <w:rFonts w:ascii="Times New Roman" w:hAnsi="Times New Roman" w:cs="Times New Roman"/>
          <w:b/>
          <w:sz w:val="24"/>
          <w:szCs w:val="24"/>
        </w:rPr>
        <w:t xml:space="preserve"> fruit Extract on Hematological Parameters of Albino Rats</w:t>
      </w:r>
    </w:p>
    <w:tbl>
      <w:tblPr>
        <w:tblStyle w:val="TableGrid"/>
        <w:tblW w:w="9636" w:type="dxa"/>
        <w:tblBorders>
          <w:left w:val="none" w:sz="0" w:space="0" w:color="auto"/>
          <w:right w:val="none" w:sz="0" w:space="0" w:color="auto"/>
          <w:insideV w:val="none" w:sz="0" w:space="0" w:color="auto"/>
        </w:tblBorders>
        <w:tblLook w:val="04A0" w:firstRow="1" w:lastRow="0" w:firstColumn="1" w:lastColumn="0" w:noHBand="0" w:noVBand="1"/>
      </w:tblPr>
      <w:tblGrid>
        <w:gridCol w:w="1947"/>
        <w:gridCol w:w="1813"/>
        <w:gridCol w:w="1725"/>
        <w:gridCol w:w="1748"/>
        <w:gridCol w:w="2403"/>
      </w:tblGrid>
      <w:tr w:rsidR="003469A0" w:rsidRPr="003469A0" w14:paraId="132F7F8C" w14:textId="77777777" w:rsidTr="00C90038">
        <w:trPr>
          <w:trHeight w:val="800"/>
        </w:trPr>
        <w:tc>
          <w:tcPr>
            <w:tcW w:w="1947" w:type="dxa"/>
            <w:tcBorders>
              <w:bottom w:val="single" w:sz="4" w:space="0" w:color="000000" w:themeColor="text1"/>
            </w:tcBorders>
          </w:tcPr>
          <w:p w14:paraId="4356EA39" w14:textId="77777777" w:rsidR="00B93BAB" w:rsidRPr="003469A0" w:rsidRDefault="00B93BAB" w:rsidP="00B93BAB">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Treatment Groups</w:t>
            </w:r>
          </w:p>
        </w:tc>
        <w:tc>
          <w:tcPr>
            <w:tcW w:w="1813" w:type="dxa"/>
            <w:tcBorders>
              <w:bottom w:val="single" w:sz="4" w:space="0" w:color="000000" w:themeColor="text1"/>
            </w:tcBorders>
          </w:tcPr>
          <w:p w14:paraId="78645CF4" w14:textId="77777777" w:rsidR="00B93BAB" w:rsidRPr="003469A0" w:rsidRDefault="00B93BAB" w:rsidP="00B93BAB">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 xml:space="preserve">RBC </w:t>
            </w:r>
            <w:r w:rsidRPr="003469A0">
              <w:rPr>
                <w:rFonts w:ascii="Times New Roman" w:hAnsi="Times New Roman" w:cs="Times New Roman"/>
                <w:b/>
                <w:sz w:val="20"/>
                <w:szCs w:val="20"/>
              </w:rPr>
              <w:t>(×10</w:t>
            </w:r>
            <w:r w:rsidRPr="003469A0">
              <w:rPr>
                <w:rFonts w:ascii="Times New Roman" w:hAnsi="Times New Roman" w:cs="Times New Roman"/>
                <w:b/>
                <w:sz w:val="20"/>
                <w:szCs w:val="20"/>
                <w:vertAlign w:val="superscript"/>
              </w:rPr>
              <w:t>6</w:t>
            </w:r>
            <w:r w:rsidRPr="003469A0">
              <w:rPr>
                <w:rFonts w:ascii="Times New Roman" w:hAnsi="Times New Roman" w:cs="Times New Roman"/>
                <w:b/>
                <w:sz w:val="20"/>
                <w:szCs w:val="20"/>
              </w:rPr>
              <w:t>/µL)</w:t>
            </w:r>
          </w:p>
        </w:tc>
        <w:tc>
          <w:tcPr>
            <w:tcW w:w="1725" w:type="dxa"/>
            <w:tcBorders>
              <w:bottom w:val="single" w:sz="4" w:space="0" w:color="000000" w:themeColor="text1"/>
            </w:tcBorders>
          </w:tcPr>
          <w:p w14:paraId="3D4EEB16" w14:textId="77777777" w:rsidR="00B93BAB" w:rsidRPr="003469A0" w:rsidRDefault="00B93BAB" w:rsidP="00B93BAB">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 xml:space="preserve">WBC </w:t>
            </w:r>
            <w:r w:rsidRPr="003469A0">
              <w:rPr>
                <w:rFonts w:ascii="Times New Roman" w:hAnsi="Times New Roman" w:cs="Times New Roman"/>
                <w:b/>
                <w:sz w:val="20"/>
                <w:szCs w:val="20"/>
              </w:rPr>
              <w:t>(×10</w:t>
            </w:r>
            <w:r w:rsidRPr="003469A0">
              <w:rPr>
                <w:rFonts w:ascii="Times New Roman" w:hAnsi="Times New Roman" w:cs="Times New Roman"/>
                <w:b/>
                <w:sz w:val="20"/>
                <w:szCs w:val="20"/>
                <w:vertAlign w:val="superscript"/>
              </w:rPr>
              <w:t>6</w:t>
            </w:r>
            <w:r w:rsidRPr="003469A0">
              <w:rPr>
                <w:rFonts w:ascii="Times New Roman" w:hAnsi="Times New Roman" w:cs="Times New Roman"/>
                <w:b/>
                <w:sz w:val="20"/>
                <w:szCs w:val="20"/>
              </w:rPr>
              <w:t>/µL)</w:t>
            </w:r>
          </w:p>
        </w:tc>
        <w:tc>
          <w:tcPr>
            <w:tcW w:w="1748" w:type="dxa"/>
            <w:tcBorders>
              <w:bottom w:val="single" w:sz="4" w:space="0" w:color="000000" w:themeColor="text1"/>
            </w:tcBorders>
          </w:tcPr>
          <w:p w14:paraId="179D7AF2" w14:textId="77777777" w:rsidR="00B93BAB" w:rsidRPr="003469A0" w:rsidRDefault="00B93BAB" w:rsidP="00B93BAB">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 xml:space="preserve">Hb </w:t>
            </w:r>
            <w:r w:rsidRPr="003469A0">
              <w:rPr>
                <w:rFonts w:ascii="Times New Roman" w:hAnsi="Times New Roman" w:cs="Times New Roman"/>
                <w:b/>
                <w:sz w:val="20"/>
                <w:szCs w:val="20"/>
              </w:rPr>
              <w:t>(×10</w:t>
            </w:r>
            <w:r w:rsidRPr="003469A0">
              <w:rPr>
                <w:rFonts w:ascii="Times New Roman" w:hAnsi="Times New Roman" w:cs="Times New Roman"/>
                <w:b/>
                <w:sz w:val="20"/>
                <w:szCs w:val="20"/>
                <w:vertAlign w:val="superscript"/>
              </w:rPr>
              <w:t>6</w:t>
            </w:r>
            <w:r w:rsidRPr="003469A0">
              <w:rPr>
                <w:rFonts w:ascii="Times New Roman" w:hAnsi="Times New Roman" w:cs="Times New Roman"/>
                <w:b/>
                <w:sz w:val="20"/>
                <w:szCs w:val="20"/>
              </w:rPr>
              <w:t>/µL)</w:t>
            </w:r>
          </w:p>
        </w:tc>
        <w:tc>
          <w:tcPr>
            <w:tcW w:w="2403" w:type="dxa"/>
            <w:tcBorders>
              <w:bottom w:val="single" w:sz="4" w:space="0" w:color="000000" w:themeColor="text1"/>
            </w:tcBorders>
          </w:tcPr>
          <w:p w14:paraId="0F824220" w14:textId="77777777" w:rsidR="00B93BAB" w:rsidRPr="003469A0" w:rsidRDefault="00B93BAB" w:rsidP="00B93BAB">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 xml:space="preserve">PLT </w:t>
            </w:r>
            <w:r w:rsidRPr="003469A0">
              <w:rPr>
                <w:rFonts w:ascii="Times New Roman" w:hAnsi="Times New Roman" w:cs="Times New Roman"/>
                <w:b/>
                <w:sz w:val="20"/>
                <w:szCs w:val="20"/>
              </w:rPr>
              <w:t>(×10</w:t>
            </w:r>
            <w:r w:rsidRPr="003469A0">
              <w:rPr>
                <w:rFonts w:ascii="Times New Roman" w:hAnsi="Times New Roman" w:cs="Times New Roman"/>
                <w:b/>
                <w:sz w:val="20"/>
                <w:szCs w:val="20"/>
                <w:vertAlign w:val="superscript"/>
              </w:rPr>
              <w:t>6</w:t>
            </w:r>
            <w:r w:rsidRPr="003469A0">
              <w:rPr>
                <w:rFonts w:ascii="Times New Roman" w:hAnsi="Times New Roman" w:cs="Times New Roman"/>
                <w:b/>
                <w:sz w:val="20"/>
                <w:szCs w:val="20"/>
              </w:rPr>
              <w:t xml:space="preserve">/µL) </w:t>
            </w:r>
          </w:p>
        </w:tc>
      </w:tr>
      <w:tr w:rsidR="003469A0" w:rsidRPr="003469A0" w14:paraId="195868F1" w14:textId="77777777" w:rsidTr="00C90038">
        <w:trPr>
          <w:trHeight w:val="413"/>
        </w:trPr>
        <w:tc>
          <w:tcPr>
            <w:tcW w:w="1947" w:type="dxa"/>
            <w:tcBorders>
              <w:bottom w:val="nil"/>
            </w:tcBorders>
          </w:tcPr>
          <w:p w14:paraId="203CE0FF"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w:t>
            </w:r>
          </w:p>
        </w:tc>
        <w:tc>
          <w:tcPr>
            <w:tcW w:w="1813" w:type="dxa"/>
            <w:tcBorders>
              <w:bottom w:val="nil"/>
            </w:tcBorders>
          </w:tcPr>
          <w:p w14:paraId="5A9066E2"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11.83±0.46</w:t>
            </w:r>
            <w:r w:rsidRPr="003469A0">
              <w:rPr>
                <w:rFonts w:ascii="Times New Roman" w:hAnsi="Times New Roman" w:cs="Times New Roman"/>
                <w:sz w:val="24"/>
                <w:szCs w:val="24"/>
                <w:vertAlign w:val="superscript"/>
              </w:rPr>
              <w:t>a</w:t>
            </w:r>
          </w:p>
        </w:tc>
        <w:tc>
          <w:tcPr>
            <w:tcW w:w="1725" w:type="dxa"/>
            <w:tcBorders>
              <w:bottom w:val="nil"/>
            </w:tcBorders>
          </w:tcPr>
          <w:p w14:paraId="70C7DA8B"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6.75±0.31</w:t>
            </w:r>
            <w:r w:rsidRPr="003469A0">
              <w:rPr>
                <w:rFonts w:ascii="Times New Roman" w:hAnsi="Times New Roman" w:cs="Times New Roman"/>
                <w:sz w:val="24"/>
                <w:szCs w:val="24"/>
                <w:vertAlign w:val="superscript"/>
              </w:rPr>
              <w:t>a</w:t>
            </w:r>
          </w:p>
        </w:tc>
        <w:tc>
          <w:tcPr>
            <w:tcW w:w="1748" w:type="dxa"/>
            <w:tcBorders>
              <w:bottom w:val="nil"/>
            </w:tcBorders>
          </w:tcPr>
          <w:p w14:paraId="3E17FCA9"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11.43±0.89</w:t>
            </w:r>
            <w:r w:rsidRPr="003469A0">
              <w:rPr>
                <w:rFonts w:ascii="Times New Roman" w:hAnsi="Times New Roman" w:cs="Times New Roman"/>
                <w:sz w:val="24"/>
                <w:szCs w:val="24"/>
                <w:vertAlign w:val="superscript"/>
              </w:rPr>
              <w:t>a</w:t>
            </w:r>
          </w:p>
        </w:tc>
        <w:tc>
          <w:tcPr>
            <w:tcW w:w="2403" w:type="dxa"/>
            <w:tcBorders>
              <w:bottom w:val="nil"/>
            </w:tcBorders>
          </w:tcPr>
          <w:p w14:paraId="3944A41B"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253.30±13.44</w:t>
            </w:r>
            <w:r w:rsidRPr="003469A0">
              <w:rPr>
                <w:rFonts w:ascii="Times New Roman" w:hAnsi="Times New Roman" w:cs="Times New Roman"/>
                <w:sz w:val="24"/>
                <w:szCs w:val="24"/>
                <w:vertAlign w:val="superscript"/>
              </w:rPr>
              <w:t>a</w:t>
            </w:r>
          </w:p>
        </w:tc>
      </w:tr>
      <w:tr w:rsidR="003469A0" w:rsidRPr="003469A0" w14:paraId="4157714F" w14:textId="77777777" w:rsidTr="00C90038">
        <w:trPr>
          <w:trHeight w:val="720"/>
        </w:trPr>
        <w:tc>
          <w:tcPr>
            <w:tcW w:w="1947" w:type="dxa"/>
            <w:tcBorders>
              <w:top w:val="nil"/>
              <w:bottom w:val="nil"/>
            </w:tcBorders>
          </w:tcPr>
          <w:p w14:paraId="6FBEA3D0"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II</w:t>
            </w:r>
          </w:p>
        </w:tc>
        <w:tc>
          <w:tcPr>
            <w:tcW w:w="1813" w:type="dxa"/>
            <w:tcBorders>
              <w:top w:val="nil"/>
              <w:bottom w:val="nil"/>
            </w:tcBorders>
          </w:tcPr>
          <w:p w14:paraId="7F9F6097"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11.98±0.40</w:t>
            </w:r>
            <w:r w:rsidRPr="003469A0">
              <w:rPr>
                <w:rFonts w:ascii="Times New Roman" w:hAnsi="Times New Roman" w:cs="Times New Roman"/>
                <w:sz w:val="24"/>
                <w:szCs w:val="24"/>
                <w:vertAlign w:val="superscript"/>
              </w:rPr>
              <w:t>a</w:t>
            </w:r>
          </w:p>
        </w:tc>
        <w:tc>
          <w:tcPr>
            <w:tcW w:w="1725" w:type="dxa"/>
            <w:tcBorders>
              <w:top w:val="nil"/>
              <w:bottom w:val="nil"/>
            </w:tcBorders>
          </w:tcPr>
          <w:p w14:paraId="20496EC7"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11.88±0.61</w:t>
            </w:r>
            <w:r w:rsidRPr="003469A0">
              <w:rPr>
                <w:rFonts w:ascii="Times New Roman" w:hAnsi="Times New Roman" w:cs="Times New Roman"/>
                <w:sz w:val="24"/>
                <w:szCs w:val="24"/>
                <w:vertAlign w:val="superscript"/>
              </w:rPr>
              <w:t>b</w:t>
            </w:r>
          </w:p>
        </w:tc>
        <w:tc>
          <w:tcPr>
            <w:tcW w:w="1748" w:type="dxa"/>
            <w:tcBorders>
              <w:top w:val="nil"/>
              <w:bottom w:val="nil"/>
            </w:tcBorders>
          </w:tcPr>
          <w:p w14:paraId="3C2B8DC1"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7.68±0.47</w:t>
            </w:r>
            <w:r w:rsidRPr="003469A0">
              <w:rPr>
                <w:rFonts w:ascii="Times New Roman" w:hAnsi="Times New Roman" w:cs="Times New Roman"/>
                <w:sz w:val="24"/>
                <w:szCs w:val="24"/>
                <w:vertAlign w:val="superscript"/>
              </w:rPr>
              <w:t>b</w:t>
            </w:r>
          </w:p>
        </w:tc>
        <w:tc>
          <w:tcPr>
            <w:tcW w:w="2403" w:type="dxa"/>
            <w:tcBorders>
              <w:top w:val="nil"/>
              <w:bottom w:val="nil"/>
            </w:tcBorders>
          </w:tcPr>
          <w:p w14:paraId="6DE9E733"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254.55±10.68</w:t>
            </w:r>
            <w:r w:rsidRPr="003469A0">
              <w:rPr>
                <w:rFonts w:ascii="Times New Roman" w:hAnsi="Times New Roman" w:cs="Times New Roman"/>
                <w:sz w:val="24"/>
                <w:szCs w:val="24"/>
                <w:vertAlign w:val="superscript"/>
              </w:rPr>
              <w:t>a</w:t>
            </w:r>
          </w:p>
        </w:tc>
      </w:tr>
      <w:tr w:rsidR="003469A0" w:rsidRPr="003469A0" w14:paraId="77D24571" w14:textId="77777777" w:rsidTr="00C90038">
        <w:trPr>
          <w:trHeight w:val="813"/>
        </w:trPr>
        <w:tc>
          <w:tcPr>
            <w:tcW w:w="1947" w:type="dxa"/>
            <w:tcBorders>
              <w:top w:val="nil"/>
              <w:bottom w:val="nil"/>
            </w:tcBorders>
          </w:tcPr>
          <w:p w14:paraId="52A2BF30"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III</w:t>
            </w:r>
          </w:p>
        </w:tc>
        <w:tc>
          <w:tcPr>
            <w:tcW w:w="1813" w:type="dxa"/>
            <w:tcBorders>
              <w:top w:val="nil"/>
              <w:bottom w:val="nil"/>
            </w:tcBorders>
          </w:tcPr>
          <w:p w14:paraId="488D65F6"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12.05±0.39</w:t>
            </w:r>
            <w:r w:rsidRPr="003469A0">
              <w:rPr>
                <w:rFonts w:ascii="Times New Roman" w:hAnsi="Times New Roman" w:cs="Times New Roman"/>
                <w:sz w:val="24"/>
                <w:szCs w:val="24"/>
                <w:vertAlign w:val="superscript"/>
              </w:rPr>
              <w:t>a</w:t>
            </w:r>
          </w:p>
        </w:tc>
        <w:tc>
          <w:tcPr>
            <w:tcW w:w="1725" w:type="dxa"/>
            <w:tcBorders>
              <w:top w:val="nil"/>
              <w:bottom w:val="nil"/>
            </w:tcBorders>
          </w:tcPr>
          <w:p w14:paraId="738D59D1"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9.00±0.34</w:t>
            </w:r>
            <w:r w:rsidRPr="003469A0">
              <w:rPr>
                <w:rFonts w:ascii="Times New Roman" w:hAnsi="Times New Roman" w:cs="Times New Roman"/>
                <w:sz w:val="24"/>
                <w:szCs w:val="24"/>
                <w:vertAlign w:val="superscript"/>
              </w:rPr>
              <w:t>c</w:t>
            </w:r>
          </w:p>
        </w:tc>
        <w:tc>
          <w:tcPr>
            <w:tcW w:w="1748" w:type="dxa"/>
            <w:tcBorders>
              <w:top w:val="nil"/>
              <w:bottom w:val="nil"/>
            </w:tcBorders>
          </w:tcPr>
          <w:p w14:paraId="10BBA3C2"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9.33±0.39</w:t>
            </w:r>
            <w:r w:rsidRPr="003469A0">
              <w:rPr>
                <w:rFonts w:ascii="Times New Roman" w:hAnsi="Times New Roman" w:cs="Times New Roman"/>
                <w:sz w:val="24"/>
                <w:szCs w:val="24"/>
                <w:vertAlign w:val="superscript"/>
              </w:rPr>
              <w:t>c</w:t>
            </w:r>
          </w:p>
        </w:tc>
        <w:tc>
          <w:tcPr>
            <w:tcW w:w="2403" w:type="dxa"/>
            <w:tcBorders>
              <w:top w:val="nil"/>
              <w:bottom w:val="nil"/>
            </w:tcBorders>
          </w:tcPr>
          <w:p w14:paraId="098614A2"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256.50±13.33</w:t>
            </w:r>
            <w:r w:rsidRPr="003469A0">
              <w:rPr>
                <w:rFonts w:ascii="Times New Roman" w:hAnsi="Times New Roman" w:cs="Times New Roman"/>
                <w:sz w:val="24"/>
                <w:szCs w:val="24"/>
                <w:vertAlign w:val="superscript"/>
              </w:rPr>
              <w:t>a</w:t>
            </w:r>
          </w:p>
        </w:tc>
      </w:tr>
      <w:tr w:rsidR="003469A0" w:rsidRPr="003469A0" w14:paraId="36FA645D" w14:textId="77777777" w:rsidTr="00C90038">
        <w:trPr>
          <w:trHeight w:val="828"/>
        </w:trPr>
        <w:tc>
          <w:tcPr>
            <w:tcW w:w="1947" w:type="dxa"/>
            <w:tcBorders>
              <w:top w:val="nil"/>
            </w:tcBorders>
          </w:tcPr>
          <w:p w14:paraId="58BF01E6"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IV</w:t>
            </w:r>
          </w:p>
        </w:tc>
        <w:tc>
          <w:tcPr>
            <w:tcW w:w="1813" w:type="dxa"/>
            <w:tcBorders>
              <w:top w:val="nil"/>
            </w:tcBorders>
          </w:tcPr>
          <w:p w14:paraId="32B8CC84"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12.15±1.28</w:t>
            </w:r>
            <w:r w:rsidRPr="003469A0">
              <w:rPr>
                <w:rFonts w:ascii="Times New Roman" w:hAnsi="Times New Roman" w:cs="Times New Roman"/>
                <w:sz w:val="24"/>
                <w:szCs w:val="24"/>
                <w:vertAlign w:val="superscript"/>
              </w:rPr>
              <w:t>a</w:t>
            </w:r>
          </w:p>
        </w:tc>
        <w:tc>
          <w:tcPr>
            <w:tcW w:w="1725" w:type="dxa"/>
            <w:tcBorders>
              <w:top w:val="nil"/>
            </w:tcBorders>
          </w:tcPr>
          <w:p w14:paraId="768AB65F"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8.33±0.81</w:t>
            </w:r>
            <w:r w:rsidRPr="003469A0">
              <w:rPr>
                <w:rFonts w:ascii="Times New Roman" w:hAnsi="Times New Roman" w:cs="Times New Roman"/>
                <w:sz w:val="24"/>
                <w:szCs w:val="24"/>
                <w:vertAlign w:val="superscript"/>
              </w:rPr>
              <w:t>c</w:t>
            </w:r>
          </w:p>
        </w:tc>
        <w:tc>
          <w:tcPr>
            <w:tcW w:w="1748" w:type="dxa"/>
            <w:tcBorders>
              <w:top w:val="nil"/>
            </w:tcBorders>
          </w:tcPr>
          <w:p w14:paraId="42835339"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10.58±0.77</w:t>
            </w:r>
            <w:r w:rsidRPr="003469A0">
              <w:rPr>
                <w:rFonts w:ascii="Times New Roman" w:hAnsi="Times New Roman" w:cs="Times New Roman"/>
                <w:sz w:val="24"/>
                <w:szCs w:val="24"/>
                <w:vertAlign w:val="superscript"/>
              </w:rPr>
              <w:t>a</w:t>
            </w:r>
          </w:p>
        </w:tc>
        <w:tc>
          <w:tcPr>
            <w:tcW w:w="2403" w:type="dxa"/>
            <w:tcBorders>
              <w:top w:val="nil"/>
            </w:tcBorders>
          </w:tcPr>
          <w:p w14:paraId="431C7D29"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256.33±12.82</w:t>
            </w:r>
            <w:r w:rsidRPr="003469A0">
              <w:rPr>
                <w:rFonts w:ascii="Times New Roman" w:hAnsi="Times New Roman" w:cs="Times New Roman"/>
                <w:sz w:val="24"/>
                <w:szCs w:val="24"/>
                <w:vertAlign w:val="superscript"/>
              </w:rPr>
              <w:t>a</w:t>
            </w:r>
          </w:p>
        </w:tc>
      </w:tr>
    </w:tbl>
    <w:p w14:paraId="3EE90ECA" w14:textId="77777777" w:rsidR="00B93BAB" w:rsidRPr="003469A0" w:rsidRDefault="00B93BAB" w:rsidP="00B93BAB">
      <w:pPr>
        <w:spacing w:line="240" w:lineRule="auto"/>
        <w:jc w:val="both"/>
        <w:rPr>
          <w:rFonts w:ascii="Times New Roman" w:hAnsi="Times New Roman" w:cs="Times New Roman"/>
          <w:sz w:val="20"/>
          <w:szCs w:val="20"/>
        </w:rPr>
      </w:pPr>
      <w:r w:rsidRPr="003469A0">
        <w:rPr>
          <w:rFonts w:ascii="Times New Roman" w:hAnsi="Times New Roman" w:cs="Times New Roman"/>
          <w:sz w:val="20"/>
          <w:szCs w:val="20"/>
        </w:rPr>
        <w:t>Data are (M±S.D) of four determinations (n=4). Values bearing different superscript letters (a, b, c) are significantly different (p&lt;0.05) down the column when compared to groups I and II.</w:t>
      </w:r>
    </w:p>
    <w:p w14:paraId="0DE92E68" w14:textId="77777777" w:rsidR="00B93BAB" w:rsidRPr="003469A0" w:rsidRDefault="00B93BAB" w:rsidP="00B93BAB">
      <w:pPr>
        <w:spacing w:line="240" w:lineRule="auto"/>
        <w:jc w:val="both"/>
        <w:rPr>
          <w:rFonts w:ascii="Times New Roman" w:hAnsi="Times New Roman" w:cs="Times New Roman"/>
          <w:sz w:val="20"/>
          <w:szCs w:val="20"/>
        </w:rPr>
      </w:pPr>
      <w:r w:rsidRPr="003469A0">
        <w:rPr>
          <w:rFonts w:ascii="Times New Roman" w:hAnsi="Times New Roman" w:cs="Times New Roman"/>
          <w:sz w:val="20"/>
          <w:szCs w:val="20"/>
        </w:rPr>
        <w:t>N/B- RBC- red blood cell count, WBC- White blood cell count, Hb- haemaglobin, PLT – platelet.</w:t>
      </w:r>
    </w:p>
    <w:p w14:paraId="45A60926" w14:textId="77777777" w:rsidR="00B93BAB" w:rsidRPr="003469A0" w:rsidRDefault="00B93BAB" w:rsidP="000328AB">
      <w:pPr>
        <w:spacing w:line="240" w:lineRule="auto"/>
        <w:jc w:val="both"/>
        <w:rPr>
          <w:rFonts w:ascii="Times New Roman" w:hAnsi="Times New Roman" w:cs="Times New Roman"/>
          <w:sz w:val="24"/>
          <w:szCs w:val="24"/>
        </w:rPr>
      </w:pPr>
    </w:p>
    <w:p w14:paraId="0DB9C795" w14:textId="77777777" w:rsidR="000328AB" w:rsidRPr="003469A0" w:rsidRDefault="000328AB" w:rsidP="00870DBD">
      <w:pPr>
        <w:spacing w:after="0" w:line="360" w:lineRule="auto"/>
        <w:jc w:val="both"/>
        <w:rPr>
          <w:rFonts w:ascii="Times New Roman" w:hAnsi="Times New Roman" w:cs="Times New Roman"/>
          <w:b/>
          <w:sz w:val="24"/>
          <w:szCs w:val="24"/>
        </w:rPr>
      </w:pPr>
      <w:r w:rsidRPr="003469A0">
        <w:rPr>
          <w:rFonts w:ascii="Times New Roman" w:hAnsi="Times New Roman" w:cs="Times New Roman"/>
          <w:b/>
          <w:sz w:val="24"/>
          <w:szCs w:val="24"/>
        </w:rPr>
        <w:t>DISCUSSIONS</w:t>
      </w:r>
    </w:p>
    <w:p w14:paraId="2B2A4B43" w14:textId="77777777" w:rsidR="000328AB" w:rsidRPr="003469A0" w:rsidRDefault="00B93BAB" w:rsidP="00870DBD">
      <w:pPr>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 xml:space="preserve">Plants are given therapeutic significance by phytochemicals. According to Okpara &amp; Akwukwaegbu (2020), the phytochemical screening conducted in this study indicated the presence of significant levels of tannins, saponins, flavonoids, oxalate, alkaloid, and phenol. These findings suggest that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may have antimicrobial, antioxidant, </w:t>
      </w:r>
      <w:r w:rsidRPr="003469A0">
        <w:rPr>
          <w:rFonts w:ascii="Times New Roman" w:hAnsi="Times New Roman" w:cs="Times New Roman"/>
          <w:sz w:val="24"/>
          <w:szCs w:val="24"/>
        </w:rPr>
        <w:lastRenderedPageBreak/>
        <w:t xml:space="preserve">and anti-inflammatory potential (Table 2). Strong anti-cancer and antioxidant properties are exhibited by the flavonoids (Salah et al., 1995). The proportion of flavonoids, phenol and alkaloids obtained in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are higher than the values published by Okpara &amp; Akwukwaegbu (2020) on same plant of medicinal relevance. The actions of flavonoids include scavenging free radicals, chelating iron and copper ions, inhibiting the activities of hydrolytic and oxidative enzymes, and acting against cell inflammation (Okpara &amp; Akwukwaegbu, 2020). They also inhibit microbes that are resistant to antibiotics (Okpara &amp; Akwukwaegbu, 2020); finally, they significantly lower systolic and diastolic blood pressure (Salsabila, Hadisaputro &amp; Sunarjo, 2023). Most plants generate tannin, a complex moiety with a wide range of pharmacological actions, as a protective molecule. Tannins are astringent in function, fast speeds the process of healing and are utilized as tanning agents. Tannins play physiological roles in nutrition, medicine, and health, including serving as antioxidants and preventing microbial activity (Okpara &amp; Akwukwaegbu, 2020). Saponins lower blood pressure, cholesterol, and glucose levels in the body (Trease &amp; Evans, 1985). Their effects on healing, anti-inflammatory, and antibacterial properties are also present (Okpara &amp; Akwukwaegbu, 2020</w:t>
      </w:r>
      <w:r w:rsidR="000A5311" w:rsidRPr="003469A0">
        <w:rPr>
          <w:rFonts w:ascii="Times New Roman" w:hAnsi="Times New Roman" w:cs="Times New Roman"/>
          <w:sz w:val="24"/>
          <w:szCs w:val="24"/>
        </w:rPr>
        <w:t>; Nwauche et al., 2024</w:t>
      </w:r>
      <w:r w:rsidRPr="003469A0">
        <w:rPr>
          <w:rFonts w:ascii="Times New Roman" w:hAnsi="Times New Roman" w:cs="Times New Roman"/>
          <w:sz w:val="24"/>
          <w:szCs w:val="24"/>
        </w:rPr>
        <w:t>). Alkaloids have potent anti-pyretic, antihypertensive, antifungal, anti-inflammatory, and anti-fibrogenic properties in addition to being potent pain suppressors (Awoyinka et al., 2007). According to Okpara and Akwukwaegbu (2020), they promote anesthetic effect and inhibit the majority of bacteria's activities. Through the process of directly affecting nitric oxide metabolism, phenolic substances can reverse endothelial cell damage. Alternatively, they can lessen vasoconstriction via activating the ACE and angiotensin II receptors (Salsabila et al., 2023)</w:t>
      </w:r>
      <w:r w:rsidR="000328AB" w:rsidRPr="003469A0">
        <w:rPr>
          <w:rFonts w:ascii="Times New Roman" w:hAnsi="Times New Roman" w:cs="Times New Roman"/>
          <w:sz w:val="24"/>
          <w:szCs w:val="24"/>
        </w:rPr>
        <w:t>.</w:t>
      </w:r>
    </w:p>
    <w:p w14:paraId="109622A8" w14:textId="77777777" w:rsidR="00B93BAB" w:rsidRPr="003469A0" w:rsidRDefault="00B93BAB" w:rsidP="00870DBD">
      <w:pPr>
        <w:spacing w:after="0" w:line="360" w:lineRule="auto"/>
        <w:jc w:val="both"/>
        <w:rPr>
          <w:rFonts w:ascii="Times New Roman" w:hAnsi="Times New Roman" w:cs="Times New Roman"/>
          <w:sz w:val="24"/>
          <w:szCs w:val="24"/>
        </w:rPr>
      </w:pPr>
      <w:r w:rsidRPr="003469A0">
        <w:rPr>
          <w:rFonts w:ascii="Times New Roman" w:eastAsia="Times New Roman" w:hAnsi="Times New Roman" w:cs="Times New Roman"/>
          <w:bCs/>
          <w:iCs/>
          <w:sz w:val="24"/>
          <w:szCs w:val="24"/>
        </w:rPr>
        <w:t xml:space="preserve">Result of the pilot study showed that 100 mg/kg/day of </w:t>
      </w:r>
      <w:r w:rsidRPr="003469A0">
        <w:rPr>
          <w:rFonts w:ascii="Times New Roman" w:eastAsia="Times New Roman" w:hAnsi="Times New Roman" w:cs="Times New Roman"/>
          <w:bCs/>
          <w:i/>
          <w:iCs/>
          <w:sz w:val="24"/>
          <w:szCs w:val="24"/>
        </w:rPr>
        <w:t>Phoenix dactylifera</w:t>
      </w:r>
      <w:r w:rsidRPr="003469A0">
        <w:rPr>
          <w:rFonts w:ascii="Times New Roman" w:eastAsia="Times New Roman" w:hAnsi="Times New Roman" w:cs="Times New Roman"/>
          <w:bCs/>
          <w:iCs/>
          <w:sz w:val="24"/>
          <w:szCs w:val="24"/>
        </w:rPr>
        <w:t xml:space="preserve"> fruit extract was the first dose that gave the best treatment on the birth weight in rats (Figure 1A). Also, result of the number of live pulps showed that 100 mg/kg/day of </w:t>
      </w:r>
      <w:r w:rsidRPr="003469A0">
        <w:rPr>
          <w:rFonts w:ascii="Times New Roman" w:eastAsia="Times New Roman" w:hAnsi="Times New Roman" w:cs="Times New Roman"/>
          <w:bCs/>
          <w:i/>
          <w:iCs/>
          <w:sz w:val="24"/>
          <w:szCs w:val="24"/>
        </w:rPr>
        <w:t>Phoenix dactylifera</w:t>
      </w:r>
      <w:r w:rsidRPr="003469A0">
        <w:rPr>
          <w:rFonts w:ascii="Times New Roman" w:eastAsia="Times New Roman" w:hAnsi="Times New Roman" w:cs="Times New Roman"/>
          <w:bCs/>
          <w:iCs/>
          <w:sz w:val="24"/>
          <w:szCs w:val="24"/>
        </w:rPr>
        <w:t xml:space="preserve"> fruit extract was the first dose that gave the best treatment in rats (Figure 1B) which was the reason for administering this dosage to rats.</w:t>
      </w:r>
    </w:p>
    <w:p w14:paraId="6ABC4E49" w14:textId="77777777" w:rsidR="00870DBD" w:rsidRPr="003469A0" w:rsidRDefault="00870DBD" w:rsidP="00870DBD">
      <w:pPr>
        <w:autoSpaceDE w:val="0"/>
        <w:autoSpaceDN w:val="0"/>
        <w:adjustRightInd w:val="0"/>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 xml:space="preserve">Numerous variables and toxic chemicals can readily disintegrate liver cells, or hepatocytes which can collect in the liver and impair hepatic function (Bia et al., 2012). Increased permeability of the cell membrane can result from hepatocyte damage-induced degeneration, inflammation, and necrosis. According to Tahmasebi et al. (2018) and Diana (2007), serum enzymes such alkaline phosphatase (ALP), alanine transaminase (ALT), and aspartate transaminase (AST) are helpful </w:t>
      </w:r>
      <w:r w:rsidRPr="003469A0">
        <w:rPr>
          <w:rFonts w:ascii="Times New Roman" w:hAnsi="Times New Roman" w:cs="Times New Roman"/>
          <w:sz w:val="24"/>
          <w:szCs w:val="24"/>
        </w:rPr>
        <w:lastRenderedPageBreak/>
        <w:t xml:space="preserve">indicators of liver function. The degree of tissue damage is directly correlated with the blood's AST and ALT levels (Botros &amp; Sikaris, 2013). </w:t>
      </w:r>
    </w:p>
    <w:p w14:paraId="55143CC1" w14:textId="77777777" w:rsidR="00870DBD" w:rsidRPr="003469A0" w:rsidRDefault="00870DBD" w:rsidP="00870DBD">
      <w:pPr>
        <w:autoSpaceDE w:val="0"/>
        <w:autoSpaceDN w:val="0"/>
        <w:adjustRightInd w:val="0"/>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 xml:space="preserve">The effects of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on the liver function parameters of rats presented in Figures 1-5 showed a significant increase (p&lt;0.05) in ALT, AST, ALP and conjugated bilirubin and a significant decrease (p&lt;0.05) in the total protein concentration of albino rats in group II when compared to group I. Treatment with 100 mg/kg b.w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significantly reversed the damage in ALP, total protein and conjugated bilirubin better than the standard drug (see Figures 3, 4 and 5). Losartan drug and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had no significant impact on the ALT and AST levels in rats. </w:t>
      </w:r>
    </w:p>
    <w:p w14:paraId="046BAA15" w14:textId="77777777" w:rsidR="00870DBD" w:rsidRPr="003469A0" w:rsidRDefault="00870DBD" w:rsidP="00870DBD">
      <w:pPr>
        <w:autoSpaceDE w:val="0"/>
        <w:autoSpaceDN w:val="0"/>
        <w:adjustRightInd w:val="0"/>
        <w:spacing w:after="0" w:line="360" w:lineRule="auto"/>
        <w:jc w:val="both"/>
        <w:rPr>
          <w:rStyle w:val="fontstyle01"/>
          <w:rFonts w:ascii="Times New Roman" w:hAnsi="Times New Roman" w:cs="Times New Roman"/>
          <w:color w:val="auto"/>
          <w:sz w:val="24"/>
          <w:szCs w:val="24"/>
        </w:rPr>
      </w:pPr>
      <w:r w:rsidRPr="003469A0">
        <w:rPr>
          <w:rStyle w:val="fontstyle01"/>
          <w:rFonts w:ascii="Times New Roman" w:hAnsi="Times New Roman" w:cs="Times New Roman"/>
          <w:color w:val="auto"/>
          <w:sz w:val="24"/>
          <w:szCs w:val="24"/>
        </w:rPr>
        <w:t>All of the group II serum liver enzymes have significantly increased, indicating hepatic damage that may be brought on by ischemic hepatotoxicity, hereditary liver diseases, or hepatitis. More specifically, an extra-hepatic source of damage is suggested by an elevation of AST above ALT. On the other hand, ALP protects the exterior cell membrane from damage and aids in the metabolism of phosphate (Hayes et al., 2002).</w:t>
      </w:r>
      <w:r w:rsidRPr="003469A0">
        <w:rPr>
          <w:rFonts w:ascii="Times New Roman" w:hAnsi="Times New Roman" w:cs="Times New Roman"/>
          <w:sz w:val="24"/>
          <w:szCs w:val="24"/>
        </w:rPr>
        <w:t xml:space="preserve"> Studies have shown that ALP is essential in preventing membrane damage, and that the degree of cellular damage to the liver is correlated with blood levels of ALP activity (Jain et al., 2008). As a result,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may be effective in reducing the degree of liver damage and halting the rupture of external membranes. Aminotransferases are typically only slightly increased in chronic cholestasis. While ALT and AST levels rapidly fall with deteriorating coagulopathy in acute liver failure, this is a poor prognostic indicator. In contrast, ALT and AST levels tend to remain more significantly increased longer in hepatocellular damage </w:t>
      </w:r>
      <w:r w:rsidRPr="003469A0">
        <w:rPr>
          <w:rStyle w:val="fontstyle01"/>
          <w:rFonts w:ascii="Times New Roman" w:hAnsi="Times New Roman" w:cs="Times New Roman"/>
          <w:color w:val="auto"/>
          <w:sz w:val="24"/>
          <w:szCs w:val="24"/>
        </w:rPr>
        <w:t xml:space="preserve">(Wang et al., 2018; </w:t>
      </w:r>
      <w:r w:rsidRPr="003469A0">
        <w:rPr>
          <w:rFonts w:ascii="Times New Roman" w:hAnsi="Times New Roman" w:cs="Times New Roman"/>
          <w:sz w:val="24"/>
          <w:szCs w:val="24"/>
        </w:rPr>
        <w:t>Anahat, Randolph &amp; Steadman, 2012; Singh et al., 2009</w:t>
      </w:r>
      <w:r w:rsidRPr="003469A0">
        <w:rPr>
          <w:rStyle w:val="fontstyle01"/>
          <w:rFonts w:ascii="Times New Roman" w:hAnsi="Times New Roman" w:cs="Times New Roman"/>
          <w:color w:val="auto"/>
          <w:sz w:val="24"/>
          <w:szCs w:val="24"/>
        </w:rPr>
        <w:t>)</w:t>
      </w:r>
      <w:r w:rsidRPr="003469A0">
        <w:rPr>
          <w:rFonts w:ascii="Times New Roman" w:hAnsi="Times New Roman" w:cs="Times New Roman"/>
          <w:sz w:val="24"/>
          <w:szCs w:val="24"/>
        </w:rPr>
        <w:t xml:space="preserve">. </w:t>
      </w:r>
    </w:p>
    <w:p w14:paraId="3168A5AC" w14:textId="77777777" w:rsidR="00870DBD" w:rsidRPr="003469A0" w:rsidRDefault="00870DBD" w:rsidP="00870DBD">
      <w:pPr>
        <w:autoSpaceDE w:val="0"/>
        <w:autoSpaceDN w:val="0"/>
        <w:adjustRightInd w:val="0"/>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 xml:space="preserve">The effects of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on the cardiac function parameters of preeclampsia-induced albino rats presented in Table 3 showed a significant increase (p&lt;0.05) in the cardiac troponin, angiotensin and LDH concentrations of albino rats in group II when compared to group I. This negative effect was significantly decreased (p&lt;0.05) in all the cardiac function parameters of albino rats in groups III and IV when compared to group II; however 100 mg/kg b.w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had a better positive effect than 20 mg/kg b.w losartan drug. This represents improvement in the endothelial function by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Findings align with the report of da Silva et al. (2020) who reported significant decrease (p&lt;0.05) in the angiotensin concentration via vasoconstrictor response induced of preeclampsia-induced rat treated with ASE. </w:t>
      </w:r>
    </w:p>
    <w:p w14:paraId="16A87A40" w14:textId="77777777" w:rsidR="00870DBD" w:rsidRPr="003469A0" w:rsidRDefault="00870DBD" w:rsidP="00870DBD">
      <w:pPr>
        <w:autoSpaceDE w:val="0"/>
        <w:autoSpaceDN w:val="0"/>
        <w:adjustRightInd w:val="0"/>
        <w:spacing w:after="0" w:line="360" w:lineRule="auto"/>
        <w:jc w:val="both"/>
        <w:rPr>
          <w:rStyle w:val="fontstyle01"/>
          <w:rFonts w:ascii="Times New Roman" w:hAnsi="Times New Roman" w:cs="Times New Roman"/>
          <w:color w:val="auto"/>
          <w:sz w:val="24"/>
          <w:szCs w:val="24"/>
        </w:rPr>
      </w:pPr>
      <w:r w:rsidRPr="003469A0">
        <w:rPr>
          <w:rFonts w:ascii="Times New Roman" w:hAnsi="Times New Roman" w:cs="Times New Roman"/>
          <w:sz w:val="24"/>
          <w:szCs w:val="24"/>
        </w:rPr>
        <w:lastRenderedPageBreak/>
        <w:t xml:space="preserve">LDH is a broadly distributed enzyme that plays a significant role in the metabolism of energy in many tissues while cardiac troponin helps in muscle contraction and relaxation process (Zhang et al., 2024; Cheng &amp; Regnier, 2016). It is frequently employed as a marker of tissue injury and is released into the peripheral blood following cellular damage (Zhang et al., 2024). An essential enzyme that controls energy metabolism, LDH, is a sign of myocardial injury and may be a prediction of heart failure following an acute myocardial infarction (Zhang et al., 2024). This means both the standard drug and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can be utilized in repairing tissue damage, preventing heart failure and regulating muscle contraction and relaxation process.</w:t>
      </w:r>
    </w:p>
    <w:p w14:paraId="586696A8" w14:textId="77777777" w:rsidR="00870DBD" w:rsidRPr="003469A0" w:rsidRDefault="00870DBD" w:rsidP="00870DBD">
      <w:pPr>
        <w:autoSpaceDE w:val="0"/>
        <w:autoSpaceDN w:val="0"/>
        <w:adjustRightInd w:val="0"/>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 xml:space="preserve">The effects of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on the kidney function parameters of preeclampsia-induced albino rats presented in Table 4 indicated a significant increase (p&lt;0.05) in BUN, creatinine, and anion gap and a significant decrease (p&lt;0.05) in the GFR of albino rats in group II when compared to group I. Treatment with 20 mg/kg b.w losartan drug and 100 mg/kg b.w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significantly reduced (p&lt;0.05) the levels of BUN, creatinine and anion gap, as dabino extract effectively reversed BUN to similar level with the control. However,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did not have any significant impact on the GFR. Anion gap is the difference in the sum of serum chloride and bicarbonate electrolyte concentration from serum sodium levels in the body with a normal range of 5-11 mEq/l (Kashyap et al., 2006). Findings on the anion gap agree with the Kashyap et al. (2006) who reported higher levels in preeclampsia-induced subject. The possible reason for this is reduction in the volume of blood in the body and retention of sodium in the system which in turn impairs glomeruli filtration rate (Brown et al., 1988). More so, the normal range for creatinine concentration in this study is 0.3-1.7 mg/dl which implies that creatinine concentrations obtained in this study are within the normal range; however, the concentrations slightly vary from the value reported by Kashyap et al. (2006).</w:t>
      </w:r>
    </w:p>
    <w:p w14:paraId="72AE87B7" w14:textId="77777777" w:rsidR="00870DBD" w:rsidRPr="003469A0" w:rsidRDefault="00870DBD" w:rsidP="00870DBD">
      <w:pPr>
        <w:autoSpaceDE w:val="0"/>
        <w:autoSpaceDN w:val="0"/>
        <w:adjustRightInd w:val="0"/>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 xml:space="preserve">The effects of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on the lipid profile parameters of preeclampsia-induced albino rats showed in Table 5 revealed a significant increase (p&lt;0.05) in the total chol, TAG, LDL and VLDL and a significant decrease (p&lt;0.05) in the HDL of albino rats in group II when compared to group I; however treatment with 20 mg/kg b.w losartan drug and 100 mg/kg b.w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significantly reversed this effect in all the lipid profile parameters.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had a better effect on the total cholesterol and LDL concentrations than losartan drug. Findings on the lipid profile parameters are in accordance with Atoe et al. (2021) who reported positive modulation of lipid profile parameters by methanolic </w:t>
      </w:r>
      <w:r w:rsidRPr="003469A0">
        <w:rPr>
          <w:rFonts w:ascii="Times New Roman" w:hAnsi="Times New Roman" w:cs="Times New Roman"/>
          <w:sz w:val="24"/>
          <w:szCs w:val="24"/>
        </w:rPr>
        <w:lastRenderedPageBreak/>
        <w:t xml:space="preserve">leaf extract of </w:t>
      </w:r>
      <w:r w:rsidRPr="003469A0">
        <w:rPr>
          <w:rFonts w:ascii="Times New Roman" w:hAnsi="Times New Roman" w:cs="Times New Roman"/>
          <w:i/>
          <w:sz w:val="24"/>
          <w:szCs w:val="24"/>
        </w:rPr>
        <w:t>Jatropha cacus, Secamone afzelii</w:t>
      </w:r>
      <w:r w:rsidRPr="003469A0">
        <w:rPr>
          <w:rFonts w:ascii="Times New Roman" w:hAnsi="Times New Roman" w:cs="Times New Roman"/>
          <w:sz w:val="24"/>
          <w:szCs w:val="24"/>
        </w:rPr>
        <w:t xml:space="preserve"> and </w:t>
      </w:r>
      <w:r w:rsidRPr="003469A0">
        <w:rPr>
          <w:rFonts w:ascii="Times New Roman" w:hAnsi="Times New Roman" w:cs="Times New Roman"/>
          <w:i/>
          <w:sz w:val="24"/>
          <w:szCs w:val="24"/>
        </w:rPr>
        <w:t>Alchonnea cordifolia</w:t>
      </w:r>
      <w:r w:rsidRPr="003469A0">
        <w:rPr>
          <w:rFonts w:ascii="Times New Roman" w:hAnsi="Times New Roman" w:cs="Times New Roman"/>
          <w:sz w:val="24"/>
          <w:szCs w:val="24"/>
        </w:rPr>
        <w:t xml:space="preserve"> administered at 50 mg/kg, 100 mg/kg and 200 mg/kg on third trimester and post-partum preeclampsia-induced rats. There are two possible reasons for the positive modulation of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on lipid profile parameters. First, it could be attributed to delay in formation of hepatic fatty acid in the liver as a result of down regulation of sterol regulatory element-binding protein (Spielmann et al., 2007) or due presence of bioactive compounds such as phenol, flavonoids and saponins (Ikewuchi et al., 2011; Soetan, 2008).</w:t>
      </w:r>
    </w:p>
    <w:p w14:paraId="2C996BC5" w14:textId="77777777" w:rsidR="00870DBD" w:rsidRPr="003469A0" w:rsidRDefault="00870DBD" w:rsidP="00870DBD">
      <w:pPr>
        <w:autoSpaceDE w:val="0"/>
        <w:autoSpaceDN w:val="0"/>
        <w:adjustRightInd w:val="0"/>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 xml:space="preserve">Atherosclerosis and other heart conditions may result from elevated total cholesterol levels (Ademuyiwa et al., 2005). Elevated levels of plasma triglycerides indicate cardiac injury (McBride, 2007; Dobiásová, 2004). This could result in aberrant lipoprotein metabolism and hypertension (Lopes et al., 1997; McBride, 2007). The risk of cardiovascular problems is decreased by high plasma levels of VLDL and HDL cholesterol and low levels of LDL cholesterol (Lichtennstein et al., 2006; Ademuyiwa et al., 2005). Therefore,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has the potential to reverse the harm caused by preeclampsia in rats.</w:t>
      </w:r>
    </w:p>
    <w:p w14:paraId="14C83AD0" w14:textId="77777777" w:rsidR="00870DBD" w:rsidRPr="003469A0" w:rsidRDefault="00870DBD" w:rsidP="00870DBD">
      <w:pPr>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 xml:space="preserve">The effects of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on the hematological parameters of preeclampsia-induced albino rats are presented in Table 6. Results showed that there was a significant increase (p&lt;0.05) in the WBC and significant decrease (p&lt;0.05) in the Hb of albino rats in group II when compared to group I. There was no significant difference (p&lt;0.05) in the RBC and PLT of albino rats in in all comparisons made. Findings are dissimilar with previous studies (Mergiaw et al., 2020; Sankar et al., 2015; Masoomeh, Shadi &amp; Akbar, 2012). Furthermore, this study reported that administration of 20 mg/kg b.w losartan drug and 100 mg/kg b.w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significantly decreased (p&lt;0.05) the concentration of WBC and significantly increased the concentration of Hb when compared with L-NAME group. There was no significant change in the RBC of all the comparison made. Results does not agree with the findings of Santure et al. (1999), Hershkovitz et al. (2005) and Mergiaw et al. (2020) who reported that treatment with </w:t>
      </w:r>
      <w:r w:rsidRPr="003469A0">
        <w:rPr>
          <w:rFonts w:ascii="Times New Roman" w:hAnsi="Times New Roman" w:cs="Times New Roman"/>
          <w:i/>
          <w:iCs/>
          <w:sz w:val="24"/>
          <w:szCs w:val="24"/>
        </w:rPr>
        <w:t xml:space="preserve">Thymus </w:t>
      </w:r>
      <w:r w:rsidRPr="003469A0">
        <w:rPr>
          <w:rFonts w:ascii="Times New Roman" w:hAnsi="Times New Roman" w:cs="Times New Roman"/>
          <w:sz w:val="24"/>
          <w:szCs w:val="24"/>
        </w:rPr>
        <w:t>leaf extract significantly decreased RBC and Hb in a dose dependent manner.</w:t>
      </w:r>
    </w:p>
    <w:p w14:paraId="6084F3A9" w14:textId="77777777" w:rsidR="00870DBD" w:rsidRPr="003469A0" w:rsidRDefault="00870DBD" w:rsidP="00870DBD">
      <w:pPr>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 xml:space="preserve">More so, there was no significant difference (p&lt;0.05) platelets count of albino rats in all comparisons made. This result does not agree with the findings of Terrone et al. (2000), Amit et al. (2018) and Mergiaw et al. (2020) who reported significant decrease (p&lt;0.05) in the platelets count of treated rats. They suggest that the course of hemolysis, high liver tests, and low platelet (HELLP) count syndrome support the idea that preeclampsia may be the result of an inflammatory disease. A straightforward and affordable method for tracking the development of </w:t>
      </w:r>
      <w:r w:rsidRPr="003469A0">
        <w:rPr>
          <w:rFonts w:ascii="Times New Roman" w:hAnsi="Times New Roman" w:cs="Times New Roman"/>
          <w:sz w:val="24"/>
          <w:szCs w:val="24"/>
        </w:rPr>
        <w:lastRenderedPageBreak/>
        <w:t xml:space="preserve">preeclampsia and averting potentially fatal consequences is to measure the platelet count (Eman et al., 2013). Therefore, platelet indices are easy, affordable, and useful instruments for estimating the severity of preeclampsia. Therefore, results of the hematological parameters indicate that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might not be helpful in predicting progression and treatment of preeclampsia.</w:t>
      </w:r>
    </w:p>
    <w:p w14:paraId="678479C7" w14:textId="77777777" w:rsidR="000328AB" w:rsidRPr="003469A0" w:rsidRDefault="000328AB" w:rsidP="000328AB">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p>
    <w:p w14:paraId="6040A9E6" w14:textId="77777777" w:rsidR="000328AB" w:rsidRPr="003469A0" w:rsidRDefault="000328AB" w:rsidP="000328AB">
      <w:pPr>
        <w:widowControl w:val="0"/>
        <w:tabs>
          <w:tab w:val="left" w:pos="1864"/>
          <w:tab w:val="left" w:pos="1865"/>
        </w:tabs>
        <w:autoSpaceDE w:val="0"/>
        <w:autoSpaceDN w:val="0"/>
        <w:spacing w:after="0" w:line="360" w:lineRule="auto"/>
        <w:jc w:val="both"/>
        <w:rPr>
          <w:rFonts w:ascii="Times New Roman" w:hAnsi="Times New Roman" w:cs="Times New Roman"/>
          <w:b/>
          <w:sz w:val="24"/>
          <w:szCs w:val="24"/>
        </w:rPr>
      </w:pPr>
      <w:r w:rsidRPr="003469A0">
        <w:rPr>
          <w:rFonts w:ascii="Times New Roman" w:hAnsi="Times New Roman" w:cs="Times New Roman"/>
          <w:b/>
          <w:sz w:val="24"/>
          <w:szCs w:val="24"/>
        </w:rPr>
        <w:t xml:space="preserve">CONCLUSION </w:t>
      </w:r>
    </w:p>
    <w:p w14:paraId="2BC2B7E5" w14:textId="77777777" w:rsidR="000328AB" w:rsidRPr="003469A0" w:rsidRDefault="00357615" w:rsidP="000328AB">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 xml:space="preserve">This study has shown that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is a promising source for managing preeclampsia particularly on lipid profile parameters, cardiac parameters, and some liver function and kidney function parameters. Therefore,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can be utilized as a potential agent to prevent the development of hypertension and other biochemical dysfunction in the </w:t>
      </w:r>
      <w:r w:rsidR="006640E8" w:rsidRPr="003469A0">
        <w:rPr>
          <w:rFonts w:ascii="Times New Roman" w:hAnsi="Times New Roman" w:cs="Times New Roman"/>
          <w:sz w:val="24"/>
          <w:szCs w:val="24"/>
        </w:rPr>
        <w:t>L-NAME induced preeclampsia rat</w:t>
      </w:r>
      <w:r w:rsidR="000328AB" w:rsidRPr="003469A0">
        <w:rPr>
          <w:rFonts w:ascii="Times New Roman" w:hAnsi="Times New Roman" w:cs="Times New Roman"/>
          <w:sz w:val="24"/>
          <w:szCs w:val="24"/>
        </w:rPr>
        <w:t>.</w:t>
      </w:r>
    </w:p>
    <w:p w14:paraId="68158FC6" w14:textId="77777777" w:rsidR="000328AB" w:rsidRPr="003469A0" w:rsidRDefault="000328AB" w:rsidP="000328AB">
      <w:pPr>
        <w:widowControl w:val="0"/>
        <w:tabs>
          <w:tab w:val="left" w:pos="1864"/>
          <w:tab w:val="left" w:pos="1865"/>
        </w:tabs>
        <w:autoSpaceDE w:val="0"/>
        <w:autoSpaceDN w:val="0"/>
        <w:spacing w:after="0" w:line="240" w:lineRule="auto"/>
        <w:jc w:val="both"/>
        <w:rPr>
          <w:rFonts w:ascii="Times New Roman" w:hAnsi="Times New Roman" w:cs="Times New Roman"/>
          <w:b/>
          <w:sz w:val="24"/>
        </w:rPr>
      </w:pPr>
    </w:p>
    <w:p w14:paraId="1E3998FE" w14:textId="77777777" w:rsidR="008958F3" w:rsidRPr="003469A0" w:rsidRDefault="008958F3" w:rsidP="008958F3">
      <w:pPr>
        <w:spacing w:after="0" w:line="240" w:lineRule="auto"/>
        <w:jc w:val="both"/>
        <w:rPr>
          <w:rFonts w:ascii="Times New Roman" w:hAnsi="Times New Roman" w:cs="Times New Roman"/>
          <w:sz w:val="24"/>
          <w:szCs w:val="24"/>
        </w:rPr>
      </w:pPr>
    </w:p>
    <w:p w14:paraId="22AEF7A1" w14:textId="77777777" w:rsidR="008958F3" w:rsidRPr="003469A0" w:rsidRDefault="008958F3" w:rsidP="008958F3">
      <w:pPr>
        <w:spacing w:after="0" w:line="240" w:lineRule="auto"/>
        <w:jc w:val="both"/>
        <w:rPr>
          <w:rFonts w:ascii="Times New Roman" w:hAnsi="Times New Roman" w:cs="Times New Roman"/>
          <w:b/>
          <w:sz w:val="24"/>
          <w:szCs w:val="24"/>
        </w:rPr>
      </w:pPr>
    </w:p>
    <w:p w14:paraId="2D5EAD89" w14:textId="77777777" w:rsidR="008958F3" w:rsidRPr="003469A0" w:rsidRDefault="008958F3" w:rsidP="008958F3">
      <w:pPr>
        <w:spacing w:after="0" w:line="240" w:lineRule="auto"/>
        <w:ind w:left="709" w:hanging="709"/>
        <w:rPr>
          <w:rFonts w:ascii="Times New Roman" w:hAnsi="Times New Roman" w:cs="Times New Roman"/>
          <w:b/>
          <w:sz w:val="24"/>
          <w:szCs w:val="24"/>
        </w:rPr>
      </w:pPr>
      <w:r w:rsidRPr="003469A0">
        <w:rPr>
          <w:rFonts w:ascii="Times New Roman" w:hAnsi="Times New Roman" w:cs="Times New Roman"/>
          <w:b/>
          <w:sz w:val="24"/>
          <w:szCs w:val="24"/>
        </w:rPr>
        <w:t>REFERENCE</w:t>
      </w:r>
    </w:p>
    <w:p w14:paraId="243436A4" w14:textId="77777777" w:rsidR="008958F3" w:rsidRPr="003469A0" w:rsidRDefault="008958F3" w:rsidP="008958F3">
      <w:pPr>
        <w:spacing w:after="0" w:line="240" w:lineRule="auto"/>
        <w:ind w:left="709" w:hanging="709"/>
        <w:rPr>
          <w:rFonts w:ascii="Times New Roman" w:hAnsi="Times New Roman" w:cs="Times New Roman"/>
          <w:sz w:val="24"/>
          <w:szCs w:val="24"/>
        </w:rPr>
      </w:pPr>
    </w:p>
    <w:p w14:paraId="0220EB34" w14:textId="77777777" w:rsidR="00716003" w:rsidRPr="003469A0" w:rsidRDefault="00716003" w:rsidP="008C2812">
      <w:pPr>
        <w:spacing w:after="0"/>
        <w:ind w:left="785" w:hangingChars="327" w:hanging="785"/>
        <w:jc w:val="both"/>
        <w:rPr>
          <w:rFonts w:ascii="Times New Roman" w:eastAsia="TimesNewRoman" w:hAnsi="Times New Roman" w:cs="Times New Roman"/>
          <w:sz w:val="24"/>
          <w:szCs w:val="24"/>
        </w:rPr>
      </w:pPr>
      <w:r w:rsidRPr="003469A0">
        <w:rPr>
          <w:rFonts w:ascii="Times New Roman" w:eastAsia="TimesNewRoman" w:hAnsi="Times New Roman" w:cs="Times New Roman"/>
          <w:sz w:val="24"/>
          <w:szCs w:val="24"/>
        </w:rPr>
        <w:t xml:space="preserve">Abell, L.L., Levy, B.B., Brodie, B.B., &amp; Kendall, F.E. (1952). A simplified method for the estimation of total cholesterol in serum and demonstration of its specificity. </w:t>
      </w:r>
      <w:r w:rsidRPr="003469A0">
        <w:rPr>
          <w:rFonts w:ascii="Times New Roman" w:eastAsia="TimesNewRoman" w:hAnsi="Times New Roman" w:cs="Times New Roman"/>
          <w:i/>
          <w:sz w:val="24"/>
          <w:szCs w:val="24"/>
        </w:rPr>
        <w:t>Journal of Biological Chemistry</w:t>
      </w:r>
      <w:r w:rsidRPr="003469A0">
        <w:rPr>
          <w:rFonts w:ascii="Times New Roman" w:eastAsia="TimesNewRoman" w:hAnsi="Times New Roman" w:cs="Times New Roman"/>
          <w:sz w:val="24"/>
          <w:szCs w:val="24"/>
        </w:rPr>
        <w:t>, 195, 357-366.</w:t>
      </w:r>
    </w:p>
    <w:p w14:paraId="43EBD127" w14:textId="77777777" w:rsidR="00716003" w:rsidRPr="003469A0" w:rsidRDefault="00716003" w:rsidP="008C2812">
      <w:pPr>
        <w:spacing w:after="0"/>
        <w:ind w:left="785" w:hangingChars="327" w:hanging="785"/>
        <w:jc w:val="both"/>
        <w:rPr>
          <w:rFonts w:ascii="Times New Roman" w:hAnsi="Times New Roman" w:cs="Times New Roman"/>
          <w:sz w:val="24"/>
          <w:szCs w:val="24"/>
        </w:rPr>
      </w:pPr>
      <w:r w:rsidRPr="003469A0">
        <w:rPr>
          <w:rStyle w:val="markedcontent"/>
          <w:rFonts w:ascii="Times New Roman" w:hAnsi="Times New Roman" w:cs="Times New Roman"/>
          <w:sz w:val="24"/>
          <w:szCs w:val="24"/>
        </w:rPr>
        <w:t>ABX Guide Johns Hopkins Medicine (2003). Diagnosis and</w:t>
      </w:r>
      <w:r w:rsidRPr="003469A0">
        <w:rPr>
          <w:rFonts w:ascii="Times New Roman" w:hAnsi="Times New Roman" w:cs="Times New Roman"/>
          <w:sz w:val="24"/>
          <w:szCs w:val="24"/>
        </w:rPr>
        <w:t xml:space="preserve"> </w:t>
      </w:r>
      <w:r w:rsidRPr="003469A0">
        <w:rPr>
          <w:rStyle w:val="markedcontent"/>
          <w:rFonts w:ascii="Times New Roman" w:hAnsi="Times New Roman" w:cs="Times New Roman"/>
          <w:sz w:val="24"/>
          <w:szCs w:val="24"/>
        </w:rPr>
        <w:t>Treatment of Infectious Diseases. 2010: Appendix 2 P</w:t>
      </w:r>
      <w:r w:rsidRPr="003469A0">
        <w:rPr>
          <w:rFonts w:ascii="Times New Roman" w:hAnsi="Times New Roman" w:cs="Times New Roman"/>
          <w:sz w:val="24"/>
          <w:szCs w:val="24"/>
        </w:rPr>
        <w:t xml:space="preserve"> </w:t>
      </w:r>
      <w:r w:rsidRPr="003469A0">
        <w:rPr>
          <w:rStyle w:val="markedcontent"/>
          <w:rFonts w:ascii="Times New Roman" w:hAnsi="Times New Roman" w:cs="Times New Roman"/>
          <w:sz w:val="24"/>
          <w:szCs w:val="24"/>
        </w:rPr>
        <w:t xml:space="preserve">813 Table 9 GFR and MDRD Calculations. </w:t>
      </w:r>
      <w:r w:rsidRPr="003469A0">
        <w:rPr>
          <w:rStyle w:val="markedcontent"/>
          <w:rFonts w:ascii="Times New Roman" w:hAnsi="Times New Roman" w:cs="Times New Roman"/>
          <w:i/>
          <w:sz w:val="24"/>
          <w:szCs w:val="24"/>
        </w:rPr>
        <w:t>Clinical</w:t>
      </w:r>
      <w:r w:rsidRPr="003469A0">
        <w:rPr>
          <w:rFonts w:ascii="Times New Roman" w:hAnsi="Times New Roman" w:cs="Times New Roman"/>
          <w:i/>
          <w:sz w:val="24"/>
          <w:szCs w:val="24"/>
        </w:rPr>
        <w:t xml:space="preserve"> </w:t>
      </w:r>
      <w:r w:rsidRPr="003469A0">
        <w:rPr>
          <w:rStyle w:val="markedcontent"/>
          <w:rFonts w:ascii="Times New Roman" w:hAnsi="Times New Roman" w:cs="Times New Roman"/>
          <w:i/>
          <w:sz w:val="24"/>
          <w:szCs w:val="24"/>
        </w:rPr>
        <w:t>Chemistry</w:t>
      </w:r>
      <w:r w:rsidRPr="003469A0">
        <w:rPr>
          <w:rStyle w:val="markedcontent"/>
          <w:rFonts w:ascii="Times New Roman" w:hAnsi="Times New Roman" w:cs="Times New Roman"/>
          <w:sz w:val="24"/>
          <w:szCs w:val="24"/>
        </w:rPr>
        <w:t>, 49(7), 1223-1225.</w:t>
      </w:r>
    </w:p>
    <w:p w14:paraId="48C3A5E7" w14:textId="77777777" w:rsidR="008958F3" w:rsidRPr="003469A0" w:rsidRDefault="00716003" w:rsidP="008C2812">
      <w:pPr>
        <w:pStyle w:val="NormalWeb"/>
        <w:spacing w:before="0" w:beforeAutospacing="0" w:after="0" w:afterAutospacing="0" w:line="276" w:lineRule="auto"/>
        <w:ind w:left="785" w:hangingChars="327" w:hanging="785"/>
      </w:pPr>
      <w:r w:rsidRPr="003469A0">
        <w:t xml:space="preserve">Ademuyiwa, O., Ugbaja, R.N., Idumebor, F., &amp; Adebawo, O. (2005). Plasma lipid profiles and risk of cardiovascular disease in occupational lead exposure in Abeokuta, Nigeria. </w:t>
      </w:r>
      <w:r w:rsidRPr="003469A0">
        <w:rPr>
          <w:i/>
        </w:rPr>
        <w:t>Lipids in Health and Diseases,</w:t>
      </w:r>
      <w:r w:rsidRPr="003469A0">
        <w:t xml:space="preserve"> 4, 19</w:t>
      </w:r>
      <w:r w:rsidR="008958F3" w:rsidRPr="003469A0">
        <w:t>.</w:t>
      </w:r>
    </w:p>
    <w:p w14:paraId="14C06C82" w14:textId="77777777" w:rsidR="008958F3" w:rsidRPr="003469A0" w:rsidRDefault="00716003"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Al-Shwyeh, H.A. (2019). Phoenix dactylifera (</w:t>
      </w:r>
      <w:r w:rsidRPr="003469A0">
        <w:rPr>
          <w:rFonts w:ascii="Times New Roman" w:hAnsi="Times New Roman" w:cs="Times New Roman"/>
          <w:i/>
          <w:iCs/>
          <w:sz w:val="24"/>
          <w:szCs w:val="24"/>
        </w:rPr>
        <w:t>Phoenix dactylifera</w:t>
      </w:r>
      <w:r w:rsidRPr="003469A0">
        <w:rPr>
          <w:rFonts w:ascii="Times New Roman" w:hAnsi="Times New Roman" w:cs="Times New Roman"/>
          <w:sz w:val="24"/>
          <w:szCs w:val="24"/>
        </w:rPr>
        <w:t xml:space="preserve"> L.) Fruit as Potential Antioxidant and Antimicrobial Agents. </w:t>
      </w:r>
      <w:r w:rsidRPr="003469A0">
        <w:rPr>
          <w:rFonts w:ascii="Times New Roman" w:hAnsi="Times New Roman" w:cs="Times New Roman"/>
          <w:i/>
          <w:sz w:val="24"/>
          <w:szCs w:val="24"/>
        </w:rPr>
        <w:t>Journal of Pharmacy and Bioallied Sciences</w:t>
      </w:r>
      <w:r w:rsidRPr="003469A0">
        <w:rPr>
          <w:rFonts w:ascii="Times New Roman" w:hAnsi="Times New Roman" w:cs="Times New Roman"/>
          <w:sz w:val="24"/>
          <w:szCs w:val="24"/>
        </w:rPr>
        <w:t xml:space="preserve">, 11(1), 1-11. </w:t>
      </w:r>
    </w:p>
    <w:p w14:paraId="350F65AF" w14:textId="77777777" w:rsidR="00716003" w:rsidRPr="003469A0" w:rsidRDefault="00716003"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Ambarwati, D., Fatmawati, F., Nooryanto, M., Santoso, S., Baktiyani, S.C.W., Nurdiana, N. (2017). </w:t>
      </w:r>
      <w:r w:rsidRPr="003469A0">
        <w:rPr>
          <w:rFonts w:ascii="Times New Roman" w:hAnsi="Times New Roman" w:cs="Times New Roman"/>
          <w:i/>
          <w:sz w:val="24"/>
          <w:szCs w:val="24"/>
        </w:rPr>
        <w:t>Punica granatum</w:t>
      </w:r>
      <w:r w:rsidRPr="003469A0">
        <w:rPr>
          <w:rFonts w:ascii="Times New Roman" w:hAnsi="Times New Roman" w:cs="Times New Roman"/>
          <w:sz w:val="24"/>
          <w:szCs w:val="24"/>
        </w:rPr>
        <w:t xml:space="preserve"> fruit extract inhibits the production of proinflammatory cytokines and angiogenic factors of HUVEC cells induced by plasma from patients with pre-eclampsia </w:t>
      </w:r>
      <w:r w:rsidRPr="003469A0">
        <w:rPr>
          <w:rFonts w:ascii="Times New Roman" w:hAnsi="Times New Roman" w:cs="Times New Roman"/>
          <w:i/>
          <w:sz w:val="24"/>
          <w:szCs w:val="24"/>
        </w:rPr>
        <w:t>Clinical Nutrition Experimental</w:t>
      </w:r>
      <w:r w:rsidRPr="003469A0">
        <w:rPr>
          <w:rFonts w:ascii="Times New Roman" w:hAnsi="Times New Roman" w:cs="Times New Roman"/>
          <w:sz w:val="24"/>
          <w:szCs w:val="24"/>
        </w:rPr>
        <w:t xml:space="preserve">, 15, 9-14. </w:t>
      </w:r>
    </w:p>
    <w:p w14:paraId="2ABCB5BB" w14:textId="77777777" w:rsidR="00716003" w:rsidRPr="003469A0" w:rsidRDefault="00716003"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Amit, G., Bindu, S., Gaur, K., &amp; Mishra, D. (2018). A comparison of platelet count in severe preeclampsia, mild pre-eclampsia and normal pregnancy. </w:t>
      </w:r>
      <w:r w:rsidRPr="003469A0">
        <w:rPr>
          <w:rFonts w:ascii="Times New Roman" w:hAnsi="Times New Roman" w:cs="Times New Roman"/>
          <w:i/>
          <w:sz w:val="24"/>
          <w:szCs w:val="24"/>
        </w:rPr>
        <w:t>International Journal of Research in Medical Sciences,</w:t>
      </w:r>
      <w:r w:rsidRPr="003469A0">
        <w:rPr>
          <w:rFonts w:ascii="Times New Roman" w:hAnsi="Times New Roman" w:cs="Times New Roman"/>
          <w:sz w:val="24"/>
          <w:szCs w:val="24"/>
        </w:rPr>
        <w:t xml:space="preserve"> 6(2), 671-676.</w:t>
      </w:r>
    </w:p>
    <w:p w14:paraId="24948188" w14:textId="77777777" w:rsidR="00716003" w:rsidRPr="003469A0" w:rsidRDefault="00716003"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Anahat, D.M.D., Randolph, H., &amp; Steadman, M.D. (2012). Liver Diseases. In: Fleisher, L., Ed., Anesthesia and Uncommon Diseases, 6th Edition, Science Direct, UK, 162-214.</w:t>
      </w:r>
    </w:p>
    <w:p w14:paraId="7039F387" w14:textId="77777777" w:rsidR="00716003" w:rsidRPr="003469A0" w:rsidRDefault="00716003"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lastRenderedPageBreak/>
        <w:t>Association of Official Analytical Chemists (1990). Method of analysis. Washington DC, U.S., 15, 1250-1255.</w:t>
      </w:r>
    </w:p>
    <w:p w14:paraId="7A4079ED" w14:textId="77777777" w:rsidR="00716003" w:rsidRPr="003469A0" w:rsidRDefault="00716003"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Atoe, K., Idu, M., Ikhajiagbe, B., &amp; Bakre, A.G. (2021). </w:t>
      </w:r>
      <w:r w:rsidRPr="003469A0">
        <w:rPr>
          <w:rFonts w:ascii="Times New Roman" w:hAnsi="Times New Roman" w:cs="Times New Roman"/>
          <w:bCs/>
          <w:sz w:val="24"/>
          <w:szCs w:val="24"/>
        </w:rPr>
        <w:t>Lipid Ratios in Adriamycin-induced Pre-eclamptic Wistar Rats Exposed to Methanolic Plant Extracts</w:t>
      </w:r>
      <w:r w:rsidRPr="003469A0">
        <w:rPr>
          <w:rFonts w:ascii="Times New Roman" w:hAnsi="Times New Roman" w:cs="Times New Roman"/>
          <w:sz w:val="24"/>
          <w:szCs w:val="24"/>
        </w:rPr>
        <w:t xml:space="preserve">. </w:t>
      </w:r>
      <w:r w:rsidRPr="003469A0">
        <w:rPr>
          <w:rFonts w:ascii="Times New Roman" w:hAnsi="Times New Roman" w:cs="Times New Roman"/>
          <w:i/>
          <w:sz w:val="24"/>
          <w:szCs w:val="24"/>
        </w:rPr>
        <w:t>Journal of Applied Science and Environmental Management</w:t>
      </w:r>
      <w:r w:rsidRPr="003469A0">
        <w:rPr>
          <w:rFonts w:ascii="Times New Roman" w:hAnsi="Times New Roman" w:cs="Times New Roman"/>
          <w:sz w:val="24"/>
          <w:szCs w:val="24"/>
        </w:rPr>
        <w:t>, 25(9), 1617-1623.</w:t>
      </w:r>
    </w:p>
    <w:p w14:paraId="16926AEB" w14:textId="77777777" w:rsidR="00716003" w:rsidRPr="003469A0" w:rsidRDefault="00716003" w:rsidP="008C2812">
      <w:pPr>
        <w:spacing w:after="0"/>
        <w:ind w:left="785" w:hangingChars="327" w:hanging="785"/>
        <w:jc w:val="both"/>
        <w:rPr>
          <w:rFonts w:ascii="Times New Roman" w:eastAsia="TimesNewRoman" w:hAnsi="Times New Roman" w:cs="Times New Roman"/>
          <w:sz w:val="24"/>
          <w:szCs w:val="24"/>
        </w:rPr>
      </w:pPr>
      <w:r w:rsidRPr="003469A0">
        <w:rPr>
          <w:rFonts w:ascii="Times New Roman" w:eastAsia="TimesNewRoman" w:hAnsi="Times New Roman" w:cs="Times New Roman"/>
          <w:sz w:val="24"/>
          <w:szCs w:val="24"/>
        </w:rPr>
        <w:t>Awoyinka, O.A., Balogun, I.O., &amp; Ogunnowo, A.A. (2007). Phytochemical screening and in vitro bioactivity of</w:t>
      </w:r>
      <w:r w:rsidRPr="003469A0">
        <w:rPr>
          <w:rFonts w:ascii="Times New Roman" w:eastAsia="TimesNewRoman" w:hAnsi="Times New Roman" w:cs="Times New Roman"/>
          <w:i/>
          <w:iCs/>
          <w:sz w:val="24"/>
          <w:szCs w:val="24"/>
        </w:rPr>
        <w:t xml:space="preserve">Cnidoscolus aconitifolius </w:t>
      </w:r>
      <w:r w:rsidRPr="003469A0">
        <w:rPr>
          <w:rFonts w:ascii="Times New Roman" w:eastAsia="TimesNewRoman" w:hAnsi="Times New Roman" w:cs="Times New Roman"/>
          <w:sz w:val="24"/>
          <w:szCs w:val="24"/>
        </w:rPr>
        <w:t xml:space="preserve">(Euphorbiaceae). </w:t>
      </w:r>
      <w:r w:rsidRPr="003469A0">
        <w:rPr>
          <w:rFonts w:ascii="Times New Roman" w:eastAsia="TimesNewRoman" w:hAnsi="Times New Roman" w:cs="Times New Roman"/>
          <w:i/>
          <w:iCs/>
          <w:sz w:val="24"/>
          <w:szCs w:val="24"/>
        </w:rPr>
        <w:t>Journal of Medicinal Plants Research</w:t>
      </w:r>
      <w:r w:rsidRPr="003469A0">
        <w:rPr>
          <w:rFonts w:ascii="Times New Roman" w:eastAsia="TimesNewRoman" w:hAnsi="Times New Roman" w:cs="Times New Roman"/>
          <w:sz w:val="24"/>
          <w:szCs w:val="24"/>
        </w:rPr>
        <w:t>, 1(3), 63-65.</w:t>
      </w:r>
    </w:p>
    <w:p w14:paraId="0A1C698E" w14:textId="77777777" w:rsidR="00716003" w:rsidRPr="003469A0" w:rsidRDefault="00716003" w:rsidP="008C2812">
      <w:pPr>
        <w:spacing w:after="0"/>
        <w:ind w:left="785" w:hangingChars="327" w:hanging="785"/>
        <w:jc w:val="both"/>
        <w:rPr>
          <w:rFonts w:ascii="Times New Roman" w:eastAsia="Times New Roman" w:hAnsi="Times New Roman" w:cs="Times New Roman"/>
          <w:bCs/>
          <w:kern w:val="36"/>
          <w:sz w:val="24"/>
          <w:szCs w:val="24"/>
        </w:rPr>
      </w:pPr>
      <w:r w:rsidRPr="003469A0">
        <w:rPr>
          <w:rFonts w:ascii="Times New Roman" w:eastAsia="Times New Roman" w:hAnsi="Times New Roman" w:cs="Times New Roman"/>
          <w:bCs/>
          <w:kern w:val="36"/>
          <w:sz w:val="24"/>
          <w:szCs w:val="24"/>
        </w:rPr>
        <w:t xml:space="preserve">Bai, C.S., Wang, F., Zhao, H.S., &amp; Li, Y.F. (2012). Effects of subchronic aluminum exposure on the reproductive function in female rats. </w:t>
      </w:r>
      <w:r w:rsidRPr="003469A0">
        <w:rPr>
          <w:rFonts w:ascii="Times New Roman" w:eastAsia="Times New Roman" w:hAnsi="Times New Roman" w:cs="Times New Roman"/>
          <w:bCs/>
          <w:i/>
          <w:kern w:val="36"/>
          <w:sz w:val="24"/>
          <w:szCs w:val="24"/>
        </w:rPr>
        <w:t>Journal of Northeast Agriculture University,</w:t>
      </w:r>
      <w:r w:rsidRPr="003469A0">
        <w:rPr>
          <w:rFonts w:ascii="Times New Roman" w:eastAsia="Times New Roman" w:hAnsi="Times New Roman" w:cs="Times New Roman"/>
          <w:bCs/>
          <w:kern w:val="36"/>
          <w:sz w:val="24"/>
          <w:szCs w:val="24"/>
        </w:rPr>
        <w:t xml:space="preserve"> 19(2), 62–65. </w:t>
      </w:r>
    </w:p>
    <w:p w14:paraId="7F0A1831" w14:textId="77777777" w:rsidR="00716003" w:rsidRPr="003469A0" w:rsidRDefault="00716003"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Bartels, H., &amp; Bolmer, M. (1971). Micro-determination of creatinine. </w:t>
      </w:r>
      <w:r w:rsidRPr="003469A0">
        <w:rPr>
          <w:rFonts w:ascii="Times New Roman" w:hAnsi="Times New Roman" w:cs="Times New Roman"/>
          <w:i/>
          <w:sz w:val="24"/>
          <w:szCs w:val="24"/>
        </w:rPr>
        <w:t>Clinica Chimica Acta</w:t>
      </w:r>
      <w:r w:rsidRPr="003469A0">
        <w:rPr>
          <w:rFonts w:ascii="Times New Roman" w:hAnsi="Times New Roman" w:cs="Times New Roman"/>
          <w:sz w:val="24"/>
          <w:szCs w:val="24"/>
        </w:rPr>
        <w:t>, 32(1), 81-85.</w:t>
      </w:r>
    </w:p>
    <w:p w14:paraId="414F0510" w14:textId="77777777" w:rsidR="0054361C" w:rsidRPr="003469A0" w:rsidRDefault="0054361C" w:rsidP="008C2812">
      <w:pPr>
        <w:pStyle w:val="NormalWeb"/>
        <w:spacing w:before="0" w:beforeAutospacing="0" w:after="0" w:afterAutospacing="0" w:line="276" w:lineRule="auto"/>
        <w:ind w:left="785" w:hangingChars="327" w:hanging="785"/>
      </w:pPr>
      <w:r w:rsidRPr="003469A0">
        <w:t xml:space="preserve">Botros, M., &amp; Sikaris, K. A. (2013). The de ritis ratio: The test of time. </w:t>
      </w:r>
      <w:r w:rsidRPr="003469A0">
        <w:rPr>
          <w:i/>
          <w:iCs/>
        </w:rPr>
        <w:t>The Clinical Biochemist Reviews</w:t>
      </w:r>
      <w:r w:rsidRPr="003469A0">
        <w:t xml:space="preserve">, </w:t>
      </w:r>
      <w:r w:rsidRPr="003469A0">
        <w:rPr>
          <w:i/>
          <w:iCs/>
        </w:rPr>
        <w:t>34</w:t>
      </w:r>
      <w:r w:rsidRPr="003469A0">
        <w:t>(3), 117.</w:t>
      </w:r>
    </w:p>
    <w:p w14:paraId="0F821AFF" w14:textId="77777777" w:rsidR="0054361C" w:rsidRPr="003469A0" w:rsidRDefault="0054361C" w:rsidP="008C2812">
      <w:pPr>
        <w:spacing w:after="0"/>
        <w:ind w:left="785" w:hangingChars="327" w:hanging="785"/>
        <w:jc w:val="both"/>
        <w:rPr>
          <w:rStyle w:val="element-citation"/>
          <w:rFonts w:ascii="Times New Roman" w:hAnsi="Times New Roman" w:cs="Times New Roman"/>
          <w:sz w:val="24"/>
          <w:szCs w:val="24"/>
        </w:rPr>
      </w:pPr>
      <w:r w:rsidRPr="003469A0">
        <w:rPr>
          <w:rFonts w:ascii="Times New Roman" w:hAnsi="Times New Roman" w:cs="Times New Roman"/>
          <w:sz w:val="24"/>
          <w:szCs w:val="24"/>
        </w:rPr>
        <w:t xml:space="preserve">Boucher, R., Veyrat, R., &amp; DeChamplain, J. (1964). New procedures for measurement of human plasma angiotensin and renin activity levels. </w:t>
      </w:r>
      <w:r w:rsidRPr="003469A0">
        <w:rPr>
          <w:rFonts w:ascii="Times New Roman" w:hAnsi="Times New Roman" w:cs="Times New Roman"/>
          <w:i/>
          <w:sz w:val="24"/>
          <w:szCs w:val="24"/>
        </w:rPr>
        <w:t>Canadian Medical Association Journal,</w:t>
      </w:r>
      <w:r w:rsidRPr="003469A0">
        <w:rPr>
          <w:rFonts w:ascii="Times New Roman" w:hAnsi="Times New Roman" w:cs="Times New Roman"/>
          <w:sz w:val="24"/>
          <w:szCs w:val="24"/>
        </w:rPr>
        <w:t xml:space="preserve"> 90, 194-201.</w:t>
      </w:r>
    </w:p>
    <w:p w14:paraId="0D52567F" w14:textId="77777777" w:rsidR="0054361C" w:rsidRPr="003469A0" w:rsidRDefault="0054361C"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Brown, M.A., Gallery, E.D., Ross, M.R., &amp; Esber, R.P. (1988). Sodium excretion in normal and hypertensive pregnancy: A prospective study. </w:t>
      </w:r>
      <w:r w:rsidRPr="003469A0">
        <w:rPr>
          <w:rFonts w:ascii="Times New Roman" w:hAnsi="Times New Roman" w:cs="Times New Roman"/>
          <w:i/>
          <w:sz w:val="24"/>
          <w:szCs w:val="24"/>
        </w:rPr>
        <w:t>American Journal of Obstetrics &amp; Gynaecology</w:t>
      </w:r>
      <w:r w:rsidRPr="003469A0">
        <w:rPr>
          <w:rFonts w:ascii="Times New Roman" w:hAnsi="Times New Roman" w:cs="Times New Roman"/>
          <w:sz w:val="24"/>
          <w:szCs w:val="24"/>
        </w:rPr>
        <w:t>, 159, 297–307.</w:t>
      </w:r>
    </w:p>
    <w:p w14:paraId="2ACCFFE8" w14:textId="77777777" w:rsidR="0054361C" w:rsidRPr="003469A0" w:rsidRDefault="0054361C"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Cheng, Y., &amp; Regnier, M. (2016). Cardiac troponin structure-function and the influence of hypertrophic cardiomyopathy associated mutations on modulation of contractility. </w:t>
      </w:r>
      <w:r w:rsidRPr="003469A0">
        <w:rPr>
          <w:rFonts w:ascii="Times New Roman" w:hAnsi="Times New Roman" w:cs="Times New Roman"/>
          <w:i/>
          <w:sz w:val="24"/>
          <w:szCs w:val="24"/>
        </w:rPr>
        <w:t>Archives of Biochemistry &amp; Biophysics</w:t>
      </w:r>
      <w:r w:rsidRPr="003469A0">
        <w:rPr>
          <w:rFonts w:ascii="Times New Roman" w:hAnsi="Times New Roman" w:cs="Times New Roman"/>
          <w:sz w:val="24"/>
          <w:szCs w:val="24"/>
        </w:rPr>
        <w:t xml:space="preserve">, 601, 11-21. </w:t>
      </w:r>
    </w:p>
    <w:p w14:paraId="158242D9" w14:textId="77777777" w:rsidR="0054361C" w:rsidRPr="003469A0" w:rsidRDefault="0054361C"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Collinson, P.O., Thomas, S., Siu, L., Vasudeva', P., Stubbs, P.J., &amp; Canepa-Anson, R. (1995). Rapid troponin T measurement in whole blood for detection of myocardial damage. </w:t>
      </w:r>
      <w:r w:rsidRPr="003469A0">
        <w:rPr>
          <w:rFonts w:ascii="Times New Roman" w:hAnsi="Times New Roman" w:cs="Times New Roman"/>
          <w:i/>
          <w:sz w:val="24"/>
          <w:szCs w:val="24"/>
        </w:rPr>
        <w:t>Annals of Clinical Biochemistry</w:t>
      </w:r>
      <w:r w:rsidRPr="003469A0">
        <w:rPr>
          <w:rFonts w:ascii="Times New Roman" w:hAnsi="Times New Roman" w:cs="Times New Roman"/>
          <w:sz w:val="24"/>
          <w:szCs w:val="24"/>
        </w:rPr>
        <w:t>, 32, 454-458.</w:t>
      </w:r>
    </w:p>
    <w:p w14:paraId="414B30F6" w14:textId="77777777" w:rsidR="008958F3" w:rsidRPr="003469A0" w:rsidRDefault="0054361C"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da Silva, A. de S., Nunes, D. V. Q., Carvalho, L. C. dos R. M. de, Santos, I. B., de Menezes, M. P., de Bem, G. F., … Ognibene, D. T. (2020). Açaí (</w:t>
      </w:r>
      <w:r w:rsidRPr="003469A0">
        <w:rPr>
          <w:rFonts w:ascii="Times New Roman" w:hAnsi="Times New Roman" w:cs="Times New Roman"/>
          <w:i/>
          <w:iCs/>
          <w:sz w:val="24"/>
          <w:szCs w:val="24"/>
        </w:rPr>
        <w:t>Euterpe oleracea</w:t>
      </w:r>
      <w:r w:rsidRPr="003469A0">
        <w:rPr>
          <w:rFonts w:ascii="Times New Roman" w:hAnsi="Times New Roman" w:cs="Times New Roman"/>
          <w:sz w:val="24"/>
          <w:szCs w:val="24"/>
        </w:rPr>
        <w:t xml:space="preserve"> Mart) seed extract protects against maternal vascular dysfunction, hypertension, and fetal growth restriction in experimental preeclampsia. </w:t>
      </w:r>
      <w:r w:rsidRPr="003469A0">
        <w:rPr>
          <w:rFonts w:ascii="Times New Roman" w:hAnsi="Times New Roman" w:cs="Times New Roman"/>
          <w:i/>
          <w:iCs/>
          <w:sz w:val="24"/>
          <w:szCs w:val="24"/>
        </w:rPr>
        <w:t>Hypertension in Pregnancy</w:t>
      </w:r>
      <w:r w:rsidRPr="003469A0">
        <w:rPr>
          <w:rFonts w:ascii="Times New Roman" w:hAnsi="Times New Roman" w:cs="Times New Roman"/>
          <w:sz w:val="24"/>
          <w:szCs w:val="24"/>
        </w:rPr>
        <w:t xml:space="preserve">, </w:t>
      </w:r>
      <w:r w:rsidRPr="003469A0">
        <w:rPr>
          <w:rFonts w:ascii="Times New Roman" w:hAnsi="Times New Roman" w:cs="Times New Roman"/>
          <w:i/>
          <w:iCs/>
          <w:sz w:val="24"/>
          <w:szCs w:val="24"/>
        </w:rPr>
        <w:t>39</w:t>
      </w:r>
      <w:r w:rsidRPr="003469A0">
        <w:rPr>
          <w:rFonts w:ascii="Times New Roman" w:hAnsi="Times New Roman" w:cs="Times New Roman"/>
          <w:sz w:val="24"/>
          <w:szCs w:val="24"/>
        </w:rPr>
        <w:t xml:space="preserve">(2), 211–219. </w:t>
      </w:r>
    </w:p>
    <w:p w14:paraId="7CA214B2" w14:textId="77777777" w:rsidR="0054361C" w:rsidRPr="003469A0" w:rsidRDefault="0054361C"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Diana, N.C. (2007). Appendix: Therapeutic drug monitoring and laboratory reference ranges. In J. M. Stephen, &amp; A. P. Maxine (Eds) </w:t>
      </w:r>
      <w:r w:rsidRPr="003469A0">
        <w:rPr>
          <w:rFonts w:ascii="Times New Roman" w:hAnsi="Times New Roman" w:cs="Times New Roman"/>
          <w:i/>
          <w:iCs/>
          <w:sz w:val="24"/>
          <w:szCs w:val="24"/>
        </w:rPr>
        <w:t>Current medical diagnosis and treatment</w:t>
      </w:r>
      <w:r w:rsidRPr="003469A0">
        <w:rPr>
          <w:rFonts w:ascii="Times New Roman" w:hAnsi="Times New Roman" w:cs="Times New Roman"/>
          <w:sz w:val="24"/>
          <w:szCs w:val="24"/>
        </w:rPr>
        <w:t>. 46th edition, Mc Graw Hill, 1767–1775.</w:t>
      </w:r>
    </w:p>
    <w:p w14:paraId="7100EDDE" w14:textId="77777777" w:rsidR="0054361C" w:rsidRPr="003469A0" w:rsidRDefault="0054361C"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Dobiásová, M. (2004). Atherogenic index of plasma [log(triglyceride/ HDL-Cholesterol)]: theoretical and practical implications. </w:t>
      </w:r>
      <w:r w:rsidRPr="003469A0">
        <w:rPr>
          <w:rFonts w:ascii="Times New Roman" w:hAnsi="Times New Roman" w:cs="Times New Roman"/>
          <w:i/>
          <w:sz w:val="24"/>
          <w:szCs w:val="24"/>
        </w:rPr>
        <w:t>Clinical Chemistry</w:t>
      </w:r>
      <w:r w:rsidRPr="003469A0">
        <w:rPr>
          <w:rFonts w:ascii="Times New Roman" w:hAnsi="Times New Roman" w:cs="Times New Roman"/>
          <w:sz w:val="24"/>
          <w:szCs w:val="24"/>
        </w:rPr>
        <w:t>, 50, 1113-1115.</w:t>
      </w:r>
    </w:p>
    <w:p w14:paraId="4BB24B91" w14:textId="77777777" w:rsidR="0054361C" w:rsidRPr="003469A0" w:rsidRDefault="0054361C"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Eman, A., Elsayed, F., Mohammed, B., &amp; Mervat, I. (2013). The significance of platelet count, mean platelet volume and platelet width distribution in pre-eclampsia. </w:t>
      </w:r>
      <w:r w:rsidRPr="003469A0">
        <w:rPr>
          <w:rFonts w:ascii="Times New Roman" w:hAnsi="Times New Roman" w:cs="Times New Roman"/>
          <w:i/>
          <w:sz w:val="24"/>
          <w:szCs w:val="24"/>
        </w:rPr>
        <w:t>Asian Academy of Management Journal</w:t>
      </w:r>
      <w:r w:rsidRPr="003469A0">
        <w:rPr>
          <w:rFonts w:ascii="Times New Roman" w:hAnsi="Times New Roman" w:cs="Times New Roman"/>
          <w:sz w:val="24"/>
          <w:szCs w:val="24"/>
        </w:rPr>
        <w:t>, 11 (1), 200-214.</w:t>
      </w:r>
    </w:p>
    <w:p w14:paraId="1209E580" w14:textId="77777777" w:rsidR="00E31AEC" w:rsidRPr="003469A0" w:rsidRDefault="00E31AEC" w:rsidP="00E31AEC">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Feng, M., &amp; DiPetrillo, K. (2009). Non-invasive Blood Pressure Measurement in Mice. </w:t>
      </w:r>
      <w:r w:rsidRPr="003469A0">
        <w:rPr>
          <w:rFonts w:ascii="Times New Roman" w:hAnsi="Times New Roman" w:cs="Times New Roman"/>
          <w:i/>
          <w:sz w:val="24"/>
          <w:szCs w:val="24"/>
        </w:rPr>
        <w:t>Methods Mol Biol.</w:t>
      </w:r>
      <w:r w:rsidRPr="003469A0">
        <w:rPr>
          <w:rFonts w:ascii="Times New Roman" w:hAnsi="Times New Roman" w:cs="Times New Roman"/>
          <w:sz w:val="24"/>
          <w:szCs w:val="24"/>
        </w:rPr>
        <w:t xml:space="preserve">, 573, 45 – 55. </w:t>
      </w:r>
    </w:p>
    <w:p w14:paraId="20B62197" w14:textId="77777777" w:rsidR="0054361C" w:rsidRPr="003469A0" w:rsidRDefault="0054361C" w:rsidP="008C2812">
      <w:pPr>
        <w:spacing w:after="0"/>
        <w:ind w:left="785" w:hangingChars="327" w:hanging="785"/>
        <w:jc w:val="both"/>
        <w:rPr>
          <w:rFonts w:ascii="Times New Roman" w:hAnsi="Times New Roman" w:cs="Times New Roman"/>
          <w:sz w:val="24"/>
          <w:szCs w:val="24"/>
        </w:rPr>
      </w:pPr>
      <w:r w:rsidRPr="003469A0">
        <w:rPr>
          <w:rStyle w:val="element-citation"/>
          <w:rFonts w:ascii="Times New Roman" w:hAnsi="Times New Roman" w:cs="Times New Roman"/>
          <w:sz w:val="24"/>
          <w:szCs w:val="24"/>
        </w:rPr>
        <w:lastRenderedPageBreak/>
        <w:t xml:space="preserve">Ghnimi, S., Umer, S., Karim, A., &amp; Kamal-Eldin, A. (2017). </w:t>
      </w:r>
      <w:r w:rsidRPr="003469A0">
        <w:rPr>
          <w:rStyle w:val="element-citation"/>
          <w:rFonts w:ascii="Times New Roman" w:hAnsi="Times New Roman" w:cs="Times New Roman"/>
          <w:i/>
          <w:sz w:val="24"/>
          <w:szCs w:val="24"/>
        </w:rPr>
        <w:t>Phoenix dactylifera</w:t>
      </w:r>
      <w:r w:rsidRPr="003469A0">
        <w:rPr>
          <w:rStyle w:val="element-citation"/>
          <w:rFonts w:ascii="Times New Roman" w:hAnsi="Times New Roman" w:cs="Times New Roman"/>
          <w:sz w:val="24"/>
          <w:szCs w:val="24"/>
        </w:rPr>
        <w:t xml:space="preserve"> fruit (</w:t>
      </w:r>
      <w:r w:rsidRPr="003469A0">
        <w:rPr>
          <w:rStyle w:val="Emphasis"/>
          <w:rFonts w:ascii="Times New Roman" w:hAnsi="Times New Roman" w:cs="Times New Roman"/>
          <w:sz w:val="24"/>
          <w:szCs w:val="24"/>
        </w:rPr>
        <w:t>Phoenix dactylifera</w:t>
      </w:r>
      <w:r w:rsidRPr="003469A0">
        <w:rPr>
          <w:rStyle w:val="element-citation"/>
          <w:rFonts w:ascii="Times New Roman" w:hAnsi="Times New Roman" w:cs="Times New Roman"/>
          <w:sz w:val="24"/>
          <w:szCs w:val="24"/>
        </w:rPr>
        <w:t xml:space="preserve"> L.): an underutilized food seeking industrial valorization. </w:t>
      </w:r>
      <w:r w:rsidRPr="003469A0">
        <w:rPr>
          <w:rStyle w:val="ref-journal"/>
          <w:rFonts w:ascii="Times New Roman" w:hAnsi="Times New Roman" w:cs="Times New Roman"/>
          <w:i/>
          <w:sz w:val="24"/>
          <w:szCs w:val="24"/>
        </w:rPr>
        <w:t>NFS J</w:t>
      </w:r>
      <w:r w:rsidRPr="003469A0">
        <w:rPr>
          <w:rStyle w:val="ref-journal"/>
          <w:rFonts w:ascii="Times New Roman" w:hAnsi="Times New Roman" w:cs="Times New Roman"/>
          <w:sz w:val="24"/>
          <w:szCs w:val="24"/>
        </w:rPr>
        <w:t xml:space="preserve">., </w:t>
      </w:r>
      <w:r w:rsidRPr="003469A0">
        <w:rPr>
          <w:rStyle w:val="ref-vol"/>
          <w:rFonts w:ascii="Times New Roman" w:hAnsi="Times New Roman" w:cs="Times New Roman"/>
          <w:sz w:val="24"/>
          <w:szCs w:val="24"/>
        </w:rPr>
        <w:t>6</w:t>
      </w:r>
      <w:r w:rsidRPr="003469A0">
        <w:rPr>
          <w:rStyle w:val="element-citation"/>
          <w:rFonts w:ascii="Times New Roman" w:hAnsi="Times New Roman" w:cs="Times New Roman"/>
          <w:sz w:val="24"/>
          <w:szCs w:val="24"/>
        </w:rPr>
        <w:t xml:space="preserve">, 1–10. </w:t>
      </w:r>
    </w:p>
    <w:p w14:paraId="06335947" w14:textId="77777777" w:rsidR="00716003" w:rsidRPr="003469A0" w:rsidRDefault="0054361C"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Haram, K., Mortensen, J.H., Myking, O., Magann, E.F., &amp; Morrison, J.C. (2019). The Role of Oxidative Stress, Adhesion Molecules and Antioxidants in Preeclampsia. </w:t>
      </w:r>
      <w:r w:rsidRPr="003469A0">
        <w:rPr>
          <w:rFonts w:ascii="Times New Roman" w:hAnsi="Times New Roman" w:cs="Times New Roman"/>
          <w:i/>
          <w:iCs/>
          <w:sz w:val="24"/>
          <w:szCs w:val="24"/>
        </w:rPr>
        <w:t>Current Hypertension Reviews,</w:t>
      </w:r>
      <w:r w:rsidRPr="003469A0">
        <w:rPr>
          <w:rFonts w:ascii="Times New Roman" w:hAnsi="Times New Roman" w:cs="Times New Roman"/>
          <w:sz w:val="24"/>
          <w:szCs w:val="24"/>
        </w:rPr>
        <w:t xml:space="preserve"> </w:t>
      </w:r>
      <w:r w:rsidRPr="003469A0">
        <w:rPr>
          <w:rFonts w:ascii="Times New Roman" w:hAnsi="Times New Roman" w:cs="Times New Roman"/>
          <w:iCs/>
          <w:sz w:val="24"/>
          <w:szCs w:val="24"/>
        </w:rPr>
        <w:t>15</w:t>
      </w:r>
      <w:r w:rsidRPr="003469A0">
        <w:rPr>
          <w:rFonts w:ascii="Times New Roman" w:hAnsi="Times New Roman" w:cs="Times New Roman"/>
          <w:sz w:val="24"/>
          <w:szCs w:val="24"/>
        </w:rPr>
        <w:t>, 105–112.</w:t>
      </w:r>
    </w:p>
    <w:p w14:paraId="7AF4ADD7" w14:textId="77777777" w:rsidR="0054361C" w:rsidRPr="003469A0" w:rsidRDefault="0054361C"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Hayes, P.C., Simpson, K.J., &amp; Garden, O.J. (2002). Liver and biliary tract disease. In, Davidson’s principles and practice of medicine. 18 Edition. pp. 832-837.</w:t>
      </w:r>
    </w:p>
    <w:p w14:paraId="17BE0206" w14:textId="77777777" w:rsidR="0054361C" w:rsidRPr="003469A0" w:rsidRDefault="0054361C"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Hershkovitz, R., Ohel, I., Sheizaf, B., Nathan, I., Erez, O., &amp; Sheiner, E. (2005). Erythropoietin concentration among patients with and without pre-eclampsia. </w:t>
      </w:r>
      <w:r w:rsidRPr="003469A0">
        <w:rPr>
          <w:rFonts w:ascii="Times New Roman" w:hAnsi="Times New Roman" w:cs="Times New Roman"/>
          <w:i/>
          <w:sz w:val="24"/>
          <w:szCs w:val="24"/>
        </w:rPr>
        <w:t>Archives in Gynaecology &amp; Obstetrics</w:t>
      </w:r>
      <w:r w:rsidRPr="003469A0">
        <w:rPr>
          <w:rFonts w:ascii="Times New Roman" w:hAnsi="Times New Roman" w:cs="Times New Roman"/>
          <w:sz w:val="24"/>
          <w:szCs w:val="24"/>
        </w:rPr>
        <w:t xml:space="preserve">, 273(1), 140-149. </w:t>
      </w:r>
    </w:p>
    <w:p w14:paraId="6F606FD3" w14:textId="77777777" w:rsidR="009E3D06" w:rsidRPr="003469A0" w:rsidRDefault="009E3D06"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Ikewuchi, J.C., Onyeike, E.N., Uwakwe, A.A., &amp; Ikewuchi, C.C. (2011). Effect of aqueous extract of the leaves of </w:t>
      </w:r>
      <w:r w:rsidRPr="003469A0">
        <w:rPr>
          <w:rFonts w:ascii="Times New Roman" w:hAnsi="Times New Roman" w:cs="Times New Roman"/>
          <w:i/>
          <w:sz w:val="24"/>
          <w:szCs w:val="24"/>
        </w:rPr>
        <w:t>Acalypha wilkesiana</w:t>
      </w:r>
      <w:r w:rsidRPr="003469A0">
        <w:rPr>
          <w:rFonts w:ascii="Times New Roman" w:hAnsi="Times New Roman" w:cs="Times New Roman"/>
          <w:sz w:val="24"/>
          <w:szCs w:val="24"/>
        </w:rPr>
        <w:t xml:space="preserve">'Godseffiana' Muell Arg on blood pressure components and pulse rates of sub chronic saltloaded rats. </w:t>
      </w:r>
      <w:r w:rsidRPr="003469A0">
        <w:rPr>
          <w:rFonts w:ascii="Times New Roman" w:hAnsi="Times New Roman" w:cs="Times New Roman"/>
          <w:i/>
          <w:sz w:val="24"/>
          <w:szCs w:val="24"/>
        </w:rPr>
        <w:t>Research Journal of Science and Technology</w:t>
      </w:r>
      <w:r w:rsidRPr="003469A0">
        <w:rPr>
          <w:rFonts w:ascii="Times New Roman" w:hAnsi="Times New Roman" w:cs="Times New Roman"/>
          <w:sz w:val="24"/>
          <w:szCs w:val="24"/>
        </w:rPr>
        <w:t>, 3, 264-269.</w:t>
      </w:r>
    </w:p>
    <w:p w14:paraId="61AEF513" w14:textId="77777777" w:rsidR="009E3D06" w:rsidRPr="003469A0" w:rsidRDefault="009E3D06"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Isik, B., Suleyman, B., Mammadov, R., Bulut, S., Yavuzer, B., Altuner, D., Coban, T.A., &amp; Suleyman, H. (2024). Protective effect of cinnamon extract against cobalt-induced multiple organ damage in rats. </w:t>
      </w:r>
      <w:r w:rsidRPr="003469A0">
        <w:rPr>
          <w:rFonts w:ascii="Times New Roman" w:hAnsi="Times New Roman" w:cs="Times New Roman"/>
          <w:i/>
          <w:sz w:val="24"/>
          <w:szCs w:val="24"/>
        </w:rPr>
        <w:t>Frontiers in Pharmacol</w:t>
      </w:r>
      <w:r w:rsidRPr="003469A0">
        <w:rPr>
          <w:rFonts w:ascii="Times New Roman" w:hAnsi="Times New Roman" w:cs="Times New Roman"/>
          <w:sz w:val="24"/>
          <w:szCs w:val="24"/>
        </w:rPr>
        <w:t xml:space="preserve">ogy, 15, 1384181. </w:t>
      </w:r>
    </w:p>
    <w:p w14:paraId="0FFCCAD3" w14:textId="77777777" w:rsidR="009E3D06" w:rsidRPr="003469A0" w:rsidRDefault="009E3D06"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bCs/>
          <w:sz w:val="24"/>
          <w:szCs w:val="24"/>
        </w:rPr>
        <w:t xml:space="preserve">Iwu, C.C., Akwukwaegbu, P.I., &amp; Ikewuchi, C.C. (2020). Effect of </w:t>
      </w:r>
      <w:r w:rsidRPr="003469A0">
        <w:rPr>
          <w:rFonts w:ascii="Times New Roman" w:hAnsi="Times New Roman" w:cs="Times New Roman"/>
          <w:bCs/>
          <w:i/>
          <w:sz w:val="24"/>
          <w:szCs w:val="24"/>
        </w:rPr>
        <w:t>Cnidoscolus aconitifolius</w:t>
      </w:r>
      <w:r w:rsidRPr="003469A0">
        <w:rPr>
          <w:rFonts w:ascii="Times New Roman" w:hAnsi="Times New Roman" w:cs="Times New Roman"/>
          <w:bCs/>
          <w:sz w:val="24"/>
          <w:szCs w:val="24"/>
        </w:rPr>
        <w:t xml:space="preserve"> leaf extract on selected renal parameters and hematological indices of carbon tetrachloride induced toxic rats. </w:t>
      </w:r>
      <w:r w:rsidRPr="003469A0">
        <w:rPr>
          <w:rFonts w:ascii="Times New Roman" w:hAnsi="Times New Roman" w:cs="Times New Roman"/>
          <w:bCs/>
          <w:i/>
          <w:sz w:val="24"/>
          <w:szCs w:val="24"/>
        </w:rPr>
        <w:t>International Journal of Biochemistry and Biophysics</w:t>
      </w:r>
      <w:r w:rsidRPr="003469A0">
        <w:rPr>
          <w:rFonts w:ascii="Times New Roman" w:hAnsi="Times New Roman" w:cs="Times New Roman"/>
          <w:bCs/>
          <w:sz w:val="24"/>
          <w:szCs w:val="24"/>
        </w:rPr>
        <w:t xml:space="preserve">, 8(1), 1-8. </w:t>
      </w:r>
    </w:p>
    <w:p w14:paraId="6FFDA9DC" w14:textId="77777777" w:rsidR="009E3D06" w:rsidRPr="003469A0" w:rsidRDefault="009E3D06"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Jain, A., Soni, M., Deb, L., Rout, P., Gupta, B., &amp; Krishna, L. (2008). Antioxidant and hepatoprotective activity of ethanolic and aqueous extracts of </w:t>
      </w:r>
      <w:r w:rsidRPr="003469A0">
        <w:rPr>
          <w:rFonts w:ascii="Times New Roman" w:hAnsi="Times New Roman" w:cs="Times New Roman"/>
          <w:i/>
          <w:sz w:val="24"/>
          <w:szCs w:val="24"/>
        </w:rPr>
        <w:t>Momordica dioica Roxb</w:t>
      </w:r>
      <w:r w:rsidRPr="003469A0">
        <w:rPr>
          <w:rFonts w:ascii="Times New Roman" w:hAnsi="Times New Roman" w:cs="Times New Roman"/>
          <w:sz w:val="24"/>
          <w:szCs w:val="24"/>
        </w:rPr>
        <w:t xml:space="preserve">. leaves. </w:t>
      </w:r>
      <w:r w:rsidRPr="003469A0">
        <w:rPr>
          <w:rFonts w:ascii="Times New Roman" w:hAnsi="Times New Roman" w:cs="Times New Roman"/>
          <w:i/>
          <w:sz w:val="24"/>
          <w:szCs w:val="24"/>
        </w:rPr>
        <w:t>Journal of Ethnopharmacology</w:t>
      </w:r>
      <w:r w:rsidRPr="003469A0">
        <w:rPr>
          <w:rFonts w:ascii="Times New Roman" w:hAnsi="Times New Roman" w:cs="Times New Roman"/>
          <w:sz w:val="24"/>
          <w:szCs w:val="24"/>
        </w:rPr>
        <w:t>, 115, 61-66.</w:t>
      </w:r>
    </w:p>
    <w:p w14:paraId="716A5960" w14:textId="77777777" w:rsidR="009E3D06" w:rsidRPr="003469A0" w:rsidRDefault="009E3D06"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Jendrassik, L., &amp; Grof, P. (1938). Colorimetric method for determination of bilirubin. </w:t>
      </w:r>
      <w:r w:rsidRPr="003469A0">
        <w:rPr>
          <w:rFonts w:ascii="Times New Roman" w:hAnsi="Times New Roman" w:cs="Times New Roman"/>
          <w:i/>
          <w:sz w:val="24"/>
          <w:szCs w:val="24"/>
        </w:rPr>
        <w:t>Biochemische Zeitschrift</w:t>
      </w:r>
      <w:r w:rsidRPr="003469A0">
        <w:rPr>
          <w:rFonts w:ascii="Times New Roman" w:hAnsi="Times New Roman" w:cs="Times New Roman"/>
          <w:sz w:val="24"/>
          <w:szCs w:val="24"/>
        </w:rPr>
        <w:t>, 297, 81.</w:t>
      </w:r>
    </w:p>
    <w:p w14:paraId="17F3ACD7" w14:textId="77777777" w:rsidR="009E3D06" w:rsidRPr="003469A0" w:rsidRDefault="009E3D06"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Kako, T., Tatematsu, A., &amp; Nonoyama, M. (1976). New bioassay method for measurement of angiotensin II. </w:t>
      </w:r>
      <w:r w:rsidRPr="003469A0">
        <w:rPr>
          <w:rFonts w:ascii="Times New Roman" w:hAnsi="Times New Roman" w:cs="Times New Roman"/>
          <w:i/>
          <w:sz w:val="24"/>
          <w:szCs w:val="24"/>
        </w:rPr>
        <w:t>Folia Endocrinologica Japonica</w:t>
      </w:r>
      <w:r w:rsidRPr="003469A0">
        <w:rPr>
          <w:rFonts w:ascii="Times New Roman" w:hAnsi="Times New Roman" w:cs="Times New Roman"/>
          <w:sz w:val="24"/>
          <w:szCs w:val="24"/>
        </w:rPr>
        <w:t>, 52, 1212-1219.</w:t>
      </w:r>
    </w:p>
    <w:p w14:paraId="7A3A7C68" w14:textId="77777777" w:rsidR="009E3D06" w:rsidRPr="003469A0" w:rsidRDefault="009E3D06"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Kashyap, M.K., Saxena, S.V., Khullar, M., Sawhney, H., &amp; Vasishta, K. (2006). Role of anion gap and different electrolytes in hypertension during pregnancy (preeclampsia). </w:t>
      </w:r>
      <w:r w:rsidRPr="003469A0">
        <w:rPr>
          <w:rFonts w:ascii="Times New Roman" w:hAnsi="Times New Roman" w:cs="Times New Roman"/>
          <w:i/>
          <w:sz w:val="24"/>
          <w:szCs w:val="24"/>
        </w:rPr>
        <w:t>Molecular and Cellular Biochemistry</w:t>
      </w:r>
      <w:r w:rsidRPr="003469A0">
        <w:rPr>
          <w:rFonts w:ascii="Times New Roman" w:hAnsi="Times New Roman" w:cs="Times New Roman"/>
          <w:sz w:val="24"/>
          <w:szCs w:val="24"/>
        </w:rPr>
        <w:t>, 282, 157-167.</w:t>
      </w:r>
    </w:p>
    <w:p w14:paraId="30C3ACD9" w14:textId="77777777" w:rsidR="009E3D06" w:rsidRPr="003469A0" w:rsidRDefault="009E3D06"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Lichtennstein, A.H., Appel, L.J., Brands, M., Carnethon, M., Daniels, S., &amp; Franklin, B. (2006). Diet and lifestyle recommendations revision 2006. A Scientific Statement from the American Heart Association Nutrition Committee. </w:t>
      </w:r>
      <w:r w:rsidRPr="003469A0">
        <w:rPr>
          <w:rFonts w:ascii="Times New Roman" w:hAnsi="Times New Roman" w:cs="Times New Roman"/>
          <w:i/>
          <w:sz w:val="24"/>
          <w:szCs w:val="24"/>
        </w:rPr>
        <w:t>Circulation</w:t>
      </w:r>
      <w:r w:rsidRPr="003469A0">
        <w:rPr>
          <w:rFonts w:ascii="Times New Roman" w:hAnsi="Times New Roman" w:cs="Times New Roman"/>
          <w:sz w:val="24"/>
          <w:szCs w:val="24"/>
        </w:rPr>
        <w:t xml:space="preserve">, 114(1), 82-96. </w:t>
      </w:r>
    </w:p>
    <w:p w14:paraId="5DCADF77" w14:textId="77777777" w:rsidR="009E3D06" w:rsidRPr="003469A0" w:rsidRDefault="009E3D06"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Lopes, F.H., Bernardes, R., Silva, H., Soares, J.A., Filho, B., Consolim, B., Colombo, F.M., &amp; Giorgi, D.M.A. (1997). Lipid metabolism alterations in normotensive subjects with positive family history of hypertension. </w:t>
      </w:r>
      <w:r w:rsidRPr="003469A0">
        <w:rPr>
          <w:rFonts w:ascii="Times New Roman" w:hAnsi="Times New Roman" w:cs="Times New Roman"/>
          <w:i/>
          <w:sz w:val="24"/>
          <w:szCs w:val="24"/>
        </w:rPr>
        <w:t>Hypertension</w:t>
      </w:r>
      <w:r w:rsidRPr="003469A0">
        <w:rPr>
          <w:rFonts w:ascii="Times New Roman" w:hAnsi="Times New Roman" w:cs="Times New Roman"/>
          <w:sz w:val="24"/>
          <w:szCs w:val="24"/>
        </w:rPr>
        <w:t xml:space="preserve">, 30, 629-631. </w:t>
      </w:r>
    </w:p>
    <w:p w14:paraId="4AEBC1E1" w14:textId="77777777" w:rsidR="009E3D06" w:rsidRPr="003469A0" w:rsidRDefault="009E3D06"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Lopes-Virella, M.F., Stone, P., Ellis, S., &amp; Co</w:t>
      </w:r>
      <w:r w:rsidR="00E31AEC" w:rsidRPr="003469A0">
        <w:rPr>
          <w:rFonts w:ascii="Times New Roman" w:hAnsi="Times New Roman" w:cs="Times New Roman"/>
          <w:sz w:val="24"/>
          <w:szCs w:val="24"/>
        </w:rPr>
        <w:t>lwell, J.A. (1977). Cholesterol</w:t>
      </w:r>
      <w:r w:rsidRPr="003469A0">
        <w:rPr>
          <w:rFonts w:ascii="Times New Roman" w:hAnsi="Times New Roman" w:cs="Times New Roman"/>
          <w:sz w:val="24"/>
          <w:szCs w:val="24"/>
        </w:rPr>
        <w:t xml:space="preserve"> determination of HDL separated by three different methods. </w:t>
      </w:r>
      <w:r w:rsidRPr="003469A0">
        <w:rPr>
          <w:rFonts w:ascii="Times New Roman" w:hAnsi="Times New Roman" w:cs="Times New Roman"/>
          <w:i/>
          <w:sz w:val="24"/>
          <w:szCs w:val="24"/>
        </w:rPr>
        <w:t>Clinical Chemistry</w:t>
      </w:r>
      <w:r w:rsidRPr="003469A0">
        <w:rPr>
          <w:rFonts w:ascii="Times New Roman" w:hAnsi="Times New Roman" w:cs="Times New Roman"/>
          <w:sz w:val="24"/>
          <w:szCs w:val="24"/>
        </w:rPr>
        <w:t>, 23, 882-884.</w:t>
      </w:r>
    </w:p>
    <w:p w14:paraId="5179B2EC" w14:textId="77777777" w:rsidR="009E3D06" w:rsidRPr="003469A0" w:rsidRDefault="009E3D06"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lastRenderedPageBreak/>
        <w:t xml:space="preserve">Masoomeh, K., Shadi, G., &amp; Akbar, Z. (2012). The relationship of hemoglobin and hematocrit in the first and second half of pregnancy with pregnancy outcome. </w:t>
      </w:r>
      <w:r w:rsidRPr="003469A0">
        <w:rPr>
          <w:rFonts w:ascii="Times New Roman" w:hAnsi="Times New Roman" w:cs="Times New Roman"/>
          <w:i/>
          <w:sz w:val="24"/>
          <w:szCs w:val="24"/>
        </w:rPr>
        <w:t>Iran Journal of Nurses &amp; Midwifery Research</w:t>
      </w:r>
      <w:r w:rsidRPr="003469A0">
        <w:rPr>
          <w:rFonts w:ascii="Times New Roman" w:hAnsi="Times New Roman" w:cs="Times New Roman"/>
          <w:sz w:val="24"/>
          <w:szCs w:val="24"/>
        </w:rPr>
        <w:t>, 17(2), 165–170.</w:t>
      </w:r>
    </w:p>
    <w:p w14:paraId="44D1EDF0" w14:textId="77777777" w:rsidR="009E3D06" w:rsidRPr="003469A0" w:rsidRDefault="009E3D06"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McBride, P.E. (2007). Triglycerides and risk for coronary heart disease. </w:t>
      </w:r>
      <w:r w:rsidRPr="003469A0">
        <w:rPr>
          <w:rFonts w:ascii="Times New Roman" w:hAnsi="Times New Roman" w:cs="Times New Roman"/>
          <w:i/>
          <w:sz w:val="24"/>
          <w:szCs w:val="24"/>
        </w:rPr>
        <w:t>Journal of American Medical Association</w:t>
      </w:r>
      <w:r w:rsidRPr="003469A0">
        <w:rPr>
          <w:rFonts w:ascii="Times New Roman" w:hAnsi="Times New Roman" w:cs="Times New Roman"/>
          <w:sz w:val="24"/>
          <w:szCs w:val="24"/>
        </w:rPr>
        <w:t xml:space="preserve">, 298, 336-338. </w:t>
      </w:r>
    </w:p>
    <w:p w14:paraId="44A1E0BC" w14:textId="77777777" w:rsidR="009E3D06" w:rsidRPr="003469A0" w:rsidRDefault="009E3D06"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Mergiaw, K., Mengesha, Y.A., Tolessa, T., Makonnen, E., Genet, S., Belay, Y., Abebe, A., Tadele, A., Debella, A., &amp; Gebreyesus, K. (2020). Effects of Aqueous Leaf Extract of Thymus schimperion Hematologic Profiles of Animal Models of Pre-eclampsia. </w:t>
      </w:r>
      <w:r w:rsidRPr="003469A0">
        <w:rPr>
          <w:rFonts w:ascii="Times New Roman" w:hAnsi="Times New Roman" w:cs="Times New Roman"/>
          <w:i/>
          <w:sz w:val="24"/>
          <w:szCs w:val="24"/>
        </w:rPr>
        <w:t>Asian Journal of Research in Cardiovascular Diseases</w:t>
      </w:r>
      <w:r w:rsidRPr="003469A0">
        <w:rPr>
          <w:rFonts w:ascii="Times New Roman" w:hAnsi="Times New Roman" w:cs="Times New Roman"/>
          <w:sz w:val="24"/>
          <w:szCs w:val="24"/>
        </w:rPr>
        <w:t>, 2(1), 30-36.</w:t>
      </w:r>
    </w:p>
    <w:p w14:paraId="11377041" w14:textId="77777777" w:rsidR="009E3D06" w:rsidRPr="003469A0" w:rsidRDefault="009E3D06"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Michalczyk, M., Celewicz, A., Celewicz, M., Wo´zniakowska-Gondek, P., &amp; Rzepka, R. (2020). The Role of Inflammation in the Pathogenesis of Preeclampsia. </w:t>
      </w:r>
      <w:r w:rsidRPr="003469A0">
        <w:rPr>
          <w:rFonts w:ascii="Times New Roman" w:hAnsi="Times New Roman" w:cs="Times New Roman"/>
          <w:i/>
          <w:iCs/>
          <w:sz w:val="24"/>
          <w:szCs w:val="24"/>
        </w:rPr>
        <w:t>Mediators of Inflammation,</w:t>
      </w:r>
      <w:r w:rsidRPr="003469A0">
        <w:rPr>
          <w:rFonts w:ascii="Times New Roman" w:hAnsi="Times New Roman" w:cs="Times New Roman"/>
          <w:sz w:val="24"/>
          <w:szCs w:val="24"/>
        </w:rPr>
        <w:t xml:space="preserve"> </w:t>
      </w:r>
      <w:r w:rsidRPr="003469A0">
        <w:rPr>
          <w:rFonts w:ascii="Times New Roman" w:hAnsi="Times New Roman" w:cs="Times New Roman"/>
          <w:iCs/>
          <w:sz w:val="24"/>
          <w:szCs w:val="24"/>
        </w:rPr>
        <w:t>2020</w:t>
      </w:r>
      <w:r w:rsidRPr="003469A0">
        <w:rPr>
          <w:rFonts w:ascii="Times New Roman" w:hAnsi="Times New Roman" w:cs="Times New Roman"/>
          <w:sz w:val="24"/>
          <w:szCs w:val="24"/>
        </w:rPr>
        <w:t>, 1–9.</w:t>
      </w:r>
    </w:p>
    <w:p w14:paraId="16DA2CEE" w14:textId="77777777" w:rsidR="000A5311" w:rsidRPr="003469A0" w:rsidRDefault="000A5311"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Nwauche, K.T., Berezi, E.P. &amp; Okari, K.A. (2024). Phytochemical </w:t>
      </w:r>
      <w:r w:rsidR="00E31AEC" w:rsidRPr="003469A0">
        <w:rPr>
          <w:rFonts w:ascii="Times New Roman" w:hAnsi="Times New Roman" w:cs="Times New Roman"/>
          <w:sz w:val="24"/>
          <w:szCs w:val="24"/>
        </w:rPr>
        <w:t xml:space="preserve">Profiling of </w:t>
      </w:r>
      <w:r w:rsidR="00E31AEC" w:rsidRPr="003469A0">
        <w:rPr>
          <w:rFonts w:ascii="Times New Roman" w:hAnsi="Times New Roman" w:cs="Times New Roman"/>
          <w:i/>
          <w:sz w:val="24"/>
          <w:szCs w:val="24"/>
        </w:rPr>
        <w:t>Cymbopogon flexuosus</w:t>
      </w:r>
      <w:r w:rsidR="00E31AEC" w:rsidRPr="003469A0">
        <w:rPr>
          <w:rFonts w:ascii="Times New Roman" w:hAnsi="Times New Roman" w:cs="Times New Roman"/>
          <w:sz w:val="24"/>
          <w:szCs w:val="24"/>
        </w:rPr>
        <w:t xml:space="preserve"> Plant leaves. </w:t>
      </w:r>
      <w:r w:rsidR="00E31AEC" w:rsidRPr="003469A0">
        <w:rPr>
          <w:rFonts w:ascii="Times New Roman" w:hAnsi="Times New Roman" w:cs="Times New Roman"/>
          <w:i/>
          <w:sz w:val="24"/>
          <w:szCs w:val="24"/>
        </w:rPr>
        <w:t>International Journal of Science and Research Archives</w:t>
      </w:r>
      <w:r w:rsidR="00E31AEC" w:rsidRPr="003469A0">
        <w:rPr>
          <w:rFonts w:ascii="Times New Roman" w:hAnsi="Times New Roman" w:cs="Times New Roman"/>
          <w:sz w:val="24"/>
          <w:szCs w:val="24"/>
        </w:rPr>
        <w:t>, 13(10), 3239-3247</w:t>
      </w:r>
    </w:p>
    <w:p w14:paraId="4AFA6C98" w14:textId="77777777" w:rsidR="009E3D06" w:rsidRPr="003469A0" w:rsidRDefault="009E3D06" w:rsidP="008C2812">
      <w:pPr>
        <w:spacing w:after="0"/>
        <w:ind w:left="785" w:hangingChars="327" w:hanging="785"/>
        <w:jc w:val="both"/>
        <w:rPr>
          <w:rFonts w:ascii="Times New Roman" w:eastAsia="Times New Roman" w:hAnsi="Times New Roman" w:cs="Times New Roman"/>
          <w:sz w:val="24"/>
          <w:szCs w:val="24"/>
        </w:rPr>
      </w:pPr>
      <w:r w:rsidRPr="003469A0">
        <w:rPr>
          <w:rFonts w:ascii="Times New Roman" w:hAnsi="Times New Roman" w:cs="Times New Roman"/>
          <w:bCs/>
          <w:sz w:val="24"/>
          <w:szCs w:val="24"/>
        </w:rPr>
        <w:t xml:space="preserve">Okpara, F.N., &amp; Akwukwaegbu, P.I. (2020). Effect of aqueous leaf extract of </w:t>
      </w:r>
      <w:r w:rsidRPr="003469A0">
        <w:rPr>
          <w:rFonts w:ascii="Times New Roman" w:hAnsi="Times New Roman" w:cs="Times New Roman"/>
          <w:bCs/>
          <w:i/>
          <w:sz w:val="24"/>
          <w:szCs w:val="24"/>
        </w:rPr>
        <w:t>Cnidoscolus aconitifolius</w:t>
      </w:r>
      <w:r w:rsidRPr="003469A0">
        <w:rPr>
          <w:rFonts w:ascii="Times New Roman" w:hAnsi="Times New Roman" w:cs="Times New Roman"/>
          <w:bCs/>
          <w:sz w:val="24"/>
          <w:szCs w:val="24"/>
        </w:rPr>
        <w:t xml:space="preserve"> on lipid profile and haematology of carbon tetrachloride treated rats. </w:t>
      </w:r>
      <w:r w:rsidRPr="003469A0">
        <w:rPr>
          <w:rFonts w:ascii="Times New Roman" w:hAnsi="Times New Roman" w:cs="Times New Roman"/>
          <w:bCs/>
          <w:i/>
          <w:sz w:val="24"/>
          <w:szCs w:val="24"/>
        </w:rPr>
        <w:t>Acta Chemica Iasi</w:t>
      </w:r>
      <w:r w:rsidRPr="003469A0">
        <w:rPr>
          <w:rFonts w:ascii="Times New Roman" w:hAnsi="Times New Roman" w:cs="Times New Roman"/>
          <w:bCs/>
          <w:sz w:val="24"/>
          <w:szCs w:val="24"/>
        </w:rPr>
        <w:t xml:space="preserve">, 28(2), 237-256. </w:t>
      </w:r>
    </w:p>
    <w:p w14:paraId="0424DDA9" w14:textId="77777777" w:rsidR="009E3D06" w:rsidRPr="003469A0" w:rsidRDefault="009E3D06" w:rsidP="008C2812">
      <w:pPr>
        <w:spacing w:after="0"/>
        <w:ind w:left="785" w:hangingChars="327" w:hanging="785"/>
        <w:jc w:val="both"/>
        <w:rPr>
          <w:rFonts w:ascii="Times New Roman" w:eastAsia="Times New Roman" w:hAnsi="Times New Roman" w:cs="Times New Roman"/>
          <w:sz w:val="24"/>
          <w:szCs w:val="24"/>
        </w:rPr>
      </w:pPr>
      <w:r w:rsidRPr="003469A0">
        <w:rPr>
          <w:rFonts w:ascii="Times New Roman" w:hAnsi="Times New Roman" w:cs="Times New Roman"/>
          <w:sz w:val="24"/>
          <w:szCs w:val="24"/>
        </w:rPr>
        <w:t xml:space="preserve">Organisation for Economic Co-operation and Development (OECD) (2001). OECD GUIDELINE FOR TESTING OF CHEMICALS: Acute Oral Toxicity – Acute Toxic Class Method. </w:t>
      </w:r>
      <w:hyperlink r:id="rId16" w:history="1">
        <w:r w:rsidRPr="003469A0">
          <w:rPr>
            <w:rStyle w:val="Hyperlink"/>
            <w:rFonts w:ascii="Times New Roman" w:hAnsi="Times New Roman" w:cs="Times New Roman"/>
            <w:color w:val="auto"/>
            <w:sz w:val="24"/>
            <w:szCs w:val="24"/>
          </w:rPr>
          <w:t>https://www.oecd.org/content/dam/oecd/en/publications/reports/2002/02/test-no-423-acute-oral-toxicity-acute-toxic-class-method_g1gh294f/9789264071001-en.pdf</w:t>
        </w:r>
      </w:hyperlink>
    </w:p>
    <w:p w14:paraId="15585917" w14:textId="77777777" w:rsidR="009E3D06" w:rsidRPr="003469A0" w:rsidRDefault="009E3D06" w:rsidP="008C2812">
      <w:pPr>
        <w:spacing w:after="0"/>
        <w:ind w:left="785" w:hangingChars="327" w:hanging="785"/>
        <w:jc w:val="both"/>
        <w:rPr>
          <w:rStyle w:val="fontstyle01"/>
          <w:rFonts w:ascii="Times New Roman" w:hAnsi="Times New Roman" w:cs="Times New Roman"/>
          <w:color w:val="auto"/>
          <w:sz w:val="24"/>
          <w:szCs w:val="24"/>
        </w:rPr>
      </w:pPr>
      <w:r w:rsidRPr="003469A0">
        <w:rPr>
          <w:rFonts w:ascii="Times New Roman" w:hAnsi="Times New Roman" w:cs="Times New Roman"/>
          <w:sz w:val="24"/>
          <w:szCs w:val="24"/>
        </w:rPr>
        <w:t xml:space="preserve">Ożarowski, M., Karpiński, T.M., Szulc, M., Wielgus, K., Kujawski, R., Wolski, H., &amp; Seremak-Mrozikiewicz, A. (2021). Plant Phenolics and Extracts in Animal Models of Preeclampsia and Clinical Trials-Review of Perspectives for Novel Therapies. </w:t>
      </w:r>
      <w:r w:rsidRPr="003469A0">
        <w:rPr>
          <w:rFonts w:ascii="Times New Roman" w:hAnsi="Times New Roman" w:cs="Times New Roman"/>
          <w:i/>
          <w:sz w:val="24"/>
          <w:szCs w:val="24"/>
        </w:rPr>
        <w:t>Pharmaceuticals</w:t>
      </w:r>
      <w:r w:rsidRPr="003469A0">
        <w:rPr>
          <w:rFonts w:ascii="Times New Roman" w:hAnsi="Times New Roman" w:cs="Times New Roman"/>
          <w:sz w:val="24"/>
          <w:szCs w:val="24"/>
        </w:rPr>
        <w:t xml:space="preserve">, 14(3), 269. </w:t>
      </w:r>
    </w:p>
    <w:p w14:paraId="795E7FC6" w14:textId="77777777" w:rsidR="009E3D06" w:rsidRPr="003469A0" w:rsidRDefault="009E3D06"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Ozarowski, M., Mikołajczak, P.A., Kujawski, R., Wielgus, K., Klejewski, A., Wolski, H., &amp; Seremak-Mrozikiewicz, A. (2018). Pharmacological ˙ Effect of Quercetin in Hypertension and Its Potential Application in Pregnancy-Induced Hypertension: Review of In Vitro, In Vivo, and Clinical Studies. </w:t>
      </w:r>
      <w:r w:rsidRPr="003469A0">
        <w:rPr>
          <w:rFonts w:ascii="Times New Roman" w:hAnsi="Times New Roman" w:cs="Times New Roman"/>
          <w:i/>
          <w:iCs/>
          <w:sz w:val="24"/>
          <w:szCs w:val="24"/>
        </w:rPr>
        <w:t>Evidence Based Complementary &amp; Alternative Medicine,</w:t>
      </w:r>
      <w:r w:rsidRPr="003469A0">
        <w:rPr>
          <w:rFonts w:ascii="Times New Roman" w:hAnsi="Times New Roman" w:cs="Times New Roman"/>
          <w:sz w:val="24"/>
          <w:szCs w:val="24"/>
        </w:rPr>
        <w:t xml:space="preserve"> </w:t>
      </w:r>
      <w:r w:rsidRPr="003469A0">
        <w:rPr>
          <w:rFonts w:ascii="Times New Roman" w:hAnsi="Times New Roman" w:cs="Times New Roman"/>
          <w:iCs/>
          <w:sz w:val="24"/>
          <w:szCs w:val="24"/>
        </w:rPr>
        <w:t>2018</w:t>
      </w:r>
      <w:r w:rsidRPr="003469A0">
        <w:rPr>
          <w:rFonts w:ascii="Times New Roman" w:hAnsi="Times New Roman" w:cs="Times New Roman"/>
          <w:sz w:val="24"/>
          <w:szCs w:val="24"/>
        </w:rPr>
        <w:t>, 7421489.</w:t>
      </w:r>
    </w:p>
    <w:p w14:paraId="3958C684" w14:textId="77777777" w:rsidR="009E3D06" w:rsidRPr="003469A0" w:rsidRDefault="009E3D06"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Peres, G.M., Mariana, M., &amp; Cairrão, E. (2018). Pre-Eclampsia and Eclampsia: An Update on the Pharmacological Treatment Applied in Portugal. </w:t>
      </w:r>
      <w:r w:rsidRPr="003469A0">
        <w:rPr>
          <w:rFonts w:ascii="Times New Roman" w:hAnsi="Times New Roman" w:cs="Times New Roman"/>
          <w:i/>
          <w:iCs/>
          <w:sz w:val="24"/>
          <w:szCs w:val="24"/>
        </w:rPr>
        <w:t>Journal of Cardiovascular Development &amp; Discovery,</w:t>
      </w:r>
      <w:r w:rsidRPr="003469A0">
        <w:rPr>
          <w:rFonts w:ascii="Times New Roman" w:hAnsi="Times New Roman" w:cs="Times New Roman"/>
          <w:sz w:val="24"/>
          <w:szCs w:val="24"/>
        </w:rPr>
        <w:t xml:space="preserve"> </w:t>
      </w:r>
      <w:r w:rsidRPr="003469A0">
        <w:rPr>
          <w:rFonts w:ascii="Times New Roman" w:hAnsi="Times New Roman" w:cs="Times New Roman"/>
          <w:iCs/>
          <w:sz w:val="24"/>
          <w:szCs w:val="24"/>
        </w:rPr>
        <w:t>5</w:t>
      </w:r>
      <w:r w:rsidRPr="003469A0">
        <w:rPr>
          <w:rFonts w:ascii="Times New Roman" w:hAnsi="Times New Roman" w:cs="Times New Roman"/>
          <w:sz w:val="24"/>
          <w:szCs w:val="24"/>
        </w:rPr>
        <w:t>, 3.</w:t>
      </w:r>
    </w:p>
    <w:p w14:paraId="1DC48BE6" w14:textId="77777777" w:rsidR="008E7538" w:rsidRPr="003469A0" w:rsidRDefault="008E7538" w:rsidP="008C2812">
      <w:pPr>
        <w:spacing w:after="0"/>
        <w:ind w:left="785" w:hangingChars="327" w:hanging="785"/>
        <w:jc w:val="both"/>
        <w:rPr>
          <w:rStyle w:val="element-citation"/>
          <w:rFonts w:ascii="Times New Roman" w:hAnsi="Times New Roman" w:cs="Times New Roman"/>
          <w:sz w:val="24"/>
          <w:szCs w:val="24"/>
        </w:rPr>
      </w:pPr>
      <w:r w:rsidRPr="003469A0">
        <w:rPr>
          <w:rFonts w:ascii="Times New Roman" w:hAnsi="Times New Roman" w:cs="Times New Roman"/>
          <w:sz w:val="24"/>
          <w:szCs w:val="24"/>
        </w:rPr>
        <w:t xml:space="preserve">Recommendations of the German Society for Clinical Chemistry (GSCC) (1972). Standardisation of methods for the estimation of enzyme activities in biological fluids. Experimental basis for the optimized standard conditions. </w:t>
      </w:r>
      <w:r w:rsidRPr="003469A0">
        <w:rPr>
          <w:rFonts w:ascii="Times New Roman" w:hAnsi="Times New Roman" w:cs="Times New Roman"/>
          <w:i/>
          <w:sz w:val="24"/>
          <w:szCs w:val="24"/>
        </w:rPr>
        <w:t>Z Klin Chem Klin Biochem.</w:t>
      </w:r>
      <w:r w:rsidRPr="003469A0">
        <w:rPr>
          <w:rFonts w:ascii="Times New Roman" w:hAnsi="Times New Roman" w:cs="Times New Roman"/>
          <w:sz w:val="24"/>
          <w:szCs w:val="24"/>
        </w:rPr>
        <w:t>, 10(6), 281-291.</w:t>
      </w:r>
    </w:p>
    <w:p w14:paraId="1837B725" w14:textId="77777777" w:rsidR="008E7538" w:rsidRPr="003469A0" w:rsidRDefault="008E7538"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lastRenderedPageBreak/>
        <w:t xml:space="preserve">Reitman, S., &amp; Frankel, S. (1957). Colorimetric method for determination serum glutamate oxaloacetate and glutamic pyruvate transaminase. </w:t>
      </w:r>
      <w:r w:rsidRPr="003469A0">
        <w:rPr>
          <w:rFonts w:ascii="Times New Roman" w:hAnsi="Times New Roman" w:cs="Times New Roman"/>
          <w:i/>
          <w:sz w:val="24"/>
          <w:szCs w:val="24"/>
        </w:rPr>
        <w:t>American Journal of Clinical Pathology</w:t>
      </w:r>
      <w:r w:rsidRPr="003469A0">
        <w:rPr>
          <w:rFonts w:ascii="Times New Roman" w:hAnsi="Times New Roman" w:cs="Times New Roman"/>
          <w:sz w:val="24"/>
          <w:szCs w:val="24"/>
        </w:rPr>
        <w:t>, 28, 56.</w:t>
      </w:r>
    </w:p>
    <w:p w14:paraId="2C79CFF3" w14:textId="77777777" w:rsidR="008E7538" w:rsidRPr="003469A0" w:rsidRDefault="008E7538" w:rsidP="008C2812">
      <w:pPr>
        <w:spacing w:after="0"/>
        <w:ind w:left="785" w:hangingChars="327" w:hanging="785"/>
        <w:jc w:val="both"/>
        <w:rPr>
          <w:rFonts w:ascii="Times New Roman" w:eastAsia="TimesNewRoman" w:hAnsi="Times New Roman" w:cs="Times New Roman"/>
          <w:sz w:val="24"/>
          <w:szCs w:val="24"/>
        </w:rPr>
      </w:pPr>
      <w:r w:rsidRPr="003469A0">
        <w:rPr>
          <w:rFonts w:ascii="Times New Roman" w:eastAsia="TimesNewRoman" w:hAnsi="Times New Roman" w:cs="Times New Roman"/>
          <w:sz w:val="24"/>
          <w:szCs w:val="24"/>
        </w:rPr>
        <w:t xml:space="preserve">Richmond, W. (1973). Preparation of cholesterol oxidase from Nacordia ssp. And its application to the enzymatic assay of total cholesterol in serum. </w:t>
      </w:r>
      <w:r w:rsidRPr="003469A0">
        <w:rPr>
          <w:rFonts w:ascii="Times New Roman" w:eastAsia="TimesNewRoman" w:hAnsi="Times New Roman" w:cs="Times New Roman"/>
          <w:i/>
          <w:sz w:val="24"/>
          <w:szCs w:val="24"/>
        </w:rPr>
        <w:t>Clinical Chemistry</w:t>
      </w:r>
      <w:r w:rsidRPr="003469A0">
        <w:rPr>
          <w:rFonts w:ascii="Times New Roman" w:eastAsia="TimesNewRoman" w:hAnsi="Times New Roman" w:cs="Times New Roman"/>
          <w:sz w:val="24"/>
          <w:szCs w:val="24"/>
        </w:rPr>
        <w:t>, 19, 1350-1356.</w:t>
      </w:r>
    </w:p>
    <w:p w14:paraId="582B5805" w14:textId="77777777" w:rsidR="008E7538" w:rsidRPr="003469A0" w:rsidRDefault="008E7538"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Salsabila, F., Hadisaputro, S., &amp; Sunarjo, L. (2023). Effect of pomegranate extract (</w:t>
      </w:r>
      <w:r w:rsidRPr="003469A0">
        <w:rPr>
          <w:rFonts w:ascii="Times New Roman" w:hAnsi="Times New Roman" w:cs="Times New Roman"/>
          <w:i/>
          <w:iCs/>
          <w:sz w:val="24"/>
          <w:szCs w:val="24"/>
        </w:rPr>
        <w:t xml:space="preserve">Punica granatum </w:t>
      </w:r>
      <w:r w:rsidRPr="003469A0">
        <w:rPr>
          <w:rFonts w:ascii="Times New Roman" w:hAnsi="Times New Roman" w:cs="Times New Roman"/>
          <w:sz w:val="24"/>
          <w:szCs w:val="24"/>
        </w:rPr>
        <w:t xml:space="preserve">L.) on blood pressure and nitric oxide in gestational hypertension.  </w:t>
      </w:r>
      <w:r w:rsidRPr="003469A0">
        <w:rPr>
          <w:rFonts w:ascii="Times New Roman" w:hAnsi="Times New Roman" w:cs="Times New Roman"/>
          <w:i/>
          <w:sz w:val="24"/>
          <w:szCs w:val="24"/>
        </w:rPr>
        <w:t>MEDISAINS</w:t>
      </w:r>
      <w:r w:rsidRPr="003469A0">
        <w:rPr>
          <w:rFonts w:ascii="Times New Roman" w:hAnsi="Times New Roman" w:cs="Times New Roman"/>
          <w:sz w:val="24"/>
          <w:szCs w:val="24"/>
        </w:rPr>
        <w:t>, 21(2), 41-45.</w:t>
      </w:r>
    </w:p>
    <w:p w14:paraId="11DCA13E" w14:textId="77777777" w:rsidR="008E7538" w:rsidRPr="003469A0" w:rsidRDefault="008E7538"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Sankar, B., Kohinoor, B., Maliha, R., Nahid, Y., &amp; Hasina, B. (2015). Hematocrit Value in Preeclampsia. </w:t>
      </w:r>
      <w:r w:rsidRPr="003469A0">
        <w:rPr>
          <w:rFonts w:ascii="Times New Roman" w:hAnsi="Times New Roman" w:cs="Times New Roman"/>
          <w:i/>
          <w:sz w:val="24"/>
          <w:szCs w:val="24"/>
        </w:rPr>
        <w:t>Bangladesh Journal of Obstetrics &amp; Gynaecology</w:t>
      </w:r>
      <w:r w:rsidRPr="003469A0">
        <w:rPr>
          <w:rFonts w:ascii="Times New Roman" w:hAnsi="Times New Roman" w:cs="Times New Roman"/>
          <w:sz w:val="24"/>
          <w:szCs w:val="24"/>
        </w:rPr>
        <w:t>, 30(2), 80-85.</w:t>
      </w:r>
    </w:p>
    <w:p w14:paraId="582290CD" w14:textId="77777777" w:rsidR="008E7538" w:rsidRPr="003469A0" w:rsidRDefault="008E7538" w:rsidP="008C2812">
      <w:pPr>
        <w:spacing w:after="0"/>
        <w:ind w:left="785" w:hangingChars="327" w:hanging="785"/>
        <w:jc w:val="both"/>
        <w:rPr>
          <w:rFonts w:ascii="Times New Roman" w:eastAsia="Times New Roman" w:hAnsi="Times New Roman" w:cs="Times New Roman"/>
          <w:sz w:val="24"/>
          <w:szCs w:val="24"/>
        </w:rPr>
      </w:pPr>
      <w:r w:rsidRPr="003469A0">
        <w:rPr>
          <w:rFonts w:ascii="Times New Roman" w:eastAsia="Times New Roman" w:hAnsi="Times New Roman" w:cs="Times New Roman"/>
          <w:sz w:val="24"/>
          <w:szCs w:val="24"/>
        </w:rPr>
        <w:t xml:space="preserve">Santure, M., Turgeon, B., &amp; Huguette, M. (1999). High hemoglobin and hematocrit levels and pregnancy outcomes. </w:t>
      </w:r>
      <w:r w:rsidRPr="003469A0">
        <w:rPr>
          <w:rFonts w:ascii="Times New Roman" w:eastAsia="Times New Roman" w:hAnsi="Times New Roman" w:cs="Times New Roman"/>
          <w:i/>
          <w:sz w:val="24"/>
          <w:szCs w:val="24"/>
        </w:rPr>
        <w:t>Clinical Nutrition</w:t>
      </w:r>
      <w:r w:rsidRPr="003469A0">
        <w:rPr>
          <w:rFonts w:ascii="Times New Roman" w:eastAsia="Times New Roman" w:hAnsi="Times New Roman" w:cs="Times New Roman"/>
          <w:sz w:val="24"/>
          <w:szCs w:val="24"/>
        </w:rPr>
        <w:t>, 14(2), 1-9.</w:t>
      </w:r>
    </w:p>
    <w:p w14:paraId="4119FB0A" w14:textId="77777777" w:rsidR="008E7538" w:rsidRPr="003469A0" w:rsidRDefault="008E7538" w:rsidP="008C2812">
      <w:pPr>
        <w:spacing w:after="0"/>
        <w:ind w:left="785" w:hangingChars="327" w:hanging="785"/>
        <w:jc w:val="both"/>
        <w:rPr>
          <w:rFonts w:ascii="Times New Roman" w:hAnsi="Times New Roman" w:cs="Times New Roman"/>
          <w:sz w:val="24"/>
          <w:szCs w:val="24"/>
        </w:rPr>
      </w:pPr>
      <w:r w:rsidRPr="003469A0">
        <w:rPr>
          <w:rStyle w:val="element-citation"/>
          <w:rFonts w:ascii="Times New Roman" w:hAnsi="Times New Roman" w:cs="Times New Roman"/>
          <w:sz w:val="24"/>
          <w:szCs w:val="24"/>
        </w:rPr>
        <w:t xml:space="preserve">Selim, S., El-Alfy, S., Al-Ruwaili, M., Abdo, A., &amp; Al-Jaouni, S. (2012). Susceptibility of imipenem-resistant </w:t>
      </w:r>
      <w:r w:rsidRPr="003469A0">
        <w:rPr>
          <w:rStyle w:val="Emphasis"/>
          <w:rFonts w:ascii="Times New Roman" w:hAnsi="Times New Roman" w:cs="Times New Roman"/>
          <w:sz w:val="24"/>
          <w:szCs w:val="24"/>
        </w:rPr>
        <w:t>Pseudomonas aeruginosa</w:t>
      </w:r>
      <w:r w:rsidRPr="003469A0">
        <w:rPr>
          <w:rStyle w:val="element-citation"/>
          <w:rFonts w:ascii="Times New Roman" w:hAnsi="Times New Roman" w:cs="Times New Roman"/>
          <w:sz w:val="24"/>
          <w:szCs w:val="24"/>
        </w:rPr>
        <w:t xml:space="preserve"> to flavonoid glycosides of Phoenix dactylifera (</w:t>
      </w:r>
      <w:r w:rsidRPr="003469A0">
        <w:rPr>
          <w:rStyle w:val="Emphasis"/>
          <w:rFonts w:ascii="Times New Roman" w:hAnsi="Times New Roman" w:cs="Times New Roman"/>
          <w:sz w:val="24"/>
          <w:szCs w:val="24"/>
        </w:rPr>
        <w:t>Phoenix dactylifera</w:t>
      </w:r>
      <w:r w:rsidRPr="003469A0">
        <w:rPr>
          <w:rStyle w:val="element-citation"/>
          <w:rFonts w:ascii="Times New Roman" w:hAnsi="Times New Roman" w:cs="Times New Roman"/>
          <w:sz w:val="24"/>
          <w:szCs w:val="24"/>
        </w:rPr>
        <w:t xml:space="preserve"> L.) tamar growing in Al Madinah, Saudi Arabia. </w:t>
      </w:r>
      <w:r w:rsidRPr="003469A0">
        <w:rPr>
          <w:rStyle w:val="ref-journal"/>
          <w:rFonts w:ascii="Times New Roman" w:hAnsi="Times New Roman" w:cs="Times New Roman"/>
          <w:i/>
          <w:sz w:val="24"/>
          <w:szCs w:val="24"/>
        </w:rPr>
        <w:t>African Journal of Biotechnology</w:t>
      </w:r>
      <w:r w:rsidRPr="003469A0">
        <w:rPr>
          <w:rStyle w:val="ref-journal"/>
          <w:rFonts w:ascii="Times New Roman" w:hAnsi="Times New Roman" w:cs="Times New Roman"/>
          <w:sz w:val="24"/>
          <w:szCs w:val="24"/>
        </w:rPr>
        <w:t xml:space="preserve">, </w:t>
      </w:r>
      <w:r w:rsidRPr="003469A0">
        <w:rPr>
          <w:rStyle w:val="ref-vol"/>
          <w:rFonts w:ascii="Times New Roman" w:hAnsi="Times New Roman" w:cs="Times New Roman"/>
          <w:sz w:val="24"/>
          <w:szCs w:val="24"/>
        </w:rPr>
        <w:t>11</w:t>
      </w:r>
      <w:r w:rsidRPr="003469A0">
        <w:rPr>
          <w:rStyle w:val="element-citation"/>
          <w:rFonts w:ascii="Times New Roman" w:hAnsi="Times New Roman" w:cs="Times New Roman"/>
          <w:sz w:val="24"/>
          <w:szCs w:val="24"/>
        </w:rPr>
        <w:t xml:space="preserve">, 416–422. </w:t>
      </w:r>
    </w:p>
    <w:p w14:paraId="1CC07E0F" w14:textId="77777777" w:rsidR="008E7538" w:rsidRPr="003469A0" w:rsidRDefault="008E7538"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Sibai, B., Dekker, G., &amp; Kupferminc, M. (2005). Pre-eclampsia. </w:t>
      </w:r>
      <w:r w:rsidRPr="003469A0">
        <w:rPr>
          <w:rFonts w:ascii="Times New Roman" w:hAnsi="Times New Roman" w:cs="Times New Roman"/>
          <w:i/>
          <w:iCs/>
          <w:sz w:val="24"/>
          <w:szCs w:val="24"/>
        </w:rPr>
        <w:t>Lancet,</w:t>
      </w:r>
      <w:r w:rsidRPr="003469A0">
        <w:rPr>
          <w:rFonts w:ascii="Times New Roman" w:hAnsi="Times New Roman" w:cs="Times New Roman"/>
          <w:sz w:val="24"/>
          <w:szCs w:val="24"/>
        </w:rPr>
        <w:t xml:space="preserve"> </w:t>
      </w:r>
      <w:r w:rsidRPr="003469A0">
        <w:rPr>
          <w:rFonts w:ascii="Times New Roman" w:hAnsi="Times New Roman" w:cs="Times New Roman"/>
          <w:iCs/>
          <w:sz w:val="24"/>
          <w:szCs w:val="24"/>
        </w:rPr>
        <w:t>365</w:t>
      </w:r>
      <w:r w:rsidRPr="003469A0">
        <w:rPr>
          <w:rFonts w:ascii="Times New Roman" w:hAnsi="Times New Roman" w:cs="Times New Roman"/>
          <w:sz w:val="24"/>
          <w:szCs w:val="24"/>
        </w:rPr>
        <w:t>, 785–799.</w:t>
      </w:r>
    </w:p>
    <w:p w14:paraId="1FB0CD9C" w14:textId="77777777" w:rsidR="008E7538" w:rsidRPr="003469A0" w:rsidRDefault="008E7538"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Singh, B.B., Ehlers, J.D., Sharma, B., &amp; Freire, F.R. (2009). Recent Progress in Beijing, China. License Number SCXK, Beijing, 15.</w:t>
      </w:r>
    </w:p>
    <w:p w14:paraId="5CCC8A13" w14:textId="77777777" w:rsidR="008C2812" w:rsidRPr="003469A0" w:rsidRDefault="008C2812" w:rsidP="008C2812">
      <w:pPr>
        <w:pStyle w:val="NormalWeb"/>
        <w:spacing w:before="0" w:beforeAutospacing="0" w:after="0" w:afterAutospacing="0" w:line="276" w:lineRule="auto"/>
        <w:ind w:left="785" w:hangingChars="327" w:hanging="785"/>
      </w:pPr>
      <w:r w:rsidRPr="003469A0">
        <w:t xml:space="preserve">Soetan, K.O. (2008). Pharmacological and other beneficial effects of antinutritional factors in plants-A review. </w:t>
      </w:r>
      <w:r w:rsidRPr="003469A0">
        <w:rPr>
          <w:i/>
        </w:rPr>
        <w:t>African Journal of Biotechnology</w:t>
      </w:r>
      <w:r w:rsidRPr="003469A0">
        <w:t xml:space="preserve">, 7(25), 4713-4721. </w:t>
      </w:r>
    </w:p>
    <w:p w14:paraId="2DD9E1C8" w14:textId="77777777" w:rsidR="008C2812" w:rsidRPr="003469A0" w:rsidRDefault="008C2812" w:rsidP="008C2812">
      <w:pPr>
        <w:spacing w:after="0"/>
        <w:ind w:left="785" w:hangingChars="327" w:hanging="785"/>
        <w:jc w:val="both"/>
        <w:rPr>
          <w:rFonts w:ascii="Times New Roman" w:hAnsi="Times New Roman" w:cs="Times New Roman"/>
          <w:iCs/>
          <w:sz w:val="24"/>
          <w:szCs w:val="24"/>
        </w:rPr>
      </w:pPr>
      <w:r w:rsidRPr="003469A0">
        <w:rPr>
          <w:rFonts w:ascii="Times New Roman" w:hAnsi="Times New Roman" w:cs="Times New Roman"/>
          <w:bCs/>
          <w:sz w:val="24"/>
          <w:szCs w:val="24"/>
        </w:rPr>
        <w:t>Spielmann, J., Shukla, A., Brandsch, C., Hirche, F., Stangl G.I., &amp; Eder K. (2007).</w:t>
      </w:r>
      <w:r w:rsidRPr="003469A0">
        <w:rPr>
          <w:rFonts w:ascii="Times New Roman" w:hAnsi="Times New Roman" w:cs="Times New Roman"/>
          <w:b/>
          <w:bCs/>
          <w:sz w:val="24"/>
          <w:szCs w:val="24"/>
        </w:rPr>
        <w:t xml:space="preserve"> </w:t>
      </w:r>
      <w:r w:rsidRPr="003469A0">
        <w:rPr>
          <w:rFonts w:ascii="Times New Roman" w:hAnsi="Times New Roman" w:cs="Times New Roman"/>
          <w:sz w:val="24"/>
          <w:szCs w:val="24"/>
        </w:rPr>
        <w:t>Dietary lupin protein lowers triglyceride concentrations in liver and plasma in rats by reducing hepatic gene expression of sterol regulatory element-binding protein-1c.</w:t>
      </w:r>
      <w:r w:rsidRPr="003469A0">
        <w:rPr>
          <w:rFonts w:ascii="Times New Roman" w:hAnsi="Times New Roman" w:cs="Times New Roman"/>
          <w:i/>
          <w:sz w:val="24"/>
          <w:szCs w:val="24"/>
        </w:rPr>
        <w:t xml:space="preserve"> Annals of Nutrition and Metabolism</w:t>
      </w:r>
      <w:r w:rsidRPr="003469A0">
        <w:rPr>
          <w:rFonts w:ascii="Times New Roman" w:hAnsi="Times New Roman" w:cs="Times New Roman"/>
          <w:sz w:val="24"/>
          <w:szCs w:val="24"/>
        </w:rPr>
        <w:t xml:space="preserve">, 51(4), 387-392. </w:t>
      </w:r>
    </w:p>
    <w:p w14:paraId="1AB77832" w14:textId="77777777" w:rsidR="008C2812" w:rsidRPr="003469A0" w:rsidRDefault="008C2812"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Taher, J.H., Al-Mulla Hummadi, Y.M., Al-Bashir, N.M., &amp; Al-Araji, A.S. (2016). Lactate dehydrogenase (LD), alkaline phosphatase (ALP) isoenzymatic patterns in Iraqi children with visceral leishmaniasis before and after treatment with stibogluconate. </w:t>
      </w:r>
      <w:r w:rsidRPr="003469A0">
        <w:rPr>
          <w:rFonts w:ascii="Times New Roman" w:hAnsi="Times New Roman" w:cs="Times New Roman"/>
          <w:i/>
          <w:sz w:val="24"/>
          <w:szCs w:val="24"/>
        </w:rPr>
        <w:t>Journal of Parasitology &amp; Diseases,</w:t>
      </w:r>
      <w:r w:rsidRPr="003469A0">
        <w:rPr>
          <w:rFonts w:ascii="Times New Roman" w:hAnsi="Times New Roman" w:cs="Times New Roman"/>
          <w:sz w:val="24"/>
          <w:szCs w:val="24"/>
        </w:rPr>
        <w:t xml:space="preserve"> 40(2), 277-84. </w:t>
      </w:r>
    </w:p>
    <w:p w14:paraId="0B8AD508" w14:textId="77777777" w:rsidR="008C2812" w:rsidRPr="003469A0" w:rsidRDefault="008C2812"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Tahmasebi, M., Sadeghi, H., Nazem, H., Kokhdan, E.P., &amp; Omidifar, N. (2018). Hepatoprotective effects of </w:t>
      </w:r>
      <w:r w:rsidRPr="003469A0">
        <w:rPr>
          <w:rFonts w:ascii="Times New Roman" w:hAnsi="Times New Roman" w:cs="Times New Roman"/>
          <w:i/>
          <w:iCs/>
          <w:sz w:val="24"/>
          <w:szCs w:val="24"/>
        </w:rPr>
        <w:t>Berberis vulgaris</w:t>
      </w:r>
      <w:r w:rsidRPr="003469A0">
        <w:rPr>
          <w:rFonts w:ascii="Times New Roman" w:hAnsi="Times New Roman" w:cs="Times New Roman"/>
          <w:sz w:val="24"/>
          <w:szCs w:val="24"/>
        </w:rPr>
        <w:t xml:space="preserve"> leaf extract on carbon tetrachloride-induced hepatotoxicity in rats. </w:t>
      </w:r>
      <w:r w:rsidRPr="003469A0">
        <w:rPr>
          <w:rFonts w:ascii="Times New Roman" w:hAnsi="Times New Roman" w:cs="Times New Roman"/>
          <w:i/>
          <w:sz w:val="24"/>
          <w:szCs w:val="24"/>
        </w:rPr>
        <w:t>Journal of Education and Health Promotion</w:t>
      </w:r>
      <w:r w:rsidRPr="003469A0">
        <w:rPr>
          <w:rFonts w:ascii="Times New Roman" w:hAnsi="Times New Roman" w:cs="Times New Roman"/>
          <w:sz w:val="24"/>
          <w:szCs w:val="24"/>
        </w:rPr>
        <w:t xml:space="preserve">, 7, 147. </w:t>
      </w:r>
    </w:p>
    <w:p w14:paraId="681B5697" w14:textId="77777777" w:rsidR="008C2812" w:rsidRPr="003469A0" w:rsidRDefault="008C2812" w:rsidP="008C2812">
      <w:pPr>
        <w:spacing w:after="0"/>
        <w:ind w:left="785" w:hangingChars="327" w:hanging="785"/>
        <w:jc w:val="both"/>
        <w:rPr>
          <w:rStyle w:val="element-citation"/>
          <w:rFonts w:ascii="Times New Roman" w:hAnsi="Times New Roman" w:cs="Times New Roman"/>
          <w:sz w:val="24"/>
          <w:szCs w:val="24"/>
        </w:rPr>
      </w:pPr>
      <w:r w:rsidRPr="003469A0">
        <w:rPr>
          <w:rStyle w:val="element-citation"/>
          <w:rFonts w:ascii="Times New Roman" w:hAnsi="Times New Roman" w:cs="Times New Roman"/>
          <w:sz w:val="24"/>
          <w:szCs w:val="24"/>
        </w:rPr>
        <w:t xml:space="preserve">Tengberg, M. (2012). Beginnings and early history of </w:t>
      </w:r>
      <w:r w:rsidRPr="003469A0">
        <w:rPr>
          <w:rStyle w:val="element-citation"/>
          <w:rFonts w:ascii="Times New Roman" w:hAnsi="Times New Roman" w:cs="Times New Roman"/>
          <w:i/>
          <w:sz w:val="24"/>
          <w:szCs w:val="24"/>
        </w:rPr>
        <w:t>Phoenix dactylifera</w:t>
      </w:r>
      <w:r w:rsidRPr="003469A0">
        <w:rPr>
          <w:rStyle w:val="element-citation"/>
          <w:rFonts w:ascii="Times New Roman" w:hAnsi="Times New Roman" w:cs="Times New Roman"/>
          <w:sz w:val="24"/>
          <w:szCs w:val="24"/>
        </w:rPr>
        <w:t xml:space="preserve"> garden cultivation in the Middle East. </w:t>
      </w:r>
      <w:r w:rsidRPr="003469A0">
        <w:rPr>
          <w:rStyle w:val="ref-journal"/>
          <w:rFonts w:ascii="Times New Roman" w:hAnsi="Times New Roman" w:cs="Times New Roman"/>
          <w:i/>
          <w:sz w:val="24"/>
          <w:szCs w:val="24"/>
        </w:rPr>
        <w:t>Journal of Arid Environments,</w:t>
      </w:r>
      <w:r w:rsidRPr="003469A0">
        <w:rPr>
          <w:rStyle w:val="ref-journal"/>
          <w:rFonts w:ascii="Times New Roman" w:hAnsi="Times New Roman" w:cs="Times New Roman"/>
          <w:sz w:val="24"/>
          <w:szCs w:val="24"/>
        </w:rPr>
        <w:t xml:space="preserve"> </w:t>
      </w:r>
      <w:r w:rsidRPr="003469A0">
        <w:rPr>
          <w:rStyle w:val="ref-vol"/>
          <w:rFonts w:ascii="Times New Roman" w:hAnsi="Times New Roman" w:cs="Times New Roman"/>
          <w:sz w:val="24"/>
          <w:szCs w:val="24"/>
        </w:rPr>
        <w:t>86</w:t>
      </w:r>
      <w:r w:rsidRPr="003469A0">
        <w:rPr>
          <w:rStyle w:val="element-citation"/>
          <w:rFonts w:ascii="Times New Roman" w:hAnsi="Times New Roman" w:cs="Times New Roman"/>
          <w:sz w:val="24"/>
          <w:szCs w:val="24"/>
        </w:rPr>
        <w:t xml:space="preserve">, 139–147. </w:t>
      </w:r>
    </w:p>
    <w:p w14:paraId="7BD5D204" w14:textId="77777777" w:rsidR="008C2812" w:rsidRPr="003469A0" w:rsidRDefault="008C2812"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Terrone, M., Moore, A., &amp; Magann, M. (2000). Leukocytosis is proportional to HELLP syndrome severity: evidence for an inflammatory form of pre-eclampsia. </w:t>
      </w:r>
      <w:r w:rsidRPr="003469A0">
        <w:rPr>
          <w:rFonts w:ascii="Times New Roman" w:hAnsi="Times New Roman" w:cs="Times New Roman"/>
          <w:i/>
          <w:sz w:val="24"/>
          <w:szCs w:val="24"/>
        </w:rPr>
        <w:t>Southern Medical Journal</w:t>
      </w:r>
      <w:r w:rsidRPr="003469A0">
        <w:rPr>
          <w:rFonts w:ascii="Times New Roman" w:hAnsi="Times New Roman" w:cs="Times New Roman"/>
          <w:sz w:val="24"/>
          <w:szCs w:val="24"/>
        </w:rPr>
        <w:t xml:space="preserve">, 93(8), 768-771. </w:t>
      </w:r>
    </w:p>
    <w:p w14:paraId="54E6EA9F" w14:textId="77777777" w:rsidR="008C2812" w:rsidRPr="003469A0" w:rsidRDefault="008C2812" w:rsidP="008C2812">
      <w:pPr>
        <w:spacing w:after="0"/>
        <w:ind w:left="785" w:hangingChars="327" w:hanging="785"/>
        <w:jc w:val="both"/>
        <w:rPr>
          <w:rFonts w:ascii="Times New Roman" w:eastAsia="TimesNewRoman" w:hAnsi="Times New Roman" w:cs="Times New Roman"/>
          <w:sz w:val="24"/>
          <w:szCs w:val="24"/>
        </w:rPr>
      </w:pPr>
      <w:r w:rsidRPr="003469A0">
        <w:rPr>
          <w:rFonts w:ascii="Times New Roman" w:hAnsi="Times New Roman" w:cs="Times New Roman"/>
          <w:sz w:val="24"/>
          <w:szCs w:val="24"/>
        </w:rPr>
        <w:t>Tietz, N.W. (1995). Clinical Guide to Laboratory Tests. 3</w:t>
      </w:r>
      <w:r w:rsidRPr="003469A0">
        <w:rPr>
          <w:rFonts w:ascii="Times New Roman" w:hAnsi="Times New Roman" w:cs="Times New Roman"/>
          <w:sz w:val="24"/>
          <w:szCs w:val="24"/>
          <w:vertAlign w:val="superscript"/>
        </w:rPr>
        <w:t>rd</w:t>
      </w:r>
      <w:r w:rsidRPr="003469A0">
        <w:rPr>
          <w:rFonts w:ascii="Times New Roman" w:hAnsi="Times New Roman" w:cs="Times New Roman"/>
          <w:sz w:val="24"/>
          <w:szCs w:val="24"/>
        </w:rPr>
        <w:t xml:space="preserve"> Edition. (pp. 518-519). W.B. Saunders Company. Philadelphia.</w:t>
      </w:r>
    </w:p>
    <w:p w14:paraId="39C3C9AD" w14:textId="77777777" w:rsidR="008C2812" w:rsidRPr="003469A0" w:rsidRDefault="008C2812" w:rsidP="008C2812">
      <w:pPr>
        <w:spacing w:after="0"/>
        <w:ind w:left="785" w:hangingChars="327" w:hanging="785"/>
        <w:jc w:val="both"/>
        <w:rPr>
          <w:rFonts w:ascii="Times New Roman" w:eastAsia="TimesNewRoman" w:hAnsi="Times New Roman" w:cs="Times New Roman"/>
          <w:sz w:val="24"/>
          <w:szCs w:val="24"/>
        </w:rPr>
      </w:pPr>
      <w:r w:rsidRPr="003469A0">
        <w:rPr>
          <w:rFonts w:ascii="Times New Roman" w:eastAsia="TimesNewRoman" w:hAnsi="Times New Roman" w:cs="Times New Roman"/>
          <w:sz w:val="24"/>
          <w:szCs w:val="24"/>
        </w:rPr>
        <w:t xml:space="preserve">Trease, G.E. and Evans, W.C. (1989). Pharmacology 11th Edn., Bailliere Tindall Ltd., London. pp. 60-75. </w:t>
      </w:r>
    </w:p>
    <w:p w14:paraId="271CCB9D" w14:textId="77777777" w:rsidR="00E31AEC" w:rsidRPr="003469A0" w:rsidRDefault="008C2812" w:rsidP="008C2812">
      <w:pPr>
        <w:spacing w:after="0"/>
        <w:ind w:left="785" w:hangingChars="327" w:hanging="785"/>
        <w:jc w:val="both"/>
        <w:rPr>
          <w:rStyle w:val="fontstyle01"/>
          <w:rFonts w:ascii="Times New Roman" w:hAnsi="Times New Roman" w:cs="Times New Roman"/>
          <w:color w:val="auto"/>
          <w:sz w:val="24"/>
          <w:szCs w:val="24"/>
        </w:rPr>
      </w:pPr>
      <w:r w:rsidRPr="003469A0">
        <w:rPr>
          <w:rStyle w:val="fontstyle01"/>
          <w:rFonts w:ascii="Times New Roman" w:hAnsi="Times New Roman" w:cs="Times New Roman"/>
          <w:color w:val="auto"/>
          <w:sz w:val="24"/>
          <w:szCs w:val="24"/>
        </w:rPr>
        <w:lastRenderedPageBreak/>
        <w:t>Wang, Y., Jia, Y., Yang, X., Liang, B., Gao, H., &amp; Yang, T. (2018). A potential role of Baicalin to inhibit apoptosis and protect against acute</w:t>
      </w:r>
      <w:r w:rsidRPr="003469A0">
        <w:rPr>
          <w:rFonts w:ascii="Times New Roman" w:hAnsi="Times New Roman" w:cs="Times New Roman"/>
          <w:sz w:val="24"/>
          <w:szCs w:val="24"/>
        </w:rPr>
        <w:t xml:space="preserve"> </w:t>
      </w:r>
      <w:r w:rsidRPr="003469A0">
        <w:rPr>
          <w:rStyle w:val="fontstyle01"/>
          <w:rFonts w:ascii="Times New Roman" w:hAnsi="Times New Roman" w:cs="Times New Roman"/>
          <w:color w:val="auto"/>
          <w:sz w:val="24"/>
          <w:szCs w:val="24"/>
        </w:rPr>
        <w:t xml:space="preserve">liver and kidney injury in rat preeclampsia model. </w:t>
      </w:r>
      <w:r w:rsidR="00E31AEC" w:rsidRPr="003469A0">
        <w:rPr>
          <w:rStyle w:val="fontstyle21"/>
          <w:rFonts w:ascii="Times New Roman" w:hAnsi="Times New Roman" w:cs="Times New Roman"/>
          <w:color w:val="auto"/>
          <w:sz w:val="24"/>
          <w:szCs w:val="24"/>
        </w:rPr>
        <w:t xml:space="preserve">Biomed. Pharmacother, </w:t>
      </w:r>
      <w:r w:rsidRPr="003469A0">
        <w:rPr>
          <w:rStyle w:val="fontstyle21"/>
          <w:rFonts w:ascii="Times New Roman" w:hAnsi="Times New Roman" w:cs="Times New Roman"/>
          <w:color w:val="auto"/>
          <w:sz w:val="24"/>
          <w:szCs w:val="24"/>
        </w:rPr>
        <w:t>108</w:t>
      </w:r>
      <w:r w:rsidRPr="003469A0">
        <w:rPr>
          <w:rStyle w:val="fontstyle01"/>
          <w:rFonts w:ascii="Times New Roman" w:hAnsi="Times New Roman" w:cs="Times New Roman"/>
          <w:color w:val="auto"/>
          <w:sz w:val="24"/>
          <w:szCs w:val="24"/>
        </w:rPr>
        <w:t xml:space="preserve">, 1546–1552. </w:t>
      </w:r>
    </w:p>
    <w:p w14:paraId="16BC10BE" w14:textId="77777777" w:rsidR="008C2812" w:rsidRPr="003469A0" w:rsidRDefault="008C2812"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Wu, F., Tian, F.-J., &amp; Lin, Y. (2015). Oxidative Stress in Placenta: Health and Diseases. </w:t>
      </w:r>
      <w:r w:rsidRPr="003469A0">
        <w:rPr>
          <w:rFonts w:ascii="Times New Roman" w:hAnsi="Times New Roman" w:cs="Times New Roman"/>
          <w:i/>
          <w:iCs/>
          <w:sz w:val="24"/>
          <w:szCs w:val="24"/>
        </w:rPr>
        <w:t>BioMed Research International,</w:t>
      </w:r>
      <w:r w:rsidRPr="003469A0">
        <w:rPr>
          <w:rFonts w:ascii="Times New Roman" w:hAnsi="Times New Roman" w:cs="Times New Roman"/>
          <w:sz w:val="24"/>
          <w:szCs w:val="24"/>
        </w:rPr>
        <w:t xml:space="preserve"> </w:t>
      </w:r>
      <w:r w:rsidRPr="003469A0">
        <w:rPr>
          <w:rFonts w:ascii="Times New Roman" w:hAnsi="Times New Roman" w:cs="Times New Roman"/>
          <w:iCs/>
          <w:sz w:val="24"/>
          <w:szCs w:val="24"/>
        </w:rPr>
        <w:t>2015</w:t>
      </w:r>
      <w:r w:rsidRPr="003469A0">
        <w:rPr>
          <w:rFonts w:ascii="Times New Roman" w:hAnsi="Times New Roman" w:cs="Times New Roman"/>
          <w:sz w:val="24"/>
          <w:szCs w:val="24"/>
        </w:rPr>
        <w:t>, 1–15.</w:t>
      </w:r>
    </w:p>
    <w:p w14:paraId="47DB002C" w14:textId="77777777" w:rsidR="008C2812" w:rsidRPr="003469A0" w:rsidRDefault="008C2812" w:rsidP="008C2812">
      <w:pPr>
        <w:spacing w:after="0"/>
        <w:ind w:left="785" w:hangingChars="327" w:hanging="785"/>
        <w:jc w:val="both"/>
        <w:rPr>
          <w:rFonts w:ascii="Times New Roman" w:hAnsi="Times New Roman" w:cs="Times New Roman"/>
          <w:iCs/>
          <w:sz w:val="24"/>
          <w:szCs w:val="24"/>
        </w:rPr>
      </w:pPr>
      <w:r w:rsidRPr="003469A0">
        <w:rPr>
          <w:rFonts w:ascii="Times New Roman" w:hAnsi="Times New Roman" w:cs="Times New Roman"/>
          <w:sz w:val="24"/>
          <w:szCs w:val="24"/>
        </w:rPr>
        <w:t xml:space="preserve">Zhang, H., Kang, K., Chen, S., Su, Q., Zhang, W., Zeng, L., Lin, X., Peng, F., Lin, J., &amp; Chai, D. (2024). </w:t>
      </w:r>
      <w:r w:rsidRPr="003469A0">
        <w:rPr>
          <w:rStyle w:val="title-text"/>
          <w:rFonts w:ascii="Times New Roman" w:hAnsi="Times New Roman" w:cs="Times New Roman"/>
          <w:sz w:val="24"/>
          <w:szCs w:val="24"/>
        </w:rPr>
        <w:t>High serum lactate dehydrogenase as a predictor of cardiac insufficiency at follow-up in elderly patients with acute myocardial infarction.</w:t>
      </w:r>
      <w:r w:rsidRPr="003469A0">
        <w:rPr>
          <w:rFonts w:ascii="Times New Roman" w:hAnsi="Times New Roman" w:cs="Times New Roman"/>
          <w:sz w:val="24"/>
          <w:szCs w:val="24"/>
        </w:rPr>
        <w:t xml:space="preserve"> </w:t>
      </w:r>
      <w:r w:rsidRPr="003469A0">
        <w:rPr>
          <w:rFonts w:ascii="Times New Roman" w:hAnsi="Times New Roman" w:cs="Times New Roman"/>
          <w:i/>
          <w:sz w:val="24"/>
          <w:szCs w:val="24"/>
        </w:rPr>
        <w:t>Archives of Gerontology and Geriatrics</w:t>
      </w:r>
      <w:r w:rsidRPr="003469A0">
        <w:rPr>
          <w:rFonts w:ascii="Times New Roman" w:hAnsi="Times New Roman" w:cs="Times New Roman"/>
          <w:sz w:val="24"/>
          <w:szCs w:val="24"/>
        </w:rPr>
        <w:t>, 117, 105253.</w:t>
      </w:r>
    </w:p>
    <w:p w14:paraId="37A265D6" w14:textId="77777777" w:rsidR="0054361C" w:rsidRPr="003469A0" w:rsidRDefault="0054361C" w:rsidP="008958F3">
      <w:pPr>
        <w:jc w:val="both"/>
        <w:rPr>
          <w:rFonts w:ascii="Times New Roman" w:hAnsi="Times New Roman" w:cs="Times New Roman"/>
          <w:sz w:val="24"/>
          <w:szCs w:val="24"/>
        </w:rPr>
      </w:pPr>
    </w:p>
    <w:p w14:paraId="6C299204" w14:textId="77777777" w:rsidR="009E3D06" w:rsidRPr="003469A0" w:rsidRDefault="009E3D06" w:rsidP="008958F3">
      <w:pPr>
        <w:jc w:val="both"/>
        <w:rPr>
          <w:rFonts w:ascii="Times New Roman" w:hAnsi="Times New Roman" w:cs="Times New Roman"/>
          <w:sz w:val="24"/>
          <w:szCs w:val="24"/>
        </w:rPr>
      </w:pPr>
    </w:p>
    <w:sectPr w:rsidR="009E3D06" w:rsidRPr="003469A0" w:rsidSect="00A059E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17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C1" w:date="2025-07-11T12:38:00Z" w:initials="P">
    <w:p w14:paraId="24D012B9" w14:textId="77777777" w:rsidR="00EB5765" w:rsidRDefault="00EB5765">
      <w:pPr>
        <w:pStyle w:val="CommentText"/>
      </w:pPr>
      <w:r>
        <w:rPr>
          <w:rStyle w:val="CommentReference"/>
        </w:rPr>
        <w:annotationRef/>
      </w:r>
      <w:r>
        <w:t>Add S</w:t>
      </w:r>
      <w:bookmarkStart w:id="1" w:name="_GoBack"/>
      <w:bookmarkEnd w:id="1"/>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D012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E0765A" w14:textId="77777777" w:rsidR="00D858FD" w:rsidRDefault="00D858FD" w:rsidP="003403FD">
      <w:pPr>
        <w:spacing w:after="0" w:line="240" w:lineRule="auto"/>
      </w:pPr>
      <w:r>
        <w:separator/>
      </w:r>
    </w:p>
  </w:endnote>
  <w:endnote w:type="continuationSeparator" w:id="0">
    <w:p w14:paraId="40DEC352" w14:textId="77777777" w:rsidR="00D858FD" w:rsidRDefault="00D858FD" w:rsidP="0034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RWPalladioL-Roma">
    <w:altName w:val="Times New Roman"/>
    <w:panose1 w:val="00000000000000000000"/>
    <w:charset w:val="00"/>
    <w:family w:val="roman"/>
    <w:notTrueType/>
    <w:pitch w:val="default"/>
  </w:font>
  <w:font w:name="URWPalladioL-Ital">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7ABF1" w14:textId="77777777" w:rsidR="0062392E" w:rsidRDefault="006239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4681526"/>
      <w:docPartObj>
        <w:docPartGallery w:val="Page Numbers (Bottom of Page)"/>
        <w:docPartUnique/>
      </w:docPartObj>
    </w:sdtPr>
    <w:sdtEndPr>
      <w:rPr>
        <w:noProof/>
      </w:rPr>
    </w:sdtEndPr>
    <w:sdtContent>
      <w:p w14:paraId="32D47A0B" w14:textId="77777777" w:rsidR="003403FD" w:rsidRDefault="003403FD">
        <w:pPr>
          <w:pStyle w:val="Footer"/>
          <w:jc w:val="right"/>
        </w:pPr>
        <w:r>
          <w:fldChar w:fldCharType="begin"/>
        </w:r>
        <w:r>
          <w:instrText xml:space="preserve"> PAGE   \* MERGEFORMAT </w:instrText>
        </w:r>
        <w:r>
          <w:fldChar w:fldCharType="separate"/>
        </w:r>
        <w:r w:rsidR="00EB5765">
          <w:rPr>
            <w:noProof/>
          </w:rPr>
          <w:t>1</w:t>
        </w:r>
        <w:r>
          <w:rPr>
            <w:noProof/>
          </w:rPr>
          <w:fldChar w:fldCharType="end"/>
        </w:r>
      </w:p>
    </w:sdtContent>
  </w:sdt>
  <w:p w14:paraId="1C5AB451" w14:textId="77777777" w:rsidR="003403FD" w:rsidRDefault="003403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B4106" w14:textId="77777777" w:rsidR="0062392E" w:rsidRDefault="006239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27DB4" w14:textId="77777777" w:rsidR="00D858FD" w:rsidRDefault="00D858FD" w:rsidP="003403FD">
      <w:pPr>
        <w:spacing w:after="0" w:line="240" w:lineRule="auto"/>
      </w:pPr>
      <w:r>
        <w:separator/>
      </w:r>
    </w:p>
  </w:footnote>
  <w:footnote w:type="continuationSeparator" w:id="0">
    <w:p w14:paraId="11872318" w14:textId="77777777" w:rsidR="00D858FD" w:rsidRDefault="00D858FD" w:rsidP="003403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54DC9" w14:textId="77777777" w:rsidR="0062392E" w:rsidRDefault="00D858FD">
    <w:pPr>
      <w:pStyle w:val="Header"/>
    </w:pPr>
    <w:r>
      <w:rPr>
        <w:noProof/>
      </w:rPr>
      <w:pict w14:anchorId="5F044A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665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D4933" w14:textId="77777777" w:rsidR="0062392E" w:rsidRDefault="00D858FD">
    <w:pPr>
      <w:pStyle w:val="Header"/>
    </w:pPr>
    <w:r>
      <w:rPr>
        <w:noProof/>
      </w:rPr>
      <w:pict w14:anchorId="42A19F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665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952FA" w14:textId="77777777" w:rsidR="0062392E" w:rsidRDefault="00D858FD">
    <w:pPr>
      <w:pStyle w:val="Header"/>
    </w:pPr>
    <w:r>
      <w:rPr>
        <w:noProof/>
      </w:rPr>
      <w:pict w14:anchorId="4D7726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665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72985"/>
    <w:multiLevelType w:val="hybridMultilevel"/>
    <w:tmpl w:val="04A8F5C6"/>
    <w:lvl w:ilvl="0" w:tplc="49A24154">
      <w:start w:val="1"/>
      <w:numFmt w:val="bullet"/>
      <w:lvlText w:val="•"/>
      <w:lvlJc w:val="left"/>
      <w:pPr>
        <w:tabs>
          <w:tab w:val="num" w:pos="720"/>
        </w:tabs>
        <w:ind w:left="720" w:hanging="360"/>
      </w:pPr>
      <w:rPr>
        <w:rFonts w:ascii="Arial" w:hAnsi="Arial" w:hint="default"/>
      </w:rPr>
    </w:lvl>
    <w:lvl w:ilvl="1" w:tplc="A57E6824" w:tentative="1">
      <w:start w:val="1"/>
      <w:numFmt w:val="bullet"/>
      <w:lvlText w:val="•"/>
      <w:lvlJc w:val="left"/>
      <w:pPr>
        <w:tabs>
          <w:tab w:val="num" w:pos="1440"/>
        </w:tabs>
        <w:ind w:left="1440" w:hanging="360"/>
      </w:pPr>
      <w:rPr>
        <w:rFonts w:ascii="Arial" w:hAnsi="Arial" w:hint="default"/>
      </w:rPr>
    </w:lvl>
    <w:lvl w:ilvl="2" w:tplc="C82E3A04" w:tentative="1">
      <w:start w:val="1"/>
      <w:numFmt w:val="bullet"/>
      <w:lvlText w:val="•"/>
      <w:lvlJc w:val="left"/>
      <w:pPr>
        <w:tabs>
          <w:tab w:val="num" w:pos="2160"/>
        </w:tabs>
        <w:ind w:left="2160" w:hanging="360"/>
      </w:pPr>
      <w:rPr>
        <w:rFonts w:ascii="Arial" w:hAnsi="Arial" w:hint="default"/>
      </w:rPr>
    </w:lvl>
    <w:lvl w:ilvl="3" w:tplc="25BE4D92" w:tentative="1">
      <w:start w:val="1"/>
      <w:numFmt w:val="bullet"/>
      <w:lvlText w:val="•"/>
      <w:lvlJc w:val="left"/>
      <w:pPr>
        <w:tabs>
          <w:tab w:val="num" w:pos="2880"/>
        </w:tabs>
        <w:ind w:left="2880" w:hanging="360"/>
      </w:pPr>
      <w:rPr>
        <w:rFonts w:ascii="Arial" w:hAnsi="Arial" w:hint="default"/>
      </w:rPr>
    </w:lvl>
    <w:lvl w:ilvl="4" w:tplc="34D685CC" w:tentative="1">
      <w:start w:val="1"/>
      <w:numFmt w:val="bullet"/>
      <w:lvlText w:val="•"/>
      <w:lvlJc w:val="left"/>
      <w:pPr>
        <w:tabs>
          <w:tab w:val="num" w:pos="3600"/>
        </w:tabs>
        <w:ind w:left="3600" w:hanging="360"/>
      </w:pPr>
      <w:rPr>
        <w:rFonts w:ascii="Arial" w:hAnsi="Arial" w:hint="default"/>
      </w:rPr>
    </w:lvl>
    <w:lvl w:ilvl="5" w:tplc="5002BAB8" w:tentative="1">
      <w:start w:val="1"/>
      <w:numFmt w:val="bullet"/>
      <w:lvlText w:val="•"/>
      <w:lvlJc w:val="left"/>
      <w:pPr>
        <w:tabs>
          <w:tab w:val="num" w:pos="4320"/>
        </w:tabs>
        <w:ind w:left="4320" w:hanging="360"/>
      </w:pPr>
      <w:rPr>
        <w:rFonts w:ascii="Arial" w:hAnsi="Arial" w:hint="default"/>
      </w:rPr>
    </w:lvl>
    <w:lvl w:ilvl="6" w:tplc="CAE41C1C" w:tentative="1">
      <w:start w:val="1"/>
      <w:numFmt w:val="bullet"/>
      <w:lvlText w:val="•"/>
      <w:lvlJc w:val="left"/>
      <w:pPr>
        <w:tabs>
          <w:tab w:val="num" w:pos="5040"/>
        </w:tabs>
        <w:ind w:left="5040" w:hanging="360"/>
      </w:pPr>
      <w:rPr>
        <w:rFonts w:ascii="Arial" w:hAnsi="Arial" w:hint="default"/>
      </w:rPr>
    </w:lvl>
    <w:lvl w:ilvl="7" w:tplc="B664B8AA" w:tentative="1">
      <w:start w:val="1"/>
      <w:numFmt w:val="bullet"/>
      <w:lvlText w:val="•"/>
      <w:lvlJc w:val="left"/>
      <w:pPr>
        <w:tabs>
          <w:tab w:val="num" w:pos="5760"/>
        </w:tabs>
        <w:ind w:left="5760" w:hanging="360"/>
      </w:pPr>
      <w:rPr>
        <w:rFonts w:ascii="Arial" w:hAnsi="Arial" w:hint="default"/>
      </w:rPr>
    </w:lvl>
    <w:lvl w:ilvl="8" w:tplc="E58E36E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1">
    <w15:presenceInfo w15:providerId="None" w15:userId="P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8F3"/>
    <w:rsid w:val="00022712"/>
    <w:rsid w:val="000238FD"/>
    <w:rsid w:val="000328AB"/>
    <w:rsid w:val="000A5311"/>
    <w:rsid w:val="00113F3D"/>
    <w:rsid w:val="00232335"/>
    <w:rsid w:val="002B6DB5"/>
    <w:rsid w:val="00326A5A"/>
    <w:rsid w:val="003403FD"/>
    <w:rsid w:val="003469A0"/>
    <w:rsid w:val="00357615"/>
    <w:rsid w:val="00497052"/>
    <w:rsid w:val="004A1DD2"/>
    <w:rsid w:val="0054361C"/>
    <w:rsid w:val="00544D14"/>
    <w:rsid w:val="00563345"/>
    <w:rsid w:val="005A50BE"/>
    <w:rsid w:val="0062392E"/>
    <w:rsid w:val="00643F70"/>
    <w:rsid w:val="006640E8"/>
    <w:rsid w:val="006826B2"/>
    <w:rsid w:val="006A35E4"/>
    <w:rsid w:val="006B095C"/>
    <w:rsid w:val="00716003"/>
    <w:rsid w:val="00771683"/>
    <w:rsid w:val="007B0DB8"/>
    <w:rsid w:val="007D374D"/>
    <w:rsid w:val="0083612B"/>
    <w:rsid w:val="00870DBD"/>
    <w:rsid w:val="008818EA"/>
    <w:rsid w:val="008958F3"/>
    <w:rsid w:val="008B7DCF"/>
    <w:rsid w:val="008C2812"/>
    <w:rsid w:val="008E7538"/>
    <w:rsid w:val="00900D44"/>
    <w:rsid w:val="00950B4C"/>
    <w:rsid w:val="009B595A"/>
    <w:rsid w:val="009E1460"/>
    <w:rsid w:val="009E3D06"/>
    <w:rsid w:val="00A059E0"/>
    <w:rsid w:val="00B93BAB"/>
    <w:rsid w:val="00BD41C9"/>
    <w:rsid w:val="00BE6BD8"/>
    <w:rsid w:val="00BF7AB7"/>
    <w:rsid w:val="00C10DE5"/>
    <w:rsid w:val="00C23931"/>
    <w:rsid w:val="00CA34D0"/>
    <w:rsid w:val="00CE70C4"/>
    <w:rsid w:val="00D858FD"/>
    <w:rsid w:val="00DE2433"/>
    <w:rsid w:val="00E2451C"/>
    <w:rsid w:val="00E31AEC"/>
    <w:rsid w:val="00E97499"/>
    <w:rsid w:val="00EB5765"/>
    <w:rsid w:val="00F45367"/>
    <w:rsid w:val="00FC0F3F"/>
    <w:rsid w:val="00FE7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7F67FC"/>
  <w15:docId w15:val="{E082FC85-1170-4F6B-B65B-B008A6F5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958F3"/>
    <w:pPr>
      <w:keepNext/>
      <w:keepLines/>
      <w:spacing w:after="240" w:line="360" w:lineRule="auto"/>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58F3"/>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8958F3"/>
    <w:rPr>
      <w:color w:val="0000FF" w:themeColor="hyperlink"/>
      <w:u w:val="single"/>
    </w:rPr>
  </w:style>
  <w:style w:type="character" w:customStyle="1" w:styleId="css-0">
    <w:name w:val="css-0"/>
    <w:basedOn w:val="DefaultParagraphFont"/>
    <w:rsid w:val="008958F3"/>
  </w:style>
  <w:style w:type="character" w:customStyle="1" w:styleId="css-1tmeul0">
    <w:name w:val="css-1tmeul0"/>
    <w:basedOn w:val="DefaultParagraphFont"/>
    <w:rsid w:val="008958F3"/>
  </w:style>
  <w:style w:type="character" w:customStyle="1" w:styleId="css-10o52y0">
    <w:name w:val="css-10o52y0"/>
    <w:basedOn w:val="DefaultParagraphFont"/>
    <w:rsid w:val="008958F3"/>
  </w:style>
  <w:style w:type="character" w:customStyle="1" w:styleId="css-h5d7i9">
    <w:name w:val="css-h5d7i9"/>
    <w:basedOn w:val="DefaultParagraphFont"/>
    <w:rsid w:val="008958F3"/>
  </w:style>
  <w:style w:type="character" w:customStyle="1" w:styleId="css-lq4jk2">
    <w:name w:val="css-lq4jk2"/>
    <w:basedOn w:val="DefaultParagraphFont"/>
    <w:rsid w:val="008958F3"/>
  </w:style>
  <w:style w:type="character" w:customStyle="1" w:styleId="css-1g9q2al">
    <w:name w:val="css-1g9q2al"/>
    <w:basedOn w:val="DefaultParagraphFont"/>
    <w:rsid w:val="008958F3"/>
  </w:style>
  <w:style w:type="character" w:customStyle="1" w:styleId="muibox-root">
    <w:name w:val="muibox-root"/>
    <w:basedOn w:val="DefaultParagraphFont"/>
    <w:rsid w:val="008958F3"/>
  </w:style>
  <w:style w:type="character" w:customStyle="1" w:styleId="css-13epjsd">
    <w:name w:val="css-13epjsd"/>
    <w:basedOn w:val="DefaultParagraphFont"/>
    <w:rsid w:val="008958F3"/>
  </w:style>
  <w:style w:type="character" w:customStyle="1" w:styleId="css-1w89ax7">
    <w:name w:val="css-1w89ax7"/>
    <w:basedOn w:val="DefaultParagraphFont"/>
    <w:rsid w:val="008958F3"/>
  </w:style>
  <w:style w:type="paragraph" w:styleId="BalloonText">
    <w:name w:val="Balloon Text"/>
    <w:basedOn w:val="Normal"/>
    <w:link w:val="BalloonTextChar"/>
    <w:uiPriority w:val="99"/>
    <w:semiHidden/>
    <w:unhideWhenUsed/>
    <w:rsid w:val="00895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8F3"/>
    <w:rPr>
      <w:rFonts w:ascii="Tahoma" w:hAnsi="Tahoma" w:cs="Tahoma"/>
      <w:sz w:val="16"/>
      <w:szCs w:val="16"/>
    </w:rPr>
  </w:style>
  <w:style w:type="character" w:customStyle="1" w:styleId="fontstyle01">
    <w:name w:val="fontstyle01"/>
    <w:basedOn w:val="DefaultParagraphFont"/>
    <w:rsid w:val="00113F3D"/>
    <w:rPr>
      <w:rFonts w:ascii="URWPalladioL-Roma" w:hAnsi="URWPalladioL-Roma" w:hint="default"/>
      <w:b w:val="0"/>
      <w:bCs w:val="0"/>
      <w:i w:val="0"/>
      <w:iCs w:val="0"/>
      <w:color w:val="000000"/>
      <w:sz w:val="20"/>
      <w:szCs w:val="20"/>
    </w:rPr>
  </w:style>
  <w:style w:type="character" w:styleId="Emphasis">
    <w:name w:val="Emphasis"/>
    <w:basedOn w:val="DefaultParagraphFont"/>
    <w:uiPriority w:val="20"/>
    <w:qFormat/>
    <w:rsid w:val="00113F3D"/>
    <w:rPr>
      <w:i/>
      <w:iCs/>
    </w:rPr>
  </w:style>
  <w:style w:type="table" w:styleId="TableGrid">
    <w:name w:val="Table Grid"/>
    <w:basedOn w:val="TableNormal"/>
    <w:uiPriority w:val="59"/>
    <w:rsid w:val="000328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markedcontent">
    <w:name w:val="markedcontent"/>
    <w:basedOn w:val="DefaultParagraphFont"/>
    <w:rsid w:val="00544D14"/>
  </w:style>
  <w:style w:type="character" w:customStyle="1" w:styleId="hgkelc">
    <w:name w:val="hgkelc"/>
    <w:basedOn w:val="DefaultParagraphFont"/>
    <w:rsid w:val="00FE7EF3"/>
  </w:style>
  <w:style w:type="paragraph" w:styleId="NormalWeb">
    <w:name w:val="Normal (Web)"/>
    <w:basedOn w:val="Normal"/>
    <w:uiPriority w:val="99"/>
    <w:unhideWhenUsed/>
    <w:rsid w:val="007160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citation">
    <w:name w:val="element-citation"/>
    <w:basedOn w:val="DefaultParagraphFont"/>
    <w:rsid w:val="0054361C"/>
  </w:style>
  <w:style w:type="character" w:customStyle="1" w:styleId="ref-journal">
    <w:name w:val="ref-journal"/>
    <w:basedOn w:val="DefaultParagraphFont"/>
    <w:rsid w:val="0054361C"/>
  </w:style>
  <w:style w:type="character" w:customStyle="1" w:styleId="ref-vol">
    <w:name w:val="ref-vol"/>
    <w:basedOn w:val="DefaultParagraphFont"/>
    <w:rsid w:val="0054361C"/>
  </w:style>
  <w:style w:type="character" w:customStyle="1" w:styleId="fontstyle21">
    <w:name w:val="fontstyle21"/>
    <w:basedOn w:val="DefaultParagraphFont"/>
    <w:rsid w:val="008C2812"/>
    <w:rPr>
      <w:rFonts w:ascii="URWPalladioL-Ital" w:hAnsi="URWPalladioL-Ital" w:hint="default"/>
      <w:b w:val="0"/>
      <w:bCs w:val="0"/>
      <w:i/>
      <w:iCs/>
      <w:color w:val="000000"/>
      <w:sz w:val="20"/>
      <w:szCs w:val="20"/>
    </w:rPr>
  </w:style>
  <w:style w:type="character" w:customStyle="1" w:styleId="title-text">
    <w:name w:val="title-text"/>
    <w:basedOn w:val="DefaultParagraphFont"/>
    <w:rsid w:val="008C2812"/>
  </w:style>
  <w:style w:type="paragraph" w:styleId="Header">
    <w:name w:val="header"/>
    <w:basedOn w:val="Normal"/>
    <w:link w:val="HeaderChar"/>
    <w:uiPriority w:val="99"/>
    <w:unhideWhenUsed/>
    <w:rsid w:val="00340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3FD"/>
  </w:style>
  <w:style w:type="paragraph" w:styleId="Footer">
    <w:name w:val="footer"/>
    <w:basedOn w:val="Normal"/>
    <w:link w:val="FooterChar"/>
    <w:uiPriority w:val="99"/>
    <w:unhideWhenUsed/>
    <w:rsid w:val="00340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3FD"/>
  </w:style>
  <w:style w:type="character" w:customStyle="1" w:styleId="UnresolvedMention">
    <w:name w:val="Unresolved Mention"/>
    <w:basedOn w:val="DefaultParagraphFont"/>
    <w:uiPriority w:val="99"/>
    <w:semiHidden/>
    <w:unhideWhenUsed/>
    <w:rsid w:val="00FC0F3F"/>
    <w:rPr>
      <w:color w:val="605E5C"/>
      <w:shd w:val="clear" w:color="auto" w:fill="E1DFDD"/>
    </w:rPr>
  </w:style>
  <w:style w:type="character" w:styleId="CommentReference">
    <w:name w:val="annotation reference"/>
    <w:basedOn w:val="DefaultParagraphFont"/>
    <w:uiPriority w:val="99"/>
    <w:semiHidden/>
    <w:unhideWhenUsed/>
    <w:rsid w:val="00EB5765"/>
    <w:rPr>
      <w:sz w:val="16"/>
      <w:szCs w:val="16"/>
    </w:rPr>
  </w:style>
  <w:style w:type="paragraph" w:styleId="CommentText">
    <w:name w:val="annotation text"/>
    <w:basedOn w:val="Normal"/>
    <w:link w:val="CommentTextChar"/>
    <w:uiPriority w:val="99"/>
    <w:semiHidden/>
    <w:unhideWhenUsed/>
    <w:rsid w:val="00EB5765"/>
    <w:pPr>
      <w:spacing w:line="240" w:lineRule="auto"/>
    </w:pPr>
    <w:rPr>
      <w:sz w:val="20"/>
      <w:szCs w:val="20"/>
    </w:rPr>
  </w:style>
  <w:style w:type="character" w:customStyle="1" w:styleId="CommentTextChar">
    <w:name w:val="Comment Text Char"/>
    <w:basedOn w:val="DefaultParagraphFont"/>
    <w:link w:val="CommentText"/>
    <w:uiPriority w:val="99"/>
    <w:semiHidden/>
    <w:rsid w:val="00EB5765"/>
    <w:rPr>
      <w:sz w:val="20"/>
      <w:szCs w:val="20"/>
    </w:rPr>
  </w:style>
  <w:style w:type="paragraph" w:styleId="CommentSubject">
    <w:name w:val="annotation subject"/>
    <w:basedOn w:val="CommentText"/>
    <w:next w:val="CommentText"/>
    <w:link w:val="CommentSubjectChar"/>
    <w:uiPriority w:val="99"/>
    <w:semiHidden/>
    <w:unhideWhenUsed/>
    <w:rsid w:val="00EB5765"/>
    <w:rPr>
      <w:b/>
      <w:bCs/>
    </w:rPr>
  </w:style>
  <w:style w:type="character" w:customStyle="1" w:styleId="CommentSubjectChar">
    <w:name w:val="Comment Subject Char"/>
    <w:basedOn w:val="CommentTextChar"/>
    <w:link w:val="CommentSubject"/>
    <w:uiPriority w:val="99"/>
    <w:semiHidden/>
    <w:rsid w:val="00EB57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5.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chart" Target="charts/chart4.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oecd.org/content/dam/oecd/en/publications/reports/2002/02/test-no-423-acute-oral-toxicity-acute-toxic-class-method_g1gh294f/9789264071001-en.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Concentration</c:v>
                </c:pt>
              </c:strCache>
            </c:strRef>
          </c:tx>
          <c:spPr>
            <a:solidFill>
              <a:schemeClr val="accent5">
                <a:lumMod val="75000"/>
              </a:schemeClr>
            </a:solidFill>
          </c:spPr>
          <c:invertIfNegative val="0"/>
          <c:dLbls>
            <c:dLbl>
              <c:idx val="0"/>
              <c:layout>
                <c:manualLayout>
                  <c:x val="0"/>
                  <c:y val="-4.1666666666666664E-2"/>
                </c:manualLayout>
              </c:layout>
              <c:tx>
                <c:rich>
                  <a:bodyPr/>
                  <a:lstStyle/>
                  <a:p>
                    <a:r>
                      <a:rPr lang="en-US"/>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557-4384-B46A-EC9B7342A392}"/>
                </c:ext>
                <c:ext xmlns:c15="http://schemas.microsoft.com/office/drawing/2012/chart" uri="{CE6537A1-D6FC-4f65-9D91-7224C49458BB}"/>
              </c:extLst>
            </c:dLbl>
            <c:dLbl>
              <c:idx val="1"/>
              <c:layout>
                <c:manualLayout>
                  <c:x val="0"/>
                  <c:y val="-3.2407407407407406E-2"/>
                </c:manualLayout>
              </c:layout>
              <c:tx>
                <c:rich>
                  <a:bodyPr/>
                  <a:lstStyle/>
                  <a:p>
                    <a:r>
                      <a:rPr lang="en-US"/>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557-4384-B46A-EC9B7342A392}"/>
                </c:ext>
                <c:ext xmlns:c15="http://schemas.microsoft.com/office/drawing/2012/chart" uri="{CE6537A1-D6FC-4f65-9D91-7224C49458BB}"/>
              </c:extLst>
            </c:dLbl>
            <c:dLbl>
              <c:idx val="2"/>
              <c:layout>
                <c:manualLayout>
                  <c:x val="-2.7777777777777779E-3"/>
                  <c:y val="-5.0925925925925923E-2"/>
                </c:manualLayout>
              </c:layout>
              <c:tx>
                <c:rich>
                  <a:bodyPr/>
                  <a:lstStyle/>
                  <a:p>
                    <a:r>
                      <a:rPr lang="en-US"/>
                      <a:t>c</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557-4384-B46A-EC9B7342A392}"/>
                </c:ext>
                <c:ext xmlns:c15="http://schemas.microsoft.com/office/drawing/2012/chart" uri="{CE6537A1-D6FC-4f65-9D91-7224C49458BB}"/>
              </c:extLst>
            </c:dLbl>
            <c:dLbl>
              <c:idx val="3"/>
              <c:layout>
                <c:manualLayout>
                  <c:x val="0"/>
                  <c:y val="-4.1666666666666664E-2"/>
                </c:manualLayout>
              </c:layout>
              <c:tx>
                <c:rich>
                  <a:bodyPr/>
                  <a:lstStyle/>
                  <a:p>
                    <a:r>
                      <a:rPr lang="en-US"/>
                      <a:t>c</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557-4384-B46A-EC9B7342A392}"/>
                </c:ext>
                <c:ext xmlns:c15="http://schemas.microsoft.com/office/drawing/2012/chart" uri="{CE6537A1-D6FC-4f65-9D91-7224C49458BB}"/>
              </c:extLst>
            </c:dLbl>
            <c:dLbl>
              <c:idx val="4"/>
              <c:layout>
                <c:manualLayout>
                  <c:x val="0"/>
                  <c:y val="-2.7777777777777801E-2"/>
                </c:manualLayout>
              </c:layout>
              <c:tx>
                <c:rich>
                  <a:bodyPr/>
                  <a:lstStyle/>
                  <a:p>
                    <a:r>
                      <a:rPr lang="en-US"/>
                      <a:t>c</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557-4384-B46A-EC9B7342A392}"/>
                </c:ext>
                <c:ext xmlns:c15="http://schemas.microsoft.com/office/drawing/2012/chart" uri="{CE6537A1-D6FC-4f65-9D91-7224C49458BB}"/>
              </c:extLst>
            </c:dLbl>
            <c:dLbl>
              <c:idx val="5"/>
              <c:layout>
                <c:manualLayout>
                  <c:x val="0"/>
                  <c:y val="-3.7037037037037035E-2"/>
                </c:manualLayout>
              </c:layout>
              <c:tx>
                <c:rich>
                  <a:bodyPr/>
                  <a:lstStyle/>
                  <a:p>
                    <a:r>
                      <a:rPr lang="en-US"/>
                      <a:t>c</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557-4384-B46A-EC9B7342A392}"/>
                </c:ex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Lit>
                <c:formatCode>General</c:formatCode>
                <c:ptCount val="6"/>
                <c:pt idx="0">
                  <c:v>0.68</c:v>
                </c:pt>
                <c:pt idx="1">
                  <c:v>0.72</c:v>
                </c:pt>
                <c:pt idx="2">
                  <c:v>1.57</c:v>
                </c:pt>
                <c:pt idx="3">
                  <c:v>0.94</c:v>
                </c:pt>
                <c:pt idx="4">
                  <c:v>1.04</c:v>
                </c:pt>
                <c:pt idx="5">
                  <c:v>1.1399999999999999</c:v>
                </c:pt>
              </c:numLit>
            </c:plus>
            <c:minus>
              <c:numLit>
                <c:formatCode>General</c:formatCode>
                <c:ptCount val="6"/>
                <c:pt idx="0">
                  <c:v>0.68</c:v>
                </c:pt>
                <c:pt idx="1">
                  <c:v>0.72</c:v>
                </c:pt>
                <c:pt idx="2">
                  <c:v>1.57</c:v>
                </c:pt>
                <c:pt idx="3">
                  <c:v>0.94</c:v>
                </c:pt>
                <c:pt idx="4">
                  <c:v>1.04</c:v>
                </c:pt>
                <c:pt idx="5">
                  <c:v>1.1399999999999999</c:v>
                </c:pt>
              </c:numLit>
            </c:minus>
          </c:errBars>
          <c:cat>
            <c:strRef>
              <c:f>Sheet1!$A$2:$A$7</c:f>
              <c:strCache>
                <c:ptCount val="6"/>
                <c:pt idx="0">
                  <c:v>Sham </c:v>
                </c:pt>
                <c:pt idx="1">
                  <c:v>50</c:v>
                </c:pt>
                <c:pt idx="2">
                  <c:v>100</c:v>
                </c:pt>
                <c:pt idx="3">
                  <c:v>200</c:v>
                </c:pt>
                <c:pt idx="4">
                  <c:v>500</c:v>
                </c:pt>
                <c:pt idx="5">
                  <c:v>1000</c:v>
                </c:pt>
              </c:strCache>
            </c:strRef>
          </c:cat>
          <c:val>
            <c:numRef>
              <c:f>Sheet1!$B$2:$B$7</c:f>
              <c:numCache>
                <c:formatCode>General</c:formatCode>
                <c:ptCount val="6"/>
                <c:pt idx="0">
                  <c:v>5.8</c:v>
                </c:pt>
                <c:pt idx="1">
                  <c:v>8.1999999999999993</c:v>
                </c:pt>
                <c:pt idx="2">
                  <c:v>16.600000000000001</c:v>
                </c:pt>
                <c:pt idx="3">
                  <c:v>14.2</c:v>
                </c:pt>
                <c:pt idx="4">
                  <c:v>14.6</c:v>
                </c:pt>
                <c:pt idx="5">
                  <c:v>16</c:v>
                </c:pt>
              </c:numCache>
            </c:numRef>
          </c:val>
          <c:extLst xmlns:c16r2="http://schemas.microsoft.com/office/drawing/2015/06/chart">
            <c:ext xmlns:c16="http://schemas.microsoft.com/office/drawing/2014/chart" uri="{C3380CC4-5D6E-409C-BE32-E72D297353CC}">
              <c16:uniqueId val="{00000006-E557-4384-B46A-EC9B7342A392}"/>
            </c:ext>
          </c:extLst>
        </c:ser>
        <c:dLbls>
          <c:showLegendKey val="0"/>
          <c:showVal val="0"/>
          <c:showCatName val="0"/>
          <c:showSerName val="0"/>
          <c:showPercent val="0"/>
          <c:showBubbleSize val="0"/>
        </c:dLbls>
        <c:gapWidth val="150"/>
        <c:axId val="44684208"/>
        <c:axId val="44687472"/>
      </c:barChart>
      <c:catAx>
        <c:axId val="44684208"/>
        <c:scaling>
          <c:orientation val="minMax"/>
        </c:scaling>
        <c:delete val="0"/>
        <c:axPos val="b"/>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Dose</a:t>
                </a:r>
                <a:r>
                  <a:rPr lang="en-US" sz="1200" baseline="0">
                    <a:latin typeface="Times New Roman" pitchFamily="18" charset="0"/>
                    <a:cs typeface="Times New Roman" pitchFamily="18" charset="0"/>
                  </a:rPr>
                  <a:t> mg/kg</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crossAx val="44687472"/>
        <c:crosses val="autoZero"/>
        <c:auto val="1"/>
        <c:lblAlgn val="ctr"/>
        <c:lblOffset val="100"/>
        <c:noMultiLvlLbl val="0"/>
      </c:catAx>
      <c:valAx>
        <c:axId val="44687472"/>
        <c:scaling>
          <c:orientation val="minMax"/>
        </c:scaling>
        <c:delete val="0"/>
        <c:axPos val="l"/>
        <c:title>
          <c:tx>
            <c:rich>
              <a:bodyPr rot="-540000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Birth</a:t>
                </a:r>
                <a:r>
                  <a:rPr lang="en-US" sz="1200" baseline="0">
                    <a:latin typeface="Times New Roman" pitchFamily="18" charset="0"/>
                    <a:cs typeface="Times New Roman" pitchFamily="18" charset="0"/>
                  </a:rPr>
                  <a:t> weight (g)</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crossAx val="4468420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Concentration</c:v>
                </c:pt>
              </c:strCache>
            </c:strRef>
          </c:tx>
          <c:spPr>
            <a:solidFill>
              <a:srgbClr val="FFC000"/>
            </a:solidFill>
          </c:spPr>
          <c:invertIfNegative val="0"/>
          <c:dLbls>
            <c:dLbl>
              <c:idx val="0"/>
              <c:layout>
                <c:manualLayout>
                  <c:x val="0"/>
                  <c:y val="-3.2407407407407406E-2"/>
                </c:manualLayout>
              </c:layout>
              <c:tx>
                <c:rich>
                  <a:bodyPr/>
                  <a:lstStyle/>
                  <a:p>
                    <a:r>
                      <a:rPr lang="en-US"/>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E37-4DEC-827B-427EADF88035}"/>
                </c:ext>
                <c:ext xmlns:c15="http://schemas.microsoft.com/office/drawing/2012/chart" uri="{CE6537A1-D6FC-4f65-9D91-7224C49458BB}"/>
              </c:extLst>
            </c:dLbl>
            <c:dLbl>
              <c:idx val="1"/>
              <c:layout>
                <c:manualLayout>
                  <c:x val="-2.7777777777777779E-3"/>
                  <c:y val="-1.8518518518518517E-2"/>
                </c:manualLayout>
              </c:layout>
              <c:tx>
                <c:rich>
                  <a:bodyPr/>
                  <a:lstStyle/>
                  <a:p>
                    <a:r>
                      <a:rPr lang="en-US"/>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E37-4DEC-827B-427EADF88035}"/>
                </c:ext>
                <c:ext xmlns:c15="http://schemas.microsoft.com/office/drawing/2012/chart" uri="{CE6537A1-D6FC-4f65-9D91-7224C49458BB}"/>
              </c:extLst>
            </c:dLbl>
            <c:dLbl>
              <c:idx val="2"/>
              <c:layout>
                <c:manualLayout>
                  <c:x val="-2.1872265966754156E-7"/>
                  <c:y val="-4.6296296296296294E-2"/>
                </c:manualLayout>
              </c:layout>
              <c:tx>
                <c:rich>
                  <a:bodyPr/>
                  <a:lstStyle/>
                  <a:p>
                    <a:r>
                      <a:rPr lang="en-US"/>
                      <a:t>c</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E37-4DEC-827B-427EADF88035}"/>
                </c:ext>
                <c:ext xmlns:c15="http://schemas.microsoft.com/office/drawing/2012/chart" uri="{CE6537A1-D6FC-4f65-9D91-7224C49458BB}"/>
              </c:extLst>
            </c:dLbl>
            <c:dLbl>
              <c:idx val="3"/>
              <c:layout>
                <c:manualLayout>
                  <c:x val="0"/>
                  <c:y val="-4.1666666666666664E-2"/>
                </c:manualLayout>
              </c:layout>
              <c:tx>
                <c:rich>
                  <a:bodyPr/>
                  <a:lstStyle/>
                  <a:p>
                    <a:r>
                      <a:rPr lang="en-US"/>
                      <a:t>c</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E37-4DEC-827B-427EADF88035}"/>
                </c:ext>
                <c:ext xmlns:c15="http://schemas.microsoft.com/office/drawing/2012/chart" uri="{CE6537A1-D6FC-4f65-9D91-7224C49458BB}"/>
              </c:extLst>
            </c:dLbl>
            <c:dLbl>
              <c:idx val="4"/>
              <c:layout>
                <c:manualLayout>
                  <c:x val="0"/>
                  <c:y val="-4.1666666666666678E-2"/>
                </c:manualLayout>
              </c:layout>
              <c:tx>
                <c:rich>
                  <a:bodyPr/>
                  <a:lstStyle/>
                  <a:p>
                    <a:r>
                      <a:rPr lang="en-US"/>
                      <a:t>c</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E37-4DEC-827B-427EADF88035}"/>
                </c:ext>
                <c:ext xmlns:c15="http://schemas.microsoft.com/office/drawing/2012/chart" uri="{CE6537A1-D6FC-4f65-9D91-7224C49458BB}"/>
              </c:extLst>
            </c:dLbl>
            <c:dLbl>
              <c:idx val="5"/>
              <c:layout>
                <c:manualLayout>
                  <c:x val="0"/>
                  <c:y val="-4.6296296296296315E-2"/>
                </c:manualLayout>
              </c:layout>
              <c:tx>
                <c:rich>
                  <a:bodyPr/>
                  <a:lstStyle/>
                  <a:p>
                    <a:r>
                      <a:rPr lang="en-US"/>
                      <a:t>c</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1E37-4DEC-827B-427EADF88035}"/>
                </c:ex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Lit>
                <c:formatCode>General</c:formatCode>
                <c:ptCount val="6"/>
                <c:pt idx="0">
                  <c:v>0.37</c:v>
                </c:pt>
                <c:pt idx="1">
                  <c:v>0.41</c:v>
                </c:pt>
                <c:pt idx="2">
                  <c:v>0.92</c:v>
                </c:pt>
                <c:pt idx="3">
                  <c:v>0.87</c:v>
                </c:pt>
                <c:pt idx="4">
                  <c:v>1.02</c:v>
                </c:pt>
                <c:pt idx="5">
                  <c:v>0.99</c:v>
                </c:pt>
              </c:numLit>
            </c:plus>
            <c:minus>
              <c:numLit>
                <c:formatCode>General</c:formatCode>
                <c:ptCount val="6"/>
                <c:pt idx="0">
                  <c:v>0.37</c:v>
                </c:pt>
                <c:pt idx="1">
                  <c:v>0.41</c:v>
                </c:pt>
                <c:pt idx="2">
                  <c:v>0.92</c:v>
                </c:pt>
                <c:pt idx="3">
                  <c:v>0.87</c:v>
                </c:pt>
                <c:pt idx="4">
                  <c:v>1.02</c:v>
                </c:pt>
                <c:pt idx="5">
                  <c:v>0.99</c:v>
                </c:pt>
              </c:numLit>
            </c:minus>
          </c:errBars>
          <c:cat>
            <c:strRef>
              <c:f>Sheet1!$A$2:$A$7</c:f>
              <c:strCache>
                <c:ptCount val="6"/>
                <c:pt idx="0">
                  <c:v>Sham </c:v>
                </c:pt>
                <c:pt idx="1">
                  <c:v>50</c:v>
                </c:pt>
                <c:pt idx="2">
                  <c:v>100</c:v>
                </c:pt>
                <c:pt idx="3">
                  <c:v>200</c:v>
                </c:pt>
                <c:pt idx="4">
                  <c:v>500</c:v>
                </c:pt>
                <c:pt idx="5">
                  <c:v>1000</c:v>
                </c:pt>
              </c:strCache>
            </c:strRef>
          </c:cat>
          <c:val>
            <c:numRef>
              <c:f>Sheet1!$B$2:$B$7</c:f>
              <c:numCache>
                <c:formatCode>General</c:formatCode>
                <c:ptCount val="6"/>
                <c:pt idx="0">
                  <c:v>3.4</c:v>
                </c:pt>
                <c:pt idx="1">
                  <c:v>6.8</c:v>
                </c:pt>
                <c:pt idx="2">
                  <c:v>12.2</c:v>
                </c:pt>
                <c:pt idx="3">
                  <c:v>11.8</c:v>
                </c:pt>
                <c:pt idx="4">
                  <c:v>13</c:v>
                </c:pt>
                <c:pt idx="5">
                  <c:v>12.2</c:v>
                </c:pt>
              </c:numCache>
            </c:numRef>
          </c:val>
          <c:extLst xmlns:c16r2="http://schemas.microsoft.com/office/drawing/2015/06/chart">
            <c:ext xmlns:c16="http://schemas.microsoft.com/office/drawing/2014/chart" uri="{C3380CC4-5D6E-409C-BE32-E72D297353CC}">
              <c16:uniqueId val="{00000006-1E37-4DEC-827B-427EADF88035}"/>
            </c:ext>
          </c:extLst>
        </c:ser>
        <c:dLbls>
          <c:showLegendKey val="0"/>
          <c:showVal val="0"/>
          <c:showCatName val="0"/>
          <c:showSerName val="0"/>
          <c:showPercent val="0"/>
          <c:showBubbleSize val="0"/>
        </c:dLbls>
        <c:gapWidth val="150"/>
        <c:axId val="2019336912"/>
        <c:axId val="2019328752"/>
      </c:barChart>
      <c:catAx>
        <c:axId val="2019336912"/>
        <c:scaling>
          <c:orientation val="minMax"/>
        </c:scaling>
        <c:delete val="0"/>
        <c:axPos val="b"/>
        <c:title>
          <c:tx>
            <c:rich>
              <a:bodyPr/>
              <a:lstStyle/>
              <a:p>
                <a:pPr>
                  <a:defRPr/>
                </a:pPr>
                <a:r>
                  <a:rPr lang="en-US"/>
                  <a:t>Dose</a:t>
                </a:r>
                <a:r>
                  <a:rPr lang="en-US" baseline="0"/>
                  <a:t> mg/kg</a:t>
                </a:r>
                <a:endParaRPr lang="en-US"/>
              </a:p>
            </c:rich>
          </c:tx>
          <c:overlay val="0"/>
        </c:title>
        <c:numFmt formatCode="General" sourceLinked="0"/>
        <c:majorTickMark val="out"/>
        <c:minorTickMark val="none"/>
        <c:tickLblPos val="nextTo"/>
        <c:crossAx val="2019328752"/>
        <c:crosses val="autoZero"/>
        <c:auto val="1"/>
        <c:lblAlgn val="ctr"/>
        <c:lblOffset val="100"/>
        <c:noMultiLvlLbl val="0"/>
      </c:catAx>
      <c:valAx>
        <c:axId val="2019328752"/>
        <c:scaling>
          <c:orientation val="minMax"/>
        </c:scaling>
        <c:delete val="0"/>
        <c:axPos val="l"/>
        <c:title>
          <c:tx>
            <c:rich>
              <a:bodyPr rot="-5400000" vert="horz"/>
              <a:lstStyle/>
              <a:p>
                <a:pPr>
                  <a:defRPr/>
                </a:pPr>
                <a:r>
                  <a:rPr lang="en-US"/>
                  <a:t>Number</a:t>
                </a:r>
                <a:r>
                  <a:rPr lang="en-US" baseline="0"/>
                  <a:t> of live pups</a:t>
                </a:r>
                <a:endParaRPr lang="en-US"/>
              </a:p>
            </c:rich>
          </c:tx>
          <c:overlay val="0"/>
        </c:title>
        <c:numFmt formatCode="General" sourceLinked="1"/>
        <c:majorTickMark val="out"/>
        <c:minorTickMark val="none"/>
        <c:tickLblPos val="nextTo"/>
        <c:crossAx val="201933691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ALT concentration</c:v>
                </c:pt>
              </c:strCache>
            </c:strRef>
          </c:tx>
          <c:spPr>
            <a:solidFill>
              <a:srgbClr val="00B050"/>
            </a:solidFill>
          </c:spPr>
          <c:invertIfNegative val="0"/>
          <c:dLbls>
            <c:dLbl>
              <c:idx val="0"/>
              <c:layout>
                <c:manualLayout>
                  <c:x val="0"/>
                  <c:y val="-2.7777777777777776E-2"/>
                </c:manualLayout>
              </c:layout>
              <c:tx>
                <c:rich>
                  <a:bodyPr/>
                  <a:lstStyle/>
                  <a:p>
                    <a:r>
                      <a:rPr lang="en-US"/>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D4C-4F8E-8E51-5C364E08C9CB}"/>
                </c:ext>
                <c:ext xmlns:c15="http://schemas.microsoft.com/office/drawing/2012/chart" uri="{CE6537A1-D6FC-4f65-9D91-7224C49458BB}"/>
              </c:extLst>
            </c:dLbl>
            <c:dLbl>
              <c:idx val="1"/>
              <c:layout>
                <c:manualLayout>
                  <c:x val="0"/>
                  <c:y val="-8.3333333333333329E-2"/>
                </c:manualLayout>
              </c:layout>
              <c:tx>
                <c:rich>
                  <a:bodyPr/>
                  <a:lstStyle/>
                  <a:p>
                    <a:r>
                      <a:rPr lang="en-US"/>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D4C-4F8E-8E51-5C364E08C9CB}"/>
                </c:ext>
                <c:ext xmlns:c15="http://schemas.microsoft.com/office/drawing/2012/chart" uri="{CE6537A1-D6FC-4f65-9D91-7224C49458BB}"/>
              </c:extLst>
            </c:dLbl>
            <c:dLbl>
              <c:idx val="2"/>
              <c:layout>
                <c:manualLayout>
                  <c:x val="0"/>
                  <c:y val="-6.4814814814814839E-2"/>
                </c:manualLayout>
              </c:layout>
              <c:tx>
                <c:rich>
                  <a:bodyPr/>
                  <a:lstStyle/>
                  <a:p>
                    <a:r>
                      <a:rPr lang="en-US"/>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D4C-4F8E-8E51-5C364E08C9CB}"/>
                </c:ext>
                <c:ext xmlns:c15="http://schemas.microsoft.com/office/drawing/2012/chart" uri="{CE6537A1-D6FC-4f65-9D91-7224C49458BB}"/>
              </c:extLst>
            </c:dLbl>
            <c:dLbl>
              <c:idx val="3"/>
              <c:layout>
                <c:manualLayout>
                  <c:x val="0"/>
                  <c:y val="-7.407407407407407E-2"/>
                </c:manualLayout>
              </c:layout>
              <c:tx>
                <c:rich>
                  <a:bodyPr/>
                  <a:lstStyle/>
                  <a:p>
                    <a:r>
                      <a:rPr lang="en-US"/>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D4C-4F8E-8E51-5C364E08C9CB}"/>
                </c:ex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Lit>
                <c:formatCode>General</c:formatCode>
                <c:ptCount val="4"/>
                <c:pt idx="0">
                  <c:v>2.13</c:v>
                </c:pt>
                <c:pt idx="1">
                  <c:v>6.45</c:v>
                </c:pt>
                <c:pt idx="2">
                  <c:v>4.99</c:v>
                </c:pt>
                <c:pt idx="3">
                  <c:v>5.54</c:v>
                </c:pt>
              </c:numLit>
            </c:plus>
            <c:minus>
              <c:numLit>
                <c:formatCode>General</c:formatCode>
                <c:ptCount val="4"/>
                <c:pt idx="0">
                  <c:v>2.13</c:v>
                </c:pt>
                <c:pt idx="1">
                  <c:v>6.45</c:v>
                </c:pt>
                <c:pt idx="2">
                  <c:v>4.99</c:v>
                </c:pt>
                <c:pt idx="3">
                  <c:v>5.54</c:v>
                </c:pt>
              </c:numLit>
            </c:minus>
          </c:errBars>
          <c:cat>
            <c:strRef>
              <c:f>Sheet1!$A$2:$A$5</c:f>
              <c:strCache>
                <c:ptCount val="4"/>
                <c:pt idx="0">
                  <c:v>Group I</c:v>
                </c:pt>
                <c:pt idx="1">
                  <c:v>Group II</c:v>
                </c:pt>
                <c:pt idx="2">
                  <c:v>Group III</c:v>
                </c:pt>
                <c:pt idx="3">
                  <c:v>Group IV</c:v>
                </c:pt>
              </c:strCache>
            </c:strRef>
          </c:cat>
          <c:val>
            <c:numRef>
              <c:f>Sheet1!$B$2:$B$5</c:f>
              <c:numCache>
                <c:formatCode>General</c:formatCode>
                <c:ptCount val="4"/>
                <c:pt idx="0">
                  <c:v>45.83</c:v>
                </c:pt>
                <c:pt idx="1">
                  <c:v>60.83</c:v>
                </c:pt>
                <c:pt idx="2">
                  <c:v>56.68</c:v>
                </c:pt>
                <c:pt idx="3">
                  <c:v>58.1</c:v>
                </c:pt>
              </c:numCache>
            </c:numRef>
          </c:val>
          <c:extLst xmlns:c16r2="http://schemas.microsoft.com/office/drawing/2015/06/chart">
            <c:ext xmlns:c16="http://schemas.microsoft.com/office/drawing/2014/chart" uri="{C3380CC4-5D6E-409C-BE32-E72D297353CC}">
              <c16:uniqueId val="{00000004-AD4C-4F8E-8E51-5C364E08C9CB}"/>
            </c:ext>
          </c:extLst>
        </c:ser>
        <c:dLbls>
          <c:showLegendKey val="0"/>
          <c:showVal val="0"/>
          <c:showCatName val="0"/>
          <c:showSerName val="0"/>
          <c:showPercent val="0"/>
          <c:showBubbleSize val="0"/>
        </c:dLbls>
        <c:gapWidth val="150"/>
        <c:axId val="2019323856"/>
        <c:axId val="2081699216"/>
      </c:barChart>
      <c:catAx>
        <c:axId val="2019323856"/>
        <c:scaling>
          <c:orientation val="minMax"/>
        </c:scaling>
        <c:delete val="0"/>
        <c:axPos val="b"/>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Treatment</a:t>
                </a:r>
                <a:r>
                  <a:rPr lang="en-US" sz="1200" baseline="0">
                    <a:latin typeface="Times New Roman" pitchFamily="18" charset="0"/>
                    <a:cs typeface="Times New Roman" pitchFamily="18" charset="0"/>
                  </a:rPr>
                  <a:t> Groups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2081699216"/>
        <c:crosses val="autoZero"/>
        <c:auto val="1"/>
        <c:lblAlgn val="ctr"/>
        <c:lblOffset val="100"/>
        <c:noMultiLvlLbl val="0"/>
      </c:catAx>
      <c:valAx>
        <c:axId val="2081699216"/>
        <c:scaling>
          <c:orientation val="minMax"/>
        </c:scaling>
        <c:delete val="0"/>
        <c:axPos val="l"/>
        <c:title>
          <c:tx>
            <c:rich>
              <a:bodyPr rot="-5400000" vert="horz"/>
              <a:lstStyle/>
              <a:p>
                <a:pPr>
                  <a:defRPr/>
                </a:pPr>
                <a:r>
                  <a:rPr lang="en-US" sz="1200" b="1" i="0" u="none" strike="noStrike" baseline="0">
                    <a:effectLst/>
                    <a:latin typeface="Times New Roman" pitchFamily="18" charset="0"/>
                    <a:cs typeface="Times New Roman" pitchFamily="18" charset="0"/>
                  </a:rPr>
                  <a:t>ALT concentration (u/l)</a:t>
                </a:r>
                <a:endParaRPr lang="en-US" sz="1200">
                  <a:latin typeface="Times New Roman" pitchFamily="18" charset="0"/>
                  <a:cs typeface="Times New Roman" pitchFamily="18" charset="0"/>
                </a:endParaRPr>
              </a:p>
            </c:rich>
          </c:tx>
          <c:layout>
            <c:manualLayout>
              <c:xMode val="edge"/>
              <c:yMode val="edge"/>
              <c:x val="3.0555555555555555E-2"/>
              <c:y val="0.17735126859142608"/>
            </c:manualLayout>
          </c:layout>
          <c:overlay val="0"/>
        </c:title>
        <c:numFmt formatCode="General" sourceLinked="1"/>
        <c:majorTickMark val="out"/>
        <c:minorTickMark val="none"/>
        <c:tickLblPos val="nextTo"/>
        <c:crossAx val="201932385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Sheet1!$B$1</c:f>
              <c:strCache>
                <c:ptCount val="1"/>
                <c:pt idx="0">
                  <c:v>AST concentration</c:v>
                </c:pt>
              </c:strCache>
            </c:strRef>
          </c:tx>
          <c:spPr>
            <a:solidFill>
              <a:srgbClr val="7030A0"/>
            </a:solidFill>
          </c:spPr>
          <c:invertIfNegative val="0"/>
          <c:dLbls>
            <c:dLbl>
              <c:idx val="0"/>
              <c:layout>
                <c:manualLayout>
                  <c:x val="-2.7777777777777779E-3"/>
                  <c:y val="-7.8703703703703748E-2"/>
                </c:manualLayout>
              </c:layout>
              <c:tx>
                <c:rich>
                  <a:bodyPr/>
                  <a:lstStyle/>
                  <a:p>
                    <a:r>
                      <a:rPr lang="en-US"/>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DC5-4535-8FAE-2943C5CC86B2}"/>
                </c:ext>
                <c:ext xmlns:c15="http://schemas.microsoft.com/office/drawing/2012/chart" uri="{CE6537A1-D6FC-4f65-9D91-7224C49458BB}"/>
              </c:extLst>
            </c:dLbl>
            <c:dLbl>
              <c:idx val="1"/>
              <c:layout>
                <c:manualLayout>
                  <c:x val="0"/>
                  <c:y val="-5.0925925925925916E-2"/>
                </c:manualLayout>
              </c:layout>
              <c:tx>
                <c:rich>
                  <a:bodyPr/>
                  <a:lstStyle/>
                  <a:p>
                    <a:r>
                      <a:rPr lang="en-US"/>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DC5-4535-8FAE-2943C5CC86B2}"/>
                </c:ext>
                <c:ext xmlns:c15="http://schemas.microsoft.com/office/drawing/2012/chart" uri="{CE6537A1-D6FC-4f65-9D91-7224C49458BB}"/>
              </c:extLst>
            </c:dLbl>
            <c:dLbl>
              <c:idx val="2"/>
              <c:layout>
                <c:manualLayout>
                  <c:x val="0"/>
                  <c:y val="-4.1666666666666664E-2"/>
                </c:manualLayout>
              </c:layout>
              <c:tx>
                <c:rich>
                  <a:bodyPr/>
                  <a:lstStyle/>
                  <a:p>
                    <a:r>
                      <a:rPr lang="en-US"/>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DC5-4535-8FAE-2943C5CC86B2}"/>
                </c:ext>
                <c:ext xmlns:c15="http://schemas.microsoft.com/office/drawing/2012/chart" uri="{CE6537A1-D6FC-4f65-9D91-7224C49458BB}"/>
              </c:extLst>
            </c:dLbl>
            <c:dLbl>
              <c:idx val="3"/>
              <c:layout>
                <c:manualLayout>
                  <c:x val="-5.5555555555556572E-3"/>
                  <c:y val="-5.5555555555555552E-2"/>
                </c:manualLayout>
              </c:layout>
              <c:tx>
                <c:rich>
                  <a:bodyPr/>
                  <a:lstStyle/>
                  <a:p>
                    <a:r>
                      <a:rPr lang="en-US"/>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DC5-4535-8FAE-2943C5CC86B2}"/>
                </c:ex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Lit>
                <c:formatCode>General</c:formatCode>
                <c:ptCount val="4"/>
                <c:pt idx="0">
                  <c:v>4.05</c:v>
                </c:pt>
                <c:pt idx="1">
                  <c:v>2.2000000000000002</c:v>
                </c:pt>
                <c:pt idx="2">
                  <c:v>1.5</c:v>
                </c:pt>
                <c:pt idx="3">
                  <c:v>2.69</c:v>
                </c:pt>
              </c:numLit>
            </c:plus>
            <c:minus>
              <c:numLit>
                <c:formatCode>General</c:formatCode>
                <c:ptCount val="4"/>
                <c:pt idx="0">
                  <c:v>4.05</c:v>
                </c:pt>
                <c:pt idx="1">
                  <c:v>2.2000000000000002</c:v>
                </c:pt>
                <c:pt idx="2">
                  <c:v>1.5</c:v>
                </c:pt>
                <c:pt idx="3">
                  <c:v>2.69</c:v>
                </c:pt>
              </c:numLit>
            </c:minus>
          </c:errBars>
          <c:cat>
            <c:strRef>
              <c:f>Sheet1!$A$2:$A$5</c:f>
              <c:strCache>
                <c:ptCount val="4"/>
                <c:pt idx="0">
                  <c:v>Group I</c:v>
                </c:pt>
                <c:pt idx="1">
                  <c:v>Group II</c:v>
                </c:pt>
                <c:pt idx="2">
                  <c:v>Group III</c:v>
                </c:pt>
                <c:pt idx="3">
                  <c:v>Group IV</c:v>
                </c:pt>
              </c:strCache>
            </c:strRef>
          </c:cat>
          <c:val>
            <c:numRef>
              <c:f>Sheet1!$B$2:$B$5</c:f>
              <c:numCache>
                <c:formatCode>General</c:formatCode>
                <c:ptCount val="4"/>
                <c:pt idx="0">
                  <c:v>27.73</c:v>
                </c:pt>
                <c:pt idx="1">
                  <c:v>41.53</c:v>
                </c:pt>
                <c:pt idx="2">
                  <c:v>38.75</c:v>
                </c:pt>
                <c:pt idx="3">
                  <c:v>38.78</c:v>
                </c:pt>
              </c:numCache>
            </c:numRef>
          </c:val>
          <c:extLst xmlns:c16r2="http://schemas.microsoft.com/office/drawing/2015/06/chart">
            <c:ext xmlns:c16="http://schemas.microsoft.com/office/drawing/2014/chart" uri="{C3380CC4-5D6E-409C-BE32-E72D297353CC}">
              <c16:uniqueId val="{00000004-BDC5-4535-8FAE-2943C5CC86B2}"/>
            </c:ext>
          </c:extLst>
        </c:ser>
        <c:dLbls>
          <c:showLegendKey val="0"/>
          <c:showVal val="0"/>
          <c:showCatName val="0"/>
          <c:showSerName val="0"/>
          <c:showPercent val="0"/>
          <c:showBubbleSize val="0"/>
        </c:dLbls>
        <c:gapWidth val="150"/>
        <c:axId val="2081707920"/>
        <c:axId val="2083176256"/>
      </c:barChart>
      <c:catAx>
        <c:axId val="2081707920"/>
        <c:scaling>
          <c:orientation val="minMax"/>
        </c:scaling>
        <c:delete val="0"/>
        <c:axPos val="b"/>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Treatment</a:t>
                </a:r>
                <a:r>
                  <a:rPr lang="en-US" sz="1200" baseline="0">
                    <a:latin typeface="Times New Roman" pitchFamily="18" charset="0"/>
                    <a:cs typeface="Times New Roman" pitchFamily="18" charset="0"/>
                  </a:rPr>
                  <a:t> Groups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2083176256"/>
        <c:crosses val="autoZero"/>
        <c:auto val="1"/>
        <c:lblAlgn val="ctr"/>
        <c:lblOffset val="100"/>
        <c:noMultiLvlLbl val="0"/>
      </c:catAx>
      <c:valAx>
        <c:axId val="2083176256"/>
        <c:scaling>
          <c:orientation val="minMax"/>
        </c:scaling>
        <c:delete val="0"/>
        <c:axPos val="l"/>
        <c:title>
          <c:tx>
            <c:rich>
              <a:bodyPr rot="-5400000" vert="horz"/>
              <a:lstStyle/>
              <a:p>
                <a:pPr>
                  <a:defRPr sz="1200">
                    <a:latin typeface="Times New Roman" pitchFamily="18" charset="0"/>
                    <a:cs typeface="Times New Roman" pitchFamily="18" charset="0"/>
                  </a:defRPr>
                </a:pPr>
                <a:r>
                  <a:rPr lang="en-US" sz="1200" b="1" i="0" u="none" strike="noStrike" baseline="0">
                    <a:effectLst/>
                    <a:latin typeface="Times New Roman" pitchFamily="18" charset="0"/>
                    <a:cs typeface="Times New Roman" pitchFamily="18" charset="0"/>
                  </a:rPr>
                  <a:t>AST concentration (u/l) </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crossAx val="2081707920"/>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ALP concentration</c:v>
                </c:pt>
              </c:strCache>
            </c:strRef>
          </c:tx>
          <c:spPr>
            <a:solidFill>
              <a:srgbClr val="C00000"/>
            </a:solidFill>
          </c:spPr>
          <c:invertIfNegative val="0"/>
          <c:dLbls>
            <c:dLbl>
              <c:idx val="0"/>
              <c:layout>
                <c:manualLayout>
                  <c:x val="0"/>
                  <c:y val="-6.0185185185185182E-2"/>
                </c:manualLayout>
              </c:layout>
              <c:tx>
                <c:rich>
                  <a:bodyPr/>
                  <a:lstStyle/>
                  <a:p>
                    <a:r>
                      <a:rPr lang="en-US"/>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3D9-4F60-923E-9B72E60D1DC3}"/>
                </c:ext>
                <c:ext xmlns:c15="http://schemas.microsoft.com/office/drawing/2012/chart" uri="{CE6537A1-D6FC-4f65-9D91-7224C49458BB}"/>
              </c:extLst>
            </c:dLbl>
            <c:dLbl>
              <c:idx val="1"/>
              <c:layout>
                <c:manualLayout>
                  <c:x val="0"/>
                  <c:y val="-5.5555555555555559E-2"/>
                </c:manualLayout>
              </c:layout>
              <c:tx>
                <c:rich>
                  <a:bodyPr/>
                  <a:lstStyle/>
                  <a:p>
                    <a:r>
                      <a:rPr lang="en-US"/>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3D9-4F60-923E-9B72E60D1DC3}"/>
                </c:ext>
                <c:ext xmlns:c15="http://schemas.microsoft.com/office/drawing/2012/chart" uri="{CE6537A1-D6FC-4f65-9D91-7224C49458BB}"/>
              </c:extLst>
            </c:dLbl>
            <c:dLbl>
              <c:idx val="2"/>
              <c:layout>
                <c:manualLayout>
                  <c:x val="0"/>
                  <c:y val="-4.1666666666666664E-2"/>
                </c:manualLayout>
              </c:layout>
              <c:tx>
                <c:rich>
                  <a:bodyPr/>
                  <a:lstStyle/>
                  <a:p>
                    <a:r>
                      <a:rPr lang="en-US"/>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3D9-4F60-923E-9B72E60D1DC3}"/>
                </c:ext>
                <c:ext xmlns:c15="http://schemas.microsoft.com/office/drawing/2012/chart" uri="{CE6537A1-D6FC-4f65-9D91-7224C49458BB}"/>
              </c:extLst>
            </c:dLbl>
            <c:dLbl>
              <c:idx val="3"/>
              <c:layout>
                <c:manualLayout>
                  <c:x val="-2.7777777777777779E-3"/>
                  <c:y val="-4.1666666666666664E-2"/>
                </c:manualLayout>
              </c:layout>
              <c:tx>
                <c:rich>
                  <a:bodyPr/>
                  <a:lstStyle/>
                  <a:p>
                    <a:r>
                      <a:rPr lang="en-US"/>
                      <a:t>c</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3D9-4F60-923E-9B72E60D1DC3}"/>
                </c:ex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Lit>
                <c:formatCode>General</c:formatCode>
                <c:ptCount val="4"/>
                <c:pt idx="0">
                  <c:v>5.14</c:v>
                </c:pt>
                <c:pt idx="1">
                  <c:v>3.24</c:v>
                </c:pt>
                <c:pt idx="2">
                  <c:v>2.41</c:v>
                </c:pt>
                <c:pt idx="3">
                  <c:v>2.69</c:v>
                </c:pt>
              </c:numLit>
            </c:plus>
            <c:minus>
              <c:numLit>
                <c:formatCode>General</c:formatCode>
                <c:ptCount val="4"/>
                <c:pt idx="0">
                  <c:v>5.14</c:v>
                </c:pt>
                <c:pt idx="1">
                  <c:v>3.24</c:v>
                </c:pt>
                <c:pt idx="2">
                  <c:v>2.41</c:v>
                </c:pt>
                <c:pt idx="3">
                  <c:v>2.69</c:v>
                </c:pt>
              </c:numLit>
            </c:minus>
          </c:errBars>
          <c:cat>
            <c:strRef>
              <c:f>Sheet1!$A$2:$A$5</c:f>
              <c:strCache>
                <c:ptCount val="4"/>
                <c:pt idx="0">
                  <c:v>Group I</c:v>
                </c:pt>
                <c:pt idx="1">
                  <c:v>Group II</c:v>
                </c:pt>
                <c:pt idx="2">
                  <c:v>Group III</c:v>
                </c:pt>
                <c:pt idx="3">
                  <c:v>Group IV</c:v>
                </c:pt>
              </c:strCache>
            </c:strRef>
          </c:cat>
          <c:val>
            <c:numRef>
              <c:f>Sheet1!$B$2:$B$5</c:f>
              <c:numCache>
                <c:formatCode>General</c:formatCode>
                <c:ptCount val="4"/>
                <c:pt idx="0">
                  <c:v>56.18</c:v>
                </c:pt>
                <c:pt idx="1">
                  <c:v>74.5</c:v>
                </c:pt>
                <c:pt idx="2">
                  <c:v>70.25</c:v>
                </c:pt>
                <c:pt idx="3">
                  <c:v>69.05</c:v>
                </c:pt>
              </c:numCache>
            </c:numRef>
          </c:val>
          <c:extLst xmlns:c16r2="http://schemas.microsoft.com/office/drawing/2015/06/chart">
            <c:ext xmlns:c16="http://schemas.microsoft.com/office/drawing/2014/chart" uri="{C3380CC4-5D6E-409C-BE32-E72D297353CC}">
              <c16:uniqueId val="{00000004-53D9-4F60-923E-9B72E60D1DC3}"/>
            </c:ext>
          </c:extLst>
        </c:ser>
        <c:dLbls>
          <c:showLegendKey val="0"/>
          <c:showVal val="0"/>
          <c:showCatName val="0"/>
          <c:showSerName val="0"/>
          <c:showPercent val="0"/>
          <c:showBubbleSize val="0"/>
        </c:dLbls>
        <c:gapWidth val="150"/>
        <c:axId val="48574912"/>
        <c:axId val="48585248"/>
      </c:barChart>
      <c:catAx>
        <c:axId val="48574912"/>
        <c:scaling>
          <c:orientation val="minMax"/>
        </c:scaling>
        <c:delete val="0"/>
        <c:axPos val="b"/>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Treatment</a:t>
                </a:r>
                <a:r>
                  <a:rPr lang="en-US" sz="1200" baseline="0">
                    <a:latin typeface="Times New Roman" pitchFamily="18" charset="0"/>
                    <a:cs typeface="Times New Roman" pitchFamily="18" charset="0"/>
                  </a:rPr>
                  <a:t> Groups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48585248"/>
        <c:crosses val="autoZero"/>
        <c:auto val="1"/>
        <c:lblAlgn val="ctr"/>
        <c:lblOffset val="100"/>
        <c:noMultiLvlLbl val="0"/>
      </c:catAx>
      <c:valAx>
        <c:axId val="48585248"/>
        <c:scaling>
          <c:orientation val="minMax"/>
        </c:scaling>
        <c:delete val="0"/>
        <c:axPos val="l"/>
        <c:title>
          <c:tx>
            <c:rich>
              <a:bodyPr rot="-5400000" vert="horz"/>
              <a:lstStyle/>
              <a:p>
                <a:pPr>
                  <a:defRPr sz="1200">
                    <a:latin typeface="Times New Roman" pitchFamily="18" charset="0"/>
                    <a:cs typeface="Times New Roman" pitchFamily="18" charset="0"/>
                  </a:defRPr>
                </a:pPr>
                <a:r>
                  <a:rPr lang="en-US" sz="1200" b="1" i="0" u="none" strike="noStrike" baseline="0">
                    <a:effectLst/>
                    <a:latin typeface="Times New Roman" pitchFamily="18" charset="0"/>
                    <a:cs typeface="Times New Roman" pitchFamily="18" charset="0"/>
                  </a:rPr>
                  <a:t>ALP concentration (u/l)</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crossAx val="48574912"/>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Total Protein concentration (g/dl)</c:v>
                </c:pt>
              </c:strCache>
            </c:strRef>
          </c:tx>
          <c:spPr>
            <a:solidFill>
              <a:srgbClr val="00B0F0"/>
            </a:solidFill>
          </c:spPr>
          <c:invertIfNegative val="0"/>
          <c:dLbls>
            <c:dLbl>
              <c:idx val="0"/>
              <c:layout>
                <c:manualLayout>
                  <c:x val="0"/>
                  <c:y val="-5.519621275749631E-2"/>
                </c:manualLayout>
              </c:layout>
              <c:tx>
                <c:rich>
                  <a:bodyPr/>
                  <a:lstStyle/>
                  <a:p>
                    <a:r>
                      <a:rPr lang="en-US"/>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D07-4FC8-B807-7A486C7F4A1F}"/>
                </c:ext>
                <c:ext xmlns:c15="http://schemas.microsoft.com/office/drawing/2012/chart" uri="{CE6537A1-D6FC-4f65-9D91-7224C49458BB}"/>
              </c:extLst>
            </c:dLbl>
            <c:dLbl>
              <c:idx val="1"/>
              <c:layout>
                <c:manualLayout>
                  <c:x val="0"/>
                  <c:y val="-3.4497632973435194E-2"/>
                </c:manualLayout>
              </c:layout>
              <c:tx>
                <c:rich>
                  <a:bodyPr/>
                  <a:lstStyle/>
                  <a:p>
                    <a:r>
                      <a:rPr lang="en-US"/>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D07-4FC8-B807-7A486C7F4A1F}"/>
                </c:ext>
                <c:ext xmlns:c15="http://schemas.microsoft.com/office/drawing/2012/chart" uri="{CE6537A1-D6FC-4f65-9D91-7224C49458BB}"/>
              </c:extLst>
            </c:dLbl>
            <c:dLbl>
              <c:idx val="2"/>
              <c:layout>
                <c:manualLayout>
                  <c:x val="0"/>
                  <c:y val="-3.7947396270778713E-2"/>
                </c:manualLayout>
              </c:layout>
              <c:tx>
                <c:rich>
                  <a:bodyPr/>
                  <a:lstStyle/>
                  <a:p>
                    <a:r>
                      <a:rPr lang="en-US"/>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D07-4FC8-B807-7A486C7F4A1F}"/>
                </c:ext>
                <c:ext xmlns:c15="http://schemas.microsoft.com/office/drawing/2012/chart" uri="{CE6537A1-D6FC-4f65-9D91-7224C49458BB}"/>
              </c:extLst>
            </c:dLbl>
            <c:dLbl>
              <c:idx val="3"/>
              <c:layout>
                <c:manualLayout>
                  <c:x val="0"/>
                  <c:y val="-3.1047869676091674E-2"/>
                </c:manualLayout>
              </c:layout>
              <c:tx>
                <c:rich>
                  <a:bodyPr/>
                  <a:lstStyle/>
                  <a:p>
                    <a:r>
                      <a:rPr lang="en-US"/>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D07-4FC8-B807-7A486C7F4A1F}"/>
                </c:ex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Lit>
                <c:formatCode>General</c:formatCode>
                <c:ptCount val="4"/>
                <c:pt idx="0">
                  <c:v>0.54</c:v>
                </c:pt>
                <c:pt idx="1">
                  <c:v>0.42</c:v>
                </c:pt>
                <c:pt idx="2">
                  <c:v>0.47</c:v>
                </c:pt>
                <c:pt idx="3">
                  <c:v>0.27</c:v>
                </c:pt>
              </c:numLit>
            </c:plus>
            <c:minus>
              <c:numLit>
                <c:formatCode>General</c:formatCode>
                <c:ptCount val="4"/>
                <c:pt idx="0">
                  <c:v>0.54</c:v>
                </c:pt>
                <c:pt idx="1">
                  <c:v>0.42</c:v>
                </c:pt>
                <c:pt idx="2">
                  <c:v>0.47</c:v>
                </c:pt>
                <c:pt idx="3">
                  <c:v>0.27</c:v>
                </c:pt>
              </c:numLit>
            </c:minus>
          </c:errBars>
          <c:cat>
            <c:strRef>
              <c:f>Sheet1!$A$2:$A$5</c:f>
              <c:strCache>
                <c:ptCount val="4"/>
                <c:pt idx="0">
                  <c:v>Group I</c:v>
                </c:pt>
                <c:pt idx="1">
                  <c:v>Group II</c:v>
                </c:pt>
                <c:pt idx="2">
                  <c:v>Group III</c:v>
                </c:pt>
                <c:pt idx="3">
                  <c:v>Group IV</c:v>
                </c:pt>
              </c:strCache>
            </c:strRef>
          </c:cat>
          <c:val>
            <c:numRef>
              <c:f>Sheet1!$B$2:$B$5</c:f>
              <c:numCache>
                <c:formatCode>General</c:formatCode>
                <c:ptCount val="4"/>
                <c:pt idx="0">
                  <c:v>9.23</c:v>
                </c:pt>
                <c:pt idx="1">
                  <c:v>6.5</c:v>
                </c:pt>
                <c:pt idx="2">
                  <c:v>8.6999999999999993</c:v>
                </c:pt>
                <c:pt idx="3">
                  <c:v>8.85</c:v>
                </c:pt>
              </c:numCache>
            </c:numRef>
          </c:val>
          <c:extLst xmlns:c16r2="http://schemas.microsoft.com/office/drawing/2015/06/chart">
            <c:ext xmlns:c16="http://schemas.microsoft.com/office/drawing/2014/chart" uri="{C3380CC4-5D6E-409C-BE32-E72D297353CC}">
              <c16:uniqueId val="{00000004-ED07-4FC8-B807-7A486C7F4A1F}"/>
            </c:ext>
          </c:extLst>
        </c:ser>
        <c:dLbls>
          <c:showLegendKey val="0"/>
          <c:showVal val="0"/>
          <c:showCatName val="0"/>
          <c:showSerName val="0"/>
          <c:showPercent val="0"/>
          <c:showBubbleSize val="0"/>
        </c:dLbls>
        <c:gapWidth val="150"/>
        <c:axId val="48575456"/>
        <c:axId val="48574368"/>
      </c:barChart>
      <c:catAx>
        <c:axId val="48575456"/>
        <c:scaling>
          <c:orientation val="minMax"/>
        </c:scaling>
        <c:delete val="0"/>
        <c:axPos val="b"/>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Treatment</a:t>
                </a:r>
                <a:r>
                  <a:rPr lang="en-US" sz="1200" baseline="0">
                    <a:latin typeface="Times New Roman" pitchFamily="18" charset="0"/>
                    <a:cs typeface="Times New Roman" pitchFamily="18" charset="0"/>
                  </a:rPr>
                  <a:t> Groups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48574368"/>
        <c:crosses val="autoZero"/>
        <c:auto val="1"/>
        <c:lblAlgn val="ctr"/>
        <c:lblOffset val="100"/>
        <c:noMultiLvlLbl val="0"/>
      </c:catAx>
      <c:valAx>
        <c:axId val="48574368"/>
        <c:scaling>
          <c:orientation val="minMax"/>
        </c:scaling>
        <c:delete val="0"/>
        <c:axPos val="l"/>
        <c:title>
          <c:tx>
            <c:rich>
              <a:bodyPr rot="-5400000" vert="horz"/>
              <a:lstStyle/>
              <a:p>
                <a:pPr>
                  <a:defRPr sz="1200">
                    <a:latin typeface="Times New Roman" pitchFamily="18" charset="0"/>
                    <a:cs typeface="Times New Roman" pitchFamily="18" charset="0"/>
                  </a:defRPr>
                </a:pPr>
                <a:r>
                  <a:rPr lang="en-US" sz="1200" b="1" i="0" u="none" strike="noStrike" baseline="0">
                    <a:effectLst/>
                    <a:latin typeface="Times New Roman" pitchFamily="18" charset="0"/>
                    <a:cs typeface="Times New Roman" pitchFamily="18" charset="0"/>
                  </a:rPr>
                  <a:t>Total Protein concentration (g/dl)</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crossAx val="48575456"/>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Conjugated Bilirubin concentration (µmol/l) </c:v>
                </c:pt>
              </c:strCache>
            </c:strRef>
          </c:tx>
          <c:spPr>
            <a:solidFill>
              <a:schemeClr val="accent6">
                <a:lumMod val="50000"/>
              </a:schemeClr>
            </a:solidFill>
          </c:spPr>
          <c:invertIfNegative val="0"/>
          <c:dLbls>
            <c:dLbl>
              <c:idx val="0"/>
              <c:layout>
                <c:manualLayout>
                  <c:x val="0"/>
                  <c:y val="-5.9328649492583922E-2"/>
                </c:manualLayout>
              </c:layout>
              <c:tx>
                <c:rich>
                  <a:bodyPr/>
                  <a:lstStyle/>
                  <a:p>
                    <a:r>
                      <a:rPr lang="en-US"/>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758-4C70-8104-5DA62E367568}"/>
                </c:ext>
                <c:ext xmlns:c15="http://schemas.microsoft.com/office/drawing/2012/chart" uri="{CE6537A1-D6FC-4f65-9D91-7224C49458BB}"/>
              </c:extLst>
            </c:dLbl>
            <c:dLbl>
              <c:idx val="1"/>
              <c:layout>
                <c:manualLayout>
                  <c:x val="0"/>
                  <c:y val="-8.7431693989071024E-2"/>
                </c:manualLayout>
              </c:layout>
              <c:tx>
                <c:rich>
                  <a:bodyPr/>
                  <a:lstStyle/>
                  <a:p>
                    <a:r>
                      <a:rPr lang="en-US"/>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758-4C70-8104-5DA62E367568}"/>
                </c:ext>
                <c:ext xmlns:c15="http://schemas.microsoft.com/office/drawing/2012/chart" uri="{CE6537A1-D6FC-4f65-9D91-7224C49458BB}"/>
              </c:extLst>
            </c:dLbl>
            <c:dLbl>
              <c:idx val="2"/>
              <c:layout>
                <c:manualLayout>
                  <c:x val="0"/>
                  <c:y val="-7.8064012490242002E-2"/>
                </c:manualLayout>
              </c:layout>
              <c:tx>
                <c:rich>
                  <a:bodyPr/>
                  <a:lstStyle/>
                  <a:p>
                    <a:r>
                      <a:rPr lang="en-US"/>
                      <a:t>c</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758-4C70-8104-5DA62E367568}"/>
                </c:ext>
                <c:ext xmlns:c15="http://schemas.microsoft.com/office/drawing/2012/chart" uri="{CE6537A1-D6FC-4f65-9D91-7224C49458BB}"/>
              </c:extLst>
            </c:dLbl>
            <c:dLbl>
              <c:idx val="3"/>
              <c:layout>
                <c:manualLayout>
                  <c:x val="0"/>
                  <c:y val="-6.2451209992193599E-2"/>
                </c:manualLayout>
              </c:layout>
              <c:tx>
                <c:rich>
                  <a:bodyPr/>
                  <a:lstStyle/>
                  <a:p>
                    <a:r>
                      <a:rPr lang="en-US"/>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758-4C70-8104-5DA62E367568}"/>
                </c:ex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Lit>
                <c:formatCode>General</c:formatCode>
                <c:ptCount val="4"/>
                <c:pt idx="0">
                  <c:v>0.1</c:v>
                </c:pt>
                <c:pt idx="1">
                  <c:v>0.14000000000000001</c:v>
                </c:pt>
                <c:pt idx="2">
                  <c:v>0.13</c:v>
                </c:pt>
                <c:pt idx="3">
                  <c:v>0.1</c:v>
                </c:pt>
              </c:numLit>
            </c:plus>
            <c:minus>
              <c:numLit>
                <c:formatCode>General</c:formatCode>
                <c:ptCount val="4"/>
                <c:pt idx="0">
                  <c:v>0.1</c:v>
                </c:pt>
                <c:pt idx="1">
                  <c:v>0.14000000000000001</c:v>
                </c:pt>
                <c:pt idx="2">
                  <c:v>0.13</c:v>
                </c:pt>
                <c:pt idx="3">
                  <c:v>0.1</c:v>
                </c:pt>
              </c:numLit>
            </c:minus>
          </c:errBars>
          <c:cat>
            <c:strRef>
              <c:f>Sheet1!$A$2:$A$5</c:f>
              <c:strCache>
                <c:ptCount val="4"/>
                <c:pt idx="0">
                  <c:v>Group I</c:v>
                </c:pt>
                <c:pt idx="1">
                  <c:v>Group II</c:v>
                </c:pt>
                <c:pt idx="2">
                  <c:v>Group III</c:v>
                </c:pt>
                <c:pt idx="3">
                  <c:v>Group IV</c:v>
                </c:pt>
              </c:strCache>
            </c:strRef>
          </c:cat>
          <c:val>
            <c:numRef>
              <c:f>Sheet1!$B$2:$B$5</c:f>
              <c:numCache>
                <c:formatCode>General</c:formatCode>
                <c:ptCount val="4"/>
                <c:pt idx="0">
                  <c:v>0.63</c:v>
                </c:pt>
                <c:pt idx="1">
                  <c:v>1.3</c:v>
                </c:pt>
                <c:pt idx="2">
                  <c:v>0.95</c:v>
                </c:pt>
                <c:pt idx="3">
                  <c:v>0.75</c:v>
                </c:pt>
              </c:numCache>
            </c:numRef>
          </c:val>
          <c:extLst xmlns:c16r2="http://schemas.microsoft.com/office/drawing/2015/06/chart">
            <c:ext xmlns:c16="http://schemas.microsoft.com/office/drawing/2014/chart" uri="{C3380CC4-5D6E-409C-BE32-E72D297353CC}">
              <c16:uniqueId val="{00000004-C758-4C70-8104-5DA62E367568}"/>
            </c:ext>
          </c:extLst>
        </c:ser>
        <c:dLbls>
          <c:showLegendKey val="0"/>
          <c:showVal val="0"/>
          <c:showCatName val="0"/>
          <c:showSerName val="0"/>
          <c:showPercent val="0"/>
          <c:showBubbleSize val="0"/>
        </c:dLbls>
        <c:gapWidth val="150"/>
        <c:axId val="48583616"/>
        <c:axId val="48576000"/>
      </c:barChart>
      <c:catAx>
        <c:axId val="48583616"/>
        <c:scaling>
          <c:orientation val="minMax"/>
        </c:scaling>
        <c:delete val="0"/>
        <c:axPos val="b"/>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Treatment</a:t>
                </a:r>
                <a:r>
                  <a:rPr lang="en-US" sz="1200" baseline="0">
                    <a:latin typeface="Times New Roman" pitchFamily="18" charset="0"/>
                    <a:cs typeface="Times New Roman" pitchFamily="18" charset="0"/>
                  </a:rPr>
                  <a:t> Groups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48576000"/>
        <c:crosses val="autoZero"/>
        <c:auto val="1"/>
        <c:lblAlgn val="ctr"/>
        <c:lblOffset val="100"/>
        <c:noMultiLvlLbl val="0"/>
      </c:catAx>
      <c:valAx>
        <c:axId val="48576000"/>
        <c:scaling>
          <c:orientation val="minMax"/>
        </c:scaling>
        <c:delete val="0"/>
        <c:axPos val="l"/>
        <c:title>
          <c:tx>
            <c:rich>
              <a:bodyPr rot="-5400000" vert="horz"/>
              <a:lstStyle/>
              <a:p>
                <a:pPr>
                  <a:defRPr sz="1200">
                    <a:latin typeface="Times New Roman" pitchFamily="18" charset="0"/>
                    <a:cs typeface="Times New Roman" pitchFamily="18" charset="0"/>
                  </a:defRPr>
                </a:pPr>
                <a:r>
                  <a:rPr lang="en-US" sz="1200" b="1" i="0" u="none" strike="noStrike" baseline="0">
                    <a:effectLst/>
                    <a:latin typeface="Times New Roman" pitchFamily="18" charset="0"/>
                    <a:cs typeface="Times New Roman" pitchFamily="18" charset="0"/>
                  </a:rPr>
                  <a:t>Conjugated Bilirubin concentration (µmol/l) </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crossAx val="4858361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4294967217</TotalTime>
  <Pages>23</Pages>
  <Words>7022</Words>
  <Characters>40028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PC1</cp:lastModifiedBy>
  <cp:revision>28</cp:revision>
  <dcterms:created xsi:type="dcterms:W3CDTF">2025-06-21T04:54:00Z</dcterms:created>
  <dcterms:modified xsi:type="dcterms:W3CDTF">2025-07-11T07:09:00Z</dcterms:modified>
</cp:coreProperties>
</file>