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BD01B" w14:textId="77777777" w:rsidR="00945E71" w:rsidRPr="00945E71" w:rsidRDefault="00945E71" w:rsidP="007548A8">
      <w:pPr>
        <w:spacing w:after="0" w:line="360" w:lineRule="auto"/>
        <w:jc w:val="center"/>
        <w:rPr>
          <w:rStyle w:val="Strong"/>
          <w:rFonts w:ascii="Times New Roman" w:hAnsi="Times New Roman" w:cs="Times New Roman"/>
          <w:color w:val="1D1D1D"/>
          <w:shd w:val="clear" w:color="auto" w:fill="FFFFFF"/>
        </w:rPr>
      </w:pPr>
      <w:r w:rsidRPr="00945E71">
        <w:rPr>
          <w:rStyle w:val="Strong"/>
          <w:rFonts w:ascii="Times New Roman" w:hAnsi="Times New Roman" w:cs="Times New Roman"/>
          <w:color w:val="1D1D1D"/>
          <w:shd w:val="clear" w:color="auto" w:fill="FFFFFF"/>
        </w:rPr>
        <w:t>PRODUCTION OF BIOSURFACTANTS FROM HALOPHILIC BACTERIA ISOLATED FROM HYDROCARBON-CONTAMINATED SOILS AND THEIR APPLICATION IN SOIL RECOVERY</w:t>
      </w:r>
    </w:p>
    <w:p w14:paraId="7F2B739F" w14:textId="77777777" w:rsidR="00945E71" w:rsidRDefault="00945E71" w:rsidP="007548A8">
      <w:pPr>
        <w:spacing w:after="0" w:line="360" w:lineRule="auto"/>
        <w:jc w:val="center"/>
        <w:rPr>
          <w:rStyle w:val="Strong"/>
          <w:rFonts w:ascii="Helvetica" w:hAnsi="Helvetica" w:cs="Helvetica"/>
          <w:color w:val="1D1D1D"/>
          <w:sz w:val="20"/>
          <w:szCs w:val="20"/>
          <w:shd w:val="clear" w:color="auto" w:fill="FFFFFF"/>
        </w:rPr>
      </w:pPr>
    </w:p>
    <w:p w14:paraId="5956F8A7" w14:textId="77777777" w:rsidR="0082684E" w:rsidRPr="00F5428D" w:rsidRDefault="0082684E" w:rsidP="00F5428D">
      <w:pPr>
        <w:rPr>
          <w:rFonts w:ascii="Times New Roman" w:hAnsi="Times New Roman" w:cs="Times New Roman"/>
          <w:b/>
          <w:sz w:val="24"/>
          <w:szCs w:val="24"/>
        </w:rPr>
      </w:pPr>
      <w:r w:rsidRPr="00F5428D">
        <w:rPr>
          <w:rFonts w:ascii="Times New Roman" w:hAnsi="Times New Roman" w:cs="Times New Roman"/>
          <w:b/>
          <w:sz w:val="24"/>
          <w:szCs w:val="24"/>
        </w:rPr>
        <w:t>Abstract</w:t>
      </w:r>
    </w:p>
    <w:p w14:paraId="788E1401" w14:textId="77777777" w:rsidR="0082684E" w:rsidRPr="00ED75E9" w:rsidRDefault="0082684E" w:rsidP="003C1B1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 xml:space="preserve">Petroleum hydrocarbon contamination of soils poses serious environmental and agricultural challenges, particularly in areas affected by fuel handling and storage activities. This study evaluated the biosurfactant-producing potential of halophilic bacteria isolated from hydrocarbon-contaminated soils and assessed the effectiveness of their biosurfactants in soil recovery and plant growth improvement. Soil samples were collected from four contaminated sites and one uncontaminated control site and analyzed for physicochemical properties. Halophilic bacteria were isolated, enumerated, and presumptively identified using morphological and biochemical characteristics. Biosurfactant production was screened using hemolysis, oil displacement, and emulsification index (E24) assays. </w:t>
      </w:r>
      <w:commentRangeStart w:id="0"/>
      <w:r w:rsidRPr="00ED75E9">
        <w:rPr>
          <w:rFonts w:ascii="Times New Roman" w:eastAsia="Times New Roman" w:hAnsi="Times New Roman" w:cs="Times New Roman"/>
          <w:color w:val="000000" w:themeColor="text1"/>
          <w:sz w:val="24"/>
          <w:szCs w:val="24"/>
        </w:rPr>
        <w:t>Contaminated</w:t>
      </w:r>
      <w:commentRangeEnd w:id="0"/>
      <w:r w:rsidR="00945970">
        <w:rPr>
          <w:rStyle w:val="CommentReference"/>
        </w:rPr>
        <w:commentReference w:id="0"/>
      </w:r>
      <w:r w:rsidRPr="00ED75E9">
        <w:rPr>
          <w:rFonts w:ascii="Times New Roman" w:eastAsia="Times New Roman" w:hAnsi="Times New Roman" w:cs="Times New Roman"/>
          <w:color w:val="000000" w:themeColor="text1"/>
          <w:sz w:val="24"/>
          <w:szCs w:val="24"/>
        </w:rPr>
        <w:t xml:space="preserve"> soils exhibited elevated total petroleum hydrocarbon concentrations (approximately 4,000–4,400 mg/kg), reduced organic matter content (1.9–2.3%), and higher electrical conductivity </w:t>
      </w:r>
      <w:commentRangeStart w:id="1"/>
      <w:r w:rsidRPr="00ED75E9">
        <w:rPr>
          <w:rFonts w:ascii="Times New Roman" w:eastAsia="Times New Roman" w:hAnsi="Times New Roman" w:cs="Times New Roman"/>
          <w:color w:val="000000" w:themeColor="text1"/>
          <w:sz w:val="24"/>
          <w:szCs w:val="24"/>
        </w:rPr>
        <w:t>compared</w:t>
      </w:r>
      <w:commentRangeEnd w:id="1"/>
      <w:r w:rsidR="00945970">
        <w:rPr>
          <w:rStyle w:val="CommentReference"/>
        </w:rPr>
        <w:commentReference w:id="1"/>
      </w:r>
      <w:r w:rsidRPr="00ED75E9">
        <w:rPr>
          <w:rFonts w:ascii="Times New Roman" w:eastAsia="Times New Roman" w:hAnsi="Times New Roman" w:cs="Times New Roman"/>
          <w:color w:val="000000" w:themeColor="text1"/>
          <w:sz w:val="24"/>
          <w:szCs w:val="24"/>
        </w:rPr>
        <w:t xml:space="preserve"> with the control soil. Presumptive </w:t>
      </w:r>
      <w:commentRangeStart w:id="2"/>
      <w:r w:rsidRPr="00ED75E9">
        <w:rPr>
          <w:rFonts w:ascii="Times New Roman" w:eastAsia="Times New Roman" w:hAnsi="Times New Roman" w:cs="Times New Roman"/>
          <w:color w:val="000000" w:themeColor="text1"/>
          <w:sz w:val="24"/>
          <w:szCs w:val="24"/>
        </w:rPr>
        <w:t>identification</w:t>
      </w:r>
      <w:commentRangeEnd w:id="2"/>
      <w:r w:rsidR="00945970">
        <w:rPr>
          <w:rStyle w:val="CommentReference"/>
        </w:rPr>
        <w:commentReference w:id="2"/>
      </w:r>
      <w:r w:rsidRPr="00ED75E9">
        <w:rPr>
          <w:rFonts w:ascii="Times New Roman" w:eastAsia="Times New Roman" w:hAnsi="Times New Roman" w:cs="Times New Roman"/>
          <w:color w:val="000000" w:themeColor="text1"/>
          <w:sz w:val="24"/>
          <w:szCs w:val="24"/>
        </w:rPr>
        <w:t xml:space="preserve"> revealed </w:t>
      </w: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 </w:t>
      </w: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 and </w:t>
      </w: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 as dominant biosurfactant-producing isolates. Biosurfactant screening showed higher emulsification activity for </w:t>
      </w: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 HB1 (E24 ≈ 58–61%) and </w:t>
      </w: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 HB3 compared with other isolates. Application of </w:t>
      </w:r>
      <w:proofErr w:type="spellStart"/>
      <w:r w:rsidRPr="00ED75E9">
        <w:rPr>
          <w:rFonts w:ascii="Times New Roman" w:eastAsia="Times New Roman" w:hAnsi="Times New Roman" w:cs="Times New Roman"/>
          <w:color w:val="000000" w:themeColor="text1"/>
          <w:sz w:val="24"/>
          <w:szCs w:val="24"/>
        </w:rPr>
        <w:t>biosurfactants</w:t>
      </w:r>
      <w:proofErr w:type="spellEnd"/>
      <w:r w:rsidRPr="00ED75E9">
        <w:rPr>
          <w:rFonts w:ascii="Times New Roman" w:eastAsia="Times New Roman" w:hAnsi="Times New Roman" w:cs="Times New Roman"/>
          <w:color w:val="000000" w:themeColor="text1"/>
          <w:sz w:val="24"/>
          <w:szCs w:val="24"/>
        </w:rPr>
        <w:t xml:space="preserve"> </w:t>
      </w:r>
      <w:commentRangeStart w:id="3"/>
      <w:r w:rsidRPr="00ED75E9">
        <w:rPr>
          <w:rFonts w:ascii="Times New Roman" w:eastAsia="Times New Roman" w:hAnsi="Times New Roman" w:cs="Times New Roman"/>
          <w:color w:val="000000" w:themeColor="text1"/>
          <w:sz w:val="24"/>
          <w:szCs w:val="24"/>
        </w:rPr>
        <w:t>significantly</w:t>
      </w:r>
      <w:commentRangeEnd w:id="3"/>
      <w:r w:rsidR="00945970">
        <w:rPr>
          <w:rStyle w:val="CommentReference"/>
        </w:rPr>
        <w:commentReference w:id="3"/>
      </w:r>
      <w:r w:rsidRPr="00ED75E9">
        <w:rPr>
          <w:rFonts w:ascii="Times New Roman" w:eastAsia="Times New Roman" w:hAnsi="Times New Roman" w:cs="Times New Roman"/>
          <w:color w:val="000000" w:themeColor="text1"/>
          <w:sz w:val="24"/>
          <w:szCs w:val="24"/>
        </w:rPr>
        <w:t xml:space="preserve"> enhanced plant growth, with treated soils showing increased plant height (up to about 70 cm for </w:t>
      </w: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 HB1) compared with the untreated control (approximately 42 cm). The results demonstrate that biosurfactants produced by indigenous halophilic bacteria can enhance hydrocarbon-impacted soil recovery and improve plant growth, highlighting their potential for sustainable bioremediation of contaminated soils.</w:t>
      </w:r>
    </w:p>
    <w:p w14:paraId="7DA263D2" w14:textId="77777777" w:rsidR="00B736C0" w:rsidRPr="00ED75E9" w:rsidRDefault="0082684E" w:rsidP="003C1B12">
      <w:pPr>
        <w:spacing w:before="100" w:beforeAutospacing="1" w:after="100" w:afterAutospacing="1" w:line="240" w:lineRule="auto"/>
        <w:jc w:val="both"/>
        <w:rPr>
          <w:rFonts w:ascii="Times New Roman" w:hAnsi="Times New Roman" w:cs="Times New Roman"/>
          <w:b/>
          <w:color w:val="000000" w:themeColor="text1"/>
          <w:sz w:val="20"/>
          <w:szCs w:val="20"/>
        </w:rPr>
      </w:pPr>
      <w:r w:rsidRPr="00ED75E9">
        <w:rPr>
          <w:rFonts w:ascii="Times New Roman" w:eastAsia="Times New Roman" w:hAnsi="Times New Roman" w:cs="Times New Roman"/>
          <w:b/>
          <w:color w:val="000000" w:themeColor="text1"/>
          <w:sz w:val="24"/>
          <w:szCs w:val="24"/>
        </w:rPr>
        <w:t xml:space="preserve">Keywords: </w:t>
      </w:r>
      <w:r w:rsidRPr="00ED75E9">
        <w:rPr>
          <w:color w:val="000000" w:themeColor="text1"/>
        </w:rPr>
        <w:t>Biosurfactant; Halophilic bacteria; Hydrocarbon-contaminated soil; Bioremediation; Environmental biotechnology; Plant growth</w:t>
      </w:r>
    </w:p>
    <w:p w14:paraId="59DC5A10" w14:textId="0D4A11E1" w:rsidR="0082684E" w:rsidRDefault="0082684E" w:rsidP="003C1B12">
      <w:pPr>
        <w:jc w:val="both"/>
        <w:rPr>
          <w:rFonts w:ascii="Times New Roman" w:hAnsi="Times New Roman" w:cs="Times New Roman"/>
          <w:b/>
          <w:color w:val="000000" w:themeColor="text1"/>
          <w:sz w:val="20"/>
          <w:szCs w:val="20"/>
        </w:rPr>
      </w:pPr>
    </w:p>
    <w:p w14:paraId="6D9CA4F3" w14:textId="2D70F1AB" w:rsidR="008660EC" w:rsidRDefault="008660EC" w:rsidP="003C1B12">
      <w:pPr>
        <w:jc w:val="both"/>
        <w:rPr>
          <w:rFonts w:ascii="Times New Roman" w:hAnsi="Times New Roman" w:cs="Times New Roman"/>
          <w:b/>
          <w:color w:val="000000" w:themeColor="text1"/>
          <w:sz w:val="20"/>
          <w:szCs w:val="20"/>
        </w:rPr>
      </w:pPr>
    </w:p>
    <w:p w14:paraId="60F3FC78" w14:textId="0B296F26" w:rsidR="008660EC" w:rsidRDefault="008660EC" w:rsidP="003C1B12">
      <w:pPr>
        <w:jc w:val="both"/>
        <w:rPr>
          <w:rFonts w:ascii="Times New Roman" w:hAnsi="Times New Roman" w:cs="Times New Roman"/>
          <w:b/>
          <w:color w:val="000000" w:themeColor="text1"/>
          <w:sz w:val="20"/>
          <w:szCs w:val="20"/>
        </w:rPr>
      </w:pPr>
    </w:p>
    <w:p w14:paraId="4F99B954" w14:textId="5767B204" w:rsidR="008660EC" w:rsidRDefault="008660EC" w:rsidP="003C1B12">
      <w:pPr>
        <w:jc w:val="both"/>
        <w:rPr>
          <w:rFonts w:ascii="Times New Roman" w:hAnsi="Times New Roman" w:cs="Times New Roman"/>
          <w:b/>
          <w:color w:val="000000" w:themeColor="text1"/>
          <w:sz w:val="20"/>
          <w:szCs w:val="20"/>
        </w:rPr>
      </w:pPr>
    </w:p>
    <w:p w14:paraId="40252FE0" w14:textId="6DAA77D8" w:rsidR="008660EC" w:rsidRDefault="008660EC" w:rsidP="003C1B12">
      <w:pPr>
        <w:jc w:val="both"/>
        <w:rPr>
          <w:rFonts w:ascii="Times New Roman" w:hAnsi="Times New Roman" w:cs="Times New Roman"/>
          <w:b/>
          <w:color w:val="000000" w:themeColor="text1"/>
          <w:sz w:val="20"/>
          <w:szCs w:val="20"/>
        </w:rPr>
      </w:pPr>
    </w:p>
    <w:p w14:paraId="3FC480A5" w14:textId="7088186C" w:rsidR="008660EC" w:rsidRDefault="008660EC" w:rsidP="003C1B12">
      <w:pPr>
        <w:jc w:val="both"/>
        <w:rPr>
          <w:rFonts w:ascii="Times New Roman" w:hAnsi="Times New Roman" w:cs="Times New Roman"/>
          <w:b/>
          <w:color w:val="000000" w:themeColor="text1"/>
          <w:sz w:val="20"/>
          <w:szCs w:val="20"/>
        </w:rPr>
      </w:pPr>
    </w:p>
    <w:p w14:paraId="301DE950" w14:textId="77777777" w:rsidR="008660EC" w:rsidRDefault="008660EC" w:rsidP="003C1B12">
      <w:pPr>
        <w:jc w:val="both"/>
        <w:rPr>
          <w:rFonts w:ascii="Times New Roman" w:hAnsi="Times New Roman" w:cs="Times New Roman"/>
          <w:b/>
          <w:color w:val="000000" w:themeColor="text1"/>
          <w:sz w:val="20"/>
          <w:szCs w:val="20"/>
        </w:rPr>
      </w:pPr>
    </w:p>
    <w:p w14:paraId="7577EB81" w14:textId="77777777" w:rsidR="00945E71" w:rsidRPr="00ED75E9" w:rsidRDefault="00945E71" w:rsidP="003C1B12">
      <w:pPr>
        <w:jc w:val="both"/>
        <w:rPr>
          <w:rFonts w:ascii="Times New Roman" w:hAnsi="Times New Roman" w:cs="Times New Roman"/>
          <w:b/>
          <w:color w:val="000000" w:themeColor="text1"/>
          <w:sz w:val="20"/>
          <w:szCs w:val="20"/>
        </w:rPr>
      </w:pPr>
    </w:p>
    <w:p w14:paraId="1492AFF3" w14:textId="77777777" w:rsidR="0082684E" w:rsidRPr="00ED75E9" w:rsidRDefault="0082684E" w:rsidP="003C1B12">
      <w:pPr>
        <w:jc w:val="both"/>
        <w:rPr>
          <w:rFonts w:ascii="Times New Roman" w:hAnsi="Times New Roman" w:cs="Times New Roman"/>
          <w:b/>
          <w:color w:val="000000" w:themeColor="text1"/>
          <w:sz w:val="20"/>
          <w:szCs w:val="20"/>
        </w:rPr>
      </w:pPr>
    </w:p>
    <w:p w14:paraId="5A74A8F6" w14:textId="77777777" w:rsidR="0082684E" w:rsidRPr="00ED75E9" w:rsidRDefault="0082684E" w:rsidP="003C1B12">
      <w:pPr>
        <w:spacing w:line="360" w:lineRule="auto"/>
        <w:jc w:val="both"/>
        <w:rPr>
          <w:rFonts w:ascii="Times New Roman" w:hAnsi="Times New Roman" w:cs="Times New Roman"/>
          <w:b/>
          <w:color w:val="000000" w:themeColor="text1"/>
          <w:sz w:val="24"/>
          <w:szCs w:val="24"/>
        </w:rPr>
      </w:pPr>
      <w:r w:rsidRPr="00ED75E9">
        <w:rPr>
          <w:rFonts w:ascii="Times New Roman" w:hAnsi="Times New Roman" w:cs="Times New Roman"/>
          <w:b/>
          <w:color w:val="000000" w:themeColor="text1"/>
          <w:sz w:val="24"/>
          <w:szCs w:val="24"/>
        </w:rPr>
        <w:lastRenderedPageBreak/>
        <w:t>1.0 Introduction</w:t>
      </w:r>
    </w:p>
    <w:p w14:paraId="4882BB3C"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Soil contamination by petroleum hydrocarbons is a major environmental problem with serious implications for ecosystem stability, agricultural productivity, and human health. Activities such as crude oil exploration, transportation, storage, and improper disposal of petroleum products have resulted in widespread hydrocarbon pollution of soils, particularly in developing countries where regulatory enforcement is often weak (Atlas &amp; Hazen, 2011). Hydrocarbon-contaminated soils are characterized by altered physicochemical properties, reduced nutrient availability, and impaired microbial activity, leading to long-term soil degradation and reduced crop yield (Das &amp; Chandran, 2011).</w:t>
      </w:r>
    </w:p>
    <w:p w14:paraId="5A55CCC7"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Conventional remediation methods, including excavation, soil washing, and chemical treatment, are often expensive, disruptive, and environmentally unsustainable. Consequently, bioremediation has emerged as a cost-effective and eco-friendly alternative that exploits the metabolic capabilities of microorganisms to degrade petroleum hydrocarbons into less toxic compounds (</w:t>
      </w:r>
      <w:proofErr w:type="spellStart"/>
      <w:r w:rsidRPr="00ED75E9">
        <w:rPr>
          <w:rFonts w:ascii="Times New Roman" w:hAnsi="Times New Roman" w:cs="Times New Roman"/>
          <w:color w:val="000000" w:themeColor="text1"/>
          <w:sz w:val="24"/>
          <w:szCs w:val="24"/>
        </w:rPr>
        <w:t>Margesin</w:t>
      </w:r>
      <w:proofErr w:type="spellEnd"/>
      <w:r w:rsidRPr="00ED75E9">
        <w:rPr>
          <w:rFonts w:ascii="Times New Roman" w:hAnsi="Times New Roman" w:cs="Times New Roman"/>
          <w:color w:val="000000" w:themeColor="text1"/>
          <w:sz w:val="24"/>
          <w:szCs w:val="24"/>
        </w:rPr>
        <w:t xml:space="preserve"> &amp; </w:t>
      </w:r>
      <w:proofErr w:type="spellStart"/>
      <w:r w:rsidRPr="00ED75E9">
        <w:rPr>
          <w:rFonts w:ascii="Times New Roman" w:hAnsi="Times New Roman" w:cs="Times New Roman"/>
          <w:color w:val="000000" w:themeColor="text1"/>
          <w:sz w:val="24"/>
          <w:szCs w:val="24"/>
        </w:rPr>
        <w:t>Schinner</w:t>
      </w:r>
      <w:proofErr w:type="spellEnd"/>
      <w:r w:rsidRPr="00ED75E9">
        <w:rPr>
          <w:rFonts w:ascii="Times New Roman" w:hAnsi="Times New Roman" w:cs="Times New Roman"/>
          <w:color w:val="000000" w:themeColor="text1"/>
          <w:sz w:val="24"/>
          <w:szCs w:val="24"/>
        </w:rPr>
        <w:t>, 2001). However, the effectiveness of microbial degradation is frequently limited by the low bioavailability of hydrophobic hydrocarbons in soil matrices.</w:t>
      </w:r>
    </w:p>
    <w:p w14:paraId="289DE249"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Biosurfactants—surface-active compounds produced by microorganisms—have been shown to enhance hydrocarbon bioavailability by reducing surface tension and emulsifying hydrophobic compounds (Mulligan, 2005). Among biosurfactant-producing microorganisms, halophilic and halotolerant bacteria are of particular interest due to their ability to survive and function under high salinity and environmental stress conditions commonly associated with oil-contaminated soils (Banat et al., 2014). These organisms not only tolerate harsh environments but also produce stable biosurfactants with high emulsification capacity.</w:t>
      </w:r>
    </w:p>
    <w:p w14:paraId="4BFEC4E3"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 xml:space="preserve">Despite increasing global interest in biosurfactant-assisted bioremediation, empirical data on the potential of halophilic bacteria isolated from hydrocarbon-contaminated soils in Nigeria remain limited. This study therefore investigates the biosurfactant-producing </w:t>
      </w:r>
      <w:r w:rsidRPr="00ED75E9">
        <w:rPr>
          <w:rFonts w:ascii="Times New Roman" w:hAnsi="Times New Roman" w:cs="Times New Roman"/>
          <w:color w:val="000000" w:themeColor="text1"/>
          <w:sz w:val="24"/>
          <w:szCs w:val="24"/>
        </w:rPr>
        <w:lastRenderedPageBreak/>
        <w:t>potential of halophilic bacterial isolates and evaluates the effectiveness of biosurfactant application in hydrocarbon degradation and soil productivity improvement.</w:t>
      </w:r>
    </w:p>
    <w:p w14:paraId="07D4256A"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Style w:val="Strong"/>
          <w:rFonts w:ascii="Times New Roman" w:hAnsi="Times New Roman" w:cs="Times New Roman"/>
          <w:bCs w:val="0"/>
          <w:color w:val="000000" w:themeColor="text1"/>
          <w:sz w:val="24"/>
          <w:szCs w:val="24"/>
        </w:rPr>
        <w:t>Aim and Objectives</w:t>
      </w:r>
    </w:p>
    <w:p w14:paraId="70AC0B07" w14:textId="77777777" w:rsidR="0082684E" w:rsidRPr="00ED75E9" w:rsidRDefault="0082684E" w:rsidP="003C1B12">
      <w:pPr>
        <w:pStyle w:val="NormalWeb"/>
        <w:spacing w:line="360" w:lineRule="auto"/>
        <w:jc w:val="both"/>
        <w:rPr>
          <w:color w:val="000000" w:themeColor="text1"/>
        </w:rPr>
      </w:pPr>
      <w:r w:rsidRPr="00ED75E9">
        <w:rPr>
          <w:color w:val="000000" w:themeColor="text1"/>
        </w:rPr>
        <w:t xml:space="preserve">The aim of this study was to </w:t>
      </w:r>
      <w:r w:rsidRPr="00ED75E9">
        <w:rPr>
          <w:rStyle w:val="Strong"/>
          <w:b w:val="0"/>
          <w:color w:val="000000" w:themeColor="text1"/>
        </w:rPr>
        <w:t>isolate, presumptively identify, and evaluate biosurfactant-producing halophilic bacteria from hydrocarbon-contaminated soils, and to assess the effectiveness of their biosurfactants in hydrocarbon degradation and soil productivity improvement</w:t>
      </w:r>
      <w:r w:rsidRPr="00ED75E9">
        <w:rPr>
          <w:color w:val="000000" w:themeColor="text1"/>
        </w:rPr>
        <w:t>.</w:t>
      </w:r>
    </w:p>
    <w:p w14:paraId="132FFC3D" w14:textId="77777777" w:rsidR="0082684E" w:rsidRPr="00ED75E9" w:rsidRDefault="0082684E" w:rsidP="003C1B12">
      <w:pPr>
        <w:pStyle w:val="NormalWeb"/>
        <w:spacing w:line="360" w:lineRule="auto"/>
        <w:jc w:val="both"/>
        <w:rPr>
          <w:color w:val="000000" w:themeColor="text1"/>
        </w:rPr>
      </w:pPr>
      <w:r w:rsidRPr="00ED75E9">
        <w:rPr>
          <w:rStyle w:val="Strong"/>
          <w:bCs w:val="0"/>
          <w:color w:val="000000" w:themeColor="text1"/>
        </w:rPr>
        <w:t>Specific Objectives</w:t>
      </w:r>
    </w:p>
    <w:p w14:paraId="32EC6AD5"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isolate and presumptively identify halophilic bacterial isolates</w:t>
      </w:r>
      <w:r w:rsidRPr="00ED75E9">
        <w:rPr>
          <w:color w:val="000000" w:themeColor="text1"/>
        </w:rPr>
        <w:t xml:space="preserve"> from hydrocarbon-contaminated soils.</w:t>
      </w:r>
    </w:p>
    <w:p w14:paraId="32CB2979"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determine the physicochemical characteristics</w:t>
      </w:r>
      <w:r w:rsidRPr="00ED75E9">
        <w:rPr>
          <w:color w:val="000000" w:themeColor="text1"/>
        </w:rPr>
        <w:t xml:space="preserve"> of soil samples collected from different contaminated sites and a control site.</w:t>
      </w:r>
    </w:p>
    <w:p w14:paraId="3702D45C"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enumerate halophilic bacterial populations</w:t>
      </w:r>
      <w:r w:rsidRPr="00ED75E9">
        <w:rPr>
          <w:color w:val="000000" w:themeColor="text1"/>
        </w:rPr>
        <w:t xml:space="preserve"> across the sampling sites.</w:t>
      </w:r>
    </w:p>
    <w:p w14:paraId="02999941"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screen halophilic bacterial isolates for biosurfactant production</w:t>
      </w:r>
      <w:r w:rsidRPr="00ED75E9">
        <w:rPr>
          <w:color w:val="000000" w:themeColor="text1"/>
        </w:rPr>
        <w:t xml:space="preserve"> using standard qualitative and quantitative assays.</w:t>
      </w:r>
    </w:p>
    <w:p w14:paraId="5998FF32"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evaluate the effect of biosurfactant application on total petroleum hydrocarbon (TPH) degradation</w:t>
      </w:r>
      <w:r w:rsidRPr="00ED75E9">
        <w:rPr>
          <w:color w:val="000000" w:themeColor="text1"/>
        </w:rPr>
        <w:t xml:space="preserve"> in contaminated soils.</w:t>
      </w:r>
    </w:p>
    <w:p w14:paraId="5D82FDED" w14:textId="77777777" w:rsidR="000C0631"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assess the impact of biosurfactant-treated soils on plant growth performance</w:t>
      </w:r>
      <w:r w:rsidRPr="00ED75E9">
        <w:rPr>
          <w:color w:val="000000" w:themeColor="text1"/>
        </w:rPr>
        <w:t>.</w:t>
      </w:r>
    </w:p>
    <w:p w14:paraId="05545900" w14:textId="77777777" w:rsidR="000C0631" w:rsidRDefault="000C0631" w:rsidP="003C1B12">
      <w:pPr>
        <w:pStyle w:val="NormalWeb"/>
        <w:spacing w:line="360" w:lineRule="auto"/>
        <w:jc w:val="both"/>
        <w:rPr>
          <w:rStyle w:val="Strong"/>
          <w:bCs w:val="0"/>
          <w:color w:val="000000" w:themeColor="text1"/>
        </w:rPr>
      </w:pPr>
      <w:r>
        <w:rPr>
          <w:rStyle w:val="Strong"/>
          <w:bCs w:val="0"/>
          <w:color w:val="000000" w:themeColor="text1"/>
        </w:rPr>
        <w:t xml:space="preserve">2.0 </w:t>
      </w:r>
      <w:commentRangeStart w:id="4"/>
      <w:r w:rsidR="00ED75E9" w:rsidRPr="000C0631">
        <w:rPr>
          <w:rStyle w:val="Strong"/>
          <w:bCs w:val="0"/>
          <w:color w:val="000000" w:themeColor="text1"/>
        </w:rPr>
        <w:t>METHODOLOGY</w:t>
      </w:r>
      <w:commentRangeEnd w:id="4"/>
      <w:r w:rsidR="005F4FA2">
        <w:rPr>
          <w:rStyle w:val="CommentReference"/>
          <w:rFonts w:asciiTheme="minorHAnsi" w:eastAsiaTheme="minorEastAsia" w:hAnsiTheme="minorHAnsi" w:cstheme="minorBidi"/>
        </w:rPr>
        <w:commentReference w:id="4"/>
      </w:r>
    </w:p>
    <w:p w14:paraId="0FE6F7B2" w14:textId="77777777" w:rsidR="00ED75E9" w:rsidRPr="000C0631" w:rsidRDefault="000C0631" w:rsidP="003C1B12">
      <w:pPr>
        <w:pStyle w:val="NormalWeb"/>
        <w:spacing w:line="360" w:lineRule="auto"/>
        <w:jc w:val="both"/>
        <w:rPr>
          <w:b/>
          <w:color w:val="000000" w:themeColor="text1"/>
        </w:rPr>
      </w:pPr>
      <w:r w:rsidRPr="000C0631">
        <w:rPr>
          <w:b/>
          <w:color w:val="000000" w:themeColor="text1"/>
        </w:rPr>
        <w:t>2</w:t>
      </w:r>
      <w:r w:rsidR="00ED75E9" w:rsidRPr="000C0631">
        <w:rPr>
          <w:b/>
          <w:color w:val="000000" w:themeColor="text1"/>
        </w:rPr>
        <w:t>.1 Study area and sampling design</w:t>
      </w:r>
    </w:p>
    <w:p w14:paraId="2AB91EF6" w14:textId="77777777" w:rsidR="000C0631" w:rsidRDefault="00ED75E9" w:rsidP="003C1B12">
      <w:pPr>
        <w:pStyle w:val="NormalWeb"/>
        <w:spacing w:line="360" w:lineRule="auto"/>
        <w:jc w:val="both"/>
        <w:rPr>
          <w:color w:val="000000" w:themeColor="text1"/>
        </w:rPr>
      </w:pPr>
      <w:r w:rsidRPr="00ED75E9">
        <w:rPr>
          <w:color w:val="000000" w:themeColor="text1"/>
        </w:rPr>
        <w:t xml:space="preserve">Soil samples were collected from four hydrocarbon-contaminated sites (Sites A–D) within </w:t>
      </w:r>
      <w:proofErr w:type="spellStart"/>
      <w:r w:rsidRPr="00ED75E9">
        <w:rPr>
          <w:color w:val="000000" w:themeColor="text1"/>
        </w:rPr>
        <w:t>Birnin</w:t>
      </w:r>
      <w:proofErr w:type="spellEnd"/>
      <w:r w:rsidRPr="00ED75E9">
        <w:rPr>
          <w:color w:val="000000" w:themeColor="text1"/>
        </w:rPr>
        <w:t xml:space="preserve"> </w:t>
      </w:r>
      <w:proofErr w:type="spellStart"/>
      <w:r w:rsidRPr="00ED75E9">
        <w:rPr>
          <w:color w:val="000000" w:themeColor="text1"/>
        </w:rPr>
        <w:t>Kebbi</w:t>
      </w:r>
      <w:proofErr w:type="spellEnd"/>
      <w:r w:rsidRPr="00ED75E9">
        <w:rPr>
          <w:color w:val="000000" w:themeColor="text1"/>
        </w:rPr>
        <w:t xml:space="preserve">, Northwestern </w:t>
      </w:r>
      <w:commentRangeStart w:id="5"/>
      <w:r w:rsidRPr="00ED75E9">
        <w:rPr>
          <w:color w:val="000000" w:themeColor="text1"/>
        </w:rPr>
        <w:t>Nigeria</w:t>
      </w:r>
      <w:commentRangeEnd w:id="5"/>
      <w:r w:rsidR="005F4FA2">
        <w:rPr>
          <w:rStyle w:val="CommentReference"/>
          <w:rFonts w:asciiTheme="minorHAnsi" w:eastAsiaTheme="minorEastAsia" w:hAnsiTheme="minorHAnsi" w:cstheme="minorBidi"/>
        </w:rPr>
        <w:commentReference w:id="5"/>
      </w:r>
      <w:r w:rsidRPr="00ED75E9">
        <w:rPr>
          <w:color w:val="000000" w:themeColor="text1"/>
        </w:rPr>
        <w:t xml:space="preserve">, and from one nearby uncontaminated control site. At each contaminated site </w:t>
      </w:r>
      <w:commentRangeStart w:id="6"/>
      <w:r w:rsidRPr="00ED75E9">
        <w:rPr>
          <w:color w:val="000000" w:themeColor="text1"/>
        </w:rPr>
        <w:t>we</w:t>
      </w:r>
      <w:commentRangeEnd w:id="6"/>
      <w:r w:rsidR="005F4FA2">
        <w:rPr>
          <w:rStyle w:val="CommentReference"/>
          <w:rFonts w:asciiTheme="minorHAnsi" w:eastAsiaTheme="minorEastAsia" w:hAnsiTheme="minorHAnsi" w:cstheme="minorBidi"/>
        </w:rPr>
        <w:commentReference w:id="6"/>
      </w:r>
      <w:r w:rsidRPr="00ED75E9">
        <w:rPr>
          <w:color w:val="000000" w:themeColor="text1"/>
        </w:rPr>
        <w:t xml:space="preserve"> collected composite surface soil samples (</w:t>
      </w:r>
      <w:commentRangeStart w:id="7"/>
      <w:r w:rsidRPr="00ED75E9">
        <w:rPr>
          <w:color w:val="000000" w:themeColor="text1"/>
        </w:rPr>
        <w:t>0</w:t>
      </w:r>
      <w:commentRangeEnd w:id="7"/>
      <w:r w:rsidR="005F4FA2">
        <w:rPr>
          <w:rStyle w:val="CommentReference"/>
          <w:rFonts w:asciiTheme="minorHAnsi" w:eastAsiaTheme="minorEastAsia" w:hAnsiTheme="minorHAnsi" w:cstheme="minorBidi"/>
        </w:rPr>
        <w:commentReference w:id="7"/>
      </w:r>
      <w:r w:rsidRPr="00ED75E9">
        <w:rPr>
          <w:color w:val="000000" w:themeColor="text1"/>
        </w:rPr>
        <w:t xml:space="preserve">–15 cm) by combining five sub-samples taken within a 10 × 10 m plot to capture within-site heterogeneity (Adetutu, Ball, Osborn, &amp; Mazy, 2015). Control samples were collected at least 1 km from visible hydrocarbon contamination. All samples were placed in sterile </w:t>
      </w:r>
      <w:r w:rsidRPr="00ED75E9">
        <w:rPr>
          <w:color w:val="000000" w:themeColor="text1"/>
        </w:rPr>
        <w:lastRenderedPageBreak/>
        <w:t xml:space="preserve">polyethylene </w:t>
      </w:r>
      <w:commentRangeStart w:id="8"/>
      <w:r w:rsidRPr="00ED75E9">
        <w:rPr>
          <w:color w:val="000000" w:themeColor="text1"/>
        </w:rPr>
        <w:t>bags</w:t>
      </w:r>
      <w:commentRangeEnd w:id="8"/>
      <w:r w:rsidR="005F4FA2">
        <w:rPr>
          <w:rStyle w:val="CommentReference"/>
          <w:rFonts w:asciiTheme="minorHAnsi" w:eastAsiaTheme="minorEastAsia" w:hAnsiTheme="minorHAnsi" w:cstheme="minorBidi"/>
        </w:rPr>
        <w:commentReference w:id="8"/>
      </w:r>
      <w:r w:rsidRPr="00ED75E9">
        <w:rPr>
          <w:color w:val="000000" w:themeColor="text1"/>
        </w:rPr>
        <w:t xml:space="preserve">, transported on ice </w:t>
      </w:r>
      <w:commentRangeStart w:id="9"/>
      <w:r w:rsidRPr="00ED75E9">
        <w:rPr>
          <w:color w:val="000000" w:themeColor="text1"/>
        </w:rPr>
        <w:t>to</w:t>
      </w:r>
      <w:commentRangeEnd w:id="9"/>
      <w:r w:rsidR="00A27D37">
        <w:rPr>
          <w:rStyle w:val="CommentReference"/>
          <w:rFonts w:asciiTheme="minorHAnsi" w:eastAsiaTheme="minorEastAsia" w:hAnsiTheme="minorHAnsi" w:cstheme="minorBidi"/>
        </w:rPr>
        <w:commentReference w:id="9"/>
      </w:r>
      <w:r w:rsidRPr="00ED75E9">
        <w:rPr>
          <w:color w:val="000000" w:themeColor="text1"/>
        </w:rPr>
        <w:t xml:space="preserve"> the laboratory, and processed within 24 hours (</w:t>
      </w:r>
      <w:proofErr w:type="spellStart"/>
      <w:r w:rsidRPr="00ED75E9">
        <w:rPr>
          <w:color w:val="000000" w:themeColor="text1"/>
        </w:rPr>
        <w:t>Urum</w:t>
      </w:r>
      <w:proofErr w:type="spellEnd"/>
      <w:r w:rsidRPr="00ED75E9">
        <w:rPr>
          <w:color w:val="000000" w:themeColor="text1"/>
        </w:rPr>
        <w:t xml:space="preserve">, </w:t>
      </w:r>
      <w:proofErr w:type="spellStart"/>
      <w:r w:rsidRPr="00ED75E9">
        <w:rPr>
          <w:color w:val="000000" w:themeColor="text1"/>
        </w:rPr>
        <w:t>Pekdemir</w:t>
      </w:r>
      <w:proofErr w:type="spellEnd"/>
      <w:r w:rsidRPr="00ED75E9">
        <w:rPr>
          <w:color w:val="000000" w:themeColor="text1"/>
        </w:rPr>
        <w:t xml:space="preserve">, &amp; </w:t>
      </w:r>
      <w:proofErr w:type="spellStart"/>
      <w:r w:rsidRPr="00ED75E9">
        <w:rPr>
          <w:color w:val="000000" w:themeColor="text1"/>
        </w:rPr>
        <w:t>Çopur</w:t>
      </w:r>
      <w:proofErr w:type="spellEnd"/>
      <w:r w:rsidRPr="00ED75E9">
        <w:rPr>
          <w:color w:val="000000" w:themeColor="text1"/>
        </w:rPr>
        <w:t>, 2004).</w:t>
      </w:r>
    </w:p>
    <w:p w14:paraId="1AE59F28" w14:textId="77777777" w:rsidR="000C0631" w:rsidRPr="000C0631" w:rsidRDefault="000C0631" w:rsidP="003C1B12">
      <w:pPr>
        <w:pStyle w:val="NormalWeb"/>
        <w:spacing w:line="360" w:lineRule="auto"/>
        <w:jc w:val="both"/>
        <w:rPr>
          <w:b/>
          <w:color w:val="000000" w:themeColor="text1"/>
        </w:rPr>
      </w:pPr>
      <w:r w:rsidRPr="000C0631">
        <w:rPr>
          <w:b/>
          <w:color w:val="000000" w:themeColor="text1"/>
        </w:rPr>
        <w:t xml:space="preserve">2.2 Isolation and enumeration of halophilic bacteria </w:t>
      </w:r>
    </w:p>
    <w:p w14:paraId="7617888F" w14:textId="77777777" w:rsidR="007C225D" w:rsidRDefault="000C0631" w:rsidP="003C1B12">
      <w:pPr>
        <w:pStyle w:val="NormalWeb"/>
        <w:spacing w:line="360" w:lineRule="auto"/>
        <w:jc w:val="both"/>
        <w:rPr>
          <w:color w:val="000000" w:themeColor="text1"/>
        </w:rPr>
      </w:pPr>
      <w:r w:rsidRPr="00ED75E9">
        <w:rPr>
          <w:color w:val="000000" w:themeColor="text1"/>
        </w:rPr>
        <w:t xml:space="preserve">Serial ten-fold dilutions of 10 g soil in 90 mL sterile saline (0.85% NaCl) were prepared. </w:t>
      </w:r>
      <w:commentRangeStart w:id="10"/>
      <w:r w:rsidRPr="00ED75E9">
        <w:rPr>
          <w:color w:val="000000" w:themeColor="text1"/>
        </w:rPr>
        <w:t>Appropriate</w:t>
      </w:r>
      <w:commentRangeEnd w:id="10"/>
      <w:r w:rsidR="005F4FA2">
        <w:rPr>
          <w:rStyle w:val="CommentReference"/>
          <w:rFonts w:asciiTheme="minorHAnsi" w:eastAsiaTheme="minorEastAsia" w:hAnsiTheme="minorHAnsi" w:cstheme="minorBidi"/>
        </w:rPr>
        <w:commentReference w:id="10"/>
      </w:r>
      <w:r w:rsidRPr="00ED75E9">
        <w:rPr>
          <w:color w:val="000000" w:themeColor="text1"/>
        </w:rPr>
        <w:t xml:space="preserve"> dilutions were plated onto marine agar / sal</w:t>
      </w:r>
      <w:r w:rsidR="007C225D">
        <w:rPr>
          <w:color w:val="000000" w:themeColor="text1"/>
        </w:rPr>
        <w:t xml:space="preserve">t-supplemented nutrient agar (5, 7 and </w:t>
      </w:r>
      <w:r w:rsidRPr="00ED75E9">
        <w:rPr>
          <w:color w:val="000000" w:themeColor="text1"/>
        </w:rPr>
        <w:t xml:space="preserve">10% NaCl) </w:t>
      </w:r>
      <w:commentRangeStart w:id="11"/>
      <w:r w:rsidRPr="00ED75E9">
        <w:rPr>
          <w:color w:val="000000" w:themeColor="text1"/>
        </w:rPr>
        <w:t xml:space="preserve">to select for </w:t>
      </w:r>
      <w:proofErr w:type="spellStart"/>
      <w:r w:rsidRPr="00ED75E9">
        <w:rPr>
          <w:color w:val="000000" w:themeColor="text1"/>
        </w:rPr>
        <w:t>halophilic</w:t>
      </w:r>
      <w:proofErr w:type="spellEnd"/>
      <w:r w:rsidRPr="00ED75E9">
        <w:rPr>
          <w:color w:val="000000" w:themeColor="text1"/>
        </w:rPr>
        <w:t>/</w:t>
      </w:r>
      <w:proofErr w:type="spellStart"/>
      <w:r w:rsidRPr="00ED75E9">
        <w:rPr>
          <w:color w:val="000000" w:themeColor="text1"/>
        </w:rPr>
        <w:t>halotolerant</w:t>
      </w:r>
      <w:proofErr w:type="spellEnd"/>
      <w:r w:rsidRPr="00ED75E9">
        <w:rPr>
          <w:color w:val="000000" w:themeColor="text1"/>
        </w:rPr>
        <w:t xml:space="preserve"> bacteria (</w:t>
      </w:r>
      <w:proofErr w:type="spellStart"/>
      <w:r w:rsidRPr="00ED75E9">
        <w:rPr>
          <w:color w:val="000000" w:themeColor="text1"/>
        </w:rPr>
        <w:t>Margesin</w:t>
      </w:r>
      <w:proofErr w:type="spellEnd"/>
      <w:r w:rsidRPr="00ED75E9">
        <w:rPr>
          <w:color w:val="000000" w:themeColor="text1"/>
        </w:rPr>
        <w:t xml:space="preserve"> &amp; </w:t>
      </w:r>
      <w:proofErr w:type="spellStart"/>
      <w:r w:rsidRPr="00ED75E9">
        <w:rPr>
          <w:color w:val="000000" w:themeColor="text1"/>
        </w:rPr>
        <w:t>Schinner</w:t>
      </w:r>
      <w:proofErr w:type="spellEnd"/>
      <w:r w:rsidRPr="00ED75E9">
        <w:rPr>
          <w:color w:val="000000" w:themeColor="text1"/>
        </w:rPr>
        <w:t xml:space="preserve">, </w:t>
      </w:r>
      <w:commentRangeEnd w:id="11"/>
      <w:r w:rsidR="005F4FA2">
        <w:rPr>
          <w:rStyle w:val="CommentReference"/>
          <w:rFonts w:asciiTheme="minorHAnsi" w:eastAsiaTheme="minorEastAsia" w:hAnsiTheme="minorHAnsi" w:cstheme="minorBidi"/>
        </w:rPr>
        <w:commentReference w:id="11"/>
      </w:r>
      <w:r w:rsidRPr="00ED75E9">
        <w:rPr>
          <w:color w:val="000000" w:themeColor="text1"/>
        </w:rPr>
        <w:t>2001). Plates were incubated at 30–37 °C for 48–72 h. Colony counts were recorded and reported as CFU/g (mean ± SD), and morphologically distinct colonies were selected for purification by repeated streaking.</w:t>
      </w:r>
    </w:p>
    <w:p w14:paraId="7FDEDDA4" w14:textId="77777777" w:rsidR="000C0631" w:rsidRPr="007C225D" w:rsidRDefault="007C225D" w:rsidP="003C1B12">
      <w:pPr>
        <w:pStyle w:val="NormalWeb"/>
        <w:spacing w:line="360" w:lineRule="auto"/>
        <w:jc w:val="both"/>
        <w:rPr>
          <w:b/>
          <w:color w:val="000000" w:themeColor="text1"/>
        </w:rPr>
      </w:pPr>
      <w:r>
        <w:rPr>
          <w:b/>
          <w:color w:val="000000" w:themeColor="text1"/>
        </w:rPr>
        <w:t>2.3</w:t>
      </w:r>
      <w:r w:rsidR="000C0631" w:rsidRPr="007C225D">
        <w:rPr>
          <w:b/>
          <w:color w:val="000000" w:themeColor="text1"/>
        </w:rPr>
        <w:t xml:space="preserve"> Pres</w:t>
      </w:r>
      <w:r w:rsidRPr="007C225D">
        <w:rPr>
          <w:b/>
          <w:color w:val="000000" w:themeColor="text1"/>
        </w:rPr>
        <w:t>umptive identification</w:t>
      </w:r>
    </w:p>
    <w:p w14:paraId="23E9DAFC" w14:textId="77777777" w:rsidR="000C0631" w:rsidRPr="00ED75E9" w:rsidRDefault="000C0631" w:rsidP="003C1B12">
      <w:pPr>
        <w:pStyle w:val="NormalWeb"/>
        <w:spacing w:line="360" w:lineRule="auto"/>
        <w:jc w:val="both"/>
        <w:rPr>
          <w:color w:val="000000" w:themeColor="text1"/>
        </w:rPr>
      </w:pPr>
      <w:r w:rsidRPr="00ED75E9">
        <w:rPr>
          <w:color w:val="000000" w:themeColor="text1"/>
        </w:rPr>
        <w:t>Isolates were characterized by:</w:t>
      </w:r>
    </w:p>
    <w:p w14:paraId="5D82B981"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 xml:space="preserve">Colony morphology (size, </w:t>
      </w:r>
      <w:proofErr w:type="spellStart"/>
      <w:r w:rsidRPr="00ED75E9">
        <w:rPr>
          <w:color w:val="000000" w:themeColor="text1"/>
        </w:rPr>
        <w:t>colour</w:t>
      </w:r>
      <w:proofErr w:type="spellEnd"/>
      <w:r w:rsidRPr="00ED75E9">
        <w:rPr>
          <w:color w:val="000000" w:themeColor="text1"/>
        </w:rPr>
        <w:t>, pigmentation)</w:t>
      </w:r>
    </w:p>
    <w:p w14:paraId="7B138066"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Gram staining and cell morphology (rod/coccus)</w:t>
      </w:r>
    </w:p>
    <w:p w14:paraId="3631B088"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Basic biochemical tests: catalase, oxidase, citrate utilization, indole, motility, and selected carbohydrate fermentation tests (Bergey’s Manual protocols) (Bergey &amp; Holt, 1994).</w:t>
      </w:r>
    </w:p>
    <w:p w14:paraId="2B4E2567" w14:textId="77777777" w:rsidR="007C225D" w:rsidRDefault="000C0631" w:rsidP="003C1B12">
      <w:pPr>
        <w:pStyle w:val="NormalWeb"/>
        <w:spacing w:line="360" w:lineRule="auto"/>
        <w:jc w:val="both"/>
        <w:rPr>
          <w:color w:val="000000" w:themeColor="text1"/>
        </w:rPr>
      </w:pPr>
      <w:r w:rsidRPr="00ED75E9">
        <w:rPr>
          <w:color w:val="000000" w:themeColor="text1"/>
        </w:rPr>
        <w:t xml:space="preserve">Using the combination of morphological and biochemical profiles, isolates were assigned a </w:t>
      </w:r>
      <w:r w:rsidRPr="00ED75E9">
        <w:rPr>
          <w:rStyle w:val="Strong"/>
          <w:b w:val="0"/>
          <w:color w:val="000000" w:themeColor="text1"/>
        </w:rPr>
        <w:t>presumptive genus-level identity</w:t>
      </w:r>
      <w:r w:rsidRPr="00ED75E9">
        <w:rPr>
          <w:color w:val="000000" w:themeColor="text1"/>
        </w:rPr>
        <w:t xml:space="preserve"> (e.g., </w:t>
      </w:r>
      <w:r w:rsidRPr="00ED75E9">
        <w:rPr>
          <w:rStyle w:val="Emphasis"/>
          <w:color w:val="000000" w:themeColor="text1"/>
        </w:rPr>
        <w:t>Bacillus</w:t>
      </w:r>
      <w:r w:rsidRPr="00ED75E9">
        <w:rPr>
          <w:color w:val="000000" w:themeColor="text1"/>
        </w:rPr>
        <w:t xml:space="preserve"> sp., </w:t>
      </w:r>
      <w:proofErr w:type="spellStart"/>
      <w:r w:rsidRPr="00ED75E9">
        <w:rPr>
          <w:rStyle w:val="Emphasis"/>
          <w:color w:val="000000" w:themeColor="text1"/>
        </w:rPr>
        <w:t>Halomonas</w:t>
      </w:r>
      <w:proofErr w:type="spellEnd"/>
      <w:r w:rsidRPr="00ED75E9">
        <w:rPr>
          <w:color w:val="000000" w:themeColor="text1"/>
        </w:rPr>
        <w:t xml:space="preserve"> sp., </w:t>
      </w:r>
      <w:r w:rsidRPr="00ED75E9">
        <w:rPr>
          <w:rStyle w:val="Emphasis"/>
          <w:color w:val="000000" w:themeColor="text1"/>
        </w:rPr>
        <w:t>Pseudomonas</w:t>
      </w:r>
      <w:r w:rsidR="007C225D">
        <w:rPr>
          <w:color w:val="000000" w:themeColor="text1"/>
        </w:rPr>
        <w:t xml:space="preserve"> sp.)</w:t>
      </w:r>
    </w:p>
    <w:p w14:paraId="6FFDABA5"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2.4</w:t>
      </w:r>
      <w:r w:rsidR="00ED75E9" w:rsidRPr="007C225D">
        <w:rPr>
          <w:b/>
          <w:color w:val="000000" w:themeColor="text1"/>
        </w:rPr>
        <w:t xml:space="preserve"> Ph</w:t>
      </w:r>
      <w:r w:rsidR="000C0631" w:rsidRPr="007C225D">
        <w:rPr>
          <w:b/>
          <w:color w:val="000000" w:themeColor="text1"/>
        </w:rPr>
        <w:t xml:space="preserve">ysicochemical analyses </w:t>
      </w:r>
    </w:p>
    <w:p w14:paraId="71AEC0DD" w14:textId="77777777" w:rsidR="00ED75E9" w:rsidRPr="00ED75E9" w:rsidRDefault="00ED75E9" w:rsidP="003C1B12">
      <w:pPr>
        <w:pStyle w:val="NormalWeb"/>
        <w:spacing w:line="360" w:lineRule="auto"/>
        <w:jc w:val="both"/>
        <w:rPr>
          <w:color w:val="000000" w:themeColor="text1"/>
        </w:rPr>
      </w:pPr>
      <w:r w:rsidRPr="00ED75E9">
        <w:rPr>
          <w:color w:val="000000" w:themeColor="text1"/>
        </w:rPr>
        <w:t>Each soil sample (triplicate subsamples per site) was air-dried, sieved (2 mm), and analyzed as follows:</w:t>
      </w:r>
    </w:p>
    <w:p w14:paraId="5829DC17" w14:textId="77777777" w:rsidR="00ED75E9" w:rsidRPr="00ED75E9" w:rsidRDefault="00ED75E9" w:rsidP="003C1B12">
      <w:pPr>
        <w:pStyle w:val="NormalWeb"/>
        <w:numPr>
          <w:ilvl w:val="0"/>
          <w:numId w:val="11"/>
        </w:numPr>
        <w:spacing w:line="360" w:lineRule="auto"/>
        <w:jc w:val="both"/>
        <w:rPr>
          <w:color w:val="000000" w:themeColor="text1"/>
        </w:rPr>
      </w:pPr>
      <w:proofErr w:type="gramStart"/>
      <w:r w:rsidRPr="00ED75E9">
        <w:rPr>
          <w:rStyle w:val="Strong"/>
          <w:b w:val="0"/>
          <w:color w:val="000000" w:themeColor="text1"/>
        </w:rPr>
        <w:t>pH</w:t>
      </w:r>
      <w:proofErr w:type="gramEnd"/>
      <w:r w:rsidRPr="00ED75E9">
        <w:rPr>
          <w:rStyle w:val="Strong"/>
          <w:b w:val="0"/>
          <w:color w:val="000000" w:themeColor="text1"/>
        </w:rPr>
        <w:t>:</w:t>
      </w:r>
      <w:r w:rsidRPr="00ED75E9">
        <w:rPr>
          <w:color w:val="000000" w:themeColor="text1"/>
        </w:rPr>
        <w:t xml:space="preserve"> measured in a 1:2.5 </w:t>
      </w:r>
      <w:proofErr w:type="spellStart"/>
      <w:r w:rsidRPr="00ED75E9">
        <w:rPr>
          <w:color w:val="000000" w:themeColor="text1"/>
        </w:rPr>
        <w:t>soil:water</w:t>
      </w:r>
      <w:proofErr w:type="spellEnd"/>
      <w:r w:rsidRPr="00ED75E9">
        <w:rPr>
          <w:color w:val="000000" w:themeColor="text1"/>
        </w:rPr>
        <w:t xml:space="preserve"> suspension using a calibrated pH meter (ISO method) (Das &amp; Chandran, 2011).</w:t>
      </w:r>
    </w:p>
    <w:p w14:paraId="58ED374B"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lastRenderedPageBreak/>
        <w:t>Organic matter:</w:t>
      </w:r>
      <w:r w:rsidRPr="00ED75E9">
        <w:rPr>
          <w:color w:val="000000" w:themeColor="text1"/>
        </w:rPr>
        <w:t xml:space="preserve"> determined by the Walkley–Black wet oxidation method and reported as percent organic matter (Walkley &amp; Black, as cited in </w:t>
      </w:r>
      <w:proofErr w:type="spellStart"/>
      <w:r w:rsidRPr="00ED75E9">
        <w:rPr>
          <w:color w:val="000000" w:themeColor="text1"/>
        </w:rPr>
        <w:t>Margesin</w:t>
      </w:r>
      <w:proofErr w:type="spellEnd"/>
      <w:r w:rsidRPr="00ED75E9">
        <w:rPr>
          <w:color w:val="000000" w:themeColor="text1"/>
        </w:rPr>
        <w:t xml:space="preserve"> &amp; </w:t>
      </w:r>
      <w:proofErr w:type="spellStart"/>
      <w:r w:rsidRPr="00ED75E9">
        <w:rPr>
          <w:color w:val="000000" w:themeColor="text1"/>
        </w:rPr>
        <w:t>Schinner</w:t>
      </w:r>
      <w:proofErr w:type="spellEnd"/>
      <w:r w:rsidRPr="00ED75E9">
        <w:rPr>
          <w:color w:val="000000" w:themeColor="text1"/>
        </w:rPr>
        <w:t>, 2001).</w:t>
      </w:r>
    </w:p>
    <w:p w14:paraId="1F6F2964"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Electrical conductivity (EC):</w:t>
      </w:r>
      <w:r w:rsidRPr="00ED75E9">
        <w:rPr>
          <w:color w:val="000000" w:themeColor="text1"/>
        </w:rPr>
        <w:t xml:space="preserve"> measured in a 1:5 </w:t>
      </w:r>
      <w:proofErr w:type="spellStart"/>
      <w:r w:rsidRPr="00ED75E9">
        <w:rPr>
          <w:color w:val="000000" w:themeColor="text1"/>
        </w:rPr>
        <w:t>soil</w:t>
      </w:r>
      <w:proofErr w:type="gramStart"/>
      <w:r w:rsidRPr="00ED75E9">
        <w:rPr>
          <w:color w:val="000000" w:themeColor="text1"/>
        </w:rPr>
        <w:t>:water</w:t>
      </w:r>
      <w:proofErr w:type="spellEnd"/>
      <w:proofErr w:type="gramEnd"/>
      <w:r w:rsidRPr="00ED75E9">
        <w:rPr>
          <w:color w:val="000000" w:themeColor="text1"/>
        </w:rPr>
        <w:t xml:space="preserve"> extract using a conductivity meter (</w:t>
      </w:r>
      <w:proofErr w:type="spellStart"/>
      <w:r w:rsidRPr="00ED75E9">
        <w:rPr>
          <w:color w:val="000000" w:themeColor="text1"/>
        </w:rPr>
        <w:t>dS</w:t>
      </w:r>
      <w:proofErr w:type="spellEnd"/>
      <w:r w:rsidRPr="00ED75E9">
        <w:rPr>
          <w:color w:val="000000" w:themeColor="text1"/>
        </w:rPr>
        <w:t>/m).</w:t>
      </w:r>
    </w:p>
    <w:p w14:paraId="06939F73" w14:textId="77777777" w:rsidR="007C225D"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Total petroleum hydrocarbons (TPH):</w:t>
      </w:r>
      <w:r w:rsidRPr="00ED75E9">
        <w:rPr>
          <w:color w:val="000000" w:themeColor="text1"/>
        </w:rPr>
        <w:t xml:space="preserve"> extracted with dichloromethane/hexane using Soxhlet or ultrasonic extraction; TPH quantified gravimetrically and by gas chromatography–flame ionization detection (GC-FID) for fingerprinting where required (</w:t>
      </w:r>
      <w:proofErr w:type="spellStart"/>
      <w:r w:rsidRPr="00ED75E9">
        <w:rPr>
          <w:color w:val="000000" w:themeColor="text1"/>
        </w:rPr>
        <w:t>Urum</w:t>
      </w:r>
      <w:proofErr w:type="spellEnd"/>
      <w:r w:rsidRPr="00ED75E9">
        <w:rPr>
          <w:color w:val="000000" w:themeColor="text1"/>
        </w:rPr>
        <w:t xml:space="preserve"> et al., 2004; Atlas &amp; Hazen, 2011). All measurements reported as mean ± SD of three replicates.</w:t>
      </w:r>
    </w:p>
    <w:p w14:paraId="6858A224"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.5 Biosurfactant</w:t>
      </w:r>
      <w:r w:rsidRPr="007C225D">
        <w:rPr>
          <w:b/>
          <w:color w:val="000000" w:themeColor="text1"/>
        </w:rPr>
        <w:t xml:space="preserve"> screening </w:t>
      </w:r>
    </w:p>
    <w:p w14:paraId="2B513517" w14:textId="77777777" w:rsidR="00ED75E9" w:rsidRPr="00ED75E9" w:rsidRDefault="00ED75E9" w:rsidP="003C1B12">
      <w:pPr>
        <w:pStyle w:val="NormalWeb"/>
        <w:spacing w:line="360" w:lineRule="auto"/>
        <w:jc w:val="both"/>
        <w:rPr>
          <w:color w:val="000000" w:themeColor="text1"/>
        </w:rPr>
      </w:pPr>
      <w:r w:rsidRPr="00ED75E9">
        <w:rPr>
          <w:color w:val="000000" w:themeColor="text1"/>
        </w:rPr>
        <w:t>Purified isolates were screened for biosurfactant production using standard qualitative and quantitative assays:</w:t>
      </w:r>
    </w:p>
    <w:p w14:paraId="656E906A"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Hemolysis test:</w:t>
      </w:r>
      <w:r w:rsidRPr="00ED75E9">
        <w:rPr>
          <w:color w:val="000000" w:themeColor="text1"/>
        </w:rPr>
        <w:t xml:space="preserve"> isolates streaked on blood agar; clear zones (β-hemolysis) indicate surfactant production (Banat et al., 2010).</w:t>
      </w:r>
    </w:p>
    <w:p w14:paraId="5DA72346"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Drop-collapse test:</w:t>
      </w:r>
      <w:r w:rsidRPr="00ED75E9">
        <w:rPr>
          <w:color w:val="000000" w:themeColor="text1"/>
        </w:rPr>
        <w:t xml:space="preserve"> 2 µL of cell-free culture supernatant on parafilm; collapse indicates surfactant presence (</w:t>
      </w:r>
      <w:proofErr w:type="spellStart"/>
      <w:r w:rsidRPr="00ED75E9">
        <w:rPr>
          <w:color w:val="000000" w:themeColor="text1"/>
        </w:rPr>
        <w:t>Cameotra</w:t>
      </w:r>
      <w:proofErr w:type="spellEnd"/>
      <w:r w:rsidRPr="00ED75E9">
        <w:rPr>
          <w:color w:val="000000" w:themeColor="text1"/>
        </w:rPr>
        <w:t xml:space="preserve"> &amp; </w:t>
      </w:r>
      <w:proofErr w:type="spellStart"/>
      <w:r w:rsidRPr="00ED75E9">
        <w:rPr>
          <w:color w:val="000000" w:themeColor="text1"/>
        </w:rPr>
        <w:t>Bollag</w:t>
      </w:r>
      <w:proofErr w:type="spellEnd"/>
      <w:r w:rsidRPr="00ED75E9">
        <w:rPr>
          <w:color w:val="000000" w:themeColor="text1"/>
        </w:rPr>
        <w:t>, 2003).</w:t>
      </w:r>
    </w:p>
    <w:p w14:paraId="70011C6D"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Oil displacement test:</w:t>
      </w:r>
      <w:r w:rsidRPr="00ED75E9">
        <w:rPr>
          <w:color w:val="000000" w:themeColor="text1"/>
        </w:rPr>
        <w:t xml:space="preserve"> 20 µL of culture supernatant placed on an oil-water surface; diameter of clearing measured (cm) (Mulligan, 2005).</w:t>
      </w:r>
    </w:p>
    <w:p w14:paraId="75AC864B"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Emulsification index (E24):</w:t>
      </w:r>
      <w:r w:rsidRPr="00ED75E9">
        <w:rPr>
          <w:color w:val="000000" w:themeColor="text1"/>
        </w:rPr>
        <w:t xml:space="preserve"> equal volumes of crude oil and culture supernatant vortexed 2 min; height of emulsion layer measured after 24 h and expressed as % (E24) (</w:t>
      </w:r>
      <w:proofErr w:type="spellStart"/>
      <w:r w:rsidRPr="00ED75E9">
        <w:rPr>
          <w:color w:val="000000" w:themeColor="text1"/>
        </w:rPr>
        <w:t>Pacwa-Płociniczak</w:t>
      </w:r>
      <w:proofErr w:type="spellEnd"/>
      <w:r w:rsidRPr="00ED75E9">
        <w:rPr>
          <w:color w:val="000000" w:themeColor="text1"/>
        </w:rPr>
        <w:t xml:space="preserve"> et al., 2011).</w:t>
      </w:r>
    </w:p>
    <w:p w14:paraId="76A8DF75" w14:textId="77777777" w:rsidR="007C225D" w:rsidRDefault="00ED75E9" w:rsidP="003C1B12">
      <w:pPr>
        <w:pStyle w:val="NormalWeb"/>
        <w:spacing w:line="360" w:lineRule="auto"/>
        <w:jc w:val="both"/>
        <w:rPr>
          <w:color w:val="000000" w:themeColor="text1"/>
        </w:rPr>
      </w:pPr>
      <w:r w:rsidRPr="00ED75E9">
        <w:rPr>
          <w:color w:val="000000" w:themeColor="text1"/>
        </w:rPr>
        <w:t xml:space="preserve">Assays were performed in triplicate and mean </w:t>
      </w:r>
      <w:commentRangeStart w:id="12"/>
      <w:r w:rsidRPr="00ED75E9">
        <w:rPr>
          <w:color w:val="000000" w:themeColor="text1"/>
        </w:rPr>
        <w:t>values</w:t>
      </w:r>
      <w:commentRangeEnd w:id="12"/>
      <w:r w:rsidR="005F4FA2">
        <w:rPr>
          <w:rStyle w:val="CommentReference"/>
          <w:rFonts w:asciiTheme="minorHAnsi" w:eastAsiaTheme="minorEastAsia" w:hAnsiTheme="minorHAnsi" w:cstheme="minorBidi"/>
        </w:rPr>
        <w:commentReference w:id="12"/>
      </w:r>
      <w:r w:rsidRPr="00ED75E9">
        <w:rPr>
          <w:color w:val="000000" w:themeColor="text1"/>
        </w:rPr>
        <w:t xml:space="preserve"> </w:t>
      </w:r>
    </w:p>
    <w:p w14:paraId="47918137"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.6 Biosurfactant production and extraction</w:t>
      </w:r>
    </w:p>
    <w:p w14:paraId="3417029B" w14:textId="77777777" w:rsidR="007C225D" w:rsidRDefault="00ED75E9" w:rsidP="003C1B12">
      <w:pPr>
        <w:pStyle w:val="NormalWeb"/>
        <w:spacing w:line="360" w:lineRule="auto"/>
        <w:jc w:val="both"/>
        <w:rPr>
          <w:color w:val="000000" w:themeColor="text1"/>
        </w:rPr>
      </w:pPr>
      <w:r w:rsidRPr="00ED75E9">
        <w:rPr>
          <w:color w:val="000000" w:themeColor="text1"/>
        </w:rPr>
        <w:t>High-performing isolates were grown in mineral salts medium supplemented with ap</w:t>
      </w:r>
      <w:r w:rsidR="007C225D">
        <w:rPr>
          <w:color w:val="000000" w:themeColor="text1"/>
        </w:rPr>
        <w:t xml:space="preserve">propriate carbon sources (1–2% glucose and </w:t>
      </w:r>
      <w:r w:rsidRPr="00ED75E9">
        <w:rPr>
          <w:color w:val="000000" w:themeColor="text1"/>
        </w:rPr>
        <w:t xml:space="preserve">vegetable oil) and 5% NaCl. Cultures incubated at 30 °C with shaking (150 rpm) for 5–7 days. Cell-free supernatants were </w:t>
      </w:r>
      <w:r w:rsidRPr="00ED75E9">
        <w:rPr>
          <w:color w:val="000000" w:themeColor="text1"/>
        </w:rPr>
        <w:lastRenderedPageBreak/>
        <w:t xml:space="preserve">obtained by centrifugation (8,000 × g, 15 min), acidified to pH 2 with HCl to precipitate biosurfactants, left overnight at 4 °C, and recovered by centrifugation. Crude biosurfactant was washed with cold distilled water, neutralized, and dried (Banat et al., 2010; </w:t>
      </w:r>
      <w:proofErr w:type="spellStart"/>
      <w:r w:rsidRPr="00ED75E9">
        <w:rPr>
          <w:color w:val="000000" w:themeColor="text1"/>
        </w:rPr>
        <w:t>Pacwa-Płociniczak</w:t>
      </w:r>
      <w:proofErr w:type="spellEnd"/>
      <w:r w:rsidRPr="00ED75E9">
        <w:rPr>
          <w:color w:val="000000" w:themeColor="text1"/>
        </w:rPr>
        <w:t xml:space="preserve"> et al., 2011).</w:t>
      </w:r>
    </w:p>
    <w:p w14:paraId="71CBD62A"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.7 Soil microcosm remed</w:t>
      </w:r>
      <w:r w:rsidRPr="007C225D">
        <w:rPr>
          <w:b/>
          <w:color w:val="000000" w:themeColor="text1"/>
        </w:rPr>
        <w:t>iation assay</w:t>
      </w:r>
    </w:p>
    <w:p w14:paraId="33E3EBA4" w14:textId="77777777" w:rsidR="00ED75E9" w:rsidRPr="00ED75E9" w:rsidRDefault="00ED75E9" w:rsidP="003C1B12">
      <w:pPr>
        <w:pStyle w:val="NormalWeb"/>
        <w:spacing w:line="360" w:lineRule="auto"/>
        <w:jc w:val="both"/>
        <w:rPr>
          <w:color w:val="000000" w:themeColor="text1"/>
        </w:rPr>
      </w:pPr>
      <w:r w:rsidRPr="00ED75E9">
        <w:rPr>
          <w:color w:val="000000" w:themeColor="text1"/>
        </w:rPr>
        <w:t>Contaminated soil (from a pooled composite of the four sites or per-site microcosms as reported) was placed into sterile glass jars (1 kg per jar). Treatments (in triplicate) comprised:</w:t>
      </w:r>
    </w:p>
    <w:p w14:paraId="49D3B916" w14:textId="77777777" w:rsidR="00CA5DD0" w:rsidRDefault="00CA5DD0" w:rsidP="003C1B12">
      <w:pPr>
        <w:pStyle w:val="NormalWeb"/>
        <w:spacing w:line="360" w:lineRule="auto"/>
        <w:jc w:val="both"/>
        <w:rPr>
          <w:color w:val="000000" w:themeColor="text1"/>
        </w:rPr>
      </w:pPr>
      <w:r>
        <w:t xml:space="preserve">Crude biosurfactants produced by selected halophilic bacterial isolates were applied to hydrocarbon-contaminated soils at three concentration levels: low (0.5% w/w), moderate (1.5% w/w), and high (3.0% w/w) for </w:t>
      </w:r>
      <w:r>
        <w:rPr>
          <w:rStyle w:val="Strong"/>
          <w:b w:val="0"/>
          <w:color w:val="000000" w:themeColor="text1"/>
        </w:rPr>
        <w:t xml:space="preserve">control, </w:t>
      </w:r>
      <w:r w:rsidRPr="00ED75E9">
        <w:rPr>
          <w:color w:val="000000" w:themeColor="text1"/>
        </w:rPr>
        <w:t>no treatment (natural attenuation).</w:t>
      </w:r>
    </w:p>
    <w:p w14:paraId="5A7057E8" w14:textId="77777777" w:rsidR="00ED75E9" w:rsidRPr="00ED75E9" w:rsidRDefault="00CA5DD0" w:rsidP="003C1B12">
      <w:pPr>
        <w:pStyle w:val="NormalWeb"/>
        <w:spacing w:line="360" w:lineRule="auto"/>
        <w:jc w:val="both"/>
        <w:rPr>
          <w:color w:val="000000" w:themeColor="text1"/>
        </w:rPr>
      </w:pPr>
      <w:r>
        <w:t xml:space="preserve">These concentrations were selected based on ranges commonly reported in biosurfactant-assisted soil bioremediation studies (Mulligan, 2005; </w:t>
      </w:r>
      <w:proofErr w:type="spellStart"/>
      <w:r>
        <w:t>Pacwa-Płociniczak</w:t>
      </w:r>
      <w:proofErr w:type="spellEnd"/>
      <w:r>
        <w:t xml:space="preserve"> et al., 2011). Treated soils were incubated under controlled laboratory conditions for 30 days prior to analysis.</w:t>
      </w:r>
    </w:p>
    <w:p w14:paraId="22E95419" w14:textId="77777777" w:rsidR="007C225D" w:rsidRDefault="00ED75E9" w:rsidP="003C1B12">
      <w:pPr>
        <w:pStyle w:val="NormalWeb"/>
        <w:spacing w:line="360" w:lineRule="auto"/>
        <w:jc w:val="both"/>
        <w:rPr>
          <w:color w:val="000000" w:themeColor="text1"/>
        </w:rPr>
      </w:pPr>
      <w:r w:rsidRPr="00ED75E9">
        <w:rPr>
          <w:color w:val="000000" w:themeColor="text1"/>
        </w:rPr>
        <w:t>Soils were mixed thoroughly, moisture adjusted to 60% water holding capacity, and incubated at 28–30 °C for 30 days. TPH concentrations were measured at Day 0 and Day 30 using GC-FID or gravimetric extraction; percent reduction calculated (</w:t>
      </w:r>
      <w:proofErr w:type="spellStart"/>
      <w:r w:rsidRPr="00ED75E9">
        <w:rPr>
          <w:color w:val="000000" w:themeColor="text1"/>
        </w:rPr>
        <w:t>Urum</w:t>
      </w:r>
      <w:proofErr w:type="spellEnd"/>
      <w:r w:rsidRPr="00ED75E9">
        <w:rPr>
          <w:color w:val="000000" w:themeColor="text1"/>
        </w:rPr>
        <w:t xml:space="preserve"> et al., 2004; Mulligan, 2005). Statistical differences among treatments were assessed by one-way ANOVA with post-hoc Tukey test (α = 0.05).</w:t>
      </w:r>
    </w:p>
    <w:p w14:paraId="6C4BFD60"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.8 Plant growth (phytotoxicity / rec</w:t>
      </w:r>
      <w:r w:rsidRPr="007C225D">
        <w:rPr>
          <w:b/>
          <w:color w:val="000000" w:themeColor="text1"/>
        </w:rPr>
        <w:t>overy) assay</w:t>
      </w:r>
    </w:p>
    <w:p w14:paraId="3A4431DA" w14:textId="77777777" w:rsidR="007C225D" w:rsidRDefault="00ED75E9" w:rsidP="003C1B12">
      <w:pPr>
        <w:pStyle w:val="NormalWeb"/>
        <w:spacing w:line="360" w:lineRule="auto"/>
        <w:jc w:val="both"/>
        <w:rPr>
          <w:color w:val="000000" w:themeColor="text1"/>
        </w:rPr>
      </w:pPr>
      <w:r w:rsidRPr="00ED75E9">
        <w:rPr>
          <w:color w:val="000000" w:themeColor="text1"/>
        </w:rPr>
        <w:t>After remediation, treated and control soils were used in greenhouse</w:t>
      </w:r>
      <w:r w:rsidR="000C0631">
        <w:rPr>
          <w:color w:val="000000" w:themeColor="text1"/>
        </w:rPr>
        <w:t xml:space="preserve"> pot trials. A test crop, maize </w:t>
      </w:r>
      <w:r w:rsidRPr="00ED75E9">
        <w:rPr>
          <w:color w:val="000000" w:themeColor="text1"/>
        </w:rPr>
        <w:t xml:space="preserve">was sown: 10 seeds per pot, three replicates per treatment. Germination rate recorded at 7–10 days; plant height measured weekly for 4–6 weeks; aboveground biomass harvested at end of experiment and oven-dried to constant weight. </w:t>
      </w:r>
      <w:r w:rsidR="000C0631">
        <w:t xml:space="preserve">Plant growth parameters represent the average response of crops grown in soils treated with </w:t>
      </w:r>
      <w:r w:rsidR="000C0631">
        <w:lastRenderedPageBreak/>
        <w:t xml:space="preserve">biosurfactants across the applied concentration range. </w:t>
      </w:r>
      <w:r w:rsidRPr="00ED75E9">
        <w:rPr>
          <w:color w:val="000000" w:themeColor="text1"/>
        </w:rPr>
        <w:t>Data reported as mean ± SD and compared by ANOVA.</w:t>
      </w:r>
    </w:p>
    <w:p w14:paraId="65395A46"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.9 Quality control and statistics</w:t>
      </w:r>
    </w:p>
    <w:p w14:paraId="644926B7" w14:textId="77777777" w:rsidR="007C225D" w:rsidRDefault="00ED75E9" w:rsidP="003C1B12">
      <w:pPr>
        <w:pStyle w:val="NormalWeb"/>
        <w:spacing w:line="360" w:lineRule="auto"/>
        <w:jc w:val="both"/>
        <w:rPr>
          <w:color w:val="000000" w:themeColor="text1"/>
        </w:rPr>
      </w:pPr>
      <w:r w:rsidRPr="00ED75E9">
        <w:rPr>
          <w:color w:val="000000" w:themeColor="text1"/>
        </w:rPr>
        <w:t>All experiments were performed in triplicate. Data were entered into SPSS/Stata for summary statistics. Normality was checked (Shapiro–Wilk); where parametric assumptions held, one-way ANOVA and Tukey’s HSD were used; otherwise Kruskal–Wallis tests applied. Significance at p &lt; 0.05.</w:t>
      </w:r>
    </w:p>
    <w:p w14:paraId="655F1AE9"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.10 Ethical and environmental safeguards</w:t>
      </w:r>
    </w:p>
    <w:p w14:paraId="0C985415" w14:textId="77777777" w:rsidR="00ED75E9" w:rsidRPr="00ED75E9" w:rsidRDefault="00ED75E9" w:rsidP="003C1B12">
      <w:pPr>
        <w:pStyle w:val="NormalWeb"/>
        <w:spacing w:line="360" w:lineRule="auto"/>
        <w:jc w:val="both"/>
        <w:rPr>
          <w:color w:val="000000" w:themeColor="text1"/>
        </w:rPr>
      </w:pPr>
      <w:r w:rsidRPr="00ED75E9">
        <w:rPr>
          <w:color w:val="000000" w:themeColor="text1"/>
        </w:rPr>
        <w:t>All procedures followed institutional biosafety guidelines. Waste soils after experiments were treated and disposed according to local environmental regulations.</w:t>
      </w:r>
    </w:p>
    <w:p w14:paraId="16508D7C" w14:textId="77777777" w:rsidR="007C225D" w:rsidRDefault="007C225D" w:rsidP="003C1B12">
      <w:pPr>
        <w:jc w:val="both"/>
        <w:rPr>
          <w:rFonts w:ascii="Times New Roman" w:hAnsi="Times New Roman" w:cs="Times New Roman"/>
          <w:b/>
          <w:noProof/>
          <w:color w:val="000000" w:themeColor="text1"/>
        </w:rPr>
      </w:pPr>
      <w:r w:rsidRPr="007C225D">
        <w:rPr>
          <w:rFonts w:ascii="Times New Roman" w:hAnsi="Times New Roman" w:cs="Times New Roman"/>
          <w:b/>
          <w:noProof/>
          <w:color w:val="000000" w:themeColor="text1"/>
        </w:rPr>
        <w:t xml:space="preserve">3.0 Results, Discusion  and Concclusion </w:t>
      </w:r>
    </w:p>
    <w:p w14:paraId="2B508EB6" w14:textId="77777777" w:rsidR="007C225D" w:rsidRDefault="007C225D" w:rsidP="003C1B12">
      <w:pPr>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3.1 Results</w:t>
      </w:r>
    </w:p>
    <w:p w14:paraId="4C7FAC97"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The results of this study are presented in Tables 1–4 and Figures 1–2. Table 1 summarizes the presumptive identification of biosurfactant-producing halophilic bacterial isolates. Table 2 presents the physicochemical characteristics of soil samples from different contaminated sites and a control site. Table 3 shows the distribution and abundance of halophilic bacteria across sampling locations. Table 4 presents the biosurfactant screening outcomes of the isolates. Figure 1 illustrates the spatial distribution of sampling sites, while Figure 2 shows the effect of biosurfactants produced by different bacterial isolates on plant growth.</w:t>
      </w:r>
    </w:p>
    <w:p w14:paraId="590CF9D7" w14:textId="77777777" w:rsidR="007C225D" w:rsidRPr="007C225D" w:rsidRDefault="007C225D" w:rsidP="003C1B12">
      <w:pPr>
        <w:jc w:val="both"/>
        <w:rPr>
          <w:rFonts w:ascii="Times New Roman" w:hAnsi="Times New Roman" w:cs="Times New Roman"/>
          <w:b/>
          <w:noProof/>
          <w:color w:val="000000" w:themeColor="text1"/>
        </w:rPr>
      </w:pPr>
    </w:p>
    <w:p w14:paraId="61D996E7" w14:textId="77777777" w:rsidR="00B736C0" w:rsidRPr="00ED75E9" w:rsidRDefault="00B736C0" w:rsidP="003C1B12">
      <w:pPr>
        <w:jc w:val="both"/>
        <w:rPr>
          <w:rFonts w:ascii="Times New Roman" w:hAnsi="Times New Roman" w:cs="Times New Roman"/>
          <w:b/>
          <w:color w:val="000000" w:themeColor="text1"/>
          <w:sz w:val="20"/>
          <w:szCs w:val="20"/>
        </w:rPr>
      </w:pPr>
      <w:r w:rsidRPr="00ED75E9">
        <w:rPr>
          <w:rFonts w:ascii="Times New Roman" w:hAnsi="Times New Roman" w:cs="Times New Roman"/>
          <w:noProof/>
          <w:color w:val="000000" w:themeColor="text1"/>
        </w:rPr>
        <w:lastRenderedPageBreak/>
        <w:drawing>
          <wp:inline distT="0" distB="0" distL="0" distR="0" wp14:anchorId="06A23989" wp14:editId="3FD1E415">
            <wp:extent cx="4572000" cy="3659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sampling.png"/>
                    <pic:cNvPicPr/>
                  </pic:nvPicPr>
                  <pic:blipFill>
                    <a:blip r:embed="rId10"/>
                    <a:stretch>
                      <a:fillRect/>
                    </a:stretch>
                  </pic:blipFill>
                  <pic:spPr>
                    <a:xfrm>
                      <a:off x="0" y="0"/>
                      <a:ext cx="4572000" cy="3659462"/>
                    </a:xfrm>
                    <a:prstGeom prst="rect">
                      <a:avLst/>
                    </a:prstGeom>
                  </pic:spPr>
                </pic:pic>
              </a:graphicData>
            </a:graphic>
          </wp:inline>
        </w:drawing>
      </w:r>
    </w:p>
    <w:p w14:paraId="737F0809" w14:textId="77777777" w:rsidR="00B736C0" w:rsidRPr="00ED75E9" w:rsidRDefault="00B736C0"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t>Figure 1. Sampling locations of hydrocarbon-contaminated and control soils.</w:t>
      </w:r>
    </w:p>
    <w:p w14:paraId="6B644597" w14:textId="77777777" w:rsidR="007C225D" w:rsidRDefault="007C225D" w:rsidP="003C1B12">
      <w:pPr>
        <w:jc w:val="both"/>
        <w:rPr>
          <w:rFonts w:ascii="Times New Roman" w:hAnsi="Times New Roman" w:cs="Times New Roman"/>
          <w:b/>
          <w:color w:val="000000" w:themeColor="text1"/>
          <w:sz w:val="20"/>
          <w:szCs w:val="20"/>
        </w:rPr>
      </w:pPr>
    </w:p>
    <w:p w14:paraId="00CEA9AC" w14:textId="77777777" w:rsidR="002346DB" w:rsidRPr="00ED75E9" w:rsidRDefault="002346DB" w:rsidP="003C1B12">
      <w:pPr>
        <w:jc w:val="both"/>
        <w:rPr>
          <w:rFonts w:ascii="Times New Roman" w:hAnsi="Times New Roman" w:cs="Times New Roman"/>
          <w:b/>
          <w:color w:val="000000" w:themeColor="text1"/>
          <w:sz w:val="20"/>
          <w:szCs w:val="20"/>
        </w:rPr>
      </w:pPr>
      <w:proofErr w:type="gramStart"/>
      <w:r w:rsidRPr="00ED75E9">
        <w:rPr>
          <w:rFonts w:ascii="Times New Roman" w:hAnsi="Times New Roman" w:cs="Times New Roman"/>
          <w:b/>
          <w:color w:val="000000" w:themeColor="text1"/>
          <w:sz w:val="20"/>
          <w:szCs w:val="20"/>
        </w:rPr>
        <w:t>Table 1.</w:t>
      </w:r>
      <w:proofErr w:type="gramEnd"/>
      <w:r w:rsidRPr="00ED75E9">
        <w:rPr>
          <w:rFonts w:ascii="Times New Roman" w:hAnsi="Times New Roman" w:cs="Times New Roman"/>
          <w:b/>
          <w:color w:val="000000" w:themeColor="text1"/>
          <w:sz w:val="20"/>
          <w:szCs w:val="20"/>
        </w:rPr>
        <w:t xml:space="preserve"> Presumptive identification of </w:t>
      </w:r>
      <w:proofErr w:type="spellStart"/>
      <w:r w:rsidR="00E70461" w:rsidRPr="00ED75E9">
        <w:rPr>
          <w:rFonts w:ascii="Times New Roman" w:hAnsi="Times New Roman" w:cs="Times New Roman"/>
          <w:b/>
          <w:color w:val="000000" w:themeColor="text1"/>
          <w:sz w:val="20"/>
          <w:szCs w:val="20"/>
        </w:rPr>
        <w:t>biosurfactant</w:t>
      </w:r>
      <w:proofErr w:type="spellEnd"/>
      <w:r w:rsidRPr="00ED75E9">
        <w:rPr>
          <w:rFonts w:ascii="Times New Roman" w:hAnsi="Times New Roman" w:cs="Times New Roman"/>
          <w:b/>
          <w:color w:val="000000" w:themeColor="text1"/>
          <w:sz w:val="20"/>
          <w:szCs w:val="20"/>
        </w:rPr>
        <w:t xml:space="preserve">-producing </w:t>
      </w:r>
      <w:proofErr w:type="spellStart"/>
      <w:r w:rsidRPr="00ED75E9">
        <w:rPr>
          <w:rFonts w:ascii="Times New Roman" w:hAnsi="Times New Roman" w:cs="Times New Roman"/>
          <w:b/>
          <w:color w:val="000000" w:themeColor="text1"/>
          <w:sz w:val="20"/>
          <w:szCs w:val="20"/>
        </w:rPr>
        <w:t>halophi</w:t>
      </w:r>
      <w:r w:rsidR="00E70461" w:rsidRPr="00ED75E9">
        <w:rPr>
          <w:rFonts w:ascii="Times New Roman" w:hAnsi="Times New Roman" w:cs="Times New Roman"/>
          <w:b/>
          <w:color w:val="000000" w:themeColor="text1"/>
          <w:sz w:val="20"/>
          <w:szCs w:val="20"/>
        </w:rPr>
        <w:t>l</w:t>
      </w:r>
      <w:r w:rsidRPr="00ED75E9">
        <w:rPr>
          <w:rFonts w:ascii="Times New Roman" w:hAnsi="Times New Roman" w:cs="Times New Roman"/>
          <w:b/>
          <w:color w:val="000000" w:themeColor="text1"/>
          <w:sz w:val="20"/>
          <w:szCs w:val="20"/>
        </w:rPr>
        <w:t>lic</w:t>
      </w:r>
      <w:proofErr w:type="spellEnd"/>
      <w:r w:rsidRPr="00ED75E9">
        <w:rPr>
          <w:rFonts w:ascii="Times New Roman" w:hAnsi="Times New Roman" w:cs="Times New Roman"/>
          <w:b/>
          <w:color w:val="000000" w:themeColor="text1"/>
          <w:sz w:val="20"/>
          <w:szCs w:val="20"/>
        </w:rPr>
        <w:t xml:space="preserve"> bacterial isolates</w:t>
      </w:r>
    </w:p>
    <w:tbl>
      <w:tblPr>
        <w:tblW w:w="9591" w:type="dxa"/>
        <w:tblCellSpacing w:w="15" w:type="dxa"/>
        <w:tblInd w:w="-44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54"/>
        <w:gridCol w:w="73"/>
        <w:gridCol w:w="1708"/>
        <w:gridCol w:w="2011"/>
        <w:gridCol w:w="1033"/>
        <w:gridCol w:w="1002"/>
        <w:gridCol w:w="2310"/>
      </w:tblGrid>
      <w:tr w:rsidR="00ED75E9" w:rsidRPr="00ED75E9" w14:paraId="2429ECC5" w14:textId="77777777" w:rsidTr="002346DB">
        <w:trPr>
          <w:trHeight w:val="815"/>
          <w:tblHeader/>
          <w:tblCellSpacing w:w="15" w:type="dxa"/>
        </w:trPr>
        <w:tc>
          <w:tcPr>
            <w:tcW w:w="0" w:type="auto"/>
            <w:tcBorders>
              <w:top w:val="single" w:sz="4" w:space="0" w:color="auto"/>
              <w:bottom w:val="single" w:sz="4" w:space="0" w:color="auto"/>
            </w:tcBorders>
            <w:vAlign w:val="center"/>
            <w:hideMark/>
          </w:tcPr>
          <w:p w14:paraId="134FC9AF"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Isolate code</w:t>
            </w:r>
          </w:p>
        </w:tc>
        <w:tc>
          <w:tcPr>
            <w:tcW w:w="0" w:type="auto"/>
            <w:tcBorders>
              <w:top w:val="single" w:sz="4" w:space="0" w:color="auto"/>
              <w:bottom w:val="single" w:sz="4" w:space="0" w:color="auto"/>
            </w:tcBorders>
          </w:tcPr>
          <w:p w14:paraId="76F8F9C4"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p>
        </w:tc>
        <w:tc>
          <w:tcPr>
            <w:tcW w:w="0" w:type="auto"/>
            <w:tcBorders>
              <w:top w:val="single" w:sz="4" w:space="0" w:color="auto"/>
              <w:bottom w:val="single" w:sz="4" w:space="0" w:color="auto"/>
            </w:tcBorders>
            <w:vAlign w:val="center"/>
            <w:hideMark/>
          </w:tcPr>
          <w:p w14:paraId="4892CC93"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Gram reaction</w:t>
            </w:r>
          </w:p>
        </w:tc>
        <w:tc>
          <w:tcPr>
            <w:tcW w:w="0" w:type="auto"/>
            <w:tcBorders>
              <w:top w:val="single" w:sz="4" w:space="0" w:color="auto"/>
              <w:bottom w:val="single" w:sz="4" w:space="0" w:color="auto"/>
            </w:tcBorders>
            <w:vAlign w:val="center"/>
            <w:hideMark/>
          </w:tcPr>
          <w:p w14:paraId="42BF0915"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Cell morphology</w:t>
            </w:r>
          </w:p>
        </w:tc>
        <w:tc>
          <w:tcPr>
            <w:tcW w:w="0" w:type="auto"/>
            <w:tcBorders>
              <w:top w:val="single" w:sz="4" w:space="0" w:color="auto"/>
              <w:bottom w:val="single" w:sz="4" w:space="0" w:color="auto"/>
            </w:tcBorders>
            <w:vAlign w:val="center"/>
            <w:hideMark/>
          </w:tcPr>
          <w:p w14:paraId="35CC30C3"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Catalase</w:t>
            </w:r>
          </w:p>
        </w:tc>
        <w:tc>
          <w:tcPr>
            <w:tcW w:w="0" w:type="auto"/>
            <w:tcBorders>
              <w:top w:val="single" w:sz="4" w:space="0" w:color="auto"/>
              <w:bottom w:val="single" w:sz="4" w:space="0" w:color="auto"/>
            </w:tcBorders>
            <w:vAlign w:val="center"/>
            <w:hideMark/>
          </w:tcPr>
          <w:p w14:paraId="75778346"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Oxidase</w:t>
            </w:r>
          </w:p>
        </w:tc>
        <w:tc>
          <w:tcPr>
            <w:tcW w:w="0" w:type="auto"/>
            <w:tcBorders>
              <w:top w:val="single" w:sz="4" w:space="0" w:color="auto"/>
              <w:bottom w:val="single" w:sz="4" w:space="0" w:color="auto"/>
            </w:tcBorders>
            <w:vAlign w:val="center"/>
            <w:hideMark/>
          </w:tcPr>
          <w:p w14:paraId="04F41DDA"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 xml:space="preserve">Probable </w:t>
            </w:r>
            <w:commentRangeStart w:id="13"/>
            <w:r w:rsidRPr="00ED75E9">
              <w:rPr>
                <w:rFonts w:ascii="Times New Roman" w:eastAsia="Times New Roman" w:hAnsi="Times New Roman" w:cs="Times New Roman"/>
                <w:bCs/>
                <w:color w:val="000000" w:themeColor="text1"/>
                <w:sz w:val="24"/>
                <w:szCs w:val="24"/>
              </w:rPr>
              <w:t>genus</w:t>
            </w:r>
            <w:commentRangeEnd w:id="13"/>
            <w:r w:rsidR="009D1180">
              <w:rPr>
                <w:rStyle w:val="CommentReference"/>
              </w:rPr>
              <w:commentReference w:id="13"/>
            </w:r>
          </w:p>
        </w:tc>
      </w:tr>
      <w:tr w:rsidR="00ED75E9" w:rsidRPr="00ED75E9" w14:paraId="27BDE4C2" w14:textId="77777777" w:rsidTr="002346DB">
        <w:trPr>
          <w:trHeight w:val="786"/>
          <w:tblCellSpacing w:w="15" w:type="dxa"/>
        </w:trPr>
        <w:tc>
          <w:tcPr>
            <w:tcW w:w="0" w:type="auto"/>
            <w:vAlign w:val="center"/>
            <w:hideMark/>
          </w:tcPr>
          <w:p w14:paraId="776CFA5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HB1</w:t>
            </w:r>
          </w:p>
        </w:tc>
        <w:tc>
          <w:tcPr>
            <w:tcW w:w="0" w:type="auto"/>
          </w:tcPr>
          <w:p w14:paraId="2ACD8F7D"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2B066FD3"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Positive</w:t>
            </w:r>
          </w:p>
        </w:tc>
        <w:tc>
          <w:tcPr>
            <w:tcW w:w="0" w:type="auto"/>
            <w:vAlign w:val="center"/>
            <w:hideMark/>
          </w:tcPr>
          <w:p w14:paraId="30FCBB1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6AA1EEC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151C2BF"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18A908A8"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p>
        </w:tc>
      </w:tr>
      <w:tr w:rsidR="00ED75E9" w:rsidRPr="00ED75E9" w14:paraId="6199B7B4" w14:textId="77777777" w:rsidTr="002346DB">
        <w:trPr>
          <w:trHeight w:val="815"/>
          <w:tblCellSpacing w:w="15" w:type="dxa"/>
        </w:trPr>
        <w:tc>
          <w:tcPr>
            <w:tcW w:w="0" w:type="auto"/>
            <w:vAlign w:val="center"/>
            <w:hideMark/>
          </w:tcPr>
          <w:p w14:paraId="3AFDA42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HB2</w:t>
            </w:r>
          </w:p>
        </w:tc>
        <w:tc>
          <w:tcPr>
            <w:tcW w:w="0" w:type="auto"/>
          </w:tcPr>
          <w:p w14:paraId="2F8EE5BA"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180FD296"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Positive</w:t>
            </w:r>
          </w:p>
        </w:tc>
        <w:tc>
          <w:tcPr>
            <w:tcW w:w="0" w:type="auto"/>
            <w:vAlign w:val="center"/>
            <w:hideMark/>
          </w:tcPr>
          <w:p w14:paraId="320E78F1"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7042951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455E372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4A77663B"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p>
        </w:tc>
      </w:tr>
      <w:tr w:rsidR="00ED75E9" w:rsidRPr="00ED75E9" w14:paraId="6C671645" w14:textId="77777777" w:rsidTr="002346DB">
        <w:trPr>
          <w:trHeight w:val="786"/>
          <w:tblCellSpacing w:w="15" w:type="dxa"/>
        </w:trPr>
        <w:tc>
          <w:tcPr>
            <w:tcW w:w="0" w:type="auto"/>
            <w:vAlign w:val="center"/>
            <w:hideMark/>
          </w:tcPr>
          <w:p w14:paraId="61295F2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HB3</w:t>
            </w:r>
          </w:p>
        </w:tc>
        <w:tc>
          <w:tcPr>
            <w:tcW w:w="0" w:type="auto"/>
          </w:tcPr>
          <w:p w14:paraId="0B34A1E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7D33037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Negative</w:t>
            </w:r>
          </w:p>
        </w:tc>
        <w:tc>
          <w:tcPr>
            <w:tcW w:w="0" w:type="auto"/>
            <w:vAlign w:val="center"/>
            <w:hideMark/>
          </w:tcPr>
          <w:p w14:paraId="2919A89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58650B68"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3773863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5F112B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w:t>
            </w:r>
          </w:p>
        </w:tc>
      </w:tr>
      <w:tr w:rsidR="00ED75E9" w:rsidRPr="00ED75E9" w14:paraId="3BA7DC24" w14:textId="77777777" w:rsidTr="002346DB">
        <w:trPr>
          <w:trHeight w:val="815"/>
          <w:tblCellSpacing w:w="15" w:type="dxa"/>
        </w:trPr>
        <w:tc>
          <w:tcPr>
            <w:tcW w:w="0" w:type="auto"/>
            <w:vAlign w:val="center"/>
            <w:hideMark/>
          </w:tcPr>
          <w:p w14:paraId="49CE4C9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HB4</w:t>
            </w:r>
          </w:p>
        </w:tc>
        <w:tc>
          <w:tcPr>
            <w:tcW w:w="0" w:type="auto"/>
          </w:tcPr>
          <w:p w14:paraId="0A5C98D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1D5F559B"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Negative</w:t>
            </w:r>
          </w:p>
        </w:tc>
        <w:tc>
          <w:tcPr>
            <w:tcW w:w="0" w:type="auto"/>
            <w:vAlign w:val="center"/>
            <w:hideMark/>
          </w:tcPr>
          <w:p w14:paraId="6D63E051"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2BA1686E"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A30181A"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52199CF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w:t>
            </w:r>
          </w:p>
        </w:tc>
      </w:tr>
    </w:tbl>
    <w:p w14:paraId="31B52932" w14:textId="77777777" w:rsidR="008E1F97" w:rsidRPr="00ED75E9" w:rsidRDefault="008E1F97" w:rsidP="003C1B12">
      <w:pPr>
        <w:jc w:val="both"/>
        <w:rPr>
          <w:rFonts w:ascii="Times New Roman" w:hAnsi="Times New Roman" w:cs="Times New Roman"/>
          <w:color w:val="000000" w:themeColor="text1"/>
          <w:sz w:val="24"/>
          <w:szCs w:val="24"/>
        </w:rPr>
      </w:pPr>
    </w:p>
    <w:p w14:paraId="0DFA2E05" w14:textId="77777777" w:rsidR="008E1F97" w:rsidRPr="00ED75E9" w:rsidRDefault="008E1F97" w:rsidP="003C1B12">
      <w:pPr>
        <w:jc w:val="both"/>
        <w:rPr>
          <w:rFonts w:ascii="Times New Roman" w:hAnsi="Times New Roman" w:cs="Times New Roman"/>
          <w:color w:val="000000" w:themeColor="text1"/>
          <w:sz w:val="24"/>
          <w:szCs w:val="24"/>
        </w:rPr>
      </w:pPr>
    </w:p>
    <w:p w14:paraId="1F51CAB3" w14:textId="77777777" w:rsidR="00190C84" w:rsidRPr="00ED75E9" w:rsidRDefault="00E70461" w:rsidP="003C1B12">
      <w:pPr>
        <w:jc w:val="both"/>
        <w:rPr>
          <w:rFonts w:ascii="Times New Roman" w:hAnsi="Times New Roman" w:cs="Times New Roman"/>
          <w:b/>
          <w:color w:val="000000" w:themeColor="text1"/>
          <w:sz w:val="20"/>
          <w:szCs w:val="20"/>
        </w:rPr>
      </w:pPr>
      <w:proofErr w:type="gramStart"/>
      <w:r w:rsidRPr="00ED75E9">
        <w:rPr>
          <w:rFonts w:ascii="Times New Roman" w:hAnsi="Times New Roman" w:cs="Times New Roman"/>
          <w:b/>
          <w:color w:val="000000" w:themeColor="text1"/>
          <w:sz w:val="20"/>
          <w:szCs w:val="20"/>
        </w:rPr>
        <w:lastRenderedPageBreak/>
        <w:t>Table 2.</w:t>
      </w:r>
      <w:proofErr w:type="gramEnd"/>
      <w:r w:rsidRPr="00ED75E9">
        <w:rPr>
          <w:rFonts w:ascii="Times New Roman" w:hAnsi="Times New Roman" w:cs="Times New Roman"/>
          <w:b/>
          <w:color w:val="000000" w:themeColor="text1"/>
          <w:sz w:val="20"/>
          <w:szCs w:val="20"/>
        </w:rPr>
        <w:t xml:space="preserve"> Physicochemical properties of soil samples from different sampling site</w:t>
      </w:r>
    </w:p>
    <w:tbl>
      <w:tblPr>
        <w:tblStyle w:val="TableGrid"/>
        <w:tblW w:w="0" w:type="auto"/>
        <w:tblLook w:val="04A0" w:firstRow="1" w:lastRow="0" w:firstColumn="1" w:lastColumn="0" w:noHBand="0" w:noVBand="1"/>
      </w:tblPr>
      <w:tblGrid>
        <w:gridCol w:w="2178"/>
        <w:gridCol w:w="1530"/>
        <w:gridCol w:w="1260"/>
        <w:gridCol w:w="1440"/>
        <w:gridCol w:w="979"/>
        <w:gridCol w:w="1469"/>
      </w:tblGrid>
      <w:tr w:rsidR="000E39C3" w14:paraId="4D3D0F2A" w14:textId="77777777" w:rsidTr="000E39C3">
        <w:tc>
          <w:tcPr>
            <w:tcW w:w="2178" w:type="dxa"/>
            <w:vAlign w:val="center"/>
          </w:tcPr>
          <w:p w14:paraId="71EC965F" w14:textId="1442A7CD"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bCs/>
                <w:color w:val="000000" w:themeColor="text1"/>
                <w:sz w:val="24"/>
                <w:szCs w:val="24"/>
              </w:rPr>
              <w:t>Parameter</w:t>
            </w:r>
          </w:p>
        </w:tc>
        <w:tc>
          <w:tcPr>
            <w:tcW w:w="1530" w:type="dxa"/>
            <w:vAlign w:val="center"/>
          </w:tcPr>
          <w:p w14:paraId="1C51AAE8" w14:textId="5C2C11F7"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bCs/>
                <w:color w:val="000000" w:themeColor="text1"/>
                <w:sz w:val="24"/>
                <w:szCs w:val="24"/>
              </w:rPr>
              <w:t>Site A</w:t>
            </w:r>
          </w:p>
        </w:tc>
        <w:tc>
          <w:tcPr>
            <w:tcW w:w="1260" w:type="dxa"/>
            <w:vAlign w:val="center"/>
          </w:tcPr>
          <w:p w14:paraId="04164B72" w14:textId="21BA128D"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bCs/>
                <w:color w:val="000000" w:themeColor="text1"/>
                <w:sz w:val="24"/>
                <w:szCs w:val="24"/>
              </w:rPr>
              <w:t>Site B</w:t>
            </w:r>
          </w:p>
        </w:tc>
        <w:tc>
          <w:tcPr>
            <w:tcW w:w="1440" w:type="dxa"/>
            <w:vAlign w:val="center"/>
          </w:tcPr>
          <w:p w14:paraId="6658FAA0" w14:textId="7A6676E6"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bCs/>
                <w:color w:val="000000" w:themeColor="text1"/>
                <w:sz w:val="24"/>
                <w:szCs w:val="24"/>
              </w:rPr>
              <w:t>Site C</w:t>
            </w:r>
          </w:p>
        </w:tc>
        <w:tc>
          <w:tcPr>
            <w:tcW w:w="979" w:type="dxa"/>
            <w:vAlign w:val="center"/>
          </w:tcPr>
          <w:p w14:paraId="7E93BE63" w14:textId="47EC40ED"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bCs/>
                <w:color w:val="000000" w:themeColor="text1"/>
                <w:sz w:val="24"/>
                <w:szCs w:val="24"/>
              </w:rPr>
              <w:t>Site D</w:t>
            </w:r>
          </w:p>
        </w:tc>
        <w:tc>
          <w:tcPr>
            <w:tcW w:w="1469" w:type="dxa"/>
            <w:vAlign w:val="center"/>
          </w:tcPr>
          <w:p w14:paraId="04FBDC3F" w14:textId="4D83A92D"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bCs/>
                <w:color w:val="000000" w:themeColor="text1"/>
                <w:sz w:val="24"/>
                <w:szCs w:val="24"/>
              </w:rPr>
              <w:t>Control site</w:t>
            </w:r>
          </w:p>
        </w:tc>
      </w:tr>
      <w:tr w:rsidR="000E39C3" w14:paraId="7DC54BC7" w14:textId="77777777" w:rsidTr="000E39C3">
        <w:tc>
          <w:tcPr>
            <w:tcW w:w="2178" w:type="dxa"/>
            <w:vAlign w:val="center"/>
          </w:tcPr>
          <w:p w14:paraId="6A846956" w14:textId="3B274382"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pH</w:t>
            </w:r>
          </w:p>
        </w:tc>
        <w:tc>
          <w:tcPr>
            <w:tcW w:w="1530" w:type="dxa"/>
            <w:vAlign w:val="center"/>
          </w:tcPr>
          <w:p w14:paraId="74CA0A04" w14:textId="6C55992E"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5.7 ± 0.2</w:t>
            </w:r>
          </w:p>
        </w:tc>
        <w:tc>
          <w:tcPr>
            <w:tcW w:w="1260" w:type="dxa"/>
            <w:vAlign w:val="center"/>
          </w:tcPr>
          <w:p w14:paraId="05EF2C60" w14:textId="2AE27A70"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5.9 ± 0.3</w:t>
            </w:r>
          </w:p>
        </w:tc>
        <w:tc>
          <w:tcPr>
            <w:tcW w:w="1440" w:type="dxa"/>
            <w:vAlign w:val="center"/>
          </w:tcPr>
          <w:p w14:paraId="43860829" w14:textId="4D7FF6EC"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5.6 ± 0.2</w:t>
            </w:r>
          </w:p>
        </w:tc>
        <w:tc>
          <w:tcPr>
            <w:tcW w:w="979" w:type="dxa"/>
            <w:vAlign w:val="center"/>
          </w:tcPr>
          <w:p w14:paraId="07F3E9F6" w14:textId="4130AC94"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6.0 ± 0.3</w:t>
            </w:r>
          </w:p>
        </w:tc>
        <w:tc>
          <w:tcPr>
            <w:tcW w:w="1469" w:type="dxa"/>
            <w:vAlign w:val="center"/>
          </w:tcPr>
          <w:p w14:paraId="33632669" w14:textId="03597260"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6.7 ± 0.2</w:t>
            </w:r>
          </w:p>
        </w:tc>
      </w:tr>
      <w:tr w:rsidR="000E39C3" w14:paraId="720780E5" w14:textId="77777777" w:rsidTr="000E39C3">
        <w:tc>
          <w:tcPr>
            <w:tcW w:w="2178" w:type="dxa"/>
            <w:vAlign w:val="center"/>
          </w:tcPr>
          <w:p w14:paraId="029B39D3" w14:textId="198580BA"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Organic matter (%)</w:t>
            </w:r>
          </w:p>
        </w:tc>
        <w:tc>
          <w:tcPr>
            <w:tcW w:w="1530" w:type="dxa"/>
            <w:vAlign w:val="center"/>
          </w:tcPr>
          <w:p w14:paraId="1806155E" w14:textId="31A82DB9"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2.0 ± 0.3</w:t>
            </w:r>
          </w:p>
        </w:tc>
        <w:tc>
          <w:tcPr>
            <w:tcW w:w="1260" w:type="dxa"/>
            <w:vAlign w:val="center"/>
          </w:tcPr>
          <w:p w14:paraId="3C6E7617" w14:textId="1BEED6FE"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2.3 ± 0.4</w:t>
            </w:r>
          </w:p>
        </w:tc>
        <w:tc>
          <w:tcPr>
            <w:tcW w:w="1440" w:type="dxa"/>
            <w:vAlign w:val="center"/>
          </w:tcPr>
          <w:p w14:paraId="74B53103" w14:textId="34BA9E5F"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1.9 ± 0.3</w:t>
            </w:r>
          </w:p>
        </w:tc>
        <w:tc>
          <w:tcPr>
            <w:tcW w:w="979" w:type="dxa"/>
            <w:vAlign w:val="center"/>
          </w:tcPr>
          <w:p w14:paraId="66262611" w14:textId="765A8304"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2.2 ± 0.4</w:t>
            </w:r>
          </w:p>
        </w:tc>
        <w:tc>
          <w:tcPr>
            <w:tcW w:w="1469" w:type="dxa"/>
            <w:vAlign w:val="center"/>
          </w:tcPr>
          <w:p w14:paraId="608F3C41" w14:textId="09612EDC"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4.8 ± 0.6</w:t>
            </w:r>
          </w:p>
        </w:tc>
      </w:tr>
      <w:tr w:rsidR="000E39C3" w14:paraId="3E0B6C4C" w14:textId="77777777" w:rsidTr="000E39C3">
        <w:tc>
          <w:tcPr>
            <w:tcW w:w="2178" w:type="dxa"/>
            <w:vAlign w:val="center"/>
          </w:tcPr>
          <w:p w14:paraId="4DB2DB9B" w14:textId="704F71E1"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Electrical conductivity (</w:t>
            </w:r>
            <w:proofErr w:type="spellStart"/>
            <w:r w:rsidRPr="00ED75E9">
              <w:rPr>
                <w:rFonts w:ascii="Times New Roman" w:eastAsia="Times New Roman" w:hAnsi="Times New Roman" w:cs="Times New Roman"/>
                <w:color w:val="000000" w:themeColor="text1"/>
                <w:sz w:val="24"/>
                <w:szCs w:val="24"/>
              </w:rPr>
              <w:t>dS</w:t>
            </w:r>
            <w:proofErr w:type="spellEnd"/>
            <w:r w:rsidRPr="00ED75E9">
              <w:rPr>
                <w:rFonts w:ascii="Times New Roman" w:eastAsia="Times New Roman" w:hAnsi="Times New Roman" w:cs="Times New Roman"/>
                <w:color w:val="000000" w:themeColor="text1"/>
                <w:sz w:val="24"/>
                <w:szCs w:val="24"/>
              </w:rPr>
              <w:t>/m)</w:t>
            </w:r>
          </w:p>
        </w:tc>
        <w:tc>
          <w:tcPr>
            <w:tcW w:w="1530" w:type="dxa"/>
            <w:vAlign w:val="center"/>
          </w:tcPr>
          <w:p w14:paraId="619FB714" w14:textId="32D0BB47"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3.8 ± 0.4</w:t>
            </w:r>
          </w:p>
        </w:tc>
        <w:tc>
          <w:tcPr>
            <w:tcW w:w="1260" w:type="dxa"/>
            <w:vAlign w:val="center"/>
          </w:tcPr>
          <w:p w14:paraId="473F5813" w14:textId="0CAD540F"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4.1 ± 0.5</w:t>
            </w:r>
          </w:p>
        </w:tc>
        <w:tc>
          <w:tcPr>
            <w:tcW w:w="1440" w:type="dxa"/>
            <w:vAlign w:val="center"/>
          </w:tcPr>
          <w:p w14:paraId="6422BAA0" w14:textId="707E7EF1"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3.6 ± 0.4</w:t>
            </w:r>
          </w:p>
        </w:tc>
        <w:tc>
          <w:tcPr>
            <w:tcW w:w="979" w:type="dxa"/>
            <w:vAlign w:val="center"/>
          </w:tcPr>
          <w:p w14:paraId="235E7148" w14:textId="3FD8C5EF"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4.0 ± 0.5</w:t>
            </w:r>
          </w:p>
        </w:tc>
        <w:tc>
          <w:tcPr>
            <w:tcW w:w="1469" w:type="dxa"/>
            <w:vAlign w:val="center"/>
          </w:tcPr>
          <w:p w14:paraId="792C92DF" w14:textId="7A2E2854"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1.2 ± 0.3</w:t>
            </w:r>
          </w:p>
        </w:tc>
      </w:tr>
      <w:tr w:rsidR="000E39C3" w14:paraId="65F60C17" w14:textId="77777777" w:rsidTr="000E39C3">
        <w:tc>
          <w:tcPr>
            <w:tcW w:w="2178" w:type="dxa"/>
            <w:vAlign w:val="center"/>
          </w:tcPr>
          <w:p w14:paraId="00436213" w14:textId="57CE1BCB"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Total petroleum hydrocarbons (mg/kg)</w:t>
            </w:r>
          </w:p>
        </w:tc>
        <w:tc>
          <w:tcPr>
            <w:tcW w:w="1530" w:type="dxa"/>
            <w:vAlign w:val="center"/>
          </w:tcPr>
          <w:p w14:paraId="34161213" w14:textId="190D2F90"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4,180 ± 290</w:t>
            </w:r>
          </w:p>
        </w:tc>
        <w:tc>
          <w:tcPr>
            <w:tcW w:w="1260" w:type="dxa"/>
            <w:vAlign w:val="center"/>
          </w:tcPr>
          <w:p w14:paraId="4DC02BF5" w14:textId="29E6619C"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4,360 ± 320</w:t>
            </w:r>
          </w:p>
        </w:tc>
        <w:tc>
          <w:tcPr>
            <w:tcW w:w="1440" w:type="dxa"/>
            <w:vAlign w:val="center"/>
          </w:tcPr>
          <w:p w14:paraId="6063420D" w14:textId="063B5D4A"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4,090 ± 270</w:t>
            </w:r>
          </w:p>
        </w:tc>
        <w:tc>
          <w:tcPr>
            <w:tcW w:w="979" w:type="dxa"/>
            <w:vAlign w:val="center"/>
          </w:tcPr>
          <w:p w14:paraId="5AE9C3B7" w14:textId="2E769B87"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4,370 ± 310</w:t>
            </w:r>
          </w:p>
        </w:tc>
        <w:tc>
          <w:tcPr>
            <w:tcW w:w="1469" w:type="dxa"/>
            <w:vAlign w:val="center"/>
          </w:tcPr>
          <w:p w14:paraId="550618E6" w14:textId="17395400" w:rsidR="000E39C3" w:rsidRDefault="000E39C3" w:rsidP="000E39C3">
            <w:pPr>
              <w:jc w:val="both"/>
              <w:rPr>
                <w:rFonts w:ascii="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 xml:space="preserve">120 ± </w:t>
            </w:r>
            <w:commentRangeStart w:id="14"/>
            <w:r w:rsidRPr="00ED75E9">
              <w:rPr>
                <w:rFonts w:ascii="Times New Roman" w:eastAsia="Times New Roman" w:hAnsi="Times New Roman" w:cs="Times New Roman"/>
                <w:color w:val="000000" w:themeColor="text1"/>
                <w:sz w:val="24"/>
                <w:szCs w:val="24"/>
              </w:rPr>
              <w:t>25</w:t>
            </w:r>
            <w:commentRangeEnd w:id="14"/>
            <w:r w:rsidR="00383C75">
              <w:rPr>
                <w:rStyle w:val="CommentReference"/>
              </w:rPr>
              <w:commentReference w:id="14"/>
            </w:r>
          </w:p>
        </w:tc>
      </w:tr>
    </w:tbl>
    <w:p w14:paraId="1FDA0368" w14:textId="77777777" w:rsidR="00190C84" w:rsidRPr="00ED75E9" w:rsidRDefault="00190C84" w:rsidP="003C1B12">
      <w:pPr>
        <w:jc w:val="both"/>
        <w:rPr>
          <w:rFonts w:ascii="Times New Roman" w:hAnsi="Times New Roman" w:cs="Times New Roman"/>
          <w:color w:val="000000" w:themeColor="text1"/>
          <w:sz w:val="24"/>
          <w:szCs w:val="24"/>
        </w:rPr>
      </w:pPr>
    </w:p>
    <w:p w14:paraId="71313531" w14:textId="77777777" w:rsidR="0051143D" w:rsidRPr="00ED75E9" w:rsidRDefault="00E70461" w:rsidP="003C1B12">
      <w:pPr>
        <w:jc w:val="both"/>
        <w:rPr>
          <w:rFonts w:ascii="Times New Roman" w:hAnsi="Times New Roman" w:cs="Times New Roman"/>
          <w:b/>
          <w:color w:val="000000" w:themeColor="text1"/>
          <w:sz w:val="20"/>
          <w:szCs w:val="20"/>
        </w:rPr>
      </w:pPr>
      <w:proofErr w:type="gramStart"/>
      <w:r w:rsidRPr="00ED75E9">
        <w:rPr>
          <w:rFonts w:ascii="Times New Roman" w:hAnsi="Times New Roman" w:cs="Times New Roman"/>
          <w:b/>
          <w:color w:val="000000" w:themeColor="text1"/>
          <w:sz w:val="20"/>
          <w:szCs w:val="20"/>
        </w:rPr>
        <w:t>Table 3</w:t>
      </w:r>
      <w:r w:rsidR="00CD3F06" w:rsidRPr="00ED75E9">
        <w:rPr>
          <w:rFonts w:ascii="Times New Roman" w:hAnsi="Times New Roman" w:cs="Times New Roman"/>
          <w:b/>
          <w:color w:val="000000" w:themeColor="text1"/>
          <w:sz w:val="20"/>
          <w:szCs w:val="20"/>
        </w:rPr>
        <w:t>.</w:t>
      </w:r>
      <w:proofErr w:type="gramEnd"/>
      <w:r w:rsidR="00CD3F06" w:rsidRPr="00ED75E9">
        <w:rPr>
          <w:rFonts w:ascii="Times New Roman" w:hAnsi="Times New Roman" w:cs="Times New Roman"/>
          <w:b/>
          <w:color w:val="000000" w:themeColor="text1"/>
          <w:sz w:val="20"/>
          <w:szCs w:val="20"/>
        </w:rPr>
        <w:t xml:space="preserve"> Halophilic bacterial counts from soil samples</w:t>
      </w:r>
    </w:p>
    <w:tbl>
      <w:tblPr>
        <w:tblStyle w:val="TableGrid"/>
        <w:tblW w:w="95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66"/>
      </w:tblGrid>
      <w:tr w:rsidR="00ED75E9" w:rsidRPr="00ED75E9" w14:paraId="7A671CF7" w14:textId="77777777" w:rsidTr="006233FA">
        <w:trPr>
          <w:trHeight w:val="618"/>
        </w:trPr>
        <w:tc>
          <w:tcPr>
            <w:tcW w:w="4766" w:type="dxa"/>
            <w:tcBorders>
              <w:top w:val="single" w:sz="4" w:space="0" w:color="auto"/>
              <w:bottom w:val="single" w:sz="4" w:space="0" w:color="auto"/>
            </w:tcBorders>
          </w:tcPr>
          <w:p w14:paraId="07D29D81" w14:textId="77777777" w:rsidR="0051143D" w:rsidRPr="00ED75E9" w:rsidRDefault="00CD3F06"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Sampling site</w:t>
            </w:r>
          </w:p>
        </w:tc>
        <w:tc>
          <w:tcPr>
            <w:tcW w:w="4766" w:type="dxa"/>
            <w:tcBorders>
              <w:top w:val="single" w:sz="4" w:space="0" w:color="auto"/>
              <w:bottom w:val="single" w:sz="4" w:space="0" w:color="auto"/>
            </w:tcBorders>
          </w:tcPr>
          <w:p w14:paraId="35F1055A" w14:textId="77777777" w:rsidR="0051143D" w:rsidRPr="00ED75E9" w:rsidRDefault="00CD3F06"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Bacterial load (CFU/g ×10</w:t>
            </w:r>
            <w:commentRangeStart w:id="15"/>
            <w:r w:rsidRPr="00ED75E9">
              <w:rPr>
                <w:rFonts w:ascii="Times New Roman" w:hAnsi="Times New Roman" w:cs="Times New Roman"/>
                <w:color w:val="000000" w:themeColor="text1"/>
                <w:sz w:val="24"/>
                <w:szCs w:val="24"/>
              </w:rPr>
              <w:t>⁵</w:t>
            </w:r>
            <w:commentRangeEnd w:id="15"/>
            <w:r w:rsidR="00383C75">
              <w:rPr>
                <w:rStyle w:val="CommentReference"/>
              </w:rPr>
              <w:commentReference w:id="15"/>
            </w:r>
            <w:r w:rsidRPr="00ED75E9">
              <w:rPr>
                <w:rFonts w:ascii="Times New Roman" w:hAnsi="Times New Roman" w:cs="Times New Roman"/>
                <w:color w:val="000000" w:themeColor="text1"/>
                <w:sz w:val="24"/>
                <w:szCs w:val="24"/>
              </w:rPr>
              <w:t>)</w:t>
            </w:r>
          </w:p>
        </w:tc>
      </w:tr>
      <w:tr w:rsidR="00ED75E9" w:rsidRPr="00ED75E9" w14:paraId="01F9BC90" w14:textId="77777777" w:rsidTr="000E39C3">
        <w:trPr>
          <w:trHeight w:val="413"/>
        </w:trPr>
        <w:tc>
          <w:tcPr>
            <w:tcW w:w="4766" w:type="dxa"/>
            <w:tcBorders>
              <w:top w:val="single" w:sz="4" w:space="0" w:color="auto"/>
            </w:tcBorders>
          </w:tcPr>
          <w:p w14:paraId="60CF36AD" w14:textId="77777777" w:rsidR="0051143D" w:rsidRPr="00ED75E9" w:rsidRDefault="00E70461"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A</w:t>
            </w:r>
          </w:p>
        </w:tc>
        <w:tc>
          <w:tcPr>
            <w:tcW w:w="4766" w:type="dxa"/>
            <w:tcBorders>
              <w:top w:val="single" w:sz="4" w:space="0" w:color="auto"/>
            </w:tcBorders>
          </w:tcPr>
          <w:p w14:paraId="087169EF" w14:textId="77777777" w:rsidR="0051143D" w:rsidRPr="00ED75E9" w:rsidRDefault="00CD3F06"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6.4 ± 0.8</w:t>
            </w:r>
          </w:p>
        </w:tc>
      </w:tr>
      <w:tr w:rsidR="00ED75E9" w:rsidRPr="00ED75E9" w14:paraId="62654D37" w14:textId="77777777" w:rsidTr="000E39C3">
        <w:trPr>
          <w:trHeight w:val="306"/>
        </w:trPr>
        <w:tc>
          <w:tcPr>
            <w:tcW w:w="4766" w:type="dxa"/>
          </w:tcPr>
          <w:p w14:paraId="64C37F68" w14:textId="77777777" w:rsidR="0051143D" w:rsidRPr="00ED75E9" w:rsidRDefault="00E70461"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B</w:t>
            </w:r>
          </w:p>
        </w:tc>
        <w:tc>
          <w:tcPr>
            <w:tcW w:w="4766" w:type="dxa"/>
          </w:tcPr>
          <w:p w14:paraId="3AFBA13C" w14:textId="77777777" w:rsidR="0051143D" w:rsidRPr="00ED75E9" w:rsidRDefault="00CD3F06"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5.9 ± 0.6</w:t>
            </w:r>
          </w:p>
        </w:tc>
      </w:tr>
      <w:tr w:rsidR="00ED75E9" w:rsidRPr="00ED75E9" w14:paraId="0C1D36B7" w14:textId="77777777" w:rsidTr="000E39C3">
        <w:trPr>
          <w:trHeight w:val="414"/>
        </w:trPr>
        <w:tc>
          <w:tcPr>
            <w:tcW w:w="4766" w:type="dxa"/>
          </w:tcPr>
          <w:p w14:paraId="63502FB0" w14:textId="77777777" w:rsidR="0051143D" w:rsidRPr="00ED75E9" w:rsidRDefault="00E70461"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C</w:t>
            </w:r>
          </w:p>
        </w:tc>
        <w:tc>
          <w:tcPr>
            <w:tcW w:w="4766" w:type="dxa"/>
          </w:tcPr>
          <w:p w14:paraId="164264AE" w14:textId="77777777" w:rsidR="0051143D" w:rsidRPr="00ED75E9" w:rsidRDefault="00CD3F06"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6.8 ± 0.7</w:t>
            </w:r>
          </w:p>
        </w:tc>
      </w:tr>
      <w:tr w:rsidR="00ED75E9" w:rsidRPr="00ED75E9" w14:paraId="60256CDF" w14:textId="77777777" w:rsidTr="000E39C3">
        <w:trPr>
          <w:trHeight w:val="333"/>
        </w:trPr>
        <w:tc>
          <w:tcPr>
            <w:tcW w:w="4766" w:type="dxa"/>
          </w:tcPr>
          <w:p w14:paraId="57C8B33E" w14:textId="77777777" w:rsidR="00E70461" w:rsidRPr="00ED75E9" w:rsidRDefault="00E70461"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D</w:t>
            </w:r>
          </w:p>
        </w:tc>
        <w:tc>
          <w:tcPr>
            <w:tcW w:w="4766" w:type="dxa"/>
          </w:tcPr>
          <w:p w14:paraId="4991242B" w14:textId="77777777" w:rsidR="00E70461" w:rsidRPr="00ED75E9" w:rsidRDefault="00E70461"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6.5 ± 0.7</w:t>
            </w:r>
          </w:p>
        </w:tc>
      </w:tr>
      <w:tr w:rsidR="00190C84" w:rsidRPr="00ED75E9" w14:paraId="6E1A5D33" w14:textId="77777777" w:rsidTr="006233FA">
        <w:trPr>
          <w:trHeight w:val="618"/>
        </w:trPr>
        <w:tc>
          <w:tcPr>
            <w:tcW w:w="4766" w:type="dxa"/>
          </w:tcPr>
          <w:p w14:paraId="16CE8C64" w14:textId="77777777" w:rsidR="0051143D" w:rsidRPr="00ED75E9" w:rsidRDefault="00CD3F06"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Control soil</w:t>
            </w:r>
          </w:p>
        </w:tc>
        <w:tc>
          <w:tcPr>
            <w:tcW w:w="4766" w:type="dxa"/>
          </w:tcPr>
          <w:p w14:paraId="0CECA8F4" w14:textId="77777777" w:rsidR="0051143D" w:rsidRPr="00ED75E9" w:rsidRDefault="00CD3F06" w:rsidP="000E39C3">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2.1 ± 0.3</w:t>
            </w:r>
          </w:p>
        </w:tc>
      </w:tr>
    </w:tbl>
    <w:p w14:paraId="6679963B" w14:textId="77777777" w:rsidR="00D000A6" w:rsidRPr="00ED75E9" w:rsidRDefault="00D000A6" w:rsidP="003C1B12">
      <w:pPr>
        <w:jc w:val="both"/>
        <w:rPr>
          <w:rFonts w:ascii="Times New Roman" w:hAnsi="Times New Roman" w:cs="Times New Roman"/>
          <w:color w:val="000000" w:themeColor="text1"/>
          <w:sz w:val="24"/>
          <w:szCs w:val="24"/>
        </w:rPr>
      </w:pPr>
    </w:p>
    <w:p w14:paraId="61853CD5" w14:textId="77777777" w:rsidR="0051143D" w:rsidRPr="00ED75E9" w:rsidRDefault="006233FA" w:rsidP="003C1B12">
      <w:pPr>
        <w:jc w:val="both"/>
        <w:rPr>
          <w:rFonts w:ascii="Times New Roman" w:hAnsi="Times New Roman" w:cs="Times New Roman"/>
          <w:b/>
          <w:color w:val="000000" w:themeColor="text1"/>
          <w:sz w:val="20"/>
          <w:szCs w:val="20"/>
        </w:rPr>
      </w:pPr>
      <w:proofErr w:type="gramStart"/>
      <w:r w:rsidRPr="00ED75E9">
        <w:rPr>
          <w:rFonts w:ascii="Times New Roman" w:hAnsi="Times New Roman" w:cs="Times New Roman"/>
          <w:b/>
          <w:color w:val="000000" w:themeColor="text1"/>
          <w:sz w:val="20"/>
          <w:szCs w:val="20"/>
        </w:rPr>
        <w:t>Table 4</w:t>
      </w:r>
      <w:r w:rsidR="00CD3F06" w:rsidRPr="00ED75E9">
        <w:rPr>
          <w:rFonts w:ascii="Times New Roman" w:hAnsi="Times New Roman" w:cs="Times New Roman"/>
          <w:b/>
          <w:color w:val="000000" w:themeColor="text1"/>
          <w:sz w:val="20"/>
          <w:szCs w:val="20"/>
        </w:rPr>
        <w:t>.</w:t>
      </w:r>
      <w:proofErr w:type="gramEnd"/>
      <w:r w:rsidR="00CD3F06" w:rsidRPr="00ED75E9">
        <w:rPr>
          <w:rFonts w:ascii="Times New Roman" w:hAnsi="Times New Roman" w:cs="Times New Roman"/>
          <w:b/>
          <w:color w:val="000000" w:themeColor="text1"/>
          <w:sz w:val="20"/>
          <w:szCs w:val="20"/>
        </w:rPr>
        <w:t xml:space="preserve"> Biosurfactant screening results of halophilic bacterial isolates</w:t>
      </w:r>
    </w:p>
    <w:tbl>
      <w:tblPr>
        <w:tblStyle w:val="TableGrid"/>
        <w:tblW w:w="92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08"/>
        <w:gridCol w:w="2712"/>
        <w:gridCol w:w="1904"/>
      </w:tblGrid>
      <w:tr w:rsidR="00ED75E9" w:rsidRPr="00ED75E9" w14:paraId="0C416EE1" w14:textId="77777777" w:rsidTr="006233FA">
        <w:trPr>
          <w:trHeight w:val="816"/>
        </w:trPr>
        <w:tc>
          <w:tcPr>
            <w:tcW w:w="2308" w:type="dxa"/>
            <w:tcBorders>
              <w:top w:val="single" w:sz="4" w:space="0" w:color="auto"/>
              <w:bottom w:val="single" w:sz="4" w:space="0" w:color="auto"/>
            </w:tcBorders>
          </w:tcPr>
          <w:p w14:paraId="4F7BAAB1"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Isolate</w:t>
            </w:r>
          </w:p>
        </w:tc>
        <w:tc>
          <w:tcPr>
            <w:tcW w:w="2308" w:type="dxa"/>
            <w:tcBorders>
              <w:top w:val="single" w:sz="4" w:space="0" w:color="auto"/>
              <w:bottom w:val="single" w:sz="4" w:space="0" w:color="auto"/>
            </w:tcBorders>
          </w:tcPr>
          <w:p w14:paraId="5650370B"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Hemolysis</w:t>
            </w:r>
          </w:p>
        </w:tc>
        <w:tc>
          <w:tcPr>
            <w:tcW w:w="2712" w:type="dxa"/>
            <w:tcBorders>
              <w:top w:val="single" w:sz="4" w:space="0" w:color="auto"/>
              <w:bottom w:val="single" w:sz="4" w:space="0" w:color="auto"/>
            </w:tcBorders>
          </w:tcPr>
          <w:p w14:paraId="5E5C8CAB"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Oil displacement (cm)</w:t>
            </w:r>
          </w:p>
        </w:tc>
        <w:tc>
          <w:tcPr>
            <w:tcW w:w="1904" w:type="dxa"/>
            <w:tcBorders>
              <w:top w:val="single" w:sz="4" w:space="0" w:color="auto"/>
              <w:bottom w:val="single" w:sz="4" w:space="0" w:color="auto"/>
            </w:tcBorders>
          </w:tcPr>
          <w:p w14:paraId="1F8D56A3"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E24 (%)</w:t>
            </w:r>
          </w:p>
        </w:tc>
      </w:tr>
      <w:tr w:rsidR="00ED75E9" w:rsidRPr="00ED75E9" w14:paraId="33F78E13" w14:textId="77777777" w:rsidTr="006233FA">
        <w:trPr>
          <w:trHeight w:val="816"/>
        </w:trPr>
        <w:tc>
          <w:tcPr>
            <w:tcW w:w="2308" w:type="dxa"/>
            <w:tcBorders>
              <w:top w:val="single" w:sz="4" w:space="0" w:color="auto"/>
            </w:tcBorders>
            <w:vAlign w:val="center"/>
          </w:tcPr>
          <w:p w14:paraId="4547620A"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r w:rsidR="00D000A6" w:rsidRPr="00ED75E9">
              <w:rPr>
                <w:rFonts w:ascii="Times New Roman" w:eastAsia="Times New Roman" w:hAnsi="Times New Roman" w:cs="Times New Roman"/>
                <w:color w:val="000000" w:themeColor="text1"/>
                <w:sz w:val="24"/>
                <w:szCs w:val="24"/>
              </w:rPr>
              <w:t>HB1</w:t>
            </w:r>
            <w:r w:rsidRPr="00ED75E9">
              <w:rPr>
                <w:rFonts w:ascii="Times New Roman" w:eastAsia="Times New Roman" w:hAnsi="Times New Roman" w:cs="Times New Roman"/>
                <w:color w:val="000000" w:themeColor="text1"/>
                <w:sz w:val="24"/>
                <w:szCs w:val="24"/>
              </w:rPr>
              <w:t>.</w:t>
            </w:r>
          </w:p>
        </w:tc>
        <w:tc>
          <w:tcPr>
            <w:tcW w:w="2308" w:type="dxa"/>
            <w:tcBorders>
              <w:top w:val="single" w:sz="4" w:space="0" w:color="auto"/>
            </w:tcBorders>
          </w:tcPr>
          <w:p w14:paraId="5E88EB3A" w14:textId="77777777" w:rsidR="006233FA" w:rsidRPr="00ED75E9" w:rsidRDefault="006233FA" w:rsidP="003C1B12">
            <w:pPr>
              <w:jc w:val="both"/>
              <w:rPr>
                <w:rFonts w:ascii="Times New Roman" w:hAnsi="Times New Roman" w:cs="Times New Roman"/>
                <w:color w:val="000000" w:themeColor="text1"/>
                <w:sz w:val="24"/>
                <w:szCs w:val="24"/>
              </w:rPr>
            </w:pPr>
          </w:p>
          <w:p w14:paraId="45B508DB"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β</w:t>
            </w:r>
          </w:p>
        </w:tc>
        <w:tc>
          <w:tcPr>
            <w:tcW w:w="2712" w:type="dxa"/>
            <w:tcBorders>
              <w:top w:val="single" w:sz="4" w:space="0" w:color="auto"/>
            </w:tcBorders>
          </w:tcPr>
          <w:p w14:paraId="4D218BE8" w14:textId="77777777" w:rsidR="006233FA" w:rsidRPr="00ED75E9" w:rsidRDefault="006233FA" w:rsidP="003C1B12">
            <w:pPr>
              <w:jc w:val="both"/>
              <w:rPr>
                <w:rFonts w:ascii="Times New Roman" w:hAnsi="Times New Roman" w:cs="Times New Roman"/>
                <w:color w:val="000000" w:themeColor="text1"/>
                <w:sz w:val="24"/>
                <w:szCs w:val="24"/>
              </w:rPr>
            </w:pPr>
          </w:p>
          <w:p w14:paraId="1B010EA9"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6.2</w:t>
            </w:r>
          </w:p>
        </w:tc>
        <w:tc>
          <w:tcPr>
            <w:tcW w:w="1904" w:type="dxa"/>
            <w:tcBorders>
              <w:top w:val="single" w:sz="4" w:space="0" w:color="auto"/>
            </w:tcBorders>
          </w:tcPr>
          <w:p w14:paraId="129C38E6" w14:textId="77777777" w:rsidR="006233FA" w:rsidRPr="00ED75E9" w:rsidRDefault="006233FA" w:rsidP="003C1B12">
            <w:pPr>
              <w:jc w:val="both"/>
              <w:rPr>
                <w:rFonts w:ascii="Times New Roman" w:hAnsi="Times New Roman" w:cs="Times New Roman"/>
                <w:color w:val="000000" w:themeColor="text1"/>
                <w:sz w:val="24"/>
                <w:szCs w:val="24"/>
              </w:rPr>
            </w:pPr>
          </w:p>
          <w:p w14:paraId="0E3F785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58</w:t>
            </w:r>
          </w:p>
        </w:tc>
      </w:tr>
      <w:tr w:rsidR="00ED75E9" w:rsidRPr="00ED75E9" w14:paraId="007ED79A" w14:textId="77777777" w:rsidTr="006233FA">
        <w:trPr>
          <w:trHeight w:val="846"/>
        </w:trPr>
        <w:tc>
          <w:tcPr>
            <w:tcW w:w="2308" w:type="dxa"/>
            <w:vAlign w:val="center"/>
          </w:tcPr>
          <w:p w14:paraId="3B122FCA"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r w:rsidR="00D000A6" w:rsidRPr="00ED75E9">
              <w:rPr>
                <w:rFonts w:ascii="Times New Roman" w:eastAsia="Times New Roman" w:hAnsi="Times New Roman" w:cs="Times New Roman"/>
                <w:color w:val="000000" w:themeColor="text1"/>
                <w:sz w:val="24"/>
                <w:szCs w:val="24"/>
              </w:rPr>
              <w:t>HB2</w:t>
            </w:r>
            <w:r w:rsidRPr="00ED75E9">
              <w:rPr>
                <w:rFonts w:ascii="Times New Roman" w:eastAsia="Times New Roman" w:hAnsi="Times New Roman" w:cs="Times New Roman"/>
                <w:color w:val="000000" w:themeColor="text1"/>
                <w:sz w:val="24"/>
                <w:szCs w:val="24"/>
              </w:rPr>
              <w:t>.</w:t>
            </w:r>
          </w:p>
        </w:tc>
        <w:tc>
          <w:tcPr>
            <w:tcW w:w="2308" w:type="dxa"/>
          </w:tcPr>
          <w:p w14:paraId="43C03DC3" w14:textId="77777777" w:rsidR="006233FA" w:rsidRPr="00ED75E9" w:rsidRDefault="006233FA" w:rsidP="003C1B12">
            <w:pPr>
              <w:jc w:val="both"/>
              <w:rPr>
                <w:rFonts w:ascii="Times New Roman" w:hAnsi="Times New Roman" w:cs="Times New Roman"/>
                <w:color w:val="000000" w:themeColor="text1"/>
                <w:sz w:val="24"/>
                <w:szCs w:val="24"/>
              </w:rPr>
            </w:pPr>
          </w:p>
          <w:p w14:paraId="410E3277"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α</w:t>
            </w:r>
          </w:p>
        </w:tc>
        <w:tc>
          <w:tcPr>
            <w:tcW w:w="2712" w:type="dxa"/>
          </w:tcPr>
          <w:p w14:paraId="58B2C3CA" w14:textId="77777777" w:rsidR="006233FA" w:rsidRPr="00ED75E9" w:rsidRDefault="006233FA" w:rsidP="003C1B12">
            <w:pPr>
              <w:jc w:val="both"/>
              <w:rPr>
                <w:rFonts w:ascii="Times New Roman" w:hAnsi="Times New Roman" w:cs="Times New Roman"/>
                <w:color w:val="000000" w:themeColor="text1"/>
                <w:sz w:val="24"/>
                <w:szCs w:val="24"/>
              </w:rPr>
            </w:pPr>
          </w:p>
          <w:p w14:paraId="5D0DFDF0"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5.7</w:t>
            </w:r>
          </w:p>
        </w:tc>
        <w:tc>
          <w:tcPr>
            <w:tcW w:w="1904" w:type="dxa"/>
          </w:tcPr>
          <w:p w14:paraId="7CD3CD0E" w14:textId="77777777" w:rsidR="006233FA" w:rsidRPr="00ED75E9" w:rsidRDefault="006233FA" w:rsidP="003C1B12">
            <w:pPr>
              <w:jc w:val="both"/>
              <w:rPr>
                <w:rFonts w:ascii="Times New Roman" w:hAnsi="Times New Roman" w:cs="Times New Roman"/>
                <w:color w:val="000000" w:themeColor="text1"/>
                <w:sz w:val="24"/>
                <w:szCs w:val="24"/>
              </w:rPr>
            </w:pPr>
          </w:p>
          <w:p w14:paraId="646E8F5D"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52</w:t>
            </w:r>
          </w:p>
        </w:tc>
      </w:tr>
      <w:tr w:rsidR="00ED75E9" w:rsidRPr="00ED75E9" w14:paraId="4FC2DF20" w14:textId="77777777" w:rsidTr="006233FA">
        <w:trPr>
          <w:trHeight w:val="816"/>
        </w:trPr>
        <w:tc>
          <w:tcPr>
            <w:tcW w:w="2308" w:type="dxa"/>
            <w:vAlign w:val="center"/>
          </w:tcPr>
          <w:p w14:paraId="1D21E93E"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w:t>
            </w:r>
          </w:p>
        </w:tc>
        <w:tc>
          <w:tcPr>
            <w:tcW w:w="2308" w:type="dxa"/>
          </w:tcPr>
          <w:p w14:paraId="38FDAF24" w14:textId="77777777" w:rsidR="006233FA" w:rsidRPr="00ED75E9" w:rsidRDefault="006233FA" w:rsidP="003C1B12">
            <w:pPr>
              <w:jc w:val="both"/>
              <w:rPr>
                <w:rFonts w:ascii="Times New Roman" w:hAnsi="Times New Roman" w:cs="Times New Roman"/>
                <w:color w:val="000000" w:themeColor="text1"/>
                <w:sz w:val="24"/>
                <w:szCs w:val="24"/>
              </w:rPr>
            </w:pPr>
          </w:p>
          <w:p w14:paraId="7734BF38"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β</w:t>
            </w:r>
          </w:p>
        </w:tc>
        <w:tc>
          <w:tcPr>
            <w:tcW w:w="2712" w:type="dxa"/>
          </w:tcPr>
          <w:p w14:paraId="3D98C646" w14:textId="77777777" w:rsidR="006233FA" w:rsidRPr="00ED75E9" w:rsidRDefault="006233FA" w:rsidP="003C1B12">
            <w:pPr>
              <w:jc w:val="both"/>
              <w:rPr>
                <w:rFonts w:ascii="Times New Roman" w:hAnsi="Times New Roman" w:cs="Times New Roman"/>
                <w:color w:val="000000" w:themeColor="text1"/>
                <w:sz w:val="24"/>
                <w:szCs w:val="24"/>
              </w:rPr>
            </w:pPr>
          </w:p>
          <w:p w14:paraId="28FB39E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6.8</w:t>
            </w:r>
          </w:p>
        </w:tc>
        <w:tc>
          <w:tcPr>
            <w:tcW w:w="1904" w:type="dxa"/>
          </w:tcPr>
          <w:p w14:paraId="48E84D65" w14:textId="77777777" w:rsidR="006233FA" w:rsidRPr="00ED75E9" w:rsidRDefault="006233FA" w:rsidP="003C1B12">
            <w:pPr>
              <w:jc w:val="both"/>
              <w:rPr>
                <w:rFonts w:ascii="Times New Roman" w:hAnsi="Times New Roman" w:cs="Times New Roman"/>
                <w:color w:val="000000" w:themeColor="text1"/>
                <w:sz w:val="24"/>
                <w:szCs w:val="24"/>
              </w:rPr>
            </w:pPr>
          </w:p>
          <w:p w14:paraId="12EE01AC"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61</w:t>
            </w:r>
          </w:p>
        </w:tc>
      </w:tr>
      <w:tr w:rsidR="006233FA" w:rsidRPr="00ED75E9" w14:paraId="54E9A361" w14:textId="77777777" w:rsidTr="006233FA">
        <w:trPr>
          <w:trHeight w:val="816"/>
        </w:trPr>
        <w:tc>
          <w:tcPr>
            <w:tcW w:w="2308" w:type="dxa"/>
            <w:vAlign w:val="center"/>
          </w:tcPr>
          <w:p w14:paraId="01F6BEF2" w14:textId="77777777" w:rsidR="006233FA" w:rsidRPr="00ED75E9" w:rsidRDefault="006233FA" w:rsidP="003C1B12">
            <w:pPr>
              <w:jc w:val="both"/>
              <w:rPr>
                <w:rFonts w:ascii="Times New Roman" w:eastAsia="Times New Roman" w:hAnsi="Times New Roman" w:cs="Times New Roman"/>
                <w:color w:val="000000" w:themeColor="text1"/>
                <w:sz w:val="24"/>
                <w:szCs w:val="24"/>
              </w:rPr>
            </w:pP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w:t>
            </w:r>
          </w:p>
        </w:tc>
        <w:tc>
          <w:tcPr>
            <w:tcW w:w="2308" w:type="dxa"/>
          </w:tcPr>
          <w:p w14:paraId="7208081A" w14:textId="77777777" w:rsidR="006233FA" w:rsidRPr="00ED75E9" w:rsidRDefault="006233FA" w:rsidP="003C1B12">
            <w:pPr>
              <w:jc w:val="both"/>
              <w:rPr>
                <w:rFonts w:ascii="Times New Roman" w:hAnsi="Times New Roman" w:cs="Times New Roman"/>
                <w:color w:val="000000" w:themeColor="text1"/>
                <w:sz w:val="24"/>
                <w:szCs w:val="24"/>
              </w:rPr>
            </w:pPr>
          </w:p>
          <w:p w14:paraId="392BC48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γ</w:t>
            </w:r>
          </w:p>
        </w:tc>
        <w:tc>
          <w:tcPr>
            <w:tcW w:w="2712" w:type="dxa"/>
          </w:tcPr>
          <w:p w14:paraId="5F1E91C1" w14:textId="77777777" w:rsidR="006233FA" w:rsidRPr="00ED75E9" w:rsidRDefault="006233FA" w:rsidP="003C1B12">
            <w:pPr>
              <w:jc w:val="both"/>
              <w:rPr>
                <w:rFonts w:ascii="Times New Roman" w:hAnsi="Times New Roman" w:cs="Times New Roman"/>
                <w:color w:val="000000" w:themeColor="text1"/>
                <w:sz w:val="24"/>
                <w:szCs w:val="24"/>
              </w:rPr>
            </w:pPr>
          </w:p>
          <w:p w14:paraId="32CA93D9"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2.1</w:t>
            </w:r>
          </w:p>
        </w:tc>
        <w:tc>
          <w:tcPr>
            <w:tcW w:w="1904" w:type="dxa"/>
          </w:tcPr>
          <w:p w14:paraId="2096B38A" w14:textId="77777777" w:rsidR="006233FA" w:rsidRPr="00ED75E9" w:rsidRDefault="006233FA" w:rsidP="003C1B12">
            <w:pPr>
              <w:jc w:val="both"/>
              <w:rPr>
                <w:rFonts w:ascii="Times New Roman" w:hAnsi="Times New Roman" w:cs="Times New Roman"/>
                <w:color w:val="000000" w:themeColor="text1"/>
                <w:sz w:val="24"/>
                <w:szCs w:val="24"/>
              </w:rPr>
            </w:pPr>
          </w:p>
          <w:p w14:paraId="50728874"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18</w:t>
            </w:r>
          </w:p>
        </w:tc>
      </w:tr>
    </w:tbl>
    <w:p w14:paraId="222DA6E4" w14:textId="77777777" w:rsidR="006233FA" w:rsidRPr="00ED75E9" w:rsidRDefault="006233FA" w:rsidP="003C1B12">
      <w:pPr>
        <w:jc w:val="both"/>
        <w:rPr>
          <w:rFonts w:ascii="Times New Roman" w:hAnsi="Times New Roman" w:cs="Times New Roman"/>
          <w:color w:val="000000" w:themeColor="text1"/>
          <w:sz w:val="24"/>
          <w:szCs w:val="24"/>
        </w:rPr>
      </w:pPr>
    </w:p>
    <w:p w14:paraId="4C684CD3" w14:textId="77777777" w:rsidR="006233FA" w:rsidRPr="00ED75E9" w:rsidRDefault="006233FA" w:rsidP="003C1B12">
      <w:pPr>
        <w:jc w:val="both"/>
        <w:rPr>
          <w:rFonts w:ascii="Times New Roman" w:hAnsi="Times New Roman" w:cs="Times New Roman"/>
          <w:color w:val="000000" w:themeColor="text1"/>
          <w:sz w:val="24"/>
          <w:szCs w:val="24"/>
        </w:rPr>
      </w:pPr>
    </w:p>
    <w:p w14:paraId="50EA6C2F" w14:textId="77777777" w:rsidR="00706843" w:rsidRPr="00ED75E9" w:rsidRDefault="00706843" w:rsidP="003C1B12">
      <w:pPr>
        <w:pStyle w:val="NormalWeb"/>
        <w:jc w:val="both"/>
        <w:rPr>
          <w:color w:val="000000" w:themeColor="text1"/>
        </w:rPr>
      </w:pPr>
      <w:r w:rsidRPr="00ED75E9">
        <w:rPr>
          <w:noProof/>
          <w:color w:val="000000" w:themeColor="text1"/>
        </w:rPr>
        <w:lastRenderedPageBreak/>
        <w:drawing>
          <wp:inline distT="0" distB="0" distL="0" distR="0" wp14:anchorId="659ACFD7" wp14:editId="50685407">
            <wp:extent cx="4159971" cy="3017264"/>
            <wp:effectExtent l="0" t="0" r="0" b="0"/>
            <wp:docPr id="3" name="Picture 3"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outpu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428" cy="3024849"/>
                    </a:xfrm>
                    <a:prstGeom prst="rect">
                      <a:avLst/>
                    </a:prstGeom>
                    <a:noFill/>
                    <a:ln>
                      <a:noFill/>
                    </a:ln>
                  </pic:spPr>
                </pic:pic>
              </a:graphicData>
            </a:graphic>
          </wp:inline>
        </w:drawing>
      </w:r>
    </w:p>
    <w:p w14:paraId="4C453478" w14:textId="77777777" w:rsidR="00706843" w:rsidRDefault="00706843" w:rsidP="003C1B12">
      <w:pPr>
        <w:jc w:val="both"/>
        <w:rPr>
          <w:rFonts w:ascii="Times New Roman" w:hAnsi="Times New Roman" w:cs="Times New Roman"/>
          <w:b/>
          <w:color w:val="000000" w:themeColor="text1"/>
          <w:sz w:val="20"/>
          <w:szCs w:val="20"/>
        </w:rPr>
      </w:pPr>
      <w:r w:rsidRPr="00ED75E9">
        <w:rPr>
          <w:noProof/>
          <w:color w:val="000000" w:themeColor="text1"/>
        </w:rPr>
        <mc:AlternateContent>
          <mc:Choice Requires="wps">
            <w:drawing>
              <wp:inline distT="0" distB="0" distL="0" distR="0" wp14:anchorId="31ABB917" wp14:editId="23E875F5">
                <wp:extent cx="304800" cy="304800"/>
                <wp:effectExtent l="0" t="0" r="0" b="0"/>
                <wp:docPr id="2"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35F872"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UPr5p&#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ED75E9">
        <w:rPr>
          <w:rFonts w:ascii="Times New Roman" w:hAnsi="Times New Roman" w:cs="Times New Roman"/>
          <w:b/>
          <w:color w:val="000000" w:themeColor="text1"/>
          <w:sz w:val="20"/>
          <w:szCs w:val="20"/>
        </w:rPr>
        <w:t>Figure 2 Effect of biosurfactants produced by different bacterial isolates on plant growth</w:t>
      </w:r>
    </w:p>
    <w:p w14:paraId="4102C343" w14:textId="77777777" w:rsidR="007C225D" w:rsidRPr="00F5428D" w:rsidRDefault="007C225D" w:rsidP="003C1B12">
      <w:pPr>
        <w:jc w:val="both"/>
        <w:rPr>
          <w:rFonts w:ascii="Times New Roman" w:hAnsi="Times New Roman" w:cs="Times New Roman"/>
          <w:b/>
          <w:color w:val="000000" w:themeColor="text1"/>
          <w:sz w:val="24"/>
          <w:szCs w:val="24"/>
        </w:rPr>
      </w:pPr>
      <w:r w:rsidRPr="00F5428D">
        <w:rPr>
          <w:rFonts w:ascii="Times New Roman" w:hAnsi="Times New Roman" w:cs="Times New Roman"/>
          <w:b/>
          <w:color w:val="000000" w:themeColor="text1"/>
          <w:sz w:val="24"/>
          <w:szCs w:val="24"/>
        </w:rPr>
        <w:t xml:space="preserve">3.2 Discussion </w:t>
      </w:r>
    </w:p>
    <w:p w14:paraId="2209B483"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The presumptive identification of isolates revealed that biosurfactant-producing halophilic bacteria belonged mainly to the genera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and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The dominance of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species among the isolates is consistent with previous studies that have identified members of this genus as prolific </w:t>
      </w:r>
      <w:proofErr w:type="spellStart"/>
      <w:r w:rsidRPr="006E4289">
        <w:rPr>
          <w:rFonts w:ascii="Times New Roman" w:eastAsia="Times New Roman" w:hAnsi="Times New Roman" w:cs="Times New Roman"/>
          <w:sz w:val="24"/>
          <w:szCs w:val="24"/>
        </w:rPr>
        <w:t>biosurfactant</w:t>
      </w:r>
      <w:proofErr w:type="spellEnd"/>
      <w:r w:rsidRPr="006E4289">
        <w:rPr>
          <w:rFonts w:ascii="Times New Roman" w:eastAsia="Times New Roman" w:hAnsi="Times New Roman" w:cs="Times New Roman"/>
          <w:sz w:val="24"/>
          <w:szCs w:val="24"/>
        </w:rPr>
        <w:t xml:space="preserve"> producers, particularly </w:t>
      </w:r>
      <w:proofErr w:type="spellStart"/>
      <w:r w:rsidRPr="006E4289">
        <w:rPr>
          <w:rFonts w:ascii="Times New Roman" w:eastAsia="Times New Roman" w:hAnsi="Times New Roman" w:cs="Times New Roman"/>
          <w:sz w:val="24"/>
          <w:szCs w:val="24"/>
        </w:rPr>
        <w:t>lipopeptides</w:t>
      </w:r>
      <w:proofErr w:type="spellEnd"/>
      <w:r w:rsidRPr="006E4289">
        <w:rPr>
          <w:rFonts w:ascii="Times New Roman" w:eastAsia="Times New Roman" w:hAnsi="Times New Roman" w:cs="Times New Roman"/>
          <w:sz w:val="24"/>
          <w:szCs w:val="24"/>
        </w:rPr>
        <w:t xml:space="preserve"> such as </w:t>
      </w:r>
      <w:proofErr w:type="spellStart"/>
      <w:r w:rsidRPr="006E4289">
        <w:rPr>
          <w:rFonts w:ascii="Times New Roman" w:eastAsia="Times New Roman" w:hAnsi="Times New Roman" w:cs="Times New Roman"/>
          <w:sz w:val="24"/>
          <w:szCs w:val="24"/>
        </w:rPr>
        <w:t>surfactin</w:t>
      </w:r>
      <w:proofErr w:type="spellEnd"/>
      <w:r w:rsidRPr="006E4289">
        <w:rPr>
          <w:rFonts w:ascii="Times New Roman" w:eastAsia="Times New Roman" w:hAnsi="Times New Roman" w:cs="Times New Roman"/>
          <w:sz w:val="24"/>
          <w:szCs w:val="24"/>
        </w:rPr>
        <w:t xml:space="preserve">, which are effective under diverse environmental conditions (Banat et al., 2010). The isolation of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aligns with reports describing rhamnolipid production and strong hydrocarbon-degrading capabilities in contaminated environments (</w:t>
      </w:r>
      <w:proofErr w:type="spellStart"/>
      <w:r w:rsidRPr="006E4289">
        <w:rPr>
          <w:rFonts w:ascii="Times New Roman" w:eastAsia="Times New Roman" w:hAnsi="Times New Roman" w:cs="Times New Roman"/>
          <w:sz w:val="24"/>
          <w:szCs w:val="24"/>
        </w:rPr>
        <w:t>Cameotra</w:t>
      </w:r>
      <w:proofErr w:type="spellEnd"/>
      <w:r w:rsidRPr="006E4289">
        <w:rPr>
          <w:rFonts w:ascii="Times New Roman" w:eastAsia="Times New Roman" w:hAnsi="Times New Roman" w:cs="Times New Roman"/>
          <w:sz w:val="24"/>
          <w:szCs w:val="24"/>
        </w:rPr>
        <w:t xml:space="preserve"> &amp; </w:t>
      </w:r>
      <w:proofErr w:type="spellStart"/>
      <w:r w:rsidRPr="006E4289">
        <w:rPr>
          <w:rFonts w:ascii="Times New Roman" w:eastAsia="Times New Roman" w:hAnsi="Times New Roman" w:cs="Times New Roman"/>
          <w:sz w:val="24"/>
          <w:szCs w:val="24"/>
        </w:rPr>
        <w:t>Bollag</w:t>
      </w:r>
      <w:proofErr w:type="spellEnd"/>
      <w:r w:rsidRPr="006E4289">
        <w:rPr>
          <w:rFonts w:ascii="Times New Roman" w:eastAsia="Times New Roman" w:hAnsi="Times New Roman" w:cs="Times New Roman"/>
          <w:sz w:val="24"/>
          <w:szCs w:val="24"/>
        </w:rPr>
        <w:t xml:space="preserve">, 2003). Although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sp. was isolated, its lower biosurfactant activity suggests species- or strain-specific variability, as reported by Banat et al. (2014).</w:t>
      </w:r>
    </w:p>
    <w:p w14:paraId="695ED0E4"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The physicochemical analysis demonstrated marked differences between contaminated and control soils. Contaminated sites exhibited acidic pH, reduced organic matter, elevated electrical conductivity, and extremely high total petroleum hydrocarbon concentrations compared with the control </w:t>
      </w:r>
      <w:commentRangeStart w:id="16"/>
      <w:r w:rsidRPr="006E4289">
        <w:rPr>
          <w:rFonts w:ascii="Times New Roman" w:eastAsia="Times New Roman" w:hAnsi="Times New Roman" w:cs="Times New Roman"/>
          <w:sz w:val="24"/>
          <w:szCs w:val="24"/>
        </w:rPr>
        <w:t>site</w:t>
      </w:r>
      <w:commentRangeEnd w:id="16"/>
      <w:r w:rsidR="00383C75">
        <w:rPr>
          <w:rStyle w:val="CommentReference"/>
        </w:rPr>
        <w:commentReference w:id="16"/>
      </w:r>
      <w:r w:rsidRPr="006E4289">
        <w:rPr>
          <w:rFonts w:ascii="Times New Roman" w:eastAsia="Times New Roman" w:hAnsi="Times New Roman" w:cs="Times New Roman"/>
          <w:sz w:val="24"/>
          <w:szCs w:val="24"/>
        </w:rPr>
        <w:t xml:space="preserve">. These conditions are characteristic of hydrocarbon-polluted soils and are known to suppress plant growth while selectively </w:t>
      </w:r>
      <w:r w:rsidRPr="006E4289">
        <w:rPr>
          <w:rFonts w:ascii="Times New Roman" w:eastAsia="Times New Roman" w:hAnsi="Times New Roman" w:cs="Times New Roman"/>
          <w:sz w:val="24"/>
          <w:szCs w:val="24"/>
        </w:rPr>
        <w:lastRenderedPageBreak/>
        <w:t xml:space="preserve">enriching hydrocarbon-tolerant microorganisms (Atlas &amp; Hazen, 2011; Das &amp; Chandran, 2011). The high electrical conductivity observed supports the suitability of halophilic bacteria in such </w:t>
      </w:r>
      <w:commentRangeStart w:id="17"/>
      <w:r w:rsidRPr="006E4289">
        <w:rPr>
          <w:rFonts w:ascii="Times New Roman" w:eastAsia="Times New Roman" w:hAnsi="Times New Roman" w:cs="Times New Roman"/>
          <w:sz w:val="24"/>
          <w:szCs w:val="24"/>
        </w:rPr>
        <w:t>environments</w:t>
      </w:r>
      <w:commentRangeEnd w:id="17"/>
      <w:r w:rsidR="00383C75">
        <w:rPr>
          <w:rStyle w:val="CommentReference"/>
        </w:rPr>
        <w:commentReference w:id="17"/>
      </w:r>
      <w:r w:rsidRPr="006E4289">
        <w:rPr>
          <w:rFonts w:ascii="Times New Roman" w:eastAsia="Times New Roman" w:hAnsi="Times New Roman" w:cs="Times New Roman"/>
          <w:sz w:val="24"/>
          <w:szCs w:val="24"/>
        </w:rPr>
        <w:t>.</w:t>
      </w:r>
    </w:p>
    <w:p w14:paraId="7580A9B8"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Higher halophilic bacterial counts were recorded in contaminated sites than in the control soil, indicating adaptive enrichment of specialized microbial populations in response to hydrocarbon stress. Similar increases in microbial abundance have been reported in petroleum-impacted soils, where indigenous microorganisms adapt to contamination and contribute to natural attenuation processes (</w:t>
      </w:r>
      <w:proofErr w:type="spellStart"/>
      <w:r w:rsidRPr="006E4289">
        <w:rPr>
          <w:rFonts w:ascii="Times New Roman" w:eastAsia="Times New Roman" w:hAnsi="Times New Roman" w:cs="Times New Roman"/>
          <w:sz w:val="24"/>
          <w:szCs w:val="24"/>
        </w:rPr>
        <w:t>Margesin</w:t>
      </w:r>
      <w:proofErr w:type="spellEnd"/>
      <w:r w:rsidRPr="006E4289">
        <w:rPr>
          <w:rFonts w:ascii="Times New Roman" w:eastAsia="Times New Roman" w:hAnsi="Times New Roman" w:cs="Times New Roman"/>
          <w:sz w:val="24"/>
          <w:szCs w:val="24"/>
        </w:rPr>
        <w:t xml:space="preserve"> &amp; </w:t>
      </w:r>
      <w:proofErr w:type="spellStart"/>
      <w:r w:rsidRPr="006E4289">
        <w:rPr>
          <w:rFonts w:ascii="Times New Roman" w:eastAsia="Times New Roman" w:hAnsi="Times New Roman" w:cs="Times New Roman"/>
          <w:sz w:val="24"/>
          <w:szCs w:val="24"/>
        </w:rPr>
        <w:t>Schinner</w:t>
      </w:r>
      <w:proofErr w:type="spellEnd"/>
      <w:r w:rsidRPr="006E4289">
        <w:rPr>
          <w:rFonts w:ascii="Times New Roman" w:eastAsia="Times New Roman" w:hAnsi="Times New Roman" w:cs="Times New Roman"/>
          <w:sz w:val="24"/>
          <w:szCs w:val="24"/>
        </w:rPr>
        <w:t>, 2001).</w:t>
      </w:r>
    </w:p>
    <w:p w14:paraId="63FBF173" w14:textId="77777777" w:rsidR="007C225D" w:rsidRPr="003C1B12"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Biosurfactant screening revealed that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and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exhibited the highest emulsification indices and oil displacement activities, indicating strong surface-active </w:t>
      </w:r>
      <w:commentRangeStart w:id="18"/>
      <w:r w:rsidRPr="006E4289">
        <w:rPr>
          <w:rFonts w:ascii="Times New Roman" w:eastAsia="Times New Roman" w:hAnsi="Times New Roman" w:cs="Times New Roman"/>
          <w:sz w:val="24"/>
          <w:szCs w:val="24"/>
        </w:rPr>
        <w:t>properties</w:t>
      </w:r>
      <w:commentRangeEnd w:id="18"/>
      <w:r w:rsidR="0024499D">
        <w:rPr>
          <w:rStyle w:val="CommentReference"/>
        </w:rPr>
        <w:commentReference w:id="18"/>
      </w:r>
      <w:r w:rsidRPr="006E4289">
        <w:rPr>
          <w:rFonts w:ascii="Times New Roman" w:eastAsia="Times New Roman" w:hAnsi="Times New Roman" w:cs="Times New Roman"/>
          <w:sz w:val="24"/>
          <w:szCs w:val="24"/>
        </w:rPr>
        <w:t xml:space="preserve">. These findings are comparable to reports by </w:t>
      </w:r>
      <w:proofErr w:type="spellStart"/>
      <w:r w:rsidRPr="006E4289">
        <w:rPr>
          <w:rFonts w:ascii="Times New Roman" w:eastAsia="Times New Roman" w:hAnsi="Times New Roman" w:cs="Times New Roman"/>
          <w:sz w:val="24"/>
          <w:szCs w:val="24"/>
        </w:rPr>
        <w:t>Pacwa-Płociniczak</w:t>
      </w:r>
      <w:proofErr w:type="spellEnd"/>
      <w:r w:rsidRPr="006E4289">
        <w:rPr>
          <w:rFonts w:ascii="Times New Roman" w:eastAsia="Times New Roman" w:hAnsi="Times New Roman" w:cs="Times New Roman"/>
          <w:sz w:val="24"/>
          <w:szCs w:val="24"/>
        </w:rPr>
        <w:t xml:space="preserve"> et al. (2011), </w:t>
      </w:r>
      <w:commentRangeStart w:id="19"/>
      <w:r w:rsidRPr="006E4289">
        <w:rPr>
          <w:rFonts w:ascii="Times New Roman" w:eastAsia="Times New Roman" w:hAnsi="Times New Roman" w:cs="Times New Roman"/>
          <w:sz w:val="24"/>
          <w:szCs w:val="24"/>
        </w:rPr>
        <w:t>who</w:t>
      </w:r>
      <w:commentRangeEnd w:id="19"/>
      <w:r w:rsidR="0024499D">
        <w:rPr>
          <w:rStyle w:val="CommentReference"/>
        </w:rPr>
        <w:commentReference w:id="19"/>
      </w:r>
      <w:r w:rsidRPr="006E4289">
        <w:rPr>
          <w:rFonts w:ascii="Times New Roman" w:eastAsia="Times New Roman" w:hAnsi="Times New Roman" w:cs="Times New Roman"/>
          <w:sz w:val="24"/>
          <w:szCs w:val="24"/>
        </w:rPr>
        <w:t xml:space="preserve"> documented high E24 values for efficient biosurfactant producers. In contrast, the weak activity observed for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sp. suggests limited biosurfactant yield or lower emulsification efficiency.</w:t>
      </w:r>
    </w:p>
    <w:p w14:paraId="536AC17C" w14:textId="77777777" w:rsidR="007C225D" w:rsidRPr="003C1B12"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3C1B12">
        <w:rPr>
          <w:rFonts w:ascii="Times New Roman" w:eastAsia="Times New Roman" w:hAnsi="Times New Roman" w:cs="Times New Roman"/>
          <w:sz w:val="24"/>
          <w:szCs w:val="24"/>
        </w:rPr>
        <w:t xml:space="preserve">Application of biosurfactants significantly improved plant growth compared with the untreated control, with </w:t>
      </w:r>
      <w:r w:rsidRPr="003C1B12">
        <w:rPr>
          <w:rFonts w:ascii="Times New Roman" w:eastAsia="Times New Roman" w:hAnsi="Times New Roman" w:cs="Times New Roman"/>
          <w:i/>
          <w:iCs/>
          <w:sz w:val="24"/>
          <w:szCs w:val="24"/>
        </w:rPr>
        <w:t>Bacillus</w:t>
      </w:r>
      <w:r w:rsidRPr="003C1B12">
        <w:rPr>
          <w:rFonts w:ascii="Times New Roman" w:eastAsia="Times New Roman" w:hAnsi="Times New Roman" w:cs="Times New Roman"/>
          <w:sz w:val="24"/>
          <w:szCs w:val="24"/>
        </w:rPr>
        <w:t xml:space="preserve"> sp. HB1 showing the greatest enhancement in plant height, followed by </w:t>
      </w:r>
      <w:r w:rsidRPr="003C1B12">
        <w:rPr>
          <w:rFonts w:ascii="Times New Roman" w:eastAsia="Times New Roman" w:hAnsi="Times New Roman" w:cs="Times New Roman"/>
          <w:i/>
          <w:iCs/>
          <w:sz w:val="24"/>
          <w:szCs w:val="24"/>
        </w:rPr>
        <w:t>Bacillus</w:t>
      </w:r>
      <w:r w:rsidRPr="003C1B12">
        <w:rPr>
          <w:rFonts w:ascii="Times New Roman" w:eastAsia="Times New Roman" w:hAnsi="Times New Roman" w:cs="Times New Roman"/>
          <w:sz w:val="24"/>
          <w:szCs w:val="24"/>
        </w:rPr>
        <w:t xml:space="preserve"> sp. HB2 and </w:t>
      </w:r>
      <w:r w:rsidRPr="003C1B12">
        <w:rPr>
          <w:rFonts w:ascii="Times New Roman" w:eastAsia="Times New Roman" w:hAnsi="Times New Roman" w:cs="Times New Roman"/>
          <w:i/>
          <w:iCs/>
          <w:sz w:val="24"/>
          <w:szCs w:val="24"/>
        </w:rPr>
        <w:t>Pseudomonas</w:t>
      </w:r>
      <w:r w:rsidRPr="003C1B12">
        <w:rPr>
          <w:rFonts w:ascii="Times New Roman" w:eastAsia="Times New Roman" w:hAnsi="Times New Roman" w:cs="Times New Roman"/>
          <w:sz w:val="24"/>
          <w:szCs w:val="24"/>
        </w:rPr>
        <w:t xml:space="preserve"> sp. </w:t>
      </w:r>
      <w:commentRangeStart w:id="20"/>
      <w:r w:rsidRPr="003C1B12">
        <w:rPr>
          <w:rFonts w:ascii="Times New Roman" w:eastAsia="Times New Roman" w:hAnsi="Times New Roman" w:cs="Times New Roman"/>
          <w:sz w:val="24"/>
          <w:szCs w:val="24"/>
        </w:rPr>
        <w:t>HB3</w:t>
      </w:r>
      <w:commentRangeEnd w:id="20"/>
      <w:r w:rsidR="0024499D">
        <w:rPr>
          <w:rStyle w:val="CommentReference"/>
        </w:rPr>
        <w:commentReference w:id="20"/>
      </w:r>
      <w:r w:rsidRPr="003C1B12">
        <w:rPr>
          <w:rFonts w:ascii="Times New Roman" w:eastAsia="Times New Roman" w:hAnsi="Times New Roman" w:cs="Times New Roman"/>
          <w:sz w:val="24"/>
          <w:szCs w:val="24"/>
        </w:rPr>
        <w:t xml:space="preserve">. </w:t>
      </w:r>
      <w:r w:rsidR="003C1B12" w:rsidRPr="003C1B12">
        <w:rPr>
          <w:rFonts w:ascii="Times New Roman" w:hAnsi="Times New Roman" w:cs="Times New Roman"/>
          <w:sz w:val="24"/>
          <w:szCs w:val="24"/>
        </w:rPr>
        <w:t>The observed improvement in plant growth reflects the overall effectiveness of biosurfactant-treated soils rather than concentration-specific effects, as plant growth data were pooled across treatment levels</w:t>
      </w:r>
      <w:r w:rsidR="003C1B12">
        <w:rPr>
          <w:rFonts w:ascii="Times New Roman" w:hAnsi="Times New Roman" w:cs="Times New Roman"/>
          <w:sz w:val="24"/>
          <w:szCs w:val="24"/>
        </w:rPr>
        <w:t xml:space="preserve">. </w:t>
      </w:r>
      <w:r w:rsidRPr="003C1B12">
        <w:rPr>
          <w:rFonts w:ascii="Times New Roman" w:eastAsia="Times New Roman" w:hAnsi="Times New Roman" w:cs="Times New Roman"/>
          <w:sz w:val="24"/>
          <w:szCs w:val="24"/>
        </w:rPr>
        <w:t xml:space="preserve">This improvement is attributed to reduced hydrocarbon toxicity and improved soil conditions following biosurfactant action. Similar enhancements in plant growth following biosurfactant-assisted remediation have been reported by </w:t>
      </w:r>
      <w:proofErr w:type="spellStart"/>
      <w:r w:rsidRPr="003C1B12">
        <w:rPr>
          <w:rFonts w:ascii="Times New Roman" w:eastAsia="Times New Roman" w:hAnsi="Times New Roman" w:cs="Times New Roman"/>
          <w:sz w:val="24"/>
          <w:szCs w:val="24"/>
        </w:rPr>
        <w:t>Urum</w:t>
      </w:r>
      <w:proofErr w:type="spellEnd"/>
      <w:r w:rsidRPr="003C1B12">
        <w:rPr>
          <w:rFonts w:ascii="Times New Roman" w:eastAsia="Times New Roman" w:hAnsi="Times New Roman" w:cs="Times New Roman"/>
          <w:sz w:val="24"/>
          <w:szCs w:val="24"/>
        </w:rPr>
        <w:t xml:space="preserve"> et al. (2004) and Adetutu et al. (2015), confirming the dual environmental and agronomic benefits of biosurfactant application.</w:t>
      </w:r>
    </w:p>
    <w:p w14:paraId="418DA3CA" w14:textId="77777777" w:rsidR="007C225D" w:rsidRDefault="007C225D" w:rsidP="003C1B12">
      <w:pPr>
        <w:jc w:val="both"/>
        <w:rPr>
          <w:rFonts w:ascii="Times New Roman" w:eastAsia="Times New Roman" w:hAnsi="Times New Roman" w:cs="Times New Roman"/>
          <w:sz w:val="24"/>
          <w:szCs w:val="24"/>
        </w:rPr>
      </w:pPr>
      <w:commentRangeStart w:id="21"/>
      <w:r w:rsidRPr="006E4289">
        <w:rPr>
          <w:rFonts w:ascii="Times New Roman" w:eastAsia="Times New Roman" w:hAnsi="Times New Roman" w:cs="Times New Roman"/>
          <w:sz w:val="24"/>
          <w:szCs w:val="24"/>
        </w:rPr>
        <w:t xml:space="preserve">Overall, </w:t>
      </w:r>
      <w:commentRangeEnd w:id="21"/>
      <w:r w:rsidR="0024499D">
        <w:rPr>
          <w:rStyle w:val="CommentReference"/>
        </w:rPr>
        <w:commentReference w:id="21"/>
      </w:r>
      <w:r w:rsidRPr="006E4289">
        <w:rPr>
          <w:rFonts w:ascii="Times New Roman" w:eastAsia="Times New Roman" w:hAnsi="Times New Roman" w:cs="Times New Roman"/>
          <w:sz w:val="24"/>
          <w:szCs w:val="24"/>
        </w:rPr>
        <w:t xml:space="preserve">the </w:t>
      </w:r>
      <w:commentRangeStart w:id="22"/>
      <w:r w:rsidRPr="006E4289">
        <w:rPr>
          <w:rFonts w:ascii="Times New Roman" w:eastAsia="Times New Roman" w:hAnsi="Times New Roman" w:cs="Times New Roman"/>
          <w:sz w:val="24"/>
          <w:szCs w:val="24"/>
        </w:rPr>
        <w:t>results</w:t>
      </w:r>
      <w:commentRangeEnd w:id="22"/>
      <w:r w:rsidR="0024499D">
        <w:rPr>
          <w:rStyle w:val="CommentReference"/>
        </w:rPr>
        <w:commentReference w:id="22"/>
      </w:r>
      <w:r w:rsidRPr="006E4289">
        <w:rPr>
          <w:rFonts w:ascii="Times New Roman" w:eastAsia="Times New Roman" w:hAnsi="Times New Roman" w:cs="Times New Roman"/>
          <w:sz w:val="24"/>
          <w:szCs w:val="24"/>
        </w:rPr>
        <w:t xml:space="preserve"> demonstrate that </w:t>
      </w:r>
      <w:proofErr w:type="spellStart"/>
      <w:r w:rsidRPr="006E4289">
        <w:rPr>
          <w:rFonts w:ascii="Times New Roman" w:eastAsia="Times New Roman" w:hAnsi="Times New Roman" w:cs="Times New Roman"/>
          <w:sz w:val="24"/>
          <w:szCs w:val="24"/>
        </w:rPr>
        <w:t>biosurfactants</w:t>
      </w:r>
      <w:proofErr w:type="spellEnd"/>
      <w:r w:rsidRPr="006E4289">
        <w:rPr>
          <w:rFonts w:ascii="Times New Roman" w:eastAsia="Times New Roman" w:hAnsi="Times New Roman" w:cs="Times New Roman"/>
          <w:sz w:val="24"/>
          <w:szCs w:val="24"/>
        </w:rPr>
        <w:t xml:space="preserve"> produced by indigenous halophilic bacteria can significantly contribute to hydrocarbon degradation and soil recovery.</w:t>
      </w:r>
    </w:p>
    <w:p w14:paraId="4D6C6DFA" w14:textId="77777777" w:rsidR="000E39C3" w:rsidRDefault="000E39C3" w:rsidP="003C1B12">
      <w:pPr>
        <w:jc w:val="both"/>
        <w:rPr>
          <w:rFonts w:ascii="Times New Roman" w:eastAsia="Times New Roman" w:hAnsi="Times New Roman" w:cs="Times New Roman"/>
          <w:b/>
          <w:sz w:val="24"/>
          <w:szCs w:val="24"/>
        </w:rPr>
      </w:pPr>
    </w:p>
    <w:p w14:paraId="53C3FD11" w14:textId="77777777" w:rsidR="000E39C3" w:rsidRDefault="000E39C3" w:rsidP="003C1B12">
      <w:pPr>
        <w:jc w:val="both"/>
        <w:rPr>
          <w:rFonts w:ascii="Times New Roman" w:eastAsia="Times New Roman" w:hAnsi="Times New Roman" w:cs="Times New Roman"/>
          <w:b/>
          <w:sz w:val="24"/>
          <w:szCs w:val="24"/>
        </w:rPr>
      </w:pPr>
    </w:p>
    <w:p w14:paraId="71D14BE1" w14:textId="77777777" w:rsidR="003C1B12" w:rsidRDefault="003C1B12" w:rsidP="003C1B12">
      <w:pPr>
        <w:jc w:val="both"/>
        <w:rPr>
          <w:rFonts w:ascii="Times New Roman" w:eastAsia="Times New Roman" w:hAnsi="Times New Roman" w:cs="Times New Roman"/>
          <w:b/>
          <w:sz w:val="24"/>
          <w:szCs w:val="24"/>
        </w:rPr>
      </w:pPr>
      <w:r w:rsidRPr="003C1B12">
        <w:rPr>
          <w:rFonts w:ascii="Times New Roman" w:eastAsia="Times New Roman" w:hAnsi="Times New Roman" w:cs="Times New Roman"/>
          <w:b/>
          <w:sz w:val="24"/>
          <w:szCs w:val="24"/>
        </w:rPr>
        <w:lastRenderedPageBreak/>
        <w:t>3.3 Conclusion</w:t>
      </w:r>
    </w:p>
    <w:p w14:paraId="0558EC3B" w14:textId="77777777" w:rsidR="003C1B12" w:rsidRPr="006E4289"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This study demonstrated that hydrocarbon-contaminated soils harbor halophilic bacterial populations capable of producing biosurfactants with significant environmental benefits. Presumptive identification showed that isolates belonging to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and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genera were associated with biosurfactant production. Physicochemical analyses confirmed severe hydrocarbon contamination at the sampled sites, characterized by elevated total petroleum hydrocarbon concentrations, reduced organic matter content, and increased electrical conductivity compared with the control soil. Despite these harsh conditions, contaminated soils supported higher halophilic bacterial populations, indicating microbial adaptation to hydrocarbon stress.</w:t>
      </w:r>
    </w:p>
    <w:p w14:paraId="3F6B3FB7"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Biosurfactant screening revealed isolate-specific variation in surface-active properties, with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and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HB3 exhibiting stronger emulsification and oil displacement activities than other isolates. Application of biosurfactants significantly enhanced plant growth in treated soils compared with the untreated control, with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showing the greatest improvement in plant height. These findings indicate that biosurfactant production by indigenous halophilic bacteria can mitigate the adverse effects of hydrocarbon contamination and contribute to partial restoration of soil productivity. Overall, the study highlights the potential of biosurfactant-assisted bioremediation as an environmentally sustainable approach for managing hydrocarbon-polluted soils.</w:t>
      </w:r>
    </w:p>
    <w:p w14:paraId="107836BC" w14:textId="77777777" w:rsidR="003C1B12" w:rsidRPr="003C1B12" w:rsidRDefault="003C1B12" w:rsidP="003C1B12">
      <w:pPr>
        <w:spacing w:before="100" w:beforeAutospacing="1" w:after="100" w:afterAutospacing="1" w:line="360" w:lineRule="auto"/>
        <w:jc w:val="both"/>
        <w:rPr>
          <w:rFonts w:ascii="Times New Roman" w:eastAsia="Times New Roman" w:hAnsi="Times New Roman" w:cs="Times New Roman"/>
          <w:b/>
          <w:sz w:val="24"/>
          <w:szCs w:val="24"/>
        </w:rPr>
      </w:pPr>
      <w:r w:rsidRPr="003C1B12">
        <w:rPr>
          <w:rFonts w:ascii="Times New Roman" w:eastAsia="Times New Roman" w:hAnsi="Times New Roman" w:cs="Times New Roman"/>
          <w:b/>
          <w:bCs/>
          <w:sz w:val="24"/>
          <w:szCs w:val="24"/>
        </w:rPr>
        <w:t>Recommendations</w:t>
      </w:r>
    </w:p>
    <w:p w14:paraId="6ED8894F"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bCs/>
          <w:sz w:val="24"/>
          <w:szCs w:val="24"/>
        </w:rPr>
        <w:t>Field-scale validation</w:t>
      </w:r>
      <w:r w:rsidRPr="006E4289">
        <w:rPr>
          <w:rFonts w:ascii="Times New Roman" w:eastAsia="Times New Roman" w:hAnsi="Times New Roman" w:cs="Times New Roman"/>
          <w:sz w:val="24"/>
          <w:szCs w:val="24"/>
        </w:rPr>
        <w:t xml:space="preserve"> of biosurfactant application is recommended to confirm laboratory findings under natural environmental conditions and soil heterogeneity.</w:t>
      </w:r>
    </w:p>
    <w:p w14:paraId="041892B0"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bCs/>
          <w:sz w:val="24"/>
          <w:szCs w:val="24"/>
        </w:rPr>
        <w:t>Molecular characterization</w:t>
      </w:r>
      <w:r w:rsidRPr="006E4289">
        <w:rPr>
          <w:rFonts w:ascii="Times New Roman" w:eastAsia="Times New Roman" w:hAnsi="Times New Roman" w:cs="Times New Roman"/>
          <w:sz w:val="24"/>
          <w:szCs w:val="24"/>
        </w:rPr>
        <w:t xml:space="preserve"> (e.g., 16S rRNA gene sequencing) should be conducted in future studies to confirm the taxonomic identity of biosurfactant-producing isolates.</w:t>
      </w:r>
    </w:p>
    <w:p w14:paraId="3DC02E7F"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Optimization of </w:t>
      </w:r>
      <w:r w:rsidRPr="006E4289">
        <w:rPr>
          <w:rFonts w:ascii="Times New Roman" w:eastAsia="Times New Roman" w:hAnsi="Times New Roman" w:cs="Times New Roman"/>
          <w:bCs/>
          <w:sz w:val="24"/>
          <w:szCs w:val="24"/>
        </w:rPr>
        <w:t>biosurfactant production conditions</w:t>
      </w:r>
      <w:r w:rsidRPr="006E4289">
        <w:rPr>
          <w:rFonts w:ascii="Times New Roman" w:eastAsia="Times New Roman" w:hAnsi="Times New Roman" w:cs="Times New Roman"/>
          <w:sz w:val="24"/>
          <w:szCs w:val="24"/>
        </w:rPr>
        <w:t xml:space="preserve"> and dosage levels is recommended to enhance remediation efficiency and cost-effectiveness.</w:t>
      </w:r>
    </w:p>
    <w:p w14:paraId="10C49FB2"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lastRenderedPageBreak/>
        <w:t xml:space="preserve">Long-term studies should assess the </w:t>
      </w:r>
      <w:r w:rsidRPr="006E4289">
        <w:rPr>
          <w:rFonts w:ascii="Times New Roman" w:eastAsia="Times New Roman" w:hAnsi="Times New Roman" w:cs="Times New Roman"/>
          <w:bCs/>
          <w:sz w:val="24"/>
          <w:szCs w:val="24"/>
        </w:rPr>
        <w:t>ecological impact</w:t>
      </w:r>
      <w:r w:rsidRPr="006E4289">
        <w:rPr>
          <w:rFonts w:ascii="Times New Roman" w:eastAsia="Times New Roman" w:hAnsi="Times New Roman" w:cs="Times New Roman"/>
          <w:sz w:val="24"/>
          <w:szCs w:val="24"/>
        </w:rPr>
        <w:t xml:space="preserve"> of biosurfactant application on soil microbial communities and nutrient cycling.</w:t>
      </w:r>
    </w:p>
    <w:p w14:paraId="622F362B" w14:textId="77777777" w:rsidR="003C1B12"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Integration of biosurfactant-based bioremediation into </w:t>
      </w:r>
      <w:r w:rsidRPr="006E4289">
        <w:rPr>
          <w:rFonts w:ascii="Times New Roman" w:eastAsia="Times New Roman" w:hAnsi="Times New Roman" w:cs="Times New Roman"/>
          <w:bCs/>
          <w:sz w:val="24"/>
          <w:szCs w:val="24"/>
        </w:rPr>
        <w:t>environmental management and agricultural recovery strategies</w:t>
      </w:r>
      <w:r w:rsidRPr="006E4289">
        <w:rPr>
          <w:rFonts w:ascii="Times New Roman" w:eastAsia="Times New Roman" w:hAnsi="Times New Roman" w:cs="Times New Roman"/>
          <w:sz w:val="24"/>
          <w:szCs w:val="24"/>
        </w:rPr>
        <w:t xml:space="preserve"> is encouraged, particularly in regions affected by chronic petroleum contamination.</w:t>
      </w:r>
    </w:p>
    <w:p w14:paraId="52402CDD" w14:textId="77777777" w:rsidR="003C1B12" w:rsidRPr="003C1B12" w:rsidRDefault="003C1B12" w:rsidP="000E39C3">
      <w:pPr>
        <w:spacing w:after="0" w:line="240" w:lineRule="auto"/>
        <w:jc w:val="both"/>
        <w:rPr>
          <w:rFonts w:ascii="Times New Roman" w:eastAsia="Times New Roman" w:hAnsi="Times New Roman" w:cs="Times New Roman"/>
          <w:sz w:val="24"/>
          <w:szCs w:val="24"/>
        </w:rPr>
      </w:pPr>
      <w:r w:rsidRPr="003C1B12">
        <w:rPr>
          <w:rStyle w:val="Strong"/>
          <w:rFonts w:ascii="Times New Roman" w:hAnsi="Times New Roman" w:cs="Times New Roman"/>
          <w:bCs w:val="0"/>
          <w:color w:val="000000" w:themeColor="text1"/>
          <w:sz w:val="24"/>
          <w:szCs w:val="24"/>
        </w:rPr>
        <w:t>References</w:t>
      </w:r>
    </w:p>
    <w:p w14:paraId="19BD7B68" w14:textId="77777777" w:rsidR="003C1B12" w:rsidRPr="006E4289" w:rsidRDefault="003C1B12" w:rsidP="000E39C3">
      <w:pPr>
        <w:pStyle w:val="NormalWeb"/>
        <w:spacing w:before="0" w:beforeAutospacing="0" w:after="0" w:afterAutospacing="0"/>
        <w:ind w:left="720" w:hanging="720"/>
        <w:jc w:val="both"/>
      </w:pPr>
      <w:proofErr w:type="spellStart"/>
      <w:proofErr w:type="gramStart"/>
      <w:r w:rsidRPr="006E4289">
        <w:t>Adetutu</w:t>
      </w:r>
      <w:proofErr w:type="spellEnd"/>
      <w:r w:rsidRPr="006E4289">
        <w:t>, E. M., Ball, A. S., Osborn, A. M., &amp; Mazy, S. C. (2015).</w:t>
      </w:r>
      <w:proofErr w:type="gramEnd"/>
      <w:r w:rsidRPr="006E4289">
        <w:t xml:space="preserve"> Bioremediation of hydrocarbon-contaminated soils: Advances and perspectives. </w:t>
      </w:r>
      <w:r w:rsidRPr="006E4289">
        <w:rPr>
          <w:rStyle w:val="Emphasis"/>
        </w:rPr>
        <w:t>Applied Microbiology and Biotechnology, 99</w:t>
      </w:r>
      <w:r w:rsidRPr="006E4289">
        <w:t>(13), 5531–5546.</w:t>
      </w:r>
    </w:p>
    <w:p w14:paraId="15340BF8" w14:textId="77777777" w:rsidR="003C1B12" w:rsidRPr="006E4289" w:rsidRDefault="003C1B12" w:rsidP="000E39C3">
      <w:pPr>
        <w:pStyle w:val="NormalWeb"/>
        <w:spacing w:before="0" w:beforeAutospacing="0" w:after="0" w:afterAutospacing="0"/>
        <w:ind w:left="720" w:hanging="720"/>
        <w:jc w:val="both"/>
      </w:pPr>
      <w:r w:rsidRPr="006E4289">
        <w:t xml:space="preserve">Atlas, R. M., &amp; Hazen, T. C. (2011). Oil biodegradation and bioremediation: A tale of the two worst spills in U.S. history. </w:t>
      </w:r>
      <w:r w:rsidRPr="006E4289">
        <w:rPr>
          <w:rStyle w:val="Emphasis"/>
        </w:rPr>
        <w:t>Environmental Science &amp; Technology, 45</w:t>
      </w:r>
      <w:r w:rsidRPr="006E4289">
        <w:t>(16), 6709–6715.</w:t>
      </w:r>
    </w:p>
    <w:p w14:paraId="08BBE2A4" w14:textId="77777777" w:rsidR="003C1B12" w:rsidRPr="006E4289" w:rsidRDefault="003C1B12" w:rsidP="000E39C3">
      <w:pPr>
        <w:spacing w:after="0" w:line="240" w:lineRule="auto"/>
        <w:ind w:left="720" w:hanging="720"/>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Banat, I. M., Franzetti, A., Gandolfi, I., </w:t>
      </w:r>
      <w:proofErr w:type="spellStart"/>
      <w:r w:rsidRPr="006E4289">
        <w:rPr>
          <w:rFonts w:ascii="Times New Roman" w:eastAsia="Times New Roman" w:hAnsi="Times New Roman" w:cs="Times New Roman"/>
          <w:sz w:val="24"/>
          <w:szCs w:val="24"/>
        </w:rPr>
        <w:t>Bestetti</w:t>
      </w:r>
      <w:proofErr w:type="spellEnd"/>
      <w:r w:rsidRPr="006E4289">
        <w:rPr>
          <w:rFonts w:ascii="Times New Roman" w:eastAsia="Times New Roman" w:hAnsi="Times New Roman" w:cs="Times New Roman"/>
          <w:sz w:val="24"/>
          <w:szCs w:val="24"/>
        </w:rPr>
        <w:t xml:space="preserve">, G., Martinotti, M. G., Fracchia, L., Smyth, T. J., &amp; Marchant, R. (2010). Microbial biosurfactants: Production, applications and future potential. </w:t>
      </w:r>
      <w:r w:rsidRPr="006E4289">
        <w:rPr>
          <w:rFonts w:ascii="Times New Roman" w:eastAsia="Times New Roman" w:hAnsi="Times New Roman" w:cs="Times New Roman"/>
          <w:i/>
          <w:iCs/>
          <w:sz w:val="24"/>
          <w:szCs w:val="24"/>
        </w:rPr>
        <w:t>Applied Microbiology and Biotechnology, 87</w:t>
      </w:r>
      <w:r w:rsidRPr="006E4289">
        <w:rPr>
          <w:rFonts w:ascii="Times New Roman" w:eastAsia="Times New Roman" w:hAnsi="Times New Roman" w:cs="Times New Roman"/>
          <w:sz w:val="24"/>
          <w:szCs w:val="24"/>
        </w:rPr>
        <w:t>(2), 427–444.</w:t>
      </w:r>
    </w:p>
    <w:p w14:paraId="2AF2743D" w14:textId="77777777" w:rsidR="003C1B12" w:rsidRPr="006E4289" w:rsidRDefault="003C1B12" w:rsidP="000E39C3">
      <w:pPr>
        <w:spacing w:after="0" w:line="240" w:lineRule="auto"/>
        <w:ind w:left="720" w:hanging="720"/>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Banat, I. M., Satpute, S. K., </w:t>
      </w:r>
      <w:proofErr w:type="spellStart"/>
      <w:r w:rsidRPr="006E4289">
        <w:rPr>
          <w:rFonts w:ascii="Times New Roman" w:eastAsia="Times New Roman" w:hAnsi="Times New Roman" w:cs="Times New Roman"/>
          <w:sz w:val="24"/>
          <w:szCs w:val="24"/>
        </w:rPr>
        <w:t>Cameotra</w:t>
      </w:r>
      <w:proofErr w:type="spellEnd"/>
      <w:r w:rsidRPr="006E4289">
        <w:rPr>
          <w:rFonts w:ascii="Times New Roman" w:eastAsia="Times New Roman" w:hAnsi="Times New Roman" w:cs="Times New Roman"/>
          <w:sz w:val="24"/>
          <w:szCs w:val="24"/>
        </w:rPr>
        <w:t xml:space="preserve">, S. S., Patil, R., &amp; </w:t>
      </w:r>
      <w:proofErr w:type="spellStart"/>
      <w:r w:rsidRPr="006E4289">
        <w:rPr>
          <w:rFonts w:ascii="Times New Roman" w:eastAsia="Times New Roman" w:hAnsi="Times New Roman" w:cs="Times New Roman"/>
          <w:sz w:val="24"/>
          <w:szCs w:val="24"/>
        </w:rPr>
        <w:t>Nyayanit</w:t>
      </w:r>
      <w:proofErr w:type="spellEnd"/>
      <w:r w:rsidRPr="006E4289">
        <w:rPr>
          <w:rFonts w:ascii="Times New Roman" w:eastAsia="Times New Roman" w:hAnsi="Times New Roman" w:cs="Times New Roman"/>
          <w:sz w:val="24"/>
          <w:szCs w:val="24"/>
        </w:rPr>
        <w:t xml:space="preserve">, N. V. (2014). Cost-effective technologies and renewable substrates for biosurfactants’ production. </w:t>
      </w:r>
      <w:r w:rsidRPr="006E4289">
        <w:rPr>
          <w:rFonts w:ascii="Times New Roman" w:eastAsia="Times New Roman" w:hAnsi="Times New Roman" w:cs="Times New Roman"/>
          <w:i/>
          <w:iCs/>
          <w:sz w:val="24"/>
          <w:szCs w:val="24"/>
        </w:rPr>
        <w:t>Frontiers in Microbiology, 5</w:t>
      </w:r>
      <w:r w:rsidRPr="006E4289">
        <w:rPr>
          <w:rFonts w:ascii="Times New Roman" w:eastAsia="Times New Roman" w:hAnsi="Times New Roman" w:cs="Times New Roman"/>
          <w:sz w:val="24"/>
          <w:szCs w:val="24"/>
        </w:rPr>
        <w:t>, 697.</w:t>
      </w:r>
    </w:p>
    <w:p w14:paraId="326206A7" w14:textId="77777777" w:rsidR="003C1B12" w:rsidRPr="006E4289" w:rsidRDefault="003C1B12" w:rsidP="000E39C3">
      <w:pPr>
        <w:pStyle w:val="NormalWeb"/>
        <w:spacing w:before="0" w:beforeAutospacing="0" w:after="0" w:afterAutospacing="0"/>
        <w:ind w:left="720" w:hanging="720"/>
        <w:jc w:val="both"/>
      </w:pPr>
      <w:r w:rsidRPr="006E4289">
        <w:t xml:space="preserve">Bergey, D. H., &amp; Holt, J. G. (1994). </w:t>
      </w:r>
      <w:r w:rsidRPr="006E4289">
        <w:rPr>
          <w:rStyle w:val="Emphasis"/>
        </w:rPr>
        <w:t>Bergey’s manual of determinative bacteriology</w:t>
      </w:r>
      <w:r w:rsidRPr="006E4289">
        <w:t xml:space="preserve"> (9th ed.). Baltimore: Williams &amp; Wilkins.</w:t>
      </w:r>
    </w:p>
    <w:p w14:paraId="75A5FADF" w14:textId="77777777" w:rsidR="003C1B12" w:rsidRPr="006E4289" w:rsidRDefault="003C1B12" w:rsidP="000E39C3">
      <w:pPr>
        <w:pStyle w:val="NormalWeb"/>
        <w:spacing w:before="0" w:beforeAutospacing="0" w:after="0" w:afterAutospacing="0"/>
        <w:ind w:left="720" w:hanging="720"/>
        <w:jc w:val="both"/>
      </w:pPr>
      <w:proofErr w:type="spellStart"/>
      <w:r w:rsidRPr="006E4289">
        <w:t>Cameotra</w:t>
      </w:r>
      <w:proofErr w:type="spellEnd"/>
      <w:r w:rsidRPr="006E4289">
        <w:t xml:space="preserve">, S. S., &amp; </w:t>
      </w:r>
      <w:proofErr w:type="spellStart"/>
      <w:r w:rsidRPr="006E4289">
        <w:t>Bollag</w:t>
      </w:r>
      <w:proofErr w:type="spellEnd"/>
      <w:r w:rsidRPr="006E4289">
        <w:t xml:space="preserve">, J. M. (2003). Biosurfactant-enhanced bioremediation of polycyclic aromatic hydrocarbons. </w:t>
      </w:r>
      <w:r w:rsidRPr="006E4289">
        <w:rPr>
          <w:rStyle w:val="Emphasis"/>
        </w:rPr>
        <w:t>Critical Reviews in Environmental Science and Technology, 33</w:t>
      </w:r>
      <w:r w:rsidRPr="006E4289">
        <w:t>(2),111–126.</w:t>
      </w:r>
    </w:p>
    <w:p w14:paraId="7B9644C7" w14:textId="77777777" w:rsidR="003C1B12" w:rsidRPr="006E4289" w:rsidRDefault="003C1B12" w:rsidP="000E39C3">
      <w:pPr>
        <w:pStyle w:val="NormalWeb"/>
        <w:spacing w:before="0" w:beforeAutospacing="0" w:after="0" w:afterAutospacing="0"/>
        <w:ind w:left="720" w:hanging="720"/>
        <w:jc w:val="both"/>
      </w:pPr>
      <w:r w:rsidRPr="006E4289">
        <w:t xml:space="preserve">Das, N., &amp; Chandran, P. (2011). Microbial degradation of petroleum hydrocarbon contaminants: An overview. </w:t>
      </w:r>
      <w:r w:rsidRPr="006E4289">
        <w:rPr>
          <w:rStyle w:val="Emphasis"/>
        </w:rPr>
        <w:t>Biotechnology Research International, 2011</w:t>
      </w:r>
      <w:r w:rsidRPr="006E4289">
        <w:t>, 941810.</w:t>
      </w:r>
    </w:p>
    <w:p w14:paraId="4ED98B97" w14:textId="77777777" w:rsidR="003C1B12" w:rsidRPr="006E4289" w:rsidRDefault="003C1B12" w:rsidP="000E39C3">
      <w:pPr>
        <w:pStyle w:val="NormalWeb"/>
        <w:spacing w:before="0" w:beforeAutospacing="0" w:after="0" w:afterAutospacing="0"/>
        <w:ind w:left="720" w:hanging="720"/>
        <w:jc w:val="both"/>
      </w:pPr>
      <w:proofErr w:type="spellStart"/>
      <w:r w:rsidRPr="006E4289">
        <w:t>Margesin</w:t>
      </w:r>
      <w:proofErr w:type="spellEnd"/>
      <w:r w:rsidRPr="006E4289">
        <w:t xml:space="preserve">, R., &amp; Schinner, F. (2001). Biodegradation and bioremediation of hydrocarbons in extreme environments. </w:t>
      </w:r>
      <w:r w:rsidRPr="006E4289">
        <w:rPr>
          <w:rStyle w:val="Emphasis"/>
        </w:rPr>
        <w:t>Applied Microbiology and Biotechnology, 56</w:t>
      </w:r>
      <w:r w:rsidRPr="006E4289">
        <w:t>(5–6), 650–663.</w:t>
      </w:r>
    </w:p>
    <w:p w14:paraId="0ACCFF18" w14:textId="77777777" w:rsidR="003C1B12" w:rsidRPr="006E4289" w:rsidRDefault="003C1B12" w:rsidP="000E39C3">
      <w:pPr>
        <w:pStyle w:val="NormalWeb"/>
        <w:spacing w:before="0" w:beforeAutospacing="0" w:after="0" w:afterAutospacing="0"/>
        <w:ind w:left="720" w:hanging="720"/>
        <w:jc w:val="both"/>
      </w:pPr>
      <w:r w:rsidRPr="006E4289">
        <w:t xml:space="preserve">Mulligan, C. N. (2005). Environmental applications for biosurfactants. </w:t>
      </w:r>
      <w:r w:rsidRPr="006E4289">
        <w:rPr>
          <w:rStyle w:val="Emphasis"/>
        </w:rPr>
        <w:t>Environmental Pollution, 133</w:t>
      </w:r>
      <w:r w:rsidRPr="006E4289">
        <w:t>(2), 183–197.</w:t>
      </w:r>
    </w:p>
    <w:p w14:paraId="7562EA06" w14:textId="77777777" w:rsidR="003C1B12" w:rsidRPr="006E4289" w:rsidRDefault="003C1B12" w:rsidP="000E39C3">
      <w:pPr>
        <w:pStyle w:val="NormalWeb"/>
        <w:spacing w:before="0" w:beforeAutospacing="0" w:after="0" w:afterAutospacing="0"/>
        <w:ind w:left="720" w:hanging="720"/>
        <w:jc w:val="both"/>
      </w:pPr>
      <w:proofErr w:type="spellStart"/>
      <w:r w:rsidRPr="006E4289">
        <w:t>Pacwa-Płociniczak</w:t>
      </w:r>
      <w:proofErr w:type="spellEnd"/>
      <w:r w:rsidRPr="006E4289">
        <w:t xml:space="preserve">, M., </w:t>
      </w:r>
      <w:proofErr w:type="spellStart"/>
      <w:r w:rsidRPr="006E4289">
        <w:t>Płaza</w:t>
      </w:r>
      <w:proofErr w:type="spellEnd"/>
      <w:r w:rsidRPr="006E4289">
        <w:t xml:space="preserve">, G. A., </w:t>
      </w:r>
      <w:proofErr w:type="spellStart"/>
      <w:r w:rsidRPr="006E4289">
        <w:t>Piotrowska-Seget</w:t>
      </w:r>
      <w:proofErr w:type="spellEnd"/>
      <w:r w:rsidRPr="006E4289">
        <w:t xml:space="preserve">, Z., &amp; </w:t>
      </w:r>
      <w:proofErr w:type="spellStart"/>
      <w:r w:rsidRPr="006E4289">
        <w:t>Cameotra</w:t>
      </w:r>
      <w:proofErr w:type="spellEnd"/>
      <w:r w:rsidRPr="006E4289">
        <w:t xml:space="preserve">, S. S. (2011). Environmental applications of biosurfactants: Recent advances. </w:t>
      </w:r>
      <w:r w:rsidRPr="006E4289">
        <w:rPr>
          <w:rStyle w:val="Emphasis"/>
        </w:rPr>
        <w:t>International Journal of Molecular Sciences, 12</w:t>
      </w:r>
      <w:r w:rsidRPr="006E4289">
        <w:t>(1), 633–654.</w:t>
      </w:r>
    </w:p>
    <w:p w14:paraId="6EB8CBC2" w14:textId="77777777" w:rsidR="003C1B12" w:rsidRPr="006E4289" w:rsidRDefault="003C1B12" w:rsidP="000E39C3">
      <w:pPr>
        <w:pStyle w:val="NormalWeb"/>
        <w:spacing w:before="0" w:beforeAutospacing="0" w:after="0" w:afterAutospacing="0"/>
        <w:ind w:left="720" w:hanging="720"/>
        <w:jc w:val="both"/>
      </w:pPr>
      <w:proofErr w:type="spellStart"/>
      <w:r w:rsidRPr="006E4289">
        <w:t>Urum</w:t>
      </w:r>
      <w:proofErr w:type="spellEnd"/>
      <w:r w:rsidRPr="006E4289">
        <w:t xml:space="preserve">, K., </w:t>
      </w:r>
      <w:proofErr w:type="spellStart"/>
      <w:r w:rsidRPr="006E4289">
        <w:t>Pekdemir</w:t>
      </w:r>
      <w:proofErr w:type="spellEnd"/>
      <w:r w:rsidRPr="006E4289">
        <w:t xml:space="preserve">, T., &amp; Çopur, M. (2004). Surfactants treatment of crude oil contaminated soils. </w:t>
      </w:r>
      <w:r w:rsidRPr="006E4289">
        <w:rPr>
          <w:rStyle w:val="Emphasis"/>
        </w:rPr>
        <w:t>Journal of Colloid and Interface Science, 276</w:t>
      </w:r>
      <w:r w:rsidRPr="006E4289">
        <w:t>(2), 456–464.</w:t>
      </w:r>
    </w:p>
    <w:p w14:paraId="426DBAC0" w14:textId="77777777" w:rsidR="003C1B12" w:rsidRPr="003C1B12" w:rsidRDefault="003C1B12" w:rsidP="003C1B12">
      <w:pPr>
        <w:jc w:val="both"/>
        <w:rPr>
          <w:rFonts w:ascii="Times New Roman" w:hAnsi="Times New Roman" w:cs="Times New Roman"/>
          <w:b/>
          <w:color w:val="000000" w:themeColor="text1"/>
          <w:sz w:val="20"/>
          <w:szCs w:val="20"/>
        </w:rPr>
      </w:pPr>
      <w:bookmarkStart w:id="23" w:name="_GoBack"/>
      <w:bookmarkEnd w:id="23"/>
    </w:p>
    <w:sectPr w:rsidR="003C1B12" w:rsidRPr="003C1B12"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Y" w:date="2026-02-07T11:23:00Z" w:initials="H">
    <w:p w14:paraId="70B97793" w14:textId="32586BFE" w:rsidR="005F4FA2" w:rsidRDefault="005F4FA2">
      <w:pPr>
        <w:pStyle w:val="CommentText"/>
      </w:pPr>
      <w:r>
        <w:rPr>
          <w:rStyle w:val="CommentReference"/>
        </w:rPr>
        <w:annotationRef/>
      </w:r>
      <w:r>
        <w:t xml:space="preserve">Results showed that </w:t>
      </w:r>
    </w:p>
  </w:comment>
  <w:comment w:id="1" w:author="HEY" w:date="2026-02-07T11:24:00Z" w:initials="H">
    <w:p w14:paraId="0533B556" w14:textId="19C38CB6" w:rsidR="005F4FA2" w:rsidRDefault="005F4FA2">
      <w:pPr>
        <w:pStyle w:val="CommentText"/>
      </w:pPr>
      <w:r>
        <w:rPr>
          <w:rStyle w:val="CommentReference"/>
        </w:rPr>
        <w:annotationRef/>
      </w:r>
      <w:r>
        <w:t xml:space="preserve">Indicate the figures of the results </w:t>
      </w:r>
    </w:p>
  </w:comment>
  <w:comment w:id="2" w:author="HEY" w:date="2026-02-09T10:13:00Z" w:initials="H">
    <w:p w14:paraId="7DF9EB9E" w14:textId="3CA0DB3A" w:rsidR="005F4FA2" w:rsidRDefault="005F4FA2">
      <w:pPr>
        <w:pStyle w:val="CommentText"/>
      </w:pPr>
      <w:r>
        <w:rPr>
          <w:rStyle w:val="CommentReference"/>
        </w:rPr>
        <w:annotationRef/>
      </w:r>
      <w:r>
        <w:t>Test</w:t>
      </w:r>
      <w:r w:rsidR="008A2437">
        <w:t>s</w:t>
      </w:r>
    </w:p>
  </w:comment>
  <w:comment w:id="3" w:author="HEY" w:date="2026-02-09T10:13:00Z" w:initials="H">
    <w:p w14:paraId="6BE32171" w14:textId="7240D7B9" w:rsidR="005F4FA2" w:rsidRDefault="005F4FA2">
      <w:pPr>
        <w:pStyle w:val="CommentText"/>
      </w:pPr>
      <w:r>
        <w:rPr>
          <w:rStyle w:val="CommentReference"/>
        </w:rPr>
        <w:annotationRef/>
      </w:r>
      <w:r>
        <w:t xml:space="preserve">Indicate the statistical difference of </w:t>
      </w:r>
      <w:r w:rsidR="008A2437">
        <w:t xml:space="preserve">ANOVA </w:t>
      </w:r>
      <w:r>
        <w:t xml:space="preserve">analysis </w:t>
      </w:r>
    </w:p>
  </w:comment>
  <w:comment w:id="4" w:author="HEY" w:date="2026-02-09T10:14:00Z" w:initials="H">
    <w:p w14:paraId="4296D8D1" w14:textId="67513C1B" w:rsidR="005F4FA2" w:rsidRDefault="005F4FA2">
      <w:pPr>
        <w:pStyle w:val="CommentText"/>
      </w:pPr>
      <w:r>
        <w:rPr>
          <w:rStyle w:val="CommentReference"/>
        </w:rPr>
        <w:annotationRef/>
      </w:r>
      <w:r w:rsidR="008A2437">
        <w:t xml:space="preserve">MATERIALS AND METHODS </w:t>
      </w:r>
    </w:p>
  </w:comment>
  <w:comment w:id="5" w:author="HEY" w:date="2026-02-07T11:28:00Z" w:initials="H">
    <w:p w14:paraId="40570D09" w14:textId="0183349C" w:rsidR="005F4FA2" w:rsidRDefault="005F4FA2">
      <w:pPr>
        <w:pStyle w:val="CommentText"/>
      </w:pPr>
      <w:r>
        <w:rPr>
          <w:rStyle w:val="CommentReference"/>
        </w:rPr>
        <w:annotationRef/>
      </w:r>
      <w:r>
        <w:t>Author (s) should state the GIS location of the study area of the Latitude O North and Longitude O East</w:t>
      </w:r>
    </w:p>
  </w:comment>
  <w:comment w:id="6" w:author="HEY" w:date="2026-02-07T11:28:00Z" w:initials="H">
    <w:p w14:paraId="2185FB86" w14:textId="16039009" w:rsidR="005F4FA2" w:rsidRDefault="005F4FA2">
      <w:pPr>
        <w:pStyle w:val="CommentText"/>
      </w:pPr>
      <w:r>
        <w:rPr>
          <w:rStyle w:val="CommentReference"/>
        </w:rPr>
        <w:annotationRef/>
      </w:r>
      <w:r>
        <w:t xml:space="preserve">Avoid use of pronounce </w:t>
      </w:r>
    </w:p>
  </w:comment>
  <w:comment w:id="7" w:author="HEY" w:date="2026-02-07T11:30:00Z" w:initials="H">
    <w:p w14:paraId="6B50BC82" w14:textId="237E5F39" w:rsidR="005F4FA2" w:rsidRDefault="005F4FA2">
      <w:pPr>
        <w:pStyle w:val="CommentText"/>
      </w:pPr>
      <w:r>
        <w:rPr>
          <w:rStyle w:val="CommentReference"/>
        </w:rPr>
        <w:annotationRef/>
      </w:r>
      <w:r>
        <w:t>Surface soil sample (0-15cm depth) were collected.  Author (s) should state material or equipment used for soil collection.</w:t>
      </w:r>
    </w:p>
  </w:comment>
  <w:comment w:id="8" w:author="HEY" w:date="2026-02-09T10:18:00Z" w:initials="H">
    <w:p w14:paraId="4217CBD3" w14:textId="69A45BC1" w:rsidR="005F4FA2" w:rsidRDefault="005F4FA2">
      <w:pPr>
        <w:pStyle w:val="CommentText"/>
      </w:pPr>
      <w:r>
        <w:rPr>
          <w:rStyle w:val="CommentReference"/>
        </w:rPr>
        <w:annotationRef/>
      </w:r>
      <w:r w:rsidR="00A27D37">
        <w:t xml:space="preserve">Labeled and </w:t>
      </w:r>
    </w:p>
  </w:comment>
  <w:comment w:id="9" w:author="HEY" w:date="2026-02-09T10:18:00Z" w:initials="H">
    <w:p w14:paraId="6ACADFA3" w14:textId="3AC11ACF" w:rsidR="00A27D37" w:rsidRDefault="00A27D37">
      <w:pPr>
        <w:pStyle w:val="CommentText"/>
      </w:pPr>
      <w:r>
        <w:rPr>
          <w:rStyle w:val="CommentReference"/>
        </w:rPr>
        <w:annotationRef/>
      </w:r>
      <w:r>
        <w:t xml:space="preserve">Pack </w:t>
      </w:r>
    </w:p>
  </w:comment>
  <w:comment w:id="10" w:author="HEY" w:date="2026-02-07T11:31:00Z" w:initials="H">
    <w:p w14:paraId="6C513DF1" w14:textId="0FA34D68" w:rsidR="005F4FA2" w:rsidRDefault="005F4FA2">
      <w:pPr>
        <w:pStyle w:val="CommentText"/>
      </w:pPr>
      <w:r>
        <w:rPr>
          <w:rStyle w:val="CommentReference"/>
        </w:rPr>
        <w:annotationRef/>
      </w:r>
      <w:r>
        <w:t>State the dilutions used</w:t>
      </w:r>
    </w:p>
  </w:comment>
  <w:comment w:id="11" w:author="HEY" w:date="2026-02-07T11:32:00Z" w:initials="H">
    <w:p w14:paraId="06DD5B10" w14:textId="12C5CFAA" w:rsidR="005F4FA2" w:rsidRDefault="005F4FA2">
      <w:pPr>
        <w:pStyle w:val="CommentText"/>
      </w:pPr>
      <w:r>
        <w:rPr>
          <w:rStyle w:val="CommentReference"/>
        </w:rPr>
        <w:annotationRef/>
      </w:r>
      <w:r>
        <w:t>Author (s) should state method of inoculation used. Spread plate or pour plate method</w:t>
      </w:r>
    </w:p>
  </w:comment>
  <w:comment w:id="12" w:author="HEY" w:date="2026-02-07T11:32:00Z" w:initials="H">
    <w:p w14:paraId="49BC7B22" w14:textId="11A57599" w:rsidR="005F4FA2" w:rsidRDefault="005F4FA2">
      <w:pPr>
        <w:pStyle w:val="CommentText"/>
      </w:pPr>
      <w:r>
        <w:rPr>
          <w:rStyle w:val="CommentReference"/>
        </w:rPr>
        <w:annotationRef/>
      </w:r>
      <w:r>
        <w:t xml:space="preserve">Recorded </w:t>
      </w:r>
    </w:p>
  </w:comment>
  <w:comment w:id="13" w:author="HEY" w:date="2026-02-07T11:33:00Z" w:initials="H">
    <w:p w14:paraId="05AE6367" w14:textId="393E7E3F" w:rsidR="009D1180" w:rsidRDefault="009D1180">
      <w:pPr>
        <w:pStyle w:val="CommentText"/>
      </w:pPr>
      <w:r>
        <w:rPr>
          <w:rStyle w:val="CommentReference"/>
        </w:rPr>
        <w:annotationRef/>
      </w:r>
      <w:r>
        <w:t>Genera</w:t>
      </w:r>
    </w:p>
  </w:comment>
  <w:comment w:id="14" w:author="HEY" w:date="2026-02-07T11:41:00Z" w:initials="H">
    <w:p w14:paraId="79B7E311" w14:textId="2E0FE706" w:rsidR="00383C75" w:rsidRDefault="00383C75">
      <w:pPr>
        <w:pStyle w:val="CommentText"/>
      </w:pPr>
      <w:r>
        <w:rPr>
          <w:rStyle w:val="CommentReference"/>
        </w:rPr>
        <w:annotationRef/>
      </w:r>
      <w:r>
        <w:t xml:space="preserve">Author (s) should remove broader lines, verticals and horizontal lines in table 2. Table 2 should be consistent with Tables 1, 3 &amp; 4.  </w:t>
      </w:r>
    </w:p>
  </w:comment>
  <w:comment w:id="15" w:author="HEY" w:date="2026-02-09T10:20:00Z" w:initials="H">
    <w:p w14:paraId="281DF041" w14:textId="3BD7FFC7" w:rsidR="00383C75" w:rsidRDefault="00383C75">
      <w:pPr>
        <w:pStyle w:val="CommentText"/>
      </w:pPr>
      <w:r>
        <w:rPr>
          <w:rStyle w:val="CommentReference"/>
        </w:rPr>
        <w:annotationRef/>
      </w:r>
      <w:r>
        <w:t xml:space="preserve">Indicate </w:t>
      </w:r>
      <w:proofErr w:type="gramStart"/>
      <w:r>
        <w:t xml:space="preserve">correct </w:t>
      </w:r>
      <w:r w:rsidR="00A27D37">
        <w:t xml:space="preserve"> indices</w:t>
      </w:r>
      <w:proofErr w:type="gramEnd"/>
      <w:r w:rsidR="00A27D37">
        <w:t xml:space="preserve"> </w:t>
      </w:r>
      <w:r>
        <w:t>figures for each site</w:t>
      </w:r>
    </w:p>
  </w:comment>
  <w:comment w:id="16" w:author="HEY" w:date="2026-02-07T11:42:00Z" w:initials="H">
    <w:p w14:paraId="22B0A5FF" w14:textId="0F3AC3FD" w:rsidR="00383C75" w:rsidRDefault="00383C75">
      <w:pPr>
        <w:pStyle w:val="CommentText"/>
      </w:pPr>
      <w:r>
        <w:rPr>
          <w:rStyle w:val="CommentReference"/>
        </w:rPr>
        <w:annotationRef/>
      </w:r>
      <w:r>
        <w:t xml:space="preserve">Indicate Table </w:t>
      </w:r>
    </w:p>
  </w:comment>
  <w:comment w:id="17" w:author="HEY" w:date="2026-02-07T11:43:00Z" w:initials="H">
    <w:p w14:paraId="5C7D79C8" w14:textId="27BC74DF" w:rsidR="00383C75" w:rsidRDefault="00383C75">
      <w:pPr>
        <w:pStyle w:val="CommentText"/>
      </w:pPr>
      <w:r>
        <w:rPr>
          <w:rStyle w:val="CommentReference"/>
        </w:rPr>
        <w:annotationRef/>
      </w:r>
      <w:r>
        <w:t xml:space="preserve">Provide </w:t>
      </w:r>
      <w:r w:rsidR="00B3466B">
        <w:t>reference to support</w:t>
      </w:r>
    </w:p>
  </w:comment>
  <w:comment w:id="18" w:author="HEY" w:date="2026-02-07T11:44:00Z" w:initials="H">
    <w:p w14:paraId="459859C4" w14:textId="36210956" w:rsidR="0024499D" w:rsidRDefault="0024499D">
      <w:pPr>
        <w:pStyle w:val="CommentText"/>
      </w:pPr>
      <w:r>
        <w:rPr>
          <w:rStyle w:val="CommentReference"/>
        </w:rPr>
        <w:annotationRef/>
      </w:r>
      <w:r>
        <w:t>Indicate Table</w:t>
      </w:r>
    </w:p>
  </w:comment>
  <w:comment w:id="19" w:author="HEY" w:date="2026-02-07T11:44:00Z" w:initials="H">
    <w:p w14:paraId="2C6FF319" w14:textId="2D272D68" w:rsidR="0024499D" w:rsidRDefault="0024499D">
      <w:pPr>
        <w:pStyle w:val="CommentText"/>
      </w:pPr>
      <w:r>
        <w:rPr>
          <w:rStyle w:val="CommentReference"/>
        </w:rPr>
        <w:annotationRef/>
      </w:r>
      <w:proofErr w:type="gramStart"/>
      <w:r>
        <w:t>which</w:t>
      </w:r>
      <w:proofErr w:type="gramEnd"/>
    </w:p>
  </w:comment>
  <w:comment w:id="20" w:author="HEY" w:date="2026-02-07T11:44:00Z" w:initials="H">
    <w:p w14:paraId="5305BB95" w14:textId="72FA2827" w:rsidR="0024499D" w:rsidRDefault="0024499D">
      <w:pPr>
        <w:pStyle w:val="CommentText"/>
      </w:pPr>
      <w:r>
        <w:rPr>
          <w:rStyle w:val="CommentReference"/>
        </w:rPr>
        <w:annotationRef/>
      </w:r>
      <w:proofErr w:type="gramStart"/>
      <w:r>
        <w:t>indicate</w:t>
      </w:r>
      <w:proofErr w:type="gramEnd"/>
      <w:r>
        <w:t xml:space="preserve"> table</w:t>
      </w:r>
    </w:p>
  </w:comment>
  <w:comment w:id="21" w:author="HEY" w:date="2026-02-07T11:45:00Z" w:initials="H">
    <w:p w14:paraId="01E34C98" w14:textId="45A4D5B9" w:rsidR="0024499D" w:rsidRDefault="0024499D">
      <w:pPr>
        <w:pStyle w:val="CommentText"/>
      </w:pPr>
      <w:r>
        <w:rPr>
          <w:rStyle w:val="CommentReference"/>
        </w:rPr>
        <w:annotationRef/>
      </w:r>
      <w:r>
        <w:t>In summary,</w:t>
      </w:r>
    </w:p>
  </w:comment>
  <w:comment w:id="22" w:author="HEY" w:date="2026-02-07T11:45:00Z" w:initials="H">
    <w:p w14:paraId="5FA7EA3B" w14:textId="05E2AAF7" w:rsidR="0024499D" w:rsidRDefault="0024499D">
      <w:pPr>
        <w:pStyle w:val="CommentText"/>
      </w:pPr>
      <w:r>
        <w:rPr>
          <w:rStyle w:val="CommentReference"/>
        </w:rPr>
        <w:annotationRef/>
      </w:r>
      <w:r>
        <w:t>Obtained from this study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0646D" w14:textId="77777777" w:rsidR="00881E58" w:rsidRDefault="00881E58" w:rsidP="003C1B12">
      <w:pPr>
        <w:spacing w:after="0" w:line="240" w:lineRule="auto"/>
      </w:pPr>
      <w:r>
        <w:separator/>
      </w:r>
    </w:p>
  </w:endnote>
  <w:endnote w:type="continuationSeparator" w:id="0">
    <w:p w14:paraId="679157A3" w14:textId="77777777" w:rsidR="00881E58" w:rsidRDefault="00881E58" w:rsidP="003C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ED7D5" w14:textId="77777777" w:rsidR="005F4FA2" w:rsidRDefault="005F4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2312"/>
      <w:docPartObj>
        <w:docPartGallery w:val="Page Numbers (Bottom of Page)"/>
        <w:docPartUnique/>
      </w:docPartObj>
    </w:sdtPr>
    <w:sdtEndPr>
      <w:rPr>
        <w:noProof/>
      </w:rPr>
    </w:sdtEndPr>
    <w:sdtContent>
      <w:p w14:paraId="3EB26803" w14:textId="77777777" w:rsidR="005F4FA2" w:rsidRDefault="005F4FA2">
        <w:pPr>
          <w:pStyle w:val="Footer"/>
          <w:jc w:val="center"/>
        </w:pPr>
        <w:r>
          <w:fldChar w:fldCharType="begin"/>
        </w:r>
        <w:r>
          <w:instrText xml:space="preserve"> PAGE   \* MERGEFORMAT </w:instrText>
        </w:r>
        <w:r>
          <w:fldChar w:fldCharType="separate"/>
        </w:r>
        <w:r w:rsidR="00A27D37">
          <w:rPr>
            <w:noProof/>
          </w:rPr>
          <w:t>13</w:t>
        </w:r>
        <w:r>
          <w:rPr>
            <w:noProof/>
          </w:rPr>
          <w:fldChar w:fldCharType="end"/>
        </w:r>
      </w:p>
    </w:sdtContent>
  </w:sdt>
  <w:p w14:paraId="5D4D0112" w14:textId="77777777" w:rsidR="005F4FA2" w:rsidRDefault="005F4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E31D6" w14:textId="77777777" w:rsidR="005F4FA2" w:rsidRDefault="005F4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3D09" w14:textId="77777777" w:rsidR="00881E58" w:rsidRDefault="00881E58" w:rsidP="003C1B12">
      <w:pPr>
        <w:spacing w:after="0" w:line="240" w:lineRule="auto"/>
      </w:pPr>
      <w:r>
        <w:separator/>
      </w:r>
    </w:p>
  </w:footnote>
  <w:footnote w:type="continuationSeparator" w:id="0">
    <w:p w14:paraId="47FBF385" w14:textId="77777777" w:rsidR="00881E58" w:rsidRDefault="00881E58" w:rsidP="003C1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E78FB" w14:textId="7485EA9E" w:rsidR="005F4FA2" w:rsidRDefault="00881E58">
    <w:pPr>
      <w:pStyle w:val="Header"/>
    </w:pPr>
    <w:r>
      <w:rPr>
        <w:noProof/>
      </w:rPr>
      <w:pict w14:anchorId="7FEE5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EE1" w14:textId="79ED3EF7" w:rsidR="005F4FA2" w:rsidRDefault="00881E58">
    <w:pPr>
      <w:pStyle w:val="Header"/>
    </w:pPr>
    <w:r>
      <w:rPr>
        <w:noProof/>
      </w:rPr>
      <w:pict w14:anchorId="3178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C9EA" w14:textId="2FC074A2" w:rsidR="005F4FA2" w:rsidRDefault="00881E58">
    <w:pPr>
      <w:pStyle w:val="Header"/>
    </w:pPr>
    <w:r>
      <w:rPr>
        <w:noProof/>
      </w:rPr>
      <w:pict w14:anchorId="0893F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7F751D"/>
    <w:multiLevelType w:val="multilevel"/>
    <w:tmpl w:val="3986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8C587B"/>
    <w:multiLevelType w:val="multilevel"/>
    <w:tmpl w:val="426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153A2"/>
    <w:multiLevelType w:val="multilevel"/>
    <w:tmpl w:val="47F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7F4962"/>
    <w:multiLevelType w:val="multilevel"/>
    <w:tmpl w:val="0790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FE6D55"/>
    <w:multiLevelType w:val="multilevel"/>
    <w:tmpl w:val="33E6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A2A4F"/>
    <w:multiLevelType w:val="hybridMultilevel"/>
    <w:tmpl w:val="4FA2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8055DE"/>
    <w:multiLevelType w:val="multilevel"/>
    <w:tmpl w:val="D556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5"/>
  </w:num>
  <w:num w:numId="12">
    <w:abstractNumId w:val="11"/>
  </w:num>
  <w:num w:numId="13">
    <w:abstractNumId w:val="9"/>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C0631"/>
    <w:rsid w:val="000E39C3"/>
    <w:rsid w:val="001408C9"/>
    <w:rsid w:val="0015074B"/>
    <w:rsid w:val="00183054"/>
    <w:rsid w:val="00190C84"/>
    <w:rsid w:val="002346DB"/>
    <w:rsid w:val="0024499D"/>
    <w:rsid w:val="0029639D"/>
    <w:rsid w:val="00326F90"/>
    <w:rsid w:val="00383C75"/>
    <w:rsid w:val="003C1B12"/>
    <w:rsid w:val="0051143D"/>
    <w:rsid w:val="005F4FA2"/>
    <w:rsid w:val="006233FA"/>
    <w:rsid w:val="006B03FB"/>
    <w:rsid w:val="00706843"/>
    <w:rsid w:val="007548A8"/>
    <w:rsid w:val="007C225D"/>
    <w:rsid w:val="0082684E"/>
    <w:rsid w:val="008660EC"/>
    <w:rsid w:val="00881E58"/>
    <w:rsid w:val="008A2437"/>
    <w:rsid w:val="008E1F97"/>
    <w:rsid w:val="00903271"/>
    <w:rsid w:val="00945970"/>
    <w:rsid w:val="00945E71"/>
    <w:rsid w:val="00986653"/>
    <w:rsid w:val="009D1180"/>
    <w:rsid w:val="009D66DD"/>
    <w:rsid w:val="00A27D37"/>
    <w:rsid w:val="00AA1D8D"/>
    <w:rsid w:val="00B3466B"/>
    <w:rsid w:val="00B47730"/>
    <w:rsid w:val="00B736C0"/>
    <w:rsid w:val="00BD3E92"/>
    <w:rsid w:val="00CA5DD0"/>
    <w:rsid w:val="00CB0664"/>
    <w:rsid w:val="00CD3F06"/>
    <w:rsid w:val="00D000A6"/>
    <w:rsid w:val="00E40FC1"/>
    <w:rsid w:val="00E70461"/>
    <w:rsid w:val="00ED75E9"/>
    <w:rsid w:val="00F17D14"/>
    <w:rsid w:val="00F40CFA"/>
    <w:rsid w:val="00F542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F36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6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CFA"/>
    <w:rPr>
      <w:color w:val="0000FF" w:themeColor="hyperlink"/>
      <w:u w:val="single"/>
    </w:rPr>
  </w:style>
  <w:style w:type="character" w:customStyle="1" w:styleId="UnresolvedMention">
    <w:name w:val="Unresolved Mention"/>
    <w:basedOn w:val="DefaultParagraphFont"/>
    <w:uiPriority w:val="99"/>
    <w:semiHidden/>
    <w:unhideWhenUsed/>
    <w:rsid w:val="00F40CFA"/>
    <w:rPr>
      <w:color w:val="605E5C"/>
      <w:shd w:val="clear" w:color="auto" w:fill="E1DFDD"/>
    </w:rPr>
  </w:style>
  <w:style w:type="paragraph" w:styleId="BalloonText">
    <w:name w:val="Balloon Text"/>
    <w:basedOn w:val="Normal"/>
    <w:link w:val="BalloonTextChar"/>
    <w:uiPriority w:val="99"/>
    <w:semiHidden/>
    <w:unhideWhenUsed/>
    <w:rsid w:val="000E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C3"/>
    <w:rPr>
      <w:rFonts w:ascii="Tahoma" w:hAnsi="Tahoma" w:cs="Tahoma"/>
      <w:sz w:val="16"/>
      <w:szCs w:val="16"/>
    </w:rPr>
  </w:style>
  <w:style w:type="character" w:styleId="CommentReference">
    <w:name w:val="annotation reference"/>
    <w:basedOn w:val="DefaultParagraphFont"/>
    <w:uiPriority w:val="99"/>
    <w:semiHidden/>
    <w:unhideWhenUsed/>
    <w:rsid w:val="00945970"/>
    <w:rPr>
      <w:sz w:val="16"/>
      <w:szCs w:val="16"/>
    </w:rPr>
  </w:style>
  <w:style w:type="paragraph" w:styleId="CommentText">
    <w:name w:val="annotation text"/>
    <w:basedOn w:val="Normal"/>
    <w:link w:val="CommentTextChar"/>
    <w:uiPriority w:val="99"/>
    <w:semiHidden/>
    <w:unhideWhenUsed/>
    <w:rsid w:val="00945970"/>
    <w:pPr>
      <w:spacing w:line="240" w:lineRule="auto"/>
    </w:pPr>
    <w:rPr>
      <w:sz w:val="20"/>
      <w:szCs w:val="20"/>
    </w:rPr>
  </w:style>
  <w:style w:type="character" w:customStyle="1" w:styleId="CommentTextChar">
    <w:name w:val="Comment Text Char"/>
    <w:basedOn w:val="DefaultParagraphFont"/>
    <w:link w:val="CommentText"/>
    <w:uiPriority w:val="99"/>
    <w:semiHidden/>
    <w:rsid w:val="00945970"/>
    <w:rPr>
      <w:sz w:val="20"/>
      <w:szCs w:val="20"/>
    </w:rPr>
  </w:style>
  <w:style w:type="paragraph" w:styleId="CommentSubject">
    <w:name w:val="annotation subject"/>
    <w:basedOn w:val="CommentText"/>
    <w:next w:val="CommentText"/>
    <w:link w:val="CommentSubjectChar"/>
    <w:uiPriority w:val="99"/>
    <w:semiHidden/>
    <w:unhideWhenUsed/>
    <w:rsid w:val="00945970"/>
    <w:rPr>
      <w:b/>
      <w:bCs/>
    </w:rPr>
  </w:style>
  <w:style w:type="character" w:customStyle="1" w:styleId="CommentSubjectChar">
    <w:name w:val="Comment Subject Char"/>
    <w:basedOn w:val="CommentTextChar"/>
    <w:link w:val="CommentSubject"/>
    <w:uiPriority w:val="99"/>
    <w:semiHidden/>
    <w:rsid w:val="009459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6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CFA"/>
    <w:rPr>
      <w:color w:val="0000FF" w:themeColor="hyperlink"/>
      <w:u w:val="single"/>
    </w:rPr>
  </w:style>
  <w:style w:type="character" w:customStyle="1" w:styleId="UnresolvedMention">
    <w:name w:val="Unresolved Mention"/>
    <w:basedOn w:val="DefaultParagraphFont"/>
    <w:uiPriority w:val="99"/>
    <w:semiHidden/>
    <w:unhideWhenUsed/>
    <w:rsid w:val="00F40CFA"/>
    <w:rPr>
      <w:color w:val="605E5C"/>
      <w:shd w:val="clear" w:color="auto" w:fill="E1DFDD"/>
    </w:rPr>
  </w:style>
  <w:style w:type="paragraph" w:styleId="BalloonText">
    <w:name w:val="Balloon Text"/>
    <w:basedOn w:val="Normal"/>
    <w:link w:val="BalloonTextChar"/>
    <w:uiPriority w:val="99"/>
    <w:semiHidden/>
    <w:unhideWhenUsed/>
    <w:rsid w:val="000E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C3"/>
    <w:rPr>
      <w:rFonts w:ascii="Tahoma" w:hAnsi="Tahoma" w:cs="Tahoma"/>
      <w:sz w:val="16"/>
      <w:szCs w:val="16"/>
    </w:rPr>
  </w:style>
  <w:style w:type="character" w:styleId="CommentReference">
    <w:name w:val="annotation reference"/>
    <w:basedOn w:val="DefaultParagraphFont"/>
    <w:uiPriority w:val="99"/>
    <w:semiHidden/>
    <w:unhideWhenUsed/>
    <w:rsid w:val="00945970"/>
    <w:rPr>
      <w:sz w:val="16"/>
      <w:szCs w:val="16"/>
    </w:rPr>
  </w:style>
  <w:style w:type="paragraph" w:styleId="CommentText">
    <w:name w:val="annotation text"/>
    <w:basedOn w:val="Normal"/>
    <w:link w:val="CommentTextChar"/>
    <w:uiPriority w:val="99"/>
    <w:semiHidden/>
    <w:unhideWhenUsed/>
    <w:rsid w:val="00945970"/>
    <w:pPr>
      <w:spacing w:line="240" w:lineRule="auto"/>
    </w:pPr>
    <w:rPr>
      <w:sz w:val="20"/>
      <w:szCs w:val="20"/>
    </w:rPr>
  </w:style>
  <w:style w:type="character" w:customStyle="1" w:styleId="CommentTextChar">
    <w:name w:val="Comment Text Char"/>
    <w:basedOn w:val="DefaultParagraphFont"/>
    <w:link w:val="CommentText"/>
    <w:uiPriority w:val="99"/>
    <w:semiHidden/>
    <w:rsid w:val="00945970"/>
    <w:rPr>
      <w:sz w:val="20"/>
      <w:szCs w:val="20"/>
    </w:rPr>
  </w:style>
  <w:style w:type="paragraph" w:styleId="CommentSubject">
    <w:name w:val="annotation subject"/>
    <w:basedOn w:val="CommentText"/>
    <w:next w:val="CommentText"/>
    <w:link w:val="CommentSubjectChar"/>
    <w:uiPriority w:val="99"/>
    <w:semiHidden/>
    <w:unhideWhenUsed/>
    <w:rsid w:val="00945970"/>
    <w:rPr>
      <w:b/>
      <w:bCs/>
    </w:rPr>
  </w:style>
  <w:style w:type="character" w:customStyle="1" w:styleId="CommentSubjectChar">
    <w:name w:val="Comment Subject Char"/>
    <w:basedOn w:val="CommentTextChar"/>
    <w:link w:val="CommentSubject"/>
    <w:uiPriority w:val="99"/>
    <w:semiHidden/>
    <w:rsid w:val="009459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8445">
      <w:bodyDiv w:val="1"/>
      <w:marLeft w:val="0"/>
      <w:marRight w:val="0"/>
      <w:marTop w:val="0"/>
      <w:marBottom w:val="0"/>
      <w:divBdr>
        <w:top w:val="none" w:sz="0" w:space="0" w:color="auto"/>
        <w:left w:val="none" w:sz="0" w:space="0" w:color="auto"/>
        <w:bottom w:val="none" w:sz="0" w:space="0" w:color="auto"/>
        <w:right w:val="none" w:sz="0" w:space="0" w:color="auto"/>
      </w:divBdr>
    </w:div>
    <w:div w:id="113523199">
      <w:bodyDiv w:val="1"/>
      <w:marLeft w:val="0"/>
      <w:marRight w:val="0"/>
      <w:marTop w:val="0"/>
      <w:marBottom w:val="0"/>
      <w:divBdr>
        <w:top w:val="none" w:sz="0" w:space="0" w:color="auto"/>
        <w:left w:val="none" w:sz="0" w:space="0" w:color="auto"/>
        <w:bottom w:val="none" w:sz="0" w:space="0" w:color="auto"/>
        <w:right w:val="none" w:sz="0" w:space="0" w:color="auto"/>
      </w:divBdr>
    </w:div>
    <w:div w:id="709457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76ED-679F-40A1-8BB4-9411BCC6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HEY</cp:lastModifiedBy>
  <cp:revision>14</cp:revision>
  <cp:lastPrinted>2026-02-06T17:49:00Z</cp:lastPrinted>
  <dcterms:created xsi:type="dcterms:W3CDTF">2013-12-23T23:15:00Z</dcterms:created>
  <dcterms:modified xsi:type="dcterms:W3CDTF">2026-02-09T09:25:00Z</dcterms:modified>
  <cp:category/>
</cp:coreProperties>
</file>