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C4BF62" w14:textId="77777777" w:rsidR="00844CC8" w:rsidRDefault="00844CC8" w:rsidP="00A00AFA">
      <w:pPr>
        <w:spacing w:after="0"/>
        <w:jc w:val="right"/>
        <w:rPr>
          <w:rFonts w:ascii="Times New Roman" w:hAnsi="Times New Roman"/>
          <w:b/>
          <w:szCs w:val="36"/>
        </w:rPr>
      </w:pPr>
      <w:r w:rsidRPr="00546BAF">
        <w:rPr>
          <w:rFonts w:ascii="Times New Roman" w:hAnsi="Times New Roman"/>
          <w:b/>
          <w:szCs w:val="36"/>
        </w:rPr>
        <w:t>In Silico Investigation of 4-hydroxy-3-methoxycinnamic acid derivatives as Inhibitors of Key Oncogenic Targets Using Molecular Docking and ADMET Analysis</w:t>
      </w:r>
    </w:p>
    <w:p w14:paraId="1CEEDCC8" w14:textId="77777777" w:rsidR="00754426" w:rsidRPr="00546BAF" w:rsidRDefault="00754426" w:rsidP="00A00AFA">
      <w:pPr>
        <w:spacing w:after="0"/>
        <w:jc w:val="right"/>
        <w:rPr>
          <w:rFonts w:ascii="Times New Roman" w:hAnsi="Times New Roman"/>
          <w:b/>
          <w:szCs w:val="36"/>
        </w:rPr>
      </w:pPr>
    </w:p>
    <w:p w14:paraId="1298B7C1" w14:textId="77777777" w:rsidR="00376158" w:rsidRDefault="00376158" w:rsidP="00A00AFA">
      <w:pPr>
        <w:jc w:val="right"/>
        <w:rPr>
          <w:rFonts w:ascii="Arial" w:hAnsi="Arial" w:cs="Arial"/>
          <w:b/>
          <w:sz w:val="24"/>
          <w:szCs w:val="24"/>
        </w:rPr>
      </w:pPr>
    </w:p>
    <w:p w14:paraId="07CE2B74" w14:textId="77777777" w:rsidR="00255D6F" w:rsidRPr="00546BAF" w:rsidRDefault="00255D6F" w:rsidP="00A00AFA">
      <w:pPr>
        <w:jc w:val="right"/>
        <w:rPr>
          <w:rFonts w:ascii="Arial" w:hAnsi="Arial" w:cs="Arial"/>
          <w:b/>
          <w:sz w:val="24"/>
          <w:szCs w:val="24"/>
        </w:rPr>
      </w:pPr>
    </w:p>
    <w:p w14:paraId="0B65A76F" w14:textId="77777777" w:rsidR="008E0624" w:rsidRPr="00546BAF" w:rsidRDefault="008E0624" w:rsidP="004C4B4A">
      <w:pPr>
        <w:jc w:val="both"/>
        <w:rPr>
          <w:rFonts w:ascii="Arial" w:hAnsi="Arial" w:cs="Arial"/>
          <w:b/>
          <w:bCs/>
          <w:sz w:val="22"/>
        </w:rPr>
      </w:pPr>
      <w:r w:rsidRPr="00546BAF">
        <w:rPr>
          <w:rFonts w:ascii="Arial" w:hAnsi="Arial" w:cs="Arial"/>
          <w:b/>
          <w:bCs/>
          <w:sz w:val="22"/>
        </w:rPr>
        <w:t>A</w:t>
      </w:r>
      <w:r w:rsidR="004C4B4A" w:rsidRPr="00546BAF">
        <w:rPr>
          <w:rFonts w:ascii="Arial" w:hAnsi="Arial" w:cs="Arial"/>
          <w:b/>
          <w:bCs/>
          <w:sz w:val="22"/>
        </w:rPr>
        <w:t xml:space="preserve">BSTRACT </w:t>
      </w:r>
    </w:p>
    <w:p w14:paraId="55D4F9D5" w14:textId="77777777" w:rsidR="009C6B6C" w:rsidRPr="00546BAF" w:rsidRDefault="00B066DE" w:rsidP="004C4B4A">
      <w:pPr>
        <w:jc w:val="both"/>
        <w:rPr>
          <w:rFonts w:ascii="Arial" w:hAnsi="Arial" w:cs="Arial"/>
          <w:sz w:val="20"/>
          <w:szCs w:val="20"/>
        </w:rPr>
      </w:pPr>
      <w:r w:rsidRPr="00546BAF">
        <w:rPr>
          <w:rFonts w:ascii="Arial" w:hAnsi="Arial" w:cs="Arial"/>
          <w:b/>
          <w:bCs/>
          <w:sz w:val="20"/>
          <w:szCs w:val="20"/>
        </w:rPr>
        <w:t>Objective</w:t>
      </w:r>
      <w:r w:rsidR="003765F2" w:rsidRPr="00546BAF">
        <w:rPr>
          <w:rFonts w:ascii="Arial" w:hAnsi="Arial" w:cs="Arial"/>
          <w:sz w:val="20"/>
          <w:szCs w:val="20"/>
        </w:rPr>
        <w:t xml:space="preserve">: </w:t>
      </w:r>
      <w:r w:rsidR="009C6B6C" w:rsidRPr="00546BAF">
        <w:rPr>
          <w:rFonts w:ascii="Arial" w:hAnsi="Arial" w:cs="Arial"/>
          <w:sz w:val="20"/>
          <w:szCs w:val="20"/>
        </w:rPr>
        <w:t>This study aims to evaluate</w:t>
      </w:r>
      <w:r w:rsidR="000878AF" w:rsidRPr="00546BAF">
        <w:rPr>
          <w:rFonts w:ascii="Arial" w:hAnsi="Arial" w:cs="Arial"/>
          <w:sz w:val="20"/>
          <w:szCs w:val="20"/>
        </w:rPr>
        <w:t xml:space="preserve"> </w:t>
      </w:r>
      <w:r w:rsidR="009C6B6C" w:rsidRPr="00546BAF">
        <w:rPr>
          <w:rFonts w:ascii="Arial" w:hAnsi="Arial" w:cs="Arial"/>
          <w:sz w:val="20"/>
          <w:szCs w:val="20"/>
        </w:rPr>
        <w:t xml:space="preserve">derivative of </w:t>
      </w:r>
      <w:r w:rsidR="00844CC8" w:rsidRPr="00546BAF">
        <w:rPr>
          <w:rFonts w:ascii="Arial" w:hAnsi="Arial" w:cs="Arial"/>
          <w:sz w:val="20"/>
          <w:szCs w:val="20"/>
        </w:rPr>
        <w:t>4-hydroxy-3-methoxycinnamic acid</w:t>
      </w:r>
      <w:r w:rsidR="000878AF" w:rsidRPr="00546BAF">
        <w:rPr>
          <w:rFonts w:ascii="Arial" w:hAnsi="Arial" w:cs="Arial"/>
          <w:sz w:val="20"/>
          <w:szCs w:val="20"/>
        </w:rPr>
        <w:t xml:space="preserve"> </w:t>
      </w:r>
      <w:r w:rsidR="009C6B6C" w:rsidRPr="00546BAF">
        <w:rPr>
          <w:rFonts w:ascii="Arial" w:hAnsi="Arial" w:cs="Arial"/>
          <w:sz w:val="20"/>
          <w:szCs w:val="20"/>
        </w:rPr>
        <w:t xml:space="preserve">through computational methods, including </w:t>
      </w:r>
      <w:r w:rsidR="001A229E" w:rsidRPr="00546BAF">
        <w:rPr>
          <w:rFonts w:ascii="Arial" w:hAnsi="Arial" w:cs="Arial"/>
          <w:sz w:val="20"/>
          <w:szCs w:val="20"/>
        </w:rPr>
        <w:t xml:space="preserve">Lipinski’s Rule of Five, </w:t>
      </w:r>
      <w:r w:rsidR="009C6B6C" w:rsidRPr="00546BAF">
        <w:rPr>
          <w:rFonts w:ascii="Arial" w:hAnsi="Arial" w:cs="Arial"/>
          <w:sz w:val="20"/>
          <w:szCs w:val="20"/>
        </w:rPr>
        <w:t>ADMET prediction, Mol</w:t>
      </w:r>
      <w:r w:rsidR="0075233A" w:rsidRPr="00546BAF">
        <w:rPr>
          <w:rFonts w:ascii="Arial" w:hAnsi="Arial" w:cs="Arial"/>
          <w:sz w:val="20"/>
          <w:szCs w:val="20"/>
        </w:rPr>
        <w:t>-i</w:t>
      </w:r>
      <w:r w:rsidR="009C6B6C" w:rsidRPr="00546BAF">
        <w:rPr>
          <w:rFonts w:ascii="Arial" w:hAnsi="Arial" w:cs="Arial"/>
          <w:sz w:val="20"/>
          <w:szCs w:val="20"/>
        </w:rPr>
        <w:t>nspiration analysis</w:t>
      </w:r>
      <w:r w:rsidR="001A229E" w:rsidRPr="00546BAF">
        <w:rPr>
          <w:rFonts w:ascii="Arial" w:hAnsi="Arial" w:cs="Arial"/>
          <w:sz w:val="20"/>
          <w:szCs w:val="20"/>
        </w:rPr>
        <w:t xml:space="preserve"> and</w:t>
      </w:r>
      <w:r w:rsidR="009C6B6C" w:rsidRPr="00546BAF">
        <w:rPr>
          <w:rFonts w:ascii="Arial" w:hAnsi="Arial" w:cs="Arial"/>
          <w:sz w:val="20"/>
          <w:szCs w:val="20"/>
        </w:rPr>
        <w:t xml:space="preserve"> molecular docking</w:t>
      </w:r>
      <w:r w:rsidR="000878AF" w:rsidRPr="00546BAF">
        <w:rPr>
          <w:rFonts w:ascii="Arial" w:hAnsi="Arial" w:cs="Arial"/>
          <w:sz w:val="20"/>
          <w:szCs w:val="20"/>
        </w:rPr>
        <w:t xml:space="preserve"> </w:t>
      </w:r>
      <w:r w:rsidR="009C6B6C" w:rsidRPr="00546BAF">
        <w:rPr>
          <w:rFonts w:ascii="Arial" w:hAnsi="Arial" w:cs="Arial"/>
          <w:sz w:val="20"/>
          <w:szCs w:val="20"/>
        </w:rPr>
        <w:t>to assess its drug-likeness, pharmacokinetics, and therapeutic potential</w:t>
      </w:r>
      <w:r w:rsidRPr="00546BAF">
        <w:rPr>
          <w:rFonts w:ascii="Arial" w:hAnsi="Arial" w:cs="Arial"/>
          <w:sz w:val="20"/>
          <w:szCs w:val="20"/>
        </w:rPr>
        <w:t xml:space="preserve"> for cancer treatment</w:t>
      </w:r>
      <w:r w:rsidR="001B680E" w:rsidRPr="00546BAF">
        <w:rPr>
          <w:rFonts w:ascii="Arial" w:hAnsi="Arial" w:cs="Arial"/>
          <w:sz w:val="20"/>
          <w:szCs w:val="20"/>
        </w:rPr>
        <w:t xml:space="preserve"> specially lung cancer</w:t>
      </w:r>
      <w:r w:rsidR="009C6B6C" w:rsidRPr="00546BAF">
        <w:rPr>
          <w:rFonts w:ascii="Arial" w:hAnsi="Arial" w:cs="Arial"/>
          <w:sz w:val="20"/>
          <w:szCs w:val="20"/>
        </w:rPr>
        <w:t>.</w:t>
      </w:r>
    </w:p>
    <w:p w14:paraId="6681362B" w14:textId="77777777" w:rsidR="00C72CF0" w:rsidRPr="00546BAF" w:rsidRDefault="00C72CF0" w:rsidP="004C4B4A">
      <w:pPr>
        <w:jc w:val="both"/>
        <w:rPr>
          <w:rFonts w:ascii="Arial" w:hAnsi="Arial" w:cs="Arial"/>
          <w:sz w:val="20"/>
          <w:szCs w:val="20"/>
        </w:rPr>
      </w:pPr>
      <w:r w:rsidRPr="00546BAF">
        <w:rPr>
          <w:rFonts w:ascii="Arial" w:hAnsi="Arial" w:cs="Arial"/>
          <w:b/>
          <w:bCs/>
          <w:sz w:val="20"/>
          <w:szCs w:val="20"/>
        </w:rPr>
        <w:t>Meth</w:t>
      </w:r>
      <w:r w:rsidR="001A229E" w:rsidRPr="00546BAF">
        <w:rPr>
          <w:rFonts w:ascii="Arial" w:hAnsi="Arial" w:cs="Arial"/>
          <w:b/>
          <w:bCs/>
          <w:sz w:val="20"/>
          <w:szCs w:val="20"/>
        </w:rPr>
        <w:t>o</w:t>
      </w:r>
      <w:r w:rsidRPr="00546BAF">
        <w:rPr>
          <w:rFonts w:ascii="Arial" w:hAnsi="Arial" w:cs="Arial"/>
          <w:b/>
          <w:bCs/>
          <w:sz w:val="20"/>
          <w:szCs w:val="20"/>
        </w:rPr>
        <w:t>dology</w:t>
      </w:r>
      <w:r w:rsidRPr="00546BAF">
        <w:rPr>
          <w:rFonts w:ascii="Arial" w:hAnsi="Arial" w:cs="Arial"/>
          <w:sz w:val="20"/>
          <w:szCs w:val="20"/>
        </w:rPr>
        <w:t xml:space="preserve">: This work assessed the physicochemical, pharmacokinetic, and pharmacodynamic characteristics of </w:t>
      </w:r>
      <w:r w:rsidR="00C219A6" w:rsidRPr="00546BAF">
        <w:rPr>
          <w:rFonts w:ascii="Arial" w:hAnsi="Arial" w:cs="Arial"/>
          <w:sz w:val="20"/>
          <w:szCs w:val="20"/>
        </w:rPr>
        <w:t>4-hydroxy-3-methoxycinnamic acid</w:t>
      </w:r>
      <w:r w:rsidR="000878AF" w:rsidRPr="00546BAF">
        <w:rPr>
          <w:rFonts w:ascii="Arial" w:hAnsi="Arial" w:cs="Arial"/>
          <w:sz w:val="20"/>
          <w:szCs w:val="20"/>
        </w:rPr>
        <w:t xml:space="preserve"> </w:t>
      </w:r>
      <w:r w:rsidR="00266A88" w:rsidRPr="00546BAF">
        <w:rPr>
          <w:rFonts w:ascii="Arial" w:hAnsi="Arial" w:cs="Arial"/>
          <w:sz w:val="20"/>
          <w:szCs w:val="20"/>
        </w:rPr>
        <w:t>substituted</w:t>
      </w:r>
      <w:r w:rsidRPr="00546BAF">
        <w:rPr>
          <w:rFonts w:ascii="Arial" w:hAnsi="Arial" w:cs="Arial"/>
          <w:sz w:val="20"/>
          <w:szCs w:val="20"/>
        </w:rPr>
        <w:t xml:space="preserve"> with aromatic amine using in-silico</w:t>
      </w:r>
      <w:r w:rsidR="000878AF" w:rsidRPr="00546BAF">
        <w:rPr>
          <w:rFonts w:ascii="Arial" w:hAnsi="Arial" w:cs="Arial"/>
          <w:sz w:val="20"/>
          <w:szCs w:val="20"/>
        </w:rPr>
        <w:t xml:space="preserve"> </w:t>
      </w:r>
      <w:r w:rsidR="001A229E" w:rsidRPr="00546BAF">
        <w:rPr>
          <w:rFonts w:ascii="Arial" w:hAnsi="Arial" w:cs="Arial"/>
          <w:sz w:val="20"/>
          <w:szCs w:val="20"/>
        </w:rPr>
        <w:t>web tools</w:t>
      </w:r>
      <w:r w:rsidRPr="00546BAF">
        <w:rPr>
          <w:rFonts w:ascii="Arial" w:hAnsi="Arial" w:cs="Arial"/>
          <w:sz w:val="20"/>
          <w:szCs w:val="20"/>
        </w:rPr>
        <w:t xml:space="preserve"> using programs like Pre-ADMET</w:t>
      </w:r>
      <w:r w:rsidR="001A229E" w:rsidRPr="00546BAF">
        <w:rPr>
          <w:rFonts w:ascii="Arial" w:hAnsi="Arial" w:cs="Arial"/>
          <w:sz w:val="20"/>
          <w:szCs w:val="20"/>
        </w:rPr>
        <w:t xml:space="preserve">, </w:t>
      </w:r>
      <w:proofErr w:type="spellStart"/>
      <w:r w:rsidRPr="00546BAF">
        <w:rPr>
          <w:rFonts w:ascii="Arial" w:hAnsi="Arial" w:cs="Arial"/>
          <w:sz w:val="20"/>
          <w:szCs w:val="20"/>
        </w:rPr>
        <w:t>Mol</w:t>
      </w:r>
      <w:proofErr w:type="spellEnd"/>
      <w:r w:rsidR="00266A88" w:rsidRPr="00546BAF">
        <w:rPr>
          <w:rFonts w:ascii="Arial" w:hAnsi="Arial" w:cs="Arial"/>
          <w:sz w:val="20"/>
          <w:szCs w:val="20"/>
        </w:rPr>
        <w:t>-</w:t>
      </w:r>
      <w:r w:rsidRPr="00546BAF">
        <w:rPr>
          <w:rFonts w:ascii="Arial" w:hAnsi="Arial" w:cs="Arial"/>
          <w:sz w:val="20"/>
          <w:szCs w:val="20"/>
        </w:rPr>
        <w:t>inspiration</w:t>
      </w:r>
      <w:r w:rsidR="001A229E" w:rsidRPr="00546BAF">
        <w:rPr>
          <w:rFonts w:ascii="Arial" w:hAnsi="Arial" w:cs="Arial"/>
          <w:sz w:val="20"/>
          <w:szCs w:val="20"/>
        </w:rPr>
        <w:t xml:space="preserve"> and </w:t>
      </w:r>
      <w:proofErr w:type="spellStart"/>
      <w:r w:rsidR="001A229E" w:rsidRPr="00546BAF">
        <w:rPr>
          <w:rFonts w:ascii="Arial" w:hAnsi="Arial" w:cs="Arial"/>
          <w:sz w:val="20"/>
          <w:szCs w:val="20"/>
        </w:rPr>
        <w:t>Molegro</w:t>
      </w:r>
      <w:proofErr w:type="spellEnd"/>
      <w:r w:rsidR="001A229E" w:rsidRPr="00546BAF">
        <w:rPr>
          <w:rFonts w:ascii="Arial" w:hAnsi="Arial" w:cs="Arial"/>
          <w:sz w:val="20"/>
          <w:szCs w:val="20"/>
        </w:rPr>
        <w:t xml:space="preserve"> Virtual Docker 6.0</w:t>
      </w:r>
      <w:r w:rsidRPr="00546BAF">
        <w:rPr>
          <w:rFonts w:ascii="Arial" w:hAnsi="Arial" w:cs="Arial"/>
          <w:sz w:val="20"/>
          <w:szCs w:val="20"/>
        </w:rPr>
        <w:t>.</w:t>
      </w:r>
    </w:p>
    <w:p w14:paraId="06080F01" w14:textId="77777777" w:rsidR="009824E5" w:rsidRPr="00546BAF" w:rsidRDefault="000A6825" w:rsidP="004C4B4A">
      <w:pPr>
        <w:jc w:val="both"/>
        <w:rPr>
          <w:rFonts w:ascii="Arial" w:hAnsi="Arial" w:cs="Arial"/>
          <w:sz w:val="20"/>
          <w:szCs w:val="20"/>
        </w:rPr>
      </w:pPr>
      <w:r w:rsidRPr="00546BAF">
        <w:rPr>
          <w:rFonts w:ascii="Arial" w:hAnsi="Arial" w:cs="Arial"/>
          <w:b/>
          <w:bCs/>
          <w:sz w:val="20"/>
          <w:szCs w:val="20"/>
        </w:rPr>
        <w:t>Result and discussion</w:t>
      </w:r>
      <w:r w:rsidRPr="00546BAF">
        <w:rPr>
          <w:rFonts w:ascii="Arial" w:hAnsi="Arial" w:cs="Arial"/>
          <w:sz w:val="20"/>
          <w:szCs w:val="20"/>
        </w:rPr>
        <w:t xml:space="preserve">: </w:t>
      </w:r>
      <w:r w:rsidR="009824E5" w:rsidRPr="00546BAF">
        <w:rPr>
          <w:rFonts w:ascii="Arial" w:hAnsi="Arial" w:cs="Arial"/>
          <w:sz w:val="20"/>
          <w:szCs w:val="20"/>
        </w:rPr>
        <w:t xml:space="preserve">The computational analysis of </w:t>
      </w:r>
      <w:r w:rsidR="006C07E6" w:rsidRPr="00546BAF">
        <w:rPr>
          <w:rFonts w:ascii="Arial" w:hAnsi="Arial" w:cs="Arial"/>
          <w:sz w:val="20"/>
          <w:szCs w:val="20"/>
        </w:rPr>
        <w:t>15</w:t>
      </w:r>
      <w:r w:rsidR="009824E5" w:rsidRPr="00546BAF">
        <w:rPr>
          <w:rFonts w:ascii="Arial" w:hAnsi="Arial" w:cs="Arial"/>
          <w:sz w:val="20"/>
          <w:szCs w:val="20"/>
        </w:rPr>
        <w:t xml:space="preserve">aromatic amine-substituted </w:t>
      </w:r>
      <w:r w:rsidR="00844CC8" w:rsidRPr="00546BAF">
        <w:rPr>
          <w:rFonts w:ascii="Arial" w:hAnsi="Arial" w:cs="Arial"/>
          <w:sz w:val="20"/>
          <w:szCs w:val="20"/>
        </w:rPr>
        <w:t>4-hydroxy-3-methoxycinnamic acid</w:t>
      </w:r>
      <w:r w:rsidR="009824E5" w:rsidRPr="00546BAF">
        <w:rPr>
          <w:rFonts w:ascii="Arial" w:hAnsi="Arial" w:cs="Arial"/>
          <w:sz w:val="20"/>
          <w:szCs w:val="20"/>
        </w:rPr>
        <w:t xml:space="preserve"> derivatives revealed promising drug-likeness via Mol</w:t>
      </w:r>
      <w:r w:rsidRPr="00546BAF">
        <w:rPr>
          <w:rFonts w:ascii="Arial" w:hAnsi="Arial" w:cs="Arial"/>
          <w:sz w:val="20"/>
          <w:szCs w:val="20"/>
        </w:rPr>
        <w:t>-</w:t>
      </w:r>
      <w:r w:rsidR="009824E5" w:rsidRPr="00546BAF">
        <w:rPr>
          <w:rFonts w:ascii="Arial" w:hAnsi="Arial" w:cs="Arial"/>
          <w:sz w:val="20"/>
          <w:szCs w:val="20"/>
        </w:rPr>
        <w:t xml:space="preserve">inspiration and Lipinski’s Rule of Five compliance. ADMET profiling indicated </w:t>
      </w:r>
      <w:r w:rsidR="003664B6" w:rsidRPr="00546BAF">
        <w:rPr>
          <w:rFonts w:ascii="Arial" w:hAnsi="Arial" w:cs="Arial"/>
          <w:sz w:val="20"/>
          <w:szCs w:val="20"/>
        </w:rPr>
        <w:t>favourable</w:t>
      </w:r>
      <w:r w:rsidR="009824E5" w:rsidRPr="00546BAF">
        <w:rPr>
          <w:rFonts w:ascii="Arial" w:hAnsi="Arial" w:cs="Arial"/>
          <w:sz w:val="20"/>
          <w:szCs w:val="20"/>
        </w:rPr>
        <w:t xml:space="preserve"> pharmacokinetics and low toxicity. Molecular docking against tyrosine kinase targets (PDB: 4ZSE, 8A27, 5T4B, 6CU6) showed strong binding affinities, particularly with 6CU6, suggesting potential inhibitory activity. Key interactions involved hydrogen bonding and π-π stacking with active site residues, supporting their candidacy as lead compounds for lung cancer therapeutics.</w:t>
      </w:r>
    </w:p>
    <w:p w14:paraId="7E3444BE" w14:textId="0603563B" w:rsidR="0022274F" w:rsidRPr="00546BAF" w:rsidRDefault="0070506B" w:rsidP="0022274F">
      <w:pPr>
        <w:jc w:val="both"/>
        <w:rPr>
          <w:rFonts w:ascii="Arial" w:hAnsi="Arial" w:cs="Arial"/>
          <w:sz w:val="20"/>
          <w:szCs w:val="20"/>
        </w:rPr>
      </w:pPr>
      <w:r w:rsidRPr="00546BAF">
        <w:rPr>
          <w:rFonts w:ascii="Arial" w:hAnsi="Arial" w:cs="Arial"/>
          <w:b/>
          <w:bCs/>
          <w:sz w:val="20"/>
          <w:szCs w:val="20"/>
        </w:rPr>
        <w:t>Conclusion</w:t>
      </w:r>
      <w:r w:rsidRPr="00546BAF">
        <w:rPr>
          <w:rFonts w:ascii="Arial" w:hAnsi="Arial" w:cs="Arial"/>
          <w:sz w:val="20"/>
          <w:szCs w:val="20"/>
        </w:rPr>
        <w:t xml:space="preserve">: </w:t>
      </w:r>
      <w:r w:rsidR="0022274F" w:rsidRPr="00546BAF">
        <w:rPr>
          <w:rFonts w:ascii="Arial" w:hAnsi="Arial" w:cs="Arial"/>
          <w:sz w:val="20"/>
          <w:szCs w:val="20"/>
        </w:rPr>
        <w:t xml:space="preserve">The study concludes that selected </w:t>
      </w:r>
      <w:r w:rsidR="00844CC8" w:rsidRPr="00546BAF">
        <w:rPr>
          <w:rFonts w:ascii="Arial" w:hAnsi="Arial" w:cs="Arial"/>
          <w:sz w:val="20"/>
          <w:szCs w:val="20"/>
        </w:rPr>
        <w:t>4-hydroxy-3-methoxycinnamic acid</w:t>
      </w:r>
      <w:r w:rsidR="00177508">
        <w:rPr>
          <w:rFonts w:ascii="Arial" w:hAnsi="Arial" w:cs="Arial"/>
          <w:sz w:val="20"/>
          <w:szCs w:val="20"/>
        </w:rPr>
        <w:t xml:space="preserve"> </w:t>
      </w:r>
      <w:r w:rsidR="0022274F" w:rsidRPr="00546BAF">
        <w:rPr>
          <w:rFonts w:ascii="Arial" w:hAnsi="Arial" w:cs="Arial"/>
          <w:sz w:val="20"/>
          <w:szCs w:val="20"/>
        </w:rPr>
        <w:t xml:space="preserve">derivatives exhibit </w:t>
      </w:r>
      <w:r w:rsidR="003664B6" w:rsidRPr="00546BAF">
        <w:rPr>
          <w:rFonts w:ascii="Arial" w:hAnsi="Arial" w:cs="Arial"/>
          <w:sz w:val="20"/>
          <w:szCs w:val="20"/>
        </w:rPr>
        <w:t>favourable</w:t>
      </w:r>
      <w:r w:rsidR="0022274F" w:rsidRPr="00546BAF">
        <w:rPr>
          <w:rFonts w:ascii="Arial" w:hAnsi="Arial" w:cs="Arial"/>
          <w:sz w:val="20"/>
          <w:szCs w:val="20"/>
        </w:rPr>
        <w:t xml:space="preserve"> ADMET, drug-likeness, and strong tyrosine kinase inhibition, highlighting their potential as promising candidates for lung cancer therapy.</w:t>
      </w:r>
    </w:p>
    <w:p w14:paraId="363E33BF" w14:textId="77777777" w:rsidR="0070506B" w:rsidRPr="00546BAF" w:rsidRDefault="00BD0AC0" w:rsidP="0022274F">
      <w:pPr>
        <w:jc w:val="both"/>
        <w:rPr>
          <w:rFonts w:ascii="Arial" w:hAnsi="Arial" w:cs="Arial"/>
          <w:sz w:val="20"/>
          <w:szCs w:val="20"/>
        </w:rPr>
      </w:pPr>
      <w:r w:rsidRPr="00546BAF">
        <w:rPr>
          <w:rFonts w:ascii="Arial" w:hAnsi="Arial" w:cs="Arial"/>
          <w:b/>
          <w:bCs/>
          <w:sz w:val="20"/>
          <w:szCs w:val="20"/>
        </w:rPr>
        <w:t xml:space="preserve">Key words: </w:t>
      </w:r>
      <w:r w:rsidR="00323D57" w:rsidRPr="00546BAF">
        <w:rPr>
          <w:rFonts w:ascii="Arial" w:hAnsi="Arial" w:cs="Arial"/>
          <w:sz w:val="20"/>
          <w:szCs w:val="20"/>
        </w:rPr>
        <w:t xml:space="preserve">Lung cancer, </w:t>
      </w:r>
      <w:r w:rsidR="00C219A6" w:rsidRPr="00546BAF">
        <w:rPr>
          <w:rFonts w:ascii="Arial" w:hAnsi="Arial" w:cs="Arial"/>
          <w:sz w:val="20"/>
          <w:szCs w:val="20"/>
        </w:rPr>
        <w:t>4-hydroxy-3-methoxycinnamic acid</w:t>
      </w:r>
      <w:r w:rsidR="00CB410E" w:rsidRPr="00546BAF">
        <w:rPr>
          <w:rFonts w:ascii="Arial" w:hAnsi="Arial" w:cs="Arial"/>
          <w:sz w:val="20"/>
          <w:szCs w:val="20"/>
        </w:rPr>
        <w:t xml:space="preserve">, </w:t>
      </w:r>
      <w:r w:rsidR="001A277B" w:rsidRPr="00546BAF">
        <w:rPr>
          <w:rFonts w:ascii="Arial" w:hAnsi="Arial" w:cs="Arial"/>
          <w:sz w:val="20"/>
          <w:szCs w:val="20"/>
        </w:rPr>
        <w:t xml:space="preserve">ADMET, </w:t>
      </w:r>
      <w:r w:rsidR="00A41292" w:rsidRPr="00546BAF">
        <w:rPr>
          <w:rFonts w:ascii="Arial" w:hAnsi="Arial" w:cs="Arial"/>
          <w:sz w:val="20"/>
          <w:szCs w:val="20"/>
        </w:rPr>
        <w:t>mol- inspiration, molecular docking</w:t>
      </w:r>
      <w:r w:rsidR="00066552" w:rsidRPr="00546BAF">
        <w:rPr>
          <w:rFonts w:ascii="Arial" w:hAnsi="Arial" w:cs="Arial"/>
          <w:sz w:val="20"/>
          <w:szCs w:val="20"/>
        </w:rPr>
        <w:t>.</w:t>
      </w:r>
    </w:p>
    <w:p w14:paraId="0B53F0A5" w14:textId="77777777" w:rsidR="00422B1F" w:rsidRPr="00546BAF" w:rsidRDefault="00422B1F" w:rsidP="00422B1F">
      <w:pPr>
        <w:spacing w:after="0" w:line="240" w:lineRule="auto"/>
        <w:jc w:val="both"/>
        <w:rPr>
          <w:rFonts w:ascii="Arial" w:hAnsi="Arial" w:cs="Arial"/>
          <w:b/>
          <w:sz w:val="22"/>
        </w:rPr>
      </w:pPr>
    </w:p>
    <w:p w14:paraId="2E439DA5" w14:textId="77777777" w:rsidR="00422B1F" w:rsidRPr="00546BAF" w:rsidRDefault="00422B1F" w:rsidP="00422B1F">
      <w:pPr>
        <w:spacing w:after="0" w:line="240" w:lineRule="auto"/>
        <w:jc w:val="both"/>
        <w:rPr>
          <w:rFonts w:ascii="Arial" w:hAnsi="Arial" w:cs="Arial"/>
          <w:b/>
          <w:sz w:val="22"/>
        </w:rPr>
      </w:pPr>
    </w:p>
    <w:p w14:paraId="73038327" w14:textId="77777777" w:rsidR="00422B1F" w:rsidRPr="00546BAF" w:rsidRDefault="00422B1F" w:rsidP="00422B1F">
      <w:pPr>
        <w:spacing w:after="0" w:line="240" w:lineRule="auto"/>
        <w:jc w:val="both"/>
        <w:rPr>
          <w:rFonts w:ascii="Arial" w:hAnsi="Arial" w:cs="Arial"/>
          <w:b/>
          <w:sz w:val="22"/>
        </w:rPr>
      </w:pPr>
    </w:p>
    <w:p w14:paraId="68CB628E" w14:textId="77777777" w:rsidR="00422B1F" w:rsidRPr="00546BAF" w:rsidRDefault="00422B1F" w:rsidP="00422B1F">
      <w:pPr>
        <w:spacing w:after="0" w:line="240" w:lineRule="auto"/>
        <w:jc w:val="both"/>
        <w:rPr>
          <w:rFonts w:ascii="Arial" w:hAnsi="Arial" w:cs="Arial"/>
          <w:b/>
          <w:sz w:val="22"/>
        </w:rPr>
      </w:pPr>
    </w:p>
    <w:p w14:paraId="5D90D74C" w14:textId="77777777" w:rsidR="00422B1F" w:rsidRPr="00546BAF" w:rsidRDefault="00422B1F" w:rsidP="00422B1F">
      <w:pPr>
        <w:spacing w:after="0" w:line="240" w:lineRule="auto"/>
        <w:jc w:val="both"/>
        <w:rPr>
          <w:rFonts w:ascii="Arial" w:hAnsi="Arial" w:cs="Arial"/>
          <w:b/>
          <w:sz w:val="22"/>
        </w:rPr>
      </w:pPr>
    </w:p>
    <w:p w14:paraId="18A0662A" w14:textId="77777777" w:rsidR="00422B1F" w:rsidRPr="00546BAF" w:rsidRDefault="00422B1F" w:rsidP="00422B1F">
      <w:pPr>
        <w:spacing w:after="0" w:line="240" w:lineRule="auto"/>
        <w:jc w:val="both"/>
        <w:rPr>
          <w:rFonts w:ascii="Arial" w:hAnsi="Arial" w:cs="Arial"/>
          <w:b/>
          <w:sz w:val="22"/>
        </w:rPr>
      </w:pPr>
    </w:p>
    <w:p w14:paraId="5C7C0DC8" w14:textId="77777777" w:rsidR="00422B1F" w:rsidRPr="00546BAF" w:rsidRDefault="00422B1F" w:rsidP="00422B1F">
      <w:pPr>
        <w:spacing w:after="0" w:line="240" w:lineRule="auto"/>
        <w:jc w:val="both"/>
        <w:rPr>
          <w:rFonts w:ascii="Arial" w:hAnsi="Arial" w:cs="Arial"/>
          <w:b/>
          <w:sz w:val="22"/>
        </w:rPr>
      </w:pPr>
    </w:p>
    <w:p w14:paraId="1E299829" w14:textId="77777777" w:rsidR="00422B1F" w:rsidRDefault="00422B1F" w:rsidP="00422B1F">
      <w:pPr>
        <w:spacing w:after="0" w:line="240" w:lineRule="auto"/>
        <w:jc w:val="both"/>
        <w:rPr>
          <w:rFonts w:ascii="Arial" w:hAnsi="Arial" w:cs="Arial"/>
          <w:b/>
          <w:sz w:val="22"/>
        </w:rPr>
      </w:pPr>
    </w:p>
    <w:p w14:paraId="3CBF22F4" w14:textId="77777777" w:rsidR="00255D6F" w:rsidRDefault="00255D6F" w:rsidP="00422B1F">
      <w:pPr>
        <w:spacing w:after="0" w:line="240" w:lineRule="auto"/>
        <w:jc w:val="both"/>
        <w:rPr>
          <w:rFonts w:ascii="Arial" w:hAnsi="Arial" w:cs="Arial"/>
          <w:b/>
          <w:sz w:val="22"/>
        </w:rPr>
      </w:pPr>
    </w:p>
    <w:p w14:paraId="0BACBE1D" w14:textId="77777777" w:rsidR="00255D6F" w:rsidRDefault="00255D6F" w:rsidP="00422B1F">
      <w:pPr>
        <w:spacing w:after="0" w:line="240" w:lineRule="auto"/>
        <w:jc w:val="both"/>
        <w:rPr>
          <w:rFonts w:ascii="Arial" w:hAnsi="Arial" w:cs="Arial"/>
          <w:b/>
          <w:sz w:val="22"/>
        </w:rPr>
      </w:pPr>
    </w:p>
    <w:p w14:paraId="7D061F58" w14:textId="77777777" w:rsidR="00255D6F" w:rsidRDefault="00255D6F" w:rsidP="00422B1F">
      <w:pPr>
        <w:spacing w:after="0" w:line="240" w:lineRule="auto"/>
        <w:jc w:val="both"/>
        <w:rPr>
          <w:rFonts w:ascii="Arial" w:hAnsi="Arial" w:cs="Arial"/>
          <w:b/>
          <w:sz w:val="22"/>
        </w:rPr>
      </w:pPr>
    </w:p>
    <w:p w14:paraId="6EED77BD" w14:textId="77777777" w:rsidR="00255D6F" w:rsidRDefault="00255D6F" w:rsidP="00422B1F">
      <w:pPr>
        <w:spacing w:after="0" w:line="240" w:lineRule="auto"/>
        <w:jc w:val="both"/>
        <w:rPr>
          <w:rFonts w:ascii="Arial" w:hAnsi="Arial" w:cs="Arial"/>
          <w:b/>
          <w:sz w:val="22"/>
        </w:rPr>
      </w:pPr>
    </w:p>
    <w:p w14:paraId="271788C5" w14:textId="77777777" w:rsidR="00255D6F" w:rsidRDefault="00255D6F" w:rsidP="00422B1F">
      <w:pPr>
        <w:spacing w:after="0" w:line="240" w:lineRule="auto"/>
        <w:jc w:val="both"/>
        <w:rPr>
          <w:rFonts w:ascii="Arial" w:hAnsi="Arial" w:cs="Arial"/>
          <w:b/>
          <w:sz w:val="22"/>
        </w:rPr>
      </w:pPr>
    </w:p>
    <w:p w14:paraId="4CE6B1D3" w14:textId="77777777" w:rsidR="00255D6F" w:rsidRDefault="00255D6F" w:rsidP="00422B1F">
      <w:pPr>
        <w:spacing w:after="0" w:line="240" w:lineRule="auto"/>
        <w:jc w:val="both"/>
        <w:rPr>
          <w:rFonts w:ascii="Arial" w:hAnsi="Arial" w:cs="Arial"/>
          <w:b/>
          <w:sz w:val="22"/>
        </w:rPr>
      </w:pPr>
    </w:p>
    <w:p w14:paraId="4940D7B3" w14:textId="77777777" w:rsidR="00255D6F" w:rsidRDefault="00255D6F" w:rsidP="00422B1F">
      <w:pPr>
        <w:spacing w:after="0" w:line="240" w:lineRule="auto"/>
        <w:jc w:val="both"/>
        <w:rPr>
          <w:rFonts w:ascii="Arial" w:hAnsi="Arial" w:cs="Arial"/>
          <w:b/>
          <w:sz w:val="22"/>
        </w:rPr>
      </w:pPr>
    </w:p>
    <w:p w14:paraId="579FC505" w14:textId="77777777" w:rsidR="00255D6F" w:rsidRDefault="00255D6F" w:rsidP="00422B1F">
      <w:pPr>
        <w:spacing w:after="0" w:line="240" w:lineRule="auto"/>
        <w:jc w:val="both"/>
        <w:rPr>
          <w:rFonts w:ascii="Arial" w:hAnsi="Arial" w:cs="Arial"/>
          <w:b/>
          <w:sz w:val="22"/>
        </w:rPr>
      </w:pPr>
    </w:p>
    <w:p w14:paraId="2756263D" w14:textId="77777777" w:rsidR="00255D6F" w:rsidRPr="00546BAF" w:rsidRDefault="00255D6F" w:rsidP="00422B1F">
      <w:pPr>
        <w:spacing w:after="0" w:line="240" w:lineRule="auto"/>
        <w:jc w:val="both"/>
        <w:rPr>
          <w:rFonts w:ascii="Arial" w:hAnsi="Arial" w:cs="Arial"/>
          <w:b/>
          <w:sz w:val="22"/>
        </w:rPr>
      </w:pPr>
    </w:p>
    <w:p w14:paraId="2F05A856" w14:textId="77777777" w:rsidR="00422B1F" w:rsidRPr="00546BAF" w:rsidRDefault="00422B1F" w:rsidP="00422B1F">
      <w:pPr>
        <w:spacing w:after="0" w:line="240" w:lineRule="auto"/>
        <w:jc w:val="both"/>
        <w:rPr>
          <w:rFonts w:ascii="Arial" w:hAnsi="Arial" w:cs="Arial"/>
          <w:b/>
          <w:sz w:val="22"/>
        </w:rPr>
      </w:pPr>
    </w:p>
    <w:p w14:paraId="0717AB3C" w14:textId="77777777" w:rsidR="00422B1F" w:rsidRPr="00546BAF" w:rsidRDefault="00422B1F" w:rsidP="00422B1F">
      <w:pPr>
        <w:spacing w:after="0" w:line="240" w:lineRule="auto"/>
        <w:jc w:val="both"/>
        <w:rPr>
          <w:rFonts w:ascii="Arial" w:hAnsi="Arial" w:cs="Arial"/>
          <w:b/>
          <w:sz w:val="22"/>
        </w:rPr>
      </w:pPr>
    </w:p>
    <w:p w14:paraId="3210D4EB" w14:textId="77777777" w:rsidR="00422B1F" w:rsidRPr="00546BAF" w:rsidRDefault="00422B1F" w:rsidP="00422B1F">
      <w:pPr>
        <w:spacing w:after="0" w:line="240" w:lineRule="auto"/>
        <w:jc w:val="both"/>
        <w:rPr>
          <w:rFonts w:ascii="Arial" w:hAnsi="Arial" w:cs="Arial"/>
          <w:b/>
          <w:sz w:val="22"/>
        </w:rPr>
      </w:pPr>
    </w:p>
    <w:p w14:paraId="4AC51715" w14:textId="77777777" w:rsidR="00422B1F" w:rsidRPr="00546BAF" w:rsidRDefault="00422B1F" w:rsidP="00422B1F">
      <w:pPr>
        <w:spacing w:after="0" w:line="240" w:lineRule="auto"/>
        <w:jc w:val="both"/>
        <w:rPr>
          <w:rFonts w:ascii="Arial" w:hAnsi="Arial" w:cs="Arial"/>
          <w:b/>
          <w:sz w:val="22"/>
        </w:rPr>
      </w:pPr>
    </w:p>
    <w:p w14:paraId="0613670F" w14:textId="77777777" w:rsidR="004E49C2" w:rsidRPr="00546BAF" w:rsidRDefault="00155889" w:rsidP="00422B1F">
      <w:pPr>
        <w:spacing w:after="0"/>
        <w:rPr>
          <w:rFonts w:ascii="Arial" w:hAnsi="Arial" w:cs="Arial"/>
          <w:b/>
          <w:sz w:val="24"/>
          <w:szCs w:val="24"/>
        </w:rPr>
      </w:pPr>
      <w:r w:rsidRPr="00546BAF">
        <w:rPr>
          <w:rFonts w:ascii="Arial" w:hAnsi="Arial" w:cs="Arial"/>
          <w:b/>
          <w:bCs/>
          <w:sz w:val="22"/>
          <w:szCs w:val="20"/>
        </w:rPr>
        <w:t>INTRODUCTION</w:t>
      </w:r>
      <w:r w:rsidR="00082753" w:rsidRPr="00546BAF">
        <w:rPr>
          <w:rFonts w:ascii="Arial" w:hAnsi="Arial" w:cs="Arial"/>
          <w:b/>
          <w:bCs/>
          <w:sz w:val="20"/>
          <w:szCs w:val="20"/>
        </w:rPr>
        <w:t xml:space="preserve"> </w:t>
      </w:r>
    </w:p>
    <w:p w14:paraId="3165698A" w14:textId="77777777" w:rsidR="00C72CF0" w:rsidRPr="00546BAF" w:rsidRDefault="00D2252B" w:rsidP="004C4B4A">
      <w:pPr>
        <w:jc w:val="both"/>
        <w:rPr>
          <w:rFonts w:ascii="Arial" w:hAnsi="Arial" w:cs="Arial"/>
          <w:sz w:val="20"/>
          <w:szCs w:val="20"/>
        </w:rPr>
      </w:pPr>
      <w:r w:rsidRPr="00546BAF">
        <w:rPr>
          <w:rFonts w:ascii="Arial" w:hAnsi="Arial" w:cs="Arial"/>
          <w:sz w:val="20"/>
          <w:szCs w:val="20"/>
        </w:rPr>
        <w:t>Cancer is a complex and multifactorial disease characterized by the uncontrolled growth and proliferation of abnormal cells, often driven by disruptions in cellular metabolism and enzyme activity</w:t>
      </w:r>
      <w:r w:rsidR="000878AF" w:rsidRPr="00546BAF">
        <w:rPr>
          <w:rFonts w:ascii="Arial" w:hAnsi="Arial" w:cs="Arial"/>
          <w:sz w:val="20"/>
          <w:szCs w:val="20"/>
        </w:rPr>
        <w:t xml:space="preserve"> </w:t>
      </w:r>
      <w:r w:rsidR="003F51C6" w:rsidRPr="00546BAF">
        <w:rPr>
          <w:rFonts w:ascii="Arial" w:hAnsi="Arial" w:cs="Arial"/>
          <w:sz w:val="20"/>
          <w:szCs w:val="20"/>
        </w:rPr>
        <w:t>(1</w:t>
      </w:r>
      <w:proofErr w:type="gramStart"/>
      <w:r w:rsidR="003F51C6" w:rsidRPr="00546BAF">
        <w:rPr>
          <w:rFonts w:ascii="Arial" w:hAnsi="Arial" w:cs="Arial"/>
          <w:sz w:val="20"/>
          <w:szCs w:val="20"/>
        </w:rPr>
        <w:t>)</w:t>
      </w:r>
      <w:r w:rsidRPr="00546BAF">
        <w:rPr>
          <w:rFonts w:ascii="Arial" w:hAnsi="Arial" w:cs="Arial"/>
          <w:sz w:val="20"/>
          <w:szCs w:val="20"/>
        </w:rPr>
        <w:t>.Lung</w:t>
      </w:r>
      <w:proofErr w:type="gramEnd"/>
      <w:r w:rsidRPr="00546BAF">
        <w:rPr>
          <w:rFonts w:ascii="Arial" w:hAnsi="Arial" w:cs="Arial"/>
          <w:sz w:val="20"/>
          <w:szCs w:val="20"/>
        </w:rPr>
        <w:t xml:space="preserve"> cancer is one the leading causes of cancer-related mortality worldwide. According to global cancer statistics, lung cancer accounts for approximately 11.6% of all new cancer cases and is the leading cause of cancer-related deaths, responsible for 18.4% of all cancer deaths</w:t>
      </w:r>
      <w:r w:rsidR="00723369" w:rsidRPr="00546BAF">
        <w:rPr>
          <w:rFonts w:ascii="Arial" w:hAnsi="Arial" w:cs="Arial"/>
          <w:sz w:val="20"/>
          <w:szCs w:val="20"/>
        </w:rPr>
        <w:t xml:space="preserve"> (2)</w:t>
      </w:r>
    </w:p>
    <w:p w14:paraId="1A8EAABA" w14:textId="77777777" w:rsidR="00C14C0B" w:rsidRPr="00546BAF" w:rsidRDefault="00016298" w:rsidP="004C4B4A">
      <w:pPr>
        <w:jc w:val="both"/>
        <w:rPr>
          <w:rFonts w:ascii="Arial" w:hAnsi="Arial" w:cs="Arial"/>
          <w:sz w:val="20"/>
          <w:szCs w:val="20"/>
        </w:rPr>
      </w:pPr>
      <w:hyperlink r:id="rId8" w:tooltip="Learn more about Tyrosine kinase receptors from ScienceDirect's AI-generated Topic Pages" w:history="1">
        <w:r w:rsidR="00686C42" w:rsidRPr="00546BAF">
          <w:rPr>
            <w:rStyle w:val="Hyperlink"/>
            <w:rFonts w:ascii="Arial" w:hAnsi="Arial" w:cs="Arial"/>
            <w:color w:val="auto"/>
            <w:sz w:val="20"/>
            <w:szCs w:val="20"/>
            <w:u w:val="none"/>
          </w:rPr>
          <w:t>Tyrosine kinase receptors</w:t>
        </w:r>
      </w:hyperlink>
      <w:r w:rsidR="00686C42" w:rsidRPr="00546BAF">
        <w:rPr>
          <w:rFonts w:ascii="Arial" w:hAnsi="Arial" w:cs="Arial"/>
          <w:sz w:val="20"/>
          <w:szCs w:val="20"/>
        </w:rPr>
        <w:t> (RTKs) are main transmembrane </w:t>
      </w:r>
      <w:hyperlink r:id="rId9" w:tooltip="Learn more about glycoproteins from ScienceDirect's AI-generated Topic Pages" w:history="1">
        <w:r w:rsidR="00686C42" w:rsidRPr="00546BAF">
          <w:rPr>
            <w:rStyle w:val="Hyperlink"/>
            <w:rFonts w:ascii="Arial" w:hAnsi="Arial" w:cs="Arial"/>
            <w:color w:val="auto"/>
            <w:sz w:val="20"/>
            <w:szCs w:val="20"/>
            <w:u w:val="none"/>
          </w:rPr>
          <w:t>glycoproteins</w:t>
        </w:r>
      </w:hyperlink>
      <w:r w:rsidR="00686C42" w:rsidRPr="00546BAF">
        <w:rPr>
          <w:rFonts w:ascii="Arial" w:hAnsi="Arial" w:cs="Arial"/>
          <w:sz w:val="20"/>
          <w:szCs w:val="20"/>
        </w:rPr>
        <w:t xml:space="preserve"> that play significant role in </w:t>
      </w:r>
      <w:proofErr w:type="spellStart"/>
      <w:r w:rsidR="00686C42" w:rsidRPr="00546BAF">
        <w:rPr>
          <w:rFonts w:ascii="Arial" w:hAnsi="Arial" w:cs="Arial"/>
          <w:sz w:val="20"/>
          <w:szCs w:val="20"/>
        </w:rPr>
        <w:t>tumor</w:t>
      </w:r>
      <w:proofErr w:type="spellEnd"/>
      <w:r w:rsidR="00686C42" w:rsidRPr="00546BAF">
        <w:rPr>
          <w:rFonts w:ascii="Arial" w:hAnsi="Arial" w:cs="Arial"/>
          <w:sz w:val="20"/>
          <w:szCs w:val="20"/>
        </w:rPr>
        <w:t xml:space="preserve"> genesis and progression, and are major targets for cancer therapy. Small molecule inhibitors of tyrosine kinase prevent this enzyme from phosphorylating intracellular </w:t>
      </w:r>
      <w:hyperlink r:id="rId10" w:tooltip="Learn more about tyrosine residues from ScienceDirect's AI-generated Topic Pages" w:history="1">
        <w:r w:rsidR="00686C42" w:rsidRPr="00546BAF">
          <w:rPr>
            <w:rStyle w:val="Hyperlink"/>
            <w:rFonts w:ascii="Arial" w:hAnsi="Arial" w:cs="Arial"/>
            <w:color w:val="auto"/>
            <w:sz w:val="20"/>
            <w:szCs w:val="20"/>
            <w:u w:val="none"/>
          </w:rPr>
          <w:t>tyrosine residues</w:t>
        </w:r>
      </w:hyperlink>
      <w:r w:rsidR="00686C42" w:rsidRPr="00546BAF">
        <w:rPr>
          <w:rFonts w:ascii="Arial" w:hAnsi="Arial" w:cs="Arial"/>
          <w:sz w:val="20"/>
          <w:szCs w:val="20"/>
        </w:rPr>
        <w:t> on their substrates and thus blocking the downstream signa</w:t>
      </w:r>
      <w:r w:rsidR="00951E0D" w:rsidRPr="00546BAF">
        <w:rPr>
          <w:rFonts w:ascii="Arial" w:hAnsi="Arial" w:cs="Arial"/>
          <w:sz w:val="20"/>
          <w:szCs w:val="20"/>
        </w:rPr>
        <w:t>l</w:t>
      </w:r>
      <w:r w:rsidR="00686C42" w:rsidRPr="00546BAF">
        <w:rPr>
          <w:rFonts w:ascii="Arial" w:hAnsi="Arial" w:cs="Arial"/>
          <w:sz w:val="20"/>
          <w:szCs w:val="20"/>
        </w:rPr>
        <w:t>ling pathways.</w:t>
      </w:r>
      <w:r w:rsidR="00D733A5" w:rsidRPr="00546BAF">
        <w:rPr>
          <w:rFonts w:ascii="Arial" w:hAnsi="Arial" w:cs="Arial"/>
          <w:sz w:val="20"/>
          <w:szCs w:val="20"/>
        </w:rPr>
        <w:t>(3)</w:t>
      </w:r>
    </w:p>
    <w:p w14:paraId="6E386202" w14:textId="77777777" w:rsidR="00D733A5" w:rsidRPr="00546BAF" w:rsidRDefault="00D733A5" w:rsidP="00D733A5">
      <w:pPr>
        <w:jc w:val="both"/>
        <w:rPr>
          <w:rFonts w:ascii="Arial" w:hAnsi="Arial" w:cs="Arial"/>
          <w:sz w:val="20"/>
          <w:szCs w:val="20"/>
        </w:rPr>
      </w:pPr>
      <w:r w:rsidRPr="00546BAF">
        <w:rPr>
          <w:rFonts w:ascii="Arial" w:hAnsi="Arial" w:cs="Arial"/>
          <w:sz w:val="20"/>
          <w:szCs w:val="20"/>
        </w:rPr>
        <w:t xml:space="preserve">An extracellular ligand binding domain, a single transmembrane helix, and an intracellular area comprising a </w:t>
      </w:r>
      <w:proofErr w:type="spellStart"/>
      <w:r w:rsidRPr="00546BAF">
        <w:rPr>
          <w:rFonts w:ascii="Arial" w:hAnsi="Arial" w:cs="Arial"/>
          <w:sz w:val="20"/>
          <w:szCs w:val="20"/>
        </w:rPr>
        <w:t>juxtamembrane</w:t>
      </w:r>
      <w:proofErr w:type="spellEnd"/>
      <w:r w:rsidRPr="00546BAF">
        <w:rPr>
          <w:rFonts w:ascii="Arial" w:hAnsi="Arial" w:cs="Arial"/>
          <w:sz w:val="20"/>
          <w:szCs w:val="20"/>
        </w:rPr>
        <w:t xml:space="preserve"> regulatory region, a tyrosine kinase domain (TKD), and a carboxyl terminal tail make up the common protein structure of RTKs. Typically, ligands unique to each receptor activate RTKs. These ligands, which include growth factors, attach to the outer regions of RTKs and cause ligand-induced receptor dimerization or oligomerization, which activates the receptor. These structural changes enable trans-autophosphorylation of each tyrosine kinase domain (TKD) in most RTKs.</w:t>
      </w:r>
    </w:p>
    <w:p w14:paraId="0414C8A9" w14:textId="77777777" w:rsidR="00611371" w:rsidRPr="00546BAF" w:rsidRDefault="00611371" w:rsidP="00D733A5">
      <w:pPr>
        <w:jc w:val="both"/>
        <w:rPr>
          <w:rFonts w:ascii="Arial" w:hAnsi="Arial" w:cs="Arial"/>
          <w:sz w:val="20"/>
          <w:szCs w:val="20"/>
        </w:rPr>
      </w:pPr>
      <w:r w:rsidRPr="00546BAF">
        <w:rPr>
          <w:rFonts w:ascii="Arial" w:hAnsi="Arial" w:cs="Arial"/>
          <w:sz w:val="20"/>
          <w:szCs w:val="20"/>
        </w:rPr>
        <w:t xml:space="preserve">Traditional chemotherapy and radiotherapy have increased patient survival to a certain extent, but many patients still face a high recurrence rate and poor </w:t>
      </w:r>
      <w:proofErr w:type="gramStart"/>
      <w:r w:rsidRPr="00546BAF">
        <w:rPr>
          <w:rFonts w:ascii="Arial" w:hAnsi="Arial" w:cs="Arial"/>
          <w:sz w:val="20"/>
          <w:szCs w:val="20"/>
        </w:rPr>
        <w:t>prognosis</w:t>
      </w:r>
      <w:r w:rsidR="00D80062" w:rsidRPr="00546BAF">
        <w:rPr>
          <w:rFonts w:ascii="Arial" w:hAnsi="Arial" w:cs="Arial"/>
          <w:sz w:val="20"/>
          <w:szCs w:val="20"/>
        </w:rPr>
        <w:t>(</w:t>
      </w:r>
      <w:proofErr w:type="gramEnd"/>
      <w:r w:rsidR="00D80062" w:rsidRPr="00546BAF">
        <w:rPr>
          <w:rFonts w:ascii="Arial" w:hAnsi="Arial" w:cs="Arial"/>
          <w:sz w:val="20"/>
          <w:szCs w:val="20"/>
        </w:rPr>
        <w:t>4)</w:t>
      </w:r>
      <w:r w:rsidR="004E49C2" w:rsidRPr="00546BAF">
        <w:rPr>
          <w:rFonts w:ascii="Arial" w:hAnsi="Arial" w:cs="Arial"/>
          <w:sz w:val="20"/>
          <w:szCs w:val="20"/>
        </w:rPr>
        <w:t>.</w:t>
      </w:r>
    </w:p>
    <w:p w14:paraId="2C62BE75" w14:textId="77777777" w:rsidR="00CA68F5" w:rsidRPr="00546BAF" w:rsidRDefault="00CA68F5" w:rsidP="00CA68F5">
      <w:pPr>
        <w:jc w:val="both"/>
        <w:rPr>
          <w:rFonts w:ascii="Arial" w:hAnsi="Arial" w:cs="Arial"/>
          <w:sz w:val="20"/>
          <w:szCs w:val="20"/>
        </w:rPr>
      </w:pPr>
      <w:r w:rsidRPr="00546BAF">
        <w:rPr>
          <w:rFonts w:ascii="Arial" w:hAnsi="Arial" w:cs="Arial"/>
          <w:sz w:val="20"/>
          <w:szCs w:val="20"/>
        </w:rPr>
        <w:t>Recent advancements in lung cancer therapy include next-generation tyrosine kinase inhibitors (TKIs) targeting EGFR and ALK mutations with improved specificity and reduced resistance. Immunotherapies, such as PD-1/PD-L1 checkpoint inhibitors, have shown durable responses in advanced cases. Additionally, liquid biopsies enable early detection and monitoring, while AI-driven diagnostics enhance personalized treatment planning, significantly improving patient outcomes and survival rates.</w:t>
      </w:r>
    </w:p>
    <w:p w14:paraId="633157C8" w14:textId="490FC696" w:rsidR="0057173B" w:rsidRPr="00546BAF" w:rsidRDefault="00052E19" w:rsidP="0057173B">
      <w:pPr>
        <w:jc w:val="both"/>
        <w:rPr>
          <w:rFonts w:ascii="Arial" w:hAnsi="Arial" w:cs="Arial"/>
          <w:sz w:val="20"/>
          <w:szCs w:val="20"/>
        </w:rPr>
      </w:pPr>
      <w:r w:rsidRPr="00546BAF">
        <w:rPr>
          <w:rFonts w:ascii="Arial" w:hAnsi="Arial" w:cs="Arial"/>
          <w:sz w:val="20"/>
          <w:szCs w:val="20"/>
        </w:rPr>
        <w:t>Tyrosine kinase inhibitors (TKIs) are a class of drugs that have anti-proliferative and anti-angiogenic properties.</w:t>
      </w:r>
      <w:r w:rsidR="00177508">
        <w:rPr>
          <w:rFonts w:ascii="Arial" w:hAnsi="Arial" w:cs="Arial"/>
          <w:sz w:val="20"/>
          <w:szCs w:val="20"/>
        </w:rPr>
        <w:t xml:space="preserve"> </w:t>
      </w:r>
      <w:proofErr w:type="gramStart"/>
      <w:r w:rsidR="0057173B" w:rsidRPr="00546BAF">
        <w:rPr>
          <w:rFonts w:ascii="Arial" w:hAnsi="Arial" w:cs="Arial"/>
          <w:sz w:val="20"/>
          <w:szCs w:val="20"/>
        </w:rPr>
        <w:t>Tyrosine</w:t>
      </w:r>
      <w:proofErr w:type="gramEnd"/>
      <w:r w:rsidR="0057173B" w:rsidRPr="00546BAF">
        <w:rPr>
          <w:rFonts w:ascii="Arial" w:hAnsi="Arial" w:cs="Arial"/>
          <w:sz w:val="20"/>
          <w:szCs w:val="20"/>
        </w:rPr>
        <w:t xml:space="preserve"> kinase inhibitors (TKIs) are targeted cancer therapies that block abnormal signal</w:t>
      </w:r>
      <w:r w:rsidR="004A5EA9" w:rsidRPr="00546BAF">
        <w:rPr>
          <w:rFonts w:ascii="Arial" w:hAnsi="Arial" w:cs="Arial"/>
          <w:sz w:val="20"/>
          <w:szCs w:val="20"/>
        </w:rPr>
        <w:t>l</w:t>
      </w:r>
      <w:r w:rsidR="0057173B" w:rsidRPr="00546BAF">
        <w:rPr>
          <w:rFonts w:ascii="Arial" w:hAnsi="Arial" w:cs="Arial"/>
          <w:sz w:val="20"/>
          <w:szCs w:val="20"/>
        </w:rPr>
        <w:t>ing pathways driving tumo</w:t>
      </w:r>
      <w:r w:rsidR="004A5EA9" w:rsidRPr="00546BAF">
        <w:rPr>
          <w:rFonts w:ascii="Arial" w:hAnsi="Arial" w:cs="Arial"/>
          <w:sz w:val="20"/>
          <w:szCs w:val="20"/>
        </w:rPr>
        <w:t>u</w:t>
      </w:r>
      <w:r w:rsidR="0057173B" w:rsidRPr="00546BAF">
        <w:rPr>
          <w:rFonts w:ascii="Arial" w:hAnsi="Arial" w:cs="Arial"/>
          <w:sz w:val="20"/>
          <w:szCs w:val="20"/>
        </w:rPr>
        <w:t xml:space="preserve">r growth. They are especially effective in treating cancers like lung and </w:t>
      </w:r>
      <w:proofErr w:type="spellStart"/>
      <w:r w:rsidR="0057173B" w:rsidRPr="00546BAF">
        <w:rPr>
          <w:rFonts w:ascii="Arial" w:hAnsi="Arial" w:cs="Arial"/>
          <w:sz w:val="20"/>
          <w:szCs w:val="20"/>
        </w:rPr>
        <w:t>leuk</w:t>
      </w:r>
      <w:r w:rsidR="004A5EA9" w:rsidRPr="00546BAF">
        <w:rPr>
          <w:rFonts w:ascii="Arial" w:hAnsi="Arial" w:cs="Arial"/>
          <w:sz w:val="20"/>
          <w:szCs w:val="20"/>
        </w:rPr>
        <w:t>e</w:t>
      </w:r>
      <w:r w:rsidR="0057173B" w:rsidRPr="00546BAF">
        <w:rPr>
          <w:rFonts w:ascii="Arial" w:hAnsi="Arial" w:cs="Arial"/>
          <w:sz w:val="20"/>
          <w:szCs w:val="20"/>
        </w:rPr>
        <w:t>mia</w:t>
      </w:r>
      <w:proofErr w:type="spellEnd"/>
      <w:r w:rsidR="0057173B" w:rsidRPr="00546BAF">
        <w:rPr>
          <w:rFonts w:ascii="Arial" w:hAnsi="Arial" w:cs="Arial"/>
          <w:sz w:val="20"/>
          <w:szCs w:val="20"/>
        </w:rPr>
        <w:t xml:space="preserve"> with specific genetic mutations.</w:t>
      </w:r>
    </w:p>
    <w:p w14:paraId="77018638" w14:textId="77777777" w:rsidR="00052E19" w:rsidRPr="00546BAF" w:rsidRDefault="00476D5B" w:rsidP="00052E19">
      <w:pPr>
        <w:jc w:val="both"/>
        <w:rPr>
          <w:rFonts w:ascii="Arial" w:hAnsi="Arial" w:cs="Arial"/>
          <w:sz w:val="20"/>
          <w:szCs w:val="20"/>
        </w:rPr>
      </w:pPr>
      <w:r w:rsidRPr="00546BAF">
        <w:rPr>
          <w:rFonts w:ascii="Arial" w:hAnsi="Arial" w:cs="Arial"/>
          <w:sz w:val="20"/>
          <w:szCs w:val="20"/>
        </w:rPr>
        <w:t xml:space="preserve"> TKIs received the approval for their use in clinical practice, such as </w:t>
      </w:r>
      <w:proofErr w:type="spellStart"/>
      <w:r w:rsidRPr="00546BAF">
        <w:rPr>
          <w:rFonts w:ascii="Arial" w:hAnsi="Arial" w:cs="Arial"/>
          <w:sz w:val="20"/>
          <w:szCs w:val="20"/>
        </w:rPr>
        <w:t>gefitinib</w:t>
      </w:r>
      <w:proofErr w:type="spellEnd"/>
      <w:r w:rsidRPr="00546BAF">
        <w:rPr>
          <w:rFonts w:ascii="Arial" w:hAnsi="Arial" w:cs="Arial"/>
          <w:sz w:val="20"/>
          <w:szCs w:val="20"/>
        </w:rPr>
        <w:t xml:space="preserve">, </w:t>
      </w:r>
      <w:proofErr w:type="spellStart"/>
      <w:r w:rsidRPr="00546BAF">
        <w:rPr>
          <w:rFonts w:ascii="Arial" w:hAnsi="Arial" w:cs="Arial"/>
          <w:sz w:val="20"/>
          <w:szCs w:val="20"/>
        </w:rPr>
        <w:t>erlotinib</w:t>
      </w:r>
      <w:proofErr w:type="spellEnd"/>
      <w:r w:rsidRPr="00546BAF">
        <w:rPr>
          <w:rFonts w:ascii="Arial" w:hAnsi="Arial" w:cs="Arial"/>
          <w:sz w:val="20"/>
          <w:szCs w:val="20"/>
        </w:rPr>
        <w:t xml:space="preserve">, </w:t>
      </w:r>
      <w:proofErr w:type="spellStart"/>
      <w:r w:rsidRPr="00546BAF">
        <w:rPr>
          <w:rFonts w:ascii="Arial" w:hAnsi="Arial" w:cs="Arial"/>
          <w:sz w:val="20"/>
          <w:szCs w:val="20"/>
        </w:rPr>
        <w:t>dasatinib</w:t>
      </w:r>
      <w:proofErr w:type="spellEnd"/>
      <w:r w:rsidRPr="00546BAF">
        <w:rPr>
          <w:rFonts w:ascii="Arial" w:hAnsi="Arial" w:cs="Arial"/>
          <w:sz w:val="20"/>
          <w:szCs w:val="20"/>
        </w:rPr>
        <w:t xml:space="preserve">, </w:t>
      </w:r>
      <w:proofErr w:type="spellStart"/>
      <w:r w:rsidRPr="00546BAF">
        <w:rPr>
          <w:rFonts w:ascii="Arial" w:hAnsi="Arial" w:cs="Arial"/>
          <w:sz w:val="20"/>
          <w:szCs w:val="20"/>
        </w:rPr>
        <w:t>sorafenib</w:t>
      </w:r>
      <w:proofErr w:type="spellEnd"/>
      <w:r w:rsidRPr="00546BAF">
        <w:rPr>
          <w:rFonts w:ascii="Arial" w:hAnsi="Arial" w:cs="Arial"/>
          <w:sz w:val="20"/>
          <w:szCs w:val="20"/>
        </w:rPr>
        <w:t xml:space="preserve">, and </w:t>
      </w:r>
      <w:proofErr w:type="spellStart"/>
      <w:r w:rsidRPr="00546BAF">
        <w:rPr>
          <w:rFonts w:ascii="Arial" w:hAnsi="Arial" w:cs="Arial"/>
          <w:sz w:val="20"/>
          <w:szCs w:val="20"/>
        </w:rPr>
        <w:t>sunitinib</w:t>
      </w:r>
      <w:proofErr w:type="spellEnd"/>
      <w:r w:rsidRPr="00546BAF">
        <w:rPr>
          <w:rFonts w:ascii="Arial" w:hAnsi="Arial" w:cs="Arial"/>
          <w:sz w:val="20"/>
          <w:szCs w:val="20"/>
        </w:rPr>
        <w:t xml:space="preserve">. These agents have a common mechanism of action, that is represented by competitive ATP inhibition at the catalytic binding site of tyrosine </w:t>
      </w:r>
      <w:proofErr w:type="gramStart"/>
      <w:r w:rsidRPr="00546BAF">
        <w:rPr>
          <w:rFonts w:ascii="Arial" w:hAnsi="Arial" w:cs="Arial"/>
          <w:sz w:val="20"/>
          <w:szCs w:val="20"/>
        </w:rPr>
        <w:t>kinase</w:t>
      </w:r>
      <w:r w:rsidR="007C550A" w:rsidRPr="00546BAF">
        <w:rPr>
          <w:rFonts w:ascii="Arial" w:hAnsi="Arial" w:cs="Arial"/>
          <w:sz w:val="20"/>
          <w:szCs w:val="20"/>
        </w:rPr>
        <w:t>(</w:t>
      </w:r>
      <w:proofErr w:type="gramEnd"/>
      <w:r w:rsidR="00463279" w:rsidRPr="00546BAF">
        <w:rPr>
          <w:rFonts w:ascii="Arial" w:hAnsi="Arial" w:cs="Arial"/>
          <w:sz w:val="20"/>
          <w:szCs w:val="20"/>
        </w:rPr>
        <w:t>5).</w:t>
      </w:r>
    </w:p>
    <w:p w14:paraId="10870822" w14:textId="77777777" w:rsidR="00EB7A26" w:rsidRPr="00546BAF" w:rsidRDefault="00270965" w:rsidP="00270965">
      <w:pPr>
        <w:jc w:val="center"/>
        <w:rPr>
          <w:rFonts w:ascii="Arial" w:hAnsi="Arial" w:cs="Arial"/>
          <w:sz w:val="20"/>
          <w:szCs w:val="20"/>
        </w:rPr>
      </w:pPr>
      <w:r w:rsidRPr="00546BAF">
        <w:rPr>
          <w:rFonts w:ascii="Arial" w:hAnsi="Arial" w:cs="Arial"/>
          <w:sz w:val="20"/>
          <w:szCs w:val="20"/>
        </w:rPr>
        <w:object w:dxaOrig="3912" w:dyaOrig="2160" w14:anchorId="3BB531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5pt;height:87.05pt" o:ole="">
            <v:imagedata r:id="rId11" o:title=""/>
          </v:shape>
          <o:OLEObject Type="Embed" ProgID="ChemDraw.Document.6.0" ShapeID="_x0000_i1025" DrawAspect="Content" ObjectID="_1831655555" r:id="rId12"/>
        </w:object>
      </w:r>
      <w:r w:rsidRPr="00546BAF">
        <w:rPr>
          <w:rFonts w:ascii="Arial" w:hAnsi="Arial" w:cs="Arial"/>
          <w:sz w:val="20"/>
          <w:szCs w:val="20"/>
        </w:rPr>
        <w:object w:dxaOrig="4476" w:dyaOrig="2112" w14:anchorId="31266648">
          <v:shape id="_x0000_i1026" type="#_x0000_t75" style="width:194.25pt;height:90.4pt" o:ole="">
            <v:imagedata r:id="rId13" o:title=""/>
          </v:shape>
          <o:OLEObject Type="Embed" ProgID="ChemDraw.Document.6.0" ShapeID="_x0000_i1026" DrawAspect="Content" ObjectID="_1831655556" r:id="rId14"/>
        </w:object>
      </w:r>
    </w:p>
    <w:p w14:paraId="274FC882" w14:textId="77777777" w:rsidR="00EB7A26" w:rsidRPr="00546BAF" w:rsidRDefault="00270965" w:rsidP="00EB7A26">
      <w:pPr>
        <w:jc w:val="both"/>
        <w:rPr>
          <w:rFonts w:ascii="Arial" w:hAnsi="Arial" w:cs="Arial"/>
          <w:b/>
          <w:sz w:val="20"/>
          <w:szCs w:val="20"/>
        </w:rPr>
      </w:pPr>
      <w:proofErr w:type="spellStart"/>
      <w:r w:rsidRPr="00546BAF">
        <w:rPr>
          <w:rFonts w:ascii="Arial" w:hAnsi="Arial" w:cs="Arial"/>
          <w:b/>
          <w:sz w:val="20"/>
          <w:szCs w:val="20"/>
        </w:rPr>
        <w:t>G</w:t>
      </w:r>
      <w:r w:rsidR="00EB7A26" w:rsidRPr="00546BAF">
        <w:rPr>
          <w:rFonts w:ascii="Arial" w:hAnsi="Arial" w:cs="Arial"/>
          <w:b/>
          <w:sz w:val="20"/>
          <w:szCs w:val="20"/>
        </w:rPr>
        <w:t>efitinib</w:t>
      </w:r>
      <w:proofErr w:type="spellEnd"/>
      <w:r w:rsidR="00EB7A26" w:rsidRPr="00546BAF">
        <w:rPr>
          <w:rFonts w:ascii="Arial" w:hAnsi="Arial" w:cs="Arial"/>
          <w:b/>
          <w:sz w:val="20"/>
          <w:szCs w:val="20"/>
        </w:rPr>
        <w:t xml:space="preserve">                          </w:t>
      </w:r>
      <w:r w:rsidRPr="00546BAF">
        <w:rPr>
          <w:rFonts w:ascii="Arial" w:hAnsi="Arial" w:cs="Arial"/>
          <w:b/>
          <w:sz w:val="20"/>
          <w:szCs w:val="20"/>
        </w:rPr>
        <w:t xml:space="preserve">                    </w:t>
      </w:r>
      <w:commentRangeStart w:id="0"/>
      <w:proofErr w:type="spellStart"/>
      <w:r w:rsidRPr="00546BAF">
        <w:rPr>
          <w:rFonts w:ascii="Arial" w:hAnsi="Arial" w:cs="Arial"/>
          <w:b/>
          <w:sz w:val="20"/>
          <w:szCs w:val="20"/>
        </w:rPr>
        <w:t>E</w:t>
      </w:r>
      <w:r w:rsidR="00EB7A26" w:rsidRPr="00546BAF">
        <w:rPr>
          <w:rFonts w:ascii="Arial" w:hAnsi="Arial" w:cs="Arial"/>
          <w:b/>
          <w:sz w:val="20"/>
          <w:szCs w:val="20"/>
        </w:rPr>
        <w:t>rlitinib</w:t>
      </w:r>
      <w:commentRangeEnd w:id="0"/>
      <w:proofErr w:type="spellEnd"/>
      <w:r w:rsidR="00683C2D">
        <w:rPr>
          <w:rStyle w:val="CommentReference"/>
        </w:rPr>
        <w:commentReference w:id="0"/>
      </w:r>
    </w:p>
    <w:p w14:paraId="3ACBF9FF" w14:textId="77777777" w:rsidR="00830FF7" w:rsidRPr="00546BAF" w:rsidRDefault="00830FF7" w:rsidP="00830FF7">
      <w:pPr>
        <w:jc w:val="both"/>
        <w:rPr>
          <w:rFonts w:ascii="Arial" w:hAnsi="Arial" w:cs="Arial"/>
          <w:b/>
          <w:sz w:val="20"/>
          <w:szCs w:val="20"/>
        </w:rPr>
      </w:pPr>
    </w:p>
    <w:p w14:paraId="3E426C27" w14:textId="77777777" w:rsidR="0027211C" w:rsidRPr="00546BAF" w:rsidRDefault="0027211C" w:rsidP="0027211C">
      <w:pPr>
        <w:jc w:val="center"/>
        <w:rPr>
          <w:rFonts w:ascii="Arial" w:hAnsi="Arial" w:cs="Arial"/>
          <w:sz w:val="20"/>
          <w:szCs w:val="20"/>
        </w:rPr>
      </w:pPr>
      <w:r w:rsidRPr="00546BAF">
        <w:rPr>
          <w:rFonts w:ascii="Arial" w:hAnsi="Arial" w:cs="Arial"/>
          <w:sz w:val="20"/>
          <w:szCs w:val="20"/>
        </w:rPr>
        <w:object w:dxaOrig="6636" w:dyaOrig="2544" w14:anchorId="292EAD5A">
          <v:shape id="_x0000_i1027" type="#_x0000_t75" style="width:240.3pt;height:82.05pt" o:ole="">
            <v:imagedata r:id="rId17" o:title=""/>
          </v:shape>
          <o:OLEObject Type="Embed" ProgID="ChemDraw.Document.6.0" ShapeID="_x0000_i1027" DrawAspect="Content" ObjectID="_1831655557" r:id="rId18"/>
        </w:object>
      </w:r>
    </w:p>
    <w:p w14:paraId="153BD6B5" w14:textId="77777777" w:rsidR="00830FF7" w:rsidRPr="00546BAF" w:rsidRDefault="00830FF7" w:rsidP="0027211C">
      <w:pPr>
        <w:jc w:val="center"/>
        <w:rPr>
          <w:rFonts w:ascii="Arial" w:hAnsi="Arial" w:cs="Arial"/>
          <w:sz w:val="20"/>
          <w:szCs w:val="20"/>
        </w:rPr>
      </w:pPr>
      <w:proofErr w:type="spellStart"/>
      <w:r w:rsidRPr="00546BAF">
        <w:rPr>
          <w:rFonts w:ascii="Arial" w:hAnsi="Arial" w:cs="Arial"/>
          <w:b/>
          <w:sz w:val="20"/>
          <w:szCs w:val="20"/>
        </w:rPr>
        <w:lastRenderedPageBreak/>
        <w:t>Desatinib</w:t>
      </w:r>
      <w:proofErr w:type="spellEnd"/>
    </w:p>
    <w:p w14:paraId="33A89C9F" w14:textId="77777777" w:rsidR="002D279F" w:rsidRPr="00546BAF" w:rsidRDefault="000A3D00" w:rsidP="00052E19">
      <w:pPr>
        <w:jc w:val="both"/>
        <w:rPr>
          <w:rFonts w:ascii="Arial" w:hAnsi="Arial" w:cs="Arial"/>
          <w:sz w:val="20"/>
          <w:szCs w:val="20"/>
        </w:rPr>
      </w:pPr>
      <w:r w:rsidRPr="00546BAF">
        <w:rPr>
          <w:rFonts w:ascii="Arial" w:hAnsi="Arial" w:cs="Arial"/>
          <w:b/>
          <w:bCs/>
          <w:sz w:val="20"/>
          <w:szCs w:val="20"/>
        </w:rPr>
        <w:t>Computational study</w:t>
      </w:r>
      <w:r w:rsidR="00094BE1" w:rsidRPr="00546BAF">
        <w:rPr>
          <w:rFonts w:ascii="Arial" w:hAnsi="Arial" w:cs="Arial"/>
          <w:sz w:val="20"/>
          <w:szCs w:val="20"/>
        </w:rPr>
        <w:t xml:space="preserve">: </w:t>
      </w:r>
      <w:r w:rsidR="00F71417" w:rsidRPr="00546BAF">
        <w:rPr>
          <w:rFonts w:ascii="Arial" w:hAnsi="Arial" w:cs="Arial"/>
          <w:sz w:val="20"/>
          <w:szCs w:val="20"/>
        </w:rPr>
        <w:t>Computational chemistry research employs tools like</w:t>
      </w:r>
      <w:r w:rsidR="000878AF" w:rsidRPr="00546BAF">
        <w:rPr>
          <w:rFonts w:ascii="Arial" w:hAnsi="Arial" w:cs="Arial"/>
          <w:sz w:val="20"/>
          <w:szCs w:val="20"/>
        </w:rPr>
        <w:t xml:space="preserve"> </w:t>
      </w:r>
      <w:r w:rsidR="000B1341" w:rsidRPr="00546BAF">
        <w:rPr>
          <w:rFonts w:ascii="Arial" w:hAnsi="Arial" w:cs="Arial"/>
          <w:sz w:val="20"/>
          <w:szCs w:val="20"/>
        </w:rPr>
        <w:t>and ROF (Rule of Five) for drug-likeness assessment</w:t>
      </w:r>
      <w:r w:rsidR="00F71417" w:rsidRPr="00546BAF">
        <w:rPr>
          <w:rFonts w:ascii="Arial" w:hAnsi="Arial" w:cs="Arial"/>
          <w:sz w:val="20"/>
          <w:szCs w:val="20"/>
        </w:rPr>
        <w:t xml:space="preserve"> pre-ADMET for pharmacokinetic prediction, Mol</w:t>
      </w:r>
      <w:r w:rsidR="00094BE1" w:rsidRPr="00546BAF">
        <w:rPr>
          <w:rFonts w:ascii="Arial" w:hAnsi="Arial" w:cs="Arial"/>
          <w:sz w:val="20"/>
          <w:szCs w:val="20"/>
        </w:rPr>
        <w:t>-i</w:t>
      </w:r>
      <w:r w:rsidR="00F71417" w:rsidRPr="00546BAF">
        <w:rPr>
          <w:rFonts w:ascii="Arial" w:hAnsi="Arial" w:cs="Arial"/>
          <w:sz w:val="20"/>
          <w:szCs w:val="20"/>
        </w:rPr>
        <w:t xml:space="preserve">nspiration for bioactivity analysis, </w:t>
      </w:r>
      <w:r w:rsidR="000B1341" w:rsidRPr="00546BAF">
        <w:rPr>
          <w:rFonts w:ascii="Arial" w:hAnsi="Arial" w:cs="Arial"/>
          <w:sz w:val="20"/>
          <w:szCs w:val="20"/>
        </w:rPr>
        <w:t xml:space="preserve">and </w:t>
      </w:r>
      <w:r w:rsidR="00F71417" w:rsidRPr="00546BAF">
        <w:rPr>
          <w:rFonts w:ascii="Arial" w:hAnsi="Arial" w:cs="Arial"/>
          <w:sz w:val="20"/>
          <w:szCs w:val="20"/>
        </w:rPr>
        <w:t>molecular docking for binding affinity evaluation, enabling efficient compound screening and rational drug design in modern science</w:t>
      </w:r>
      <w:r w:rsidR="00094BE1" w:rsidRPr="00546BAF">
        <w:rPr>
          <w:rFonts w:ascii="Arial" w:hAnsi="Arial" w:cs="Arial"/>
          <w:sz w:val="20"/>
          <w:szCs w:val="20"/>
        </w:rPr>
        <w:t>. Some comp</w:t>
      </w:r>
      <w:r w:rsidR="000B1341" w:rsidRPr="00546BAF">
        <w:rPr>
          <w:rFonts w:ascii="Arial" w:hAnsi="Arial" w:cs="Arial"/>
          <w:sz w:val="20"/>
          <w:szCs w:val="20"/>
        </w:rPr>
        <w:t xml:space="preserve">utational tools are: </w:t>
      </w:r>
    </w:p>
    <w:p w14:paraId="668D4272" w14:textId="77777777" w:rsidR="00A90FCE" w:rsidRPr="00546BAF" w:rsidRDefault="004D5004" w:rsidP="00052E19">
      <w:pPr>
        <w:jc w:val="both"/>
        <w:rPr>
          <w:rFonts w:ascii="Arial" w:hAnsi="Arial" w:cs="Arial"/>
          <w:sz w:val="20"/>
          <w:szCs w:val="20"/>
        </w:rPr>
      </w:pPr>
      <w:r w:rsidRPr="00546BAF">
        <w:rPr>
          <w:rFonts w:ascii="Arial" w:hAnsi="Arial" w:cs="Arial"/>
          <w:b/>
          <w:bCs/>
          <w:sz w:val="20"/>
          <w:szCs w:val="20"/>
        </w:rPr>
        <w:t>Lipinski's Rule of Five</w:t>
      </w:r>
      <w:r w:rsidRPr="00546BAF">
        <w:rPr>
          <w:rFonts w:ascii="Arial" w:hAnsi="Arial" w:cs="Arial"/>
          <w:sz w:val="20"/>
          <w:szCs w:val="20"/>
        </w:rPr>
        <w:t>:</w:t>
      </w:r>
      <w:r w:rsidR="000878AF" w:rsidRPr="00546BAF">
        <w:rPr>
          <w:rFonts w:ascii="Arial" w:hAnsi="Arial" w:cs="Arial"/>
          <w:sz w:val="20"/>
          <w:szCs w:val="20"/>
        </w:rPr>
        <w:t xml:space="preserve"> </w:t>
      </w:r>
      <w:r w:rsidR="00DF1DAA" w:rsidRPr="00546BAF">
        <w:rPr>
          <w:rFonts w:ascii="Arial" w:hAnsi="Arial" w:cs="Arial"/>
          <w:sz w:val="20"/>
          <w:szCs w:val="20"/>
        </w:rPr>
        <w:t>Lipinski's Rule of Five is based on Four key Parameters: molecular weight, hydrogen bond donors, hydrogen bond acceptors, and the octanol-water partition coefficient (log P). According to the rule, a compound is more likely to have desirable pharmacokinetic and pharmaceutical properties if it has a molecular weight below 500 Da, no more than five hydrogen bond donors, no more than 10 hydrogen bond acceptors, and a calculated octanol water partition coefficient (log P) less than 5</w:t>
      </w:r>
      <w:r w:rsidR="00CD570D" w:rsidRPr="00546BAF">
        <w:rPr>
          <w:rFonts w:ascii="Arial" w:hAnsi="Arial" w:cs="Arial"/>
          <w:sz w:val="20"/>
          <w:szCs w:val="20"/>
        </w:rPr>
        <w:t>(6</w:t>
      </w:r>
      <w:proofErr w:type="gramStart"/>
      <w:r w:rsidR="00CD570D" w:rsidRPr="00546BAF">
        <w:rPr>
          <w:rFonts w:ascii="Arial" w:hAnsi="Arial" w:cs="Arial"/>
          <w:sz w:val="20"/>
          <w:szCs w:val="20"/>
        </w:rPr>
        <w:t>).</w:t>
      </w:r>
      <w:r w:rsidR="00E747FC" w:rsidRPr="00546BAF">
        <w:rPr>
          <w:rFonts w:ascii="Arial" w:hAnsi="Arial" w:cs="Arial"/>
          <w:sz w:val="20"/>
          <w:szCs w:val="20"/>
        </w:rPr>
        <w:t>Lipinski’s</w:t>
      </w:r>
      <w:proofErr w:type="gramEnd"/>
      <w:r w:rsidR="00E747FC" w:rsidRPr="00546BAF">
        <w:rPr>
          <w:rFonts w:ascii="Arial" w:hAnsi="Arial" w:cs="Arial"/>
          <w:sz w:val="20"/>
          <w:szCs w:val="20"/>
        </w:rPr>
        <w:t xml:space="preserve"> Rule of Five predicts drug</w:t>
      </w:r>
      <w:r w:rsidR="00E747FC" w:rsidRPr="00546BAF">
        <w:rPr>
          <w:rFonts w:ascii="Arial" w:hAnsi="Arial" w:cs="Arial"/>
          <w:sz w:val="20"/>
          <w:szCs w:val="20"/>
        </w:rPr>
        <w:noBreakHyphen/>
        <w:t>likeness by evaluating key molecular properties that influence oral absorption.</w:t>
      </w:r>
    </w:p>
    <w:p w14:paraId="543B0294" w14:textId="77777777" w:rsidR="002651E8" w:rsidRPr="00546BAF" w:rsidRDefault="002651E8" w:rsidP="00052E19">
      <w:pPr>
        <w:jc w:val="both"/>
        <w:rPr>
          <w:rFonts w:ascii="Arial" w:hAnsi="Arial" w:cs="Arial"/>
          <w:sz w:val="20"/>
          <w:szCs w:val="20"/>
        </w:rPr>
      </w:pPr>
      <w:commentRangeStart w:id="1"/>
      <w:r w:rsidRPr="00546BAF">
        <w:rPr>
          <w:rFonts w:ascii="Arial" w:hAnsi="Arial" w:cs="Arial"/>
          <w:noProof/>
          <w:sz w:val="20"/>
          <w:szCs w:val="20"/>
          <w:lang w:eastAsia="en-IN"/>
        </w:rPr>
        <w:drawing>
          <wp:inline distT="0" distB="0" distL="0" distR="0" wp14:anchorId="7EBD1D53" wp14:editId="381AEBDE">
            <wp:extent cx="3751385" cy="2061475"/>
            <wp:effectExtent l="0" t="0" r="1905" b="0"/>
            <wp:docPr id="370214713" name="Picture 1" descr="Lipinski Rule of 5 - Kathryn-has-W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pinski Rule of 5 - Kathryn-has-Wad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81779" cy="2078177"/>
                    </a:xfrm>
                    <a:prstGeom prst="rect">
                      <a:avLst/>
                    </a:prstGeom>
                    <a:noFill/>
                    <a:ln>
                      <a:noFill/>
                    </a:ln>
                  </pic:spPr>
                </pic:pic>
              </a:graphicData>
            </a:graphic>
          </wp:inline>
        </w:drawing>
      </w:r>
      <w:commentRangeEnd w:id="1"/>
      <w:r w:rsidR="00702BD5">
        <w:rPr>
          <w:rStyle w:val="CommentReference"/>
        </w:rPr>
        <w:commentReference w:id="1"/>
      </w:r>
    </w:p>
    <w:p w14:paraId="76DEC892" w14:textId="77777777" w:rsidR="00CB1E99" w:rsidRPr="00546BAF" w:rsidRDefault="00CB1E99" w:rsidP="00052E19">
      <w:pPr>
        <w:jc w:val="both"/>
        <w:rPr>
          <w:rFonts w:ascii="Arial" w:hAnsi="Arial" w:cs="Arial"/>
          <w:b/>
          <w:bCs/>
          <w:sz w:val="20"/>
          <w:szCs w:val="20"/>
        </w:rPr>
      </w:pPr>
      <w:r w:rsidRPr="00546BAF">
        <w:rPr>
          <w:rFonts w:ascii="Arial" w:hAnsi="Arial" w:cs="Arial"/>
          <w:b/>
          <w:bCs/>
          <w:sz w:val="20"/>
          <w:szCs w:val="20"/>
        </w:rPr>
        <w:t xml:space="preserve">Figure 01: </w:t>
      </w:r>
      <w:r w:rsidR="001A243C" w:rsidRPr="00546BAF">
        <w:rPr>
          <w:rFonts w:ascii="Arial" w:hAnsi="Arial" w:cs="Arial"/>
          <w:b/>
          <w:bCs/>
          <w:sz w:val="20"/>
          <w:szCs w:val="20"/>
        </w:rPr>
        <w:t xml:space="preserve">Lipinski’s rule of five  </w:t>
      </w:r>
    </w:p>
    <w:p w14:paraId="5BC17CF4" w14:textId="77777777" w:rsidR="00BA191A" w:rsidRPr="00546BAF" w:rsidRDefault="00F3284A" w:rsidP="00052E19">
      <w:pPr>
        <w:jc w:val="both"/>
        <w:rPr>
          <w:rFonts w:ascii="Arial" w:hAnsi="Arial" w:cs="Arial"/>
          <w:sz w:val="20"/>
          <w:szCs w:val="20"/>
        </w:rPr>
      </w:pPr>
      <w:r w:rsidRPr="00546BAF">
        <w:rPr>
          <w:rFonts w:ascii="Arial" w:hAnsi="Arial" w:cs="Arial"/>
          <w:b/>
          <w:bCs/>
          <w:sz w:val="20"/>
          <w:szCs w:val="20"/>
        </w:rPr>
        <w:t>Pre</w:t>
      </w:r>
      <w:r w:rsidR="00740E8F" w:rsidRPr="00546BAF">
        <w:rPr>
          <w:rFonts w:ascii="Arial" w:hAnsi="Arial" w:cs="Arial"/>
          <w:b/>
          <w:bCs/>
          <w:sz w:val="20"/>
          <w:szCs w:val="20"/>
        </w:rPr>
        <w:t>-</w:t>
      </w:r>
      <w:r w:rsidRPr="00546BAF">
        <w:rPr>
          <w:rFonts w:ascii="Arial" w:hAnsi="Arial" w:cs="Arial"/>
          <w:b/>
          <w:bCs/>
          <w:sz w:val="20"/>
          <w:szCs w:val="20"/>
        </w:rPr>
        <w:t>ADMET Analysis</w:t>
      </w:r>
      <w:r w:rsidR="00740E8F" w:rsidRPr="00546BAF">
        <w:rPr>
          <w:rFonts w:ascii="Arial" w:hAnsi="Arial" w:cs="Arial"/>
          <w:b/>
          <w:bCs/>
          <w:sz w:val="20"/>
          <w:szCs w:val="20"/>
        </w:rPr>
        <w:t xml:space="preserve">: </w:t>
      </w:r>
      <w:r w:rsidRPr="00546BAF">
        <w:rPr>
          <w:rFonts w:ascii="Arial" w:hAnsi="Arial" w:cs="Arial"/>
          <w:sz w:val="20"/>
          <w:szCs w:val="20"/>
        </w:rPr>
        <w:t xml:space="preserve">Pre-ADMET studies play a pivotal role in during the initial phases of drug discovery and development, enabling to evaluate potential drug candidates for their pharmacokinetic, safety, efficacy and toxicity profiles before advancing to costly in vivo experiments or clinical </w:t>
      </w:r>
      <w:proofErr w:type="gramStart"/>
      <w:r w:rsidRPr="00546BAF">
        <w:rPr>
          <w:rFonts w:ascii="Arial" w:hAnsi="Arial" w:cs="Arial"/>
          <w:sz w:val="20"/>
          <w:szCs w:val="20"/>
        </w:rPr>
        <w:t>trials</w:t>
      </w:r>
      <w:r w:rsidR="009E5295" w:rsidRPr="00546BAF">
        <w:rPr>
          <w:rFonts w:ascii="Arial" w:hAnsi="Arial" w:cs="Arial"/>
          <w:sz w:val="20"/>
          <w:szCs w:val="20"/>
        </w:rPr>
        <w:t>(</w:t>
      </w:r>
      <w:proofErr w:type="gramEnd"/>
      <w:r w:rsidR="006C702B" w:rsidRPr="00546BAF">
        <w:rPr>
          <w:rFonts w:ascii="Arial" w:hAnsi="Arial" w:cs="Arial"/>
          <w:sz w:val="20"/>
          <w:szCs w:val="20"/>
        </w:rPr>
        <w:t>7)</w:t>
      </w:r>
      <w:r w:rsidR="00994DE8" w:rsidRPr="00546BAF">
        <w:rPr>
          <w:rFonts w:ascii="Arial" w:hAnsi="Arial" w:cs="Arial"/>
          <w:sz w:val="20"/>
          <w:szCs w:val="20"/>
        </w:rPr>
        <w:t>. Pre</w:t>
      </w:r>
      <w:r w:rsidR="00994DE8" w:rsidRPr="00546BAF">
        <w:rPr>
          <w:rFonts w:ascii="Arial" w:hAnsi="Arial" w:cs="Arial"/>
          <w:sz w:val="20"/>
          <w:szCs w:val="20"/>
        </w:rPr>
        <w:noBreakHyphen/>
        <w:t xml:space="preserve">ADMET analysis evaluates key pharmacokinetic properties, including BBB penetration, </w:t>
      </w:r>
      <w:commentRangeStart w:id="2"/>
      <w:r w:rsidR="00994DE8" w:rsidRPr="00546BAF">
        <w:rPr>
          <w:rFonts w:ascii="Arial" w:hAnsi="Arial" w:cs="Arial"/>
          <w:sz w:val="20"/>
          <w:szCs w:val="20"/>
        </w:rPr>
        <w:t>CaCO</w:t>
      </w:r>
      <w:r w:rsidR="000878AF" w:rsidRPr="00546BAF">
        <w:rPr>
          <w:rFonts w:ascii="Times New Roman" w:hAnsi="Times New Roman" w:cs="Arial"/>
          <w:sz w:val="20"/>
          <w:szCs w:val="20"/>
          <w:vertAlign w:val="subscript"/>
        </w:rPr>
        <w:t>3</w:t>
      </w:r>
      <w:commentRangeEnd w:id="2"/>
      <w:r w:rsidR="00757985">
        <w:rPr>
          <w:rStyle w:val="CommentReference"/>
        </w:rPr>
        <w:commentReference w:id="2"/>
      </w:r>
      <w:r w:rsidR="00994DE8" w:rsidRPr="00546BAF">
        <w:rPr>
          <w:rFonts w:ascii="Arial" w:hAnsi="Arial" w:cs="Arial"/>
          <w:sz w:val="20"/>
          <w:szCs w:val="20"/>
        </w:rPr>
        <w:t xml:space="preserve"> permeability, CYP2D6 inhibition, HIA, MDCK transport, plasma protein binding, and skin permeability to predict a compound’s overall drug</w:t>
      </w:r>
      <w:r w:rsidR="00994DE8" w:rsidRPr="00546BAF">
        <w:rPr>
          <w:rFonts w:ascii="Arial" w:hAnsi="Arial" w:cs="Arial"/>
          <w:sz w:val="20"/>
          <w:szCs w:val="20"/>
        </w:rPr>
        <w:noBreakHyphen/>
        <w:t xml:space="preserve">likeness and safety. </w:t>
      </w:r>
    </w:p>
    <w:p w14:paraId="28E3767B" w14:textId="77777777" w:rsidR="00CB0A3E" w:rsidRPr="00546BAF" w:rsidRDefault="00CB0A3E" w:rsidP="00CB0A3E">
      <w:pPr>
        <w:jc w:val="both"/>
        <w:rPr>
          <w:rFonts w:ascii="Arial" w:hAnsi="Arial" w:cs="Arial"/>
          <w:sz w:val="20"/>
          <w:szCs w:val="20"/>
        </w:rPr>
      </w:pPr>
      <w:r w:rsidRPr="00546BAF">
        <w:rPr>
          <w:rFonts w:ascii="Arial" w:hAnsi="Arial" w:cs="Arial"/>
          <w:sz w:val="20"/>
          <w:szCs w:val="20"/>
        </w:rPr>
        <w:t>A Pre</w:t>
      </w:r>
      <w:r w:rsidRPr="00546BAF">
        <w:rPr>
          <w:rFonts w:ascii="Arial" w:hAnsi="Arial" w:cs="Arial"/>
          <w:sz w:val="20"/>
          <w:szCs w:val="20"/>
        </w:rPr>
        <w:noBreakHyphen/>
        <w:t>ADMET toxicity assessment predicted acceptable safety, showing Ames test non</w:t>
      </w:r>
      <w:r w:rsidRPr="00546BAF">
        <w:rPr>
          <w:rFonts w:ascii="Arial" w:hAnsi="Arial" w:cs="Arial"/>
          <w:sz w:val="20"/>
          <w:szCs w:val="20"/>
        </w:rPr>
        <w:noBreakHyphen/>
        <w:t xml:space="preserve">mutagenicity, low carcinogenicity risk in rats, and weak </w:t>
      </w:r>
      <w:r w:rsidR="00AF68F2" w:rsidRPr="00546BAF">
        <w:rPr>
          <w:rFonts w:ascii="Arial" w:hAnsi="Arial" w:cs="Arial"/>
          <w:sz w:val="20"/>
          <w:szCs w:val="20"/>
        </w:rPr>
        <w:t>H</w:t>
      </w:r>
      <w:r w:rsidRPr="00546BAF">
        <w:rPr>
          <w:rFonts w:ascii="Arial" w:hAnsi="Arial" w:cs="Arial"/>
          <w:sz w:val="20"/>
          <w:szCs w:val="20"/>
        </w:rPr>
        <w:t>ERG channel inhibition, indicating a favo</w:t>
      </w:r>
      <w:r w:rsidR="00AF68F2" w:rsidRPr="00546BAF">
        <w:rPr>
          <w:rFonts w:ascii="Arial" w:hAnsi="Arial" w:cs="Arial"/>
          <w:sz w:val="20"/>
          <w:szCs w:val="20"/>
        </w:rPr>
        <w:t>u</w:t>
      </w:r>
      <w:r w:rsidRPr="00546BAF">
        <w:rPr>
          <w:rFonts w:ascii="Arial" w:hAnsi="Arial" w:cs="Arial"/>
          <w:sz w:val="20"/>
          <w:szCs w:val="20"/>
        </w:rPr>
        <w:t>rable preliminary toxicity profile for further drug development.</w:t>
      </w:r>
    </w:p>
    <w:p w14:paraId="39451E5B" w14:textId="77777777" w:rsidR="00AD12B4" w:rsidRPr="00546BAF" w:rsidRDefault="0020196B" w:rsidP="00AD12B4">
      <w:pPr>
        <w:jc w:val="both"/>
        <w:rPr>
          <w:rFonts w:ascii="Arial" w:hAnsi="Arial" w:cs="Arial"/>
          <w:sz w:val="20"/>
          <w:szCs w:val="20"/>
        </w:rPr>
      </w:pPr>
      <w:r w:rsidRPr="00546BAF">
        <w:rPr>
          <w:rFonts w:ascii="Arial" w:hAnsi="Arial" w:cs="Arial"/>
          <w:b/>
          <w:bCs/>
          <w:sz w:val="20"/>
          <w:szCs w:val="20"/>
        </w:rPr>
        <w:t>Mol</w:t>
      </w:r>
      <w:r w:rsidR="000B1341" w:rsidRPr="00546BAF">
        <w:rPr>
          <w:rFonts w:ascii="Arial" w:hAnsi="Arial" w:cs="Arial"/>
          <w:b/>
          <w:bCs/>
          <w:sz w:val="20"/>
          <w:szCs w:val="20"/>
        </w:rPr>
        <w:t>-</w:t>
      </w:r>
      <w:r w:rsidRPr="00546BAF">
        <w:rPr>
          <w:rFonts w:ascii="Arial" w:hAnsi="Arial" w:cs="Arial"/>
          <w:b/>
          <w:bCs/>
          <w:sz w:val="20"/>
          <w:szCs w:val="20"/>
        </w:rPr>
        <w:t>inspiration</w:t>
      </w:r>
      <w:r w:rsidRPr="00546BAF">
        <w:rPr>
          <w:rFonts w:ascii="Arial" w:hAnsi="Arial" w:cs="Arial"/>
          <w:sz w:val="20"/>
          <w:szCs w:val="20"/>
        </w:rPr>
        <w:t>: Mol</w:t>
      </w:r>
      <w:r w:rsidR="000B1341" w:rsidRPr="00546BAF">
        <w:rPr>
          <w:rFonts w:ascii="Arial" w:hAnsi="Arial" w:cs="Arial"/>
          <w:sz w:val="20"/>
          <w:szCs w:val="20"/>
        </w:rPr>
        <w:t>-</w:t>
      </w:r>
      <w:r w:rsidRPr="00546BAF">
        <w:rPr>
          <w:rFonts w:ascii="Arial" w:hAnsi="Arial" w:cs="Arial"/>
          <w:sz w:val="20"/>
          <w:szCs w:val="20"/>
        </w:rPr>
        <w:t xml:space="preserve">inspiration offers a user-friendly web interface that allows for the calculation of various molecular descriptors. These include </w:t>
      </w:r>
      <w:proofErr w:type="spellStart"/>
      <w:r w:rsidRPr="00546BAF">
        <w:rPr>
          <w:rFonts w:ascii="Arial" w:hAnsi="Arial" w:cs="Arial"/>
          <w:sz w:val="20"/>
          <w:szCs w:val="20"/>
        </w:rPr>
        <w:t>LogP</w:t>
      </w:r>
      <w:proofErr w:type="spellEnd"/>
      <w:r w:rsidRPr="00546BAF">
        <w:rPr>
          <w:rFonts w:ascii="Arial" w:hAnsi="Arial" w:cs="Arial"/>
          <w:sz w:val="20"/>
          <w:szCs w:val="20"/>
        </w:rPr>
        <w:t xml:space="preserve"> (octanol-water partition coefficient), topological polar surface area (TPSA), molecular weight, number of hydrogen bond donors and acceptors, and the number of rotatable bonds</w:t>
      </w:r>
      <w:r w:rsidR="000B1341" w:rsidRPr="00546BAF">
        <w:rPr>
          <w:rFonts w:ascii="Arial" w:hAnsi="Arial" w:cs="Arial"/>
          <w:sz w:val="20"/>
          <w:szCs w:val="20"/>
        </w:rPr>
        <w:t>. (</w:t>
      </w:r>
      <w:proofErr w:type="gramStart"/>
      <w:r w:rsidR="00BE055C" w:rsidRPr="00546BAF">
        <w:rPr>
          <w:rFonts w:ascii="Arial" w:hAnsi="Arial" w:cs="Arial"/>
          <w:sz w:val="20"/>
          <w:szCs w:val="20"/>
        </w:rPr>
        <w:t>8)</w:t>
      </w:r>
      <w:r w:rsidR="00AD12B4" w:rsidRPr="00546BAF">
        <w:rPr>
          <w:rFonts w:ascii="Arial" w:hAnsi="Arial" w:cs="Arial"/>
          <w:sz w:val="20"/>
          <w:szCs w:val="20"/>
        </w:rPr>
        <w:t>Additionally</w:t>
      </w:r>
      <w:proofErr w:type="gramEnd"/>
      <w:r w:rsidR="00AD12B4" w:rsidRPr="00546BAF">
        <w:rPr>
          <w:rFonts w:ascii="Arial" w:hAnsi="Arial" w:cs="Arial"/>
          <w:sz w:val="20"/>
          <w:szCs w:val="20"/>
        </w:rPr>
        <w:t>, the platform forecasts bioactivity scores for important pharmaceutical targets, including nuclear receptor ligands, G-protein coupled receptors (GPCRs), ion channel modulators, kinase inhibitors, and general enzyme inhibitors. Large data sets of physiologically active compounds were used to create fragment-based models that form the basis of these predictions.</w:t>
      </w:r>
    </w:p>
    <w:p w14:paraId="2BAA6273" w14:textId="77777777" w:rsidR="008F7844" w:rsidRPr="00546BAF" w:rsidRDefault="00DB38B2" w:rsidP="00AD12B4">
      <w:pPr>
        <w:jc w:val="both"/>
        <w:rPr>
          <w:rFonts w:ascii="Arial" w:eastAsia="Times New Roman" w:hAnsi="Arial" w:cs="Arial"/>
          <w:kern w:val="0"/>
          <w:sz w:val="20"/>
          <w:szCs w:val="20"/>
          <w:lang w:eastAsia="en-IN"/>
        </w:rPr>
      </w:pPr>
      <w:r w:rsidRPr="00546BAF">
        <w:rPr>
          <w:rFonts w:ascii="Arial" w:eastAsia="Times New Roman" w:hAnsi="Arial" w:cs="Arial"/>
          <w:b/>
          <w:bCs/>
          <w:kern w:val="0"/>
          <w:sz w:val="20"/>
          <w:szCs w:val="20"/>
          <w:lang w:eastAsia="en-IN"/>
        </w:rPr>
        <w:t>Molecular docking</w:t>
      </w:r>
      <w:r w:rsidR="00365DC6" w:rsidRPr="00546BAF">
        <w:rPr>
          <w:rFonts w:ascii="Arial" w:eastAsia="Times New Roman" w:hAnsi="Arial" w:cs="Arial"/>
          <w:kern w:val="0"/>
          <w:sz w:val="20"/>
          <w:szCs w:val="20"/>
          <w:lang w:eastAsia="en-IN"/>
        </w:rPr>
        <w:t xml:space="preserve">: Molecular docking is abundantly utilized compactization phenomenon in the field of computer aided drug design (CADD). </w:t>
      </w:r>
      <w:r w:rsidR="00571F8F" w:rsidRPr="00546BAF">
        <w:rPr>
          <w:rFonts w:ascii="Arial" w:eastAsia="Times New Roman" w:hAnsi="Arial" w:cs="Arial"/>
          <w:kern w:val="0"/>
          <w:sz w:val="20"/>
          <w:szCs w:val="20"/>
          <w:lang w:eastAsia="en-IN"/>
        </w:rPr>
        <w:t xml:space="preserve">Molecular docking depends on the two phenomena: ligand and protein where protein is a target site and ligand gives attachment to that </w:t>
      </w:r>
      <w:proofErr w:type="gramStart"/>
      <w:r w:rsidR="00571F8F" w:rsidRPr="00546BAF">
        <w:rPr>
          <w:rFonts w:ascii="Arial" w:eastAsia="Times New Roman" w:hAnsi="Arial" w:cs="Arial"/>
          <w:kern w:val="0"/>
          <w:sz w:val="20"/>
          <w:szCs w:val="20"/>
          <w:lang w:eastAsia="en-IN"/>
        </w:rPr>
        <w:t>protein.</w:t>
      </w:r>
      <w:r w:rsidR="003F123B" w:rsidRPr="00546BAF">
        <w:rPr>
          <w:rFonts w:ascii="Arial" w:eastAsia="Times New Roman" w:hAnsi="Arial" w:cs="Arial"/>
          <w:kern w:val="0"/>
          <w:sz w:val="20"/>
          <w:szCs w:val="20"/>
          <w:lang w:eastAsia="en-IN"/>
        </w:rPr>
        <w:t>(</w:t>
      </w:r>
      <w:proofErr w:type="gramEnd"/>
      <w:r w:rsidR="00C4261C" w:rsidRPr="00546BAF">
        <w:rPr>
          <w:rFonts w:ascii="Arial" w:eastAsia="Times New Roman" w:hAnsi="Arial" w:cs="Arial"/>
          <w:kern w:val="0"/>
          <w:sz w:val="20"/>
          <w:szCs w:val="20"/>
          <w:lang w:eastAsia="en-IN"/>
        </w:rPr>
        <w:t>9)</w:t>
      </w:r>
      <w:r w:rsidR="00945498" w:rsidRPr="00546BAF">
        <w:rPr>
          <w:rFonts w:ascii="Arial" w:eastAsia="Times New Roman" w:hAnsi="Arial" w:cs="Arial"/>
          <w:kern w:val="0"/>
          <w:sz w:val="20"/>
          <w:szCs w:val="20"/>
          <w:lang w:eastAsia="en-IN"/>
        </w:rPr>
        <w:t>Molecular docking evaluates how a small molecule fits within a protein’s active site by predicting binding affinity, orientation, and key molecular interactions. It helps identify potential inhibitors, understand structure–activity relationships, and prioritize compounds before experimental testing. By simulating ligand–</w:t>
      </w:r>
      <w:r w:rsidR="00945498" w:rsidRPr="00546BAF">
        <w:rPr>
          <w:rFonts w:ascii="Arial" w:eastAsia="Times New Roman" w:hAnsi="Arial" w:cs="Arial"/>
          <w:kern w:val="0"/>
          <w:sz w:val="20"/>
          <w:szCs w:val="20"/>
          <w:lang w:eastAsia="en-IN"/>
        </w:rPr>
        <w:lastRenderedPageBreak/>
        <w:t>receptor complementarity, docking accelerates early</w:t>
      </w:r>
      <w:r w:rsidR="00945498" w:rsidRPr="00546BAF">
        <w:rPr>
          <w:rFonts w:ascii="Arial" w:eastAsia="Times New Roman" w:hAnsi="Arial" w:cs="Arial"/>
          <w:kern w:val="0"/>
          <w:sz w:val="20"/>
          <w:szCs w:val="20"/>
          <w:lang w:eastAsia="en-IN"/>
        </w:rPr>
        <w:noBreakHyphen/>
        <w:t>stage drug discovery and supports rational design of more selective and potent therapeutic candidates.</w:t>
      </w:r>
      <w:r w:rsidR="006C07E6" w:rsidRPr="00546BAF">
        <w:rPr>
          <w:rFonts w:ascii="Arial" w:eastAsia="Times New Roman" w:hAnsi="Arial" w:cs="Arial"/>
          <w:kern w:val="0"/>
          <w:sz w:val="20"/>
          <w:szCs w:val="20"/>
          <w:lang w:eastAsia="en-IN"/>
        </w:rPr>
        <w:t xml:space="preserve"> (10)</w:t>
      </w:r>
    </w:p>
    <w:p w14:paraId="428FA401" w14:textId="77777777" w:rsidR="001B14E1" w:rsidRPr="00546BAF" w:rsidRDefault="00A93A49" w:rsidP="001B14E1">
      <w:pPr>
        <w:jc w:val="both"/>
        <w:rPr>
          <w:rFonts w:ascii="Arial" w:eastAsia="Times New Roman" w:hAnsi="Arial" w:cs="Arial"/>
          <w:kern w:val="0"/>
          <w:sz w:val="20"/>
          <w:szCs w:val="20"/>
          <w:lang w:eastAsia="en-IN"/>
        </w:rPr>
      </w:pPr>
      <w:r w:rsidRPr="00546BAF">
        <w:rPr>
          <w:rFonts w:ascii="Arial" w:eastAsia="Times New Roman" w:hAnsi="Arial" w:cs="Arial"/>
          <w:b/>
          <w:bCs/>
          <w:kern w:val="0"/>
          <w:sz w:val="20"/>
          <w:szCs w:val="20"/>
          <w:lang w:eastAsia="en-IN"/>
        </w:rPr>
        <w:t xml:space="preserve">GMPPNP-bound G12R mutant of </w:t>
      </w:r>
      <w:r w:rsidR="00943E53" w:rsidRPr="00546BAF">
        <w:rPr>
          <w:rFonts w:ascii="Arial" w:eastAsia="Times New Roman" w:hAnsi="Arial" w:cs="Arial"/>
          <w:b/>
          <w:bCs/>
          <w:kern w:val="0"/>
          <w:sz w:val="20"/>
          <w:szCs w:val="20"/>
          <w:lang w:eastAsia="en-IN"/>
        </w:rPr>
        <w:t>H</w:t>
      </w:r>
      <w:r w:rsidR="003D1901" w:rsidRPr="00546BAF">
        <w:rPr>
          <w:rFonts w:ascii="Arial" w:eastAsia="Times New Roman" w:hAnsi="Arial" w:cs="Arial"/>
          <w:b/>
          <w:bCs/>
          <w:kern w:val="0"/>
          <w:sz w:val="20"/>
          <w:szCs w:val="20"/>
          <w:lang w:eastAsia="en-IN"/>
        </w:rPr>
        <w:t>uman KRAS4b</w:t>
      </w:r>
      <w:r w:rsidR="00943E53" w:rsidRPr="00546BAF">
        <w:rPr>
          <w:rFonts w:ascii="Arial" w:eastAsia="Times New Roman" w:hAnsi="Arial" w:cs="Arial"/>
          <w:kern w:val="0"/>
          <w:sz w:val="20"/>
          <w:szCs w:val="20"/>
          <w:lang w:eastAsia="en-IN"/>
        </w:rPr>
        <w:t xml:space="preserve"> (</w:t>
      </w:r>
      <w:r w:rsidR="001B14E1" w:rsidRPr="00546BAF">
        <w:rPr>
          <w:rFonts w:ascii="Arial" w:eastAsia="Times New Roman" w:hAnsi="Arial" w:cs="Arial"/>
          <w:b/>
          <w:bCs/>
          <w:kern w:val="0"/>
          <w:sz w:val="20"/>
          <w:szCs w:val="20"/>
          <w:lang w:eastAsia="en-IN"/>
        </w:rPr>
        <w:t>6CU6</w:t>
      </w:r>
      <w:r w:rsidR="00943E53" w:rsidRPr="00546BAF">
        <w:rPr>
          <w:rFonts w:ascii="Arial" w:eastAsia="Times New Roman" w:hAnsi="Arial" w:cs="Arial"/>
          <w:b/>
          <w:bCs/>
          <w:kern w:val="0"/>
          <w:sz w:val="20"/>
          <w:szCs w:val="20"/>
          <w:lang w:eastAsia="en-IN"/>
        </w:rPr>
        <w:t>)</w:t>
      </w:r>
      <w:r w:rsidR="00886328" w:rsidRPr="00546BAF">
        <w:rPr>
          <w:rFonts w:ascii="Arial" w:eastAsia="Times New Roman" w:hAnsi="Arial" w:cs="Arial"/>
          <w:b/>
          <w:bCs/>
          <w:kern w:val="0"/>
          <w:sz w:val="20"/>
          <w:szCs w:val="20"/>
          <w:lang w:eastAsia="en-IN"/>
        </w:rPr>
        <w:t xml:space="preserve">: </w:t>
      </w:r>
      <w:r w:rsidR="00F8728E" w:rsidRPr="00546BAF">
        <w:rPr>
          <w:rFonts w:ascii="Arial" w:hAnsi="Arial" w:cs="Arial"/>
          <w:sz w:val="20"/>
          <w:szCs w:val="20"/>
        </w:rPr>
        <w:t>The receptor target selected for the anti-lung cancer study was</w:t>
      </w:r>
      <w:r w:rsidR="000878AF" w:rsidRPr="00546BAF">
        <w:rPr>
          <w:rFonts w:ascii="Arial" w:hAnsi="Arial" w:cs="Arial"/>
          <w:sz w:val="20"/>
          <w:szCs w:val="20"/>
        </w:rPr>
        <w:t xml:space="preserve"> </w:t>
      </w:r>
      <w:r w:rsidRPr="00546BAF">
        <w:rPr>
          <w:rFonts w:ascii="Arial" w:hAnsi="Arial" w:cs="Arial"/>
          <w:sz w:val="20"/>
          <w:szCs w:val="20"/>
        </w:rPr>
        <w:t xml:space="preserve">GMPPNP-bound G12R mutant </w:t>
      </w:r>
      <w:proofErr w:type="gramStart"/>
      <w:r w:rsidRPr="00546BAF">
        <w:rPr>
          <w:rFonts w:ascii="Arial" w:hAnsi="Arial" w:cs="Arial"/>
          <w:sz w:val="20"/>
          <w:szCs w:val="20"/>
        </w:rPr>
        <w:t xml:space="preserve">of </w:t>
      </w:r>
      <w:r w:rsidR="00F8728E" w:rsidRPr="00546BAF">
        <w:rPr>
          <w:rFonts w:ascii="Arial" w:hAnsi="Arial" w:cs="Arial"/>
          <w:sz w:val="20"/>
          <w:szCs w:val="20"/>
        </w:rPr>
        <w:t xml:space="preserve"> human</w:t>
      </w:r>
      <w:proofErr w:type="gramEnd"/>
      <w:r w:rsidR="00F8728E" w:rsidRPr="00546BAF">
        <w:rPr>
          <w:rFonts w:ascii="Arial" w:hAnsi="Arial" w:cs="Arial"/>
          <w:sz w:val="20"/>
          <w:szCs w:val="20"/>
        </w:rPr>
        <w:t xml:space="preserve"> KRAS</w:t>
      </w:r>
      <w:r w:rsidR="006C07E6" w:rsidRPr="00546BAF">
        <w:rPr>
          <w:rFonts w:ascii="Arial" w:hAnsi="Arial" w:cs="Arial"/>
          <w:sz w:val="20"/>
          <w:szCs w:val="20"/>
        </w:rPr>
        <w:t>4b</w:t>
      </w:r>
      <w:r w:rsidR="00F8728E" w:rsidRPr="00546BAF">
        <w:rPr>
          <w:rFonts w:ascii="Arial" w:hAnsi="Arial" w:cs="Arial"/>
          <w:sz w:val="20"/>
          <w:szCs w:val="20"/>
        </w:rPr>
        <w:t>, an established oncogenic protein involved in cell proliferation and survival signalling pathways. The three-dimensional crystal structure of KRAS was retrieved from the Protein Data Bank (PDB ID: 6CU6). This protein is classified as an oncoprotein and originates from Homo sapiens, while its recombinant expression was carried out in Escherichia coli. The selected structure contains mutation(s) relevant to cancer progression, making it a suitable target for evaluating anticancer activity. The crystal structure was resolved at a high resolution of 1.50 Å, ensuring structural accuracy and reliability for molecular docking and in silico interaction studies related to lung cancer therapeutics.</w:t>
      </w:r>
    </w:p>
    <w:p w14:paraId="1B93861E" w14:textId="77777777" w:rsidR="00632A57" w:rsidRPr="00546BAF" w:rsidRDefault="00B30D1B" w:rsidP="00AD12B4">
      <w:pPr>
        <w:jc w:val="both"/>
        <w:rPr>
          <w:rFonts w:ascii="Arial" w:eastAsia="Times New Roman" w:hAnsi="Arial" w:cs="Arial"/>
          <w:kern w:val="0"/>
          <w:sz w:val="20"/>
          <w:szCs w:val="20"/>
          <w:lang w:eastAsia="en-IN"/>
        </w:rPr>
      </w:pPr>
      <w:r w:rsidRPr="00546BAF">
        <w:rPr>
          <w:rFonts w:ascii="Arial" w:hAnsi="Arial" w:cs="Arial"/>
          <w:kern w:val="0"/>
          <w:sz w:val="20"/>
          <w:szCs w:val="20"/>
        </w:rPr>
        <w:object w:dxaOrig="5532" w:dyaOrig="7152" w14:anchorId="7BD78115">
          <v:shape id="_x0000_i1028" type="#_x0000_t75" style="width:225.2pt;height:290.5pt" o:ole="">
            <v:imagedata r:id="rId20" o:title=""/>
          </v:shape>
          <o:OLEObject Type="Embed" ProgID="ChemDraw.Document.6.0" ShapeID="_x0000_i1028" DrawAspect="Content" ObjectID="_1831655558" r:id="rId21"/>
        </w:object>
      </w:r>
      <w:r w:rsidRPr="00546BAF">
        <w:rPr>
          <w:rFonts w:ascii="Arial" w:hAnsi="Arial" w:cs="Arial"/>
          <w:noProof/>
          <w:sz w:val="20"/>
          <w:szCs w:val="20"/>
          <w:lang w:eastAsia="en-IN"/>
        </w:rPr>
        <w:drawing>
          <wp:inline distT="0" distB="0" distL="0" distR="0" wp14:anchorId="157FEFE1" wp14:editId="682237EB">
            <wp:extent cx="2811780" cy="3444240"/>
            <wp:effectExtent l="0" t="0" r="7620" b="3810"/>
            <wp:docPr id="12228672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11780" cy="3444240"/>
                    </a:xfrm>
                    <a:prstGeom prst="rect">
                      <a:avLst/>
                    </a:prstGeom>
                    <a:noFill/>
                    <a:ln>
                      <a:noFill/>
                    </a:ln>
                  </pic:spPr>
                </pic:pic>
              </a:graphicData>
            </a:graphic>
          </wp:inline>
        </w:drawing>
      </w:r>
    </w:p>
    <w:p w14:paraId="058CF8E1" w14:textId="77777777" w:rsidR="00632A57" w:rsidRPr="00546BAF" w:rsidRDefault="00632A57" w:rsidP="00632A57">
      <w:pPr>
        <w:jc w:val="center"/>
        <w:rPr>
          <w:rFonts w:ascii="Arial" w:eastAsia="Times New Roman" w:hAnsi="Arial" w:cs="Arial"/>
          <w:b/>
          <w:kern w:val="0"/>
          <w:sz w:val="20"/>
          <w:szCs w:val="20"/>
          <w:lang w:eastAsia="en-IN"/>
        </w:rPr>
      </w:pPr>
      <w:r w:rsidRPr="00546BAF">
        <w:rPr>
          <w:rFonts w:ascii="Arial" w:eastAsia="Times New Roman" w:hAnsi="Arial" w:cs="Arial"/>
          <w:b/>
          <w:kern w:val="0"/>
          <w:sz w:val="20"/>
          <w:szCs w:val="20"/>
          <w:lang w:eastAsia="en-IN"/>
        </w:rPr>
        <w:t>Figure 02: Crystal structure of GMPPNP-bound G12R mutant of human KRAS4b</w:t>
      </w:r>
    </w:p>
    <w:p w14:paraId="0C348A43" w14:textId="77777777" w:rsidR="00632A57" w:rsidRPr="00546BAF" w:rsidRDefault="00632A57" w:rsidP="00AD12B4">
      <w:pPr>
        <w:jc w:val="both"/>
        <w:rPr>
          <w:rFonts w:ascii="Arial" w:eastAsia="Times New Roman" w:hAnsi="Arial" w:cs="Arial"/>
          <w:kern w:val="0"/>
          <w:sz w:val="20"/>
          <w:szCs w:val="20"/>
          <w:lang w:eastAsia="en-IN"/>
        </w:rPr>
      </w:pPr>
    </w:p>
    <w:p w14:paraId="56A8DA7F" w14:textId="77777777" w:rsidR="007F743F" w:rsidRPr="00546BAF" w:rsidRDefault="00632A57" w:rsidP="00AD12B4">
      <w:pPr>
        <w:jc w:val="both"/>
        <w:rPr>
          <w:rFonts w:ascii="Arial" w:eastAsia="Times New Roman" w:hAnsi="Arial" w:cs="Arial"/>
          <w:b/>
          <w:kern w:val="0"/>
          <w:sz w:val="20"/>
          <w:szCs w:val="20"/>
          <w:lang w:eastAsia="en-IN"/>
        </w:rPr>
      </w:pPr>
      <w:r w:rsidRPr="00546BAF">
        <w:rPr>
          <w:rFonts w:ascii="Arial" w:eastAsia="Times New Roman" w:hAnsi="Arial" w:cs="Arial"/>
          <w:b/>
          <w:kern w:val="0"/>
          <w:sz w:val="20"/>
          <w:szCs w:val="20"/>
          <w:lang w:eastAsia="en-IN"/>
        </w:rPr>
        <w:t>Table 1: Computational tools for prediction of Drug likeness, Pharmacokinetics properties and Toxicity study</w:t>
      </w:r>
    </w:p>
    <w:tbl>
      <w:tblPr>
        <w:tblStyle w:val="TableGrid"/>
        <w:tblW w:w="0" w:type="auto"/>
        <w:tblLook w:val="04A0" w:firstRow="1" w:lastRow="0" w:firstColumn="1" w:lastColumn="0" w:noHBand="0" w:noVBand="1"/>
      </w:tblPr>
      <w:tblGrid>
        <w:gridCol w:w="988"/>
        <w:gridCol w:w="2409"/>
        <w:gridCol w:w="2835"/>
        <w:gridCol w:w="2784"/>
      </w:tblGrid>
      <w:tr w:rsidR="009847DB" w:rsidRPr="00546BAF" w14:paraId="38C21723" w14:textId="77777777" w:rsidTr="009847DB">
        <w:tc>
          <w:tcPr>
            <w:tcW w:w="988" w:type="dxa"/>
          </w:tcPr>
          <w:p w14:paraId="26D30FC8" w14:textId="77777777" w:rsidR="009847DB" w:rsidRPr="00546BAF" w:rsidRDefault="009847DB" w:rsidP="009847DB">
            <w:pPr>
              <w:jc w:val="both"/>
              <w:rPr>
                <w:rFonts w:ascii="Arial" w:hAnsi="Arial" w:cs="Arial"/>
                <w:b/>
                <w:bCs/>
                <w:sz w:val="20"/>
                <w:szCs w:val="20"/>
              </w:rPr>
            </w:pPr>
            <w:r w:rsidRPr="00546BAF">
              <w:rPr>
                <w:rFonts w:ascii="Arial" w:hAnsi="Arial" w:cs="Arial"/>
                <w:b/>
                <w:bCs/>
                <w:sz w:val="20"/>
                <w:szCs w:val="20"/>
              </w:rPr>
              <w:t>Sr. no.</w:t>
            </w:r>
          </w:p>
        </w:tc>
        <w:tc>
          <w:tcPr>
            <w:tcW w:w="2409" w:type="dxa"/>
          </w:tcPr>
          <w:p w14:paraId="0A1136BD" w14:textId="77777777" w:rsidR="009847DB" w:rsidRPr="00546BAF" w:rsidRDefault="009847DB" w:rsidP="009847DB">
            <w:pPr>
              <w:jc w:val="both"/>
              <w:rPr>
                <w:rFonts w:ascii="Arial" w:hAnsi="Arial" w:cs="Arial"/>
                <w:b/>
                <w:bCs/>
                <w:sz w:val="20"/>
                <w:szCs w:val="20"/>
              </w:rPr>
            </w:pPr>
            <w:r w:rsidRPr="00546BAF">
              <w:rPr>
                <w:rFonts w:ascii="Arial" w:hAnsi="Arial" w:cs="Arial"/>
                <w:b/>
                <w:bCs/>
                <w:sz w:val="20"/>
                <w:szCs w:val="20"/>
              </w:rPr>
              <w:t>Computational tool</w:t>
            </w:r>
          </w:p>
        </w:tc>
        <w:tc>
          <w:tcPr>
            <w:tcW w:w="2835" w:type="dxa"/>
            <w:vAlign w:val="center"/>
          </w:tcPr>
          <w:p w14:paraId="516DA449" w14:textId="77777777" w:rsidR="009847DB" w:rsidRPr="00546BAF" w:rsidRDefault="009847DB" w:rsidP="009847DB">
            <w:pPr>
              <w:jc w:val="both"/>
              <w:rPr>
                <w:rFonts w:ascii="Arial" w:hAnsi="Arial" w:cs="Arial"/>
                <w:sz w:val="20"/>
                <w:szCs w:val="20"/>
              </w:rPr>
            </w:pPr>
            <w:r w:rsidRPr="00546BAF">
              <w:rPr>
                <w:rStyle w:val="Strong"/>
                <w:rFonts w:ascii="Arial" w:hAnsi="Arial" w:cs="Arial"/>
                <w:sz w:val="20"/>
                <w:szCs w:val="20"/>
              </w:rPr>
              <w:t>Purpose</w:t>
            </w:r>
          </w:p>
        </w:tc>
        <w:tc>
          <w:tcPr>
            <w:tcW w:w="2784" w:type="dxa"/>
            <w:vAlign w:val="center"/>
          </w:tcPr>
          <w:p w14:paraId="76446420" w14:textId="77777777" w:rsidR="009847DB" w:rsidRPr="00546BAF" w:rsidRDefault="009847DB" w:rsidP="009847DB">
            <w:pPr>
              <w:jc w:val="both"/>
              <w:rPr>
                <w:rFonts w:ascii="Arial" w:hAnsi="Arial" w:cs="Arial"/>
                <w:sz w:val="20"/>
                <w:szCs w:val="20"/>
              </w:rPr>
            </w:pPr>
            <w:r w:rsidRPr="00546BAF">
              <w:rPr>
                <w:rStyle w:val="Strong"/>
                <w:rFonts w:ascii="Arial" w:hAnsi="Arial" w:cs="Arial"/>
                <w:sz w:val="20"/>
                <w:szCs w:val="20"/>
              </w:rPr>
              <w:t>Key Applications</w:t>
            </w:r>
          </w:p>
        </w:tc>
      </w:tr>
      <w:tr w:rsidR="001C4826" w:rsidRPr="00546BAF" w14:paraId="26D5A27E" w14:textId="77777777" w:rsidTr="009847DB">
        <w:tc>
          <w:tcPr>
            <w:tcW w:w="988" w:type="dxa"/>
          </w:tcPr>
          <w:p w14:paraId="08FE68C5" w14:textId="77777777" w:rsidR="001C4826" w:rsidRPr="00546BAF" w:rsidRDefault="001C4826" w:rsidP="001C4826">
            <w:pPr>
              <w:jc w:val="both"/>
              <w:rPr>
                <w:rFonts w:ascii="Arial" w:hAnsi="Arial" w:cs="Arial"/>
                <w:sz w:val="20"/>
                <w:szCs w:val="20"/>
              </w:rPr>
            </w:pPr>
            <w:r w:rsidRPr="00546BAF">
              <w:rPr>
                <w:rFonts w:ascii="Arial" w:hAnsi="Arial" w:cs="Arial"/>
                <w:sz w:val="20"/>
                <w:szCs w:val="20"/>
              </w:rPr>
              <w:t>1.</w:t>
            </w:r>
          </w:p>
        </w:tc>
        <w:tc>
          <w:tcPr>
            <w:tcW w:w="2409" w:type="dxa"/>
          </w:tcPr>
          <w:p w14:paraId="2305F2E2" w14:textId="77777777" w:rsidR="001C4826" w:rsidRPr="00546BAF" w:rsidRDefault="001C4826" w:rsidP="001C4826">
            <w:pPr>
              <w:jc w:val="both"/>
              <w:rPr>
                <w:rFonts w:ascii="Arial" w:hAnsi="Arial" w:cs="Arial"/>
                <w:sz w:val="20"/>
                <w:szCs w:val="20"/>
              </w:rPr>
            </w:pPr>
            <w:r w:rsidRPr="00546BAF">
              <w:rPr>
                <w:rFonts w:ascii="Arial" w:hAnsi="Arial" w:cs="Arial"/>
                <w:sz w:val="20"/>
                <w:szCs w:val="20"/>
              </w:rPr>
              <w:t>Rule of Five (ROF)</w:t>
            </w:r>
          </w:p>
        </w:tc>
        <w:tc>
          <w:tcPr>
            <w:tcW w:w="2835" w:type="dxa"/>
            <w:vAlign w:val="center"/>
          </w:tcPr>
          <w:p w14:paraId="36438D1D" w14:textId="77777777" w:rsidR="001C4826" w:rsidRPr="00546BAF" w:rsidRDefault="001C4826" w:rsidP="001C4826">
            <w:pPr>
              <w:jc w:val="both"/>
              <w:rPr>
                <w:rFonts w:ascii="Arial" w:hAnsi="Arial" w:cs="Arial"/>
                <w:sz w:val="20"/>
                <w:szCs w:val="20"/>
              </w:rPr>
            </w:pPr>
            <w:r w:rsidRPr="00546BAF">
              <w:rPr>
                <w:rFonts w:ascii="Arial" w:hAnsi="Arial" w:cs="Arial"/>
                <w:sz w:val="20"/>
                <w:szCs w:val="20"/>
              </w:rPr>
              <w:t>Drug-likeness evaluation</w:t>
            </w:r>
          </w:p>
        </w:tc>
        <w:tc>
          <w:tcPr>
            <w:tcW w:w="2784" w:type="dxa"/>
            <w:vAlign w:val="center"/>
          </w:tcPr>
          <w:p w14:paraId="5889502D" w14:textId="77777777" w:rsidR="001C4826" w:rsidRPr="00546BAF" w:rsidRDefault="001C4826" w:rsidP="001C4826">
            <w:pPr>
              <w:jc w:val="both"/>
              <w:rPr>
                <w:rFonts w:ascii="Arial" w:hAnsi="Arial" w:cs="Arial"/>
                <w:sz w:val="20"/>
                <w:szCs w:val="20"/>
              </w:rPr>
            </w:pPr>
            <w:r w:rsidRPr="00546BAF">
              <w:rPr>
                <w:rFonts w:ascii="Arial" w:hAnsi="Arial" w:cs="Arial"/>
                <w:sz w:val="20"/>
                <w:szCs w:val="20"/>
              </w:rPr>
              <w:t>Applies Lipinski’s criteria for oral bioavailability</w:t>
            </w:r>
          </w:p>
        </w:tc>
      </w:tr>
      <w:tr w:rsidR="001C4826" w:rsidRPr="00546BAF" w14:paraId="29367672" w14:textId="77777777" w:rsidTr="009847DB">
        <w:tc>
          <w:tcPr>
            <w:tcW w:w="988" w:type="dxa"/>
          </w:tcPr>
          <w:p w14:paraId="6CC794F0" w14:textId="77777777" w:rsidR="001C4826" w:rsidRPr="00546BAF" w:rsidRDefault="001C4826" w:rsidP="001C4826">
            <w:pPr>
              <w:jc w:val="both"/>
              <w:rPr>
                <w:rFonts w:ascii="Arial" w:hAnsi="Arial" w:cs="Arial"/>
                <w:sz w:val="20"/>
                <w:szCs w:val="20"/>
              </w:rPr>
            </w:pPr>
            <w:r w:rsidRPr="00546BAF">
              <w:rPr>
                <w:rFonts w:ascii="Arial" w:hAnsi="Arial" w:cs="Arial"/>
                <w:sz w:val="20"/>
                <w:szCs w:val="20"/>
              </w:rPr>
              <w:t>2.</w:t>
            </w:r>
          </w:p>
        </w:tc>
        <w:tc>
          <w:tcPr>
            <w:tcW w:w="2409" w:type="dxa"/>
          </w:tcPr>
          <w:p w14:paraId="3FA99ADF" w14:textId="77777777" w:rsidR="001C4826" w:rsidRPr="00546BAF" w:rsidRDefault="001C4826" w:rsidP="001C4826">
            <w:pPr>
              <w:jc w:val="both"/>
              <w:rPr>
                <w:rFonts w:ascii="Arial" w:hAnsi="Arial" w:cs="Arial"/>
                <w:sz w:val="20"/>
                <w:szCs w:val="20"/>
              </w:rPr>
            </w:pPr>
            <w:r w:rsidRPr="00546BAF">
              <w:rPr>
                <w:rFonts w:ascii="Arial" w:hAnsi="Arial" w:cs="Arial"/>
                <w:sz w:val="20"/>
                <w:szCs w:val="20"/>
              </w:rPr>
              <w:t>Pre-ADMET</w:t>
            </w:r>
          </w:p>
        </w:tc>
        <w:tc>
          <w:tcPr>
            <w:tcW w:w="2835" w:type="dxa"/>
            <w:vAlign w:val="center"/>
          </w:tcPr>
          <w:p w14:paraId="68A73533" w14:textId="77777777" w:rsidR="001C4826" w:rsidRPr="00546BAF" w:rsidRDefault="001C4826" w:rsidP="001C4826">
            <w:pPr>
              <w:jc w:val="both"/>
              <w:rPr>
                <w:rFonts w:ascii="Arial" w:hAnsi="Arial" w:cs="Arial"/>
                <w:sz w:val="20"/>
                <w:szCs w:val="20"/>
              </w:rPr>
            </w:pPr>
            <w:r w:rsidRPr="00546BAF">
              <w:rPr>
                <w:rFonts w:ascii="Arial" w:hAnsi="Arial" w:cs="Arial"/>
                <w:sz w:val="20"/>
                <w:szCs w:val="20"/>
              </w:rPr>
              <w:t>Predicts pharmacokinetics (ADME/Tox)</w:t>
            </w:r>
          </w:p>
        </w:tc>
        <w:tc>
          <w:tcPr>
            <w:tcW w:w="2784" w:type="dxa"/>
            <w:vAlign w:val="center"/>
          </w:tcPr>
          <w:p w14:paraId="71B0DDB6" w14:textId="77777777" w:rsidR="001C4826" w:rsidRPr="00546BAF" w:rsidRDefault="001C4826" w:rsidP="001C4826">
            <w:pPr>
              <w:jc w:val="both"/>
              <w:rPr>
                <w:rFonts w:ascii="Arial" w:hAnsi="Arial" w:cs="Arial"/>
                <w:sz w:val="20"/>
                <w:szCs w:val="20"/>
              </w:rPr>
            </w:pPr>
            <w:r w:rsidRPr="00546BAF">
              <w:rPr>
                <w:rFonts w:ascii="Arial" w:hAnsi="Arial" w:cs="Arial"/>
                <w:sz w:val="20"/>
                <w:szCs w:val="20"/>
              </w:rPr>
              <w:t>Screens compounds for absorption, distribution, metabolism, excretion, and toxicity</w:t>
            </w:r>
          </w:p>
        </w:tc>
      </w:tr>
      <w:tr w:rsidR="00BA3B18" w:rsidRPr="00546BAF" w14:paraId="73DFCE38" w14:textId="77777777" w:rsidTr="009847DB">
        <w:tc>
          <w:tcPr>
            <w:tcW w:w="988" w:type="dxa"/>
          </w:tcPr>
          <w:p w14:paraId="296AB979" w14:textId="77777777" w:rsidR="00BA3B18" w:rsidRPr="00546BAF" w:rsidRDefault="00BA3B18" w:rsidP="00BA3B18">
            <w:pPr>
              <w:jc w:val="both"/>
              <w:rPr>
                <w:rFonts w:ascii="Arial" w:hAnsi="Arial" w:cs="Arial"/>
                <w:sz w:val="20"/>
                <w:szCs w:val="20"/>
              </w:rPr>
            </w:pPr>
            <w:r w:rsidRPr="00546BAF">
              <w:rPr>
                <w:rFonts w:ascii="Arial" w:hAnsi="Arial" w:cs="Arial"/>
                <w:sz w:val="20"/>
                <w:szCs w:val="20"/>
              </w:rPr>
              <w:t>3.</w:t>
            </w:r>
          </w:p>
        </w:tc>
        <w:tc>
          <w:tcPr>
            <w:tcW w:w="2409" w:type="dxa"/>
            <w:vAlign w:val="center"/>
          </w:tcPr>
          <w:p w14:paraId="7E5A2A6C" w14:textId="77777777" w:rsidR="00BA3B18" w:rsidRPr="00546BAF" w:rsidRDefault="00BA3B18" w:rsidP="00BA3B18">
            <w:pPr>
              <w:jc w:val="both"/>
              <w:rPr>
                <w:rFonts w:ascii="Arial" w:hAnsi="Arial" w:cs="Arial"/>
                <w:sz w:val="20"/>
                <w:szCs w:val="20"/>
              </w:rPr>
            </w:pPr>
            <w:r w:rsidRPr="00546BAF">
              <w:rPr>
                <w:rFonts w:ascii="Arial" w:hAnsi="Arial" w:cs="Arial"/>
                <w:sz w:val="20"/>
                <w:szCs w:val="20"/>
              </w:rPr>
              <w:t>Mol</w:t>
            </w:r>
            <w:r w:rsidR="009847DB" w:rsidRPr="00546BAF">
              <w:rPr>
                <w:rFonts w:ascii="Arial" w:hAnsi="Arial" w:cs="Arial"/>
                <w:sz w:val="20"/>
                <w:szCs w:val="20"/>
              </w:rPr>
              <w:t>-i</w:t>
            </w:r>
            <w:r w:rsidRPr="00546BAF">
              <w:rPr>
                <w:rFonts w:ascii="Arial" w:hAnsi="Arial" w:cs="Arial"/>
                <w:sz w:val="20"/>
                <w:szCs w:val="20"/>
              </w:rPr>
              <w:t>nspiration</w:t>
            </w:r>
          </w:p>
        </w:tc>
        <w:tc>
          <w:tcPr>
            <w:tcW w:w="2835" w:type="dxa"/>
            <w:vAlign w:val="center"/>
          </w:tcPr>
          <w:p w14:paraId="641A7EC6" w14:textId="77777777" w:rsidR="00BA3B18" w:rsidRPr="00546BAF" w:rsidRDefault="00BA3B18" w:rsidP="00BA3B18">
            <w:pPr>
              <w:jc w:val="both"/>
              <w:rPr>
                <w:rFonts w:ascii="Arial" w:hAnsi="Arial" w:cs="Arial"/>
                <w:sz w:val="20"/>
                <w:szCs w:val="20"/>
              </w:rPr>
            </w:pPr>
            <w:r w:rsidRPr="00546BAF">
              <w:rPr>
                <w:rFonts w:ascii="Arial" w:hAnsi="Arial" w:cs="Arial"/>
                <w:sz w:val="20"/>
                <w:szCs w:val="20"/>
              </w:rPr>
              <w:t>Bioactivity prediction</w:t>
            </w:r>
          </w:p>
        </w:tc>
        <w:tc>
          <w:tcPr>
            <w:tcW w:w="2784" w:type="dxa"/>
            <w:vAlign w:val="center"/>
          </w:tcPr>
          <w:p w14:paraId="677E506A" w14:textId="77777777" w:rsidR="00BA3B18" w:rsidRPr="00546BAF" w:rsidRDefault="00BA3B18" w:rsidP="00BA3B18">
            <w:pPr>
              <w:jc w:val="both"/>
              <w:rPr>
                <w:rFonts w:ascii="Arial" w:hAnsi="Arial" w:cs="Arial"/>
                <w:sz w:val="20"/>
                <w:szCs w:val="20"/>
              </w:rPr>
            </w:pPr>
            <w:r w:rsidRPr="00546BAF">
              <w:rPr>
                <w:rFonts w:ascii="Arial" w:hAnsi="Arial" w:cs="Arial"/>
                <w:sz w:val="20"/>
                <w:szCs w:val="20"/>
              </w:rPr>
              <w:t>Estimates activity against GPCRs, ion channels, nuclear receptors, and enzymes</w:t>
            </w:r>
          </w:p>
        </w:tc>
      </w:tr>
      <w:tr w:rsidR="00BA3B18" w:rsidRPr="00546BAF" w14:paraId="7EAAD927" w14:textId="77777777" w:rsidTr="009847DB">
        <w:tc>
          <w:tcPr>
            <w:tcW w:w="988" w:type="dxa"/>
          </w:tcPr>
          <w:p w14:paraId="6BF720C5" w14:textId="77777777" w:rsidR="00BA3B18" w:rsidRPr="00546BAF" w:rsidRDefault="00BA3B18" w:rsidP="00BA3B18">
            <w:pPr>
              <w:jc w:val="both"/>
              <w:rPr>
                <w:rFonts w:ascii="Arial" w:hAnsi="Arial" w:cs="Arial"/>
                <w:sz w:val="20"/>
                <w:szCs w:val="20"/>
              </w:rPr>
            </w:pPr>
            <w:r w:rsidRPr="00546BAF">
              <w:rPr>
                <w:rFonts w:ascii="Arial" w:hAnsi="Arial" w:cs="Arial"/>
                <w:sz w:val="20"/>
                <w:szCs w:val="20"/>
              </w:rPr>
              <w:t>4.</w:t>
            </w:r>
          </w:p>
        </w:tc>
        <w:tc>
          <w:tcPr>
            <w:tcW w:w="2409" w:type="dxa"/>
            <w:vAlign w:val="center"/>
          </w:tcPr>
          <w:p w14:paraId="02B10B19" w14:textId="77777777" w:rsidR="00BA3B18" w:rsidRPr="00546BAF" w:rsidRDefault="00BA3B18" w:rsidP="00BA3B18">
            <w:pPr>
              <w:jc w:val="both"/>
              <w:rPr>
                <w:rFonts w:ascii="Arial" w:hAnsi="Arial" w:cs="Arial"/>
                <w:sz w:val="20"/>
                <w:szCs w:val="20"/>
              </w:rPr>
            </w:pPr>
            <w:r w:rsidRPr="00546BAF">
              <w:rPr>
                <w:rFonts w:ascii="Arial" w:hAnsi="Arial" w:cs="Arial"/>
                <w:sz w:val="20"/>
                <w:szCs w:val="20"/>
              </w:rPr>
              <w:t>Molecular Docking</w:t>
            </w:r>
          </w:p>
        </w:tc>
        <w:tc>
          <w:tcPr>
            <w:tcW w:w="2835" w:type="dxa"/>
            <w:vAlign w:val="center"/>
          </w:tcPr>
          <w:p w14:paraId="5D03765A" w14:textId="77777777" w:rsidR="00BA3B18" w:rsidRPr="00546BAF" w:rsidRDefault="00BA3B18" w:rsidP="00BA3B18">
            <w:pPr>
              <w:jc w:val="both"/>
              <w:rPr>
                <w:rFonts w:ascii="Arial" w:hAnsi="Arial" w:cs="Arial"/>
                <w:sz w:val="20"/>
                <w:szCs w:val="20"/>
              </w:rPr>
            </w:pPr>
            <w:r w:rsidRPr="00546BAF">
              <w:rPr>
                <w:rFonts w:ascii="Arial" w:hAnsi="Arial" w:cs="Arial"/>
                <w:sz w:val="20"/>
                <w:szCs w:val="20"/>
              </w:rPr>
              <w:t>Binding affinity simulation</w:t>
            </w:r>
          </w:p>
        </w:tc>
        <w:tc>
          <w:tcPr>
            <w:tcW w:w="2784" w:type="dxa"/>
            <w:vAlign w:val="center"/>
          </w:tcPr>
          <w:p w14:paraId="68E04458" w14:textId="77777777" w:rsidR="00BA3B18" w:rsidRPr="00546BAF" w:rsidRDefault="00BA3B18" w:rsidP="00BA3B18">
            <w:pPr>
              <w:jc w:val="both"/>
              <w:rPr>
                <w:rFonts w:ascii="Arial" w:hAnsi="Arial" w:cs="Arial"/>
                <w:sz w:val="20"/>
                <w:szCs w:val="20"/>
              </w:rPr>
            </w:pPr>
            <w:r w:rsidRPr="00546BAF">
              <w:rPr>
                <w:rFonts w:ascii="Arial" w:hAnsi="Arial" w:cs="Arial"/>
                <w:sz w:val="20"/>
                <w:szCs w:val="20"/>
              </w:rPr>
              <w:t>Models ligand–protein interactions to identify potential drug candidates</w:t>
            </w:r>
          </w:p>
        </w:tc>
      </w:tr>
    </w:tbl>
    <w:p w14:paraId="7B59B0AA" w14:textId="77777777" w:rsidR="00B00AF7" w:rsidRPr="00546BAF" w:rsidRDefault="00B00AF7" w:rsidP="00052E19">
      <w:pPr>
        <w:jc w:val="both"/>
        <w:rPr>
          <w:rFonts w:ascii="Arial" w:hAnsi="Arial" w:cs="Arial"/>
          <w:sz w:val="20"/>
          <w:szCs w:val="20"/>
        </w:rPr>
      </w:pPr>
    </w:p>
    <w:p w14:paraId="3ADB6192" w14:textId="77777777" w:rsidR="000878AF" w:rsidRPr="00546BAF" w:rsidRDefault="000878AF" w:rsidP="00052E19">
      <w:pPr>
        <w:jc w:val="both"/>
        <w:rPr>
          <w:rFonts w:ascii="Arial" w:hAnsi="Arial" w:cs="Arial"/>
          <w:b/>
          <w:bCs/>
          <w:sz w:val="20"/>
          <w:szCs w:val="20"/>
        </w:rPr>
      </w:pPr>
    </w:p>
    <w:p w14:paraId="0D3AE29A" w14:textId="77777777" w:rsidR="007144FD" w:rsidRPr="00546BAF" w:rsidRDefault="00422B1F" w:rsidP="00052E19">
      <w:pPr>
        <w:jc w:val="both"/>
        <w:rPr>
          <w:rFonts w:ascii="Arial" w:hAnsi="Arial" w:cs="Arial"/>
          <w:b/>
          <w:bCs/>
          <w:sz w:val="22"/>
          <w:szCs w:val="20"/>
        </w:rPr>
      </w:pPr>
      <w:r w:rsidRPr="00546BAF">
        <w:rPr>
          <w:rFonts w:ascii="Arial" w:hAnsi="Arial" w:cs="Arial"/>
          <w:b/>
          <w:bCs/>
          <w:sz w:val="22"/>
          <w:szCs w:val="20"/>
        </w:rPr>
        <w:t xml:space="preserve">MATERIAL AND METHOD: </w:t>
      </w:r>
    </w:p>
    <w:p w14:paraId="2713E924" w14:textId="77777777" w:rsidR="008814D9" w:rsidRPr="00546BAF" w:rsidRDefault="008814D9" w:rsidP="00052E19">
      <w:pPr>
        <w:jc w:val="both"/>
        <w:rPr>
          <w:rFonts w:ascii="Arial" w:hAnsi="Arial" w:cs="Arial"/>
          <w:b/>
          <w:bCs/>
          <w:sz w:val="20"/>
          <w:szCs w:val="20"/>
        </w:rPr>
      </w:pPr>
      <w:r w:rsidRPr="00546BAF">
        <w:rPr>
          <w:rFonts w:ascii="Arial" w:hAnsi="Arial" w:cs="Arial"/>
          <w:b/>
          <w:bCs/>
          <w:sz w:val="20"/>
          <w:szCs w:val="20"/>
        </w:rPr>
        <w:t xml:space="preserve">Dataset </w:t>
      </w:r>
      <w:r w:rsidR="006F7C32" w:rsidRPr="00546BAF">
        <w:rPr>
          <w:rFonts w:ascii="Arial" w:hAnsi="Arial" w:cs="Arial"/>
          <w:b/>
          <w:bCs/>
          <w:sz w:val="20"/>
          <w:szCs w:val="20"/>
        </w:rPr>
        <w:t xml:space="preserve">of compounds </w:t>
      </w:r>
    </w:p>
    <w:p w14:paraId="41E3D096" w14:textId="77777777" w:rsidR="00CE1434" w:rsidRPr="00546BAF" w:rsidRDefault="000878AF" w:rsidP="00270965">
      <w:pPr>
        <w:jc w:val="center"/>
        <w:rPr>
          <w:rFonts w:ascii="Arial" w:hAnsi="Arial" w:cs="Arial"/>
          <w:sz w:val="20"/>
          <w:szCs w:val="20"/>
        </w:rPr>
      </w:pPr>
      <w:r w:rsidRPr="00546BAF">
        <w:rPr>
          <w:rFonts w:ascii="Arial" w:hAnsi="Arial" w:cs="Arial"/>
          <w:kern w:val="0"/>
          <w:sz w:val="20"/>
          <w:szCs w:val="20"/>
        </w:rPr>
        <w:object w:dxaOrig="5832" w:dyaOrig="2916" w14:anchorId="03C82085">
          <v:shape id="_x0000_i1029" type="#_x0000_t75" style="width:221.85pt;height:111.35pt" o:ole="">
            <v:imagedata r:id="rId23" o:title=""/>
          </v:shape>
          <o:OLEObject Type="Embed" ProgID="ChemDraw.Document.6.0" ShapeID="_x0000_i1029" DrawAspect="Content" ObjectID="_1831655559" r:id="rId24"/>
        </w:object>
      </w:r>
    </w:p>
    <w:p w14:paraId="5BC5E168" w14:textId="77777777" w:rsidR="006239AF" w:rsidRPr="00546BAF" w:rsidRDefault="004A196E" w:rsidP="00052E19">
      <w:pPr>
        <w:jc w:val="both"/>
        <w:rPr>
          <w:rFonts w:ascii="Arial" w:hAnsi="Arial" w:cs="Arial"/>
          <w:sz w:val="20"/>
          <w:szCs w:val="20"/>
        </w:rPr>
      </w:pPr>
      <w:bookmarkStart w:id="3" w:name="_Hlk220428256"/>
      <w:r w:rsidRPr="00546BAF">
        <w:rPr>
          <w:rFonts w:ascii="Arial" w:hAnsi="Arial" w:cs="Arial"/>
          <w:sz w:val="20"/>
          <w:szCs w:val="20"/>
        </w:rPr>
        <w:t>Where R: Cl, NH</w:t>
      </w:r>
      <w:r w:rsidRPr="00546BAF">
        <w:rPr>
          <w:rFonts w:ascii="Arial" w:hAnsi="Arial" w:cs="Arial"/>
          <w:sz w:val="20"/>
          <w:szCs w:val="20"/>
          <w:vertAlign w:val="subscript"/>
        </w:rPr>
        <w:t xml:space="preserve">2, </w:t>
      </w:r>
      <w:r w:rsidRPr="00546BAF">
        <w:rPr>
          <w:rFonts w:ascii="Arial" w:hAnsi="Arial" w:cs="Arial"/>
          <w:sz w:val="20"/>
          <w:szCs w:val="20"/>
        </w:rPr>
        <w:t>CH</w:t>
      </w:r>
      <w:r w:rsidRPr="00546BAF">
        <w:rPr>
          <w:rFonts w:ascii="Arial" w:hAnsi="Arial" w:cs="Arial"/>
          <w:sz w:val="20"/>
          <w:szCs w:val="20"/>
          <w:vertAlign w:val="subscript"/>
        </w:rPr>
        <w:t xml:space="preserve">3, </w:t>
      </w:r>
      <w:r w:rsidRPr="00546BAF">
        <w:rPr>
          <w:rFonts w:ascii="Arial" w:hAnsi="Arial" w:cs="Arial"/>
          <w:sz w:val="20"/>
          <w:szCs w:val="20"/>
        </w:rPr>
        <w:t>C</w:t>
      </w:r>
      <w:r w:rsidRPr="00546BAF">
        <w:rPr>
          <w:rFonts w:ascii="Arial" w:hAnsi="Arial" w:cs="Arial"/>
          <w:sz w:val="20"/>
          <w:szCs w:val="20"/>
          <w:vertAlign w:val="subscript"/>
        </w:rPr>
        <w:t>2</w:t>
      </w:r>
      <w:r w:rsidRPr="00546BAF">
        <w:rPr>
          <w:rFonts w:ascii="Arial" w:hAnsi="Arial" w:cs="Arial"/>
          <w:sz w:val="20"/>
          <w:szCs w:val="20"/>
        </w:rPr>
        <w:t>H</w:t>
      </w:r>
      <w:r w:rsidRPr="00546BAF">
        <w:rPr>
          <w:rFonts w:ascii="Arial" w:hAnsi="Arial" w:cs="Arial"/>
          <w:sz w:val="20"/>
          <w:szCs w:val="20"/>
          <w:vertAlign w:val="subscript"/>
        </w:rPr>
        <w:t>5</w:t>
      </w:r>
      <w:r w:rsidRPr="00546BAF">
        <w:rPr>
          <w:rFonts w:ascii="Arial" w:hAnsi="Arial" w:cs="Arial"/>
          <w:sz w:val="20"/>
          <w:szCs w:val="20"/>
        </w:rPr>
        <w:t xml:space="preserve">, </w:t>
      </w:r>
    </w:p>
    <w:bookmarkEnd w:id="3"/>
    <w:p w14:paraId="51654798" w14:textId="77777777" w:rsidR="006F7C32" w:rsidRPr="00546BAF" w:rsidRDefault="006F7C32" w:rsidP="00052E19">
      <w:pPr>
        <w:jc w:val="both"/>
        <w:rPr>
          <w:rFonts w:ascii="Arial" w:hAnsi="Arial" w:cs="Arial"/>
          <w:b/>
          <w:bCs/>
          <w:sz w:val="20"/>
          <w:szCs w:val="20"/>
        </w:rPr>
      </w:pPr>
      <w:r w:rsidRPr="00546BAF">
        <w:rPr>
          <w:rFonts w:ascii="Arial" w:hAnsi="Arial" w:cs="Arial"/>
          <w:b/>
          <w:bCs/>
          <w:sz w:val="20"/>
          <w:szCs w:val="20"/>
        </w:rPr>
        <w:t>Methodologies</w:t>
      </w:r>
      <w:r w:rsidR="00FF24D3" w:rsidRPr="00546BAF">
        <w:rPr>
          <w:rFonts w:ascii="Arial" w:hAnsi="Arial" w:cs="Arial"/>
          <w:b/>
          <w:bCs/>
          <w:sz w:val="20"/>
          <w:szCs w:val="20"/>
        </w:rPr>
        <w:t xml:space="preserve">: </w:t>
      </w:r>
    </w:p>
    <w:p w14:paraId="357872E1" w14:textId="77777777" w:rsidR="00354F92" w:rsidRPr="00546BAF" w:rsidRDefault="00354F92" w:rsidP="00052E19">
      <w:pPr>
        <w:jc w:val="both"/>
        <w:rPr>
          <w:rFonts w:ascii="Arial" w:hAnsi="Arial" w:cs="Arial"/>
          <w:sz w:val="20"/>
          <w:szCs w:val="20"/>
        </w:rPr>
      </w:pPr>
      <w:r w:rsidRPr="00546BAF">
        <w:rPr>
          <w:rFonts w:ascii="Arial" w:hAnsi="Arial" w:cs="Arial"/>
          <w:sz w:val="20"/>
          <w:szCs w:val="20"/>
        </w:rPr>
        <w:t xml:space="preserve">The methodology involved an in-silico study of derivative of </w:t>
      </w:r>
      <w:r w:rsidR="00C219A6" w:rsidRPr="00546BAF">
        <w:rPr>
          <w:rFonts w:ascii="Arial" w:hAnsi="Arial" w:cs="Arial"/>
          <w:sz w:val="20"/>
          <w:szCs w:val="20"/>
        </w:rPr>
        <w:t xml:space="preserve">4-hydroxy-3-methoxycinnamic </w:t>
      </w:r>
      <w:proofErr w:type="spellStart"/>
      <w:r w:rsidR="00C219A6" w:rsidRPr="00546BAF">
        <w:rPr>
          <w:rFonts w:ascii="Arial" w:hAnsi="Arial" w:cs="Arial"/>
          <w:sz w:val="20"/>
          <w:szCs w:val="20"/>
        </w:rPr>
        <w:t>acid</w:t>
      </w:r>
      <w:r w:rsidRPr="00546BAF">
        <w:rPr>
          <w:rFonts w:ascii="Arial" w:hAnsi="Arial" w:cs="Arial"/>
          <w:sz w:val="20"/>
          <w:szCs w:val="20"/>
        </w:rPr>
        <w:t>as</w:t>
      </w:r>
      <w:proofErr w:type="spellEnd"/>
      <w:r w:rsidRPr="00546BAF">
        <w:rPr>
          <w:rFonts w:ascii="Arial" w:hAnsi="Arial" w:cs="Arial"/>
          <w:sz w:val="20"/>
          <w:szCs w:val="20"/>
        </w:rPr>
        <w:t xml:space="preserve"> a potential lung cancer treatment. The compound was first evaluated using Rule of Five (ROF) to assess drug-likeness, followed by </w:t>
      </w:r>
      <w:proofErr w:type="spellStart"/>
      <w:r w:rsidRPr="00546BAF">
        <w:rPr>
          <w:rFonts w:ascii="Arial" w:hAnsi="Arial" w:cs="Arial"/>
          <w:sz w:val="20"/>
          <w:szCs w:val="20"/>
        </w:rPr>
        <w:t>Mol</w:t>
      </w:r>
      <w:proofErr w:type="spellEnd"/>
      <w:r w:rsidRPr="00546BAF">
        <w:rPr>
          <w:rFonts w:ascii="Arial" w:hAnsi="Arial" w:cs="Arial"/>
          <w:sz w:val="20"/>
          <w:szCs w:val="20"/>
        </w:rPr>
        <w:t xml:space="preserve">-inspiration for bioactivity </w:t>
      </w:r>
      <w:commentRangeStart w:id="4"/>
      <w:r w:rsidRPr="00546BAF">
        <w:rPr>
          <w:rFonts w:ascii="Arial" w:hAnsi="Arial" w:cs="Arial"/>
          <w:sz w:val="20"/>
          <w:szCs w:val="20"/>
        </w:rPr>
        <w:t>prediction</w:t>
      </w:r>
      <w:commentRangeEnd w:id="4"/>
      <w:r w:rsidR="00481C7F">
        <w:rPr>
          <w:rStyle w:val="CommentReference"/>
        </w:rPr>
        <w:commentReference w:id="4"/>
      </w:r>
      <w:r w:rsidRPr="00546BAF">
        <w:rPr>
          <w:rFonts w:ascii="Arial" w:hAnsi="Arial" w:cs="Arial"/>
          <w:sz w:val="20"/>
          <w:szCs w:val="20"/>
        </w:rPr>
        <w:t>. Pre-ADMET analysis was conducted to estimate pharmacokinetic and toxicity profiles. Finally, molecular docking studies were performed to investigate binding affinity and interactions with lung cancer-related target proteins, ensuring therapeutic relevance.</w:t>
      </w:r>
    </w:p>
    <w:p w14:paraId="68DBE15A" w14:textId="77777777" w:rsidR="008A5796" w:rsidRPr="00546BAF" w:rsidRDefault="00C06AA7" w:rsidP="008A5796">
      <w:pPr>
        <w:jc w:val="both"/>
        <w:rPr>
          <w:rFonts w:ascii="Arial" w:hAnsi="Arial" w:cs="Arial"/>
          <w:b/>
          <w:bCs/>
          <w:sz w:val="20"/>
          <w:szCs w:val="20"/>
        </w:rPr>
      </w:pPr>
      <w:bookmarkStart w:id="6" w:name="_Hlk220428345"/>
      <w:r w:rsidRPr="00546BAF">
        <w:rPr>
          <w:rFonts w:ascii="Arial" w:hAnsi="Arial" w:cs="Arial"/>
          <w:b/>
          <w:bCs/>
          <w:sz w:val="20"/>
          <w:szCs w:val="20"/>
        </w:rPr>
        <w:t>Lipinski</w:t>
      </w:r>
      <w:r w:rsidR="00A47CA7" w:rsidRPr="00546BAF">
        <w:rPr>
          <w:rFonts w:ascii="Arial" w:hAnsi="Arial" w:cs="Arial"/>
          <w:b/>
          <w:bCs/>
          <w:sz w:val="20"/>
          <w:szCs w:val="20"/>
        </w:rPr>
        <w:t xml:space="preserve">’s </w:t>
      </w:r>
      <w:r w:rsidR="00515557" w:rsidRPr="00546BAF">
        <w:rPr>
          <w:rFonts w:ascii="Arial" w:hAnsi="Arial" w:cs="Arial"/>
          <w:b/>
          <w:bCs/>
          <w:sz w:val="20"/>
          <w:szCs w:val="20"/>
        </w:rPr>
        <w:t>R</w:t>
      </w:r>
      <w:r w:rsidR="00A47CA7" w:rsidRPr="00546BAF">
        <w:rPr>
          <w:rFonts w:ascii="Arial" w:hAnsi="Arial" w:cs="Arial"/>
          <w:b/>
          <w:bCs/>
          <w:sz w:val="20"/>
          <w:szCs w:val="20"/>
        </w:rPr>
        <w:t>ule</w:t>
      </w:r>
      <w:r w:rsidR="00515557" w:rsidRPr="00546BAF">
        <w:rPr>
          <w:rFonts w:ascii="Arial" w:hAnsi="Arial" w:cs="Arial"/>
          <w:b/>
          <w:bCs/>
          <w:sz w:val="20"/>
          <w:szCs w:val="20"/>
        </w:rPr>
        <w:t xml:space="preserve"> of Fi</w:t>
      </w:r>
      <w:r w:rsidR="008A5796" w:rsidRPr="00546BAF">
        <w:rPr>
          <w:rFonts w:ascii="Arial" w:hAnsi="Arial" w:cs="Arial"/>
          <w:b/>
          <w:bCs/>
          <w:sz w:val="20"/>
          <w:szCs w:val="20"/>
        </w:rPr>
        <w:t>ve</w:t>
      </w:r>
    </w:p>
    <w:p w14:paraId="56611BB3" w14:textId="77777777" w:rsidR="00002A8D" w:rsidRPr="00546BAF" w:rsidRDefault="00002A8D" w:rsidP="00002A8D">
      <w:pPr>
        <w:jc w:val="both"/>
        <w:rPr>
          <w:rFonts w:ascii="Arial" w:hAnsi="Arial" w:cs="Arial"/>
          <w:sz w:val="20"/>
          <w:szCs w:val="20"/>
        </w:rPr>
      </w:pPr>
      <w:r w:rsidRPr="00546BAF">
        <w:rPr>
          <w:rFonts w:ascii="Arial" w:hAnsi="Arial" w:cs="Arial"/>
          <w:sz w:val="20"/>
          <w:szCs w:val="20"/>
        </w:rPr>
        <w:t>Central to the pursuit of ﬁnding suitable drug</w:t>
      </w:r>
      <w:r w:rsidR="000878AF" w:rsidRPr="00546BAF">
        <w:rPr>
          <w:rFonts w:ascii="Arial" w:hAnsi="Arial" w:cs="Arial"/>
          <w:sz w:val="20"/>
          <w:szCs w:val="20"/>
        </w:rPr>
        <w:t xml:space="preserve"> </w:t>
      </w:r>
      <w:r w:rsidRPr="00546BAF">
        <w:rPr>
          <w:rFonts w:ascii="Arial" w:hAnsi="Arial" w:cs="Arial"/>
          <w:sz w:val="20"/>
          <w:szCs w:val="20"/>
        </w:rPr>
        <w:t>candidates is the application of RO5. The RO5 was</w:t>
      </w:r>
      <w:r w:rsidR="000878AF" w:rsidRPr="00546BAF">
        <w:rPr>
          <w:rFonts w:ascii="Arial" w:hAnsi="Arial" w:cs="Arial"/>
          <w:sz w:val="20"/>
          <w:szCs w:val="20"/>
        </w:rPr>
        <w:t xml:space="preserve"> </w:t>
      </w:r>
      <w:r w:rsidRPr="00546BAF">
        <w:rPr>
          <w:rFonts w:ascii="Arial" w:hAnsi="Arial" w:cs="Arial"/>
          <w:sz w:val="20"/>
          <w:szCs w:val="20"/>
        </w:rPr>
        <w:t>proposed by Lipinski in 1997, which e</w:t>
      </w:r>
      <w:r w:rsidR="000878AF" w:rsidRPr="00546BAF">
        <w:rPr>
          <w:rFonts w:ascii="Times New Roman" w:hAnsi="Times New Roman" w:cs="Arial"/>
          <w:sz w:val="20"/>
          <w:szCs w:val="20"/>
        </w:rPr>
        <w:t>ff</w:t>
      </w:r>
      <w:r w:rsidRPr="00546BAF">
        <w:rPr>
          <w:rFonts w:ascii="Arial" w:hAnsi="Arial" w:cs="Arial"/>
          <w:sz w:val="20"/>
          <w:szCs w:val="20"/>
        </w:rPr>
        <w:t>ectively guided</w:t>
      </w:r>
      <w:r w:rsidR="000878AF" w:rsidRPr="00546BAF">
        <w:rPr>
          <w:rFonts w:ascii="Arial" w:hAnsi="Arial" w:cs="Arial"/>
          <w:sz w:val="20"/>
          <w:szCs w:val="20"/>
        </w:rPr>
        <w:t xml:space="preserve"> </w:t>
      </w:r>
      <w:r w:rsidRPr="00546BAF">
        <w:rPr>
          <w:rFonts w:ascii="Arial" w:hAnsi="Arial" w:cs="Arial"/>
          <w:sz w:val="20"/>
          <w:szCs w:val="20"/>
        </w:rPr>
        <w:t>the design of small</w:t>
      </w:r>
      <w:r w:rsidR="000878AF" w:rsidRPr="00546BAF">
        <w:rPr>
          <w:rFonts w:ascii="Arial" w:hAnsi="Arial" w:cs="Arial"/>
          <w:sz w:val="20"/>
          <w:szCs w:val="20"/>
        </w:rPr>
        <w:t xml:space="preserve"> </w:t>
      </w:r>
      <w:r w:rsidRPr="00546BAF">
        <w:rPr>
          <w:rFonts w:ascii="Arial" w:hAnsi="Arial" w:cs="Arial"/>
          <w:sz w:val="20"/>
          <w:szCs w:val="20"/>
        </w:rPr>
        <w:t>molecule drugs over the</w:t>
      </w:r>
      <w:r w:rsidR="000878AF" w:rsidRPr="00546BAF">
        <w:rPr>
          <w:rFonts w:ascii="Arial" w:hAnsi="Arial" w:cs="Arial"/>
          <w:sz w:val="20"/>
          <w:szCs w:val="20"/>
        </w:rPr>
        <w:t xml:space="preserve"> </w:t>
      </w:r>
      <w:r w:rsidRPr="00546BAF">
        <w:rPr>
          <w:rFonts w:ascii="Arial" w:hAnsi="Arial" w:cs="Arial"/>
          <w:sz w:val="20"/>
          <w:szCs w:val="20"/>
        </w:rPr>
        <w:t>subsequent 20 years. This rule has been widely used in medicinal research and a molecule that obeys</w:t>
      </w:r>
      <w:r w:rsidR="000878AF" w:rsidRPr="00546BAF">
        <w:rPr>
          <w:rFonts w:ascii="Arial" w:hAnsi="Arial" w:cs="Arial"/>
          <w:sz w:val="20"/>
          <w:szCs w:val="20"/>
        </w:rPr>
        <w:t xml:space="preserve"> </w:t>
      </w:r>
      <w:r w:rsidR="0088237F" w:rsidRPr="00546BAF">
        <w:rPr>
          <w:rFonts w:ascii="Arial" w:hAnsi="Arial" w:cs="Arial"/>
          <w:sz w:val="20"/>
          <w:szCs w:val="20"/>
        </w:rPr>
        <w:t>the physicochemical property guidelines of the rule</w:t>
      </w:r>
      <w:r w:rsidR="000878AF" w:rsidRPr="00546BAF">
        <w:rPr>
          <w:rFonts w:ascii="Arial" w:hAnsi="Arial" w:cs="Arial"/>
          <w:sz w:val="20"/>
          <w:szCs w:val="20"/>
        </w:rPr>
        <w:t xml:space="preserve"> </w:t>
      </w:r>
      <w:r w:rsidR="0088237F" w:rsidRPr="00546BAF">
        <w:rPr>
          <w:rFonts w:ascii="Arial" w:hAnsi="Arial" w:cs="Arial"/>
          <w:sz w:val="20"/>
          <w:szCs w:val="20"/>
        </w:rPr>
        <w:t xml:space="preserve">would be labelled as an ideal drug molecule. </w:t>
      </w:r>
      <w:r w:rsidR="00333FC0" w:rsidRPr="00546BAF">
        <w:rPr>
          <w:rFonts w:ascii="Arial" w:hAnsi="Arial" w:cs="Arial"/>
          <w:sz w:val="20"/>
          <w:szCs w:val="20"/>
        </w:rPr>
        <w:t>(1</w:t>
      </w:r>
      <w:r w:rsidR="006C07E6" w:rsidRPr="00546BAF">
        <w:rPr>
          <w:rFonts w:ascii="Arial" w:hAnsi="Arial" w:cs="Arial"/>
          <w:sz w:val="20"/>
          <w:szCs w:val="20"/>
        </w:rPr>
        <w:t>1</w:t>
      </w:r>
      <w:r w:rsidR="00333FC0" w:rsidRPr="00546BAF">
        <w:rPr>
          <w:rFonts w:ascii="Arial" w:hAnsi="Arial" w:cs="Arial"/>
          <w:sz w:val="20"/>
          <w:szCs w:val="20"/>
        </w:rPr>
        <w:t>)</w:t>
      </w:r>
    </w:p>
    <w:p w14:paraId="66709258" w14:textId="77777777" w:rsidR="00856D1A" w:rsidRPr="00546BAF" w:rsidRDefault="006D45CC" w:rsidP="00002A8D">
      <w:pPr>
        <w:jc w:val="both"/>
        <w:rPr>
          <w:rFonts w:ascii="Arial" w:hAnsi="Arial" w:cs="Arial"/>
          <w:sz w:val="20"/>
          <w:szCs w:val="20"/>
        </w:rPr>
      </w:pPr>
      <w:bookmarkStart w:id="7" w:name="_Hlk220428361"/>
      <w:bookmarkEnd w:id="6"/>
      <w:r w:rsidRPr="00546BAF">
        <w:rPr>
          <w:rFonts w:ascii="Arial" w:hAnsi="Arial" w:cs="Arial"/>
          <w:sz w:val="20"/>
          <w:szCs w:val="20"/>
        </w:rPr>
        <w:t>Drug-likeness of compounds are measured by</w:t>
      </w:r>
      <w:r w:rsidR="000878AF" w:rsidRPr="00546BAF">
        <w:rPr>
          <w:rFonts w:ascii="Arial" w:hAnsi="Arial" w:cs="Arial"/>
          <w:sz w:val="20"/>
          <w:szCs w:val="20"/>
        </w:rPr>
        <w:t xml:space="preserve"> </w:t>
      </w:r>
      <w:hyperlink r:id="rId25" w:history="1">
        <w:r w:rsidR="0093170A" w:rsidRPr="00546BAF">
          <w:rPr>
            <w:rStyle w:val="Hyperlink"/>
            <w:rFonts w:ascii="Arial" w:hAnsi="Arial" w:cs="Arial"/>
            <w:color w:val="auto"/>
            <w:sz w:val="20"/>
            <w:szCs w:val="20"/>
            <w:u w:val="none"/>
          </w:rPr>
          <w:t>Lipinski Rule of Five</w:t>
        </w:r>
      </w:hyperlink>
    </w:p>
    <w:bookmarkEnd w:id="7"/>
    <w:p w14:paraId="07AB1E87" w14:textId="77777777" w:rsidR="007F7BB5" w:rsidRPr="00546BAF" w:rsidRDefault="00047FC2" w:rsidP="00D52D66">
      <w:pPr>
        <w:jc w:val="both"/>
        <w:rPr>
          <w:rFonts w:ascii="Arial" w:hAnsi="Arial" w:cs="Arial"/>
          <w:sz w:val="20"/>
          <w:szCs w:val="20"/>
        </w:rPr>
      </w:pPr>
      <w:r w:rsidRPr="00546BAF">
        <w:rPr>
          <w:rFonts w:ascii="Arial" w:hAnsi="Arial" w:cs="Arial"/>
          <w:sz w:val="20"/>
          <w:szCs w:val="20"/>
        </w:rPr>
        <w:t xml:space="preserve">The methodology to evaluate the drug-likeness of </w:t>
      </w:r>
      <w:r w:rsidR="00C219A6" w:rsidRPr="00546BAF">
        <w:rPr>
          <w:rFonts w:ascii="Arial" w:hAnsi="Arial" w:cs="Arial"/>
          <w:sz w:val="20"/>
          <w:szCs w:val="20"/>
        </w:rPr>
        <w:t>4-hydroxy-3-methoxycinnamic acid</w:t>
      </w:r>
      <w:r w:rsidR="000878AF" w:rsidRPr="00546BAF">
        <w:rPr>
          <w:rFonts w:ascii="Arial" w:hAnsi="Arial" w:cs="Arial"/>
          <w:sz w:val="20"/>
          <w:szCs w:val="20"/>
        </w:rPr>
        <w:t xml:space="preserve"> </w:t>
      </w:r>
      <w:r w:rsidRPr="00546BAF">
        <w:rPr>
          <w:rFonts w:ascii="Arial" w:hAnsi="Arial" w:cs="Arial"/>
          <w:sz w:val="20"/>
          <w:szCs w:val="20"/>
        </w:rPr>
        <w:t xml:space="preserve">derivatives using Lipinski’s Rule of Five begins with the structural design of compounds in </w:t>
      </w:r>
      <w:proofErr w:type="spellStart"/>
      <w:r w:rsidRPr="00546BAF">
        <w:rPr>
          <w:rFonts w:ascii="Arial" w:hAnsi="Arial" w:cs="Arial"/>
          <w:sz w:val="20"/>
          <w:szCs w:val="20"/>
        </w:rPr>
        <w:t>ChemDraw</w:t>
      </w:r>
      <w:proofErr w:type="spellEnd"/>
      <w:r w:rsidRPr="00546BAF">
        <w:rPr>
          <w:rFonts w:ascii="Arial" w:hAnsi="Arial" w:cs="Arial"/>
          <w:sz w:val="20"/>
          <w:szCs w:val="20"/>
        </w:rPr>
        <w:t xml:space="preserve"> software. </w:t>
      </w:r>
      <w:proofErr w:type="spellStart"/>
      <w:r w:rsidRPr="00546BAF">
        <w:rPr>
          <w:rFonts w:ascii="Arial" w:hAnsi="Arial" w:cs="Arial"/>
          <w:sz w:val="20"/>
          <w:szCs w:val="20"/>
        </w:rPr>
        <w:t>ChemDraw</w:t>
      </w:r>
      <w:proofErr w:type="spellEnd"/>
      <w:r w:rsidRPr="00546BAF">
        <w:rPr>
          <w:rFonts w:ascii="Arial" w:hAnsi="Arial" w:cs="Arial"/>
          <w:sz w:val="20"/>
          <w:szCs w:val="20"/>
        </w:rPr>
        <w:t xml:space="preserve"> is a widely used chemical drawing application that allows researchers to accurately construct, visualize, and edit molecular structures with features such as bond alignment, stereochemistry representation, and automated generation of chemical names and properties. </w:t>
      </w:r>
      <w:r w:rsidR="00C219A6" w:rsidRPr="00546BAF">
        <w:rPr>
          <w:rFonts w:ascii="Arial" w:hAnsi="Arial" w:cs="Arial"/>
          <w:sz w:val="20"/>
          <w:szCs w:val="20"/>
        </w:rPr>
        <w:t>4-hydroxy-3-methoxycinnamic acid</w:t>
      </w:r>
      <w:r w:rsidR="000878AF" w:rsidRPr="00546BAF">
        <w:rPr>
          <w:rFonts w:ascii="Arial" w:hAnsi="Arial" w:cs="Arial"/>
          <w:sz w:val="20"/>
          <w:szCs w:val="20"/>
        </w:rPr>
        <w:t xml:space="preserve"> </w:t>
      </w:r>
      <w:r w:rsidR="007F7BB5" w:rsidRPr="00546BAF">
        <w:rPr>
          <w:rFonts w:ascii="Arial" w:hAnsi="Arial" w:cs="Arial"/>
          <w:sz w:val="20"/>
          <w:szCs w:val="20"/>
        </w:rPr>
        <w:t xml:space="preserve">derivatives were designed in </w:t>
      </w:r>
      <w:proofErr w:type="spellStart"/>
      <w:r w:rsidR="007F7BB5" w:rsidRPr="00546BAF">
        <w:rPr>
          <w:rFonts w:ascii="Arial" w:hAnsi="Arial" w:cs="Arial"/>
          <w:sz w:val="20"/>
          <w:szCs w:val="20"/>
        </w:rPr>
        <w:t>ChemDraw</w:t>
      </w:r>
      <w:proofErr w:type="spellEnd"/>
      <w:r w:rsidR="007F7BB5" w:rsidRPr="00546BAF">
        <w:rPr>
          <w:rFonts w:ascii="Arial" w:hAnsi="Arial" w:cs="Arial"/>
          <w:sz w:val="20"/>
          <w:szCs w:val="20"/>
        </w:rPr>
        <w:t xml:space="preserve"> by substituting aromatic amines onto the backbone structure. The finalized molecules were saved </w:t>
      </w:r>
      <w:proofErr w:type="gramStart"/>
      <w:r w:rsidR="007F7BB5" w:rsidRPr="00546BAF">
        <w:rPr>
          <w:rFonts w:ascii="Arial" w:hAnsi="Arial" w:cs="Arial"/>
          <w:sz w:val="20"/>
          <w:szCs w:val="20"/>
        </w:rPr>
        <w:t xml:space="preserve">in </w:t>
      </w:r>
      <w:r w:rsidR="007F7BB5" w:rsidRPr="00546BAF">
        <w:rPr>
          <w:rFonts w:ascii="Arial" w:hAnsi="Arial" w:cs="Arial"/>
          <w:b/>
          <w:bCs/>
          <w:sz w:val="20"/>
          <w:szCs w:val="20"/>
        </w:rPr>
        <w:t>.mol</w:t>
      </w:r>
      <w:proofErr w:type="gramEnd"/>
      <w:r w:rsidR="007F7BB5" w:rsidRPr="00546BAF">
        <w:rPr>
          <w:rFonts w:ascii="Arial" w:hAnsi="Arial" w:cs="Arial"/>
          <w:sz w:val="20"/>
          <w:szCs w:val="20"/>
        </w:rPr>
        <w:t xml:space="preserve"> format for connectivity and stereochemistry, and in </w:t>
      </w:r>
      <w:r w:rsidR="007F7BB5" w:rsidRPr="00546BAF">
        <w:rPr>
          <w:rFonts w:ascii="Arial" w:hAnsi="Arial" w:cs="Arial"/>
          <w:b/>
          <w:bCs/>
          <w:sz w:val="20"/>
          <w:szCs w:val="20"/>
        </w:rPr>
        <w:t>PDP</w:t>
      </w:r>
      <w:r w:rsidR="007F7BB5" w:rsidRPr="00546BAF">
        <w:rPr>
          <w:rFonts w:ascii="Arial" w:hAnsi="Arial" w:cs="Arial"/>
          <w:sz w:val="20"/>
          <w:szCs w:val="20"/>
        </w:rPr>
        <w:t xml:space="preserve"> format for computational evaluation. Using the ROF (Rule of Five) web tool, drug-likeness was assessed based on Lipinski’s criteria: molecular weight &lt; 500 Da, </w:t>
      </w:r>
      <w:proofErr w:type="spellStart"/>
      <w:r w:rsidR="007F7BB5" w:rsidRPr="00546BAF">
        <w:rPr>
          <w:rFonts w:ascii="Arial" w:hAnsi="Arial" w:cs="Arial"/>
          <w:sz w:val="20"/>
          <w:szCs w:val="20"/>
        </w:rPr>
        <w:t>logP</w:t>
      </w:r>
      <w:proofErr w:type="spellEnd"/>
      <w:r w:rsidR="007F7BB5" w:rsidRPr="00546BAF">
        <w:rPr>
          <w:rFonts w:ascii="Arial" w:hAnsi="Arial" w:cs="Arial"/>
          <w:sz w:val="20"/>
          <w:szCs w:val="20"/>
        </w:rPr>
        <w:t>&lt; 5, ≤ 5 hydrogen bond donors, and ≤ 10 hydrogen bond acceptors. Prior to uploading, the system pH was adjusted to 7 to reflect physiological conditions and ensure accurate ionization states. The ROF platform then processed the PDP files, generating results that identified derivatives meeting Lipinski’s Rule of Five as drug-like with potential oral bioavailability, while non-compliant compounds required further optimization.</w:t>
      </w:r>
      <w:r w:rsidR="006C07E6" w:rsidRPr="00546BAF">
        <w:rPr>
          <w:rFonts w:ascii="Arial" w:hAnsi="Arial" w:cs="Arial"/>
          <w:sz w:val="20"/>
          <w:szCs w:val="20"/>
        </w:rPr>
        <w:t xml:space="preserve"> (12)</w:t>
      </w:r>
    </w:p>
    <w:p w14:paraId="4ABECB61" w14:textId="77777777" w:rsidR="002E7EE8" w:rsidRPr="00546BAF" w:rsidRDefault="002E7EE8" w:rsidP="002E7EE8">
      <w:pPr>
        <w:jc w:val="both"/>
        <w:rPr>
          <w:rFonts w:ascii="Arial" w:hAnsi="Arial" w:cs="Arial"/>
          <w:b/>
          <w:bCs/>
          <w:sz w:val="20"/>
          <w:szCs w:val="20"/>
        </w:rPr>
      </w:pPr>
      <w:bookmarkStart w:id="8" w:name="_Hlk220428453"/>
      <w:r w:rsidRPr="00546BAF">
        <w:rPr>
          <w:rFonts w:ascii="Arial" w:hAnsi="Arial" w:cs="Arial"/>
          <w:b/>
          <w:bCs/>
          <w:sz w:val="20"/>
          <w:szCs w:val="20"/>
        </w:rPr>
        <w:t>Methodology of</w:t>
      </w:r>
      <w:r w:rsidR="00422B1F" w:rsidRPr="00546BAF">
        <w:rPr>
          <w:rFonts w:ascii="Arial" w:hAnsi="Arial" w:cs="Arial"/>
          <w:b/>
          <w:bCs/>
          <w:sz w:val="20"/>
          <w:szCs w:val="20"/>
        </w:rPr>
        <w:t xml:space="preserve"> </w:t>
      </w:r>
      <w:r w:rsidRPr="00546BAF">
        <w:rPr>
          <w:rFonts w:ascii="Arial" w:hAnsi="Arial" w:cs="Arial"/>
          <w:b/>
          <w:bCs/>
          <w:sz w:val="20"/>
          <w:szCs w:val="20"/>
        </w:rPr>
        <w:t>Mol-inspiration:</w:t>
      </w:r>
    </w:p>
    <w:bookmarkEnd w:id="8"/>
    <w:p w14:paraId="148D13C5" w14:textId="77777777" w:rsidR="002E7EE8" w:rsidRPr="00546BAF" w:rsidRDefault="002E7EE8" w:rsidP="002E7EE8">
      <w:pPr>
        <w:jc w:val="both"/>
        <w:rPr>
          <w:rFonts w:ascii="Arial" w:hAnsi="Arial" w:cs="Arial"/>
          <w:sz w:val="20"/>
          <w:szCs w:val="20"/>
        </w:rPr>
      </w:pPr>
      <w:r w:rsidRPr="00546BAF">
        <w:rPr>
          <w:rFonts w:ascii="Arial" w:hAnsi="Arial" w:cs="Arial"/>
          <w:sz w:val="20"/>
          <w:szCs w:val="20"/>
        </w:rPr>
        <w:t xml:space="preserve">By applying computational methods, the various physicochemical features and pharmacokinetic descriptors were calculated for some selected organic crystalline compounds through the online tool </w:t>
      </w:r>
      <w:proofErr w:type="spellStart"/>
      <w:r w:rsidRPr="00546BAF">
        <w:rPr>
          <w:rFonts w:ascii="Arial" w:hAnsi="Arial" w:cs="Arial"/>
          <w:sz w:val="20"/>
          <w:szCs w:val="20"/>
        </w:rPr>
        <w:t>Molinspiration</w:t>
      </w:r>
      <w:proofErr w:type="spellEnd"/>
      <w:r w:rsidRPr="00546BAF">
        <w:rPr>
          <w:rFonts w:ascii="Arial" w:hAnsi="Arial" w:cs="Arial"/>
          <w:sz w:val="20"/>
          <w:szCs w:val="20"/>
        </w:rPr>
        <w:t xml:space="preserve"> Cheminformatics server. The drug likeness scores were assessed by considering </w:t>
      </w:r>
      <w:proofErr w:type="spellStart"/>
      <w:r w:rsidRPr="00546BAF">
        <w:rPr>
          <w:rFonts w:ascii="Arial" w:hAnsi="Arial" w:cs="Arial"/>
          <w:sz w:val="20"/>
          <w:szCs w:val="20"/>
        </w:rPr>
        <w:lastRenderedPageBreak/>
        <w:t>MiLogP</w:t>
      </w:r>
      <w:proofErr w:type="spellEnd"/>
      <w:r w:rsidRPr="00546BAF">
        <w:rPr>
          <w:rFonts w:ascii="Arial" w:hAnsi="Arial" w:cs="Arial"/>
          <w:sz w:val="20"/>
          <w:szCs w:val="20"/>
        </w:rPr>
        <w:t xml:space="preserve"> (partition coefficient), molecular weight, number of heavy atoms, number of hydrogen donor, number of hydrogen acceptor and number of violation, number of rotatable bonds and volume.</w:t>
      </w:r>
      <w:r w:rsidR="000878AF" w:rsidRPr="00546BAF">
        <w:rPr>
          <w:rFonts w:ascii="Arial" w:hAnsi="Arial" w:cs="Arial"/>
          <w:sz w:val="20"/>
          <w:szCs w:val="20"/>
        </w:rPr>
        <w:t xml:space="preserve"> </w:t>
      </w:r>
      <w:r w:rsidRPr="00546BAF">
        <w:rPr>
          <w:rFonts w:ascii="Arial" w:hAnsi="Arial" w:cs="Arial"/>
          <w:sz w:val="20"/>
          <w:szCs w:val="20"/>
        </w:rPr>
        <w:t>(1</w:t>
      </w:r>
      <w:r w:rsidR="006C07E6" w:rsidRPr="00546BAF">
        <w:rPr>
          <w:rFonts w:ascii="Arial" w:hAnsi="Arial" w:cs="Arial"/>
          <w:sz w:val="20"/>
          <w:szCs w:val="20"/>
        </w:rPr>
        <w:t>3</w:t>
      </w:r>
      <w:r w:rsidRPr="00546BAF">
        <w:rPr>
          <w:rFonts w:ascii="Arial" w:hAnsi="Arial" w:cs="Arial"/>
          <w:sz w:val="20"/>
          <w:szCs w:val="20"/>
        </w:rPr>
        <w:t>)</w:t>
      </w:r>
    </w:p>
    <w:p w14:paraId="033C23A5" w14:textId="77777777" w:rsidR="00047FC2" w:rsidRPr="00546BAF" w:rsidRDefault="002E7EE8" w:rsidP="00002A8D">
      <w:pPr>
        <w:jc w:val="both"/>
        <w:rPr>
          <w:rFonts w:ascii="Arial" w:hAnsi="Arial" w:cs="Arial"/>
          <w:sz w:val="20"/>
          <w:szCs w:val="20"/>
        </w:rPr>
      </w:pPr>
      <w:r w:rsidRPr="00546BAF">
        <w:rPr>
          <w:rFonts w:ascii="Arial" w:hAnsi="Arial" w:cs="Arial"/>
          <w:sz w:val="20"/>
          <w:szCs w:val="20"/>
        </w:rPr>
        <w:t>The</w:t>
      </w:r>
      <w:r w:rsidR="000878AF" w:rsidRPr="00546BAF">
        <w:rPr>
          <w:rFonts w:ascii="Arial" w:hAnsi="Arial" w:cs="Arial"/>
          <w:sz w:val="20"/>
          <w:szCs w:val="20"/>
        </w:rPr>
        <w:t xml:space="preserve"> </w:t>
      </w:r>
      <w:r w:rsidRPr="00546BAF">
        <w:rPr>
          <w:rFonts w:ascii="Arial" w:hAnsi="Arial" w:cs="Arial"/>
          <w:sz w:val="20"/>
          <w:szCs w:val="20"/>
        </w:rPr>
        <w:t xml:space="preserve">activity of </w:t>
      </w:r>
      <w:r w:rsidR="00844CC8" w:rsidRPr="00546BAF">
        <w:rPr>
          <w:rFonts w:ascii="Arial" w:hAnsi="Arial" w:cs="Arial"/>
          <w:sz w:val="20"/>
          <w:szCs w:val="20"/>
        </w:rPr>
        <w:t xml:space="preserve">4-hydroxy-3-methoxycinnamic </w:t>
      </w:r>
      <w:proofErr w:type="spellStart"/>
      <w:r w:rsidR="00844CC8" w:rsidRPr="00546BAF">
        <w:rPr>
          <w:rFonts w:ascii="Arial" w:hAnsi="Arial" w:cs="Arial"/>
          <w:sz w:val="20"/>
          <w:szCs w:val="20"/>
        </w:rPr>
        <w:t>acid</w:t>
      </w:r>
      <w:r w:rsidRPr="00546BAF">
        <w:rPr>
          <w:rFonts w:ascii="Arial" w:hAnsi="Arial" w:cs="Arial"/>
          <w:sz w:val="20"/>
          <w:szCs w:val="20"/>
        </w:rPr>
        <w:t>derivatives</w:t>
      </w:r>
      <w:proofErr w:type="spellEnd"/>
      <w:r w:rsidRPr="00546BAF">
        <w:rPr>
          <w:rFonts w:ascii="Arial" w:hAnsi="Arial" w:cs="Arial"/>
          <w:sz w:val="20"/>
          <w:szCs w:val="20"/>
        </w:rPr>
        <w:t xml:space="preserve"> was assessed using the </w:t>
      </w:r>
      <w:r w:rsidRPr="00546BAF">
        <w:rPr>
          <w:rFonts w:ascii="Arial" w:hAnsi="Arial" w:cs="Arial"/>
          <w:b/>
          <w:bCs/>
          <w:sz w:val="20"/>
          <w:szCs w:val="20"/>
        </w:rPr>
        <w:t>Mol-Inspiration cheminformatics platform</w:t>
      </w:r>
      <w:r w:rsidRPr="00546BAF">
        <w:rPr>
          <w:rFonts w:ascii="Arial" w:hAnsi="Arial" w:cs="Arial"/>
          <w:sz w:val="20"/>
          <w:szCs w:val="20"/>
        </w:rPr>
        <w:t xml:space="preserve">, which predicts drug-likeness and receptor binding potential. Structures were saved </w:t>
      </w:r>
      <w:proofErr w:type="gramStart"/>
      <w:r w:rsidRPr="00546BAF">
        <w:rPr>
          <w:rFonts w:ascii="Arial" w:hAnsi="Arial" w:cs="Arial"/>
          <w:sz w:val="20"/>
          <w:szCs w:val="20"/>
        </w:rPr>
        <w:t xml:space="preserve">in </w:t>
      </w:r>
      <w:r w:rsidRPr="00546BAF">
        <w:rPr>
          <w:rFonts w:ascii="Arial" w:hAnsi="Arial" w:cs="Arial"/>
          <w:b/>
          <w:bCs/>
          <w:sz w:val="20"/>
          <w:szCs w:val="20"/>
        </w:rPr>
        <w:t>.mol</w:t>
      </w:r>
      <w:proofErr w:type="gramEnd"/>
      <w:r w:rsidRPr="00546BAF">
        <w:rPr>
          <w:rFonts w:ascii="Arial" w:hAnsi="Arial" w:cs="Arial"/>
          <w:b/>
          <w:bCs/>
          <w:sz w:val="20"/>
          <w:szCs w:val="20"/>
        </w:rPr>
        <w:t xml:space="preserve"> format</w:t>
      </w:r>
      <w:r w:rsidRPr="00546BAF">
        <w:rPr>
          <w:rFonts w:ascii="Arial" w:hAnsi="Arial" w:cs="Arial"/>
          <w:sz w:val="20"/>
          <w:szCs w:val="20"/>
        </w:rPr>
        <w:t xml:space="preserve">, opened in Notepad, and the coding in </w:t>
      </w:r>
      <w:r w:rsidRPr="00546BAF">
        <w:rPr>
          <w:rFonts w:ascii="Arial" w:hAnsi="Arial" w:cs="Arial"/>
          <w:b/>
          <w:bCs/>
          <w:sz w:val="20"/>
          <w:szCs w:val="20"/>
        </w:rPr>
        <w:t>SMILES notation</w:t>
      </w:r>
      <w:r w:rsidRPr="00546BAF">
        <w:rPr>
          <w:rFonts w:ascii="Arial" w:hAnsi="Arial" w:cs="Arial"/>
          <w:sz w:val="20"/>
          <w:szCs w:val="20"/>
        </w:rPr>
        <w:t xml:space="preserve"> was copied into the platform’s input box. The tool reconstructed the compound for visual verification, after which the </w:t>
      </w:r>
      <w:r w:rsidRPr="00546BAF">
        <w:rPr>
          <w:rFonts w:ascii="Arial" w:hAnsi="Arial" w:cs="Arial"/>
          <w:b/>
          <w:bCs/>
          <w:sz w:val="20"/>
          <w:szCs w:val="20"/>
        </w:rPr>
        <w:t>Submit</w:t>
      </w:r>
      <w:r w:rsidRPr="00546BAF">
        <w:rPr>
          <w:rFonts w:ascii="Arial" w:hAnsi="Arial" w:cs="Arial"/>
          <w:sz w:val="20"/>
          <w:szCs w:val="20"/>
        </w:rPr>
        <w:t xml:space="preserve"> option initiated computational analysis to generate activity </w:t>
      </w:r>
      <w:proofErr w:type="gramStart"/>
      <w:r w:rsidRPr="00546BAF">
        <w:rPr>
          <w:rFonts w:ascii="Arial" w:hAnsi="Arial" w:cs="Arial"/>
          <w:sz w:val="20"/>
          <w:szCs w:val="20"/>
        </w:rPr>
        <w:t>predictions.</w:t>
      </w:r>
      <w:r w:rsidR="006C07E6" w:rsidRPr="00546BAF">
        <w:rPr>
          <w:rFonts w:ascii="Arial" w:hAnsi="Arial" w:cs="Arial"/>
          <w:sz w:val="20"/>
          <w:szCs w:val="20"/>
        </w:rPr>
        <w:t>(</w:t>
      </w:r>
      <w:proofErr w:type="gramEnd"/>
      <w:r w:rsidR="006C07E6" w:rsidRPr="00546BAF">
        <w:rPr>
          <w:rFonts w:ascii="Arial" w:hAnsi="Arial" w:cs="Arial"/>
          <w:sz w:val="20"/>
          <w:szCs w:val="20"/>
        </w:rPr>
        <w:t>14)</w:t>
      </w:r>
    </w:p>
    <w:p w14:paraId="35301176" w14:textId="77777777" w:rsidR="002018FE" w:rsidRPr="00546BAF" w:rsidRDefault="00ED08BD" w:rsidP="00002A8D">
      <w:pPr>
        <w:jc w:val="both"/>
        <w:rPr>
          <w:rFonts w:ascii="Arial" w:hAnsi="Arial" w:cs="Arial"/>
          <w:sz w:val="20"/>
          <w:szCs w:val="20"/>
        </w:rPr>
      </w:pPr>
      <w:bookmarkStart w:id="9" w:name="_Hlk220428614"/>
      <w:r w:rsidRPr="00546BAF">
        <w:rPr>
          <w:rFonts w:ascii="Arial" w:hAnsi="Arial" w:cs="Arial"/>
          <w:b/>
          <w:bCs/>
          <w:sz w:val="20"/>
          <w:szCs w:val="20"/>
        </w:rPr>
        <w:t>In silico ADME properties, Drug Likeness and Toxicity study of designed compounds</w:t>
      </w:r>
      <w:r w:rsidR="002018FE" w:rsidRPr="00546BAF">
        <w:rPr>
          <w:rFonts w:ascii="Arial" w:hAnsi="Arial" w:cs="Arial"/>
          <w:sz w:val="20"/>
          <w:szCs w:val="20"/>
        </w:rPr>
        <w:t>:</w:t>
      </w:r>
    </w:p>
    <w:p w14:paraId="101AAF45" w14:textId="77777777" w:rsidR="00B12C59" w:rsidRPr="00546BAF" w:rsidRDefault="00F00E73" w:rsidP="00002A8D">
      <w:pPr>
        <w:jc w:val="both"/>
        <w:rPr>
          <w:rFonts w:ascii="Arial" w:hAnsi="Arial" w:cs="Arial"/>
          <w:sz w:val="20"/>
          <w:szCs w:val="20"/>
        </w:rPr>
      </w:pPr>
      <w:bookmarkStart w:id="10" w:name="_Hlk220428630"/>
      <w:bookmarkEnd w:id="9"/>
      <w:r w:rsidRPr="00546BAF">
        <w:rPr>
          <w:rFonts w:ascii="Arial" w:hAnsi="Arial" w:cs="Arial"/>
          <w:sz w:val="20"/>
          <w:szCs w:val="20"/>
        </w:rPr>
        <w:t xml:space="preserve">Four phases make up the pharmacokinetic Properties are: absorption, distribution, metabolism, and excretion (ADME). It recently included a phase for the toxicological assessment of new drug candidates, leading to the ADME-T </w:t>
      </w:r>
      <w:proofErr w:type="gramStart"/>
      <w:r w:rsidRPr="00546BAF">
        <w:rPr>
          <w:rFonts w:ascii="Arial" w:hAnsi="Arial" w:cs="Arial"/>
          <w:sz w:val="20"/>
          <w:szCs w:val="20"/>
        </w:rPr>
        <w:t>research</w:t>
      </w:r>
      <w:r w:rsidR="00B12C59" w:rsidRPr="00546BAF">
        <w:rPr>
          <w:rFonts w:ascii="Arial" w:hAnsi="Arial" w:cs="Arial"/>
          <w:sz w:val="20"/>
          <w:szCs w:val="20"/>
        </w:rPr>
        <w:t>.(</w:t>
      </w:r>
      <w:proofErr w:type="gramEnd"/>
      <w:r w:rsidR="00B12C59" w:rsidRPr="00546BAF">
        <w:rPr>
          <w:rFonts w:ascii="Arial" w:hAnsi="Arial" w:cs="Arial"/>
          <w:sz w:val="20"/>
          <w:szCs w:val="20"/>
        </w:rPr>
        <w:t>1</w:t>
      </w:r>
      <w:r w:rsidR="006C07E6" w:rsidRPr="00546BAF">
        <w:rPr>
          <w:rFonts w:ascii="Arial" w:hAnsi="Arial" w:cs="Arial"/>
          <w:sz w:val="20"/>
          <w:szCs w:val="20"/>
        </w:rPr>
        <w:t>5</w:t>
      </w:r>
      <w:r w:rsidR="00B12C59" w:rsidRPr="00546BAF">
        <w:rPr>
          <w:rFonts w:ascii="Arial" w:hAnsi="Arial" w:cs="Arial"/>
          <w:sz w:val="20"/>
          <w:szCs w:val="20"/>
        </w:rPr>
        <w:t xml:space="preserve">) </w:t>
      </w:r>
    </w:p>
    <w:p w14:paraId="6AC2948C" w14:textId="77777777" w:rsidR="00002A8D" w:rsidRPr="00546BAF" w:rsidRDefault="00487E08" w:rsidP="005B0166">
      <w:pPr>
        <w:jc w:val="both"/>
        <w:rPr>
          <w:rFonts w:ascii="Arial" w:hAnsi="Arial" w:cs="Arial"/>
          <w:sz w:val="20"/>
          <w:szCs w:val="20"/>
        </w:rPr>
      </w:pPr>
      <w:bookmarkStart w:id="11" w:name="_Hlk220428647"/>
      <w:bookmarkEnd w:id="10"/>
      <w:r w:rsidRPr="00546BAF">
        <w:rPr>
          <w:rFonts w:ascii="Arial" w:hAnsi="Arial" w:cs="Arial"/>
          <w:sz w:val="20"/>
          <w:szCs w:val="20"/>
        </w:rPr>
        <w:t xml:space="preserve">ADMET analysis was performed using reliable online platforms such </w:t>
      </w:r>
      <w:proofErr w:type="gramStart"/>
      <w:r w:rsidRPr="00546BAF">
        <w:rPr>
          <w:rFonts w:ascii="Arial" w:hAnsi="Arial" w:cs="Arial"/>
          <w:sz w:val="20"/>
          <w:szCs w:val="20"/>
        </w:rPr>
        <w:t xml:space="preserve">as  </w:t>
      </w:r>
      <w:r w:rsidR="003874A1" w:rsidRPr="00546BAF">
        <w:rPr>
          <w:rFonts w:ascii="Arial" w:hAnsi="Arial" w:cs="Arial"/>
          <w:sz w:val="20"/>
          <w:szCs w:val="20"/>
        </w:rPr>
        <w:t>Pre</w:t>
      </w:r>
      <w:proofErr w:type="gramEnd"/>
      <w:r w:rsidR="003874A1" w:rsidRPr="00546BAF">
        <w:rPr>
          <w:rFonts w:ascii="Arial" w:hAnsi="Arial" w:cs="Arial"/>
          <w:sz w:val="20"/>
          <w:szCs w:val="20"/>
        </w:rPr>
        <w:t xml:space="preserve"> ADMET</w:t>
      </w:r>
      <w:r w:rsidR="00EF0418" w:rsidRPr="00546BAF">
        <w:rPr>
          <w:rFonts w:ascii="Arial" w:hAnsi="Arial" w:cs="Arial"/>
          <w:sz w:val="20"/>
          <w:szCs w:val="20"/>
        </w:rPr>
        <w:t xml:space="preserve"> (</w:t>
      </w:r>
      <w:r w:rsidRPr="00546BAF">
        <w:rPr>
          <w:rFonts w:ascii="Arial" w:hAnsi="Arial" w:cs="Arial"/>
          <w:sz w:val="20"/>
          <w:szCs w:val="20"/>
        </w:rPr>
        <w:t>1</w:t>
      </w:r>
      <w:r w:rsidR="006C07E6" w:rsidRPr="00546BAF">
        <w:rPr>
          <w:rFonts w:ascii="Arial" w:hAnsi="Arial" w:cs="Arial"/>
          <w:sz w:val="20"/>
          <w:szCs w:val="20"/>
        </w:rPr>
        <w:t>6</w:t>
      </w:r>
      <w:r w:rsidR="00EF0418" w:rsidRPr="00546BAF">
        <w:rPr>
          <w:rFonts w:ascii="Arial" w:hAnsi="Arial" w:cs="Arial"/>
          <w:sz w:val="20"/>
          <w:szCs w:val="20"/>
        </w:rPr>
        <w:t>).</w:t>
      </w:r>
      <w:bookmarkEnd w:id="11"/>
      <w:r w:rsidRPr="00546BAF">
        <w:rPr>
          <w:rFonts w:ascii="Arial" w:hAnsi="Arial" w:cs="Arial"/>
          <w:sz w:val="20"/>
          <w:szCs w:val="20"/>
        </w:rPr>
        <w:t>These tools provide comprehensive </w:t>
      </w:r>
      <w:r w:rsidRPr="00546BAF">
        <w:rPr>
          <w:rFonts w:ascii="Arial" w:hAnsi="Arial" w:cs="Arial"/>
          <w:i/>
          <w:iCs/>
          <w:sz w:val="20"/>
          <w:szCs w:val="20"/>
        </w:rPr>
        <w:t>in silico</w:t>
      </w:r>
      <w:r w:rsidRPr="00546BAF">
        <w:rPr>
          <w:rFonts w:ascii="Arial" w:hAnsi="Arial" w:cs="Arial"/>
          <w:sz w:val="20"/>
          <w:szCs w:val="20"/>
        </w:rPr>
        <w:t> predictions of key pharmacokinetic parameters, including oral bioavailability, gastrointestinal absorption, blood–brain barrier permeability, and potential metabolic pathways. Their application enables early screening of drug-like properties, thereby streamlining the drug discovery process and facilitating the identification of compounds with favo</w:t>
      </w:r>
      <w:r w:rsidR="00D41B3A" w:rsidRPr="00546BAF">
        <w:rPr>
          <w:rFonts w:ascii="Arial" w:hAnsi="Arial" w:cs="Arial"/>
          <w:sz w:val="20"/>
          <w:szCs w:val="20"/>
        </w:rPr>
        <w:t>u</w:t>
      </w:r>
      <w:r w:rsidRPr="00546BAF">
        <w:rPr>
          <w:rFonts w:ascii="Arial" w:hAnsi="Arial" w:cs="Arial"/>
          <w:sz w:val="20"/>
          <w:szCs w:val="20"/>
        </w:rPr>
        <w:t xml:space="preserve">rable pharmacokinetic </w:t>
      </w:r>
      <w:proofErr w:type="gramStart"/>
      <w:r w:rsidRPr="00546BAF">
        <w:rPr>
          <w:rFonts w:ascii="Arial" w:hAnsi="Arial" w:cs="Arial"/>
          <w:sz w:val="20"/>
          <w:szCs w:val="20"/>
        </w:rPr>
        <w:t>profiles.</w:t>
      </w:r>
      <w:r w:rsidR="00B666C0" w:rsidRPr="00546BAF">
        <w:rPr>
          <w:rFonts w:ascii="Arial" w:hAnsi="Arial" w:cs="Arial"/>
          <w:sz w:val="20"/>
          <w:szCs w:val="20"/>
        </w:rPr>
        <w:t>(</w:t>
      </w:r>
      <w:proofErr w:type="gramEnd"/>
      <w:r w:rsidR="00407F3F" w:rsidRPr="00546BAF">
        <w:rPr>
          <w:rFonts w:ascii="Arial" w:hAnsi="Arial" w:cs="Arial"/>
          <w:sz w:val="20"/>
          <w:szCs w:val="20"/>
        </w:rPr>
        <w:t>1</w:t>
      </w:r>
      <w:r w:rsidR="006C07E6" w:rsidRPr="00546BAF">
        <w:rPr>
          <w:rFonts w:ascii="Arial" w:hAnsi="Arial" w:cs="Arial"/>
          <w:sz w:val="20"/>
          <w:szCs w:val="20"/>
        </w:rPr>
        <w:t>7</w:t>
      </w:r>
      <w:r w:rsidR="00407F3F" w:rsidRPr="00546BAF">
        <w:rPr>
          <w:rFonts w:ascii="Arial" w:hAnsi="Arial" w:cs="Arial"/>
          <w:sz w:val="20"/>
          <w:szCs w:val="20"/>
        </w:rPr>
        <w:t>)</w:t>
      </w:r>
    </w:p>
    <w:p w14:paraId="45C9BEB0" w14:textId="77777777" w:rsidR="00956ACA" w:rsidRPr="00546BAF" w:rsidRDefault="000A6B37" w:rsidP="00956ACA">
      <w:pPr>
        <w:jc w:val="both"/>
        <w:rPr>
          <w:rFonts w:ascii="Arial" w:hAnsi="Arial" w:cs="Arial"/>
          <w:sz w:val="20"/>
          <w:szCs w:val="20"/>
        </w:rPr>
      </w:pPr>
      <w:r w:rsidRPr="00546BAF">
        <w:rPr>
          <w:rFonts w:ascii="Arial" w:hAnsi="Arial" w:cs="Arial"/>
          <w:sz w:val="20"/>
          <w:szCs w:val="20"/>
        </w:rPr>
        <w:t xml:space="preserve">The methodology for ADMET analysis of </w:t>
      </w:r>
      <w:r w:rsidR="00844CC8" w:rsidRPr="00546BAF">
        <w:rPr>
          <w:rFonts w:ascii="Arial" w:hAnsi="Arial" w:cs="Arial"/>
          <w:sz w:val="20"/>
          <w:szCs w:val="20"/>
        </w:rPr>
        <w:t>4-hydroxy-3-methoxycinnamic acid</w:t>
      </w:r>
      <w:r w:rsidR="000878AF" w:rsidRPr="00546BAF">
        <w:rPr>
          <w:rFonts w:ascii="Arial" w:hAnsi="Arial" w:cs="Arial"/>
          <w:sz w:val="20"/>
          <w:szCs w:val="20"/>
        </w:rPr>
        <w:t xml:space="preserve"> </w:t>
      </w:r>
      <w:r w:rsidRPr="00546BAF">
        <w:rPr>
          <w:rFonts w:ascii="Arial" w:hAnsi="Arial" w:cs="Arial"/>
          <w:sz w:val="20"/>
          <w:szCs w:val="20"/>
        </w:rPr>
        <w:t xml:space="preserve">derivatives using the </w:t>
      </w:r>
      <w:proofErr w:type="spellStart"/>
      <w:r w:rsidRPr="00546BAF">
        <w:rPr>
          <w:rFonts w:ascii="Arial" w:hAnsi="Arial" w:cs="Arial"/>
          <w:sz w:val="20"/>
          <w:szCs w:val="20"/>
        </w:rPr>
        <w:t>preADMET</w:t>
      </w:r>
      <w:proofErr w:type="spellEnd"/>
      <w:r w:rsidRPr="00546BAF">
        <w:rPr>
          <w:rFonts w:ascii="Arial" w:hAnsi="Arial" w:cs="Arial"/>
          <w:sz w:val="20"/>
          <w:szCs w:val="20"/>
        </w:rPr>
        <w:t xml:space="preserve"> tool involves a systematic workflow to ensure accurate prediction of pharmacokinetic and toxicity parameters. </w:t>
      </w:r>
      <w:r w:rsidR="00C219A6" w:rsidRPr="00546BAF">
        <w:rPr>
          <w:rFonts w:ascii="Arial" w:hAnsi="Arial" w:cs="Arial"/>
          <w:sz w:val="20"/>
          <w:szCs w:val="20"/>
        </w:rPr>
        <w:t>4-hydroxy-3-methoxycinnamic acid</w:t>
      </w:r>
      <w:r w:rsidR="000878AF" w:rsidRPr="00546BAF">
        <w:rPr>
          <w:rFonts w:ascii="Arial" w:hAnsi="Arial" w:cs="Arial"/>
          <w:sz w:val="20"/>
          <w:szCs w:val="20"/>
        </w:rPr>
        <w:t xml:space="preserve"> </w:t>
      </w:r>
      <w:r w:rsidR="00956ACA" w:rsidRPr="00546BAF">
        <w:rPr>
          <w:rFonts w:ascii="Arial" w:hAnsi="Arial" w:cs="Arial"/>
          <w:sz w:val="20"/>
          <w:szCs w:val="20"/>
        </w:rPr>
        <w:t xml:space="preserve">derivatives were prepared </w:t>
      </w:r>
      <w:proofErr w:type="gramStart"/>
      <w:r w:rsidR="00956ACA" w:rsidRPr="00546BAF">
        <w:rPr>
          <w:rFonts w:ascii="Arial" w:hAnsi="Arial" w:cs="Arial"/>
          <w:sz w:val="20"/>
          <w:szCs w:val="20"/>
        </w:rPr>
        <w:t xml:space="preserve">in </w:t>
      </w:r>
      <w:r w:rsidR="00956ACA" w:rsidRPr="00546BAF">
        <w:rPr>
          <w:rFonts w:ascii="Arial" w:hAnsi="Arial" w:cs="Arial"/>
          <w:b/>
          <w:bCs/>
          <w:sz w:val="20"/>
          <w:szCs w:val="20"/>
        </w:rPr>
        <w:t>.mol</w:t>
      </w:r>
      <w:proofErr w:type="gramEnd"/>
      <w:r w:rsidR="00956ACA" w:rsidRPr="00546BAF">
        <w:rPr>
          <w:rFonts w:ascii="Arial" w:hAnsi="Arial" w:cs="Arial"/>
          <w:b/>
          <w:bCs/>
          <w:sz w:val="20"/>
          <w:szCs w:val="20"/>
        </w:rPr>
        <w:t xml:space="preserve"> format</w:t>
      </w:r>
      <w:r w:rsidR="00956ACA" w:rsidRPr="00546BAF">
        <w:rPr>
          <w:rFonts w:ascii="Arial" w:hAnsi="Arial" w:cs="Arial"/>
          <w:sz w:val="20"/>
          <w:szCs w:val="20"/>
        </w:rPr>
        <w:t xml:space="preserve"> using molecular </w:t>
      </w:r>
      <w:proofErr w:type="spellStart"/>
      <w:r w:rsidR="00956ACA" w:rsidRPr="00546BAF">
        <w:rPr>
          <w:rFonts w:ascii="Arial" w:hAnsi="Arial" w:cs="Arial"/>
          <w:sz w:val="20"/>
          <w:szCs w:val="20"/>
        </w:rPr>
        <w:t>modeling</w:t>
      </w:r>
      <w:proofErr w:type="spellEnd"/>
      <w:r w:rsidR="00956ACA" w:rsidRPr="00546BAF">
        <w:rPr>
          <w:rFonts w:ascii="Arial" w:hAnsi="Arial" w:cs="Arial"/>
          <w:sz w:val="20"/>
          <w:szCs w:val="20"/>
        </w:rPr>
        <w:t xml:space="preserve"> software, then opened in a text editor to access structural codes. These codes were pasted into the </w:t>
      </w:r>
      <w:r w:rsidR="00956ACA" w:rsidRPr="00546BAF">
        <w:rPr>
          <w:rFonts w:ascii="Arial" w:hAnsi="Arial" w:cs="Arial"/>
          <w:b/>
          <w:bCs/>
          <w:sz w:val="20"/>
          <w:szCs w:val="20"/>
        </w:rPr>
        <w:t>pre ADMET web interface</w:t>
      </w:r>
      <w:r w:rsidR="00956ACA" w:rsidRPr="00546BAF">
        <w:rPr>
          <w:rFonts w:ascii="Arial" w:hAnsi="Arial" w:cs="Arial"/>
          <w:sz w:val="20"/>
          <w:szCs w:val="20"/>
        </w:rPr>
        <w:t xml:space="preserve">, which reconstructed the compound for verification. After submission, the tool generated outputs covering key </w:t>
      </w:r>
      <w:r w:rsidR="00956ACA" w:rsidRPr="00546BAF">
        <w:rPr>
          <w:rFonts w:ascii="Arial" w:hAnsi="Arial" w:cs="Arial"/>
          <w:b/>
          <w:bCs/>
          <w:sz w:val="20"/>
          <w:szCs w:val="20"/>
        </w:rPr>
        <w:t>ADMET parameters</w:t>
      </w:r>
      <w:r w:rsidR="00956ACA" w:rsidRPr="00546BAF">
        <w:rPr>
          <w:rFonts w:ascii="Arial" w:hAnsi="Arial" w:cs="Arial"/>
          <w:sz w:val="20"/>
          <w:szCs w:val="20"/>
        </w:rPr>
        <w:t>: absorption (human intestinal uptake), distribution (blood–brain barrier penetration), metabolism (cytochrome P450 interactions), excretion tendencies, and toxicity (mutagenicity, carcinogenicity).</w:t>
      </w:r>
      <w:r w:rsidR="006C07E6" w:rsidRPr="00546BAF">
        <w:rPr>
          <w:rFonts w:ascii="Arial" w:hAnsi="Arial" w:cs="Arial"/>
          <w:sz w:val="20"/>
          <w:szCs w:val="20"/>
        </w:rPr>
        <w:t xml:space="preserve"> (18)</w:t>
      </w:r>
    </w:p>
    <w:p w14:paraId="67A53B21" w14:textId="77777777" w:rsidR="003037D6" w:rsidRPr="00546BAF" w:rsidRDefault="00AC4405" w:rsidP="00002A8D">
      <w:pPr>
        <w:jc w:val="both"/>
        <w:rPr>
          <w:rFonts w:ascii="Arial" w:hAnsi="Arial" w:cs="Arial"/>
          <w:sz w:val="20"/>
          <w:szCs w:val="20"/>
        </w:rPr>
      </w:pPr>
      <w:bookmarkStart w:id="12" w:name="_Hlk220428885"/>
      <w:r w:rsidRPr="00546BAF">
        <w:rPr>
          <w:rFonts w:ascii="Arial" w:hAnsi="Arial" w:cs="Arial"/>
          <w:b/>
          <w:bCs/>
          <w:sz w:val="20"/>
          <w:szCs w:val="20"/>
        </w:rPr>
        <w:t>Molecular docking</w:t>
      </w:r>
      <w:r w:rsidR="003756AB" w:rsidRPr="00546BAF">
        <w:rPr>
          <w:rFonts w:ascii="Arial" w:hAnsi="Arial" w:cs="Arial"/>
          <w:b/>
          <w:bCs/>
          <w:sz w:val="20"/>
          <w:szCs w:val="20"/>
        </w:rPr>
        <w:t>:</w:t>
      </w:r>
      <w:bookmarkEnd w:id="12"/>
      <w:r w:rsidR="000878AF" w:rsidRPr="00546BAF">
        <w:rPr>
          <w:rFonts w:ascii="Arial" w:hAnsi="Arial" w:cs="Arial"/>
          <w:b/>
          <w:bCs/>
          <w:sz w:val="20"/>
          <w:szCs w:val="20"/>
        </w:rPr>
        <w:t xml:space="preserve"> </w:t>
      </w:r>
      <w:r w:rsidR="00922C0B" w:rsidRPr="00546BAF">
        <w:rPr>
          <w:rFonts w:ascii="Arial" w:hAnsi="Arial" w:cs="Arial"/>
          <w:color w:val="222222"/>
          <w:sz w:val="20"/>
          <w:szCs w:val="20"/>
          <w:shd w:val="clear" w:color="auto" w:fill="FFFFFF"/>
        </w:rPr>
        <w:t xml:space="preserve">Molecular </w:t>
      </w:r>
      <w:r w:rsidR="00DC6B29" w:rsidRPr="00546BAF">
        <w:rPr>
          <w:rFonts w:ascii="Arial" w:hAnsi="Arial" w:cs="Arial"/>
          <w:sz w:val="20"/>
          <w:szCs w:val="20"/>
        </w:rPr>
        <w:t xml:space="preserve">Docking be carried out using the program </w:t>
      </w:r>
      <w:proofErr w:type="spellStart"/>
      <w:r w:rsidR="00DC6B29" w:rsidRPr="00546BAF">
        <w:rPr>
          <w:rFonts w:ascii="Arial" w:hAnsi="Arial" w:cs="Arial"/>
          <w:sz w:val="20"/>
          <w:szCs w:val="20"/>
        </w:rPr>
        <w:t>Molegro</w:t>
      </w:r>
      <w:proofErr w:type="spellEnd"/>
      <w:r w:rsidR="00DC6B29" w:rsidRPr="00546BAF">
        <w:rPr>
          <w:rFonts w:ascii="Arial" w:hAnsi="Arial" w:cs="Arial"/>
          <w:sz w:val="20"/>
          <w:szCs w:val="20"/>
        </w:rPr>
        <w:t xml:space="preserve"> Virtual Docker</w:t>
      </w:r>
      <w:r w:rsidR="008C7EC6" w:rsidRPr="00546BAF">
        <w:rPr>
          <w:rFonts w:ascii="Arial" w:hAnsi="Arial" w:cs="Arial"/>
          <w:sz w:val="20"/>
          <w:szCs w:val="20"/>
        </w:rPr>
        <w:t xml:space="preserve"> 6.0</w:t>
      </w:r>
      <w:r w:rsidR="003756AB" w:rsidRPr="00546BAF">
        <w:rPr>
          <w:rFonts w:ascii="Arial" w:hAnsi="Arial" w:cs="Arial"/>
          <w:sz w:val="20"/>
          <w:szCs w:val="20"/>
        </w:rPr>
        <w:t xml:space="preserve">Generally, the Docking process involve retrieval of ligand and </w:t>
      </w:r>
      <w:r w:rsidR="00A42A7C" w:rsidRPr="00546BAF">
        <w:rPr>
          <w:rFonts w:ascii="Arial" w:hAnsi="Arial" w:cs="Arial"/>
          <w:sz w:val="20"/>
          <w:szCs w:val="20"/>
        </w:rPr>
        <w:t xml:space="preserve">target protein, protein preparation, </w:t>
      </w:r>
      <w:r w:rsidR="00C9004B" w:rsidRPr="00546BAF">
        <w:rPr>
          <w:rFonts w:ascii="Arial" w:hAnsi="Arial" w:cs="Arial"/>
          <w:sz w:val="20"/>
          <w:szCs w:val="20"/>
        </w:rPr>
        <w:t xml:space="preserve">lead/hit identification, </w:t>
      </w:r>
      <w:r w:rsidR="00751EC9" w:rsidRPr="00546BAF">
        <w:rPr>
          <w:rFonts w:ascii="Arial" w:hAnsi="Arial" w:cs="Arial"/>
          <w:sz w:val="20"/>
          <w:szCs w:val="20"/>
        </w:rPr>
        <w:t xml:space="preserve">active site prediction, protein-ligand </w:t>
      </w:r>
      <w:r w:rsidR="00D658B3" w:rsidRPr="00546BAF">
        <w:rPr>
          <w:rFonts w:ascii="Arial" w:hAnsi="Arial" w:cs="Arial"/>
          <w:sz w:val="20"/>
          <w:szCs w:val="20"/>
        </w:rPr>
        <w:t>docking, post docking analysis</w:t>
      </w:r>
      <w:r w:rsidR="00EF5560" w:rsidRPr="00546BAF">
        <w:rPr>
          <w:rFonts w:ascii="Arial" w:hAnsi="Arial" w:cs="Arial"/>
          <w:sz w:val="20"/>
          <w:szCs w:val="20"/>
        </w:rPr>
        <w:t xml:space="preserve">. </w:t>
      </w:r>
    </w:p>
    <w:p w14:paraId="48DA4EFC" w14:textId="77777777" w:rsidR="0008123B" w:rsidRPr="00546BAF" w:rsidRDefault="0008123B" w:rsidP="0008123B">
      <w:pPr>
        <w:jc w:val="both"/>
        <w:rPr>
          <w:rFonts w:ascii="Arial" w:hAnsi="Arial" w:cs="Arial"/>
          <w:sz w:val="20"/>
          <w:szCs w:val="20"/>
        </w:rPr>
      </w:pPr>
      <w:r w:rsidRPr="00546BAF">
        <w:rPr>
          <w:rFonts w:ascii="Arial" w:hAnsi="Arial" w:cs="Arial"/>
          <w:b/>
          <w:bCs/>
          <w:sz w:val="20"/>
          <w:szCs w:val="20"/>
        </w:rPr>
        <w:t>Ligand Preparation</w:t>
      </w:r>
      <w:r w:rsidR="00AA404F" w:rsidRPr="00546BAF">
        <w:rPr>
          <w:rFonts w:ascii="Arial" w:hAnsi="Arial" w:cs="Arial"/>
          <w:sz w:val="20"/>
          <w:szCs w:val="20"/>
        </w:rPr>
        <w:t xml:space="preserve">: </w:t>
      </w:r>
      <w:r w:rsidRPr="00546BAF">
        <w:rPr>
          <w:rFonts w:ascii="Arial" w:hAnsi="Arial" w:cs="Arial"/>
          <w:sz w:val="20"/>
          <w:szCs w:val="20"/>
        </w:rPr>
        <w:t xml:space="preserve"> It is the initial step for molecular</w:t>
      </w:r>
      <w:r w:rsidR="000878AF" w:rsidRPr="00546BAF">
        <w:rPr>
          <w:rFonts w:ascii="Arial" w:hAnsi="Arial" w:cs="Arial"/>
          <w:sz w:val="20"/>
          <w:szCs w:val="20"/>
        </w:rPr>
        <w:t xml:space="preserve"> </w:t>
      </w:r>
      <w:r w:rsidRPr="00546BAF">
        <w:rPr>
          <w:rFonts w:ascii="Arial" w:hAnsi="Arial" w:cs="Arial"/>
          <w:sz w:val="20"/>
          <w:szCs w:val="20"/>
        </w:rPr>
        <w:t>docking studies</w:t>
      </w:r>
      <w:r w:rsidRPr="00546BAF">
        <w:rPr>
          <w:rFonts w:ascii="Arial" w:hAnsi="Arial" w:cs="Arial"/>
          <w:b/>
          <w:bCs/>
          <w:sz w:val="20"/>
          <w:szCs w:val="20"/>
        </w:rPr>
        <w:t>.</w:t>
      </w:r>
      <w:r w:rsidR="000878AF" w:rsidRPr="00546BAF">
        <w:rPr>
          <w:rFonts w:ascii="Arial" w:hAnsi="Arial" w:cs="Arial"/>
          <w:b/>
          <w:bCs/>
          <w:sz w:val="20"/>
          <w:szCs w:val="20"/>
        </w:rPr>
        <w:t xml:space="preserve"> </w:t>
      </w:r>
      <w:r w:rsidR="00864E21" w:rsidRPr="00546BAF">
        <w:rPr>
          <w:rFonts w:ascii="Arial" w:hAnsi="Arial" w:cs="Arial"/>
          <w:sz w:val="20"/>
          <w:szCs w:val="20"/>
        </w:rPr>
        <w:t>The compound</w:t>
      </w:r>
      <w:r w:rsidR="00B960C6" w:rsidRPr="00546BAF">
        <w:rPr>
          <w:rFonts w:ascii="Arial" w:hAnsi="Arial" w:cs="Arial"/>
          <w:sz w:val="20"/>
          <w:szCs w:val="20"/>
        </w:rPr>
        <w:t>s</w:t>
      </w:r>
      <w:r w:rsidR="00864E21" w:rsidRPr="00546BAF">
        <w:rPr>
          <w:rFonts w:ascii="Arial" w:hAnsi="Arial" w:cs="Arial"/>
          <w:sz w:val="20"/>
          <w:szCs w:val="20"/>
        </w:rPr>
        <w:t xml:space="preserve"> were u</w:t>
      </w:r>
      <w:r w:rsidR="00FB7811" w:rsidRPr="00546BAF">
        <w:rPr>
          <w:rFonts w:ascii="Arial" w:hAnsi="Arial" w:cs="Arial"/>
          <w:sz w:val="20"/>
          <w:szCs w:val="20"/>
        </w:rPr>
        <w:t xml:space="preserve">sed as ligands are the various </w:t>
      </w:r>
      <w:r w:rsidR="00C27307" w:rsidRPr="00546BAF">
        <w:rPr>
          <w:rFonts w:ascii="Arial" w:hAnsi="Arial" w:cs="Arial"/>
          <w:sz w:val="20"/>
          <w:szCs w:val="20"/>
        </w:rPr>
        <w:t xml:space="preserve">derivatives of </w:t>
      </w:r>
      <w:r w:rsidR="00C219A6" w:rsidRPr="00546BAF">
        <w:rPr>
          <w:rFonts w:ascii="Arial" w:hAnsi="Arial" w:cs="Arial"/>
          <w:sz w:val="20"/>
          <w:szCs w:val="20"/>
        </w:rPr>
        <w:t>4-hydroxy-3-methoxycinnamic acid</w:t>
      </w:r>
      <w:r w:rsidR="00C27307" w:rsidRPr="00546BAF">
        <w:rPr>
          <w:rFonts w:ascii="Arial" w:hAnsi="Arial" w:cs="Arial"/>
          <w:sz w:val="20"/>
          <w:szCs w:val="20"/>
        </w:rPr>
        <w:t>.</w:t>
      </w:r>
      <w:r w:rsidR="00CD2298" w:rsidRPr="00546BAF">
        <w:rPr>
          <w:rFonts w:ascii="Arial" w:hAnsi="Arial" w:cs="Arial"/>
          <w:color w:val="000000"/>
          <w:sz w:val="20"/>
          <w:szCs w:val="20"/>
          <w:shd w:val="clear" w:color="auto" w:fill="FFFFFF"/>
        </w:rPr>
        <w:t xml:space="preserve"> These compound</w:t>
      </w:r>
      <w:r w:rsidR="00B960C6" w:rsidRPr="00546BAF">
        <w:rPr>
          <w:rFonts w:ascii="Arial" w:hAnsi="Arial" w:cs="Arial"/>
          <w:color w:val="000000"/>
          <w:sz w:val="20"/>
          <w:szCs w:val="20"/>
          <w:shd w:val="clear" w:color="auto" w:fill="FFFFFF"/>
        </w:rPr>
        <w:t>s</w:t>
      </w:r>
      <w:r w:rsidR="00CD2298" w:rsidRPr="00546BAF">
        <w:rPr>
          <w:rFonts w:ascii="Arial" w:hAnsi="Arial" w:cs="Arial"/>
          <w:color w:val="000000"/>
          <w:sz w:val="20"/>
          <w:szCs w:val="20"/>
          <w:shd w:val="clear" w:color="auto" w:fill="FFFFFF"/>
        </w:rPr>
        <w:t xml:space="preserve"> feature a variety of functional groups with different polarities, including amino, hydroxyl, carboxyl, acetoxy and halogen groups. </w:t>
      </w:r>
      <w:r w:rsidR="00B960C6" w:rsidRPr="00546BAF">
        <w:rPr>
          <w:rFonts w:ascii="Arial" w:hAnsi="Arial" w:cs="Arial"/>
          <w:color w:val="000000"/>
          <w:sz w:val="20"/>
          <w:szCs w:val="20"/>
          <w:shd w:val="clear" w:color="auto" w:fill="FFFFFF"/>
        </w:rPr>
        <w:t xml:space="preserve">The ligands were drawn using </w:t>
      </w:r>
      <w:proofErr w:type="spellStart"/>
      <w:r w:rsidR="00B960C6" w:rsidRPr="00546BAF">
        <w:rPr>
          <w:rFonts w:ascii="Arial" w:hAnsi="Arial" w:cs="Arial"/>
          <w:color w:val="000000"/>
          <w:sz w:val="20"/>
          <w:szCs w:val="20"/>
          <w:shd w:val="clear" w:color="auto" w:fill="FFFFFF"/>
        </w:rPr>
        <w:t>ChemDraw</w:t>
      </w:r>
      <w:proofErr w:type="spellEnd"/>
      <w:r w:rsidR="00B960C6" w:rsidRPr="00546BAF">
        <w:rPr>
          <w:rFonts w:ascii="Arial" w:hAnsi="Arial" w:cs="Arial"/>
          <w:color w:val="000000"/>
          <w:sz w:val="20"/>
          <w:szCs w:val="20"/>
          <w:shd w:val="clear" w:color="auto" w:fill="FFFFFF"/>
        </w:rPr>
        <w:t xml:space="preserve"> Ultra 2D 8.0 software, and Chem 3D Ultra software.</w:t>
      </w:r>
    </w:p>
    <w:p w14:paraId="7A14E5E5" w14:textId="77777777" w:rsidR="00802B57" w:rsidRPr="00546BAF" w:rsidRDefault="00EE04A9" w:rsidP="00002A8D">
      <w:pPr>
        <w:jc w:val="both"/>
        <w:rPr>
          <w:rFonts w:ascii="Arial" w:hAnsi="Arial" w:cs="Arial"/>
          <w:sz w:val="20"/>
          <w:szCs w:val="20"/>
        </w:rPr>
      </w:pPr>
      <w:bookmarkStart w:id="13" w:name="_Hlk220429107"/>
      <w:r w:rsidRPr="00546BAF">
        <w:rPr>
          <w:rFonts w:ascii="Arial" w:hAnsi="Arial" w:cs="Arial"/>
          <w:b/>
          <w:bCs/>
          <w:sz w:val="20"/>
          <w:szCs w:val="20"/>
        </w:rPr>
        <w:t>Protein preparation:</w:t>
      </w:r>
      <w:bookmarkEnd w:id="13"/>
      <w:r w:rsidR="00422B1F" w:rsidRPr="00546BAF">
        <w:rPr>
          <w:rFonts w:ascii="Arial" w:hAnsi="Arial" w:cs="Arial"/>
          <w:b/>
          <w:bCs/>
          <w:sz w:val="20"/>
          <w:szCs w:val="20"/>
        </w:rPr>
        <w:t xml:space="preserve"> </w:t>
      </w:r>
      <w:r w:rsidR="00060B0B" w:rsidRPr="00546BAF">
        <w:rPr>
          <w:rFonts w:ascii="Arial" w:hAnsi="Arial" w:cs="Arial"/>
          <w:sz w:val="20"/>
          <w:szCs w:val="20"/>
        </w:rPr>
        <w:t xml:space="preserve">The receptor targets for the anti-lung cancer study used </w:t>
      </w:r>
      <w:proofErr w:type="spellStart"/>
      <w:r w:rsidR="00060B0B" w:rsidRPr="00546BAF">
        <w:rPr>
          <w:rFonts w:ascii="Arial" w:hAnsi="Arial" w:cs="Arial"/>
          <w:sz w:val="20"/>
          <w:szCs w:val="20"/>
        </w:rPr>
        <w:t>are</w:t>
      </w:r>
      <w:r w:rsidR="00CF5998" w:rsidRPr="00546BAF">
        <w:rPr>
          <w:rFonts w:ascii="Arial" w:hAnsi="Arial" w:cs="Arial"/>
          <w:sz w:val="20"/>
          <w:szCs w:val="20"/>
        </w:rPr>
        <w:t>GMPPNP</w:t>
      </w:r>
      <w:proofErr w:type="spellEnd"/>
      <w:r w:rsidR="00CF5998" w:rsidRPr="00546BAF">
        <w:rPr>
          <w:rFonts w:ascii="Arial" w:hAnsi="Arial" w:cs="Arial"/>
          <w:sz w:val="20"/>
          <w:szCs w:val="20"/>
        </w:rPr>
        <w:t>-bound G12R mutant of</w:t>
      </w:r>
      <w:r w:rsidR="00060B0B" w:rsidRPr="00546BAF">
        <w:rPr>
          <w:rFonts w:ascii="Arial" w:hAnsi="Arial" w:cs="Arial"/>
          <w:sz w:val="20"/>
          <w:szCs w:val="20"/>
        </w:rPr>
        <w:t xml:space="preserve"> human </w:t>
      </w:r>
      <w:proofErr w:type="gramStart"/>
      <w:r w:rsidR="00060B0B" w:rsidRPr="00546BAF">
        <w:rPr>
          <w:rFonts w:ascii="Arial" w:hAnsi="Arial" w:cs="Arial"/>
          <w:sz w:val="20"/>
          <w:szCs w:val="20"/>
        </w:rPr>
        <w:t>KRAS</w:t>
      </w:r>
      <w:r w:rsidR="00060B0B" w:rsidRPr="00546BAF">
        <w:rPr>
          <w:rFonts w:ascii="Arial" w:hAnsi="Arial" w:cs="Arial"/>
          <w:color w:val="000000"/>
          <w:sz w:val="20"/>
          <w:szCs w:val="20"/>
          <w:shd w:val="clear" w:color="auto" w:fill="FFFFFF"/>
        </w:rPr>
        <w:t>(</w:t>
      </w:r>
      <w:proofErr w:type="gramEnd"/>
      <w:r w:rsidR="00060B0B" w:rsidRPr="00546BAF">
        <w:rPr>
          <w:rFonts w:ascii="Arial" w:hAnsi="Arial" w:cs="Arial"/>
          <w:sz w:val="20"/>
          <w:szCs w:val="20"/>
        </w:rPr>
        <w:t xml:space="preserve">PDB ID: </w:t>
      </w:r>
      <w:commentRangeStart w:id="14"/>
      <w:r w:rsidR="00060B0B" w:rsidRPr="00546BAF">
        <w:rPr>
          <w:rFonts w:ascii="Arial" w:hAnsi="Arial" w:cs="Arial"/>
          <w:sz w:val="20"/>
          <w:szCs w:val="20"/>
        </w:rPr>
        <w:t>6CU6</w:t>
      </w:r>
      <w:commentRangeEnd w:id="14"/>
      <w:r w:rsidR="00505AEC">
        <w:rPr>
          <w:rStyle w:val="CommentReference"/>
        </w:rPr>
        <w:commentReference w:id="14"/>
      </w:r>
      <w:r w:rsidR="00060B0B" w:rsidRPr="00546BAF">
        <w:rPr>
          <w:rFonts w:ascii="Arial" w:hAnsi="Arial" w:cs="Arial"/>
          <w:sz w:val="20"/>
          <w:szCs w:val="20"/>
        </w:rPr>
        <w:t xml:space="preserve">), Human </w:t>
      </w:r>
      <w:proofErr w:type="spellStart"/>
      <w:r w:rsidR="00060B0B" w:rsidRPr="00546BAF">
        <w:rPr>
          <w:rFonts w:ascii="Arial" w:hAnsi="Arial" w:cs="Arial"/>
          <w:sz w:val="20"/>
          <w:szCs w:val="20"/>
        </w:rPr>
        <w:t>DipeptidylPeptidase</w:t>
      </w:r>
      <w:proofErr w:type="spellEnd"/>
      <w:r w:rsidR="00060B0B" w:rsidRPr="00546BAF">
        <w:rPr>
          <w:rFonts w:ascii="Arial" w:hAnsi="Arial" w:cs="Arial"/>
          <w:sz w:val="20"/>
          <w:szCs w:val="20"/>
        </w:rPr>
        <w:t xml:space="preserve"> 4 </w:t>
      </w:r>
      <w:r w:rsidR="00060B0B" w:rsidRPr="00546BAF">
        <w:rPr>
          <w:rFonts w:ascii="Arial" w:hAnsi="Arial" w:cs="Arial"/>
          <w:color w:val="000000"/>
          <w:sz w:val="20"/>
          <w:szCs w:val="20"/>
          <w:shd w:val="clear" w:color="auto" w:fill="FFFFFF"/>
        </w:rPr>
        <w:t>(</w:t>
      </w:r>
      <w:r w:rsidR="00060B0B" w:rsidRPr="00546BAF">
        <w:rPr>
          <w:rFonts w:ascii="Arial" w:hAnsi="Arial" w:cs="Arial"/>
          <w:sz w:val="20"/>
          <w:szCs w:val="20"/>
        </w:rPr>
        <w:t>PDB ID: 5T4B), Human Epidermal growth factor receptor (PDB ID: 8A27), Human Epidermal growth factor receptor (PDB ID: 4ZSE). The target</w:t>
      </w:r>
      <w:r w:rsidR="000878AF" w:rsidRPr="00546BAF">
        <w:rPr>
          <w:rFonts w:ascii="Arial" w:hAnsi="Arial" w:cs="Arial"/>
          <w:sz w:val="20"/>
          <w:szCs w:val="20"/>
        </w:rPr>
        <w:t xml:space="preserve"> </w:t>
      </w:r>
      <w:r w:rsidR="00060B0B" w:rsidRPr="00546BAF">
        <w:rPr>
          <w:rFonts w:ascii="Arial" w:hAnsi="Arial" w:cs="Arial"/>
          <w:sz w:val="20"/>
          <w:szCs w:val="20"/>
        </w:rPr>
        <w:t xml:space="preserve">protein receptor file can be downloaded at Protein Data Bank (http://www.rcsb.org).The structure is then completed by adding any extra atoms or residues. The protein is subsequently put through energy minimization to loosen up the structure and get rid of any steric interference. The protonation states of ionizable residues are then established to provide proper electrostatic interactions during docking. To further simplify the system, water molecules, and extraneous ligands are eliminated from the protein structure. To appropriately reflect the protein's </w:t>
      </w:r>
      <w:r w:rsidR="000878AF" w:rsidRPr="00546BAF">
        <w:rPr>
          <w:rFonts w:ascii="Arial" w:hAnsi="Arial" w:cs="Arial"/>
          <w:sz w:val="20"/>
          <w:szCs w:val="20"/>
        </w:rPr>
        <w:t>behaviour</w:t>
      </w:r>
      <w:r w:rsidR="00060B0B" w:rsidRPr="00546BAF">
        <w:rPr>
          <w:rFonts w:ascii="Arial" w:hAnsi="Arial" w:cs="Arial"/>
          <w:sz w:val="20"/>
          <w:szCs w:val="20"/>
        </w:rPr>
        <w:t xml:space="preserve"> during docking simulations, the proper force field parameters are lastly supplied to it. Through these preparation steps, the protein structure is optimized and refined, providing a suitable starting point for successful molecular docking studies. (1</w:t>
      </w:r>
      <w:r w:rsidR="006C07E6" w:rsidRPr="00546BAF">
        <w:rPr>
          <w:rFonts w:ascii="Arial" w:hAnsi="Arial" w:cs="Arial"/>
          <w:sz w:val="20"/>
          <w:szCs w:val="20"/>
        </w:rPr>
        <w:t>9</w:t>
      </w:r>
      <w:r w:rsidR="00060B0B" w:rsidRPr="00546BAF">
        <w:rPr>
          <w:rFonts w:ascii="Arial" w:hAnsi="Arial" w:cs="Arial"/>
          <w:sz w:val="20"/>
          <w:szCs w:val="20"/>
        </w:rPr>
        <w:t>)</w:t>
      </w:r>
    </w:p>
    <w:p w14:paraId="0EC485EB" w14:textId="77777777" w:rsidR="00A87A49" w:rsidRPr="00546BAF" w:rsidRDefault="00802B57" w:rsidP="00002A8D">
      <w:pPr>
        <w:jc w:val="both"/>
        <w:rPr>
          <w:rFonts w:ascii="Arial" w:hAnsi="Arial" w:cs="Arial"/>
          <w:sz w:val="20"/>
          <w:szCs w:val="20"/>
        </w:rPr>
      </w:pPr>
      <w:bookmarkStart w:id="15" w:name="_Hlk220429136"/>
      <w:r w:rsidRPr="00546BAF">
        <w:rPr>
          <w:rFonts w:ascii="Arial" w:hAnsi="Arial" w:cs="Arial"/>
          <w:sz w:val="20"/>
          <w:szCs w:val="20"/>
        </w:rPr>
        <w:t xml:space="preserve">The ligands to be docked are selected based on various criteria, such as their chemical diversity, their known biological activity, or their potential for drug development. The ligands are then prepared for docking by assigning charges, generating conformers, and optimizing their </w:t>
      </w:r>
      <w:proofErr w:type="gramStart"/>
      <w:r w:rsidRPr="00546BAF">
        <w:rPr>
          <w:rFonts w:ascii="Arial" w:hAnsi="Arial" w:cs="Arial"/>
          <w:sz w:val="20"/>
          <w:szCs w:val="20"/>
        </w:rPr>
        <w:t>geometry</w:t>
      </w:r>
      <w:r w:rsidR="00724E4F" w:rsidRPr="00546BAF">
        <w:rPr>
          <w:rFonts w:ascii="Arial" w:hAnsi="Arial" w:cs="Arial"/>
          <w:sz w:val="20"/>
          <w:szCs w:val="20"/>
        </w:rPr>
        <w:t>.(</w:t>
      </w:r>
      <w:proofErr w:type="gramEnd"/>
      <w:r w:rsidR="006C07E6" w:rsidRPr="00546BAF">
        <w:rPr>
          <w:rFonts w:ascii="Arial" w:hAnsi="Arial" w:cs="Arial"/>
          <w:sz w:val="20"/>
          <w:szCs w:val="20"/>
        </w:rPr>
        <w:t>20</w:t>
      </w:r>
      <w:r w:rsidR="00724E4F" w:rsidRPr="00546BAF">
        <w:rPr>
          <w:rFonts w:ascii="Arial" w:hAnsi="Arial" w:cs="Arial"/>
          <w:sz w:val="20"/>
          <w:szCs w:val="20"/>
        </w:rPr>
        <w:t>)</w:t>
      </w:r>
    </w:p>
    <w:bookmarkEnd w:id="15"/>
    <w:p w14:paraId="24524870" w14:textId="77777777" w:rsidR="00DA588F" w:rsidRPr="00546BAF" w:rsidRDefault="00A87A49" w:rsidP="00002A8D">
      <w:pPr>
        <w:jc w:val="both"/>
        <w:rPr>
          <w:rFonts w:ascii="Arial" w:hAnsi="Arial" w:cs="Arial"/>
          <w:sz w:val="20"/>
          <w:szCs w:val="20"/>
        </w:rPr>
      </w:pPr>
      <w:r w:rsidRPr="00546BAF">
        <w:rPr>
          <w:rFonts w:ascii="Arial" w:hAnsi="Arial" w:cs="Arial"/>
          <w:sz w:val="20"/>
          <w:szCs w:val="20"/>
        </w:rPr>
        <w:lastRenderedPageBreak/>
        <w:t>Docking and analys</w:t>
      </w:r>
      <w:r w:rsidR="00514C21" w:rsidRPr="00546BAF">
        <w:rPr>
          <w:rFonts w:ascii="Arial" w:hAnsi="Arial" w:cs="Arial"/>
          <w:sz w:val="20"/>
          <w:szCs w:val="20"/>
        </w:rPr>
        <w:t>is</w:t>
      </w:r>
      <w:r w:rsidRPr="00546BAF">
        <w:rPr>
          <w:rFonts w:ascii="Arial" w:hAnsi="Arial" w:cs="Arial"/>
          <w:sz w:val="20"/>
          <w:szCs w:val="20"/>
        </w:rPr>
        <w:t xml:space="preserve"> can be carried out using the program </w:t>
      </w:r>
      <w:proofErr w:type="spellStart"/>
      <w:r w:rsidRPr="00546BAF">
        <w:rPr>
          <w:rFonts w:ascii="Arial" w:hAnsi="Arial" w:cs="Arial"/>
          <w:sz w:val="20"/>
          <w:szCs w:val="20"/>
        </w:rPr>
        <w:t>Molegro</w:t>
      </w:r>
      <w:proofErr w:type="spellEnd"/>
      <w:r w:rsidRPr="00546BAF">
        <w:rPr>
          <w:rFonts w:ascii="Arial" w:hAnsi="Arial" w:cs="Arial"/>
          <w:sz w:val="20"/>
          <w:szCs w:val="20"/>
        </w:rPr>
        <w:t xml:space="preserve"> Virtual Docker, and all stages use a 3D image. Things that need to be considered in this process is the selection of docking compounds and cavity where the drug will interact</w:t>
      </w:r>
      <w:r w:rsidR="000878AF" w:rsidRPr="00546BAF">
        <w:rPr>
          <w:rFonts w:ascii="Arial" w:hAnsi="Arial" w:cs="Arial"/>
          <w:sz w:val="20"/>
          <w:szCs w:val="20"/>
        </w:rPr>
        <w:t xml:space="preserve"> </w:t>
      </w:r>
      <w:r w:rsidR="00D20B72" w:rsidRPr="00546BAF">
        <w:rPr>
          <w:rFonts w:ascii="Arial" w:hAnsi="Arial" w:cs="Arial"/>
          <w:sz w:val="20"/>
          <w:szCs w:val="20"/>
        </w:rPr>
        <w:t>(</w:t>
      </w:r>
      <w:r w:rsidR="006C07E6" w:rsidRPr="00546BAF">
        <w:rPr>
          <w:rFonts w:ascii="Arial" w:hAnsi="Arial" w:cs="Arial"/>
          <w:sz w:val="20"/>
          <w:szCs w:val="20"/>
        </w:rPr>
        <w:t>21</w:t>
      </w:r>
      <w:r w:rsidR="00D20B72" w:rsidRPr="00546BAF">
        <w:rPr>
          <w:rFonts w:ascii="Arial" w:hAnsi="Arial" w:cs="Arial"/>
          <w:sz w:val="20"/>
          <w:szCs w:val="20"/>
        </w:rPr>
        <w:t>)</w:t>
      </w:r>
      <w:r w:rsidRPr="00546BAF">
        <w:rPr>
          <w:rFonts w:ascii="Arial" w:hAnsi="Arial" w:cs="Arial"/>
          <w:sz w:val="20"/>
          <w:szCs w:val="20"/>
        </w:rPr>
        <w:t xml:space="preserve">. </w:t>
      </w:r>
      <w:r w:rsidR="001A46FD" w:rsidRPr="00546BAF">
        <w:rPr>
          <w:rFonts w:ascii="Arial" w:hAnsi="Arial" w:cs="Arial"/>
          <w:sz w:val="20"/>
          <w:szCs w:val="20"/>
        </w:rPr>
        <w:t>The binding cavity was identified using MVD’s cavity detection algorithm, focusing on the largest druggable pocket</w:t>
      </w:r>
      <w:r w:rsidR="00D20B72" w:rsidRPr="00546BAF">
        <w:rPr>
          <w:rFonts w:ascii="Arial" w:hAnsi="Arial" w:cs="Arial"/>
          <w:sz w:val="20"/>
          <w:szCs w:val="20"/>
        </w:rPr>
        <w:t xml:space="preserve">. </w:t>
      </w:r>
      <w:r w:rsidR="00042584" w:rsidRPr="00546BAF">
        <w:rPr>
          <w:rFonts w:ascii="Arial" w:hAnsi="Arial" w:cs="Arial"/>
          <w:sz w:val="20"/>
          <w:szCs w:val="20"/>
        </w:rPr>
        <w:t>Additionally, calculating the inhibition constant for docked ligands and proteins is an important step in evaluating the binding affinity and potential inhibitory activity of the ligands. However, it is not always necessary or applicable in all cases. The decision to calculate the inhibition constant depends on the specific research question, experimental design, and the objectives of the study</w:t>
      </w:r>
      <w:r w:rsidR="00776155" w:rsidRPr="00546BAF">
        <w:rPr>
          <w:rFonts w:ascii="Arial" w:hAnsi="Arial" w:cs="Arial"/>
          <w:sz w:val="20"/>
          <w:szCs w:val="20"/>
        </w:rPr>
        <w:t xml:space="preserve">. </w:t>
      </w:r>
      <w:r w:rsidR="00B2560D" w:rsidRPr="00546BAF">
        <w:rPr>
          <w:rFonts w:ascii="Arial" w:hAnsi="Arial" w:cs="Arial"/>
          <w:sz w:val="20"/>
          <w:szCs w:val="20"/>
        </w:rPr>
        <w:t>Ligand is docked against the protein and the interactions are analy</w:t>
      </w:r>
      <w:r w:rsidR="00DC0218" w:rsidRPr="00546BAF">
        <w:rPr>
          <w:rFonts w:ascii="Arial" w:hAnsi="Arial" w:cs="Arial"/>
          <w:sz w:val="20"/>
          <w:szCs w:val="20"/>
        </w:rPr>
        <w:t>s</w:t>
      </w:r>
      <w:r w:rsidR="00B2560D" w:rsidRPr="00546BAF">
        <w:rPr>
          <w:rFonts w:ascii="Arial" w:hAnsi="Arial" w:cs="Arial"/>
          <w:sz w:val="20"/>
          <w:szCs w:val="20"/>
        </w:rPr>
        <w:t>ed. The scoring function gives a score based on the best-docked ligand complex picked out</w:t>
      </w:r>
      <w:r w:rsidR="00CB45DB" w:rsidRPr="00546BAF">
        <w:rPr>
          <w:rFonts w:ascii="Arial" w:hAnsi="Arial" w:cs="Arial"/>
          <w:sz w:val="20"/>
          <w:szCs w:val="20"/>
        </w:rPr>
        <w:t xml:space="preserve">. </w:t>
      </w:r>
      <w:r w:rsidR="00FF5EBF" w:rsidRPr="00546BAF">
        <w:rPr>
          <w:rFonts w:ascii="Arial" w:hAnsi="Arial" w:cs="Arial"/>
          <w:sz w:val="20"/>
          <w:szCs w:val="20"/>
        </w:rPr>
        <w:t>(</w:t>
      </w:r>
      <w:r w:rsidR="006C07E6" w:rsidRPr="00546BAF">
        <w:rPr>
          <w:rFonts w:ascii="Arial" w:hAnsi="Arial" w:cs="Arial"/>
          <w:sz w:val="20"/>
          <w:szCs w:val="20"/>
        </w:rPr>
        <w:t>22</w:t>
      </w:r>
      <w:r w:rsidR="00FF5EBF" w:rsidRPr="00546BAF">
        <w:rPr>
          <w:rFonts w:ascii="Arial" w:hAnsi="Arial" w:cs="Arial"/>
          <w:sz w:val="20"/>
          <w:szCs w:val="20"/>
        </w:rPr>
        <w:t>)</w:t>
      </w:r>
    </w:p>
    <w:p w14:paraId="03B1AFC8" w14:textId="77777777" w:rsidR="00375608" w:rsidRPr="00546BAF" w:rsidRDefault="00DA588F" w:rsidP="00002A8D">
      <w:pPr>
        <w:jc w:val="both"/>
        <w:rPr>
          <w:rFonts w:ascii="Arial" w:hAnsi="Arial" w:cs="Arial"/>
          <w:sz w:val="20"/>
          <w:szCs w:val="20"/>
        </w:rPr>
      </w:pPr>
      <w:r w:rsidRPr="00546BAF">
        <w:rPr>
          <w:rFonts w:ascii="Arial" w:hAnsi="Arial" w:cs="Arial"/>
          <w:sz w:val="20"/>
          <w:szCs w:val="20"/>
        </w:rPr>
        <w:t>After the ligands have been docked to the protein, the results are analy</w:t>
      </w:r>
      <w:r w:rsidR="00DC0218" w:rsidRPr="00546BAF">
        <w:rPr>
          <w:rFonts w:ascii="Arial" w:hAnsi="Arial" w:cs="Arial"/>
          <w:sz w:val="20"/>
          <w:szCs w:val="20"/>
        </w:rPr>
        <w:t>s</w:t>
      </w:r>
      <w:r w:rsidRPr="00546BAF">
        <w:rPr>
          <w:rFonts w:ascii="Arial" w:hAnsi="Arial" w:cs="Arial"/>
          <w:sz w:val="20"/>
          <w:szCs w:val="20"/>
        </w:rPr>
        <w:t>ed to identify the most promising candidates for further study. The binding affinity of each ligand is calculated based on the predicted interaction energy, and the ligands are ranked based on their affinity scores. The docked structures are also analy</w:t>
      </w:r>
      <w:r w:rsidR="00DC0218" w:rsidRPr="00546BAF">
        <w:rPr>
          <w:rFonts w:ascii="Arial" w:hAnsi="Arial" w:cs="Arial"/>
          <w:sz w:val="20"/>
          <w:szCs w:val="20"/>
        </w:rPr>
        <w:t>s</w:t>
      </w:r>
      <w:r w:rsidRPr="00546BAF">
        <w:rPr>
          <w:rFonts w:ascii="Arial" w:hAnsi="Arial" w:cs="Arial"/>
          <w:sz w:val="20"/>
          <w:szCs w:val="20"/>
        </w:rPr>
        <w:t xml:space="preserve">ed to identify key interactions between the ligands and the protein, such as hydrogen bonds, hydrophobic interactions, and electrostatic interactions. These interactions can provide insights into the mechanism of action of the ligands and guide further optimization of their </w:t>
      </w:r>
      <w:proofErr w:type="gramStart"/>
      <w:r w:rsidRPr="00546BAF">
        <w:rPr>
          <w:rFonts w:ascii="Arial" w:hAnsi="Arial" w:cs="Arial"/>
          <w:sz w:val="20"/>
          <w:szCs w:val="20"/>
        </w:rPr>
        <w:t>structure</w:t>
      </w:r>
      <w:r w:rsidR="00922CD7" w:rsidRPr="00546BAF">
        <w:rPr>
          <w:rFonts w:ascii="Arial" w:hAnsi="Arial" w:cs="Arial"/>
          <w:sz w:val="20"/>
          <w:szCs w:val="20"/>
        </w:rPr>
        <w:t>.</w:t>
      </w:r>
      <w:r w:rsidR="006C4237" w:rsidRPr="00546BAF">
        <w:rPr>
          <w:rFonts w:ascii="Arial" w:hAnsi="Arial" w:cs="Arial"/>
          <w:sz w:val="20"/>
          <w:szCs w:val="20"/>
        </w:rPr>
        <w:t>(</w:t>
      </w:r>
      <w:proofErr w:type="gramEnd"/>
      <w:r w:rsidR="006C07E6" w:rsidRPr="00546BAF">
        <w:rPr>
          <w:rFonts w:ascii="Arial" w:hAnsi="Arial" w:cs="Arial"/>
          <w:sz w:val="20"/>
          <w:szCs w:val="20"/>
        </w:rPr>
        <w:t>23</w:t>
      </w:r>
      <w:r w:rsidR="006C4237" w:rsidRPr="00546BAF">
        <w:rPr>
          <w:rFonts w:ascii="Arial" w:hAnsi="Arial" w:cs="Arial"/>
          <w:sz w:val="20"/>
          <w:szCs w:val="20"/>
        </w:rPr>
        <w:t>)</w:t>
      </w:r>
    </w:p>
    <w:p w14:paraId="52B13CE2" w14:textId="77777777" w:rsidR="00B42259" w:rsidRPr="00546BAF" w:rsidRDefault="00A87A49" w:rsidP="00002A8D">
      <w:pPr>
        <w:jc w:val="both"/>
        <w:rPr>
          <w:rFonts w:ascii="Arial" w:hAnsi="Arial" w:cs="Arial"/>
          <w:sz w:val="20"/>
          <w:szCs w:val="20"/>
        </w:rPr>
      </w:pPr>
      <w:r w:rsidRPr="00546BAF">
        <w:rPr>
          <w:rFonts w:ascii="Arial" w:hAnsi="Arial" w:cs="Arial"/>
          <w:sz w:val="20"/>
          <w:szCs w:val="20"/>
        </w:rPr>
        <w:t xml:space="preserve">The parameters measured in the docking process are the energy values involved, in the form of </w:t>
      </w:r>
      <w:proofErr w:type="spellStart"/>
      <w:r w:rsidRPr="00546BAF">
        <w:rPr>
          <w:rFonts w:ascii="Arial" w:hAnsi="Arial" w:cs="Arial"/>
          <w:sz w:val="20"/>
          <w:szCs w:val="20"/>
        </w:rPr>
        <w:t>MolDock</w:t>
      </w:r>
      <w:proofErr w:type="spellEnd"/>
      <w:r w:rsidRPr="00546BAF">
        <w:rPr>
          <w:rFonts w:ascii="Arial" w:hAnsi="Arial" w:cs="Arial"/>
          <w:sz w:val="20"/>
          <w:szCs w:val="20"/>
        </w:rPr>
        <w:t xml:space="preserve"> Score, Re</w:t>
      </w:r>
      <w:r w:rsidR="005320B4" w:rsidRPr="00546BAF">
        <w:rPr>
          <w:rFonts w:ascii="Arial" w:hAnsi="Arial" w:cs="Arial"/>
          <w:sz w:val="20"/>
          <w:szCs w:val="20"/>
        </w:rPr>
        <w:t>-</w:t>
      </w:r>
      <w:r w:rsidRPr="00546BAF">
        <w:rPr>
          <w:rFonts w:ascii="Arial" w:hAnsi="Arial" w:cs="Arial"/>
          <w:sz w:val="20"/>
          <w:szCs w:val="20"/>
        </w:rPr>
        <w:t>rank Score, and H</w:t>
      </w:r>
      <w:r w:rsidR="000878AF" w:rsidRPr="00546BAF">
        <w:rPr>
          <w:rFonts w:ascii="Arial" w:hAnsi="Arial" w:cs="Arial"/>
          <w:sz w:val="20"/>
          <w:szCs w:val="20"/>
        </w:rPr>
        <w:t>-</w:t>
      </w:r>
      <w:r w:rsidRPr="00546BAF">
        <w:rPr>
          <w:rFonts w:ascii="Arial" w:hAnsi="Arial" w:cs="Arial"/>
          <w:sz w:val="20"/>
          <w:szCs w:val="20"/>
        </w:rPr>
        <w:t>bond as well as the RMSD value. To measure the strength of drug-receptor binding, the parameter that is often used is value Re</w:t>
      </w:r>
      <w:r w:rsidR="005320B4" w:rsidRPr="00546BAF">
        <w:rPr>
          <w:rFonts w:ascii="Arial" w:hAnsi="Arial" w:cs="Arial"/>
          <w:sz w:val="20"/>
          <w:szCs w:val="20"/>
        </w:rPr>
        <w:t>-</w:t>
      </w:r>
      <w:r w:rsidRPr="00546BAF">
        <w:rPr>
          <w:rFonts w:ascii="Arial" w:hAnsi="Arial" w:cs="Arial"/>
          <w:sz w:val="20"/>
          <w:szCs w:val="20"/>
        </w:rPr>
        <w:t>rank Score</w:t>
      </w:r>
      <w:r w:rsidR="005320B4" w:rsidRPr="00546BAF">
        <w:rPr>
          <w:rFonts w:ascii="Arial" w:hAnsi="Arial" w:cs="Arial"/>
          <w:sz w:val="20"/>
          <w:szCs w:val="20"/>
        </w:rPr>
        <w:t>.</w:t>
      </w:r>
    </w:p>
    <w:p w14:paraId="747990E6" w14:textId="77777777" w:rsidR="00314E94" w:rsidRPr="00546BAF" w:rsidRDefault="00422B1F" w:rsidP="00002A8D">
      <w:pPr>
        <w:jc w:val="both"/>
        <w:rPr>
          <w:rFonts w:ascii="Arial" w:hAnsi="Arial" w:cs="Arial"/>
          <w:sz w:val="22"/>
          <w:szCs w:val="20"/>
        </w:rPr>
      </w:pPr>
      <w:bookmarkStart w:id="16" w:name="_Hlk220429542"/>
      <w:r w:rsidRPr="00546BAF">
        <w:rPr>
          <w:rFonts w:ascii="Arial" w:hAnsi="Arial" w:cs="Arial"/>
          <w:b/>
          <w:bCs/>
          <w:sz w:val="22"/>
          <w:szCs w:val="20"/>
        </w:rPr>
        <w:t>RESULT AND DISCUSSION</w:t>
      </w:r>
      <w:r w:rsidRPr="00546BAF">
        <w:rPr>
          <w:rFonts w:ascii="Arial" w:hAnsi="Arial" w:cs="Arial"/>
          <w:sz w:val="22"/>
          <w:szCs w:val="20"/>
        </w:rPr>
        <w:t>:</w:t>
      </w:r>
    </w:p>
    <w:bookmarkEnd w:id="16"/>
    <w:p w14:paraId="76B8CFD9" w14:textId="77777777" w:rsidR="00F24DF8" w:rsidRPr="00546BAF" w:rsidRDefault="0035376E" w:rsidP="00002A8D">
      <w:pPr>
        <w:jc w:val="both"/>
        <w:rPr>
          <w:rFonts w:ascii="Arial" w:hAnsi="Arial" w:cs="Arial"/>
          <w:sz w:val="20"/>
          <w:szCs w:val="20"/>
        </w:rPr>
      </w:pPr>
      <w:r w:rsidRPr="00546BAF">
        <w:rPr>
          <w:rFonts w:ascii="Arial" w:hAnsi="Arial" w:cs="Arial"/>
          <w:b/>
          <w:bCs/>
          <w:sz w:val="20"/>
          <w:szCs w:val="20"/>
        </w:rPr>
        <w:t xml:space="preserve">Result of </w:t>
      </w:r>
      <w:r w:rsidR="002F512F" w:rsidRPr="00546BAF">
        <w:rPr>
          <w:rFonts w:ascii="Arial" w:hAnsi="Arial" w:cs="Arial"/>
          <w:b/>
          <w:bCs/>
          <w:sz w:val="20"/>
          <w:szCs w:val="20"/>
        </w:rPr>
        <w:t xml:space="preserve">physiochemical properties of designed compound using </w:t>
      </w:r>
      <w:r w:rsidR="004E3DF8" w:rsidRPr="00546BAF">
        <w:rPr>
          <w:rFonts w:ascii="Arial" w:hAnsi="Arial" w:cs="Arial"/>
          <w:b/>
          <w:bCs/>
          <w:sz w:val="20"/>
          <w:szCs w:val="20"/>
        </w:rPr>
        <w:t>ROF</w:t>
      </w:r>
      <w:r w:rsidR="004E3DF8" w:rsidRPr="00546BAF">
        <w:rPr>
          <w:rFonts w:ascii="Arial" w:hAnsi="Arial" w:cs="Arial"/>
          <w:sz w:val="20"/>
          <w:szCs w:val="20"/>
        </w:rPr>
        <w:t>:</w:t>
      </w:r>
      <w:r w:rsidR="000878AF" w:rsidRPr="00546BAF">
        <w:rPr>
          <w:rFonts w:ascii="Arial" w:hAnsi="Arial" w:cs="Arial"/>
          <w:sz w:val="20"/>
          <w:szCs w:val="20"/>
        </w:rPr>
        <w:t xml:space="preserve"> </w:t>
      </w:r>
      <w:r w:rsidR="00E233F1" w:rsidRPr="00546BAF">
        <w:rPr>
          <w:rFonts w:ascii="Arial" w:hAnsi="Arial" w:cs="Arial"/>
          <w:sz w:val="20"/>
          <w:szCs w:val="20"/>
        </w:rPr>
        <w:t>Results detailed in </w:t>
      </w:r>
      <w:bookmarkStart w:id="17" w:name="btbl0003"/>
      <w:r w:rsidR="00E233F1" w:rsidRPr="00546BAF">
        <w:rPr>
          <w:rFonts w:ascii="Arial" w:hAnsi="Arial" w:cs="Arial"/>
          <w:sz w:val="20"/>
          <w:szCs w:val="20"/>
        </w:rPr>
        <w:t xml:space="preserve">table </w:t>
      </w:r>
      <w:hyperlink r:id="rId26" w:anchor="tbl0003" w:history="1">
        <w:r w:rsidR="00632A57" w:rsidRPr="00546BAF">
          <w:rPr>
            <w:rStyle w:val="Hyperlink"/>
            <w:rFonts w:ascii="Arial" w:hAnsi="Arial" w:cs="Arial"/>
            <w:color w:val="auto"/>
            <w:sz w:val="20"/>
            <w:szCs w:val="20"/>
            <w:u w:val="none"/>
          </w:rPr>
          <w:t>2</w:t>
        </w:r>
      </w:hyperlink>
      <w:bookmarkEnd w:id="17"/>
      <w:r w:rsidR="00E233F1" w:rsidRPr="00546BAF">
        <w:rPr>
          <w:rFonts w:ascii="Arial" w:hAnsi="Arial" w:cs="Arial"/>
          <w:sz w:val="20"/>
          <w:szCs w:val="20"/>
        </w:rPr>
        <w:t xml:space="preserve">reveal that all derivatives of </w:t>
      </w:r>
      <w:r w:rsidR="00411D99" w:rsidRPr="00546BAF">
        <w:rPr>
          <w:rFonts w:ascii="Arial" w:hAnsi="Arial" w:cs="Arial"/>
          <w:sz w:val="20"/>
          <w:szCs w:val="20"/>
        </w:rPr>
        <w:t>4-hydroxy-3-methoxycinnamic acid</w:t>
      </w:r>
      <w:r w:rsidR="000878AF" w:rsidRPr="00546BAF">
        <w:rPr>
          <w:rFonts w:ascii="Arial" w:hAnsi="Arial" w:cs="Arial"/>
          <w:sz w:val="20"/>
          <w:szCs w:val="20"/>
        </w:rPr>
        <w:t xml:space="preserve"> </w:t>
      </w:r>
      <w:r w:rsidR="00163868" w:rsidRPr="00546BAF">
        <w:rPr>
          <w:rFonts w:ascii="Arial" w:hAnsi="Arial" w:cs="Arial"/>
          <w:sz w:val="20"/>
          <w:szCs w:val="20"/>
        </w:rPr>
        <w:t xml:space="preserve">substituted with aromatic amine </w:t>
      </w:r>
      <w:r w:rsidR="00E233F1" w:rsidRPr="00546BAF">
        <w:rPr>
          <w:rFonts w:ascii="Arial" w:hAnsi="Arial" w:cs="Arial"/>
          <w:sz w:val="20"/>
          <w:szCs w:val="20"/>
        </w:rPr>
        <w:t>acquire acceptable drug-like properties</w:t>
      </w:r>
      <w:r w:rsidR="001C11A3" w:rsidRPr="00546BAF">
        <w:rPr>
          <w:rFonts w:ascii="Arial" w:hAnsi="Arial" w:cs="Arial"/>
          <w:sz w:val="20"/>
          <w:szCs w:val="20"/>
        </w:rPr>
        <w:t>,</w:t>
      </w:r>
      <w:r w:rsidR="00E233F1" w:rsidRPr="00546BAF">
        <w:rPr>
          <w:rFonts w:ascii="Arial" w:hAnsi="Arial" w:cs="Arial"/>
          <w:sz w:val="20"/>
          <w:szCs w:val="20"/>
        </w:rPr>
        <w:t xml:space="preserve"> in addition to other drug-likeness parameters. This is because all the derivatives satisfied the rule, (MW ≤ 500 Da, </w:t>
      </w:r>
      <w:proofErr w:type="spellStart"/>
      <w:r w:rsidR="00E233F1" w:rsidRPr="00546BAF">
        <w:rPr>
          <w:rFonts w:ascii="Arial" w:hAnsi="Arial" w:cs="Arial"/>
          <w:sz w:val="20"/>
          <w:szCs w:val="20"/>
        </w:rPr>
        <w:t>LogP</w:t>
      </w:r>
      <w:proofErr w:type="spellEnd"/>
      <w:r w:rsidR="00E233F1" w:rsidRPr="00546BAF">
        <w:rPr>
          <w:rFonts w:ascii="Arial" w:hAnsi="Arial" w:cs="Arial"/>
          <w:sz w:val="20"/>
          <w:szCs w:val="20"/>
        </w:rPr>
        <w:t xml:space="preserve"> &lt; 5, </w:t>
      </w:r>
      <w:proofErr w:type="spellStart"/>
      <w:r w:rsidR="00E233F1" w:rsidRPr="00546BAF">
        <w:rPr>
          <w:rFonts w:ascii="Arial" w:hAnsi="Arial" w:cs="Arial"/>
          <w:sz w:val="20"/>
          <w:szCs w:val="20"/>
        </w:rPr>
        <w:t>nHBD</w:t>
      </w:r>
      <w:proofErr w:type="spellEnd"/>
      <w:r w:rsidR="00E233F1" w:rsidRPr="00546BAF">
        <w:rPr>
          <w:rFonts w:ascii="Arial" w:hAnsi="Arial" w:cs="Arial"/>
          <w:sz w:val="20"/>
          <w:szCs w:val="20"/>
        </w:rPr>
        <w:t xml:space="preserve"> ≤ 5, </w:t>
      </w:r>
      <w:proofErr w:type="spellStart"/>
      <w:r w:rsidR="00E233F1" w:rsidRPr="00546BAF">
        <w:rPr>
          <w:rFonts w:ascii="Arial" w:hAnsi="Arial" w:cs="Arial"/>
          <w:sz w:val="20"/>
          <w:szCs w:val="20"/>
        </w:rPr>
        <w:t>nHBA</w:t>
      </w:r>
      <w:proofErr w:type="spellEnd"/>
      <w:r w:rsidR="00E233F1" w:rsidRPr="00546BAF">
        <w:rPr>
          <w:rFonts w:ascii="Arial" w:hAnsi="Arial" w:cs="Arial"/>
          <w:sz w:val="20"/>
          <w:szCs w:val="20"/>
        </w:rPr>
        <w:t> ≤ 10</w:t>
      </w:r>
      <w:r w:rsidR="00C974CE" w:rsidRPr="00546BAF">
        <w:rPr>
          <w:rFonts w:ascii="Arial" w:hAnsi="Arial" w:cs="Arial"/>
          <w:sz w:val="20"/>
          <w:szCs w:val="20"/>
        </w:rPr>
        <w:t>).</w:t>
      </w:r>
    </w:p>
    <w:p w14:paraId="2B0AA142" w14:textId="77777777" w:rsidR="00F243BB" w:rsidRPr="00546BAF" w:rsidRDefault="006E4B39" w:rsidP="00002A8D">
      <w:pPr>
        <w:jc w:val="both"/>
        <w:rPr>
          <w:rFonts w:ascii="Arial" w:hAnsi="Arial" w:cs="Arial"/>
          <w:sz w:val="20"/>
          <w:szCs w:val="20"/>
        </w:rPr>
      </w:pPr>
      <w:r w:rsidRPr="00546BAF">
        <w:rPr>
          <w:rFonts w:ascii="Arial" w:hAnsi="Arial" w:cs="Arial"/>
          <w:sz w:val="20"/>
          <w:szCs w:val="20"/>
        </w:rPr>
        <w:t>Although molecular weight (MW &lt; 500) of a drug plays a vital role in the drug oral bioavailability, the 500 Da cut-off mark does not significantly classify compounds into poor or good oral bioavailability. Besides, only compounds with two or more parameters violating the </w:t>
      </w:r>
      <w:hyperlink r:id="rId27" w:tooltip="Learn more about Lipinski rule of five from ScienceDirect's AI-generated Topic Pages" w:history="1">
        <w:r w:rsidRPr="00546BAF">
          <w:rPr>
            <w:rStyle w:val="Hyperlink"/>
            <w:rFonts w:ascii="Arial" w:hAnsi="Arial" w:cs="Arial"/>
            <w:color w:val="auto"/>
            <w:sz w:val="20"/>
            <w:szCs w:val="20"/>
            <w:u w:val="none"/>
          </w:rPr>
          <w:t>Lipinski rule of five</w:t>
        </w:r>
      </w:hyperlink>
      <w:r w:rsidRPr="00546BAF">
        <w:rPr>
          <w:rFonts w:ascii="Arial" w:hAnsi="Arial" w:cs="Arial"/>
          <w:sz w:val="20"/>
          <w:szCs w:val="20"/>
        </w:rPr>
        <w:t>, are considered orally not bioavailable.</w:t>
      </w:r>
      <w:r w:rsidR="000878AF" w:rsidRPr="00546BAF">
        <w:rPr>
          <w:rFonts w:ascii="Arial" w:hAnsi="Arial" w:cs="Arial"/>
          <w:sz w:val="20"/>
          <w:szCs w:val="20"/>
        </w:rPr>
        <w:t xml:space="preserve"> </w:t>
      </w:r>
      <w:r w:rsidRPr="00546BAF">
        <w:rPr>
          <w:rFonts w:ascii="Arial" w:hAnsi="Arial" w:cs="Arial"/>
          <w:sz w:val="20"/>
          <w:szCs w:val="20"/>
        </w:rPr>
        <w:t>(</w:t>
      </w:r>
      <w:r w:rsidR="006C07E6" w:rsidRPr="00546BAF">
        <w:rPr>
          <w:rFonts w:ascii="Arial" w:hAnsi="Arial" w:cs="Arial"/>
          <w:sz w:val="20"/>
          <w:szCs w:val="20"/>
        </w:rPr>
        <w:t>24</w:t>
      </w:r>
      <w:r w:rsidRPr="00546BAF">
        <w:rPr>
          <w:rFonts w:ascii="Arial" w:hAnsi="Arial" w:cs="Arial"/>
          <w:sz w:val="20"/>
          <w:szCs w:val="20"/>
        </w:rPr>
        <w:t>)</w:t>
      </w:r>
    </w:p>
    <w:p w14:paraId="51D92A55" w14:textId="77777777" w:rsidR="00964367" w:rsidRPr="00546BAF" w:rsidRDefault="00632A57" w:rsidP="00002A8D">
      <w:pPr>
        <w:jc w:val="both"/>
        <w:rPr>
          <w:rFonts w:ascii="Arial" w:hAnsi="Arial" w:cs="Arial"/>
          <w:b/>
          <w:sz w:val="20"/>
          <w:szCs w:val="20"/>
        </w:rPr>
      </w:pPr>
      <w:bookmarkStart w:id="18" w:name="_Hlk220430111"/>
      <w:r w:rsidRPr="00546BAF">
        <w:rPr>
          <w:rFonts w:ascii="Arial" w:hAnsi="Arial" w:cs="Arial"/>
          <w:b/>
          <w:sz w:val="20"/>
          <w:szCs w:val="20"/>
        </w:rPr>
        <w:t>Table 2</w:t>
      </w:r>
      <w:r w:rsidR="00964367" w:rsidRPr="00546BAF">
        <w:rPr>
          <w:rFonts w:ascii="Arial" w:hAnsi="Arial" w:cs="Arial"/>
          <w:b/>
          <w:sz w:val="20"/>
          <w:szCs w:val="20"/>
        </w:rPr>
        <w:t xml:space="preserve">: Result of Molecular Properties using </w:t>
      </w:r>
      <w:r w:rsidR="008E36F4" w:rsidRPr="00546BAF">
        <w:rPr>
          <w:rFonts w:ascii="Arial" w:hAnsi="Arial" w:cs="Arial"/>
          <w:b/>
          <w:sz w:val="20"/>
          <w:szCs w:val="20"/>
        </w:rPr>
        <w:t>Lipinski rule of five</w:t>
      </w:r>
    </w:p>
    <w:tbl>
      <w:tblPr>
        <w:tblStyle w:val="TableGrid"/>
        <w:tblW w:w="0" w:type="auto"/>
        <w:jc w:val="center"/>
        <w:tblLook w:val="04A0" w:firstRow="1" w:lastRow="0" w:firstColumn="1" w:lastColumn="0" w:noHBand="0" w:noVBand="1"/>
      </w:tblPr>
      <w:tblGrid>
        <w:gridCol w:w="910"/>
        <w:gridCol w:w="899"/>
        <w:gridCol w:w="737"/>
        <w:gridCol w:w="737"/>
        <w:gridCol w:w="1176"/>
        <w:gridCol w:w="1089"/>
        <w:gridCol w:w="1316"/>
        <w:gridCol w:w="1122"/>
      </w:tblGrid>
      <w:tr w:rsidR="00F55D8D" w:rsidRPr="00546BAF" w14:paraId="2755C838" w14:textId="77777777" w:rsidTr="00270965">
        <w:trPr>
          <w:jc w:val="center"/>
        </w:trPr>
        <w:tc>
          <w:tcPr>
            <w:tcW w:w="910" w:type="dxa"/>
          </w:tcPr>
          <w:bookmarkEnd w:id="18"/>
          <w:p w14:paraId="1339D20D" w14:textId="77777777" w:rsidR="00F55D8D" w:rsidRPr="00546BAF" w:rsidRDefault="00F55D8D" w:rsidP="00F55D8D">
            <w:pPr>
              <w:rPr>
                <w:rFonts w:ascii="Arial" w:hAnsi="Arial" w:cs="Arial"/>
                <w:sz w:val="20"/>
                <w:szCs w:val="20"/>
              </w:rPr>
            </w:pPr>
            <w:r w:rsidRPr="00546BAF">
              <w:rPr>
                <w:rFonts w:ascii="Arial" w:hAnsi="Arial" w:cs="Arial"/>
                <w:b/>
                <w:bCs/>
                <w:sz w:val="20"/>
                <w:szCs w:val="20"/>
              </w:rPr>
              <w:t>CODE</w:t>
            </w:r>
          </w:p>
        </w:tc>
        <w:tc>
          <w:tcPr>
            <w:tcW w:w="899" w:type="dxa"/>
          </w:tcPr>
          <w:p w14:paraId="2C3C0807" w14:textId="77777777" w:rsidR="00F55D8D" w:rsidRPr="00546BAF" w:rsidRDefault="00F55D8D" w:rsidP="00F55D8D">
            <w:pPr>
              <w:rPr>
                <w:rFonts w:ascii="Arial" w:hAnsi="Arial" w:cs="Arial"/>
                <w:sz w:val="20"/>
                <w:szCs w:val="20"/>
              </w:rPr>
            </w:pPr>
            <w:r w:rsidRPr="00546BAF">
              <w:rPr>
                <w:rFonts w:ascii="Arial" w:hAnsi="Arial" w:cs="Arial"/>
                <w:b/>
                <w:bCs/>
                <w:sz w:val="20"/>
                <w:szCs w:val="20"/>
              </w:rPr>
              <w:t>MW</w:t>
            </w:r>
          </w:p>
        </w:tc>
        <w:tc>
          <w:tcPr>
            <w:tcW w:w="737" w:type="dxa"/>
          </w:tcPr>
          <w:p w14:paraId="160CBD14" w14:textId="77777777" w:rsidR="00F55D8D" w:rsidRPr="00546BAF" w:rsidRDefault="00F55D8D" w:rsidP="00F55D8D">
            <w:pPr>
              <w:rPr>
                <w:rFonts w:ascii="Arial" w:hAnsi="Arial" w:cs="Arial"/>
                <w:sz w:val="20"/>
                <w:szCs w:val="20"/>
              </w:rPr>
            </w:pPr>
            <w:r w:rsidRPr="00546BAF">
              <w:rPr>
                <w:rFonts w:ascii="Arial" w:hAnsi="Arial" w:cs="Arial"/>
                <w:b/>
                <w:bCs/>
                <w:sz w:val="20"/>
                <w:szCs w:val="20"/>
              </w:rPr>
              <w:t>HBA</w:t>
            </w:r>
          </w:p>
        </w:tc>
        <w:tc>
          <w:tcPr>
            <w:tcW w:w="737" w:type="dxa"/>
          </w:tcPr>
          <w:p w14:paraId="01BE5527" w14:textId="77777777" w:rsidR="00F55D8D" w:rsidRPr="00546BAF" w:rsidRDefault="00F55D8D" w:rsidP="00F55D8D">
            <w:pPr>
              <w:rPr>
                <w:rFonts w:ascii="Arial" w:hAnsi="Arial" w:cs="Arial"/>
                <w:sz w:val="20"/>
                <w:szCs w:val="20"/>
              </w:rPr>
            </w:pPr>
            <w:r w:rsidRPr="00546BAF">
              <w:rPr>
                <w:rFonts w:ascii="Arial" w:hAnsi="Arial" w:cs="Arial"/>
                <w:b/>
                <w:bCs/>
                <w:sz w:val="20"/>
                <w:szCs w:val="20"/>
              </w:rPr>
              <w:t>HBD</w:t>
            </w:r>
          </w:p>
        </w:tc>
        <w:tc>
          <w:tcPr>
            <w:tcW w:w="1176" w:type="dxa"/>
          </w:tcPr>
          <w:p w14:paraId="7DD56513" w14:textId="77777777" w:rsidR="00F55D8D" w:rsidRPr="00546BAF" w:rsidRDefault="00F55D8D" w:rsidP="00F55D8D">
            <w:pPr>
              <w:rPr>
                <w:rFonts w:ascii="Arial" w:hAnsi="Arial" w:cs="Arial"/>
                <w:sz w:val="20"/>
                <w:szCs w:val="20"/>
              </w:rPr>
            </w:pPr>
            <w:proofErr w:type="spellStart"/>
            <w:r w:rsidRPr="00546BAF">
              <w:rPr>
                <w:rFonts w:ascii="Arial" w:hAnsi="Arial" w:cs="Arial"/>
                <w:b/>
                <w:bCs/>
                <w:sz w:val="20"/>
                <w:szCs w:val="20"/>
              </w:rPr>
              <w:t>MolLogP</w:t>
            </w:r>
            <w:proofErr w:type="spellEnd"/>
          </w:p>
        </w:tc>
        <w:tc>
          <w:tcPr>
            <w:tcW w:w="1089" w:type="dxa"/>
          </w:tcPr>
          <w:p w14:paraId="7E9374AD" w14:textId="77777777" w:rsidR="00F55D8D" w:rsidRPr="00546BAF" w:rsidRDefault="00F55D8D" w:rsidP="00F55D8D">
            <w:pPr>
              <w:rPr>
                <w:rFonts w:ascii="Arial" w:hAnsi="Arial" w:cs="Arial"/>
                <w:sz w:val="20"/>
                <w:szCs w:val="20"/>
              </w:rPr>
            </w:pPr>
            <w:proofErr w:type="spellStart"/>
            <w:r w:rsidRPr="00546BAF">
              <w:rPr>
                <w:rFonts w:ascii="Arial" w:hAnsi="Arial" w:cs="Arial"/>
                <w:b/>
                <w:bCs/>
                <w:sz w:val="20"/>
                <w:szCs w:val="20"/>
              </w:rPr>
              <w:t>MolPSA</w:t>
            </w:r>
            <w:proofErr w:type="spellEnd"/>
          </w:p>
        </w:tc>
        <w:tc>
          <w:tcPr>
            <w:tcW w:w="1316" w:type="dxa"/>
          </w:tcPr>
          <w:p w14:paraId="79EFFB78" w14:textId="77777777" w:rsidR="00F55D8D" w:rsidRPr="00546BAF" w:rsidRDefault="00F55D8D" w:rsidP="00F55D8D">
            <w:pPr>
              <w:rPr>
                <w:rFonts w:ascii="Arial" w:hAnsi="Arial" w:cs="Arial"/>
                <w:sz w:val="20"/>
                <w:szCs w:val="20"/>
              </w:rPr>
            </w:pPr>
            <w:proofErr w:type="spellStart"/>
            <w:r w:rsidRPr="00546BAF">
              <w:rPr>
                <w:rFonts w:ascii="Arial" w:hAnsi="Arial" w:cs="Arial"/>
                <w:b/>
                <w:bCs/>
                <w:sz w:val="20"/>
                <w:szCs w:val="20"/>
              </w:rPr>
              <w:t>MolVol</w:t>
            </w:r>
            <w:proofErr w:type="spellEnd"/>
          </w:p>
        </w:tc>
        <w:tc>
          <w:tcPr>
            <w:tcW w:w="1122" w:type="dxa"/>
          </w:tcPr>
          <w:p w14:paraId="068F16B8" w14:textId="77777777" w:rsidR="00F55D8D" w:rsidRPr="00546BAF" w:rsidRDefault="00F55D8D" w:rsidP="00F55D8D">
            <w:pPr>
              <w:rPr>
                <w:rFonts w:ascii="Arial" w:hAnsi="Arial" w:cs="Arial"/>
                <w:b/>
                <w:bCs/>
                <w:sz w:val="20"/>
                <w:szCs w:val="20"/>
              </w:rPr>
            </w:pPr>
            <w:r w:rsidRPr="00546BAF">
              <w:rPr>
                <w:rFonts w:ascii="Arial" w:hAnsi="Arial" w:cs="Arial"/>
                <w:b/>
                <w:bCs/>
                <w:sz w:val="20"/>
                <w:szCs w:val="20"/>
              </w:rPr>
              <w:t>Drug likeness model</w:t>
            </w:r>
          </w:p>
          <w:p w14:paraId="3A674884" w14:textId="77777777" w:rsidR="00F55D8D" w:rsidRPr="00546BAF" w:rsidRDefault="00F55D8D" w:rsidP="00F55D8D">
            <w:pPr>
              <w:rPr>
                <w:rFonts w:ascii="Arial" w:hAnsi="Arial" w:cs="Arial"/>
                <w:sz w:val="20"/>
                <w:szCs w:val="20"/>
              </w:rPr>
            </w:pPr>
            <w:r w:rsidRPr="00546BAF">
              <w:rPr>
                <w:rFonts w:ascii="Arial" w:hAnsi="Arial" w:cs="Arial"/>
                <w:b/>
                <w:bCs/>
                <w:sz w:val="20"/>
                <w:szCs w:val="20"/>
              </w:rPr>
              <w:t>score</w:t>
            </w:r>
          </w:p>
        </w:tc>
      </w:tr>
      <w:tr w:rsidR="00FC0C99" w:rsidRPr="00546BAF" w14:paraId="18C39ED1" w14:textId="77777777" w:rsidTr="00270965">
        <w:trPr>
          <w:jc w:val="center"/>
        </w:trPr>
        <w:tc>
          <w:tcPr>
            <w:tcW w:w="910" w:type="dxa"/>
          </w:tcPr>
          <w:p w14:paraId="20EEE523" w14:textId="77777777" w:rsidR="00FC0C99" w:rsidRPr="00546BAF" w:rsidRDefault="00F8728E" w:rsidP="00270965">
            <w:pPr>
              <w:rPr>
                <w:rFonts w:ascii="Arial" w:hAnsi="Arial" w:cs="Arial"/>
                <w:sz w:val="20"/>
                <w:szCs w:val="20"/>
              </w:rPr>
            </w:pPr>
            <w:r w:rsidRPr="00546BAF">
              <w:rPr>
                <w:rFonts w:ascii="Arial" w:hAnsi="Arial" w:cs="Arial"/>
                <w:sz w:val="20"/>
                <w:szCs w:val="20"/>
              </w:rPr>
              <w:t>FA</w:t>
            </w:r>
            <w:r w:rsidR="00FC0C99" w:rsidRPr="00546BAF">
              <w:rPr>
                <w:rFonts w:ascii="Arial" w:hAnsi="Arial" w:cs="Arial"/>
                <w:sz w:val="20"/>
                <w:szCs w:val="20"/>
              </w:rPr>
              <w:t>1</w:t>
            </w:r>
          </w:p>
        </w:tc>
        <w:tc>
          <w:tcPr>
            <w:tcW w:w="899" w:type="dxa"/>
          </w:tcPr>
          <w:p w14:paraId="07D92C8F" w14:textId="77777777" w:rsidR="00FC0C99" w:rsidRPr="00546BAF" w:rsidRDefault="00FC0C99" w:rsidP="00270965">
            <w:pPr>
              <w:rPr>
                <w:rFonts w:ascii="Arial" w:hAnsi="Arial" w:cs="Arial"/>
                <w:sz w:val="20"/>
                <w:szCs w:val="20"/>
              </w:rPr>
            </w:pPr>
            <w:r w:rsidRPr="00546BAF">
              <w:rPr>
                <w:rFonts w:ascii="Arial" w:hAnsi="Arial" w:cs="Arial"/>
                <w:sz w:val="20"/>
                <w:szCs w:val="20"/>
              </w:rPr>
              <w:t>283.12</w:t>
            </w:r>
          </w:p>
        </w:tc>
        <w:tc>
          <w:tcPr>
            <w:tcW w:w="737" w:type="dxa"/>
          </w:tcPr>
          <w:p w14:paraId="318F304F" w14:textId="77777777" w:rsidR="00FC0C99" w:rsidRPr="00546BAF" w:rsidRDefault="00FC0C99" w:rsidP="00270965">
            <w:pPr>
              <w:rPr>
                <w:rFonts w:ascii="Arial" w:hAnsi="Arial" w:cs="Arial"/>
                <w:sz w:val="20"/>
                <w:szCs w:val="20"/>
              </w:rPr>
            </w:pPr>
            <w:r w:rsidRPr="00546BAF">
              <w:rPr>
                <w:rFonts w:ascii="Arial" w:hAnsi="Arial" w:cs="Arial"/>
                <w:sz w:val="20"/>
                <w:szCs w:val="20"/>
              </w:rPr>
              <w:t>3</w:t>
            </w:r>
          </w:p>
        </w:tc>
        <w:tc>
          <w:tcPr>
            <w:tcW w:w="737" w:type="dxa"/>
          </w:tcPr>
          <w:p w14:paraId="5D3D0FAE" w14:textId="77777777" w:rsidR="00FC0C99" w:rsidRPr="00546BAF" w:rsidRDefault="00FC0C99" w:rsidP="00270965">
            <w:pPr>
              <w:rPr>
                <w:rFonts w:ascii="Arial" w:hAnsi="Arial" w:cs="Arial"/>
                <w:sz w:val="20"/>
                <w:szCs w:val="20"/>
              </w:rPr>
            </w:pPr>
            <w:r w:rsidRPr="00546BAF">
              <w:rPr>
                <w:rFonts w:ascii="Arial" w:hAnsi="Arial" w:cs="Arial"/>
                <w:sz w:val="20"/>
                <w:szCs w:val="20"/>
              </w:rPr>
              <w:t>2</w:t>
            </w:r>
          </w:p>
        </w:tc>
        <w:tc>
          <w:tcPr>
            <w:tcW w:w="1176" w:type="dxa"/>
          </w:tcPr>
          <w:p w14:paraId="0A8F5CE8" w14:textId="77777777" w:rsidR="00FC0C99" w:rsidRPr="00546BAF" w:rsidRDefault="00FC0C99" w:rsidP="00270965">
            <w:pPr>
              <w:rPr>
                <w:rFonts w:ascii="Arial" w:hAnsi="Arial" w:cs="Arial"/>
                <w:sz w:val="20"/>
                <w:szCs w:val="20"/>
              </w:rPr>
            </w:pPr>
            <w:r w:rsidRPr="00546BAF">
              <w:rPr>
                <w:rFonts w:ascii="Arial" w:hAnsi="Arial" w:cs="Arial"/>
                <w:sz w:val="20"/>
                <w:szCs w:val="20"/>
              </w:rPr>
              <w:t>3.54</w:t>
            </w:r>
          </w:p>
        </w:tc>
        <w:tc>
          <w:tcPr>
            <w:tcW w:w="1089" w:type="dxa"/>
          </w:tcPr>
          <w:p w14:paraId="38EBE9D4" w14:textId="77777777" w:rsidR="00FC0C99" w:rsidRPr="00546BAF" w:rsidRDefault="00FC0C99" w:rsidP="00270965">
            <w:pPr>
              <w:rPr>
                <w:rFonts w:ascii="Arial" w:hAnsi="Arial" w:cs="Arial"/>
                <w:sz w:val="20"/>
                <w:szCs w:val="20"/>
              </w:rPr>
            </w:pPr>
            <w:r w:rsidRPr="00546BAF">
              <w:rPr>
                <w:rFonts w:ascii="Arial" w:hAnsi="Arial" w:cs="Arial"/>
                <w:sz w:val="20"/>
                <w:szCs w:val="20"/>
              </w:rPr>
              <w:t>47.29</w:t>
            </w:r>
          </w:p>
        </w:tc>
        <w:tc>
          <w:tcPr>
            <w:tcW w:w="1316" w:type="dxa"/>
          </w:tcPr>
          <w:p w14:paraId="4D7630AC" w14:textId="77777777" w:rsidR="00FC0C99" w:rsidRPr="00546BAF" w:rsidRDefault="00FC0C99" w:rsidP="00270965">
            <w:pPr>
              <w:rPr>
                <w:rFonts w:ascii="Arial" w:hAnsi="Arial" w:cs="Arial"/>
                <w:sz w:val="20"/>
                <w:szCs w:val="20"/>
              </w:rPr>
            </w:pPr>
            <w:r w:rsidRPr="00546BAF">
              <w:rPr>
                <w:rFonts w:ascii="Arial" w:hAnsi="Arial" w:cs="Arial"/>
                <w:sz w:val="20"/>
                <w:szCs w:val="20"/>
              </w:rPr>
              <w:t>298.62</w:t>
            </w:r>
          </w:p>
        </w:tc>
        <w:tc>
          <w:tcPr>
            <w:tcW w:w="1122" w:type="dxa"/>
          </w:tcPr>
          <w:p w14:paraId="4A361B56" w14:textId="77777777" w:rsidR="00FC0C99" w:rsidRPr="00546BAF" w:rsidRDefault="00FC0C99" w:rsidP="00270965">
            <w:pPr>
              <w:rPr>
                <w:rFonts w:ascii="Arial" w:hAnsi="Arial" w:cs="Arial"/>
                <w:sz w:val="20"/>
                <w:szCs w:val="20"/>
              </w:rPr>
            </w:pPr>
            <w:r w:rsidRPr="00546BAF">
              <w:rPr>
                <w:rFonts w:ascii="Arial" w:hAnsi="Arial" w:cs="Arial"/>
                <w:sz w:val="20"/>
                <w:szCs w:val="20"/>
              </w:rPr>
              <w:t>-0.29</w:t>
            </w:r>
          </w:p>
        </w:tc>
      </w:tr>
      <w:tr w:rsidR="00FC0C99" w:rsidRPr="00546BAF" w14:paraId="2712E1DC" w14:textId="77777777" w:rsidTr="00270965">
        <w:trPr>
          <w:jc w:val="center"/>
        </w:trPr>
        <w:tc>
          <w:tcPr>
            <w:tcW w:w="910" w:type="dxa"/>
          </w:tcPr>
          <w:p w14:paraId="23B072F9" w14:textId="77777777" w:rsidR="00FC0C99" w:rsidRPr="00546BAF" w:rsidRDefault="00F8728E" w:rsidP="00270965">
            <w:pPr>
              <w:rPr>
                <w:rFonts w:ascii="Arial" w:hAnsi="Arial" w:cs="Arial"/>
                <w:sz w:val="20"/>
                <w:szCs w:val="20"/>
              </w:rPr>
            </w:pPr>
            <w:r w:rsidRPr="00546BAF">
              <w:rPr>
                <w:rFonts w:ascii="Arial" w:hAnsi="Arial" w:cs="Arial"/>
                <w:sz w:val="20"/>
                <w:szCs w:val="20"/>
              </w:rPr>
              <w:t>FA</w:t>
            </w:r>
            <w:r w:rsidR="00FC0C99" w:rsidRPr="00546BAF">
              <w:rPr>
                <w:rFonts w:ascii="Arial" w:hAnsi="Arial" w:cs="Arial"/>
                <w:sz w:val="20"/>
                <w:szCs w:val="20"/>
              </w:rPr>
              <w:t>2</w:t>
            </w:r>
          </w:p>
        </w:tc>
        <w:tc>
          <w:tcPr>
            <w:tcW w:w="899" w:type="dxa"/>
          </w:tcPr>
          <w:p w14:paraId="43377307" w14:textId="77777777" w:rsidR="00FC0C99" w:rsidRPr="00546BAF" w:rsidRDefault="00FC0C99" w:rsidP="00270965">
            <w:pPr>
              <w:rPr>
                <w:rFonts w:ascii="Arial" w:hAnsi="Arial" w:cs="Arial"/>
                <w:sz w:val="20"/>
                <w:szCs w:val="20"/>
              </w:rPr>
            </w:pPr>
            <w:r w:rsidRPr="00546BAF">
              <w:rPr>
                <w:rFonts w:ascii="Arial" w:hAnsi="Arial" w:cs="Arial"/>
                <w:sz w:val="20"/>
                <w:szCs w:val="20"/>
              </w:rPr>
              <w:t>273.10</w:t>
            </w:r>
          </w:p>
        </w:tc>
        <w:tc>
          <w:tcPr>
            <w:tcW w:w="737" w:type="dxa"/>
          </w:tcPr>
          <w:p w14:paraId="4144B2B4" w14:textId="77777777" w:rsidR="00FC0C99" w:rsidRPr="00546BAF" w:rsidRDefault="00FC0C99" w:rsidP="00270965">
            <w:pPr>
              <w:rPr>
                <w:rFonts w:ascii="Arial" w:hAnsi="Arial" w:cs="Arial"/>
                <w:sz w:val="20"/>
                <w:szCs w:val="20"/>
              </w:rPr>
            </w:pPr>
            <w:r w:rsidRPr="00546BAF">
              <w:rPr>
                <w:rFonts w:ascii="Arial" w:hAnsi="Arial" w:cs="Arial"/>
                <w:sz w:val="20"/>
                <w:szCs w:val="20"/>
              </w:rPr>
              <w:t>4</w:t>
            </w:r>
          </w:p>
        </w:tc>
        <w:tc>
          <w:tcPr>
            <w:tcW w:w="737" w:type="dxa"/>
          </w:tcPr>
          <w:p w14:paraId="03887118" w14:textId="77777777" w:rsidR="00FC0C99" w:rsidRPr="00546BAF" w:rsidRDefault="00FC0C99" w:rsidP="00270965">
            <w:pPr>
              <w:rPr>
                <w:rFonts w:ascii="Arial" w:hAnsi="Arial" w:cs="Arial"/>
                <w:sz w:val="20"/>
                <w:szCs w:val="20"/>
              </w:rPr>
            </w:pPr>
            <w:r w:rsidRPr="00546BAF">
              <w:rPr>
                <w:rFonts w:ascii="Arial" w:hAnsi="Arial" w:cs="Arial"/>
                <w:sz w:val="20"/>
                <w:szCs w:val="20"/>
              </w:rPr>
              <w:t>2</w:t>
            </w:r>
          </w:p>
        </w:tc>
        <w:tc>
          <w:tcPr>
            <w:tcW w:w="1176" w:type="dxa"/>
          </w:tcPr>
          <w:p w14:paraId="2467670F" w14:textId="77777777" w:rsidR="00FC0C99" w:rsidRPr="00546BAF" w:rsidRDefault="00FC0C99" w:rsidP="00270965">
            <w:pPr>
              <w:rPr>
                <w:rFonts w:ascii="Arial" w:hAnsi="Arial" w:cs="Arial"/>
                <w:sz w:val="20"/>
                <w:szCs w:val="20"/>
              </w:rPr>
            </w:pPr>
            <w:r w:rsidRPr="00546BAF">
              <w:rPr>
                <w:rFonts w:ascii="Arial" w:hAnsi="Arial" w:cs="Arial"/>
                <w:sz w:val="20"/>
                <w:szCs w:val="20"/>
              </w:rPr>
              <w:t>2.62</w:t>
            </w:r>
          </w:p>
        </w:tc>
        <w:tc>
          <w:tcPr>
            <w:tcW w:w="1089" w:type="dxa"/>
          </w:tcPr>
          <w:p w14:paraId="2DE96CE9" w14:textId="77777777" w:rsidR="00FC0C99" w:rsidRPr="00546BAF" w:rsidRDefault="00FC0C99" w:rsidP="00270965">
            <w:pPr>
              <w:rPr>
                <w:rFonts w:ascii="Arial" w:hAnsi="Arial" w:cs="Arial"/>
                <w:sz w:val="20"/>
                <w:szCs w:val="20"/>
              </w:rPr>
            </w:pPr>
            <w:r w:rsidRPr="00546BAF">
              <w:rPr>
                <w:rFonts w:ascii="Arial" w:hAnsi="Arial" w:cs="Arial"/>
                <w:sz w:val="20"/>
                <w:szCs w:val="20"/>
              </w:rPr>
              <w:t>56.37</w:t>
            </w:r>
          </w:p>
        </w:tc>
        <w:tc>
          <w:tcPr>
            <w:tcW w:w="1316" w:type="dxa"/>
          </w:tcPr>
          <w:p w14:paraId="6F0404E7" w14:textId="77777777" w:rsidR="00FC0C99" w:rsidRPr="00546BAF" w:rsidRDefault="00FC0C99" w:rsidP="00270965">
            <w:pPr>
              <w:rPr>
                <w:rFonts w:ascii="Arial" w:hAnsi="Arial" w:cs="Arial"/>
                <w:sz w:val="20"/>
                <w:szCs w:val="20"/>
              </w:rPr>
            </w:pPr>
            <w:r w:rsidRPr="00546BAF">
              <w:rPr>
                <w:rFonts w:ascii="Arial" w:hAnsi="Arial" w:cs="Arial"/>
                <w:sz w:val="20"/>
                <w:szCs w:val="20"/>
              </w:rPr>
              <w:t>279.70</w:t>
            </w:r>
          </w:p>
        </w:tc>
        <w:tc>
          <w:tcPr>
            <w:tcW w:w="1122" w:type="dxa"/>
          </w:tcPr>
          <w:p w14:paraId="083CFF18" w14:textId="77777777" w:rsidR="00FC0C99" w:rsidRPr="00546BAF" w:rsidRDefault="00FC0C99" w:rsidP="00270965">
            <w:pPr>
              <w:rPr>
                <w:rFonts w:ascii="Arial" w:hAnsi="Arial" w:cs="Arial"/>
                <w:sz w:val="20"/>
                <w:szCs w:val="20"/>
              </w:rPr>
            </w:pPr>
            <w:r w:rsidRPr="00546BAF">
              <w:rPr>
                <w:rFonts w:ascii="Arial" w:hAnsi="Arial" w:cs="Arial"/>
                <w:sz w:val="20"/>
                <w:szCs w:val="20"/>
              </w:rPr>
              <w:t>-0.06</w:t>
            </w:r>
          </w:p>
        </w:tc>
      </w:tr>
      <w:tr w:rsidR="00FC0C99" w:rsidRPr="00546BAF" w14:paraId="6034A377" w14:textId="77777777" w:rsidTr="00270965">
        <w:trPr>
          <w:jc w:val="center"/>
        </w:trPr>
        <w:tc>
          <w:tcPr>
            <w:tcW w:w="910" w:type="dxa"/>
          </w:tcPr>
          <w:p w14:paraId="1A6F79DC" w14:textId="77777777" w:rsidR="00FC0C99" w:rsidRPr="00546BAF" w:rsidRDefault="00F8728E" w:rsidP="00270965">
            <w:pPr>
              <w:rPr>
                <w:rFonts w:ascii="Arial" w:hAnsi="Arial" w:cs="Arial"/>
                <w:sz w:val="20"/>
                <w:szCs w:val="20"/>
              </w:rPr>
            </w:pPr>
            <w:r w:rsidRPr="00546BAF">
              <w:rPr>
                <w:rFonts w:ascii="Arial" w:hAnsi="Arial" w:cs="Arial"/>
                <w:sz w:val="20"/>
                <w:szCs w:val="20"/>
              </w:rPr>
              <w:t>FA</w:t>
            </w:r>
            <w:r w:rsidR="00FC0C99" w:rsidRPr="00546BAF">
              <w:rPr>
                <w:rFonts w:ascii="Arial" w:hAnsi="Arial" w:cs="Arial"/>
                <w:sz w:val="20"/>
                <w:szCs w:val="20"/>
              </w:rPr>
              <w:t>3</w:t>
            </w:r>
          </w:p>
        </w:tc>
        <w:tc>
          <w:tcPr>
            <w:tcW w:w="899" w:type="dxa"/>
          </w:tcPr>
          <w:p w14:paraId="41A2A498" w14:textId="77777777" w:rsidR="00FC0C99" w:rsidRPr="00546BAF" w:rsidRDefault="00FC0C99" w:rsidP="00270965">
            <w:pPr>
              <w:rPr>
                <w:rFonts w:ascii="Arial" w:hAnsi="Arial" w:cs="Arial"/>
                <w:sz w:val="20"/>
                <w:szCs w:val="20"/>
              </w:rPr>
            </w:pPr>
            <w:r w:rsidRPr="00546BAF">
              <w:rPr>
                <w:rFonts w:ascii="Arial" w:hAnsi="Arial" w:cs="Arial"/>
                <w:sz w:val="20"/>
                <w:szCs w:val="20"/>
              </w:rPr>
              <w:t>285.10</w:t>
            </w:r>
          </w:p>
        </w:tc>
        <w:tc>
          <w:tcPr>
            <w:tcW w:w="737" w:type="dxa"/>
          </w:tcPr>
          <w:p w14:paraId="1791337D" w14:textId="77777777" w:rsidR="00FC0C99" w:rsidRPr="00546BAF" w:rsidRDefault="00FC0C99" w:rsidP="00270965">
            <w:pPr>
              <w:rPr>
                <w:rFonts w:ascii="Arial" w:hAnsi="Arial" w:cs="Arial"/>
                <w:sz w:val="20"/>
                <w:szCs w:val="20"/>
              </w:rPr>
            </w:pPr>
            <w:r w:rsidRPr="00546BAF">
              <w:rPr>
                <w:rFonts w:ascii="Arial" w:hAnsi="Arial" w:cs="Arial"/>
                <w:sz w:val="20"/>
                <w:szCs w:val="20"/>
              </w:rPr>
              <w:t>4</w:t>
            </w:r>
          </w:p>
        </w:tc>
        <w:tc>
          <w:tcPr>
            <w:tcW w:w="737" w:type="dxa"/>
          </w:tcPr>
          <w:p w14:paraId="3870F4D6" w14:textId="77777777" w:rsidR="00FC0C99" w:rsidRPr="00546BAF" w:rsidRDefault="00FC0C99" w:rsidP="00270965">
            <w:pPr>
              <w:rPr>
                <w:rFonts w:ascii="Arial" w:hAnsi="Arial" w:cs="Arial"/>
                <w:sz w:val="20"/>
                <w:szCs w:val="20"/>
              </w:rPr>
            </w:pPr>
            <w:r w:rsidRPr="00546BAF">
              <w:rPr>
                <w:rFonts w:ascii="Arial" w:hAnsi="Arial" w:cs="Arial"/>
                <w:sz w:val="20"/>
                <w:szCs w:val="20"/>
              </w:rPr>
              <w:t>3</w:t>
            </w:r>
          </w:p>
        </w:tc>
        <w:tc>
          <w:tcPr>
            <w:tcW w:w="1176" w:type="dxa"/>
          </w:tcPr>
          <w:p w14:paraId="606D98F2" w14:textId="77777777" w:rsidR="00FC0C99" w:rsidRPr="00546BAF" w:rsidRDefault="00FC0C99" w:rsidP="00270965">
            <w:pPr>
              <w:rPr>
                <w:rFonts w:ascii="Arial" w:hAnsi="Arial" w:cs="Arial"/>
                <w:sz w:val="20"/>
                <w:szCs w:val="20"/>
              </w:rPr>
            </w:pPr>
            <w:r w:rsidRPr="00546BAF">
              <w:rPr>
                <w:rFonts w:ascii="Arial" w:hAnsi="Arial" w:cs="Arial"/>
                <w:sz w:val="20"/>
                <w:szCs w:val="20"/>
              </w:rPr>
              <w:t>3.03</w:t>
            </w:r>
          </w:p>
        </w:tc>
        <w:tc>
          <w:tcPr>
            <w:tcW w:w="1089" w:type="dxa"/>
          </w:tcPr>
          <w:p w14:paraId="679168A2" w14:textId="77777777" w:rsidR="00FC0C99" w:rsidRPr="00546BAF" w:rsidRDefault="00FC0C99" w:rsidP="00270965">
            <w:pPr>
              <w:rPr>
                <w:rFonts w:ascii="Arial" w:hAnsi="Arial" w:cs="Arial"/>
                <w:sz w:val="20"/>
                <w:szCs w:val="20"/>
              </w:rPr>
            </w:pPr>
            <w:r w:rsidRPr="00546BAF">
              <w:rPr>
                <w:rFonts w:ascii="Arial" w:hAnsi="Arial" w:cs="Arial"/>
                <w:sz w:val="20"/>
                <w:szCs w:val="20"/>
              </w:rPr>
              <w:t>63.15</w:t>
            </w:r>
          </w:p>
        </w:tc>
        <w:tc>
          <w:tcPr>
            <w:tcW w:w="1316" w:type="dxa"/>
          </w:tcPr>
          <w:p w14:paraId="5067FE32" w14:textId="77777777" w:rsidR="00FC0C99" w:rsidRPr="00546BAF" w:rsidRDefault="00FC0C99" w:rsidP="00270965">
            <w:pPr>
              <w:rPr>
                <w:rFonts w:ascii="Arial" w:hAnsi="Arial" w:cs="Arial"/>
                <w:sz w:val="20"/>
                <w:szCs w:val="20"/>
              </w:rPr>
            </w:pPr>
            <w:r w:rsidRPr="00546BAF">
              <w:rPr>
                <w:rFonts w:ascii="Arial" w:hAnsi="Arial" w:cs="Arial"/>
                <w:sz w:val="20"/>
                <w:szCs w:val="20"/>
              </w:rPr>
              <w:t>289.92</w:t>
            </w:r>
          </w:p>
        </w:tc>
        <w:tc>
          <w:tcPr>
            <w:tcW w:w="1122" w:type="dxa"/>
          </w:tcPr>
          <w:p w14:paraId="408F9ADB" w14:textId="77777777" w:rsidR="00FC0C99" w:rsidRPr="00546BAF" w:rsidRDefault="00FC0C99" w:rsidP="00270965">
            <w:pPr>
              <w:rPr>
                <w:rFonts w:ascii="Arial" w:hAnsi="Arial" w:cs="Arial"/>
                <w:sz w:val="20"/>
                <w:szCs w:val="20"/>
              </w:rPr>
            </w:pPr>
            <w:r w:rsidRPr="00546BAF">
              <w:rPr>
                <w:rFonts w:ascii="Arial" w:hAnsi="Arial" w:cs="Arial"/>
                <w:sz w:val="20"/>
                <w:szCs w:val="20"/>
              </w:rPr>
              <w:t>-0.27</w:t>
            </w:r>
          </w:p>
        </w:tc>
      </w:tr>
      <w:tr w:rsidR="00FC0C99" w:rsidRPr="00546BAF" w14:paraId="43B171FD" w14:textId="77777777" w:rsidTr="00270965">
        <w:trPr>
          <w:jc w:val="center"/>
        </w:trPr>
        <w:tc>
          <w:tcPr>
            <w:tcW w:w="910" w:type="dxa"/>
          </w:tcPr>
          <w:p w14:paraId="5E6FF940" w14:textId="77777777" w:rsidR="00FC0C99" w:rsidRPr="00546BAF" w:rsidRDefault="00F8728E" w:rsidP="00270965">
            <w:pPr>
              <w:rPr>
                <w:rFonts w:ascii="Arial" w:hAnsi="Arial" w:cs="Arial"/>
                <w:sz w:val="20"/>
                <w:szCs w:val="20"/>
              </w:rPr>
            </w:pPr>
            <w:r w:rsidRPr="00546BAF">
              <w:rPr>
                <w:rFonts w:ascii="Arial" w:hAnsi="Arial" w:cs="Arial"/>
                <w:sz w:val="20"/>
                <w:szCs w:val="20"/>
              </w:rPr>
              <w:t>FA</w:t>
            </w:r>
            <w:r w:rsidR="00FC0C99" w:rsidRPr="00546BAF">
              <w:rPr>
                <w:rFonts w:ascii="Arial" w:hAnsi="Arial" w:cs="Arial"/>
                <w:sz w:val="20"/>
                <w:szCs w:val="20"/>
              </w:rPr>
              <w:t>4</w:t>
            </w:r>
          </w:p>
        </w:tc>
        <w:tc>
          <w:tcPr>
            <w:tcW w:w="899" w:type="dxa"/>
          </w:tcPr>
          <w:p w14:paraId="08B9F11B" w14:textId="77777777" w:rsidR="00FC0C99" w:rsidRPr="00546BAF" w:rsidRDefault="00FC0C99" w:rsidP="00270965">
            <w:pPr>
              <w:rPr>
                <w:rFonts w:ascii="Arial" w:hAnsi="Arial" w:cs="Arial"/>
                <w:sz w:val="20"/>
                <w:szCs w:val="20"/>
              </w:rPr>
            </w:pPr>
            <w:r w:rsidRPr="00546BAF">
              <w:rPr>
                <w:rFonts w:ascii="Arial" w:hAnsi="Arial" w:cs="Arial"/>
                <w:sz w:val="20"/>
                <w:szCs w:val="20"/>
              </w:rPr>
              <w:t>311.12</w:t>
            </w:r>
          </w:p>
        </w:tc>
        <w:tc>
          <w:tcPr>
            <w:tcW w:w="737" w:type="dxa"/>
          </w:tcPr>
          <w:p w14:paraId="60635F04" w14:textId="77777777" w:rsidR="00FC0C99" w:rsidRPr="00546BAF" w:rsidRDefault="00FC0C99" w:rsidP="00270965">
            <w:pPr>
              <w:rPr>
                <w:rFonts w:ascii="Arial" w:hAnsi="Arial" w:cs="Arial"/>
                <w:sz w:val="20"/>
                <w:szCs w:val="20"/>
              </w:rPr>
            </w:pPr>
            <w:r w:rsidRPr="00546BAF">
              <w:rPr>
                <w:rFonts w:ascii="Arial" w:hAnsi="Arial" w:cs="Arial"/>
                <w:sz w:val="20"/>
                <w:szCs w:val="20"/>
              </w:rPr>
              <w:t>4</w:t>
            </w:r>
          </w:p>
        </w:tc>
        <w:tc>
          <w:tcPr>
            <w:tcW w:w="737" w:type="dxa"/>
          </w:tcPr>
          <w:p w14:paraId="5F40FDDC" w14:textId="77777777" w:rsidR="00FC0C99" w:rsidRPr="00546BAF" w:rsidRDefault="00FC0C99" w:rsidP="00270965">
            <w:pPr>
              <w:rPr>
                <w:rFonts w:ascii="Arial" w:hAnsi="Arial" w:cs="Arial"/>
                <w:sz w:val="20"/>
                <w:szCs w:val="20"/>
              </w:rPr>
            </w:pPr>
            <w:r w:rsidRPr="00546BAF">
              <w:rPr>
                <w:rFonts w:ascii="Arial" w:hAnsi="Arial" w:cs="Arial"/>
                <w:sz w:val="20"/>
                <w:szCs w:val="20"/>
              </w:rPr>
              <w:t>2</w:t>
            </w:r>
          </w:p>
        </w:tc>
        <w:tc>
          <w:tcPr>
            <w:tcW w:w="1176" w:type="dxa"/>
          </w:tcPr>
          <w:p w14:paraId="5B57BFDB" w14:textId="77777777" w:rsidR="00FC0C99" w:rsidRPr="00546BAF" w:rsidRDefault="00FC0C99" w:rsidP="00270965">
            <w:pPr>
              <w:rPr>
                <w:rFonts w:ascii="Arial" w:hAnsi="Arial" w:cs="Arial"/>
                <w:sz w:val="20"/>
                <w:szCs w:val="20"/>
              </w:rPr>
            </w:pPr>
            <w:r w:rsidRPr="00546BAF">
              <w:rPr>
                <w:rFonts w:ascii="Arial" w:hAnsi="Arial" w:cs="Arial"/>
                <w:sz w:val="20"/>
                <w:szCs w:val="20"/>
              </w:rPr>
              <w:t>3.17</w:t>
            </w:r>
          </w:p>
        </w:tc>
        <w:tc>
          <w:tcPr>
            <w:tcW w:w="1089" w:type="dxa"/>
          </w:tcPr>
          <w:p w14:paraId="506813B8" w14:textId="77777777" w:rsidR="00FC0C99" w:rsidRPr="00546BAF" w:rsidRDefault="00FC0C99" w:rsidP="00270965">
            <w:pPr>
              <w:rPr>
                <w:rFonts w:ascii="Arial" w:hAnsi="Arial" w:cs="Arial"/>
                <w:sz w:val="20"/>
                <w:szCs w:val="20"/>
              </w:rPr>
            </w:pPr>
            <w:r w:rsidRPr="00546BAF">
              <w:rPr>
                <w:rFonts w:ascii="Arial" w:hAnsi="Arial" w:cs="Arial"/>
                <w:sz w:val="20"/>
                <w:szCs w:val="20"/>
              </w:rPr>
              <w:t>60.42</w:t>
            </w:r>
          </w:p>
        </w:tc>
        <w:tc>
          <w:tcPr>
            <w:tcW w:w="1316" w:type="dxa"/>
          </w:tcPr>
          <w:p w14:paraId="43C9478B" w14:textId="77777777" w:rsidR="00FC0C99" w:rsidRPr="00546BAF" w:rsidRDefault="00FC0C99" w:rsidP="00270965">
            <w:pPr>
              <w:rPr>
                <w:rFonts w:ascii="Arial" w:hAnsi="Arial" w:cs="Arial"/>
                <w:sz w:val="20"/>
                <w:szCs w:val="20"/>
              </w:rPr>
            </w:pPr>
            <w:r w:rsidRPr="00546BAF">
              <w:rPr>
                <w:rFonts w:ascii="Arial" w:hAnsi="Arial" w:cs="Arial"/>
                <w:sz w:val="20"/>
                <w:szCs w:val="20"/>
              </w:rPr>
              <w:t>324.31</w:t>
            </w:r>
          </w:p>
        </w:tc>
        <w:tc>
          <w:tcPr>
            <w:tcW w:w="1122" w:type="dxa"/>
          </w:tcPr>
          <w:p w14:paraId="1BCA8733" w14:textId="77777777" w:rsidR="00FC0C99" w:rsidRPr="00546BAF" w:rsidRDefault="00FC0C99" w:rsidP="00270965">
            <w:pPr>
              <w:rPr>
                <w:rFonts w:ascii="Arial" w:hAnsi="Arial" w:cs="Arial"/>
                <w:sz w:val="20"/>
                <w:szCs w:val="20"/>
              </w:rPr>
            </w:pPr>
            <w:r w:rsidRPr="00546BAF">
              <w:rPr>
                <w:rFonts w:ascii="Arial" w:hAnsi="Arial" w:cs="Arial"/>
                <w:sz w:val="20"/>
                <w:szCs w:val="20"/>
              </w:rPr>
              <w:t>0.37</w:t>
            </w:r>
          </w:p>
        </w:tc>
      </w:tr>
      <w:tr w:rsidR="00FC0C99" w:rsidRPr="00546BAF" w14:paraId="53A7DA9D" w14:textId="77777777" w:rsidTr="00270965">
        <w:trPr>
          <w:jc w:val="center"/>
        </w:trPr>
        <w:tc>
          <w:tcPr>
            <w:tcW w:w="910" w:type="dxa"/>
          </w:tcPr>
          <w:p w14:paraId="096ED52C" w14:textId="77777777" w:rsidR="00FC0C99" w:rsidRPr="00546BAF" w:rsidRDefault="00F8728E" w:rsidP="00270965">
            <w:pPr>
              <w:rPr>
                <w:rFonts w:ascii="Arial" w:hAnsi="Arial" w:cs="Arial"/>
                <w:sz w:val="20"/>
                <w:szCs w:val="20"/>
              </w:rPr>
            </w:pPr>
            <w:r w:rsidRPr="00546BAF">
              <w:rPr>
                <w:rFonts w:ascii="Arial" w:hAnsi="Arial" w:cs="Arial"/>
                <w:sz w:val="20"/>
                <w:szCs w:val="20"/>
              </w:rPr>
              <w:t>FA</w:t>
            </w:r>
            <w:r w:rsidR="00FC0C99" w:rsidRPr="00546BAF">
              <w:rPr>
                <w:rFonts w:ascii="Arial" w:hAnsi="Arial" w:cs="Arial"/>
                <w:sz w:val="20"/>
                <w:szCs w:val="20"/>
              </w:rPr>
              <w:t>5</w:t>
            </w:r>
          </w:p>
        </w:tc>
        <w:tc>
          <w:tcPr>
            <w:tcW w:w="899" w:type="dxa"/>
          </w:tcPr>
          <w:p w14:paraId="7BF4BFCA" w14:textId="77777777" w:rsidR="00FC0C99" w:rsidRPr="00546BAF" w:rsidRDefault="00FC0C99" w:rsidP="00270965">
            <w:pPr>
              <w:rPr>
                <w:rFonts w:ascii="Arial" w:hAnsi="Arial" w:cs="Arial"/>
                <w:sz w:val="20"/>
                <w:szCs w:val="20"/>
              </w:rPr>
            </w:pPr>
            <w:r w:rsidRPr="00546BAF">
              <w:rPr>
                <w:rFonts w:ascii="Arial" w:hAnsi="Arial" w:cs="Arial"/>
                <w:sz w:val="20"/>
                <w:szCs w:val="20"/>
              </w:rPr>
              <w:t>311.12</w:t>
            </w:r>
          </w:p>
        </w:tc>
        <w:tc>
          <w:tcPr>
            <w:tcW w:w="737" w:type="dxa"/>
          </w:tcPr>
          <w:p w14:paraId="776E9B2B" w14:textId="77777777" w:rsidR="00FC0C99" w:rsidRPr="00546BAF" w:rsidRDefault="00FC0C99" w:rsidP="00270965">
            <w:pPr>
              <w:rPr>
                <w:rFonts w:ascii="Arial" w:hAnsi="Arial" w:cs="Arial"/>
                <w:sz w:val="20"/>
                <w:szCs w:val="20"/>
              </w:rPr>
            </w:pPr>
            <w:r w:rsidRPr="00546BAF">
              <w:rPr>
                <w:rFonts w:ascii="Arial" w:hAnsi="Arial" w:cs="Arial"/>
                <w:sz w:val="20"/>
                <w:szCs w:val="20"/>
              </w:rPr>
              <w:t>4</w:t>
            </w:r>
          </w:p>
        </w:tc>
        <w:tc>
          <w:tcPr>
            <w:tcW w:w="737" w:type="dxa"/>
          </w:tcPr>
          <w:p w14:paraId="6943CB50" w14:textId="77777777" w:rsidR="00FC0C99" w:rsidRPr="00546BAF" w:rsidRDefault="00FC0C99" w:rsidP="00270965">
            <w:pPr>
              <w:rPr>
                <w:rFonts w:ascii="Arial" w:hAnsi="Arial" w:cs="Arial"/>
                <w:sz w:val="20"/>
                <w:szCs w:val="20"/>
              </w:rPr>
            </w:pPr>
            <w:r w:rsidRPr="00546BAF">
              <w:rPr>
                <w:rFonts w:ascii="Arial" w:hAnsi="Arial" w:cs="Arial"/>
                <w:sz w:val="20"/>
                <w:szCs w:val="20"/>
              </w:rPr>
              <w:t>2</w:t>
            </w:r>
          </w:p>
        </w:tc>
        <w:tc>
          <w:tcPr>
            <w:tcW w:w="1176" w:type="dxa"/>
          </w:tcPr>
          <w:p w14:paraId="68DB9E4B" w14:textId="77777777" w:rsidR="00FC0C99" w:rsidRPr="00546BAF" w:rsidRDefault="00FC0C99" w:rsidP="00270965">
            <w:pPr>
              <w:rPr>
                <w:rFonts w:ascii="Arial" w:hAnsi="Arial" w:cs="Arial"/>
                <w:sz w:val="20"/>
                <w:szCs w:val="20"/>
              </w:rPr>
            </w:pPr>
            <w:r w:rsidRPr="00546BAF">
              <w:rPr>
                <w:rFonts w:ascii="Arial" w:hAnsi="Arial" w:cs="Arial"/>
                <w:sz w:val="20"/>
                <w:szCs w:val="20"/>
              </w:rPr>
              <w:t>2.89</w:t>
            </w:r>
          </w:p>
        </w:tc>
        <w:tc>
          <w:tcPr>
            <w:tcW w:w="1089" w:type="dxa"/>
          </w:tcPr>
          <w:p w14:paraId="4C54821B" w14:textId="77777777" w:rsidR="00FC0C99" w:rsidRPr="00546BAF" w:rsidRDefault="00FC0C99" w:rsidP="00270965">
            <w:pPr>
              <w:rPr>
                <w:rFonts w:ascii="Arial" w:hAnsi="Arial" w:cs="Arial"/>
                <w:sz w:val="20"/>
                <w:szCs w:val="20"/>
              </w:rPr>
            </w:pPr>
            <w:r w:rsidRPr="00546BAF">
              <w:rPr>
                <w:rFonts w:ascii="Arial" w:hAnsi="Arial" w:cs="Arial"/>
                <w:sz w:val="20"/>
                <w:szCs w:val="20"/>
              </w:rPr>
              <w:t>61.12</w:t>
            </w:r>
          </w:p>
        </w:tc>
        <w:tc>
          <w:tcPr>
            <w:tcW w:w="1316" w:type="dxa"/>
          </w:tcPr>
          <w:p w14:paraId="61101DFF" w14:textId="77777777" w:rsidR="00FC0C99" w:rsidRPr="00546BAF" w:rsidRDefault="00FC0C99" w:rsidP="00270965">
            <w:pPr>
              <w:rPr>
                <w:rFonts w:ascii="Arial" w:hAnsi="Arial" w:cs="Arial"/>
                <w:sz w:val="20"/>
                <w:szCs w:val="20"/>
              </w:rPr>
            </w:pPr>
            <w:r w:rsidRPr="00546BAF">
              <w:rPr>
                <w:rFonts w:ascii="Arial" w:hAnsi="Arial" w:cs="Arial"/>
                <w:sz w:val="20"/>
                <w:szCs w:val="20"/>
              </w:rPr>
              <w:t>324.16</w:t>
            </w:r>
          </w:p>
        </w:tc>
        <w:tc>
          <w:tcPr>
            <w:tcW w:w="1122" w:type="dxa"/>
          </w:tcPr>
          <w:p w14:paraId="425BB7D2" w14:textId="77777777" w:rsidR="00FC0C99" w:rsidRPr="00546BAF" w:rsidRDefault="00FC0C99" w:rsidP="00270965">
            <w:pPr>
              <w:rPr>
                <w:rFonts w:ascii="Arial" w:hAnsi="Arial" w:cs="Arial"/>
                <w:sz w:val="20"/>
                <w:szCs w:val="20"/>
              </w:rPr>
            </w:pPr>
            <w:r w:rsidRPr="00546BAF">
              <w:rPr>
                <w:rFonts w:ascii="Arial" w:hAnsi="Arial" w:cs="Arial"/>
                <w:sz w:val="20"/>
                <w:szCs w:val="20"/>
              </w:rPr>
              <w:t>-0.05</w:t>
            </w:r>
          </w:p>
        </w:tc>
      </w:tr>
      <w:tr w:rsidR="00FC0C99" w:rsidRPr="00546BAF" w14:paraId="5A2BCA63" w14:textId="77777777" w:rsidTr="00270965">
        <w:trPr>
          <w:jc w:val="center"/>
        </w:trPr>
        <w:tc>
          <w:tcPr>
            <w:tcW w:w="910" w:type="dxa"/>
          </w:tcPr>
          <w:p w14:paraId="697AA561" w14:textId="77777777" w:rsidR="00FC0C99" w:rsidRPr="00546BAF" w:rsidRDefault="00F8728E" w:rsidP="00270965">
            <w:pPr>
              <w:rPr>
                <w:rFonts w:ascii="Arial" w:hAnsi="Arial" w:cs="Arial"/>
                <w:sz w:val="20"/>
                <w:szCs w:val="20"/>
              </w:rPr>
            </w:pPr>
            <w:r w:rsidRPr="00546BAF">
              <w:rPr>
                <w:rFonts w:ascii="Arial" w:hAnsi="Arial" w:cs="Arial"/>
                <w:sz w:val="20"/>
                <w:szCs w:val="20"/>
              </w:rPr>
              <w:t>FA</w:t>
            </w:r>
            <w:r w:rsidR="00FC0C99" w:rsidRPr="00546BAF">
              <w:rPr>
                <w:rFonts w:ascii="Arial" w:hAnsi="Arial" w:cs="Arial"/>
                <w:sz w:val="20"/>
                <w:szCs w:val="20"/>
              </w:rPr>
              <w:t>6</w:t>
            </w:r>
          </w:p>
        </w:tc>
        <w:tc>
          <w:tcPr>
            <w:tcW w:w="899" w:type="dxa"/>
          </w:tcPr>
          <w:p w14:paraId="21276D1B" w14:textId="77777777" w:rsidR="00FC0C99" w:rsidRPr="00546BAF" w:rsidRDefault="00FC0C99" w:rsidP="00270965">
            <w:pPr>
              <w:rPr>
                <w:rFonts w:ascii="Arial" w:hAnsi="Arial" w:cs="Arial"/>
                <w:sz w:val="20"/>
                <w:szCs w:val="20"/>
              </w:rPr>
            </w:pPr>
            <w:r w:rsidRPr="00546BAF">
              <w:rPr>
                <w:rFonts w:ascii="Arial" w:hAnsi="Arial" w:cs="Arial"/>
                <w:sz w:val="20"/>
                <w:szCs w:val="20"/>
              </w:rPr>
              <w:t>311.12</w:t>
            </w:r>
          </w:p>
        </w:tc>
        <w:tc>
          <w:tcPr>
            <w:tcW w:w="737" w:type="dxa"/>
          </w:tcPr>
          <w:p w14:paraId="009169BF" w14:textId="77777777" w:rsidR="00FC0C99" w:rsidRPr="00546BAF" w:rsidRDefault="00FC0C99" w:rsidP="00270965">
            <w:pPr>
              <w:rPr>
                <w:rFonts w:ascii="Arial" w:hAnsi="Arial" w:cs="Arial"/>
                <w:sz w:val="20"/>
                <w:szCs w:val="20"/>
              </w:rPr>
            </w:pPr>
            <w:r w:rsidRPr="00546BAF">
              <w:rPr>
                <w:rFonts w:ascii="Arial" w:hAnsi="Arial" w:cs="Arial"/>
                <w:sz w:val="20"/>
                <w:szCs w:val="20"/>
              </w:rPr>
              <w:t>4</w:t>
            </w:r>
          </w:p>
        </w:tc>
        <w:tc>
          <w:tcPr>
            <w:tcW w:w="737" w:type="dxa"/>
          </w:tcPr>
          <w:p w14:paraId="65927C0E" w14:textId="77777777" w:rsidR="00FC0C99" w:rsidRPr="00546BAF" w:rsidRDefault="00FC0C99" w:rsidP="00270965">
            <w:pPr>
              <w:rPr>
                <w:rFonts w:ascii="Arial" w:hAnsi="Arial" w:cs="Arial"/>
                <w:sz w:val="20"/>
                <w:szCs w:val="20"/>
              </w:rPr>
            </w:pPr>
            <w:r w:rsidRPr="00546BAF">
              <w:rPr>
                <w:rFonts w:ascii="Arial" w:hAnsi="Arial" w:cs="Arial"/>
                <w:sz w:val="20"/>
                <w:szCs w:val="20"/>
              </w:rPr>
              <w:t>2</w:t>
            </w:r>
          </w:p>
        </w:tc>
        <w:tc>
          <w:tcPr>
            <w:tcW w:w="1176" w:type="dxa"/>
          </w:tcPr>
          <w:p w14:paraId="3FAE23B7" w14:textId="77777777" w:rsidR="00FC0C99" w:rsidRPr="00546BAF" w:rsidRDefault="00FC0C99" w:rsidP="00270965">
            <w:pPr>
              <w:rPr>
                <w:rFonts w:ascii="Arial" w:hAnsi="Arial" w:cs="Arial"/>
                <w:sz w:val="20"/>
                <w:szCs w:val="20"/>
              </w:rPr>
            </w:pPr>
            <w:r w:rsidRPr="00546BAF">
              <w:rPr>
                <w:rFonts w:ascii="Arial" w:hAnsi="Arial" w:cs="Arial"/>
                <w:sz w:val="20"/>
                <w:szCs w:val="20"/>
              </w:rPr>
              <w:t>2.70</w:t>
            </w:r>
          </w:p>
        </w:tc>
        <w:tc>
          <w:tcPr>
            <w:tcW w:w="1089" w:type="dxa"/>
          </w:tcPr>
          <w:p w14:paraId="169D07BD" w14:textId="77777777" w:rsidR="00FC0C99" w:rsidRPr="00546BAF" w:rsidRDefault="00FC0C99" w:rsidP="00270965">
            <w:pPr>
              <w:rPr>
                <w:rFonts w:ascii="Arial" w:hAnsi="Arial" w:cs="Arial"/>
                <w:sz w:val="20"/>
                <w:szCs w:val="20"/>
              </w:rPr>
            </w:pPr>
            <w:r w:rsidRPr="00546BAF">
              <w:rPr>
                <w:rFonts w:ascii="Arial" w:hAnsi="Arial" w:cs="Arial"/>
                <w:sz w:val="20"/>
                <w:szCs w:val="20"/>
              </w:rPr>
              <w:t>61.12</w:t>
            </w:r>
          </w:p>
        </w:tc>
        <w:tc>
          <w:tcPr>
            <w:tcW w:w="1316" w:type="dxa"/>
          </w:tcPr>
          <w:p w14:paraId="213E927D" w14:textId="77777777" w:rsidR="00FC0C99" w:rsidRPr="00546BAF" w:rsidRDefault="00FC0C99" w:rsidP="00270965">
            <w:pPr>
              <w:rPr>
                <w:rFonts w:ascii="Arial" w:hAnsi="Arial" w:cs="Arial"/>
                <w:sz w:val="20"/>
                <w:szCs w:val="20"/>
              </w:rPr>
            </w:pPr>
            <w:r w:rsidRPr="00546BAF">
              <w:rPr>
                <w:rFonts w:ascii="Arial" w:hAnsi="Arial" w:cs="Arial"/>
                <w:sz w:val="20"/>
                <w:szCs w:val="20"/>
              </w:rPr>
              <w:t>324.08</w:t>
            </w:r>
          </w:p>
        </w:tc>
        <w:tc>
          <w:tcPr>
            <w:tcW w:w="1122" w:type="dxa"/>
          </w:tcPr>
          <w:p w14:paraId="78867B0E" w14:textId="77777777" w:rsidR="00FC0C99" w:rsidRPr="00546BAF" w:rsidRDefault="00FC0C99" w:rsidP="00270965">
            <w:pPr>
              <w:rPr>
                <w:rFonts w:ascii="Arial" w:hAnsi="Arial" w:cs="Arial"/>
                <w:sz w:val="20"/>
                <w:szCs w:val="20"/>
              </w:rPr>
            </w:pPr>
            <w:r w:rsidRPr="00546BAF">
              <w:rPr>
                <w:rFonts w:ascii="Arial" w:hAnsi="Arial" w:cs="Arial"/>
                <w:sz w:val="20"/>
                <w:szCs w:val="20"/>
              </w:rPr>
              <w:t>0.20</w:t>
            </w:r>
          </w:p>
        </w:tc>
      </w:tr>
      <w:tr w:rsidR="00FC0C99" w:rsidRPr="00546BAF" w14:paraId="058053EC" w14:textId="77777777" w:rsidTr="00270965">
        <w:trPr>
          <w:jc w:val="center"/>
        </w:trPr>
        <w:tc>
          <w:tcPr>
            <w:tcW w:w="910" w:type="dxa"/>
          </w:tcPr>
          <w:p w14:paraId="5D000D02" w14:textId="77777777" w:rsidR="00FC0C99" w:rsidRPr="00546BAF" w:rsidRDefault="00F8728E" w:rsidP="00270965">
            <w:pPr>
              <w:rPr>
                <w:rFonts w:ascii="Arial" w:hAnsi="Arial" w:cs="Arial"/>
                <w:sz w:val="20"/>
                <w:szCs w:val="20"/>
              </w:rPr>
            </w:pPr>
            <w:r w:rsidRPr="00546BAF">
              <w:rPr>
                <w:rFonts w:ascii="Arial" w:hAnsi="Arial" w:cs="Arial"/>
                <w:sz w:val="20"/>
                <w:szCs w:val="20"/>
              </w:rPr>
              <w:t>FA</w:t>
            </w:r>
            <w:r w:rsidR="00FC0C99" w:rsidRPr="00546BAF">
              <w:rPr>
                <w:rFonts w:ascii="Arial" w:hAnsi="Arial" w:cs="Arial"/>
                <w:sz w:val="20"/>
                <w:szCs w:val="20"/>
              </w:rPr>
              <w:t>7</w:t>
            </w:r>
          </w:p>
        </w:tc>
        <w:tc>
          <w:tcPr>
            <w:tcW w:w="899" w:type="dxa"/>
          </w:tcPr>
          <w:p w14:paraId="65FFE5C8" w14:textId="77777777" w:rsidR="00FC0C99" w:rsidRPr="00546BAF" w:rsidRDefault="00FC0C99" w:rsidP="00270965">
            <w:pPr>
              <w:rPr>
                <w:rFonts w:ascii="Arial" w:hAnsi="Arial" w:cs="Arial"/>
                <w:sz w:val="20"/>
                <w:szCs w:val="20"/>
              </w:rPr>
            </w:pPr>
            <w:r w:rsidRPr="00546BAF">
              <w:rPr>
                <w:rFonts w:ascii="Arial" w:hAnsi="Arial" w:cs="Arial"/>
                <w:sz w:val="20"/>
                <w:szCs w:val="20"/>
              </w:rPr>
              <w:t>349.06</w:t>
            </w:r>
          </w:p>
        </w:tc>
        <w:tc>
          <w:tcPr>
            <w:tcW w:w="737" w:type="dxa"/>
          </w:tcPr>
          <w:p w14:paraId="251F249E" w14:textId="77777777" w:rsidR="00FC0C99" w:rsidRPr="00546BAF" w:rsidRDefault="00FC0C99" w:rsidP="00270965">
            <w:pPr>
              <w:rPr>
                <w:rFonts w:ascii="Arial" w:hAnsi="Arial" w:cs="Arial"/>
                <w:sz w:val="20"/>
                <w:szCs w:val="20"/>
              </w:rPr>
            </w:pPr>
            <w:r w:rsidRPr="00546BAF">
              <w:rPr>
                <w:rFonts w:ascii="Arial" w:hAnsi="Arial" w:cs="Arial"/>
                <w:sz w:val="20"/>
                <w:szCs w:val="20"/>
              </w:rPr>
              <w:t>6</w:t>
            </w:r>
          </w:p>
        </w:tc>
        <w:tc>
          <w:tcPr>
            <w:tcW w:w="737" w:type="dxa"/>
          </w:tcPr>
          <w:p w14:paraId="36CC77A6" w14:textId="77777777" w:rsidR="00FC0C99" w:rsidRPr="00546BAF" w:rsidRDefault="00FC0C99" w:rsidP="00270965">
            <w:pPr>
              <w:rPr>
                <w:rFonts w:ascii="Arial" w:hAnsi="Arial" w:cs="Arial"/>
                <w:sz w:val="20"/>
                <w:szCs w:val="20"/>
              </w:rPr>
            </w:pPr>
            <w:r w:rsidRPr="00546BAF">
              <w:rPr>
                <w:rFonts w:ascii="Arial" w:hAnsi="Arial" w:cs="Arial"/>
                <w:sz w:val="20"/>
                <w:szCs w:val="20"/>
              </w:rPr>
              <w:t>3</w:t>
            </w:r>
          </w:p>
        </w:tc>
        <w:tc>
          <w:tcPr>
            <w:tcW w:w="1176" w:type="dxa"/>
          </w:tcPr>
          <w:p w14:paraId="5D16E243" w14:textId="77777777" w:rsidR="00FC0C99" w:rsidRPr="00546BAF" w:rsidRDefault="00FC0C99" w:rsidP="00270965">
            <w:pPr>
              <w:rPr>
                <w:rFonts w:ascii="Arial" w:hAnsi="Arial" w:cs="Arial"/>
                <w:sz w:val="20"/>
                <w:szCs w:val="20"/>
              </w:rPr>
            </w:pPr>
            <w:r w:rsidRPr="00546BAF">
              <w:rPr>
                <w:rFonts w:ascii="Arial" w:hAnsi="Arial" w:cs="Arial"/>
                <w:sz w:val="20"/>
                <w:szCs w:val="20"/>
              </w:rPr>
              <w:t>-0.05</w:t>
            </w:r>
          </w:p>
        </w:tc>
        <w:tc>
          <w:tcPr>
            <w:tcW w:w="1089" w:type="dxa"/>
          </w:tcPr>
          <w:p w14:paraId="51F2FEB4" w14:textId="77777777" w:rsidR="00FC0C99" w:rsidRPr="00546BAF" w:rsidRDefault="00FC0C99" w:rsidP="00270965">
            <w:pPr>
              <w:rPr>
                <w:rFonts w:ascii="Arial" w:hAnsi="Arial" w:cs="Arial"/>
                <w:sz w:val="20"/>
                <w:szCs w:val="20"/>
              </w:rPr>
            </w:pPr>
            <w:r w:rsidRPr="00546BAF">
              <w:rPr>
                <w:rFonts w:ascii="Arial" w:hAnsi="Arial" w:cs="Arial"/>
                <w:sz w:val="20"/>
                <w:szCs w:val="20"/>
              </w:rPr>
              <w:t>89.71</w:t>
            </w:r>
          </w:p>
        </w:tc>
        <w:tc>
          <w:tcPr>
            <w:tcW w:w="1316" w:type="dxa"/>
          </w:tcPr>
          <w:p w14:paraId="72221B7A" w14:textId="77777777" w:rsidR="00FC0C99" w:rsidRPr="00546BAF" w:rsidRDefault="00FC0C99" w:rsidP="00270965">
            <w:pPr>
              <w:rPr>
                <w:rFonts w:ascii="Arial" w:hAnsi="Arial" w:cs="Arial"/>
                <w:sz w:val="20"/>
                <w:szCs w:val="20"/>
              </w:rPr>
            </w:pPr>
            <w:r w:rsidRPr="00546BAF">
              <w:rPr>
                <w:rFonts w:ascii="Arial" w:hAnsi="Arial" w:cs="Arial"/>
                <w:sz w:val="20"/>
                <w:szCs w:val="20"/>
              </w:rPr>
              <w:t>320.59</w:t>
            </w:r>
          </w:p>
        </w:tc>
        <w:tc>
          <w:tcPr>
            <w:tcW w:w="1122" w:type="dxa"/>
          </w:tcPr>
          <w:p w14:paraId="2184FA3A" w14:textId="77777777" w:rsidR="00FC0C99" w:rsidRPr="00546BAF" w:rsidRDefault="00FC0C99" w:rsidP="00270965">
            <w:pPr>
              <w:rPr>
                <w:rFonts w:ascii="Arial" w:hAnsi="Arial" w:cs="Arial"/>
                <w:sz w:val="20"/>
                <w:szCs w:val="20"/>
              </w:rPr>
            </w:pPr>
            <w:r w:rsidRPr="00546BAF">
              <w:rPr>
                <w:rFonts w:ascii="Arial" w:hAnsi="Arial" w:cs="Arial"/>
                <w:sz w:val="20"/>
                <w:szCs w:val="20"/>
              </w:rPr>
              <w:t>-0.14</w:t>
            </w:r>
          </w:p>
        </w:tc>
      </w:tr>
      <w:tr w:rsidR="00FC0C99" w:rsidRPr="00546BAF" w14:paraId="53B13166" w14:textId="77777777" w:rsidTr="00270965">
        <w:trPr>
          <w:jc w:val="center"/>
        </w:trPr>
        <w:tc>
          <w:tcPr>
            <w:tcW w:w="910" w:type="dxa"/>
          </w:tcPr>
          <w:p w14:paraId="272037D6" w14:textId="77777777" w:rsidR="00FC0C99" w:rsidRPr="00546BAF" w:rsidRDefault="00F8728E" w:rsidP="00270965">
            <w:pPr>
              <w:rPr>
                <w:rFonts w:ascii="Arial" w:hAnsi="Arial" w:cs="Arial"/>
                <w:sz w:val="20"/>
                <w:szCs w:val="20"/>
              </w:rPr>
            </w:pPr>
            <w:r w:rsidRPr="00546BAF">
              <w:rPr>
                <w:rFonts w:ascii="Arial" w:hAnsi="Arial" w:cs="Arial"/>
                <w:sz w:val="20"/>
                <w:szCs w:val="20"/>
              </w:rPr>
              <w:t>FA</w:t>
            </w:r>
            <w:r w:rsidR="00FC0C99" w:rsidRPr="00546BAF">
              <w:rPr>
                <w:rFonts w:ascii="Arial" w:hAnsi="Arial" w:cs="Arial"/>
                <w:sz w:val="20"/>
                <w:szCs w:val="20"/>
              </w:rPr>
              <w:t>8</w:t>
            </w:r>
          </w:p>
        </w:tc>
        <w:tc>
          <w:tcPr>
            <w:tcW w:w="899" w:type="dxa"/>
          </w:tcPr>
          <w:p w14:paraId="1A0AE1F0" w14:textId="77777777" w:rsidR="00FC0C99" w:rsidRPr="00546BAF" w:rsidRDefault="00FC0C99" w:rsidP="00270965">
            <w:pPr>
              <w:rPr>
                <w:rFonts w:ascii="Arial" w:hAnsi="Arial" w:cs="Arial"/>
                <w:sz w:val="20"/>
                <w:szCs w:val="20"/>
              </w:rPr>
            </w:pPr>
            <w:r w:rsidRPr="00546BAF">
              <w:rPr>
                <w:rFonts w:ascii="Arial" w:hAnsi="Arial" w:cs="Arial"/>
                <w:sz w:val="20"/>
                <w:szCs w:val="20"/>
              </w:rPr>
              <w:t>313.10</w:t>
            </w:r>
          </w:p>
        </w:tc>
        <w:tc>
          <w:tcPr>
            <w:tcW w:w="737" w:type="dxa"/>
          </w:tcPr>
          <w:p w14:paraId="2E8A7BD2" w14:textId="77777777" w:rsidR="00FC0C99" w:rsidRPr="00546BAF" w:rsidRDefault="00FC0C99" w:rsidP="00270965">
            <w:pPr>
              <w:rPr>
                <w:rFonts w:ascii="Arial" w:hAnsi="Arial" w:cs="Arial"/>
                <w:sz w:val="20"/>
                <w:szCs w:val="20"/>
              </w:rPr>
            </w:pPr>
            <w:r w:rsidRPr="00546BAF">
              <w:rPr>
                <w:rFonts w:ascii="Arial" w:hAnsi="Arial" w:cs="Arial"/>
                <w:sz w:val="20"/>
                <w:szCs w:val="20"/>
              </w:rPr>
              <w:t>5</w:t>
            </w:r>
          </w:p>
        </w:tc>
        <w:tc>
          <w:tcPr>
            <w:tcW w:w="737" w:type="dxa"/>
          </w:tcPr>
          <w:p w14:paraId="11BCF3A5" w14:textId="77777777" w:rsidR="00FC0C99" w:rsidRPr="00546BAF" w:rsidRDefault="00FC0C99" w:rsidP="00270965">
            <w:pPr>
              <w:rPr>
                <w:rFonts w:ascii="Arial" w:hAnsi="Arial" w:cs="Arial"/>
                <w:sz w:val="20"/>
                <w:szCs w:val="20"/>
              </w:rPr>
            </w:pPr>
            <w:r w:rsidRPr="00546BAF">
              <w:rPr>
                <w:rFonts w:ascii="Arial" w:hAnsi="Arial" w:cs="Arial"/>
                <w:sz w:val="20"/>
                <w:szCs w:val="20"/>
              </w:rPr>
              <w:t>3</w:t>
            </w:r>
          </w:p>
        </w:tc>
        <w:tc>
          <w:tcPr>
            <w:tcW w:w="1176" w:type="dxa"/>
          </w:tcPr>
          <w:p w14:paraId="18DBB7F1" w14:textId="77777777" w:rsidR="00FC0C99" w:rsidRPr="00546BAF" w:rsidRDefault="00FC0C99" w:rsidP="00270965">
            <w:pPr>
              <w:rPr>
                <w:rFonts w:ascii="Arial" w:hAnsi="Arial" w:cs="Arial"/>
                <w:sz w:val="20"/>
                <w:szCs w:val="20"/>
              </w:rPr>
            </w:pPr>
            <w:r w:rsidRPr="00546BAF">
              <w:rPr>
                <w:rFonts w:ascii="Arial" w:hAnsi="Arial" w:cs="Arial"/>
                <w:sz w:val="20"/>
                <w:szCs w:val="20"/>
              </w:rPr>
              <w:t>3.19</w:t>
            </w:r>
          </w:p>
        </w:tc>
        <w:tc>
          <w:tcPr>
            <w:tcW w:w="1089" w:type="dxa"/>
          </w:tcPr>
          <w:p w14:paraId="402C5877" w14:textId="77777777" w:rsidR="00FC0C99" w:rsidRPr="00546BAF" w:rsidRDefault="00FC0C99" w:rsidP="00270965">
            <w:pPr>
              <w:rPr>
                <w:rFonts w:ascii="Arial" w:hAnsi="Arial" w:cs="Arial"/>
                <w:sz w:val="20"/>
                <w:szCs w:val="20"/>
              </w:rPr>
            </w:pPr>
            <w:r w:rsidRPr="00546BAF">
              <w:rPr>
                <w:rFonts w:ascii="Arial" w:hAnsi="Arial" w:cs="Arial"/>
                <w:sz w:val="20"/>
                <w:szCs w:val="20"/>
              </w:rPr>
              <w:t>75.70</w:t>
            </w:r>
          </w:p>
        </w:tc>
        <w:tc>
          <w:tcPr>
            <w:tcW w:w="1316" w:type="dxa"/>
          </w:tcPr>
          <w:p w14:paraId="004AA4C0" w14:textId="77777777" w:rsidR="00FC0C99" w:rsidRPr="00546BAF" w:rsidRDefault="00FC0C99" w:rsidP="00270965">
            <w:pPr>
              <w:rPr>
                <w:rFonts w:ascii="Arial" w:hAnsi="Arial" w:cs="Arial"/>
                <w:sz w:val="20"/>
                <w:szCs w:val="20"/>
              </w:rPr>
            </w:pPr>
            <w:r w:rsidRPr="00546BAF">
              <w:rPr>
                <w:rFonts w:ascii="Arial" w:hAnsi="Arial" w:cs="Arial"/>
                <w:sz w:val="20"/>
                <w:szCs w:val="20"/>
              </w:rPr>
              <w:t>310.86</w:t>
            </w:r>
          </w:p>
        </w:tc>
        <w:tc>
          <w:tcPr>
            <w:tcW w:w="1122" w:type="dxa"/>
          </w:tcPr>
          <w:p w14:paraId="4A9F1338" w14:textId="77777777" w:rsidR="00FC0C99" w:rsidRPr="00546BAF" w:rsidRDefault="00FC0C99" w:rsidP="00270965">
            <w:pPr>
              <w:rPr>
                <w:rFonts w:ascii="Arial" w:hAnsi="Arial" w:cs="Arial"/>
                <w:sz w:val="20"/>
                <w:szCs w:val="20"/>
              </w:rPr>
            </w:pPr>
            <w:r w:rsidRPr="00546BAF">
              <w:rPr>
                <w:rFonts w:ascii="Arial" w:hAnsi="Arial" w:cs="Arial"/>
                <w:sz w:val="20"/>
                <w:szCs w:val="20"/>
              </w:rPr>
              <w:t>0.30</w:t>
            </w:r>
          </w:p>
        </w:tc>
      </w:tr>
      <w:tr w:rsidR="00FC0C99" w:rsidRPr="00546BAF" w14:paraId="4795EF4D" w14:textId="77777777" w:rsidTr="00270965">
        <w:trPr>
          <w:jc w:val="center"/>
        </w:trPr>
        <w:tc>
          <w:tcPr>
            <w:tcW w:w="910" w:type="dxa"/>
          </w:tcPr>
          <w:p w14:paraId="4FC0E70D" w14:textId="77777777" w:rsidR="00FC0C99" w:rsidRPr="00546BAF" w:rsidRDefault="00F8728E" w:rsidP="00270965">
            <w:pPr>
              <w:rPr>
                <w:rFonts w:ascii="Arial" w:hAnsi="Arial" w:cs="Arial"/>
                <w:sz w:val="20"/>
                <w:szCs w:val="20"/>
              </w:rPr>
            </w:pPr>
            <w:r w:rsidRPr="00546BAF">
              <w:rPr>
                <w:rFonts w:ascii="Arial" w:hAnsi="Arial" w:cs="Arial"/>
                <w:sz w:val="20"/>
                <w:szCs w:val="20"/>
              </w:rPr>
              <w:t>FA</w:t>
            </w:r>
            <w:r w:rsidR="00FC0C99" w:rsidRPr="00546BAF">
              <w:rPr>
                <w:rFonts w:ascii="Arial" w:hAnsi="Arial" w:cs="Arial"/>
                <w:sz w:val="20"/>
                <w:szCs w:val="20"/>
              </w:rPr>
              <w:t>9</w:t>
            </w:r>
          </w:p>
        </w:tc>
        <w:tc>
          <w:tcPr>
            <w:tcW w:w="899" w:type="dxa"/>
          </w:tcPr>
          <w:p w14:paraId="366CC520" w14:textId="77777777" w:rsidR="00FC0C99" w:rsidRPr="00546BAF" w:rsidRDefault="00FC0C99" w:rsidP="00270965">
            <w:pPr>
              <w:rPr>
                <w:rFonts w:ascii="Arial" w:hAnsi="Arial" w:cs="Arial"/>
                <w:sz w:val="20"/>
                <w:szCs w:val="20"/>
              </w:rPr>
            </w:pPr>
            <w:r w:rsidRPr="00546BAF">
              <w:rPr>
                <w:rFonts w:ascii="Arial" w:hAnsi="Arial" w:cs="Arial"/>
                <w:sz w:val="20"/>
                <w:szCs w:val="20"/>
              </w:rPr>
              <w:t>287.10</w:t>
            </w:r>
          </w:p>
        </w:tc>
        <w:tc>
          <w:tcPr>
            <w:tcW w:w="737" w:type="dxa"/>
          </w:tcPr>
          <w:p w14:paraId="05D32995" w14:textId="77777777" w:rsidR="00FC0C99" w:rsidRPr="00546BAF" w:rsidRDefault="00FC0C99" w:rsidP="00270965">
            <w:pPr>
              <w:rPr>
                <w:rFonts w:ascii="Arial" w:hAnsi="Arial" w:cs="Arial"/>
                <w:sz w:val="20"/>
                <w:szCs w:val="20"/>
              </w:rPr>
            </w:pPr>
            <w:r w:rsidRPr="00546BAF">
              <w:rPr>
                <w:rFonts w:ascii="Arial" w:hAnsi="Arial" w:cs="Arial"/>
                <w:sz w:val="20"/>
                <w:szCs w:val="20"/>
              </w:rPr>
              <w:t>3</w:t>
            </w:r>
          </w:p>
        </w:tc>
        <w:tc>
          <w:tcPr>
            <w:tcW w:w="737" w:type="dxa"/>
          </w:tcPr>
          <w:p w14:paraId="10EEDB26" w14:textId="77777777" w:rsidR="00FC0C99" w:rsidRPr="00546BAF" w:rsidRDefault="00FC0C99" w:rsidP="00270965">
            <w:pPr>
              <w:rPr>
                <w:rFonts w:ascii="Arial" w:hAnsi="Arial" w:cs="Arial"/>
                <w:sz w:val="20"/>
                <w:szCs w:val="20"/>
              </w:rPr>
            </w:pPr>
            <w:r w:rsidRPr="00546BAF">
              <w:rPr>
                <w:rFonts w:ascii="Arial" w:hAnsi="Arial" w:cs="Arial"/>
                <w:sz w:val="20"/>
                <w:szCs w:val="20"/>
              </w:rPr>
              <w:t>2</w:t>
            </w:r>
          </w:p>
        </w:tc>
        <w:tc>
          <w:tcPr>
            <w:tcW w:w="1176" w:type="dxa"/>
          </w:tcPr>
          <w:p w14:paraId="365A061D" w14:textId="77777777" w:rsidR="00FC0C99" w:rsidRPr="00546BAF" w:rsidRDefault="00FC0C99" w:rsidP="00270965">
            <w:pPr>
              <w:rPr>
                <w:rFonts w:ascii="Arial" w:hAnsi="Arial" w:cs="Arial"/>
                <w:sz w:val="20"/>
                <w:szCs w:val="20"/>
              </w:rPr>
            </w:pPr>
            <w:r w:rsidRPr="00546BAF">
              <w:rPr>
                <w:rFonts w:ascii="Arial" w:hAnsi="Arial" w:cs="Arial"/>
                <w:sz w:val="20"/>
                <w:szCs w:val="20"/>
              </w:rPr>
              <w:t>3.16</w:t>
            </w:r>
          </w:p>
        </w:tc>
        <w:tc>
          <w:tcPr>
            <w:tcW w:w="1089" w:type="dxa"/>
          </w:tcPr>
          <w:p w14:paraId="36A9610D" w14:textId="77777777" w:rsidR="00FC0C99" w:rsidRPr="00546BAF" w:rsidRDefault="00FC0C99" w:rsidP="00270965">
            <w:pPr>
              <w:rPr>
                <w:rFonts w:ascii="Arial" w:hAnsi="Arial" w:cs="Arial"/>
                <w:sz w:val="20"/>
                <w:szCs w:val="20"/>
              </w:rPr>
            </w:pPr>
            <w:r w:rsidRPr="00546BAF">
              <w:rPr>
                <w:rFonts w:ascii="Arial" w:hAnsi="Arial" w:cs="Arial"/>
                <w:sz w:val="20"/>
                <w:szCs w:val="20"/>
              </w:rPr>
              <w:t>46.60</w:t>
            </w:r>
          </w:p>
        </w:tc>
        <w:tc>
          <w:tcPr>
            <w:tcW w:w="1316" w:type="dxa"/>
          </w:tcPr>
          <w:p w14:paraId="1AFCF363" w14:textId="77777777" w:rsidR="00FC0C99" w:rsidRPr="00546BAF" w:rsidRDefault="00FC0C99" w:rsidP="00270965">
            <w:pPr>
              <w:rPr>
                <w:rFonts w:ascii="Arial" w:hAnsi="Arial" w:cs="Arial"/>
                <w:sz w:val="20"/>
                <w:szCs w:val="20"/>
              </w:rPr>
            </w:pPr>
            <w:r w:rsidRPr="00546BAF">
              <w:rPr>
                <w:rFonts w:ascii="Arial" w:hAnsi="Arial" w:cs="Arial"/>
                <w:sz w:val="20"/>
                <w:szCs w:val="20"/>
              </w:rPr>
              <w:t>283.62</w:t>
            </w:r>
          </w:p>
        </w:tc>
        <w:tc>
          <w:tcPr>
            <w:tcW w:w="1122" w:type="dxa"/>
          </w:tcPr>
          <w:p w14:paraId="7511D143" w14:textId="77777777" w:rsidR="00FC0C99" w:rsidRPr="00546BAF" w:rsidRDefault="00FC0C99" w:rsidP="00270965">
            <w:pPr>
              <w:rPr>
                <w:rFonts w:ascii="Arial" w:hAnsi="Arial" w:cs="Arial"/>
                <w:sz w:val="20"/>
                <w:szCs w:val="20"/>
              </w:rPr>
            </w:pPr>
            <w:r w:rsidRPr="00546BAF">
              <w:rPr>
                <w:rFonts w:ascii="Arial" w:hAnsi="Arial" w:cs="Arial"/>
                <w:sz w:val="20"/>
                <w:szCs w:val="20"/>
              </w:rPr>
              <w:t>-0.20</w:t>
            </w:r>
          </w:p>
        </w:tc>
      </w:tr>
      <w:tr w:rsidR="00FC0C99" w:rsidRPr="00546BAF" w14:paraId="28B873CA" w14:textId="77777777" w:rsidTr="00270965">
        <w:trPr>
          <w:jc w:val="center"/>
        </w:trPr>
        <w:tc>
          <w:tcPr>
            <w:tcW w:w="910" w:type="dxa"/>
          </w:tcPr>
          <w:p w14:paraId="5E0A2F78" w14:textId="77777777" w:rsidR="00FC0C99" w:rsidRPr="00546BAF" w:rsidRDefault="00F8728E" w:rsidP="00270965">
            <w:pPr>
              <w:rPr>
                <w:rFonts w:ascii="Arial" w:hAnsi="Arial" w:cs="Arial"/>
                <w:sz w:val="20"/>
                <w:szCs w:val="20"/>
              </w:rPr>
            </w:pPr>
            <w:r w:rsidRPr="00546BAF">
              <w:rPr>
                <w:rFonts w:ascii="Arial" w:hAnsi="Arial" w:cs="Arial"/>
                <w:sz w:val="20"/>
                <w:szCs w:val="20"/>
              </w:rPr>
              <w:t>FA1</w:t>
            </w:r>
            <w:r w:rsidR="00FC0C99" w:rsidRPr="00546BAF">
              <w:rPr>
                <w:rFonts w:ascii="Arial" w:hAnsi="Arial" w:cs="Arial"/>
                <w:sz w:val="20"/>
                <w:szCs w:val="20"/>
              </w:rPr>
              <w:t>0</w:t>
            </w:r>
          </w:p>
        </w:tc>
        <w:tc>
          <w:tcPr>
            <w:tcW w:w="899" w:type="dxa"/>
          </w:tcPr>
          <w:p w14:paraId="47CBE7E8" w14:textId="77777777" w:rsidR="00FC0C99" w:rsidRPr="00546BAF" w:rsidRDefault="00FC0C99" w:rsidP="00270965">
            <w:pPr>
              <w:rPr>
                <w:rFonts w:ascii="Arial" w:hAnsi="Arial" w:cs="Arial"/>
                <w:sz w:val="20"/>
                <w:szCs w:val="20"/>
              </w:rPr>
            </w:pPr>
            <w:r w:rsidRPr="00546BAF">
              <w:rPr>
                <w:rFonts w:ascii="Arial" w:hAnsi="Arial" w:cs="Arial"/>
                <w:sz w:val="20"/>
                <w:szCs w:val="20"/>
              </w:rPr>
              <w:t>287.10</w:t>
            </w:r>
          </w:p>
        </w:tc>
        <w:tc>
          <w:tcPr>
            <w:tcW w:w="737" w:type="dxa"/>
          </w:tcPr>
          <w:p w14:paraId="748C9CE6" w14:textId="77777777" w:rsidR="00FC0C99" w:rsidRPr="00546BAF" w:rsidRDefault="00FC0C99" w:rsidP="00270965">
            <w:pPr>
              <w:rPr>
                <w:rFonts w:ascii="Arial" w:hAnsi="Arial" w:cs="Arial"/>
                <w:sz w:val="20"/>
                <w:szCs w:val="20"/>
              </w:rPr>
            </w:pPr>
            <w:r w:rsidRPr="00546BAF">
              <w:rPr>
                <w:rFonts w:ascii="Arial" w:hAnsi="Arial" w:cs="Arial"/>
                <w:sz w:val="20"/>
                <w:szCs w:val="20"/>
              </w:rPr>
              <w:t>3</w:t>
            </w:r>
          </w:p>
        </w:tc>
        <w:tc>
          <w:tcPr>
            <w:tcW w:w="737" w:type="dxa"/>
          </w:tcPr>
          <w:p w14:paraId="516C19CA" w14:textId="77777777" w:rsidR="00FC0C99" w:rsidRPr="00546BAF" w:rsidRDefault="00FC0C99" w:rsidP="00270965">
            <w:pPr>
              <w:rPr>
                <w:rFonts w:ascii="Arial" w:hAnsi="Arial" w:cs="Arial"/>
                <w:sz w:val="20"/>
                <w:szCs w:val="20"/>
              </w:rPr>
            </w:pPr>
            <w:r w:rsidRPr="00546BAF">
              <w:rPr>
                <w:rFonts w:ascii="Arial" w:hAnsi="Arial" w:cs="Arial"/>
                <w:sz w:val="20"/>
                <w:szCs w:val="20"/>
              </w:rPr>
              <w:t>2</w:t>
            </w:r>
          </w:p>
        </w:tc>
        <w:tc>
          <w:tcPr>
            <w:tcW w:w="1176" w:type="dxa"/>
          </w:tcPr>
          <w:p w14:paraId="3B264C80" w14:textId="77777777" w:rsidR="00FC0C99" w:rsidRPr="00546BAF" w:rsidRDefault="00FC0C99" w:rsidP="00270965">
            <w:pPr>
              <w:rPr>
                <w:rFonts w:ascii="Arial" w:hAnsi="Arial" w:cs="Arial"/>
                <w:sz w:val="20"/>
                <w:szCs w:val="20"/>
              </w:rPr>
            </w:pPr>
            <w:r w:rsidRPr="00546BAF">
              <w:rPr>
                <w:rFonts w:ascii="Arial" w:hAnsi="Arial" w:cs="Arial"/>
                <w:sz w:val="20"/>
                <w:szCs w:val="20"/>
              </w:rPr>
              <w:t>3.16</w:t>
            </w:r>
          </w:p>
        </w:tc>
        <w:tc>
          <w:tcPr>
            <w:tcW w:w="1089" w:type="dxa"/>
          </w:tcPr>
          <w:p w14:paraId="4751967A" w14:textId="77777777" w:rsidR="00FC0C99" w:rsidRPr="00546BAF" w:rsidRDefault="00FC0C99" w:rsidP="00270965">
            <w:pPr>
              <w:rPr>
                <w:rFonts w:ascii="Arial" w:hAnsi="Arial" w:cs="Arial"/>
                <w:sz w:val="20"/>
                <w:szCs w:val="20"/>
              </w:rPr>
            </w:pPr>
            <w:r w:rsidRPr="00546BAF">
              <w:rPr>
                <w:rFonts w:ascii="Arial" w:hAnsi="Arial" w:cs="Arial"/>
                <w:sz w:val="20"/>
                <w:szCs w:val="20"/>
              </w:rPr>
              <w:t>47.29</w:t>
            </w:r>
          </w:p>
        </w:tc>
        <w:tc>
          <w:tcPr>
            <w:tcW w:w="1316" w:type="dxa"/>
          </w:tcPr>
          <w:p w14:paraId="2006A734" w14:textId="77777777" w:rsidR="00FC0C99" w:rsidRPr="00546BAF" w:rsidRDefault="00FC0C99" w:rsidP="00270965">
            <w:pPr>
              <w:rPr>
                <w:rFonts w:ascii="Arial" w:hAnsi="Arial" w:cs="Arial"/>
                <w:sz w:val="20"/>
                <w:szCs w:val="20"/>
              </w:rPr>
            </w:pPr>
            <w:r w:rsidRPr="00546BAF">
              <w:rPr>
                <w:rFonts w:ascii="Arial" w:hAnsi="Arial" w:cs="Arial"/>
                <w:sz w:val="20"/>
                <w:szCs w:val="20"/>
              </w:rPr>
              <w:t>283.60</w:t>
            </w:r>
          </w:p>
        </w:tc>
        <w:tc>
          <w:tcPr>
            <w:tcW w:w="1122" w:type="dxa"/>
          </w:tcPr>
          <w:p w14:paraId="3A494A69" w14:textId="77777777" w:rsidR="00FC0C99" w:rsidRPr="00546BAF" w:rsidRDefault="00FC0C99" w:rsidP="00270965">
            <w:pPr>
              <w:rPr>
                <w:rFonts w:ascii="Arial" w:hAnsi="Arial" w:cs="Arial"/>
                <w:sz w:val="20"/>
                <w:szCs w:val="20"/>
              </w:rPr>
            </w:pPr>
            <w:r w:rsidRPr="00546BAF">
              <w:rPr>
                <w:rFonts w:ascii="Arial" w:hAnsi="Arial" w:cs="Arial"/>
                <w:sz w:val="20"/>
                <w:szCs w:val="20"/>
              </w:rPr>
              <w:t>0.04</w:t>
            </w:r>
          </w:p>
        </w:tc>
      </w:tr>
      <w:tr w:rsidR="00FC0C99" w:rsidRPr="00546BAF" w14:paraId="002DD01B" w14:textId="77777777" w:rsidTr="00270965">
        <w:trPr>
          <w:jc w:val="center"/>
        </w:trPr>
        <w:tc>
          <w:tcPr>
            <w:tcW w:w="910" w:type="dxa"/>
          </w:tcPr>
          <w:p w14:paraId="473ED776" w14:textId="77777777" w:rsidR="00FC0C99" w:rsidRPr="00546BAF" w:rsidRDefault="00F8728E" w:rsidP="00270965">
            <w:pPr>
              <w:rPr>
                <w:rFonts w:ascii="Arial" w:hAnsi="Arial" w:cs="Arial"/>
                <w:sz w:val="20"/>
                <w:szCs w:val="20"/>
              </w:rPr>
            </w:pPr>
            <w:r w:rsidRPr="00546BAF">
              <w:rPr>
                <w:rFonts w:ascii="Arial" w:hAnsi="Arial" w:cs="Arial"/>
                <w:sz w:val="20"/>
                <w:szCs w:val="20"/>
              </w:rPr>
              <w:t>FA1</w:t>
            </w:r>
            <w:r w:rsidR="00FC0C99" w:rsidRPr="00546BAF">
              <w:rPr>
                <w:rFonts w:ascii="Arial" w:hAnsi="Arial" w:cs="Arial"/>
                <w:sz w:val="20"/>
                <w:szCs w:val="20"/>
              </w:rPr>
              <w:t>1</w:t>
            </w:r>
          </w:p>
        </w:tc>
        <w:tc>
          <w:tcPr>
            <w:tcW w:w="899" w:type="dxa"/>
          </w:tcPr>
          <w:p w14:paraId="50DCA3DB" w14:textId="77777777" w:rsidR="00FC0C99" w:rsidRPr="00546BAF" w:rsidRDefault="00FC0C99" w:rsidP="00270965">
            <w:pPr>
              <w:rPr>
                <w:rFonts w:ascii="Arial" w:hAnsi="Arial" w:cs="Arial"/>
                <w:sz w:val="20"/>
                <w:szCs w:val="20"/>
              </w:rPr>
            </w:pPr>
            <w:r w:rsidRPr="00546BAF">
              <w:rPr>
                <w:rFonts w:ascii="Arial" w:hAnsi="Arial" w:cs="Arial"/>
                <w:sz w:val="20"/>
                <w:szCs w:val="20"/>
              </w:rPr>
              <w:t>359.08</w:t>
            </w:r>
          </w:p>
        </w:tc>
        <w:tc>
          <w:tcPr>
            <w:tcW w:w="737" w:type="dxa"/>
          </w:tcPr>
          <w:p w14:paraId="3B86E82B" w14:textId="77777777" w:rsidR="00FC0C99" w:rsidRPr="00546BAF" w:rsidRDefault="00FC0C99" w:rsidP="00270965">
            <w:pPr>
              <w:rPr>
                <w:rFonts w:ascii="Arial" w:hAnsi="Arial" w:cs="Arial"/>
                <w:sz w:val="20"/>
                <w:szCs w:val="20"/>
              </w:rPr>
            </w:pPr>
            <w:r w:rsidRPr="00546BAF">
              <w:rPr>
                <w:rFonts w:ascii="Arial" w:hAnsi="Arial" w:cs="Arial"/>
                <w:sz w:val="20"/>
                <w:szCs w:val="20"/>
              </w:rPr>
              <w:t>7</w:t>
            </w:r>
          </w:p>
        </w:tc>
        <w:tc>
          <w:tcPr>
            <w:tcW w:w="737" w:type="dxa"/>
          </w:tcPr>
          <w:p w14:paraId="41858AC5" w14:textId="77777777" w:rsidR="00FC0C99" w:rsidRPr="00546BAF" w:rsidRDefault="00FC0C99" w:rsidP="00270965">
            <w:pPr>
              <w:rPr>
                <w:rFonts w:ascii="Arial" w:hAnsi="Arial" w:cs="Arial"/>
                <w:sz w:val="20"/>
                <w:szCs w:val="20"/>
              </w:rPr>
            </w:pPr>
            <w:r w:rsidRPr="00546BAF">
              <w:rPr>
                <w:rFonts w:ascii="Arial" w:hAnsi="Arial" w:cs="Arial"/>
                <w:sz w:val="20"/>
                <w:szCs w:val="20"/>
              </w:rPr>
              <w:t>2</w:t>
            </w:r>
          </w:p>
        </w:tc>
        <w:tc>
          <w:tcPr>
            <w:tcW w:w="1176" w:type="dxa"/>
          </w:tcPr>
          <w:p w14:paraId="3B29768B" w14:textId="77777777" w:rsidR="00FC0C99" w:rsidRPr="00546BAF" w:rsidRDefault="00FC0C99" w:rsidP="00270965">
            <w:pPr>
              <w:rPr>
                <w:rFonts w:ascii="Arial" w:hAnsi="Arial" w:cs="Arial"/>
                <w:sz w:val="20"/>
                <w:szCs w:val="20"/>
              </w:rPr>
            </w:pPr>
            <w:r w:rsidRPr="00546BAF">
              <w:rPr>
                <w:rFonts w:ascii="Arial" w:hAnsi="Arial" w:cs="Arial"/>
                <w:sz w:val="20"/>
                <w:szCs w:val="20"/>
              </w:rPr>
              <w:t>3.22</w:t>
            </w:r>
          </w:p>
        </w:tc>
        <w:tc>
          <w:tcPr>
            <w:tcW w:w="1089" w:type="dxa"/>
          </w:tcPr>
          <w:p w14:paraId="40B57735" w14:textId="77777777" w:rsidR="00FC0C99" w:rsidRPr="00546BAF" w:rsidRDefault="00FC0C99" w:rsidP="00270965">
            <w:pPr>
              <w:rPr>
                <w:rFonts w:ascii="Arial" w:hAnsi="Arial" w:cs="Arial"/>
                <w:sz w:val="20"/>
                <w:szCs w:val="20"/>
              </w:rPr>
            </w:pPr>
            <w:r w:rsidRPr="00546BAF">
              <w:rPr>
                <w:rFonts w:ascii="Arial" w:hAnsi="Arial" w:cs="Arial"/>
                <w:sz w:val="20"/>
                <w:szCs w:val="20"/>
              </w:rPr>
              <w:t>113.06</w:t>
            </w:r>
          </w:p>
        </w:tc>
        <w:tc>
          <w:tcPr>
            <w:tcW w:w="1316" w:type="dxa"/>
          </w:tcPr>
          <w:p w14:paraId="0CAAF563" w14:textId="77777777" w:rsidR="00FC0C99" w:rsidRPr="00546BAF" w:rsidRDefault="00FC0C99" w:rsidP="00270965">
            <w:pPr>
              <w:rPr>
                <w:rFonts w:ascii="Arial" w:hAnsi="Arial" w:cs="Arial"/>
                <w:sz w:val="20"/>
                <w:szCs w:val="20"/>
              </w:rPr>
            </w:pPr>
            <w:r w:rsidRPr="00546BAF">
              <w:rPr>
                <w:rFonts w:ascii="Arial" w:hAnsi="Arial" w:cs="Arial"/>
                <w:sz w:val="20"/>
                <w:szCs w:val="20"/>
              </w:rPr>
              <w:t>328.91</w:t>
            </w:r>
          </w:p>
        </w:tc>
        <w:tc>
          <w:tcPr>
            <w:tcW w:w="1122" w:type="dxa"/>
          </w:tcPr>
          <w:p w14:paraId="1594953C" w14:textId="77777777" w:rsidR="00FC0C99" w:rsidRPr="00546BAF" w:rsidRDefault="00FC0C99" w:rsidP="00270965">
            <w:pPr>
              <w:rPr>
                <w:rFonts w:ascii="Arial" w:hAnsi="Arial" w:cs="Arial"/>
                <w:sz w:val="20"/>
                <w:szCs w:val="20"/>
              </w:rPr>
            </w:pPr>
            <w:r w:rsidRPr="00546BAF">
              <w:rPr>
                <w:rFonts w:ascii="Arial" w:hAnsi="Arial" w:cs="Arial"/>
                <w:sz w:val="20"/>
                <w:szCs w:val="20"/>
              </w:rPr>
              <w:t>-0.98</w:t>
            </w:r>
          </w:p>
        </w:tc>
      </w:tr>
      <w:tr w:rsidR="00FC0C99" w:rsidRPr="00546BAF" w14:paraId="0FCFD4EE" w14:textId="77777777" w:rsidTr="00270965">
        <w:trPr>
          <w:jc w:val="center"/>
        </w:trPr>
        <w:tc>
          <w:tcPr>
            <w:tcW w:w="910" w:type="dxa"/>
          </w:tcPr>
          <w:p w14:paraId="78953CD9" w14:textId="77777777" w:rsidR="00FC0C99" w:rsidRPr="00546BAF" w:rsidRDefault="00F8728E" w:rsidP="00270965">
            <w:pPr>
              <w:rPr>
                <w:rFonts w:ascii="Arial" w:hAnsi="Arial" w:cs="Arial"/>
                <w:sz w:val="20"/>
                <w:szCs w:val="20"/>
              </w:rPr>
            </w:pPr>
            <w:r w:rsidRPr="00546BAF">
              <w:rPr>
                <w:rFonts w:ascii="Arial" w:hAnsi="Arial" w:cs="Arial"/>
                <w:sz w:val="20"/>
                <w:szCs w:val="20"/>
              </w:rPr>
              <w:t>FA1</w:t>
            </w:r>
            <w:r w:rsidR="00FC0C99" w:rsidRPr="00546BAF">
              <w:rPr>
                <w:rFonts w:ascii="Arial" w:hAnsi="Arial" w:cs="Arial"/>
                <w:sz w:val="20"/>
                <w:szCs w:val="20"/>
              </w:rPr>
              <w:t>2</w:t>
            </w:r>
          </w:p>
        </w:tc>
        <w:tc>
          <w:tcPr>
            <w:tcW w:w="899" w:type="dxa"/>
          </w:tcPr>
          <w:p w14:paraId="104C5503" w14:textId="77777777" w:rsidR="00FC0C99" w:rsidRPr="00546BAF" w:rsidRDefault="00FC0C99" w:rsidP="00270965">
            <w:pPr>
              <w:rPr>
                <w:rFonts w:ascii="Arial" w:hAnsi="Arial" w:cs="Arial"/>
                <w:sz w:val="20"/>
                <w:szCs w:val="20"/>
              </w:rPr>
            </w:pPr>
            <w:r w:rsidRPr="00546BAF">
              <w:rPr>
                <w:rFonts w:ascii="Arial" w:hAnsi="Arial" w:cs="Arial"/>
                <w:sz w:val="20"/>
                <w:szCs w:val="20"/>
              </w:rPr>
              <w:t>285.10</w:t>
            </w:r>
          </w:p>
        </w:tc>
        <w:tc>
          <w:tcPr>
            <w:tcW w:w="737" w:type="dxa"/>
          </w:tcPr>
          <w:p w14:paraId="5B65FF79" w14:textId="77777777" w:rsidR="00FC0C99" w:rsidRPr="00546BAF" w:rsidRDefault="00FC0C99" w:rsidP="00270965">
            <w:pPr>
              <w:rPr>
                <w:rFonts w:ascii="Arial" w:hAnsi="Arial" w:cs="Arial"/>
                <w:sz w:val="20"/>
                <w:szCs w:val="20"/>
              </w:rPr>
            </w:pPr>
            <w:r w:rsidRPr="00546BAF">
              <w:rPr>
                <w:rFonts w:ascii="Arial" w:hAnsi="Arial" w:cs="Arial"/>
                <w:sz w:val="20"/>
                <w:szCs w:val="20"/>
              </w:rPr>
              <w:t>4</w:t>
            </w:r>
          </w:p>
        </w:tc>
        <w:tc>
          <w:tcPr>
            <w:tcW w:w="737" w:type="dxa"/>
          </w:tcPr>
          <w:p w14:paraId="7306A550" w14:textId="77777777" w:rsidR="00FC0C99" w:rsidRPr="00546BAF" w:rsidRDefault="00FC0C99" w:rsidP="00270965">
            <w:pPr>
              <w:rPr>
                <w:rFonts w:ascii="Arial" w:hAnsi="Arial" w:cs="Arial"/>
                <w:sz w:val="20"/>
                <w:szCs w:val="20"/>
              </w:rPr>
            </w:pPr>
            <w:r w:rsidRPr="00546BAF">
              <w:rPr>
                <w:rFonts w:ascii="Arial" w:hAnsi="Arial" w:cs="Arial"/>
                <w:sz w:val="20"/>
                <w:szCs w:val="20"/>
              </w:rPr>
              <w:t>3</w:t>
            </w:r>
          </w:p>
        </w:tc>
        <w:tc>
          <w:tcPr>
            <w:tcW w:w="1176" w:type="dxa"/>
          </w:tcPr>
          <w:p w14:paraId="6100DE87" w14:textId="77777777" w:rsidR="00FC0C99" w:rsidRPr="00546BAF" w:rsidRDefault="00FC0C99" w:rsidP="00270965">
            <w:pPr>
              <w:rPr>
                <w:rFonts w:ascii="Arial" w:hAnsi="Arial" w:cs="Arial"/>
                <w:sz w:val="20"/>
                <w:szCs w:val="20"/>
              </w:rPr>
            </w:pPr>
            <w:r w:rsidRPr="00546BAF">
              <w:rPr>
                <w:rFonts w:ascii="Arial" w:hAnsi="Arial" w:cs="Arial"/>
                <w:sz w:val="20"/>
                <w:szCs w:val="20"/>
              </w:rPr>
              <w:t>2.52</w:t>
            </w:r>
          </w:p>
        </w:tc>
        <w:tc>
          <w:tcPr>
            <w:tcW w:w="1089" w:type="dxa"/>
          </w:tcPr>
          <w:p w14:paraId="7965D39B" w14:textId="77777777" w:rsidR="00FC0C99" w:rsidRPr="00546BAF" w:rsidRDefault="00FC0C99" w:rsidP="00270965">
            <w:pPr>
              <w:rPr>
                <w:rFonts w:ascii="Arial" w:hAnsi="Arial" w:cs="Arial"/>
                <w:sz w:val="20"/>
                <w:szCs w:val="20"/>
              </w:rPr>
            </w:pPr>
            <w:r w:rsidRPr="00546BAF">
              <w:rPr>
                <w:rFonts w:ascii="Arial" w:hAnsi="Arial" w:cs="Arial"/>
                <w:sz w:val="20"/>
                <w:szCs w:val="20"/>
              </w:rPr>
              <w:t>64.91</w:t>
            </w:r>
          </w:p>
        </w:tc>
        <w:tc>
          <w:tcPr>
            <w:tcW w:w="1316" w:type="dxa"/>
          </w:tcPr>
          <w:p w14:paraId="5273D718" w14:textId="77777777" w:rsidR="00FC0C99" w:rsidRPr="00546BAF" w:rsidRDefault="00FC0C99" w:rsidP="00270965">
            <w:pPr>
              <w:rPr>
                <w:rFonts w:ascii="Arial" w:hAnsi="Arial" w:cs="Arial"/>
                <w:sz w:val="20"/>
                <w:szCs w:val="20"/>
              </w:rPr>
            </w:pPr>
            <w:r w:rsidRPr="00546BAF">
              <w:rPr>
                <w:rFonts w:ascii="Arial" w:hAnsi="Arial" w:cs="Arial"/>
                <w:sz w:val="20"/>
                <w:szCs w:val="20"/>
              </w:rPr>
              <w:t>288.31</w:t>
            </w:r>
          </w:p>
        </w:tc>
        <w:tc>
          <w:tcPr>
            <w:tcW w:w="1122" w:type="dxa"/>
          </w:tcPr>
          <w:p w14:paraId="410FA23D" w14:textId="77777777" w:rsidR="00FC0C99" w:rsidRPr="00546BAF" w:rsidRDefault="00FC0C99" w:rsidP="00270965">
            <w:pPr>
              <w:rPr>
                <w:rFonts w:ascii="Arial" w:hAnsi="Arial" w:cs="Arial"/>
                <w:sz w:val="20"/>
                <w:szCs w:val="20"/>
              </w:rPr>
            </w:pPr>
            <w:r w:rsidRPr="00546BAF">
              <w:rPr>
                <w:rFonts w:ascii="Arial" w:hAnsi="Arial" w:cs="Arial"/>
                <w:sz w:val="20"/>
                <w:szCs w:val="20"/>
              </w:rPr>
              <w:t>-0.21</w:t>
            </w:r>
          </w:p>
        </w:tc>
      </w:tr>
      <w:tr w:rsidR="00FC0C99" w:rsidRPr="00546BAF" w14:paraId="58A70D2F" w14:textId="77777777" w:rsidTr="00270965">
        <w:trPr>
          <w:jc w:val="center"/>
        </w:trPr>
        <w:tc>
          <w:tcPr>
            <w:tcW w:w="910" w:type="dxa"/>
          </w:tcPr>
          <w:p w14:paraId="33286EFA" w14:textId="77777777" w:rsidR="00FC0C99" w:rsidRPr="00546BAF" w:rsidRDefault="00F8728E" w:rsidP="00270965">
            <w:pPr>
              <w:rPr>
                <w:rFonts w:ascii="Arial" w:hAnsi="Arial" w:cs="Arial"/>
                <w:sz w:val="20"/>
                <w:szCs w:val="20"/>
              </w:rPr>
            </w:pPr>
            <w:r w:rsidRPr="00546BAF">
              <w:rPr>
                <w:rFonts w:ascii="Arial" w:hAnsi="Arial" w:cs="Arial"/>
                <w:sz w:val="20"/>
                <w:szCs w:val="20"/>
              </w:rPr>
              <w:t>FA1</w:t>
            </w:r>
            <w:r w:rsidR="00FC0C99" w:rsidRPr="00546BAF">
              <w:rPr>
                <w:rFonts w:ascii="Arial" w:hAnsi="Arial" w:cs="Arial"/>
                <w:sz w:val="20"/>
                <w:szCs w:val="20"/>
              </w:rPr>
              <w:t>3</w:t>
            </w:r>
          </w:p>
        </w:tc>
        <w:tc>
          <w:tcPr>
            <w:tcW w:w="899" w:type="dxa"/>
          </w:tcPr>
          <w:p w14:paraId="31362F5C" w14:textId="77777777" w:rsidR="00FC0C99" w:rsidRPr="00546BAF" w:rsidRDefault="00FC0C99" w:rsidP="00270965">
            <w:pPr>
              <w:rPr>
                <w:rFonts w:ascii="Arial" w:hAnsi="Arial" w:cs="Arial"/>
                <w:sz w:val="20"/>
                <w:szCs w:val="20"/>
              </w:rPr>
            </w:pPr>
            <w:r w:rsidRPr="00546BAF">
              <w:rPr>
                <w:rFonts w:ascii="Arial" w:hAnsi="Arial" w:cs="Arial"/>
                <w:sz w:val="20"/>
                <w:szCs w:val="20"/>
              </w:rPr>
              <w:t>285.10</w:t>
            </w:r>
          </w:p>
        </w:tc>
        <w:tc>
          <w:tcPr>
            <w:tcW w:w="737" w:type="dxa"/>
          </w:tcPr>
          <w:p w14:paraId="06C39B4A" w14:textId="77777777" w:rsidR="00FC0C99" w:rsidRPr="00546BAF" w:rsidRDefault="00FC0C99" w:rsidP="00270965">
            <w:pPr>
              <w:rPr>
                <w:rFonts w:ascii="Arial" w:hAnsi="Arial" w:cs="Arial"/>
                <w:sz w:val="20"/>
                <w:szCs w:val="20"/>
              </w:rPr>
            </w:pPr>
            <w:r w:rsidRPr="00546BAF">
              <w:rPr>
                <w:rFonts w:ascii="Arial" w:hAnsi="Arial" w:cs="Arial"/>
                <w:sz w:val="20"/>
                <w:szCs w:val="20"/>
              </w:rPr>
              <w:t>4</w:t>
            </w:r>
          </w:p>
        </w:tc>
        <w:tc>
          <w:tcPr>
            <w:tcW w:w="737" w:type="dxa"/>
          </w:tcPr>
          <w:p w14:paraId="19292892" w14:textId="77777777" w:rsidR="00FC0C99" w:rsidRPr="00546BAF" w:rsidRDefault="00FC0C99" w:rsidP="00270965">
            <w:pPr>
              <w:rPr>
                <w:rFonts w:ascii="Arial" w:hAnsi="Arial" w:cs="Arial"/>
                <w:sz w:val="20"/>
                <w:szCs w:val="20"/>
              </w:rPr>
            </w:pPr>
            <w:r w:rsidRPr="00546BAF">
              <w:rPr>
                <w:rFonts w:ascii="Arial" w:hAnsi="Arial" w:cs="Arial"/>
                <w:sz w:val="20"/>
                <w:szCs w:val="20"/>
              </w:rPr>
              <w:t>3</w:t>
            </w:r>
          </w:p>
        </w:tc>
        <w:tc>
          <w:tcPr>
            <w:tcW w:w="1176" w:type="dxa"/>
          </w:tcPr>
          <w:p w14:paraId="5B0635D7" w14:textId="77777777" w:rsidR="00FC0C99" w:rsidRPr="00546BAF" w:rsidRDefault="00FC0C99" w:rsidP="00270965">
            <w:pPr>
              <w:rPr>
                <w:rFonts w:ascii="Arial" w:hAnsi="Arial" w:cs="Arial"/>
                <w:sz w:val="20"/>
                <w:szCs w:val="20"/>
              </w:rPr>
            </w:pPr>
            <w:r w:rsidRPr="00546BAF">
              <w:rPr>
                <w:rFonts w:ascii="Arial" w:hAnsi="Arial" w:cs="Arial"/>
                <w:sz w:val="20"/>
                <w:szCs w:val="20"/>
              </w:rPr>
              <w:t>2.53</w:t>
            </w:r>
          </w:p>
        </w:tc>
        <w:tc>
          <w:tcPr>
            <w:tcW w:w="1089" w:type="dxa"/>
          </w:tcPr>
          <w:p w14:paraId="184C59EA" w14:textId="77777777" w:rsidR="00FC0C99" w:rsidRPr="00546BAF" w:rsidRDefault="00FC0C99" w:rsidP="00270965">
            <w:pPr>
              <w:rPr>
                <w:rFonts w:ascii="Arial" w:hAnsi="Arial" w:cs="Arial"/>
                <w:sz w:val="20"/>
                <w:szCs w:val="20"/>
              </w:rPr>
            </w:pPr>
            <w:r w:rsidRPr="00546BAF">
              <w:rPr>
                <w:rFonts w:ascii="Arial" w:hAnsi="Arial" w:cs="Arial"/>
                <w:sz w:val="20"/>
                <w:szCs w:val="20"/>
              </w:rPr>
              <w:t>64.91</w:t>
            </w:r>
          </w:p>
        </w:tc>
        <w:tc>
          <w:tcPr>
            <w:tcW w:w="1316" w:type="dxa"/>
          </w:tcPr>
          <w:p w14:paraId="4422338F" w14:textId="77777777" w:rsidR="00FC0C99" w:rsidRPr="00546BAF" w:rsidRDefault="00FC0C99" w:rsidP="00270965">
            <w:pPr>
              <w:rPr>
                <w:rFonts w:ascii="Arial" w:hAnsi="Arial" w:cs="Arial"/>
                <w:sz w:val="20"/>
                <w:szCs w:val="20"/>
              </w:rPr>
            </w:pPr>
            <w:r w:rsidRPr="00546BAF">
              <w:rPr>
                <w:rFonts w:ascii="Arial" w:hAnsi="Arial" w:cs="Arial"/>
                <w:sz w:val="20"/>
                <w:szCs w:val="20"/>
              </w:rPr>
              <w:t>288.23</w:t>
            </w:r>
          </w:p>
        </w:tc>
        <w:tc>
          <w:tcPr>
            <w:tcW w:w="1122" w:type="dxa"/>
          </w:tcPr>
          <w:p w14:paraId="6F20CEB6" w14:textId="77777777" w:rsidR="00FC0C99" w:rsidRPr="00546BAF" w:rsidRDefault="00FC0C99" w:rsidP="00270965">
            <w:pPr>
              <w:rPr>
                <w:rFonts w:ascii="Arial" w:hAnsi="Arial" w:cs="Arial"/>
                <w:sz w:val="20"/>
                <w:szCs w:val="20"/>
              </w:rPr>
            </w:pPr>
            <w:r w:rsidRPr="00546BAF">
              <w:rPr>
                <w:rFonts w:ascii="Arial" w:hAnsi="Arial" w:cs="Arial"/>
                <w:sz w:val="20"/>
                <w:szCs w:val="20"/>
              </w:rPr>
              <w:t>-0.17</w:t>
            </w:r>
          </w:p>
        </w:tc>
      </w:tr>
      <w:tr w:rsidR="00FC0C99" w:rsidRPr="00546BAF" w14:paraId="347B667B" w14:textId="77777777" w:rsidTr="00270965">
        <w:trPr>
          <w:jc w:val="center"/>
        </w:trPr>
        <w:tc>
          <w:tcPr>
            <w:tcW w:w="910" w:type="dxa"/>
          </w:tcPr>
          <w:p w14:paraId="1BB1A1AA" w14:textId="77777777" w:rsidR="00FC0C99" w:rsidRPr="00546BAF" w:rsidRDefault="00F8728E" w:rsidP="00270965">
            <w:pPr>
              <w:rPr>
                <w:rFonts w:ascii="Arial" w:hAnsi="Arial" w:cs="Arial"/>
                <w:sz w:val="20"/>
                <w:szCs w:val="20"/>
              </w:rPr>
            </w:pPr>
            <w:r w:rsidRPr="00546BAF">
              <w:rPr>
                <w:rFonts w:ascii="Arial" w:hAnsi="Arial" w:cs="Arial"/>
                <w:sz w:val="20"/>
                <w:szCs w:val="20"/>
              </w:rPr>
              <w:t>FA1</w:t>
            </w:r>
            <w:r w:rsidR="00FC0C99" w:rsidRPr="00546BAF">
              <w:rPr>
                <w:rFonts w:ascii="Arial" w:hAnsi="Arial" w:cs="Arial"/>
                <w:sz w:val="20"/>
                <w:szCs w:val="20"/>
              </w:rPr>
              <w:t>4</w:t>
            </w:r>
          </w:p>
        </w:tc>
        <w:tc>
          <w:tcPr>
            <w:tcW w:w="899" w:type="dxa"/>
          </w:tcPr>
          <w:p w14:paraId="0893A538" w14:textId="77777777" w:rsidR="00FC0C99" w:rsidRPr="00546BAF" w:rsidRDefault="00FC0C99" w:rsidP="00270965">
            <w:pPr>
              <w:rPr>
                <w:rFonts w:ascii="Arial" w:hAnsi="Arial" w:cs="Arial"/>
                <w:sz w:val="20"/>
                <w:szCs w:val="20"/>
              </w:rPr>
            </w:pPr>
            <w:r w:rsidRPr="00546BAF">
              <w:rPr>
                <w:rFonts w:ascii="Arial" w:hAnsi="Arial" w:cs="Arial"/>
                <w:sz w:val="20"/>
                <w:szCs w:val="20"/>
              </w:rPr>
              <w:t>284.12</w:t>
            </w:r>
          </w:p>
        </w:tc>
        <w:tc>
          <w:tcPr>
            <w:tcW w:w="737" w:type="dxa"/>
          </w:tcPr>
          <w:p w14:paraId="2335FA23" w14:textId="77777777" w:rsidR="00FC0C99" w:rsidRPr="00546BAF" w:rsidRDefault="00FC0C99" w:rsidP="00270965">
            <w:pPr>
              <w:rPr>
                <w:rFonts w:ascii="Arial" w:hAnsi="Arial" w:cs="Arial"/>
                <w:sz w:val="20"/>
                <w:szCs w:val="20"/>
              </w:rPr>
            </w:pPr>
            <w:r w:rsidRPr="00546BAF">
              <w:rPr>
                <w:rFonts w:ascii="Arial" w:hAnsi="Arial" w:cs="Arial"/>
                <w:sz w:val="20"/>
                <w:szCs w:val="20"/>
              </w:rPr>
              <w:t>4</w:t>
            </w:r>
          </w:p>
        </w:tc>
        <w:tc>
          <w:tcPr>
            <w:tcW w:w="737" w:type="dxa"/>
          </w:tcPr>
          <w:p w14:paraId="68C9CB4E" w14:textId="77777777" w:rsidR="00FC0C99" w:rsidRPr="00546BAF" w:rsidRDefault="00FC0C99" w:rsidP="00270965">
            <w:pPr>
              <w:rPr>
                <w:rFonts w:ascii="Arial" w:hAnsi="Arial" w:cs="Arial"/>
                <w:sz w:val="20"/>
                <w:szCs w:val="20"/>
              </w:rPr>
            </w:pPr>
            <w:r w:rsidRPr="00546BAF">
              <w:rPr>
                <w:rFonts w:ascii="Arial" w:hAnsi="Arial" w:cs="Arial"/>
                <w:sz w:val="20"/>
                <w:szCs w:val="20"/>
              </w:rPr>
              <w:t>2</w:t>
            </w:r>
          </w:p>
        </w:tc>
        <w:tc>
          <w:tcPr>
            <w:tcW w:w="1176" w:type="dxa"/>
          </w:tcPr>
          <w:p w14:paraId="20897130" w14:textId="77777777" w:rsidR="00FC0C99" w:rsidRPr="00546BAF" w:rsidRDefault="00FC0C99" w:rsidP="00270965">
            <w:pPr>
              <w:rPr>
                <w:rFonts w:ascii="Arial" w:hAnsi="Arial" w:cs="Arial"/>
                <w:sz w:val="20"/>
                <w:szCs w:val="20"/>
              </w:rPr>
            </w:pPr>
            <w:r w:rsidRPr="00546BAF">
              <w:rPr>
                <w:rFonts w:ascii="Arial" w:hAnsi="Arial" w:cs="Arial"/>
                <w:sz w:val="20"/>
                <w:szCs w:val="20"/>
              </w:rPr>
              <w:t>2.46</w:t>
            </w:r>
          </w:p>
        </w:tc>
        <w:tc>
          <w:tcPr>
            <w:tcW w:w="1089" w:type="dxa"/>
          </w:tcPr>
          <w:p w14:paraId="53C80FF5" w14:textId="77777777" w:rsidR="00FC0C99" w:rsidRPr="00546BAF" w:rsidRDefault="00FC0C99" w:rsidP="00270965">
            <w:pPr>
              <w:rPr>
                <w:rFonts w:ascii="Arial" w:hAnsi="Arial" w:cs="Arial"/>
                <w:sz w:val="20"/>
                <w:szCs w:val="20"/>
              </w:rPr>
            </w:pPr>
            <w:r w:rsidRPr="00546BAF">
              <w:rPr>
                <w:rFonts w:ascii="Arial" w:hAnsi="Arial" w:cs="Arial"/>
                <w:sz w:val="20"/>
                <w:szCs w:val="20"/>
              </w:rPr>
              <w:t>56.22</w:t>
            </w:r>
          </w:p>
        </w:tc>
        <w:tc>
          <w:tcPr>
            <w:tcW w:w="1316" w:type="dxa"/>
          </w:tcPr>
          <w:p w14:paraId="3D191BD2" w14:textId="77777777" w:rsidR="00FC0C99" w:rsidRPr="00546BAF" w:rsidRDefault="00FC0C99" w:rsidP="00270965">
            <w:pPr>
              <w:rPr>
                <w:rFonts w:ascii="Arial" w:hAnsi="Arial" w:cs="Arial"/>
                <w:sz w:val="20"/>
                <w:szCs w:val="20"/>
              </w:rPr>
            </w:pPr>
            <w:r w:rsidRPr="00546BAF">
              <w:rPr>
                <w:rFonts w:ascii="Arial" w:hAnsi="Arial" w:cs="Arial"/>
                <w:sz w:val="20"/>
                <w:szCs w:val="20"/>
              </w:rPr>
              <w:t>294.10</w:t>
            </w:r>
          </w:p>
        </w:tc>
        <w:tc>
          <w:tcPr>
            <w:tcW w:w="1122" w:type="dxa"/>
          </w:tcPr>
          <w:p w14:paraId="074D1DC3" w14:textId="77777777" w:rsidR="00FC0C99" w:rsidRPr="00546BAF" w:rsidRDefault="00FC0C99" w:rsidP="00270965">
            <w:pPr>
              <w:rPr>
                <w:rFonts w:ascii="Arial" w:hAnsi="Arial" w:cs="Arial"/>
                <w:sz w:val="20"/>
                <w:szCs w:val="20"/>
              </w:rPr>
            </w:pPr>
            <w:r w:rsidRPr="00546BAF">
              <w:rPr>
                <w:rFonts w:ascii="Arial" w:hAnsi="Arial" w:cs="Arial"/>
                <w:sz w:val="20"/>
                <w:szCs w:val="20"/>
              </w:rPr>
              <w:t>0.56</w:t>
            </w:r>
          </w:p>
        </w:tc>
      </w:tr>
      <w:tr w:rsidR="00FC0C99" w:rsidRPr="00546BAF" w14:paraId="5E465545" w14:textId="77777777" w:rsidTr="00270965">
        <w:trPr>
          <w:jc w:val="center"/>
        </w:trPr>
        <w:tc>
          <w:tcPr>
            <w:tcW w:w="910" w:type="dxa"/>
          </w:tcPr>
          <w:p w14:paraId="7D174FB3" w14:textId="77777777" w:rsidR="00FC0C99" w:rsidRPr="00546BAF" w:rsidRDefault="00F8728E" w:rsidP="00270965">
            <w:pPr>
              <w:rPr>
                <w:rFonts w:ascii="Arial" w:hAnsi="Arial" w:cs="Arial"/>
                <w:sz w:val="20"/>
                <w:szCs w:val="20"/>
              </w:rPr>
            </w:pPr>
            <w:r w:rsidRPr="00546BAF">
              <w:rPr>
                <w:rFonts w:ascii="Arial" w:hAnsi="Arial" w:cs="Arial"/>
                <w:sz w:val="20"/>
                <w:szCs w:val="20"/>
              </w:rPr>
              <w:t>FA1</w:t>
            </w:r>
            <w:r w:rsidR="00FC0C99" w:rsidRPr="00546BAF">
              <w:rPr>
                <w:rFonts w:ascii="Arial" w:hAnsi="Arial" w:cs="Arial"/>
                <w:sz w:val="20"/>
                <w:szCs w:val="20"/>
              </w:rPr>
              <w:t>5</w:t>
            </w:r>
          </w:p>
        </w:tc>
        <w:tc>
          <w:tcPr>
            <w:tcW w:w="899" w:type="dxa"/>
          </w:tcPr>
          <w:p w14:paraId="02599020" w14:textId="77777777" w:rsidR="00FC0C99" w:rsidRPr="00546BAF" w:rsidRDefault="00FC0C99" w:rsidP="00270965">
            <w:pPr>
              <w:rPr>
                <w:rFonts w:ascii="Arial" w:hAnsi="Arial" w:cs="Arial"/>
                <w:sz w:val="20"/>
                <w:szCs w:val="20"/>
              </w:rPr>
            </w:pPr>
            <w:r w:rsidRPr="00546BAF">
              <w:rPr>
                <w:rFonts w:ascii="Arial" w:hAnsi="Arial" w:cs="Arial"/>
                <w:sz w:val="20"/>
                <w:szCs w:val="20"/>
              </w:rPr>
              <w:t>284.12</w:t>
            </w:r>
          </w:p>
        </w:tc>
        <w:tc>
          <w:tcPr>
            <w:tcW w:w="737" w:type="dxa"/>
          </w:tcPr>
          <w:p w14:paraId="40FAC61C" w14:textId="77777777" w:rsidR="00FC0C99" w:rsidRPr="00546BAF" w:rsidRDefault="00FC0C99" w:rsidP="00270965">
            <w:pPr>
              <w:rPr>
                <w:rFonts w:ascii="Arial" w:hAnsi="Arial" w:cs="Arial"/>
                <w:sz w:val="20"/>
                <w:szCs w:val="20"/>
              </w:rPr>
            </w:pPr>
            <w:r w:rsidRPr="00546BAF">
              <w:rPr>
                <w:rFonts w:ascii="Arial" w:hAnsi="Arial" w:cs="Arial"/>
                <w:sz w:val="20"/>
                <w:szCs w:val="20"/>
              </w:rPr>
              <w:t>4</w:t>
            </w:r>
          </w:p>
        </w:tc>
        <w:tc>
          <w:tcPr>
            <w:tcW w:w="737" w:type="dxa"/>
          </w:tcPr>
          <w:p w14:paraId="6F8EF9A3" w14:textId="77777777" w:rsidR="00FC0C99" w:rsidRPr="00546BAF" w:rsidRDefault="00FC0C99" w:rsidP="00270965">
            <w:pPr>
              <w:rPr>
                <w:rFonts w:ascii="Arial" w:hAnsi="Arial" w:cs="Arial"/>
                <w:sz w:val="20"/>
                <w:szCs w:val="20"/>
              </w:rPr>
            </w:pPr>
            <w:r w:rsidRPr="00546BAF">
              <w:rPr>
                <w:rFonts w:ascii="Arial" w:hAnsi="Arial" w:cs="Arial"/>
                <w:sz w:val="20"/>
                <w:szCs w:val="20"/>
              </w:rPr>
              <w:t>2</w:t>
            </w:r>
          </w:p>
        </w:tc>
        <w:tc>
          <w:tcPr>
            <w:tcW w:w="1176" w:type="dxa"/>
          </w:tcPr>
          <w:p w14:paraId="5B0BCE69" w14:textId="77777777" w:rsidR="00FC0C99" w:rsidRPr="00546BAF" w:rsidRDefault="00FC0C99" w:rsidP="00270965">
            <w:pPr>
              <w:rPr>
                <w:rFonts w:ascii="Arial" w:hAnsi="Arial" w:cs="Arial"/>
                <w:sz w:val="20"/>
                <w:szCs w:val="20"/>
              </w:rPr>
            </w:pPr>
            <w:r w:rsidRPr="00546BAF">
              <w:rPr>
                <w:rFonts w:ascii="Arial" w:hAnsi="Arial" w:cs="Arial"/>
                <w:sz w:val="20"/>
                <w:szCs w:val="20"/>
              </w:rPr>
              <w:t>2.48</w:t>
            </w:r>
          </w:p>
        </w:tc>
        <w:tc>
          <w:tcPr>
            <w:tcW w:w="1089" w:type="dxa"/>
          </w:tcPr>
          <w:p w14:paraId="6EFA7712" w14:textId="77777777" w:rsidR="00FC0C99" w:rsidRPr="00546BAF" w:rsidRDefault="00FC0C99" w:rsidP="00270965">
            <w:pPr>
              <w:rPr>
                <w:rFonts w:ascii="Arial" w:hAnsi="Arial" w:cs="Arial"/>
                <w:sz w:val="20"/>
                <w:szCs w:val="20"/>
              </w:rPr>
            </w:pPr>
            <w:r w:rsidRPr="00546BAF">
              <w:rPr>
                <w:rFonts w:ascii="Arial" w:hAnsi="Arial" w:cs="Arial"/>
                <w:sz w:val="20"/>
                <w:szCs w:val="20"/>
              </w:rPr>
              <w:t>56.91</w:t>
            </w:r>
          </w:p>
        </w:tc>
        <w:tc>
          <w:tcPr>
            <w:tcW w:w="1316" w:type="dxa"/>
          </w:tcPr>
          <w:p w14:paraId="19B6E115" w14:textId="77777777" w:rsidR="00FC0C99" w:rsidRPr="00546BAF" w:rsidRDefault="00FC0C99" w:rsidP="00270965">
            <w:pPr>
              <w:rPr>
                <w:rFonts w:ascii="Arial" w:hAnsi="Arial" w:cs="Arial"/>
                <w:sz w:val="20"/>
                <w:szCs w:val="20"/>
              </w:rPr>
            </w:pPr>
            <w:r w:rsidRPr="00546BAF">
              <w:rPr>
                <w:rFonts w:ascii="Arial" w:hAnsi="Arial" w:cs="Arial"/>
                <w:sz w:val="20"/>
                <w:szCs w:val="20"/>
              </w:rPr>
              <w:t>293.48</w:t>
            </w:r>
          </w:p>
        </w:tc>
        <w:tc>
          <w:tcPr>
            <w:tcW w:w="1122" w:type="dxa"/>
          </w:tcPr>
          <w:p w14:paraId="17E599B4" w14:textId="77777777" w:rsidR="00FC0C99" w:rsidRPr="00546BAF" w:rsidRDefault="00FC0C99" w:rsidP="00270965">
            <w:pPr>
              <w:rPr>
                <w:rFonts w:ascii="Arial" w:hAnsi="Arial" w:cs="Arial"/>
                <w:sz w:val="20"/>
                <w:szCs w:val="20"/>
              </w:rPr>
            </w:pPr>
            <w:r w:rsidRPr="00546BAF">
              <w:rPr>
                <w:rFonts w:ascii="Arial" w:hAnsi="Arial" w:cs="Arial"/>
                <w:sz w:val="20"/>
                <w:szCs w:val="20"/>
              </w:rPr>
              <w:t>0.37</w:t>
            </w:r>
          </w:p>
        </w:tc>
      </w:tr>
    </w:tbl>
    <w:p w14:paraId="4B4231D3" w14:textId="77777777" w:rsidR="0048594A" w:rsidRPr="00546BAF" w:rsidRDefault="0048594A" w:rsidP="00002A8D">
      <w:pPr>
        <w:jc w:val="both"/>
        <w:rPr>
          <w:rFonts w:ascii="Arial" w:hAnsi="Arial" w:cs="Arial"/>
          <w:sz w:val="20"/>
          <w:szCs w:val="20"/>
        </w:rPr>
      </w:pPr>
      <w:bookmarkStart w:id="19" w:name="_Hlk220430140"/>
    </w:p>
    <w:p w14:paraId="457E4BDC" w14:textId="77777777" w:rsidR="004320A0" w:rsidRPr="00546BAF" w:rsidRDefault="00DE0FD9" w:rsidP="00002A8D">
      <w:pPr>
        <w:jc w:val="both"/>
        <w:rPr>
          <w:rFonts w:ascii="Arial" w:hAnsi="Arial" w:cs="Arial"/>
          <w:sz w:val="20"/>
          <w:szCs w:val="20"/>
        </w:rPr>
      </w:pPr>
      <w:bookmarkStart w:id="20" w:name="_Hlk220430362"/>
      <w:bookmarkEnd w:id="19"/>
      <w:r w:rsidRPr="00546BAF">
        <w:rPr>
          <w:rFonts w:ascii="Arial" w:hAnsi="Arial" w:cs="Arial"/>
          <w:b/>
          <w:bCs/>
          <w:sz w:val="20"/>
          <w:szCs w:val="20"/>
        </w:rPr>
        <w:t xml:space="preserve">Result of </w:t>
      </w:r>
      <w:r w:rsidR="006C07E6" w:rsidRPr="00546BAF">
        <w:rPr>
          <w:rFonts w:ascii="Arial" w:hAnsi="Arial" w:cs="Arial"/>
          <w:b/>
          <w:bCs/>
          <w:sz w:val="20"/>
          <w:szCs w:val="20"/>
        </w:rPr>
        <w:t>pharmacokinetic properties</w:t>
      </w:r>
      <w:r w:rsidR="009A0DD2" w:rsidRPr="00546BAF">
        <w:rPr>
          <w:rFonts w:ascii="Arial" w:hAnsi="Arial" w:cs="Arial"/>
          <w:b/>
          <w:bCs/>
          <w:sz w:val="20"/>
          <w:szCs w:val="20"/>
        </w:rPr>
        <w:t xml:space="preserve"> by </w:t>
      </w:r>
      <w:r w:rsidRPr="00546BAF">
        <w:rPr>
          <w:rFonts w:ascii="Arial" w:hAnsi="Arial" w:cs="Arial"/>
          <w:b/>
          <w:bCs/>
          <w:sz w:val="20"/>
          <w:szCs w:val="20"/>
        </w:rPr>
        <w:t>pre</w:t>
      </w:r>
      <w:r w:rsidR="00040C03" w:rsidRPr="00546BAF">
        <w:rPr>
          <w:rFonts w:ascii="Arial" w:hAnsi="Arial" w:cs="Arial"/>
          <w:b/>
          <w:bCs/>
          <w:sz w:val="20"/>
          <w:szCs w:val="20"/>
        </w:rPr>
        <w:t>-</w:t>
      </w:r>
      <w:proofErr w:type="spellStart"/>
      <w:r w:rsidRPr="00546BAF">
        <w:rPr>
          <w:rFonts w:ascii="Arial" w:hAnsi="Arial" w:cs="Arial"/>
          <w:b/>
          <w:bCs/>
          <w:sz w:val="20"/>
          <w:szCs w:val="20"/>
        </w:rPr>
        <w:t>ADME</w:t>
      </w:r>
      <w:r w:rsidR="00040C03" w:rsidRPr="00546BAF">
        <w:rPr>
          <w:rFonts w:ascii="Arial" w:hAnsi="Arial" w:cs="Arial"/>
          <w:b/>
          <w:bCs/>
          <w:sz w:val="20"/>
          <w:szCs w:val="20"/>
        </w:rPr>
        <w:t>tool</w:t>
      </w:r>
      <w:bookmarkEnd w:id="20"/>
      <w:proofErr w:type="spellEnd"/>
      <w:r w:rsidR="009A0DD2" w:rsidRPr="00546BAF">
        <w:rPr>
          <w:rFonts w:ascii="Arial" w:hAnsi="Arial" w:cs="Arial"/>
          <w:b/>
          <w:bCs/>
          <w:sz w:val="20"/>
          <w:szCs w:val="20"/>
        </w:rPr>
        <w:t>:</w:t>
      </w:r>
    </w:p>
    <w:p w14:paraId="19311975" w14:textId="77777777" w:rsidR="0083619C" w:rsidRPr="00546BAF" w:rsidRDefault="004212E0" w:rsidP="00002A8D">
      <w:pPr>
        <w:jc w:val="both"/>
        <w:rPr>
          <w:rFonts w:ascii="Arial" w:hAnsi="Arial" w:cs="Arial"/>
          <w:sz w:val="20"/>
          <w:szCs w:val="20"/>
        </w:rPr>
      </w:pPr>
      <w:r w:rsidRPr="00546BAF">
        <w:rPr>
          <w:rFonts w:ascii="Arial" w:hAnsi="Arial" w:cs="Arial"/>
          <w:sz w:val="20"/>
          <w:szCs w:val="20"/>
        </w:rPr>
        <w:lastRenderedPageBreak/>
        <w:t>Poor</w:t>
      </w:r>
      <w:r w:rsidR="000878AF" w:rsidRPr="00546BAF">
        <w:rPr>
          <w:rFonts w:ascii="Arial" w:hAnsi="Arial" w:cs="Arial"/>
          <w:sz w:val="20"/>
          <w:szCs w:val="20"/>
        </w:rPr>
        <w:t xml:space="preserve"> </w:t>
      </w:r>
      <w:r w:rsidRPr="00546BAF">
        <w:rPr>
          <w:rFonts w:ascii="Arial" w:hAnsi="Arial" w:cs="Arial"/>
          <w:sz w:val="20"/>
          <w:szCs w:val="20"/>
        </w:rPr>
        <w:t>ADMET</w:t>
      </w:r>
      <w:r w:rsidR="000878AF" w:rsidRPr="00546BAF">
        <w:rPr>
          <w:rFonts w:ascii="Arial" w:hAnsi="Arial" w:cs="Arial"/>
          <w:sz w:val="20"/>
          <w:szCs w:val="20"/>
        </w:rPr>
        <w:t xml:space="preserve"> </w:t>
      </w:r>
      <w:r w:rsidRPr="00546BAF">
        <w:rPr>
          <w:rFonts w:ascii="Arial" w:hAnsi="Arial" w:cs="Arial"/>
          <w:sz w:val="20"/>
          <w:szCs w:val="20"/>
        </w:rPr>
        <w:t>properties are</w:t>
      </w:r>
      <w:r w:rsidR="000878AF" w:rsidRPr="00546BAF">
        <w:rPr>
          <w:rFonts w:ascii="Arial" w:hAnsi="Arial" w:cs="Arial"/>
          <w:sz w:val="20"/>
          <w:szCs w:val="20"/>
        </w:rPr>
        <w:t xml:space="preserve"> </w:t>
      </w:r>
      <w:r w:rsidRPr="00546BAF">
        <w:rPr>
          <w:rFonts w:ascii="Arial" w:hAnsi="Arial" w:cs="Arial"/>
          <w:sz w:val="20"/>
          <w:szCs w:val="20"/>
        </w:rPr>
        <w:t>usually</w:t>
      </w:r>
      <w:r w:rsidR="000878AF" w:rsidRPr="00546BAF">
        <w:rPr>
          <w:rFonts w:ascii="Arial" w:hAnsi="Arial" w:cs="Arial"/>
          <w:sz w:val="20"/>
          <w:szCs w:val="20"/>
        </w:rPr>
        <w:t xml:space="preserve"> </w:t>
      </w:r>
      <w:r w:rsidRPr="00546BAF">
        <w:rPr>
          <w:rFonts w:ascii="Arial" w:hAnsi="Arial" w:cs="Arial"/>
          <w:sz w:val="20"/>
          <w:szCs w:val="20"/>
        </w:rPr>
        <w:t>one</w:t>
      </w:r>
      <w:r w:rsidR="000878AF" w:rsidRPr="00546BAF">
        <w:rPr>
          <w:rFonts w:ascii="Arial" w:hAnsi="Arial" w:cs="Arial"/>
          <w:sz w:val="20"/>
          <w:szCs w:val="20"/>
        </w:rPr>
        <w:t xml:space="preserve"> </w:t>
      </w:r>
      <w:r w:rsidRPr="00546BAF">
        <w:rPr>
          <w:rFonts w:ascii="Arial" w:hAnsi="Arial" w:cs="Arial"/>
          <w:sz w:val="20"/>
          <w:szCs w:val="20"/>
        </w:rPr>
        <w:t>of the</w:t>
      </w:r>
      <w:r w:rsidR="000878AF" w:rsidRPr="00546BAF">
        <w:rPr>
          <w:rFonts w:ascii="Arial" w:hAnsi="Arial" w:cs="Arial"/>
          <w:sz w:val="20"/>
          <w:szCs w:val="20"/>
        </w:rPr>
        <w:t xml:space="preserve"> </w:t>
      </w:r>
      <w:r w:rsidRPr="00546BAF">
        <w:rPr>
          <w:rFonts w:ascii="Arial" w:hAnsi="Arial" w:cs="Arial"/>
          <w:sz w:val="20"/>
          <w:szCs w:val="20"/>
        </w:rPr>
        <w:t>main causes</w:t>
      </w:r>
      <w:r w:rsidR="000878AF" w:rsidRPr="00546BAF">
        <w:rPr>
          <w:rFonts w:ascii="Arial" w:hAnsi="Arial" w:cs="Arial"/>
          <w:sz w:val="20"/>
          <w:szCs w:val="20"/>
        </w:rPr>
        <w:t xml:space="preserve"> </w:t>
      </w:r>
      <w:r w:rsidRPr="00546BAF">
        <w:rPr>
          <w:rFonts w:ascii="Arial" w:hAnsi="Arial" w:cs="Arial"/>
          <w:sz w:val="20"/>
          <w:szCs w:val="20"/>
        </w:rPr>
        <w:t>of drug failure.</w:t>
      </w:r>
      <w:r w:rsidR="000878AF" w:rsidRPr="00546BAF">
        <w:rPr>
          <w:rFonts w:ascii="Arial" w:hAnsi="Arial" w:cs="Arial"/>
          <w:sz w:val="20"/>
          <w:szCs w:val="20"/>
        </w:rPr>
        <w:t xml:space="preserve"> </w:t>
      </w:r>
      <w:r w:rsidRPr="00546BAF">
        <w:rPr>
          <w:rFonts w:ascii="Arial" w:hAnsi="Arial" w:cs="Arial"/>
          <w:sz w:val="20"/>
          <w:szCs w:val="20"/>
        </w:rPr>
        <w:t>Table</w:t>
      </w:r>
      <w:r w:rsidR="00632A57" w:rsidRPr="00546BAF">
        <w:rPr>
          <w:rFonts w:ascii="Arial" w:hAnsi="Arial" w:cs="Arial"/>
          <w:sz w:val="20"/>
          <w:szCs w:val="20"/>
        </w:rPr>
        <w:t xml:space="preserve"> 3</w:t>
      </w:r>
      <w:r w:rsidR="00546BAF" w:rsidRPr="00546BAF">
        <w:rPr>
          <w:rFonts w:ascii="Arial" w:hAnsi="Arial" w:cs="Arial"/>
          <w:sz w:val="20"/>
          <w:szCs w:val="20"/>
        </w:rPr>
        <w:t xml:space="preserve"> </w:t>
      </w:r>
      <w:r w:rsidRPr="00546BAF">
        <w:rPr>
          <w:rFonts w:ascii="Arial" w:hAnsi="Arial" w:cs="Arial"/>
          <w:sz w:val="20"/>
          <w:szCs w:val="20"/>
        </w:rPr>
        <w:t>displays the theoretical ADMET characteristics of the developed derivatives. P glycoprotein(P-</w:t>
      </w:r>
      <w:proofErr w:type="spellStart"/>
      <w:r w:rsidRPr="00546BAF">
        <w:rPr>
          <w:rFonts w:ascii="Arial" w:hAnsi="Arial" w:cs="Arial"/>
          <w:sz w:val="20"/>
          <w:szCs w:val="20"/>
        </w:rPr>
        <w:t>gp</w:t>
      </w:r>
      <w:proofErr w:type="spellEnd"/>
      <w:r w:rsidRPr="00546BAF">
        <w:rPr>
          <w:rFonts w:ascii="Arial" w:hAnsi="Arial" w:cs="Arial"/>
          <w:sz w:val="20"/>
          <w:szCs w:val="20"/>
        </w:rPr>
        <w:t>) and</w:t>
      </w:r>
      <w:r w:rsidR="000878AF" w:rsidRPr="00546BAF">
        <w:rPr>
          <w:rFonts w:ascii="Arial" w:hAnsi="Arial" w:cs="Arial"/>
          <w:sz w:val="20"/>
          <w:szCs w:val="20"/>
        </w:rPr>
        <w:t xml:space="preserve"> </w:t>
      </w:r>
      <w:r w:rsidRPr="00546BAF">
        <w:rPr>
          <w:rFonts w:ascii="Arial" w:hAnsi="Arial" w:cs="Arial"/>
          <w:sz w:val="20"/>
          <w:szCs w:val="20"/>
        </w:rPr>
        <w:t>human intestinal absorption</w:t>
      </w:r>
      <w:r w:rsidR="000878AF" w:rsidRPr="00546BAF">
        <w:rPr>
          <w:rFonts w:ascii="Arial" w:hAnsi="Arial" w:cs="Arial"/>
          <w:sz w:val="20"/>
          <w:szCs w:val="20"/>
        </w:rPr>
        <w:t xml:space="preserve"> </w:t>
      </w:r>
      <w:r w:rsidRPr="00546BAF">
        <w:rPr>
          <w:rFonts w:ascii="Arial" w:hAnsi="Arial" w:cs="Arial"/>
          <w:sz w:val="20"/>
          <w:szCs w:val="20"/>
        </w:rPr>
        <w:t>were employed</w:t>
      </w:r>
      <w:r w:rsidR="000878AF" w:rsidRPr="00546BAF">
        <w:rPr>
          <w:rFonts w:ascii="Arial" w:hAnsi="Arial" w:cs="Arial"/>
          <w:sz w:val="20"/>
          <w:szCs w:val="20"/>
        </w:rPr>
        <w:t xml:space="preserve"> </w:t>
      </w:r>
      <w:r w:rsidRPr="00546BAF">
        <w:rPr>
          <w:rFonts w:ascii="Arial" w:hAnsi="Arial" w:cs="Arial"/>
          <w:sz w:val="20"/>
          <w:szCs w:val="20"/>
        </w:rPr>
        <w:t>to</w:t>
      </w:r>
      <w:r w:rsidR="000878AF" w:rsidRPr="00546BAF">
        <w:rPr>
          <w:rFonts w:ascii="Arial" w:hAnsi="Arial" w:cs="Arial"/>
          <w:sz w:val="20"/>
          <w:szCs w:val="20"/>
        </w:rPr>
        <w:t xml:space="preserve"> </w:t>
      </w:r>
      <w:r w:rsidRPr="00546BAF">
        <w:rPr>
          <w:rFonts w:ascii="Arial" w:hAnsi="Arial" w:cs="Arial"/>
          <w:sz w:val="20"/>
          <w:szCs w:val="20"/>
        </w:rPr>
        <w:t>evaluate the intake</w:t>
      </w:r>
      <w:r w:rsidR="000878AF" w:rsidRPr="00546BAF">
        <w:rPr>
          <w:rFonts w:ascii="Arial" w:hAnsi="Arial" w:cs="Arial"/>
          <w:sz w:val="20"/>
          <w:szCs w:val="20"/>
        </w:rPr>
        <w:t xml:space="preserve"> </w:t>
      </w:r>
      <w:r w:rsidRPr="00546BAF">
        <w:rPr>
          <w:rFonts w:ascii="Arial" w:hAnsi="Arial" w:cs="Arial"/>
          <w:sz w:val="20"/>
          <w:szCs w:val="20"/>
        </w:rPr>
        <w:t>potentials</w:t>
      </w:r>
      <w:r w:rsidR="000878AF" w:rsidRPr="00546BAF">
        <w:rPr>
          <w:rFonts w:ascii="Arial" w:hAnsi="Arial" w:cs="Arial"/>
          <w:sz w:val="20"/>
          <w:szCs w:val="20"/>
        </w:rPr>
        <w:t xml:space="preserve"> </w:t>
      </w:r>
      <w:r w:rsidRPr="00546BAF">
        <w:rPr>
          <w:rFonts w:ascii="Arial" w:hAnsi="Arial" w:cs="Arial"/>
          <w:sz w:val="20"/>
          <w:szCs w:val="20"/>
        </w:rPr>
        <w:t>of the</w:t>
      </w:r>
      <w:r w:rsidR="000878AF" w:rsidRPr="00546BAF">
        <w:rPr>
          <w:rFonts w:ascii="Arial" w:hAnsi="Arial" w:cs="Arial"/>
          <w:sz w:val="20"/>
          <w:szCs w:val="20"/>
        </w:rPr>
        <w:t xml:space="preserve"> </w:t>
      </w:r>
      <w:r w:rsidRPr="00546BAF">
        <w:rPr>
          <w:rFonts w:ascii="Arial" w:hAnsi="Arial" w:cs="Arial"/>
          <w:sz w:val="20"/>
          <w:szCs w:val="20"/>
        </w:rPr>
        <w:t>designed derivatives. The human stomach has good absorption when the score is greater than 30%</w:t>
      </w:r>
      <w:r w:rsidR="000878AF" w:rsidRPr="00546BAF">
        <w:rPr>
          <w:rFonts w:ascii="Arial" w:hAnsi="Arial" w:cs="Arial"/>
          <w:sz w:val="20"/>
          <w:szCs w:val="20"/>
        </w:rPr>
        <w:t xml:space="preserve"> </w:t>
      </w:r>
      <w:r w:rsidR="001A1B3A" w:rsidRPr="00546BAF">
        <w:rPr>
          <w:rFonts w:ascii="Arial" w:hAnsi="Arial" w:cs="Arial"/>
          <w:sz w:val="20"/>
          <w:szCs w:val="20"/>
        </w:rPr>
        <w:t>(2</w:t>
      </w:r>
      <w:r w:rsidR="006C07E6" w:rsidRPr="00546BAF">
        <w:rPr>
          <w:rFonts w:ascii="Arial" w:hAnsi="Arial" w:cs="Arial"/>
          <w:sz w:val="20"/>
          <w:szCs w:val="20"/>
        </w:rPr>
        <w:t>5</w:t>
      </w:r>
      <w:r w:rsidR="001A1B3A" w:rsidRPr="00546BAF">
        <w:rPr>
          <w:rFonts w:ascii="Arial" w:hAnsi="Arial" w:cs="Arial"/>
          <w:sz w:val="20"/>
          <w:szCs w:val="20"/>
        </w:rPr>
        <w:t>)</w:t>
      </w:r>
    </w:p>
    <w:p w14:paraId="0BAA4B83" w14:textId="77777777" w:rsidR="0096643F" w:rsidRPr="00546BAF" w:rsidRDefault="00CB0D3A" w:rsidP="00002A8D">
      <w:pPr>
        <w:jc w:val="both"/>
        <w:rPr>
          <w:rFonts w:ascii="Arial" w:hAnsi="Arial" w:cs="Arial"/>
          <w:sz w:val="20"/>
          <w:szCs w:val="20"/>
        </w:rPr>
      </w:pPr>
      <w:bookmarkStart w:id="21" w:name="_Hlk220430822"/>
      <w:r w:rsidRPr="00546BAF">
        <w:rPr>
          <w:rFonts w:ascii="Arial" w:hAnsi="Arial" w:cs="Arial"/>
          <w:sz w:val="20"/>
          <w:szCs w:val="20"/>
        </w:rPr>
        <w:t>Pharmacokinetics prediction study like GI absorption</w:t>
      </w:r>
      <w:r w:rsidR="006B78FB" w:rsidRPr="00546BAF">
        <w:rPr>
          <w:rFonts w:ascii="Arial" w:hAnsi="Arial" w:cs="Arial"/>
          <w:sz w:val="20"/>
          <w:szCs w:val="20"/>
        </w:rPr>
        <w:t>, BBB penetration</w:t>
      </w:r>
      <w:r w:rsidRPr="00546BAF">
        <w:rPr>
          <w:rFonts w:ascii="Arial" w:hAnsi="Arial" w:cs="Arial"/>
          <w:sz w:val="20"/>
          <w:szCs w:val="20"/>
        </w:rPr>
        <w:t>, Caco</w:t>
      </w:r>
      <w:r w:rsidR="00002D83" w:rsidRPr="00546BAF">
        <w:rPr>
          <w:rFonts w:ascii="Arial" w:hAnsi="Arial" w:cs="Arial"/>
          <w:sz w:val="20"/>
          <w:szCs w:val="20"/>
        </w:rPr>
        <w:t xml:space="preserve">2 </w:t>
      </w:r>
      <w:r w:rsidRPr="00546BAF">
        <w:rPr>
          <w:rFonts w:ascii="Arial" w:hAnsi="Arial" w:cs="Arial"/>
          <w:sz w:val="20"/>
          <w:szCs w:val="20"/>
        </w:rPr>
        <w:t>absorption, p-</w:t>
      </w:r>
      <w:proofErr w:type="spellStart"/>
      <w:r w:rsidRPr="00546BAF">
        <w:rPr>
          <w:rFonts w:ascii="Arial" w:hAnsi="Arial" w:cs="Arial"/>
          <w:sz w:val="20"/>
          <w:szCs w:val="20"/>
        </w:rPr>
        <w:t>gp</w:t>
      </w:r>
      <w:proofErr w:type="spellEnd"/>
      <w:r w:rsidRPr="00546BAF">
        <w:rPr>
          <w:rFonts w:ascii="Arial" w:hAnsi="Arial" w:cs="Arial"/>
          <w:sz w:val="20"/>
          <w:szCs w:val="20"/>
        </w:rPr>
        <w:t xml:space="preserve">, CYP2C19 Inhibitor, </w:t>
      </w:r>
      <w:r w:rsidR="00814F55" w:rsidRPr="00546BAF">
        <w:rPr>
          <w:rFonts w:ascii="Arial" w:hAnsi="Arial" w:cs="Arial"/>
          <w:sz w:val="20"/>
          <w:szCs w:val="20"/>
        </w:rPr>
        <w:t xml:space="preserve">plasma protein binding </w:t>
      </w:r>
      <w:r w:rsidR="00D056B0" w:rsidRPr="00546BAF">
        <w:rPr>
          <w:rFonts w:ascii="Arial" w:hAnsi="Arial" w:cs="Arial"/>
          <w:sz w:val="20"/>
          <w:szCs w:val="20"/>
        </w:rPr>
        <w:t xml:space="preserve">and skin permeability </w:t>
      </w:r>
      <w:r w:rsidRPr="00546BAF">
        <w:rPr>
          <w:rFonts w:ascii="Arial" w:hAnsi="Arial" w:cs="Arial"/>
          <w:sz w:val="20"/>
          <w:szCs w:val="20"/>
        </w:rPr>
        <w:t xml:space="preserve">mentioned </w:t>
      </w:r>
      <w:r w:rsidR="0096643F" w:rsidRPr="00546BAF">
        <w:rPr>
          <w:rFonts w:ascii="Arial" w:hAnsi="Arial" w:cs="Arial"/>
          <w:sz w:val="20"/>
          <w:szCs w:val="20"/>
        </w:rPr>
        <w:t>in table 2.</w:t>
      </w:r>
    </w:p>
    <w:p w14:paraId="1F1FA84C" w14:textId="77777777" w:rsidR="006C07E6" w:rsidRPr="00546BAF" w:rsidRDefault="006C07E6" w:rsidP="00002A8D">
      <w:pPr>
        <w:jc w:val="both"/>
        <w:rPr>
          <w:rFonts w:ascii="Arial" w:hAnsi="Arial" w:cs="Arial"/>
          <w:sz w:val="20"/>
          <w:szCs w:val="20"/>
        </w:rPr>
      </w:pPr>
      <w:bookmarkStart w:id="22" w:name="_Hlk220430878"/>
      <w:bookmarkEnd w:id="21"/>
    </w:p>
    <w:p w14:paraId="1C883EEF" w14:textId="77777777" w:rsidR="00F65DF0" w:rsidRPr="00546BAF" w:rsidRDefault="00F65DF0" w:rsidP="00002A8D">
      <w:pPr>
        <w:jc w:val="both"/>
        <w:rPr>
          <w:rFonts w:ascii="Arial" w:hAnsi="Arial" w:cs="Arial"/>
          <w:b/>
          <w:sz w:val="20"/>
          <w:szCs w:val="20"/>
        </w:rPr>
      </w:pPr>
      <w:r w:rsidRPr="00546BAF">
        <w:rPr>
          <w:rFonts w:ascii="Arial" w:hAnsi="Arial" w:cs="Arial"/>
          <w:b/>
          <w:sz w:val="20"/>
          <w:szCs w:val="20"/>
        </w:rPr>
        <w:t xml:space="preserve">Table </w:t>
      </w:r>
      <w:r w:rsidR="00632A57" w:rsidRPr="00546BAF">
        <w:rPr>
          <w:rFonts w:ascii="Arial" w:hAnsi="Arial" w:cs="Arial"/>
          <w:b/>
          <w:sz w:val="20"/>
          <w:szCs w:val="20"/>
        </w:rPr>
        <w:t>3</w:t>
      </w:r>
      <w:r w:rsidRPr="00546BAF">
        <w:rPr>
          <w:rFonts w:ascii="Arial" w:hAnsi="Arial" w:cs="Arial"/>
          <w:b/>
          <w:sz w:val="20"/>
          <w:szCs w:val="20"/>
        </w:rPr>
        <w:t>: In silico</w:t>
      </w:r>
      <w:r w:rsidR="006C07E6" w:rsidRPr="00546BAF">
        <w:rPr>
          <w:rFonts w:ascii="Arial" w:hAnsi="Arial" w:cs="Arial"/>
          <w:b/>
          <w:sz w:val="20"/>
          <w:szCs w:val="20"/>
        </w:rPr>
        <w:t xml:space="preserve"> pharmacokinetic (</w:t>
      </w:r>
      <w:r w:rsidRPr="00546BAF">
        <w:rPr>
          <w:rFonts w:ascii="Arial" w:hAnsi="Arial" w:cs="Arial"/>
          <w:b/>
          <w:sz w:val="20"/>
          <w:szCs w:val="20"/>
        </w:rPr>
        <w:t>ADME</w:t>
      </w:r>
      <w:r w:rsidR="006C07E6" w:rsidRPr="00546BAF">
        <w:rPr>
          <w:rFonts w:ascii="Arial" w:hAnsi="Arial" w:cs="Arial"/>
          <w:b/>
          <w:sz w:val="20"/>
          <w:szCs w:val="20"/>
        </w:rPr>
        <w:t>)</w:t>
      </w:r>
      <w:r w:rsidRPr="00546BAF">
        <w:rPr>
          <w:rFonts w:ascii="Arial" w:hAnsi="Arial" w:cs="Arial"/>
          <w:b/>
          <w:sz w:val="20"/>
          <w:szCs w:val="20"/>
        </w:rPr>
        <w:t xml:space="preserve"> properties of designed compounds</w:t>
      </w:r>
    </w:p>
    <w:tbl>
      <w:tblPr>
        <w:tblStyle w:val="TableGrid"/>
        <w:tblW w:w="0" w:type="auto"/>
        <w:tblLook w:val="04A0" w:firstRow="1" w:lastRow="0" w:firstColumn="1" w:lastColumn="0" w:noHBand="0" w:noVBand="1"/>
      </w:tblPr>
      <w:tblGrid>
        <w:gridCol w:w="855"/>
        <w:gridCol w:w="1053"/>
        <w:gridCol w:w="935"/>
        <w:gridCol w:w="922"/>
        <w:gridCol w:w="718"/>
        <w:gridCol w:w="922"/>
        <w:gridCol w:w="1352"/>
        <w:gridCol w:w="829"/>
        <w:gridCol w:w="1430"/>
      </w:tblGrid>
      <w:tr w:rsidR="0048594A" w:rsidRPr="00546BAF" w14:paraId="06153CD7" w14:textId="77777777" w:rsidTr="0048594A">
        <w:tc>
          <w:tcPr>
            <w:tcW w:w="855" w:type="dxa"/>
          </w:tcPr>
          <w:bookmarkEnd w:id="22"/>
          <w:p w14:paraId="31E309B4" w14:textId="77777777" w:rsidR="00CD43F0" w:rsidRPr="00546BAF" w:rsidRDefault="00CD43F0" w:rsidP="00270965">
            <w:pPr>
              <w:rPr>
                <w:rFonts w:ascii="Arial" w:hAnsi="Arial" w:cs="Arial"/>
                <w:b/>
                <w:bCs/>
                <w:sz w:val="20"/>
                <w:szCs w:val="20"/>
              </w:rPr>
            </w:pPr>
            <w:r w:rsidRPr="00546BAF">
              <w:rPr>
                <w:rFonts w:ascii="Arial" w:hAnsi="Arial" w:cs="Arial"/>
                <w:b/>
                <w:bCs/>
                <w:sz w:val="20"/>
                <w:szCs w:val="20"/>
              </w:rPr>
              <w:t xml:space="preserve">Comp. </w:t>
            </w:r>
          </w:p>
        </w:tc>
        <w:tc>
          <w:tcPr>
            <w:tcW w:w="1053" w:type="dxa"/>
          </w:tcPr>
          <w:p w14:paraId="6DF7FEAD" w14:textId="77777777" w:rsidR="00CD43F0" w:rsidRPr="00546BAF" w:rsidRDefault="00CD43F0" w:rsidP="00270965">
            <w:pPr>
              <w:rPr>
                <w:rFonts w:ascii="Arial" w:hAnsi="Arial" w:cs="Arial"/>
                <w:b/>
                <w:bCs/>
                <w:sz w:val="20"/>
                <w:szCs w:val="20"/>
              </w:rPr>
            </w:pPr>
            <w:r w:rsidRPr="00546BAF">
              <w:rPr>
                <w:rFonts w:ascii="Arial" w:hAnsi="Arial" w:cs="Arial"/>
                <w:b/>
                <w:bCs/>
                <w:sz w:val="20"/>
                <w:szCs w:val="20"/>
              </w:rPr>
              <w:t>BBB</w:t>
            </w:r>
          </w:p>
        </w:tc>
        <w:tc>
          <w:tcPr>
            <w:tcW w:w="935" w:type="dxa"/>
          </w:tcPr>
          <w:p w14:paraId="5DF22D34" w14:textId="77777777" w:rsidR="00CD43F0" w:rsidRPr="00546BAF" w:rsidRDefault="00CD43F0" w:rsidP="00270965">
            <w:pPr>
              <w:rPr>
                <w:rFonts w:ascii="Arial" w:hAnsi="Arial" w:cs="Arial"/>
                <w:b/>
                <w:bCs/>
                <w:sz w:val="20"/>
                <w:szCs w:val="20"/>
              </w:rPr>
            </w:pPr>
            <w:r w:rsidRPr="00546BAF">
              <w:rPr>
                <w:rFonts w:ascii="Arial" w:hAnsi="Arial" w:cs="Arial"/>
                <w:b/>
                <w:bCs/>
                <w:sz w:val="20"/>
                <w:szCs w:val="20"/>
              </w:rPr>
              <w:t>CaCO2</w:t>
            </w:r>
          </w:p>
        </w:tc>
        <w:tc>
          <w:tcPr>
            <w:tcW w:w="922" w:type="dxa"/>
          </w:tcPr>
          <w:p w14:paraId="2EBD158F" w14:textId="77777777" w:rsidR="00CD43F0" w:rsidRPr="00546BAF" w:rsidRDefault="00CD43F0" w:rsidP="00270965">
            <w:pPr>
              <w:rPr>
                <w:rFonts w:ascii="Arial" w:hAnsi="Arial" w:cs="Arial"/>
                <w:b/>
                <w:bCs/>
                <w:sz w:val="20"/>
                <w:szCs w:val="20"/>
              </w:rPr>
            </w:pPr>
            <w:r w:rsidRPr="00546BAF">
              <w:rPr>
                <w:rFonts w:ascii="Arial" w:hAnsi="Arial" w:cs="Arial"/>
                <w:b/>
                <w:bCs/>
                <w:sz w:val="20"/>
                <w:szCs w:val="20"/>
              </w:rPr>
              <w:t>CY2D6</w:t>
            </w:r>
          </w:p>
        </w:tc>
        <w:tc>
          <w:tcPr>
            <w:tcW w:w="718" w:type="dxa"/>
          </w:tcPr>
          <w:p w14:paraId="26F0D77B" w14:textId="77777777" w:rsidR="00CD43F0" w:rsidRPr="00546BAF" w:rsidRDefault="00CD43F0" w:rsidP="00270965">
            <w:pPr>
              <w:rPr>
                <w:rFonts w:ascii="Arial" w:hAnsi="Arial" w:cs="Arial"/>
                <w:b/>
                <w:bCs/>
                <w:sz w:val="20"/>
                <w:szCs w:val="20"/>
              </w:rPr>
            </w:pPr>
            <w:r w:rsidRPr="00546BAF">
              <w:rPr>
                <w:rFonts w:ascii="Arial" w:hAnsi="Arial" w:cs="Arial"/>
                <w:b/>
                <w:bCs/>
                <w:sz w:val="20"/>
                <w:szCs w:val="20"/>
              </w:rPr>
              <w:t>HIA</w:t>
            </w:r>
          </w:p>
        </w:tc>
        <w:tc>
          <w:tcPr>
            <w:tcW w:w="922" w:type="dxa"/>
          </w:tcPr>
          <w:p w14:paraId="00875CEF" w14:textId="77777777" w:rsidR="00CD43F0" w:rsidRPr="00546BAF" w:rsidRDefault="00CD43F0" w:rsidP="00270965">
            <w:pPr>
              <w:rPr>
                <w:rFonts w:ascii="Arial" w:hAnsi="Arial" w:cs="Arial"/>
                <w:b/>
                <w:bCs/>
                <w:sz w:val="20"/>
                <w:szCs w:val="20"/>
              </w:rPr>
            </w:pPr>
            <w:r w:rsidRPr="00546BAF">
              <w:rPr>
                <w:rFonts w:ascii="Arial" w:hAnsi="Arial" w:cs="Arial"/>
                <w:b/>
                <w:bCs/>
                <w:sz w:val="20"/>
                <w:szCs w:val="20"/>
              </w:rPr>
              <w:t>MDCK</w:t>
            </w:r>
          </w:p>
        </w:tc>
        <w:tc>
          <w:tcPr>
            <w:tcW w:w="1352" w:type="dxa"/>
          </w:tcPr>
          <w:p w14:paraId="6404E8BB" w14:textId="77777777" w:rsidR="00CD43F0" w:rsidRPr="00546BAF" w:rsidRDefault="00CD43F0" w:rsidP="00270965">
            <w:pPr>
              <w:rPr>
                <w:rFonts w:ascii="Arial" w:hAnsi="Arial" w:cs="Arial"/>
                <w:b/>
                <w:bCs/>
                <w:sz w:val="20"/>
                <w:szCs w:val="20"/>
              </w:rPr>
            </w:pPr>
            <w:proofErr w:type="spellStart"/>
            <w:r w:rsidRPr="00546BAF">
              <w:rPr>
                <w:rFonts w:ascii="Arial" w:hAnsi="Arial" w:cs="Arial"/>
                <w:b/>
                <w:bCs/>
                <w:sz w:val="20"/>
                <w:szCs w:val="20"/>
              </w:rPr>
              <w:t>Pgp</w:t>
            </w:r>
            <w:proofErr w:type="spellEnd"/>
          </w:p>
        </w:tc>
        <w:tc>
          <w:tcPr>
            <w:tcW w:w="829" w:type="dxa"/>
          </w:tcPr>
          <w:p w14:paraId="2B6138B6" w14:textId="77777777" w:rsidR="00CD43F0" w:rsidRPr="00546BAF" w:rsidRDefault="00CD43F0" w:rsidP="00270965">
            <w:pPr>
              <w:rPr>
                <w:rFonts w:ascii="Arial" w:hAnsi="Arial" w:cs="Arial"/>
                <w:b/>
                <w:bCs/>
                <w:sz w:val="20"/>
                <w:szCs w:val="20"/>
              </w:rPr>
            </w:pPr>
            <w:r w:rsidRPr="00546BAF">
              <w:rPr>
                <w:rFonts w:ascii="Arial" w:hAnsi="Arial" w:cs="Arial"/>
                <w:b/>
                <w:bCs/>
                <w:sz w:val="20"/>
                <w:szCs w:val="20"/>
              </w:rPr>
              <w:t>PPB</w:t>
            </w:r>
          </w:p>
        </w:tc>
        <w:tc>
          <w:tcPr>
            <w:tcW w:w="1430" w:type="dxa"/>
          </w:tcPr>
          <w:p w14:paraId="4BC956D6" w14:textId="77777777" w:rsidR="00CD43F0" w:rsidRPr="00546BAF" w:rsidRDefault="00CD43F0" w:rsidP="00270965">
            <w:pPr>
              <w:rPr>
                <w:rFonts w:ascii="Arial" w:hAnsi="Arial" w:cs="Arial"/>
                <w:b/>
                <w:bCs/>
                <w:sz w:val="20"/>
                <w:szCs w:val="20"/>
              </w:rPr>
            </w:pPr>
            <w:r w:rsidRPr="00546BAF">
              <w:rPr>
                <w:rFonts w:ascii="Arial" w:hAnsi="Arial" w:cs="Arial"/>
                <w:b/>
                <w:bCs/>
                <w:sz w:val="20"/>
                <w:szCs w:val="20"/>
              </w:rPr>
              <w:t>Skin permeability</w:t>
            </w:r>
          </w:p>
        </w:tc>
      </w:tr>
      <w:tr w:rsidR="0048594A" w:rsidRPr="00546BAF" w14:paraId="15F33C1E" w14:textId="77777777" w:rsidTr="0048594A">
        <w:tc>
          <w:tcPr>
            <w:tcW w:w="855" w:type="dxa"/>
          </w:tcPr>
          <w:p w14:paraId="77CBC990" w14:textId="77777777" w:rsidR="00CD43F0" w:rsidRPr="00546BAF" w:rsidRDefault="00F8728E" w:rsidP="00270965">
            <w:pPr>
              <w:rPr>
                <w:rFonts w:ascii="Arial" w:hAnsi="Arial" w:cs="Arial"/>
                <w:sz w:val="20"/>
                <w:szCs w:val="20"/>
              </w:rPr>
            </w:pPr>
            <w:r w:rsidRPr="00546BAF">
              <w:rPr>
                <w:rFonts w:ascii="Arial" w:hAnsi="Arial" w:cs="Arial"/>
                <w:sz w:val="20"/>
                <w:szCs w:val="20"/>
              </w:rPr>
              <w:t>FA</w:t>
            </w:r>
            <w:r w:rsidR="00CD43F0" w:rsidRPr="00546BAF">
              <w:rPr>
                <w:rFonts w:ascii="Arial" w:hAnsi="Arial" w:cs="Arial"/>
                <w:sz w:val="20"/>
                <w:szCs w:val="20"/>
              </w:rPr>
              <w:t>1</w:t>
            </w:r>
          </w:p>
        </w:tc>
        <w:tc>
          <w:tcPr>
            <w:tcW w:w="1053" w:type="dxa"/>
          </w:tcPr>
          <w:p w14:paraId="600081C3" w14:textId="77777777" w:rsidR="00CD43F0" w:rsidRPr="00546BAF" w:rsidRDefault="00CD43F0" w:rsidP="00270965">
            <w:pPr>
              <w:rPr>
                <w:rFonts w:ascii="Arial" w:hAnsi="Arial" w:cs="Arial"/>
                <w:sz w:val="20"/>
                <w:szCs w:val="20"/>
              </w:rPr>
            </w:pPr>
            <w:r w:rsidRPr="00546BAF">
              <w:rPr>
                <w:rFonts w:ascii="Arial" w:hAnsi="Arial" w:cs="Arial"/>
                <w:sz w:val="20"/>
                <w:szCs w:val="20"/>
              </w:rPr>
              <w:t>1.714</w:t>
            </w:r>
          </w:p>
        </w:tc>
        <w:tc>
          <w:tcPr>
            <w:tcW w:w="935" w:type="dxa"/>
          </w:tcPr>
          <w:p w14:paraId="0E7EF7C6" w14:textId="77777777" w:rsidR="00CD43F0" w:rsidRPr="00546BAF" w:rsidRDefault="00CD43F0" w:rsidP="00270965">
            <w:pPr>
              <w:rPr>
                <w:rFonts w:ascii="Arial" w:hAnsi="Arial" w:cs="Arial"/>
                <w:sz w:val="20"/>
                <w:szCs w:val="20"/>
              </w:rPr>
            </w:pPr>
            <w:r w:rsidRPr="00546BAF">
              <w:rPr>
                <w:rFonts w:ascii="Arial" w:hAnsi="Arial" w:cs="Arial"/>
                <w:sz w:val="20"/>
                <w:szCs w:val="20"/>
              </w:rPr>
              <w:t>26.13</w:t>
            </w:r>
          </w:p>
        </w:tc>
        <w:tc>
          <w:tcPr>
            <w:tcW w:w="922" w:type="dxa"/>
          </w:tcPr>
          <w:p w14:paraId="37F429EB" w14:textId="77777777"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718" w:type="dxa"/>
          </w:tcPr>
          <w:p w14:paraId="2CF8DEAF" w14:textId="77777777" w:rsidR="00CD43F0" w:rsidRPr="00546BAF" w:rsidRDefault="00CD43F0" w:rsidP="00270965">
            <w:pPr>
              <w:rPr>
                <w:rFonts w:ascii="Arial" w:hAnsi="Arial" w:cs="Arial"/>
                <w:sz w:val="20"/>
                <w:szCs w:val="20"/>
              </w:rPr>
            </w:pPr>
            <w:r w:rsidRPr="00546BAF">
              <w:rPr>
                <w:rFonts w:ascii="Arial" w:hAnsi="Arial" w:cs="Arial"/>
                <w:sz w:val="20"/>
                <w:szCs w:val="20"/>
              </w:rPr>
              <w:t>93.21</w:t>
            </w:r>
          </w:p>
        </w:tc>
        <w:tc>
          <w:tcPr>
            <w:tcW w:w="922" w:type="dxa"/>
          </w:tcPr>
          <w:p w14:paraId="6283AFE5" w14:textId="77777777" w:rsidR="00CD43F0" w:rsidRPr="00546BAF" w:rsidRDefault="00CD43F0" w:rsidP="00270965">
            <w:pPr>
              <w:rPr>
                <w:rFonts w:ascii="Arial" w:hAnsi="Arial" w:cs="Arial"/>
                <w:sz w:val="20"/>
                <w:szCs w:val="20"/>
              </w:rPr>
            </w:pPr>
            <w:r w:rsidRPr="00546BAF">
              <w:rPr>
                <w:rFonts w:ascii="Arial" w:hAnsi="Arial" w:cs="Arial"/>
                <w:sz w:val="20"/>
                <w:szCs w:val="20"/>
              </w:rPr>
              <w:t>2.615</w:t>
            </w:r>
          </w:p>
        </w:tc>
        <w:tc>
          <w:tcPr>
            <w:tcW w:w="1352" w:type="dxa"/>
          </w:tcPr>
          <w:p w14:paraId="70FFD99A" w14:textId="77777777"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829" w:type="dxa"/>
          </w:tcPr>
          <w:p w14:paraId="224BDAFD" w14:textId="77777777" w:rsidR="00CD43F0" w:rsidRPr="00546BAF" w:rsidRDefault="00CD43F0" w:rsidP="00270965">
            <w:pPr>
              <w:rPr>
                <w:rFonts w:ascii="Arial" w:hAnsi="Arial" w:cs="Arial"/>
                <w:sz w:val="20"/>
                <w:szCs w:val="20"/>
              </w:rPr>
            </w:pPr>
            <w:r w:rsidRPr="00546BAF">
              <w:rPr>
                <w:rFonts w:ascii="Arial" w:hAnsi="Arial" w:cs="Arial"/>
                <w:sz w:val="20"/>
                <w:szCs w:val="20"/>
              </w:rPr>
              <w:t>83.74</w:t>
            </w:r>
          </w:p>
        </w:tc>
        <w:tc>
          <w:tcPr>
            <w:tcW w:w="1430" w:type="dxa"/>
          </w:tcPr>
          <w:p w14:paraId="531CE111" w14:textId="77777777" w:rsidR="00CD43F0" w:rsidRPr="00546BAF" w:rsidRDefault="00CD43F0" w:rsidP="00270965">
            <w:pPr>
              <w:rPr>
                <w:rFonts w:ascii="Arial" w:hAnsi="Arial" w:cs="Arial"/>
                <w:sz w:val="20"/>
                <w:szCs w:val="20"/>
              </w:rPr>
            </w:pPr>
            <w:r w:rsidRPr="00546BAF">
              <w:rPr>
                <w:rFonts w:ascii="Arial" w:hAnsi="Arial" w:cs="Arial"/>
                <w:sz w:val="20"/>
                <w:szCs w:val="20"/>
              </w:rPr>
              <w:t>-2.72</w:t>
            </w:r>
          </w:p>
        </w:tc>
      </w:tr>
      <w:tr w:rsidR="0048594A" w:rsidRPr="00546BAF" w14:paraId="1A2AEC9D" w14:textId="77777777" w:rsidTr="0048594A">
        <w:tc>
          <w:tcPr>
            <w:tcW w:w="855" w:type="dxa"/>
          </w:tcPr>
          <w:p w14:paraId="2F5616CD" w14:textId="77777777" w:rsidR="00CD43F0" w:rsidRPr="00546BAF" w:rsidRDefault="00F8728E" w:rsidP="00270965">
            <w:pPr>
              <w:rPr>
                <w:rFonts w:ascii="Arial" w:hAnsi="Arial" w:cs="Arial"/>
                <w:sz w:val="20"/>
                <w:szCs w:val="20"/>
              </w:rPr>
            </w:pPr>
            <w:r w:rsidRPr="00546BAF">
              <w:rPr>
                <w:rFonts w:ascii="Arial" w:hAnsi="Arial" w:cs="Arial"/>
                <w:sz w:val="20"/>
                <w:szCs w:val="20"/>
              </w:rPr>
              <w:t>FA</w:t>
            </w:r>
            <w:r w:rsidR="00CD43F0" w:rsidRPr="00546BAF">
              <w:rPr>
                <w:rFonts w:ascii="Arial" w:hAnsi="Arial" w:cs="Arial"/>
                <w:sz w:val="20"/>
                <w:szCs w:val="20"/>
              </w:rPr>
              <w:t>2</w:t>
            </w:r>
          </w:p>
        </w:tc>
        <w:tc>
          <w:tcPr>
            <w:tcW w:w="1053" w:type="dxa"/>
          </w:tcPr>
          <w:p w14:paraId="14B59064" w14:textId="77777777" w:rsidR="00CD43F0" w:rsidRPr="00546BAF" w:rsidRDefault="00CD43F0" w:rsidP="00270965">
            <w:pPr>
              <w:rPr>
                <w:rFonts w:ascii="Arial" w:hAnsi="Arial" w:cs="Arial"/>
                <w:sz w:val="20"/>
                <w:szCs w:val="20"/>
              </w:rPr>
            </w:pPr>
            <w:r w:rsidRPr="00546BAF">
              <w:rPr>
                <w:rFonts w:ascii="Arial" w:hAnsi="Arial" w:cs="Arial"/>
                <w:sz w:val="20"/>
                <w:szCs w:val="20"/>
              </w:rPr>
              <w:t>0.246</w:t>
            </w:r>
          </w:p>
        </w:tc>
        <w:tc>
          <w:tcPr>
            <w:tcW w:w="935" w:type="dxa"/>
          </w:tcPr>
          <w:p w14:paraId="1470FE9C" w14:textId="77777777" w:rsidR="00CD43F0" w:rsidRPr="00546BAF" w:rsidRDefault="00CD43F0" w:rsidP="00270965">
            <w:pPr>
              <w:rPr>
                <w:rFonts w:ascii="Arial" w:hAnsi="Arial" w:cs="Arial"/>
                <w:sz w:val="20"/>
                <w:szCs w:val="20"/>
              </w:rPr>
            </w:pPr>
            <w:r w:rsidRPr="00546BAF">
              <w:rPr>
                <w:rFonts w:ascii="Arial" w:hAnsi="Arial" w:cs="Arial"/>
                <w:sz w:val="20"/>
                <w:szCs w:val="20"/>
              </w:rPr>
              <w:t>28.32</w:t>
            </w:r>
          </w:p>
        </w:tc>
        <w:tc>
          <w:tcPr>
            <w:tcW w:w="922" w:type="dxa"/>
          </w:tcPr>
          <w:p w14:paraId="4DE45594" w14:textId="77777777"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718" w:type="dxa"/>
          </w:tcPr>
          <w:p w14:paraId="4BB3DD5D" w14:textId="77777777" w:rsidR="00CD43F0" w:rsidRPr="00546BAF" w:rsidRDefault="00CD43F0" w:rsidP="00270965">
            <w:pPr>
              <w:rPr>
                <w:rFonts w:ascii="Arial" w:hAnsi="Arial" w:cs="Arial"/>
                <w:sz w:val="20"/>
                <w:szCs w:val="20"/>
              </w:rPr>
            </w:pPr>
            <w:r w:rsidRPr="00546BAF">
              <w:rPr>
                <w:rFonts w:ascii="Arial" w:hAnsi="Arial" w:cs="Arial"/>
                <w:sz w:val="20"/>
                <w:szCs w:val="20"/>
              </w:rPr>
              <w:t>92.45</w:t>
            </w:r>
          </w:p>
        </w:tc>
        <w:tc>
          <w:tcPr>
            <w:tcW w:w="922" w:type="dxa"/>
          </w:tcPr>
          <w:p w14:paraId="4E402761" w14:textId="77777777" w:rsidR="00CD43F0" w:rsidRPr="00546BAF" w:rsidRDefault="00CD43F0" w:rsidP="00270965">
            <w:pPr>
              <w:rPr>
                <w:rFonts w:ascii="Arial" w:hAnsi="Arial" w:cs="Arial"/>
                <w:sz w:val="20"/>
                <w:szCs w:val="20"/>
              </w:rPr>
            </w:pPr>
            <w:r w:rsidRPr="00546BAF">
              <w:rPr>
                <w:rFonts w:ascii="Arial" w:hAnsi="Arial" w:cs="Arial"/>
                <w:sz w:val="20"/>
                <w:szCs w:val="20"/>
              </w:rPr>
              <w:t>54.01</w:t>
            </w:r>
          </w:p>
        </w:tc>
        <w:tc>
          <w:tcPr>
            <w:tcW w:w="1352" w:type="dxa"/>
          </w:tcPr>
          <w:p w14:paraId="0E3391FA" w14:textId="77777777"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829" w:type="dxa"/>
          </w:tcPr>
          <w:p w14:paraId="6B73E036" w14:textId="77777777" w:rsidR="00CD43F0" w:rsidRPr="00546BAF" w:rsidRDefault="00CD43F0" w:rsidP="00270965">
            <w:pPr>
              <w:rPr>
                <w:rFonts w:ascii="Arial" w:hAnsi="Arial" w:cs="Arial"/>
                <w:sz w:val="20"/>
                <w:szCs w:val="20"/>
              </w:rPr>
            </w:pPr>
            <w:r w:rsidRPr="00546BAF">
              <w:rPr>
                <w:rFonts w:ascii="Arial" w:hAnsi="Arial" w:cs="Arial"/>
                <w:sz w:val="20"/>
                <w:szCs w:val="20"/>
              </w:rPr>
              <w:t>73.00</w:t>
            </w:r>
          </w:p>
        </w:tc>
        <w:tc>
          <w:tcPr>
            <w:tcW w:w="1430" w:type="dxa"/>
          </w:tcPr>
          <w:p w14:paraId="576D60E4" w14:textId="77777777" w:rsidR="00CD43F0" w:rsidRPr="00546BAF" w:rsidRDefault="00CD43F0" w:rsidP="00270965">
            <w:pPr>
              <w:rPr>
                <w:rFonts w:ascii="Arial" w:hAnsi="Arial" w:cs="Arial"/>
                <w:sz w:val="20"/>
                <w:szCs w:val="20"/>
              </w:rPr>
            </w:pPr>
            <w:r w:rsidRPr="00546BAF">
              <w:rPr>
                <w:rFonts w:ascii="Arial" w:hAnsi="Arial" w:cs="Arial"/>
                <w:sz w:val="20"/>
                <w:szCs w:val="20"/>
              </w:rPr>
              <w:t>-3.35</w:t>
            </w:r>
          </w:p>
        </w:tc>
      </w:tr>
      <w:tr w:rsidR="0048594A" w:rsidRPr="00546BAF" w14:paraId="5EC4C4EA" w14:textId="77777777" w:rsidTr="0048594A">
        <w:tc>
          <w:tcPr>
            <w:tcW w:w="855" w:type="dxa"/>
          </w:tcPr>
          <w:p w14:paraId="7BC3F815" w14:textId="77777777" w:rsidR="00CD43F0" w:rsidRPr="00546BAF" w:rsidRDefault="00F8728E" w:rsidP="00270965">
            <w:pPr>
              <w:rPr>
                <w:rFonts w:ascii="Arial" w:hAnsi="Arial" w:cs="Arial"/>
                <w:sz w:val="20"/>
                <w:szCs w:val="20"/>
              </w:rPr>
            </w:pPr>
            <w:r w:rsidRPr="00546BAF">
              <w:rPr>
                <w:rFonts w:ascii="Arial" w:hAnsi="Arial" w:cs="Arial"/>
                <w:sz w:val="20"/>
                <w:szCs w:val="20"/>
              </w:rPr>
              <w:t>FA</w:t>
            </w:r>
            <w:r w:rsidR="00CD43F0" w:rsidRPr="00546BAF">
              <w:rPr>
                <w:rFonts w:ascii="Arial" w:hAnsi="Arial" w:cs="Arial"/>
                <w:sz w:val="20"/>
                <w:szCs w:val="20"/>
              </w:rPr>
              <w:t>3</w:t>
            </w:r>
          </w:p>
        </w:tc>
        <w:tc>
          <w:tcPr>
            <w:tcW w:w="1053" w:type="dxa"/>
          </w:tcPr>
          <w:p w14:paraId="28112E8C" w14:textId="77777777" w:rsidR="00CD43F0" w:rsidRPr="00546BAF" w:rsidRDefault="00CD43F0" w:rsidP="00270965">
            <w:pPr>
              <w:rPr>
                <w:rFonts w:ascii="Arial" w:hAnsi="Arial" w:cs="Arial"/>
                <w:sz w:val="20"/>
                <w:szCs w:val="20"/>
              </w:rPr>
            </w:pPr>
            <w:r w:rsidRPr="00546BAF">
              <w:rPr>
                <w:rFonts w:ascii="Arial" w:hAnsi="Arial" w:cs="Arial"/>
                <w:sz w:val="20"/>
                <w:szCs w:val="20"/>
              </w:rPr>
              <w:t>0.806</w:t>
            </w:r>
          </w:p>
        </w:tc>
        <w:tc>
          <w:tcPr>
            <w:tcW w:w="935" w:type="dxa"/>
          </w:tcPr>
          <w:p w14:paraId="36338082" w14:textId="77777777" w:rsidR="00CD43F0" w:rsidRPr="00546BAF" w:rsidRDefault="00CD43F0" w:rsidP="00270965">
            <w:pPr>
              <w:rPr>
                <w:rFonts w:ascii="Arial" w:hAnsi="Arial" w:cs="Arial"/>
                <w:sz w:val="20"/>
                <w:szCs w:val="20"/>
              </w:rPr>
            </w:pPr>
            <w:r w:rsidRPr="00546BAF">
              <w:rPr>
                <w:rFonts w:ascii="Arial" w:hAnsi="Arial" w:cs="Arial"/>
                <w:sz w:val="20"/>
                <w:szCs w:val="20"/>
              </w:rPr>
              <w:t>20.87</w:t>
            </w:r>
          </w:p>
        </w:tc>
        <w:tc>
          <w:tcPr>
            <w:tcW w:w="922" w:type="dxa"/>
          </w:tcPr>
          <w:p w14:paraId="70D5D849" w14:textId="77777777"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718" w:type="dxa"/>
          </w:tcPr>
          <w:p w14:paraId="56D75949" w14:textId="77777777" w:rsidR="00CD43F0" w:rsidRPr="00546BAF" w:rsidRDefault="00CD43F0" w:rsidP="00270965">
            <w:pPr>
              <w:rPr>
                <w:rFonts w:ascii="Arial" w:hAnsi="Arial" w:cs="Arial"/>
                <w:sz w:val="20"/>
                <w:szCs w:val="20"/>
              </w:rPr>
            </w:pPr>
            <w:r w:rsidRPr="00546BAF">
              <w:rPr>
                <w:rFonts w:ascii="Arial" w:hAnsi="Arial" w:cs="Arial"/>
                <w:sz w:val="20"/>
                <w:szCs w:val="20"/>
              </w:rPr>
              <w:t>89.15</w:t>
            </w:r>
          </w:p>
        </w:tc>
        <w:tc>
          <w:tcPr>
            <w:tcW w:w="922" w:type="dxa"/>
          </w:tcPr>
          <w:p w14:paraId="1E892D99" w14:textId="77777777" w:rsidR="00CD43F0" w:rsidRPr="00546BAF" w:rsidRDefault="00CD43F0" w:rsidP="00270965">
            <w:pPr>
              <w:rPr>
                <w:rFonts w:ascii="Arial" w:hAnsi="Arial" w:cs="Arial"/>
                <w:sz w:val="20"/>
                <w:szCs w:val="20"/>
              </w:rPr>
            </w:pPr>
            <w:r w:rsidRPr="00546BAF">
              <w:rPr>
                <w:rFonts w:ascii="Arial" w:hAnsi="Arial" w:cs="Arial"/>
                <w:sz w:val="20"/>
                <w:szCs w:val="20"/>
              </w:rPr>
              <w:t>0.27</w:t>
            </w:r>
          </w:p>
        </w:tc>
        <w:tc>
          <w:tcPr>
            <w:tcW w:w="1352" w:type="dxa"/>
          </w:tcPr>
          <w:p w14:paraId="0FA70586" w14:textId="77777777"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829" w:type="dxa"/>
          </w:tcPr>
          <w:p w14:paraId="158BAF56" w14:textId="77777777" w:rsidR="00CD43F0" w:rsidRPr="00546BAF" w:rsidRDefault="00CD43F0" w:rsidP="00270965">
            <w:pPr>
              <w:rPr>
                <w:rFonts w:ascii="Arial" w:hAnsi="Arial" w:cs="Arial"/>
                <w:sz w:val="20"/>
                <w:szCs w:val="20"/>
              </w:rPr>
            </w:pPr>
            <w:r w:rsidRPr="00546BAF">
              <w:rPr>
                <w:rFonts w:ascii="Arial" w:hAnsi="Arial" w:cs="Arial"/>
                <w:sz w:val="20"/>
                <w:szCs w:val="20"/>
              </w:rPr>
              <w:t>79.62</w:t>
            </w:r>
          </w:p>
        </w:tc>
        <w:tc>
          <w:tcPr>
            <w:tcW w:w="1430" w:type="dxa"/>
          </w:tcPr>
          <w:p w14:paraId="2AD23EED" w14:textId="77777777" w:rsidR="00CD43F0" w:rsidRPr="00546BAF" w:rsidRDefault="00CD43F0" w:rsidP="00270965">
            <w:pPr>
              <w:rPr>
                <w:rFonts w:ascii="Arial" w:hAnsi="Arial" w:cs="Arial"/>
                <w:sz w:val="20"/>
                <w:szCs w:val="20"/>
              </w:rPr>
            </w:pPr>
            <w:r w:rsidRPr="00546BAF">
              <w:rPr>
                <w:rFonts w:ascii="Arial" w:hAnsi="Arial" w:cs="Arial"/>
                <w:sz w:val="20"/>
                <w:szCs w:val="20"/>
              </w:rPr>
              <w:t>-3.72</w:t>
            </w:r>
          </w:p>
        </w:tc>
      </w:tr>
      <w:tr w:rsidR="0048594A" w:rsidRPr="00546BAF" w14:paraId="2483F7F0" w14:textId="77777777" w:rsidTr="0048594A">
        <w:tc>
          <w:tcPr>
            <w:tcW w:w="855" w:type="dxa"/>
          </w:tcPr>
          <w:p w14:paraId="3DC33567" w14:textId="77777777" w:rsidR="00CD43F0" w:rsidRPr="00546BAF" w:rsidRDefault="00F8728E" w:rsidP="00270965">
            <w:pPr>
              <w:rPr>
                <w:rFonts w:ascii="Arial" w:hAnsi="Arial" w:cs="Arial"/>
                <w:sz w:val="20"/>
                <w:szCs w:val="20"/>
              </w:rPr>
            </w:pPr>
            <w:r w:rsidRPr="00546BAF">
              <w:rPr>
                <w:rFonts w:ascii="Arial" w:hAnsi="Arial" w:cs="Arial"/>
                <w:sz w:val="20"/>
                <w:szCs w:val="20"/>
              </w:rPr>
              <w:t>FA</w:t>
            </w:r>
            <w:r w:rsidR="00CD43F0" w:rsidRPr="00546BAF">
              <w:rPr>
                <w:rFonts w:ascii="Arial" w:hAnsi="Arial" w:cs="Arial"/>
                <w:sz w:val="20"/>
                <w:szCs w:val="20"/>
              </w:rPr>
              <w:t>4</w:t>
            </w:r>
          </w:p>
        </w:tc>
        <w:tc>
          <w:tcPr>
            <w:tcW w:w="1053" w:type="dxa"/>
          </w:tcPr>
          <w:p w14:paraId="04E47595" w14:textId="77777777" w:rsidR="00CD43F0" w:rsidRPr="00546BAF" w:rsidRDefault="00CD43F0" w:rsidP="00270965">
            <w:pPr>
              <w:rPr>
                <w:rFonts w:ascii="Arial" w:hAnsi="Arial" w:cs="Arial"/>
                <w:sz w:val="20"/>
                <w:szCs w:val="20"/>
              </w:rPr>
            </w:pPr>
            <w:r w:rsidRPr="00546BAF">
              <w:rPr>
                <w:rFonts w:ascii="Arial" w:hAnsi="Arial" w:cs="Arial"/>
                <w:sz w:val="20"/>
                <w:szCs w:val="20"/>
              </w:rPr>
              <w:t>0.199</w:t>
            </w:r>
          </w:p>
        </w:tc>
        <w:tc>
          <w:tcPr>
            <w:tcW w:w="935" w:type="dxa"/>
          </w:tcPr>
          <w:p w14:paraId="4B7F7B58" w14:textId="77777777" w:rsidR="00CD43F0" w:rsidRPr="00546BAF" w:rsidRDefault="00CD43F0" w:rsidP="00270965">
            <w:pPr>
              <w:rPr>
                <w:rFonts w:ascii="Arial" w:hAnsi="Arial" w:cs="Arial"/>
                <w:sz w:val="20"/>
                <w:szCs w:val="20"/>
              </w:rPr>
            </w:pPr>
            <w:r w:rsidRPr="00546BAF">
              <w:rPr>
                <w:rFonts w:ascii="Arial" w:hAnsi="Arial" w:cs="Arial"/>
                <w:sz w:val="20"/>
                <w:szCs w:val="20"/>
              </w:rPr>
              <w:t>22.53</w:t>
            </w:r>
          </w:p>
        </w:tc>
        <w:tc>
          <w:tcPr>
            <w:tcW w:w="922" w:type="dxa"/>
          </w:tcPr>
          <w:p w14:paraId="74ABAADE" w14:textId="77777777"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718" w:type="dxa"/>
          </w:tcPr>
          <w:p w14:paraId="78C706EC" w14:textId="77777777" w:rsidR="00CD43F0" w:rsidRPr="00546BAF" w:rsidRDefault="00CD43F0" w:rsidP="00270965">
            <w:pPr>
              <w:rPr>
                <w:rFonts w:ascii="Arial" w:hAnsi="Arial" w:cs="Arial"/>
                <w:sz w:val="20"/>
                <w:szCs w:val="20"/>
              </w:rPr>
            </w:pPr>
            <w:r w:rsidRPr="00546BAF">
              <w:rPr>
                <w:rFonts w:ascii="Arial" w:hAnsi="Arial" w:cs="Arial"/>
                <w:sz w:val="20"/>
                <w:szCs w:val="20"/>
              </w:rPr>
              <w:t>93.50</w:t>
            </w:r>
          </w:p>
        </w:tc>
        <w:tc>
          <w:tcPr>
            <w:tcW w:w="922" w:type="dxa"/>
          </w:tcPr>
          <w:p w14:paraId="06618ABE" w14:textId="77777777" w:rsidR="00CD43F0" w:rsidRPr="00546BAF" w:rsidRDefault="00CD43F0" w:rsidP="00270965">
            <w:pPr>
              <w:rPr>
                <w:rFonts w:ascii="Arial" w:hAnsi="Arial" w:cs="Arial"/>
                <w:sz w:val="20"/>
                <w:szCs w:val="20"/>
              </w:rPr>
            </w:pPr>
            <w:r w:rsidRPr="00546BAF">
              <w:rPr>
                <w:rFonts w:ascii="Arial" w:hAnsi="Arial" w:cs="Arial"/>
                <w:sz w:val="20"/>
                <w:szCs w:val="20"/>
              </w:rPr>
              <w:t>0.108</w:t>
            </w:r>
          </w:p>
        </w:tc>
        <w:tc>
          <w:tcPr>
            <w:tcW w:w="1352" w:type="dxa"/>
          </w:tcPr>
          <w:p w14:paraId="67144A00" w14:textId="77777777"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829" w:type="dxa"/>
          </w:tcPr>
          <w:p w14:paraId="1067DDEF" w14:textId="77777777" w:rsidR="00CD43F0" w:rsidRPr="00546BAF" w:rsidRDefault="00CD43F0" w:rsidP="00270965">
            <w:pPr>
              <w:rPr>
                <w:rFonts w:ascii="Arial" w:hAnsi="Arial" w:cs="Arial"/>
                <w:sz w:val="20"/>
                <w:szCs w:val="20"/>
              </w:rPr>
            </w:pPr>
            <w:r w:rsidRPr="00546BAF">
              <w:rPr>
                <w:rFonts w:ascii="Arial" w:hAnsi="Arial" w:cs="Arial"/>
                <w:sz w:val="20"/>
                <w:szCs w:val="20"/>
              </w:rPr>
              <w:t>79.65</w:t>
            </w:r>
          </w:p>
        </w:tc>
        <w:tc>
          <w:tcPr>
            <w:tcW w:w="1430" w:type="dxa"/>
          </w:tcPr>
          <w:p w14:paraId="7BB9DDEE" w14:textId="77777777" w:rsidR="00CD43F0" w:rsidRPr="00546BAF" w:rsidRDefault="00CD43F0" w:rsidP="00270965">
            <w:pPr>
              <w:rPr>
                <w:rFonts w:ascii="Arial" w:hAnsi="Arial" w:cs="Arial"/>
                <w:sz w:val="20"/>
                <w:szCs w:val="20"/>
              </w:rPr>
            </w:pPr>
            <w:r w:rsidRPr="00546BAF">
              <w:rPr>
                <w:rFonts w:ascii="Arial" w:hAnsi="Arial" w:cs="Arial"/>
                <w:sz w:val="20"/>
                <w:szCs w:val="20"/>
              </w:rPr>
              <w:t>-2.94</w:t>
            </w:r>
          </w:p>
        </w:tc>
      </w:tr>
      <w:tr w:rsidR="0048594A" w:rsidRPr="00546BAF" w14:paraId="08D12EA7" w14:textId="77777777" w:rsidTr="0048594A">
        <w:tc>
          <w:tcPr>
            <w:tcW w:w="855" w:type="dxa"/>
          </w:tcPr>
          <w:p w14:paraId="75CB6B0E" w14:textId="77777777" w:rsidR="00CD43F0" w:rsidRPr="00546BAF" w:rsidRDefault="00F8728E" w:rsidP="00270965">
            <w:pPr>
              <w:rPr>
                <w:rFonts w:ascii="Arial" w:hAnsi="Arial" w:cs="Arial"/>
                <w:sz w:val="20"/>
                <w:szCs w:val="20"/>
              </w:rPr>
            </w:pPr>
            <w:r w:rsidRPr="00546BAF">
              <w:rPr>
                <w:rFonts w:ascii="Arial" w:hAnsi="Arial" w:cs="Arial"/>
                <w:sz w:val="20"/>
                <w:szCs w:val="20"/>
              </w:rPr>
              <w:t>FA</w:t>
            </w:r>
            <w:r w:rsidR="00CD43F0" w:rsidRPr="00546BAF">
              <w:rPr>
                <w:rFonts w:ascii="Arial" w:hAnsi="Arial" w:cs="Arial"/>
                <w:sz w:val="20"/>
                <w:szCs w:val="20"/>
              </w:rPr>
              <w:t>5</w:t>
            </w:r>
          </w:p>
        </w:tc>
        <w:tc>
          <w:tcPr>
            <w:tcW w:w="1053" w:type="dxa"/>
          </w:tcPr>
          <w:p w14:paraId="17D6F31F" w14:textId="77777777" w:rsidR="00CD43F0" w:rsidRPr="00546BAF" w:rsidRDefault="00CD43F0" w:rsidP="00270965">
            <w:pPr>
              <w:rPr>
                <w:rFonts w:ascii="Arial" w:hAnsi="Arial" w:cs="Arial"/>
                <w:sz w:val="20"/>
                <w:szCs w:val="20"/>
              </w:rPr>
            </w:pPr>
            <w:r w:rsidRPr="00546BAF">
              <w:rPr>
                <w:rFonts w:ascii="Arial" w:hAnsi="Arial" w:cs="Arial"/>
                <w:sz w:val="20"/>
                <w:szCs w:val="20"/>
              </w:rPr>
              <w:t>0.205</w:t>
            </w:r>
          </w:p>
        </w:tc>
        <w:tc>
          <w:tcPr>
            <w:tcW w:w="935" w:type="dxa"/>
          </w:tcPr>
          <w:p w14:paraId="2C39A9A1" w14:textId="77777777" w:rsidR="00CD43F0" w:rsidRPr="00546BAF" w:rsidRDefault="00CD43F0" w:rsidP="00270965">
            <w:pPr>
              <w:rPr>
                <w:rFonts w:ascii="Arial" w:hAnsi="Arial" w:cs="Arial"/>
                <w:sz w:val="20"/>
                <w:szCs w:val="20"/>
              </w:rPr>
            </w:pPr>
            <w:r w:rsidRPr="00546BAF">
              <w:rPr>
                <w:rFonts w:ascii="Arial" w:hAnsi="Arial" w:cs="Arial"/>
                <w:sz w:val="20"/>
                <w:szCs w:val="20"/>
              </w:rPr>
              <w:t>22.53</w:t>
            </w:r>
          </w:p>
        </w:tc>
        <w:tc>
          <w:tcPr>
            <w:tcW w:w="922" w:type="dxa"/>
          </w:tcPr>
          <w:p w14:paraId="3B2D5643" w14:textId="77777777"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718" w:type="dxa"/>
          </w:tcPr>
          <w:p w14:paraId="55531AD6" w14:textId="77777777" w:rsidR="00CD43F0" w:rsidRPr="00546BAF" w:rsidRDefault="00CD43F0" w:rsidP="00270965">
            <w:pPr>
              <w:rPr>
                <w:rFonts w:ascii="Arial" w:hAnsi="Arial" w:cs="Arial"/>
                <w:sz w:val="20"/>
                <w:szCs w:val="20"/>
              </w:rPr>
            </w:pPr>
            <w:r w:rsidRPr="00546BAF">
              <w:rPr>
                <w:rFonts w:ascii="Arial" w:hAnsi="Arial" w:cs="Arial"/>
                <w:sz w:val="20"/>
                <w:szCs w:val="20"/>
              </w:rPr>
              <w:t>93.51</w:t>
            </w:r>
          </w:p>
        </w:tc>
        <w:tc>
          <w:tcPr>
            <w:tcW w:w="922" w:type="dxa"/>
          </w:tcPr>
          <w:p w14:paraId="70395D0E" w14:textId="77777777" w:rsidR="00CD43F0" w:rsidRPr="00546BAF" w:rsidRDefault="00CD43F0" w:rsidP="00270965">
            <w:pPr>
              <w:rPr>
                <w:rFonts w:ascii="Arial" w:hAnsi="Arial" w:cs="Arial"/>
                <w:sz w:val="20"/>
                <w:szCs w:val="20"/>
              </w:rPr>
            </w:pPr>
            <w:r w:rsidRPr="00546BAF">
              <w:rPr>
                <w:rFonts w:ascii="Arial" w:hAnsi="Arial" w:cs="Arial"/>
                <w:sz w:val="20"/>
                <w:szCs w:val="20"/>
              </w:rPr>
              <w:t>0.839</w:t>
            </w:r>
          </w:p>
        </w:tc>
        <w:tc>
          <w:tcPr>
            <w:tcW w:w="1352" w:type="dxa"/>
          </w:tcPr>
          <w:p w14:paraId="63B3CFB4" w14:textId="77777777"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829" w:type="dxa"/>
          </w:tcPr>
          <w:p w14:paraId="043422B5" w14:textId="77777777" w:rsidR="00CD43F0" w:rsidRPr="00546BAF" w:rsidRDefault="00CD43F0" w:rsidP="00270965">
            <w:pPr>
              <w:rPr>
                <w:rFonts w:ascii="Arial" w:hAnsi="Arial" w:cs="Arial"/>
                <w:sz w:val="20"/>
                <w:szCs w:val="20"/>
              </w:rPr>
            </w:pPr>
            <w:r w:rsidRPr="00546BAF">
              <w:rPr>
                <w:rFonts w:ascii="Arial" w:hAnsi="Arial" w:cs="Arial"/>
                <w:sz w:val="20"/>
                <w:szCs w:val="20"/>
              </w:rPr>
              <w:t>78.43</w:t>
            </w:r>
          </w:p>
        </w:tc>
        <w:tc>
          <w:tcPr>
            <w:tcW w:w="1430" w:type="dxa"/>
          </w:tcPr>
          <w:p w14:paraId="5F2425F6" w14:textId="77777777" w:rsidR="00CD43F0" w:rsidRPr="00546BAF" w:rsidRDefault="00CD43F0" w:rsidP="00270965">
            <w:pPr>
              <w:rPr>
                <w:rFonts w:ascii="Arial" w:hAnsi="Arial" w:cs="Arial"/>
                <w:sz w:val="20"/>
                <w:szCs w:val="20"/>
              </w:rPr>
            </w:pPr>
            <w:r w:rsidRPr="00546BAF">
              <w:rPr>
                <w:rFonts w:ascii="Arial" w:hAnsi="Arial" w:cs="Arial"/>
                <w:sz w:val="20"/>
                <w:szCs w:val="20"/>
              </w:rPr>
              <w:t>-2.97</w:t>
            </w:r>
          </w:p>
        </w:tc>
      </w:tr>
      <w:tr w:rsidR="0048594A" w:rsidRPr="00546BAF" w14:paraId="4DDEB1C1" w14:textId="77777777" w:rsidTr="0048594A">
        <w:tc>
          <w:tcPr>
            <w:tcW w:w="855" w:type="dxa"/>
          </w:tcPr>
          <w:p w14:paraId="5BF77FCD" w14:textId="77777777" w:rsidR="00CD43F0" w:rsidRPr="00546BAF" w:rsidRDefault="00F8728E" w:rsidP="00270965">
            <w:pPr>
              <w:rPr>
                <w:rFonts w:ascii="Arial" w:hAnsi="Arial" w:cs="Arial"/>
                <w:sz w:val="20"/>
                <w:szCs w:val="20"/>
              </w:rPr>
            </w:pPr>
            <w:r w:rsidRPr="00546BAF">
              <w:rPr>
                <w:rFonts w:ascii="Arial" w:hAnsi="Arial" w:cs="Arial"/>
                <w:sz w:val="20"/>
                <w:szCs w:val="20"/>
              </w:rPr>
              <w:t>FA</w:t>
            </w:r>
            <w:r w:rsidR="00CD43F0" w:rsidRPr="00546BAF">
              <w:rPr>
                <w:rFonts w:ascii="Arial" w:hAnsi="Arial" w:cs="Arial"/>
                <w:sz w:val="20"/>
                <w:szCs w:val="20"/>
              </w:rPr>
              <w:t>6</w:t>
            </w:r>
          </w:p>
        </w:tc>
        <w:tc>
          <w:tcPr>
            <w:tcW w:w="1053" w:type="dxa"/>
          </w:tcPr>
          <w:p w14:paraId="40EED216" w14:textId="77777777" w:rsidR="00CD43F0" w:rsidRPr="00546BAF" w:rsidRDefault="00CD43F0" w:rsidP="00270965">
            <w:pPr>
              <w:rPr>
                <w:rFonts w:ascii="Arial" w:hAnsi="Arial" w:cs="Arial"/>
                <w:sz w:val="20"/>
                <w:szCs w:val="20"/>
              </w:rPr>
            </w:pPr>
            <w:r w:rsidRPr="00546BAF">
              <w:rPr>
                <w:rFonts w:ascii="Arial" w:hAnsi="Arial" w:cs="Arial"/>
                <w:sz w:val="20"/>
                <w:szCs w:val="20"/>
              </w:rPr>
              <w:t>0.205</w:t>
            </w:r>
          </w:p>
        </w:tc>
        <w:tc>
          <w:tcPr>
            <w:tcW w:w="935" w:type="dxa"/>
          </w:tcPr>
          <w:p w14:paraId="24FE5E13" w14:textId="77777777" w:rsidR="00CD43F0" w:rsidRPr="00546BAF" w:rsidRDefault="00CD43F0" w:rsidP="00270965">
            <w:pPr>
              <w:rPr>
                <w:rFonts w:ascii="Arial" w:hAnsi="Arial" w:cs="Arial"/>
                <w:sz w:val="20"/>
                <w:szCs w:val="20"/>
              </w:rPr>
            </w:pPr>
            <w:r w:rsidRPr="00546BAF">
              <w:rPr>
                <w:rFonts w:ascii="Arial" w:hAnsi="Arial" w:cs="Arial"/>
                <w:sz w:val="20"/>
                <w:szCs w:val="20"/>
              </w:rPr>
              <w:t>22.71</w:t>
            </w:r>
          </w:p>
        </w:tc>
        <w:tc>
          <w:tcPr>
            <w:tcW w:w="922" w:type="dxa"/>
          </w:tcPr>
          <w:p w14:paraId="4D6BCEB3" w14:textId="77777777"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718" w:type="dxa"/>
          </w:tcPr>
          <w:p w14:paraId="3BE59407" w14:textId="77777777" w:rsidR="00CD43F0" w:rsidRPr="00546BAF" w:rsidRDefault="00CD43F0" w:rsidP="00270965">
            <w:pPr>
              <w:rPr>
                <w:rFonts w:ascii="Arial" w:hAnsi="Arial" w:cs="Arial"/>
                <w:sz w:val="20"/>
                <w:szCs w:val="20"/>
              </w:rPr>
            </w:pPr>
            <w:r w:rsidRPr="00546BAF">
              <w:rPr>
                <w:rFonts w:ascii="Arial" w:hAnsi="Arial" w:cs="Arial"/>
                <w:sz w:val="20"/>
                <w:szCs w:val="20"/>
              </w:rPr>
              <w:t>93.51</w:t>
            </w:r>
          </w:p>
        </w:tc>
        <w:tc>
          <w:tcPr>
            <w:tcW w:w="922" w:type="dxa"/>
          </w:tcPr>
          <w:p w14:paraId="716C92B4" w14:textId="77777777" w:rsidR="00CD43F0" w:rsidRPr="00546BAF" w:rsidRDefault="00CD43F0" w:rsidP="00270965">
            <w:pPr>
              <w:rPr>
                <w:rFonts w:ascii="Arial" w:hAnsi="Arial" w:cs="Arial"/>
                <w:sz w:val="20"/>
                <w:szCs w:val="20"/>
              </w:rPr>
            </w:pPr>
            <w:r w:rsidRPr="00546BAF">
              <w:rPr>
                <w:rFonts w:ascii="Arial" w:hAnsi="Arial" w:cs="Arial"/>
                <w:sz w:val="20"/>
                <w:szCs w:val="20"/>
              </w:rPr>
              <w:t>0.256</w:t>
            </w:r>
          </w:p>
        </w:tc>
        <w:tc>
          <w:tcPr>
            <w:tcW w:w="1352" w:type="dxa"/>
          </w:tcPr>
          <w:p w14:paraId="6D44EC23" w14:textId="77777777"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829" w:type="dxa"/>
          </w:tcPr>
          <w:p w14:paraId="0823F886" w14:textId="77777777" w:rsidR="00CD43F0" w:rsidRPr="00546BAF" w:rsidRDefault="00CD43F0" w:rsidP="00270965">
            <w:pPr>
              <w:rPr>
                <w:rFonts w:ascii="Arial" w:hAnsi="Arial" w:cs="Arial"/>
                <w:sz w:val="20"/>
                <w:szCs w:val="20"/>
              </w:rPr>
            </w:pPr>
            <w:r w:rsidRPr="00546BAF">
              <w:rPr>
                <w:rFonts w:ascii="Arial" w:hAnsi="Arial" w:cs="Arial"/>
                <w:sz w:val="20"/>
                <w:szCs w:val="20"/>
              </w:rPr>
              <w:t>80.87</w:t>
            </w:r>
          </w:p>
        </w:tc>
        <w:tc>
          <w:tcPr>
            <w:tcW w:w="1430" w:type="dxa"/>
          </w:tcPr>
          <w:p w14:paraId="6701DF41" w14:textId="77777777" w:rsidR="00CD43F0" w:rsidRPr="00546BAF" w:rsidRDefault="00CD43F0" w:rsidP="00270965">
            <w:pPr>
              <w:rPr>
                <w:rFonts w:ascii="Arial" w:hAnsi="Arial" w:cs="Arial"/>
                <w:sz w:val="20"/>
                <w:szCs w:val="20"/>
              </w:rPr>
            </w:pPr>
            <w:r w:rsidRPr="00546BAF">
              <w:rPr>
                <w:rFonts w:ascii="Arial" w:hAnsi="Arial" w:cs="Arial"/>
                <w:sz w:val="20"/>
                <w:szCs w:val="20"/>
              </w:rPr>
              <w:t>-2.98</w:t>
            </w:r>
          </w:p>
        </w:tc>
      </w:tr>
      <w:tr w:rsidR="0048594A" w:rsidRPr="00546BAF" w14:paraId="59D3A111" w14:textId="77777777" w:rsidTr="0048594A">
        <w:tc>
          <w:tcPr>
            <w:tcW w:w="855" w:type="dxa"/>
          </w:tcPr>
          <w:p w14:paraId="73561D97" w14:textId="77777777" w:rsidR="00CD43F0" w:rsidRPr="00546BAF" w:rsidRDefault="00F8728E" w:rsidP="00270965">
            <w:pPr>
              <w:rPr>
                <w:rFonts w:ascii="Arial" w:hAnsi="Arial" w:cs="Arial"/>
                <w:sz w:val="20"/>
                <w:szCs w:val="20"/>
              </w:rPr>
            </w:pPr>
            <w:r w:rsidRPr="00546BAF">
              <w:rPr>
                <w:rFonts w:ascii="Arial" w:hAnsi="Arial" w:cs="Arial"/>
                <w:sz w:val="20"/>
                <w:szCs w:val="20"/>
              </w:rPr>
              <w:t>FA</w:t>
            </w:r>
            <w:r w:rsidR="00CD43F0" w:rsidRPr="00546BAF">
              <w:rPr>
                <w:rFonts w:ascii="Arial" w:hAnsi="Arial" w:cs="Arial"/>
                <w:sz w:val="20"/>
                <w:szCs w:val="20"/>
              </w:rPr>
              <w:t>7</w:t>
            </w:r>
          </w:p>
        </w:tc>
        <w:tc>
          <w:tcPr>
            <w:tcW w:w="1053" w:type="dxa"/>
          </w:tcPr>
          <w:p w14:paraId="49BA19F3" w14:textId="77777777" w:rsidR="00CD43F0" w:rsidRPr="00546BAF" w:rsidRDefault="00CD43F0" w:rsidP="00270965">
            <w:pPr>
              <w:rPr>
                <w:rFonts w:ascii="Arial" w:hAnsi="Arial" w:cs="Arial"/>
                <w:sz w:val="20"/>
                <w:szCs w:val="20"/>
              </w:rPr>
            </w:pPr>
            <w:r w:rsidRPr="00546BAF">
              <w:rPr>
                <w:rFonts w:ascii="Arial" w:hAnsi="Arial" w:cs="Arial"/>
                <w:sz w:val="20"/>
                <w:szCs w:val="20"/>
              </w:rPr>
              <w:t>0.012</w:t>
            </w:r>
          </w:p>
        </w:tc>
        <w:tc>
          <w:tcPr>
            <w:tcW w:w="935" w:type="dxa"/>
          </w:tcPr>
          <w:p w14:paraId="03824EEE" w14:textId="77777777" w:rsidR="00CD43F0" w:rsidRPr="00546BAF" w:rsidRDefault="00CD43F0" w:rsidP="00270965">
            <w:pPr>
              <w:rPr>
                <w:rFonts w:ascii="Arial" w:hAnsi="Arial" w:cs="Arial"/>
                <w:sz w:val="20"/>
                <w:szCs w:val="20"/>
              </w:rPr>
            </w:pPr>
            <w:r w:rsidRPr="00546BAF">
              <w:rPr>
                <w:rFonts w:ascii="Arial" w:hAnsi="Arial" w:cs="Arial"/>
                <w:sz w:val="20"/>
                <w:szCs w:val="20"/>
              </w:rPr>
              <w:t>0.517</w:t>
            </w:r>
          </w:p>
        </w:tc>
        <w:tc>
          <w:tcPr>
            <w:tcW w:w="922" w:type="dxa"/>
          </w:tcPr>
          <w:p w14:paraId="391AB729" w14:textId="77777777"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718" w:type="dxa"/>
          </w:tcPr>
          <w:p w14:paraId="50F16A4C" w14:textId="77777777" w:rsidR="00CD43F0" w:rsidRPr="00546BAF" w:rsidRDefault="00CD43F0" w:rsidP="00270965">
            <w:pPr>
              <w:rPr>
                <w:rFonts w:ascii="Arial" w:hAnsi="Arial" w:cs="Arial"/>
                <w:sz w:val="20"/>
                <w:szCs w:val="20"/>
              </w:rPr>
            </w:pPr>
            <w:r w:rsidRPr="00546BAF">
              <w:rPr>
                <w:rFonts w:ascii="Arial" w:hAnsi="Arial" w:cs="Arial"/>
                <w:sz w:val="20"/>
                <w:szCs w:val="20"/>
              </w:rPr>
              <w:t>92.74</w:t>
            </w:r>
          </w:p>
        </w:tc>
        <w:tc>
          <w:tcPr>
            <w:tcW w:w="922" w:type="dxa"/>
          </w:tcPr>
          <w:p w14:paraId="5887CD9C" w14:textId="77777777" w:rsidR="00CD43F0" w:rsidRPr="00546BAF" w:rsidRDefault="00CD43F0" w:rsidP="00270965">
            <w:pPr>
              <w:rPr>
                <w:rFonts w:ascii="Arial" w:hAnsi="Arial" w:cs="Arial"/>
                <w:sz w:val="20"/>
                <w:szCs w:val="20"/>
              </w:rPr>
            </w:pPr>
            <w:r w:rsidRPr="00546BAF">
              <w:rPr>
                <w:rFonts w:ascii="Arial" w:hAnsi="Arial" w:cs="Arial"/>
                <w:sz w:val="20"/>
                <w:szCs w:val="20"/>
              </w:rPr>
              <w:t>0.248</w:t>
            </w:r>
          </w:p>
        </w:tc>
        <w:tc>
          <w:tcPr>
            <w:tcW w:w="1352" w:type="dxa"/>
          </w:tcPr>
          <w:p w14:paraId="6CE7B801" w14:textId="77777777"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829" w:type="dxa"/>
          </w:tcPr>
          <w:p w14:paraId="108AF281" w14:textId="77777777" w:rsidR="00CD43F0" w:rsidRPr="00546BAF" w:rsidRDefault="00CD43F0" w:rsidP="00270965">
            <w:pPr>
              <w:rPr>
                <w:rFonts w:ascii="Arial" w:hAnsi="Arial" w:cs="Arial"/>
                <w:sz w:val="20"/>
                <w:szCs w:val="20"/>
              </w:rPr>
            </w:pPr>
            <w:r w:rsidRPr="00546BAF">
              <w:rPr>
                <w:rFonts w:ascii="Arial" w:hAnsi="Arial" w:cs="Arial"/>
                <w:sz w:val="20"/>
                <w:szCs w:val="20"/>
              </w:rPr>
              <w:t>93.54</w:t>
            </w:r>
          </w:p>
        </w:tc>
        <w:tc>
          <w:tcPr>
            <w:tcW w:w="1430" w:type="dxa"/>
          </w:tcPr>
          <w:p w14:paraId="3D860752" w14:textId="77777777" w:rsidR="00CD43F0" w:rsidRPr="00546BAF" w:rsidRDefault="00CD43F0" w:rsidP="00270965">
            <w:pPr>
              <w:rPr>
                <w:rFonts w:ascii="Arial" w:hAnsi="Arial" w:cs="Arial"/>
                <w:sz w:val="20"/>
                <w:szCs w:val="20"/>
              </w:rPr>
            </w:pPr>
            <w:r w:rsidRPr="00546BAF">
              <w:rPr>
                <w:rFonts w:ascii="Arial" w:hAnsi="Arial" w:cs="Arial"/>
                <w:sz w:val="20"/>
                <w:szCs w:val="20"/>
              </w:rPr>
              <w:t>-2.35</w:t>
            </w:r>
          </w:p>
        </w:tc>
      </w:tr>
      <w:tr w:rsidR="0048594A" w:rsidRPr="00546BAF" w14:paraId="20C939A8" w14:textId="77777777" w:rsidTr="0048594A">
        <w:tc>
          <w:tcPr>
            <w:tcW w:w="855" w:type="dxa"/>
          </w:tcPr>
          <w:p w14:paraId="26D6DF92" w14:textId="77777777" w:rsidR="00CD43F0" w:rsidRPr="00546BAF" w:rsidRDefault="00F8728E" w:rsidP="00270965">
            <w:pPr>
              <w:rPr>
                <w:rFonts w:ascii="Arial" w:hAnsi="Arial" w:cs="Arial"/>
                <w:sz w:val="20"/>
                <w:szCs w:val="20"/>
              </w:rPr>
            </w:pPr>
            <w:r w:rsidRPr="00546BAF">
              <w:rPr>
                <w:rFonts w:ascii="Arial" w:hAnsi="Arial" w:cs="Arial"/>
                <w:sz w:val="20"/>
                <w:szCs w:val="20"/>
              </w:rPr>
              <w:t>FA</w:t>
            </w:r>
            <w:r w:rsidR="00CD43F0" w:rsidRPr="00546BAF">
              <w:rPr>
                <w:rFonts w:ascii="Arial" w:hAnsi="Arial" w:cs="Arial"/>
                <w:sz w:val="20"/>
                <w:szCs w:val="20"/>
              </w:rPr>
              <w:t>8</w:t>
            </w:r>
          </w:p>
        </w:tc>
        <w:tc>
          <w:tcPr>
            <w:tcW w:w="1053" w:type="dxa"/>
          </w:tcPr>
          <w:p w14:paraId="1C4BA814" w14:textId="77777777" w:rsidR="00CD43F0" w:rsidRPr="00546BAF" w:rsidRDefault="00CD43F0" w:rsidP="00270965">
            <w:pPr>
              <w:rPr>
                <w:rFonts w:ascii="Arial" w:hAnsi="Arial" w:cs="Arial"/>
                <w:sz w:val="20"/>
                <w:szCs w:val="20"/>
              </w:rPr>
            </w:pPr>
            <w:r w:rsidRPr="00546BAF">
              <w:rPr>
                <w:rFonts w:ascii="Arial" w:hAnsi="Arial" w:cs="Arial"/>
                <w:sz w:val="20"/>
                <w:szCs w:val="20"/>
              </w:rPr>
              <w:t>0.097</w:t>
            </w:r>
          </w:p>
        </w:tc>
        <w:tc>
          <w:tcPr>
            <w:tcW w:w="935" w:type="dxa"/>
          </w:tcPr>
          <w:p w14:paraId="1D7BB80C" w14:textId="77777777" w:rsidR="00CD43F0" w:rsidRPr="00546BAF" w:rsidRDefault="00CD43F0" w:rsidP="00270965">
            <w:pPr>
              <w:rPr>
                <w:rFonts w:ascii="Arial" w:hAnsi="Arial" w:cs="Arial"/>
                <w:sz w:val="20"/>
                <w:szCs w:val="20"/>
              </w:rPr>
            </w:pPr>
            <w:r w:rsidRPr="00546BAF">
              <w:rPr>
                <w:rFonts w:ascii="Arial" w:hAnsi="Arial" w:cs="Arial"/>
                <w:sz w:val="20"/>
                <w:szCs w:val="20"/>
              </w:rPr>
              <w:t>20.94</w:t>
            </w:r>
          </w:p>
        </w:tc>
        <w:tc>
          <w:tcPr>
            <w:tcW w:w="922" w:type="dxa"/>
          </w:tcPr>
          <w:p w14:paraId="2E50615A" w14:textId="77777777"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718" w:type="dxa"/>
          </w:tcPr>
          <w:p w14:paraId="5CB38DFD" w14:textId="77777777" w:rsidR="00CD43F0" w:rsidRPr="00546BAF" w:rsidRDefault="00CD43F0" w:rsidP="00270965">
            <w:pPr>
              <w:rPr>
                <w:rFonts w:ascii="Arial" w:hAnsi="Arial" w:cs="Arial"/>
                <w:sz w:val="20"/>
                <w:szCs w:val="20"/>
              </w:rPr>
            </w:pPr>
            <w:r w:rsidRPr="00546BAF">
              <w:rPr>
                <w:rFonts w:ascii="Arial" w:hAnsi="Arial" w:cs="Arial"/>
                <w:sz w:val="20"/>
                <w:szCs w:val="20"/>
              </w:rPr>
              <w:t>92.88</w:t>
            </w:r>
          </w:p>
        </w:tc>
        <w:tc>
          <w:tcPr>
            <w:tcW w:w="922" w:type="dxa"/>
          </w:tcPr>
          <w:p w14:paraId="6F5B0A02" w14:textId="77777777" w:rsidR="00CD43F0" w:rsidRPr="00546BAF" w:rsidRDefault="00CD43F0" w:rsidP="00270965">
            <w:pPr>
              <w:rPr>
                <w:rFonts w:ascii="Arial" w:hAnsi="Arial" w:cs="Arial"/>
                <w:sz w:val="20"/>
                <w:szCs w:val="20"/>
              </w:rPr>
            </w:pPr>
            <w:r w:rsidRPr="00546BAF">
              <w:rPr>
                <w:rFonts w:ascii="Arial" w:hAnsi="Arial" w:cs="Arial"/>
                <w:sz w:val="20"/>
                <w:szCs w:val="20"/>
              </w:rPr>
              <w:t>1.239</w:t>
            </w:r>
          </w:p>
        </w:tc>
        <w:tc>
          <w:tcPr>
            <w:tcW w:w="1352" w:type="dxa"/>
          </w:tcPr>
          <w:p w14:paraId="129BEC89" w14:textId="77777777"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829" w:type="dxa"/>
          </w:tcPr>
          <w:p w14:paraId="02CDF65A" w14:textId="77777777" w:rsidR="00CD43F0" w:rsidRPr="00546BAF" w:rsidRDefault="00CD43F0" w:rsidP="00270965">
            <w:pPr>
              <w:rPr>
                <w:rFonts w:ascii="Arial" w:hAnsi="Arial" w:cs="Arial"/>
                <w:sz w:val="20"/>
                <w:szCs w:val="20"/>
              </w:rPr>
            </w:pPr>
            <w:r w:rsidRPr="00546BAF">
              <w:rPr>
                <w:rFonts w:ascii="Arial" w:hAnsi="Arial" w:cs="Arial"/>
                <w:sz w:val="20"/>
                <w:szCs w:val="20"/>
              </w:rPr>
              <w:t>77.38</w:t>
            </w:r>
          </w:p>
        </w:tc>
        <w:tc>
          <w:tcPr>
            <w:tcW w:w="1430" w:type="dxa"/>
          </w:tcPr>
          <w:p w14:paraId="32707F1D" w14:textId="77777777" w:rsidR="00CD43F0" w:rsidRPr="00546BAF" w:rsidRDefault="00CD43F0" w:rsidP="00270965">
            <w:pPr>
              <w:rPr>
                <w:rFonts w:ascii="Arial" w:hAnsi="Arial" w:cs="Arial"/>
                <w:sz w:val="20"/>
                <w:szCs w:val="20"/>
              </w:rPr>
            </w:pPr>
            <w:r w:rsidRPr="00546BAF">
              <w:rPr>
                <w:rFonts w:ascii="Arial" w:hAnsi="Arial" w:cs="Arial"/>
                <w:sz w:val="20"/>
                <w:szCs w:val="20"/>
              </w:rPr>
              <w:t>-3.07</w:t>
            </w:r>
          </w:p>
        </w:tc>
      </w:tr>
      <w:tr w:rsidR="0048594A" w:rsidRPr="00546BAF" w14:paraId="0FB5C10C" w14:textId="77777777" w:rsidTr="0048594A">
        <w:tc>
          <w:tcPr>
            <w:tcW w:w="855" w:type="dxa"/>
          </w:tcPr>
          <w:p w14:paraId="62B59C66" w14:textId="77777777" w:rsidR="00CD43F0" w:rsidRPr="00546BAF" w:rsidRDefault="00F8728E" w:rsidP="00270965">
            <w:pPr>
              <w:rPr>
                <w:rFonts w:ascii="Arial" w:hAnsi="Arial" w:cs="Arial"/>
                <w:sz w:val="20"/>
                <w:szCs w:val="20"/>
              </w:rPr>
            </w:pPr>
            <w:r w:rsidRPr="00546BAF">
              <w:rPr>
                <w:rFonts w:ascii="Arial" w:hAnsi="Arial" w:cs="Arial"/>
                <w:sz w:val="20"/>
                <w:szCs w:val="20"/>
              </w:rPr>
              <w:t>FA</w:t>
            </w:r>
            <w:r w:rsidR="00CD43F0" w:rsidRPr="00546BAF">
              <w:rPr>
                <w:rFonts w:ascii="Arial" w:hAnsi="Arial" w:cs="Arial"/>
                <w:sz w:val="20"/>
                <w:szCs w:val="20"/>
              </w:rPr>
              <w:t>9</w:t>
            </w:r>
          </w:p>
        </w:tc>
        <w:tc>
          <w:tcPr>
            <w:tcW w:w="1053" w:type="dxa"/>
          </w:tcPr>
          <w:p w14:paraId="6C3DE200" w14:textId="77777777" w:rsidR="00CD43F0" w:rsidRPr="00546BAF" w:rsidRDefault="00CD43F0" w:rsidP="00270965">
            <w:pPr>
              <w:rPr>
                <w:rFonts w:ascii="Arial" w:hAnsi="Arial" w:cs="Arial"/>
                <w:sz w:val="20"/>
                <w:szCs w:val="20"/>
              </w:rPr>
            </w:pPr>
            <w:r w:rsidRPr="00546BAF">
              <w:rPr>
                <w:rFonts w:ascii="Arial" w:hAnsi="Arial" w:cs="Arial"/>
                <w:sz w:val="20"/>
                <w:szCs w:val="20"/>
              </w:rPr>
              <w:t>1.300</w:t>
            </w:r>
          </w:p>
        </w:tc>
        <w:tc>
          <w:tcPr>
            <w:tcW w:w="935" w:type="dxa"/>
          </w:tcPr>
          <w:p w14:paraId="1D13F7E3" w14:textId="77777777" w:rsidR="00CD43F0" w:rsidRPr="00546BAF" w:rsidRDefault="00CD43F0" w:rsidP="00270965">
            <w:pPr>
              <w:rPr>
                <w:rFonts w:ascii="Arial" w:hAnsi="Arial" w:cs="Arial"/>
                <w:sz w:val="20"/>
                <w:szCs w:val="20"/>
              </w:rPr>
            </w:pPr>
            <w:r w:rsidRPr="00546BAF">
              <w:rPr>
                <w:rFonts w:ascii="Arial" w:hAnsi="Arial" w:cs="Arial"/>
                <w:sz w:val="20"/>
                <w:szCs w:val="20"/>
              </w:rPr>
              <w:t>25.67</w:t>
            </w:r>
          </w:p>
        </w:tc>
        <w:tc>
          <w:tcPr>
            <w:tcW w:w="922" w:type="dxa"/>
          </w:tcPr>
          <w:p w14:paraId="221989DF" w14:textId="77777777"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718" w:type="dxa"/>
          </w:tcPr>
          <w:p w14:paraId="48CAF1A6" w14:textId="77777777" w:rsidR="00CD43F0" w:rsidRPr="00546BAF" w:rsidRDefault="00CD43F0" w:rsidP="00270965">
            <w:pPr>
              <w:rPr>
                <w:rFonts w:ascii="Arial" w:hAnsi="Arial" w:cs="Arial"/>
                <w:sz w:val="20"/>
                <w:szCs w:val="20"/>
              </w:rPr>
            </w:pPr>
            <w:r w:rsidRPr="00546BAF">
              <w:rPr>
                <w:rFonts w:ascii="Arial" w:hAnsi="Arial" w:cs="Arial"/>
                <w:sz w:val="20"/>
                <w:szCs w:val="20"/>
              </w:rPr>
              <w:t>92.99</w:t>
            </w:r>
          </w:p>
        </w:tc>
        <w:tc>
          <w:tcPr>
            <w:tcW w:w="922" w:type="dxa"/>
          </w:tcPr>
          <w:p w14:paraId="2CA54BA4" w14:textId="77777777" w:rsidR="00CD43F0" w:rsidRPr="00546BAF" w:rsidRDefault="00CD43F0" w:rsidP="00270965">
            <w:pPr>
              <w:rPr>
                <w:rFonts w:ascii="Arial" w:hAnsi="Arial" w:cs="Arial"/>
                <w:sz w:val="20"/>
                <w:szCs w:val="20"/>
              </w:rPr>
            </w:pPr>
            <w:r w:rsidRPr="00546BAF">
              <w:rPr>
                <w:rFonts w:ascii="Arial" w:hAnsi="Arial" w:cs="Arial"/>
                <w:sz w:val="20"/>
                <w:szCs w:val="20"/>
              </w:rPr>
              <w:t>0.194</w:t>
            </w:r>
          </w:p>
        </w:tc>
        <w:tc>
          <w:tcPr>
            <w:tcW w:w="1352" w:type="dxa"/>
          </w:tcPr>
          <w:p w14:paraId="5C53A05A" w14:textId="77777777"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829" w:type="dxa"/>
          </w:tcPr>
          <w:p w14:paraId="0F3B8B5E" w14:textId="77777777" w:rsidR="00CD43F0" w:rsidRPr="00546BAF" w:rsidRDefault="00CD43F0" w:rsidP="00270965">
            <w:pPr>
              <w:rPr>
                <w:rFonts w:ascii="Arial" w:hAnsi="Arial" w:cs="Arial"/>
                <w:sz w:val="20"/>
                <w:szCs w:val="20"/>
              </w:rPr>
            </w:pPr>
            <w:r w:rsidRPr="00546BAF">
              <w:rPr>
                <w:rFonts w:ascii="Arial" w:hAnsi="Arial" w:cs="Arial"/>
                <w:sz w:val="20"/>
                <w:szCs w:val="20"/>
              </w:rPr>
              <w:t>84.08</w:t>
            </w:r>
          </w:p>
        </w:tc>
        <w:tc>
          <w:tcPr>
            <w:tcW w:w="1430" w:type="dxa"/>
          </w:tcPr>
          <w:p w14:paraId="7A5E537C" w14:textId="77777777" w:rsidR="00CD43F0" w:rsidRPr="00546BAF" w:rsidRDefault="00CD43F0" w:rsidP="00270965">
            <w:pPr>
              <w:rPr>
                <w:rFonts w:ascii="Arial" w:hAnsi="Arial" w:cs="Arial"/>
                <w:sz w:val="20"/>
                <w:szCs w:val="20"/>
              </w:rPr>
            </w:pPr>
            <w:r w:rsidRPr="00546BAF">
              <w:rPr>
                <w:rFonts w:ascii="Arial" w:hAnsi="Arial" w:cs="Arial"/>
                <w:sz w:val="20"/>
                <w:szCs w:val="20"/>
              </w:rPr>
              <w:t>-3.10</w:t>
            </w:r>
          </w:p>
        </w:tc>
      </w:tr>
      <w:tr w:rsidR="0048594A" w:rsidRPr="00546BAF" w14:paraId="46904DF4" w14:textId="77777777" w:rsidTr="0048594A">
        <w:tc>
          <w:tcPr>
            <w:tcW w:w="855" w:type="dxa"/>
          </w:tcPr>
          <w:p w14:paraId="4ABBACB8" w14:textId="77777777" w:rsidR="00CD43F0" w:rsidRPr="00546BAF" w:rsidRDefault="00F8728E" w:rsidP="00270965">
            <w:pPr>
              <w:rPr>
                <w:rFonts w:ascii="Arial" w:hAnsi="Arial" w:cs="Arial"/>
                <w:sz w:val="20"/>
                <w:szCs w:val="20"/>
              </w:rPr>
            </w:pPr>
            <w:r w:rsidRPr="00546BAF">
              <w:rPr>
                <w:rFonts w:ascii="Arial" w:hAnsi="Arial" w:cs="Arial"/>
                <w:sz w:val="20"/>
                <w:szCs w:val="20"/>
              </w:rPr>
              <w:t>FA1</w:t>
            </w:r>
            <w:r w:rsidR="00CD43F0" w:rsidRPr="00546BAF">
              <w:rPr>
                <w:rFonts w:ascii="Arial" w:hAnsi="Arial" w:cs="Arial"/>
                <w:sz w:val="20"/>
                <w:szCs w:val="20"/>
              </w:rPr>
              <w:t>0</w:t>
            </w:r>
          </w:p>
        </w:tc>
        <w:tc>
          <w:tcPr>
            <w:tcW w:w="1053" w:type="dxa"/>
          </w:tcPr>
          <w:p w14:paraId="1CDDF400" w14:textId="77777777" w:rsidR="00CD43F0" w:rsidRPr="00546BAF" w:rsidRDefault="00CD43F0" w:rsidP="00270965">
            <w:pPr>
              <w:rPr>
                <w:rFonts w:ascii="Arial" w:hAnsi="Arial" w:cs="Arial"/>
                <w:sz w:val="20"/>
                <w:szCs w:val="20"/>
              </w:rPr>
            </w:pPr>
            <w:r w:rsidRPr="00546BAF">
              <w:rPr>
                <w:rFonts w:ascii="Arial" w:hAnsi="Arial" w:cs="Arial"/>
                <w:sz w:val="20"/>
                <w:szCs w:val="20"/>
              </w:rPr>
              <w:t>1.345</w:t>
            </w:r>
          </w:p>
        </w:tc>
        <w:tc>
          <w:tcPr>
            <w:tcW w:w="935" w:type="dxa"/>
          </w:tcPr>
          <w:p w14:paraId="09E65FB9" w14:textId="77777777" w:rsidR="00CD43F0" w:rsidRPr="00546BAF" w:rsidRDefault="00CD43F0" w:rsidP="00270965">
            <w:pPr>
              <w:rPr>
                <w:rFonts w:ascii="Arial" w:hAnsi="Arial" w:cs="Arial"/>
                <w:sz w:val="20"/>
                <w:szCs w:val="20"/>
              </w:rPr>
            </w:pPr>
            <w:r w:rsidRPr="00546BAF">
              <w:rPr>
                <w:rFonts w:ascii="Arial" w:hAnsi="Arial" w:cs="Arial"/>
                <w:sz w:val="20"/>
                <w:szCs w:val="20"/>
              </w:rPr>
              <w:t>26.58</w:t>
            </w:r>
          </w:p>
        </w:tc>
        <w:tc>
          <w:tcPr>
            <w:tcW w:w="922" w:type="dxa"/>
          </w:tcPr>
          <w:p w14:paraId="65F2E6C4" w14:textId="77777777"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718" w:type="dxa"/>
          </w:tcPr>
          <w:p w14:paraId="328BCDA3" w14:textId="77777777" w:rsidR="00CD43F0" w:rsidRPr="00546BAF" w:rsidRDefault="00CD43F0" w:rsidP="00270965">
            <w:pPr>
              <w:rPr>
                <w:rFonts w:ascii="Arial" w:hAnsi="Arial" w:cs="Arial"/>
                <w:sz w:val="20"/>
                <w:szCs w:val="20"/>
              </w:rPr>
            </w:pPr>
            <w:r w:rsidRPr="00546BAF">
              <w:rPr>
                <w:rFonts w:ascii="Arial" w:hAnsi="Arial" w:cs="Arial"/>
                <w:sz w:val="20"/>
                <w:szCs w:val="20"/>
              </w:rPr>
              <w:t>92.99</w:t>
            </w:r>
          </w:p>
        </w:tc>
        <w:tc>
          <w:tcPr>
            <w:tcW w:w="922" w:type="dxa"/>
          </w:tcPr>
          <w:p w14:paraId="385CB74A" w14:textId="77777777" w:rsidR="00CD43F0" w:rsidRPr="00546BAF" w:rsidRDefault="00CD43F0" w:rsidP="00270965">
            <w:pPr>
              <w:rPr>
                <w:rFonts w:ascii="Arial" w:hAnsi="Arial" w:cs="Arial"/>
                <w:sz w:val="20"/>
                <w:szCs w:val="20"/>
              </w:rPr>
            </w:pPr>
            <w:r w:rsidRPr="00546BAF">
              <w:rPr>
                <w:rFonts w:ascii="Arial" w:hAnsi="Arial" w:cs="Arial"/>
                <w:sz w:val="20"/>
                <w:szCs w:val="20"/>
              </w:rPr>
              <w:t>0.708</w:t>
            </w:r>
          </w:p>
        </w:tc>
        <w:tc>
          <w:tcPr>
            <w:tcW w:w="1352" w:type="dxa"/>
          </w:tcPr>
          <w:p w14:paraId="57F059E3" w14:textId="77777777"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829" w:type="dxa"/>
          </w:tcPr>
          <w:p w14:paraId="3AB548A9" w14:textId="77777777" w:rsidR="00CD43F0" w:rsidRPr="00546BAF" w:rsidRDefault="00CD43F0" w:rsidP="00270965">
            <w:pPr>
              <w:rPr>
                <w:rFonts w:ascii="Arial" w:hAnsi="Arial" w:cs="Arial"/>
                <w:sz w:val="20"/>
                <w:szCs w:val="20"/>
              </w:rPr>
            </w:pPr>
            <w:r w:rsidRPr="00546BAF">
              <w:rPr>
                <w:rFonts w:ascii="Arial" w:hAnsi="Arial" w:cs="Arial"/>
                <w:sz w:val="20"/>
                <w:szCs w:val="20"/>
              </w:rPr>
              <w:t>84.18</w:t>
            </w:r>
          </w:p>
        </w:tc>
        <w:tc>
          <w:tcPr>
            <w:tcW w:w="1430" w:type="dxa"/>
          </w:tcPr>
          <w:p w14:paraId="57B14426" w14:textId="77777777" w:rsidR="00CD43F0" w:rsidRPr="00546BAF" w:rsidRDefault="00CD43F0" w:rsidP="00270965">
            <w:pPr>
              <w:rPr>
                <w:rFonts w:ascii="Arial" w:hAnsi="Arial" w:cs="Arial"/>
                <w:sz w:val="20"/>
                <w:szCs w:val="20"/>
              </w:rPr>
            </w:pPr>
            <w:r w:rsidRPr="00546BAF">
              <w:rPr>
                <w:rFonts w:ascii="Arial" w:hAnsi="Arial" w:cs="Arial"/>
                <w:sz w:val="20"/>
                <w:szCs w:val="20"/>
              </w:rPr>
              <w:t>-3.14</w:t>
            </w:r>
          </w:p>
        </w:tc>
      </w:tr>
      <w:tr w:rsidR="0048594A" w:rsidRPr="00546BAF" w14:paraId="3D1F440E" w14:textId="77777777" w:rsidTr="0048594A">
        <w:tc>
          <w:tcPr>
            <w:tcW w:w="855" w:type="dxa"/>
          </w:tcPr>
          <w:p w14:paraId="290B75EA" w14:textId="77777777" w:rsidR="00CD43F0" w:rsidRPr="00546BAF" w:rsidRDefault="00F8728E" w:rsidP="00270965">
            <w:pPr>
              <w:rPr>
                <w:rFonts w:ascii="Arial" w:hAnsi="Arial" w:cs="Arial"/>
                <w:sz w:val="20"/>
                <w:szCs w:val="20"/>
              </w:rPr>
            </w:pPr>
            <w:r w:rsidRPr="00546BAF">
              <w:rPr>
                <w:rFonts w:ascii="Arial" w:hAnsi="Arial" w:cs="Arial"/>
                <w:sz w:val="20"/>
                <w:szCs w:val="20"/>
              </w:rPr>
              <w:t>FA1</w:t>
            </w:r>
            <w:r w:rsidR="00CD43F0" w:rsidRPr="00546BAF">
              <w:rPr>
                <w:rFonts w:ascii="Arial" w:hAnsi="Arial" w:cs="Arial"/>
                <w:sz w:val="20"/>
                <w:szCs w:val="20"/>
              </w:rPr>
              <w:t>1</w:t>
            </w:r>
          </w:p>
        </w:tc>
        <w:tc>
          <w:tcPr>
            <w:tcW w:w="1053" w:type="dxa"/>
          </w:tcPr>
          <w:p w14:paraId="37B7578B" w14:textId="77777777" w:rsidR="00CD43F0" w:rsidRPr="00546BAF" w:rsidRDefault="00CD43F0" w:rsidP="00270965">
            <w:pPr>
              <w:rPr>
                <w:rFonts w:ascii="Arial" w:hAnsi="Arial" w:cs="Arial"/>
                <w:sz w:val="20"/>
                <w:szCs w:val="20"/>
              </w:rPr>
            </w:pPr>
            <w:r w:rsidRPr="00546BAF">
              <w:rPr>
                <w:rFonts w:ascii="Arial" w:hAnsi="Arial" w:cs="Arial"/>
                <w:sz w:val="20"/>
                <w:szCs w:val="20"/>
              </w:rPr>
              <w:t>0.030</w:t>
            </w:r>
          </w:p>
        </w:tc>
        <w:tc>
          <w:tcPr>
            <w:tcW w:w="935" w:type="dxa"/>
          </w:tcPr>
          <w:p w14:paraId="0FA6388E" w14:textId="77777777" w:rsidR="00CD43F0" w:rsidRPr="00546BAF" w:rsidRDefault="00CD43F0" w:rsidP="00270965">
            <w:pPr>
              <w:rPr>
                <w:rFonts w:ascii="Arial" w:hAnsi="Arial" w:cs="Arial"/>
                <w:sz w:val="20"/>
                <w:szCs w:val="20"/>
              </w:rPr>
            </w:pPr>
            <w:r w:rsidRPr="00546BAF">
              <w:rPr>
                <w:rFonts w:ascii="Arial" w:hAnsi="Arial" w:cs="Arial"/>
                <w:sz w:val="20"/>
                <w:szCs w:val="20"/>
              </w:rPr>
              <w:t>19.74</w:t>
            </w:r>
          </w:p>
        </w:tc>
        <w:tc>
          <w:tcPr>
            <w:tcW w:w="922" w:type="dxa"/>
          </w:tcPr>
          <w:p w14:paraId="76D456E1" w14:textId="77777777"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718" w:type="dxa"/>
          </w:tcPr>
          <w:p w14:paraId="4B15F7E3" w14:textId="77777777" w:rsidR="00CD43F0" w:rsidRPr="00546BAF" w:rsidRDefault="00CD43F0" w:rsidP="00270965">
            <w:pPr>
              <w:rPr>
                <w:rFonts w:ascii="Arial" w:hAnsi="Arial" w:cs="Arial"/>
                <w:sz w:val="20"/>
                <w:szCs w:val="20"/>
              </w:rPr>
            </w:pPr>
            <w:r w:rsidRPr="00546BAF">
              <w:rPr>
                <w:rFonts w:ascii="Arial" w:hAnsi="Arial" w:cs="Arial"/>
                <w:sz w:val="20"/>
                <w:szCs w:val="20"/>
              </w:rPr>
              <w:t>58.17</w:t>
            </w:r>
          </w:p>
        </w:tc>
        <w:tc>
          <w:tcPr>
            <w:tcW w:w="922" w:type="dxa"/>
          </w:tcPr>
          <w:p w14:paraId="24D3ACF0" w14:textId="77777777" w:rsidR="00CD43F0" w:rsidRPr="00546BAF" w:rsidRDefault="00CD43F0" w:rsidP="00270965">
            <w:pPr>
              <w:rPr>
                <w:rFonts w:ascii="Arial" w:hAnsi="Arial" w:cs="Arial"/>
                <w:sz w:val="20"/>
                <w:szCs w:val="20"/>
              </w:rPr>
            </w:pPr>
            <w:r w:rsidRPr="00546BAF">
              <w:rPr>
                <w:rFonts w:ascii="Arial" w:hAnsi="Arial" w:cs="Arial"/>
                <w:sz w:val="20"/>
                <w:szCs w:val="20"/>
              </w:rPr>
              <w:t>0.068</w:t>
            </w:r>
          </w:p>
        </w:tc>
        <w:tc>
          <w:tcPr>
            <w:tcW w:w="1352" w:type="dxa"/>
          </w:tcPr>
          <w:p w14:paraId="679E351F" w14:textId="77777777" w:rsidR="00CD43F0" w:rsidRPr="00546BAF" w:rsidRDefault="00CD43F0" w:rsidP="00270965">
            <w:pPr>
              <w:rPr>
                <w:rFonts w:ascii="Arial" w:hAnsi="Arial" w:cs="Arial"/>
                <w:sz w:val="20"/>
                <w:szCs w:val="20"/>
              </w:rPr>
            </w:pPr>
            <w:r w:rsidRPr="00546BAF">
              <w:rPr>
                <w:rFonts w:ascii="Arial" w:hAnsi="Arial" w:cs="Arial"/>
                <w:sz w:val="20"/>
                <w:szCs w:val="20"/>
              </w:rPr>
              <w:t>INHIBITOR</w:t>
            </w:r>
          </w:p>
        </w:tc>
        <w:tc>
          <w:tcPr>
            <w:tcW w:w="829" w:type="dxa"/>
          </w:tcPr>
          <w:p w14:paraId="3B68E078" w14:textId="77777777" w:rsidR="00CD43F0" w:rsidRPr="00546BAF" w:rsidRDefault="00CD43F0" w:rsidP="00270965">
            <w:pPr>
              <w:rPr>
                <w:rFonts w:ascii="Arial" w:hAnsi="Arial" w:cs="Arial"/>
                <w:sz w:val="20"/>
                <w:szCs w:val="20"/>
              </w:rPr>
            </w:pPr>
            <w:r w:rsidRPr="00546BAF">
              <w:rPr>
                <w:rFonts w:ascii="Arial" w:hAnsi="Arial" w:cs="Arial"/>
                <w:sz w:val="20"/>
                <w:szCs w:val="20"/>
              </w:rPr>
              <w:t>97.88</w:t>
            </w:r>
          </w:p>
        </w:tc>
        <w:tc>
          <w:tcPr>
            <w:tcW w:w="1430" w:type="dxa"/>
          </w:tcPr>
          <w:p w14:paraId="41783F40" w14:textId="77777777" w:rsidR="00CD43F0" w:rsidRPr="00546BAF" w:rsidRDefault="00CD43F0" w:rsidP="00270965">
            <w:pPr>
              <w:rPr>
                <w:rFonts w:ascii="Arial" w:hAnsi="Arial" w:cs="Arial"/>
                <w:sz w:val="20"/>
                <w:szCs w:val="20"/>
              </w:rPr>
            </w:pPr>
            <w:r w:rsidRPr="00546BAF">
              <w:rPr>
                <w:rFonts w:ascii="Arial" w:hAnsi="Arial" w:cs="Arial"/>
                <w:sz w:val="20"/>
                <w:szCs w:val="20"/>
              </w:rPr>
              <w:t>-2.97</w:t>
            </w:r>
          </w:p>
        </w:tc>
      </w:tr>
      <w:tr w:rsidR="0048594A" w:rsidRPr="00546BAF" w14:paraId="0B2EA309" w14:textId="77777777" w:rsidTr="0048594A">
        <w:tc>
          <w:tcPr>
            <w:tcW w:w="855" w:type="dxa"/>
          </w:tcPr>
          <w:p w14:paraId="7382A3B3" w14:textId="77777777" w:rsidR="00CD43F0" w:rsidRPr="00546BAF" w:rsidRDefault="00F8728E" w:rsidP="00270965">
            <w:pPr>
              <w:rPr>
                <w:rFonts w:ascii="Arial" w:hAnsi="Arial" w:cs="Arial"/>
                <w:sz w:val="20"/>
                <w:szCs w:val="20"/>
              </w:rPr>
            </w:pPr>
            <w:r w:rsidRPr="00546BAF">
              <w:rPr>
                <w:rFonts w:ascii="Arial" w:hAnsi="Arial" w:cs="Arial"/>
                <w:sz w:val="20"/>
                <w:szCs w:val="20"/>
              </w:rPr>
              <w:t>FA1</w:t>
            </w:r>
            <w:r w:rsidR="00CD43F0" w:rsidRPr="00546BAF">
              <w:rPr>
                <w:rFonts w:ascii="Arial" w:hAnsi="Arial" w:cs="Arial"/>
                <w:sz w:val="20"/>
                <w:szCs w:val="20"/>
              </w:rPr>
              <w:t>2</w:t>
            </w:r>
          </w:p>
        </w:tc>
        <w:tc>
          <w:tcPr>
            <w:tcW w:w="1053" w:type="dxa"/>
          </w:tcPr>
          <w:p w14:paraId="75CF0954" w14:textId="77777777" w:rsidR="00CD43F0" w:rsidRPr="00546BAF" w:rsidRDefault="00CD43F0" w:rsidP="00270965">
            <w:pPr>
              <w:rPr>
                <w:rFonts w:ascii="Arial" w:hAnsi="Arial" w:cs="Arial"/>
                <w:sz w:val="20"/>
                <w:szCs w:val="20"/>
              </w:rPr>
            </w:pPr>
            <w:r w:rsidRPr="00546BAF">
              <w:rPr>
                <w:rFonts w:ascii="Arial" w:hAnsi="Arial" w:cs="Arial"/>
                <w:sz w:val="20"/>
                <w:szCs w:val="20"/>
              </w:rPr>
              <w:t>0..747</w:t>
            </w:r>
          </w:p>
        </w:tc>
        <w:tc>
          <w:tcPr>
            <w:tcW w:w="935" w:type="dxa"/>
          </w:tcPr>
          <w:p w14:paraId="22A5CCBC" w14:textId="77777777" w:rsidR="00CD43F0" w:rsidRPr="00546BAF" w:rsidRDefault="00CD43F0" w:rsidP="00270965">
            <w:pPr>
              <w:rPr>
                <w:rFonts w:ascii="Arial" w:hAnsi="Arial" w:cs="Arial"/>
                <w:sz w:val="20"/>
                <w:szCs w:val="20"/>
              </w:rPr>
            </w:pPr>
            <w:r w:rsidRPr="00546BAF">
              <w:rPr>
                <w:rFonts w:ascii="Arial" w:hAnsi="Arial" w:cs="Arial"/>
                <w:sz w:val="20"/>
                <w:szCs w:val="20"/>
              </w:rPr>
              <w:t>21.14</w:t>
            </w:r>
          </w:p>
        </w:tc>
        <w:tc>
          <w:tcPr>
            <w:tcW w:w="922" w:type="dxa"/>
          </w:tcPr>
          <w:p w14:paraId="4DAC0D75" w14:textId="77777777"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718" w:type="dxa"/>
          </w:tcPr>
          <w:p w14:paraId="5C8D0E14" w14:textId="77777777" w:rsidR="00CD43F0" w:rsidRPr="00546BAF" w:rsidRDefault="00CD43F0" w:rsidP="00270965">
            <w:pPr>
              <w:rPr>
                <w:rFonts w:ascii="Arial" w:hAnsi="Arial" w:cs="Arial"/>
                <w:sz w:val="20"/>
                <w:szCs w:val="20"/>
              </w:rPr>
            </w:pPr>
            <w:r w:rsidRPr="00546BAF">
              <w:rPr>
                <w:rFonts w:ascii="Arial" w:hAnsi="Arial" w:cs="Arial"/>
                <w:sz w:val="20"/>
                <w:szCs w:val="20"/>
              </w:rPr>
              <w:t>89.16</w:t>
            </w:r>
          </w:p>
        </w:tc>
        <w:tc>
          <w:tcPr>
            <w:tcW w:w="922" w:type="dxa"/>
          </w:tcPr>
          <w:p w14:paraId="2A620788" w14:textId="77777777" w:rsidR="00CD43F0" w:rsidRPr="00546BAF" w:rsidRDefault="00CD43F0" w:rsidP="00270965">
            <w:pPr>
              <w:rPr>
                <w:rFonts w:ascii="Arial" w:hAnsi="Arial" w:cs="Arial"/>
                <w:sz w:val="20"/>
                <w:szCs w:val="20"/>
              </w:rPr>
            </w:pPr>
            <w:r w:rsidRPr="00546BAF">
              <w:rPr>
                <w:rFonts w:ascii="Arial" w:hAnsi="Arial" w:cs="Arial"/>
                <w:sz w:val="20"/>
                <w:szCs w:val="20"/>
              </w:rPr>
              <w:t>1.513</w:t>
            </w:r>
          </w:p>
        </w:tc>
        <w:tc>
          <w:tcPr>
            <w:tcW w:w="1352" w:type="dxa"/>
          </w:tcPr>
          <w:p w14:paraId="0DC7C653" w14:textId="77777777"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829" w:type="dxa"/>
          </w:tcPr>
          <w:p w14:paraId="4410106E" w14:textId="77777777" w:rsidR="00CD43F0" w:rsidRPr="00546BAF" w:rsidRDefault="00CD43F0" w:rsidP="00270965">
            <w:pPr>
              <w:rPr>
                <w:rFonts w:ascii="Arial" w:hAnsi="Arial" w:cs="Arial"/>
                <w:sz w:val="20"/>
                <w:szCs w:val="20"/>
              </w:rPr>
            </w:pPr>
            <w:r w:rsidRPr="00546BAF">
              <w:rPr>
                <w:rFonts w:ascii="Arial" w:hAnsi="Arial" w:cs="Arial"/>
                <w:sz w:val="20"/>
                <w:szCs w:val="20"/>
              </w:rPr>
              <w:t>79.32</w:t>
            </w:r>
          </w:p>
        </w:tc>
        <w:tc>
          <w:tcPr>
            <w:tcW w:w="1430" w:type="dxa"/>
          </w:tcPr>
          <w:p w14:paraId="3753213B" w14:textId="77777777" w:rsidR="00CD43F0" w:rsidRPr="00546BAF" w:rsidRDefault="00CD43F0" w:rsidP="00270965">
            <w:pPr>
              <w:rPr>
                <w:rFonts w:ascii="Arial" w:hAnsi="Arial" w:cs="Arial"/>
                <w:sz w:val="20"/>
                <w:szCs w:val="20"/>
              </w:rPr>
            </w:pPr>
            <w:r w:rsidRPr="00546BAF">
              <w:rPr>
                <w:rFonts w:ascii="Arial" w:hAnsi="Arial" w:cs="Arial"/>
                <w:sz w:val="20"/>
                <w:szCs w:val="20"/>
              </w:rPr>
              <w:t>-3.74</w:t>
            </w:r>
          </w:p>
        </w:tc>
      </w:tr>
      <w:tr w:rsidR="0048594A" w:rsidRPr="00546BAF" w14:paraId="409156E8" w14:textId="77777777" w:rsidTr="0048594A">
        <w:tc>
          <w:tcPr>
            <w:tcW w:w="855" w:type="dxa"/>
          </w:tcPr>
          <w:p w14:paraId="17315881" w14:textId="77777777" w:rsidR="00CD43F0" w:rsidRPr="00546BAF" w:rsidRDefault="00F8728E" w:rsidP="00270965">
            <w:pPr>
              <w:rPr>
                <w:rFonts w:ascii="Arial" w:hAnsi="Arial" w:cs="Arial"/>
                <w:sz w:val="20"/>
                <w:szCs w:val="20"/>
              </w:rPr>
            </w:pPr>
            <w:r w:rsidRPr="00546BAF">
              <w:rPr>
                <w:rFonts w:ascii="Arial" w:hAnsi="Arial" w:cs="Arial"/>
                <w:sz w:val="20"/>
                <w:szCs w:val="20"/>
              </w:rPr>
              <w:t>FA1</w:t>
            </w:r>
            <w:r w:rsidR="00CD43F0" w:rsidRPr="00546BAF">
              <w:rPr>
                <w:rFonts w:ascii="Arial" w:hAnsi="Arial" w:cs="Arial"/>
                <w:sz w:val="20"/>
                <w:szCs w:val="20"/>
              </w:rPr>
              <w:t>3</w:t>
            </w:r>
          </w:p>
        </w:tc>
        <w:tc>
          <w:tcPr>
            <w:tcW w:w="1053" w:type="dxa"/>
          </w:tcPr>
          <w:p w14:paraId="5B1D043C" w14:textId="77777777" w:rsidR="00CD43F0" w:rsidRPr="00546BAF" w:rsidRDefault="00CD43F0" w:rsidP="00270965">
            <w:pPr>
              <w:rPr>
                <w:rFonts w:ascii="Arial" w:hAnsi="Arial" w:cs="Arial"/>
                <w:sz w:val="20"/>
                <w:szCs w:val="20"/>
              </w:rPr>
            </w:pPr>
            <w:r w:rsidRPr="00546BAF">
              <w:rPr>
                <w:rFonts w:ascii="Arial" w:hAnsi="Arial" w:cs="Arial"/>
                <w:sz w:val="20"/>
                <w:szCs w:val="20"/>
              </w:rPr>
              <w:t xml:space="preserve"> 0.838</w:t>
            </w:r>
          </w:p>
        </w:tc>
        <w:tc>
          <w:tcPr>
            <w:tcW w:w="935" w:type="dxa"/>
          </w:tcPr>
          <w:p w14:paraId="0338548E" w14:textId="77777777" w:rsidR="00CD43F0" w:rsidRPr="00546BAF" w:rsidRDefault="00CD43F0" w:rsidP="00270965">
            <w:pPr>
              <w:rPr>
                <w:rFonts w:ascii="Arial" w:hAnsi="Arial" w:cs="Arial"/>
                <w:sz w:val="20"/>
                <w:szCs w:val="20"/>
              </w:rPr>
            </w:pPr>
            <w:r w:rsidRPr="00546BAF">
              <w:rPr>
                <w:rFonts w:ascii="Arial" w:hAnsi="Arial" w:cs="Arial"/>
                <w:sz w:val="20"/>
                <w:szCs w:val="20"/>
              </w:rPr>
              <w:t>21.14</w:t>
            </w:r>
          </w:p>
        </w:tc>
        <w:tc>
          <w:tcPr>
            <w:tcW w:w="922" w:type="dxa"/>
          </w:tcPr>
          <w:p w14:paraId="23108E80" w14:textId="77777777"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718" w:type="dxa"/>
          </w:tcPr>
          <w:p w14:paraId="4D377FD8" w14:textId="77777777" w:rsidR="00CD43F0" w:rsidRPr="00546BAF" w:rsidRDefault="00CD43F0" w:rsidP="00270965">
            <w:pPr>
              <w:rPr>
                <w:rFonts w:ascii="Arial" w:hAnsi="Arial" w:cs="Arial"/>
                <w:sz w:val="20"/>
                <w:szCs w:val="20"/>
              </w:rPr>
            </w:pPr>
            <w:r w:rsidRPr="00546BAF">
              <w:rPr>
                <w:rFonts w:ascii="Arial" w:hAnsi="Arial" w:cs="Arial"/>
                <w:sz w:val="20"/>
                <w:szCs w:val="20"/>
              </w:rPr>
              <w:t>89.16</w:t>
            </w:r>
          </w:p>
        </w:tc>
        <w:tc>
          <w:tcPr>
            <w:tcW w:w="922" w:type="dxa"/>
          </w:tcPr>
          <w:p w14:paraId="65306CEA" w14:textId="77777777" w:rsidR="00CD43F0" w:rsidRPr="00546BAF" w:rsidRDefault="00CD43F0" w:rsidP="00270965">
            <w:pPr>
              <w:rPr>
                <w:rFonts w:ascii="Arial" w:hAnsi="Arial" w:cs="Arial"/>
                <w:sz w:val="20"/>
                <w:szCs w:val="20"/>
              </w:rPr>
            </w:pPr>
            <w:r w:rsidRPr="00546BAF">
              <w:rPr>
                <w:rFonts w:ascii="Arial" w:hAnsi="Arial" w:cs="Arial"/>
                <w:sz w:val="20"/>
                <w:szCs w:val="20"/>
              </w:rPr>
              <w:t>1.527</w:t>
            </w:r>
          </w:p>
        </w:tc>
        <w:tc>
          <w:tcPr>
            <w:tcW w:w="1352" w:type="dxa"/>
          </w:tcPr>
          <w:p w14:paraId="0DCF38FC" w14:textId="77777777"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829" w:type="dxa"/>
          </w:tcPr>
          <w:p w14:paraId="61C9C535" w14:textId="77777777" w:rsidR="00CD43F0" w:rsidRPr="00546BAF" w:rsidRDefault="00CD43F0" w:rsidP="00270965">
            <w:pPr>
              <w:rPr>
                <w:rFonts w:ascii="Arial" w:hAnsi="Arial" w:cs="Arial"/>
                <w:sz w:val="20"/>
                <w:szCs w:val="20"/>
              </w:rPr>
            </w:pPr>
            <w:r w:rsidRPr="00546BAF">
              <w:rPr>
                <w:rFonts w:ascii="Arial" w:hAnsi="Arial" w:cs="Arial"/>
                <w:sz w:val="20"/>
                <w:szCs w:val="20"/>
              </w:rPr>
              <w:t>79.32</w:t>
            </w:r>
          </w:p>
        </w:tc>
        <w:tc>
          <w:tcPr>
            <w:tcW w:w="1430" w:type="dxa"/>
          </w:tcPr>
          <w:p w14:paraId="149F5BCC" w14:textId="77777777" w:rsidR="00CD43F0" w:rsidRPr="00546BAF" w:rsidRDefault="00CD43F0" w:rsidP="00270965">
            <w:pPr>
              <w:rPr>
                <w:rFonts w:ascii="Arial" w:hAnsi="Arial" w:cs="Arial"/>
                <w:sz w:val="20"/>
                <w:szCs w:val="20"/>
              </w:rPr>
            </w:pPr>
            <w:r w:rsidRPr="00546BAF">
              <w:rPr>
                <w:rFonts w:ascii="Arial" w:hAnsi="Arial" w:cs="Arial"/>
                <w:sz w:val="20"/>
                <w:szCs w:val="20"/>
              </w:rPr>
              <w:t>-3.74</w:t>
            </w:r>
          </w:p>
        </w:tc>
      </w:tr>
      <w:tr w:rsidR="0048594A" w:rsidRPr="00546BAF" w14:paraId="6C178F70" w14:textId="77777777" w:rsidTr="0048594A">
        <w:tc>
          <w:tcPr>
            <w:tcW w:w="855" w:type="dxa"/>
          </w:tcPr>
          <w:p w14:paraId="22BFEC28" w14:textId="77777777" w:rsidR="00CD43F0" w:rsidRPr="00546BAF" w:rsidRDefault="00F8728E" w:rsidP="00270965">
            <w:pPr>
              <w:rPr>
                <w:rFonts w:ascii="Arial" w:hAnsi="Arial" w:cs="Arial"/>
                <w:sz w:val="20"/>
                <w:szCs w:val="20"/>
              </w:rPr>
            </w:pPr>
            <w:r w:rsidRPr="00546BAF">
              <w:rPr>
                <w:rFonts w:ascii="Arial" w:hAnsi="Arial" w:cs="Arial"/>
                <w:sz w:val="20"/>
                <w:szCs w:val="20"/>
              </w:rPr>
              <w:t>FA1</w:t>
            </w:r>
            <w:r w:rsidR="00CD43F0" w:rsidRPr="00546BAF">
              <w:rPr>
                <w:rFonts w:ascii="Arial" w:hAnsi="Arial" w:cs="Arial"/>
                <w:sz w:val="20"/>
                <w:szCs w:val="20"/>
              </w:rPr>
              <w:t>4</w:t>
            </w:r>
          </w:p>
        </w:tc>
        <w:tc>
          <w:tcPr>
            <w:tcW w:w="1053" w:type="dxa"/>
          </w:tcPr>
          <w:p w14:paraId="37D38742" w14:textId="77777777" w:rsidR="00CD43F0" w:rsidRPr="00546BAF" w:rsidRDefault="00CD43F0" w:rsidP="00270965">
            <w:pPr>
              <w:rPr>
                <w:rFonts w:ascii="Arial" w:hAnsi="Arial" w:cs="Arial"/>
                <w:sz w:val="20"/>
                <w:szCs w:val="20"/>
              </w:rPr>
            </w:pPr>
            <w:r w:rsidRPr="00546BAF">
              <w:rPr>
                <w:rFonts w:ascii="Arial" w:hAnsi="Arial" w:cs="Arial"/>
                <w:sz w:val="20"/>
                <w:szCs w:val="20"/>
              </w:rPr>
              <w:t>0.0999</w:t>
            </w:r>
          </w:p>
        </w:tc>
        <w:tc>
          <w:tcPr>
            <w:tcW w:w="935" w:type="dxa"/>
          </w:tcPr>
          <w:p w14:paraId="48F8C8D1" w14:textId="77777777" w:rsidR="00CD43F0" w:rsidRPr="00546BAF" w:rsidRDefault="00CD43F0" w:rsidP="00270965">
            <w:pPr>
              <w:rPr>
                <w:rFonts w:ascii="Arial" w:hAnsi="Arial" w:cs="Arial"/>
                <w:sz w:val="20"/>
                <w:szCs w:val="20"/>
              </w:rPr>
            </w:pPr>
            <w:r w:rsidRPr="00546BAF">
              <w:rPr>
                <w:rFonts w:ascii="Arial" w:hAnsi="Arial" w:cs="Arial"/>
                <w:sz w:val="20"/>
                <w:szCs w:val="20"/>
              </w:rPr>
              <w:t>24.87</w:t>
            </w:r>
          </w:p>
        </w:tc>
        <w:tc>
          <w:tcPr>
            <w:tcW w:w="922" w:type="dxa"/>
          </w:tcPr>
          <w:p w14:paraId="0B3CCB9A" w14:textId="77777777"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718" w:type="dxa"/>
          </w:tcPr>
          <w:p w14:paraId="365B85F9" w14:textId="77777777" w:rsidR="00CD43F0" w:rsidRPr="00546BAF" w:rsidRDefault="00CD43F0" w:rsidP="00270965">
            <w:pPr>
              <w:rPr>
                <w:rFonts w:ascii="Arial" w:hAnsi="Arial" w:cs="Arial"/>
                <w:sz w:val="20"/>
                <w:szCs w:val="20"/>
              </w:rPr>
            </w:pPr>
            <w:r w:rsidRPr="00546BAF">
              <w:rPr>
                <w:rFonts w:ascii="Arial" w:hAnsi="Arial" w:cs="Arial"/>
                <w:sz w:val="20"/>
                <w:szCs w:val="20"/>
              </w:rPr>
              <w:t>93.00</w:t>
            </w:r>
          </w:p>
        </w:tc>
        <w:tc>
          <w:tcPr>
            <w:tcW w:w="922" w:type="dxa"/>
          </w:tcPr>
          <w:p w14:paraId="702F6FAE" w14:textId="77777777" w:rsidR="00CD43F0" w:rsidRPr="00546BAF" w:rsidRDefault="00CD43F0" w:rsidP="00270965">
            <w:pPr>
              <w:rPr>
                <w:rFonts w:ascii="Arial" w:hAnsi="Arial" w:cs="Arial"/>
                <w:sz w:val="20"/>
                <w:szCs w:val="20"/>
              </w:rPr>
            </w:pPr>
            <w:r w:rsidRPr="00546BAF">
              <w:rPr>
                <w:rFonts w:ascii="Arial" w:hAnsi="Arial" w:cs="Arial"/>
                <w:sz w:val="20"/>
                <w:szCs w:val="20"/>
              </w:rPr>
              <w:t>0.630</w:t>
            </w:r>
          </w:p>
        </w:tc>
        <w:tc>
          <w:tcPr>
            <w:tcW w:w="1352" w:type="dxa"/>
          </w:tcPr>
          <w:p w14:paraId="66DC5853" w14:textId="77777777"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829" w:type="dxa"/>
          </w:tcPr>
          <w:p w14:paraId="2E355A92" w14:textId="77777777" w:rsidR="00CD43F0" w:rsidRPr="00546BAF" w:rsidRDefault="00CD43F0" w:rsidP="00270965">
            <w:pPr>
              <w:rPr>
                <w:rFonts w:ascii="Arial" w:hAnsi="Arial" w:cs="Arial"/>
                <w:sz w:val="20"/>
                <w:szCs w:val="20"/>
              </w:rPr>
            </w:pPr>
            <w:r w:rsidRPr="00546BAF">
              <w:rPr>
                <w:rFonts w:ascii="Arial" w:hAnsi="Arial" w:cs="Arial"/>
                <w:sz w:val="20"/>
                <w:szCs w:val="20"/>
              </w:rPr>
              <w:t>63.25</w:t>
            </w:r>
          </w:p>
        </w:tc>
        <w:tc>
          <w:tcPr>
            <w:tcW w:w="1430" w:type="dxa"/>
          </w:tcPr>
          <w:p w14:paraId="4FE05487" w14:textId="77777777" w:rsidR="00CD43F0" w:rsidRPr="00546BAF" w:rsidRDefault="00CD43F0" w:rsidP="00270965">
            <w:pPr>
              <w:rPr>
                <w:rFonts w:ascii="Arial" w:hAnsi="Arial" w:cs="Arial"/>
                <w:sz w:val="20"/>
                <w:szCs w:val="20"/>
              </w:rPr>
            </w:pPr>
            <w:r w:rsidRPr="00546BAF">
              <w:rPr>
                <w:rFonts w:ascii="Arial" w:hAnsi="Arial" w:cs="Arial"/>
                <w:sz w:val="20"/>
                <w:szCs w:val="20"/>
              </w:rPr>
              <w:t>-3.41</w:t>
            </w:r>
          </w:p>
        </w:tc>
      </w:tr>
      <w:tr w:rsidR="0048594A" w:rsidRPr="00546BAF" w14:paraId="24A606F6" w14:textId="77777777" w:rsidTr="0048594A">
        <w:tc>
          <w:tcPr>
            <w:tcW w:w="855" w:type="dxa"/>
          </w:tcPr>
          <w:p w14:paraId="5EE6B811" w14:textId="77777777" w:rsidR="00CD43F0" w:rsidRPr="00546BAF" w:rsidRDefault="00F8728E" w:rsidP="00270965">
            <w:pPr>
              <w:rPr>
                <w:rFonts w:ascii="Arial" w:hAnsi="Arial" w:cs="Arial"/>
                <w:sz w:val="20"/>
                <w:szCs w:val="20"/>
              </w:rPr>
            </w:pPr>
            <w:r w:rsidRPr="00546BAF">
              <w:rPr>
                <w:rFonts w:ascii="Arial" w:hAnsi="Arial" w:cs="Arial"/>
                <w:sz w:val="20"/>
                <w:szCs w:val="20"/>
              </w:rPr>
              <w:t>FA1</w:t>
            </w:r>
            <w:r w:rsidR="00CD43F0" w:rsidRPr="00546BAF">
              <w:rPr>
                <w:rFonts w:ascii="Arial" w:hAnsi="Arial" w:cs="Arial"/>
                <w:sz w:val="20"/>
                <w:szCs w:val="20"/>
              </w:rPr>
              <w:t>5</w:t>
            </w:r>
          </w:p>
        </w:tc>
        <w:tc>
          <w:tcPr>
            <w:tcW w:w="1053" w:type="dxa"/>
          </w:tcPr>
          <w:p w14:paraId="54305218" w14:textId="77777777" w:rsidR="00CD43F0" w:rsidRPr="00546BAF" w:rsidRDefault="00CD43F0" w:rsidP="00270965">
            <w:pPr>
              <w:rPr>
                <w:rFonts w:ascii="Arial" w:hAnsi="Arial" w:cs="Arial"/>
                <w:sz w:val="20"/>
                <w:szCs w:val="20"/>
              </w:rPr>
            </w:pPr>
            <w:r w:rsidRPr="00546BAF">
              <w:rPr>
                <w:rFonts w:ascii="Arial" w:hAnsi="Arial" w:cs="Arial"/>
                <w:sz w:val="20"/>
                <w:szCs w:val="20"/>
              </w:rPr>
              <w:t>0.272</w:t>
            </w:r>
          </w:p>
        </w:tc>
        <w:tc>
          <w:tcPr>
            <w:tcW w:w="935" w:type="dxa"/>
          </w:tcPr>
          <w:p w14:paraId="5CCA4E77" w14:textId="77777777" w:rsidR="00CD43F0" w:rsidRPr="00546BAF" w:rsidRDefault="00CD43F0" w:rsidP="00270965">
            <w:pPr>
              <w:rPr>
                <w:rFonts w:ascii="Arial" w:hAnsi="Arial" w:cs="Arial"/>
                <w:sz w:val="20"/>
                <w:szCs w:val="20"/>
              </w:rPr>
            </w:pPr>
            <w:r w:rsidRPr="00546BAF">
              <w:rPr>
                <w:rFonts w:ascii="Arial" w:hAnsi="Arial" w:cs="Arial"/>
                <w:sz w:val="20"/>
                <w:szCs w:val="20"/>
              </w:rPr>
              <w:t>23.30</w:t>
            </w:r>
          </w:p>
        </w:tc>
        <w:tc>
          <w:tcPr>
            <w:tcW w:w="922" w:type="dxa"/>
          </w:tcPr>
          <w:p w14:paraId="58310CB6" w14:textId="77777777"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718" w:type="dxa"/>
          </w:tcPr>
          <w:p w14:paraId="6CC18804" w14:textId="77777777" w:rsidR="00CD43F0" w:rsidRPr="00546BAF" w:rsidRDefault="00CD43F0" w:rsidP="00270965">
            <w:pPr>
              <w:rPr>
                <w:rFonts w:ascii="Arial" w:hAnsi="Arial" w:cs="Arial"/>
                <w:sz w:val="20"/>
                <w:szCs w:val="20"/>
              </w:rPr>
            </w:pPr>
            <w:r w:rsidRPr="00546BAF">
              <w:rPr>
                <w:rFonts w:ascii="Arial" w:hAnsi="Arial" w:cs="Arial"/>
                <w:sz w:val="20"/>
                <w:szCs w:val="20"/>
              </w:rPr>
              <w:t>92.99</w:t>
            </w:r>
          </w:p>
        </w:tc>
        <w:tc>
          <w:tcPr>
            <w:tcW w:w="922" w:type="dxa"/>
          </w:tcPr>
          <w:p w14:paraId="578C02DA" w14:textId="77777777" w:rsidR="00CD43F0" w:rsidRPr="00546BAF" w:rsidRDefault="00CD43F0" w:rsidP="00270965">
            <w:pPr>
              <w:rPr>
                <w:rFonts w:ascii="Arial" w:hAnsi="Arial" w:cs="Arial"/>
                <w:sz w:val="20"/>
                <w:szCs w:val="20"/>
              </w:rPr>
            </w:pPr>
            <w:r w:rsidRPr="00546BAF">
              <w:rPr>
                <w:rFonts w:ascii="Arial" w:hAnsi="Arial" w:cs="Arial"/>
                <w:sz w:val="20"/>
                <w:szCs w:val="20"/>
              </w:rPr>
              <w:t>0.267</w:t>
            </w:r>
          </w:p>
        </w:tc>
        <w:tc>
          <w:tcPr>
            <w:tcW w:w="1352" w:type="dxa"/>
          </w:tcPr>
          <w:p w14:paraId="315659B6" w14:textId="77777777"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829" w:type="dxa"/>
          </w:tcPr>
          <w:p w14:paraId="58BC5FE6" w14:textId="77777777" w:rsidR="00CD43F0" w:rsidRPr="00546BAF" w:rsidRDefault="00CD43F0" w:rsidP="00270965">
            <w:pPr>
              <w:rPr>
                <w:rFonts w:ascii="Arial" w:hAnsi="Arial" w:cs="Arial"/>
                <w:sz w:val="20"/>
                <w:szCs w:val="20"/>
              </w:rPr>
            </w:pPr>
            <w:r w:rsidRPr="00546BAF">
              <w:rPr>
                <w:rFonts w:ascii="Arial" w:hAnsi="Arial" w:cs="Arial"/>
                <w:sz w:val="20"/>
                <w:szCs w:val="20"/>
              </w:rPr>
              <w:t>78.88</w:t>
            </w:r>
          </w:p>
        </w:tc>
        <w:tc>
          <w:tcPr>
            <w:tcW w:w="1430" w:type="dxa"/>
          </w:tcPr>
          <w:p w14:paraId="4DB7F104" w14:textId="77777777" w:rsidR="00CD43F0" w:rsidRPr="00546BAF" w:rsidRDefault="00CD43F0" w:rsidP="00270965">
            <w:pPr>
              <w:rPr>
                <w:rFonts w:ascii="Arial" w:hAnsi="Arial" w:cs="Arial"/>
                <w:sz w:val="20"/>
                <w:szCs w:val="20"/>
              </w:rPr>
            </w:pPr>
            <w:r w:rsidRPr="00546BAF">
              <w:rPr>
                <w:rFonts w:ascii="Arial" w:hAnsi="Arial" w:cs="Arial"/>
                <w:sz w:val="20"/>
                <w:szCs w:val="20"/>
              </w:rPr>
              <w:t>-3.20</w:t>
            </w:r>
          </w:p>
        </w:tc>
      </w:tr>
    </w:tbl>
    <w:p w14:paraId="1065E369" w14:textId="77777777" w:rsidR="006C07E6" w:rsidRPr="00546BAF" w:rsidRDefault="006C07E6" w:rsidP="00002A8D">
      <w:pPr>
        <w:jc w:val="both"/>
        <w:rPr>
          <w:rFonts w:ascii="Arial" w:hAnsi="Arial" w:cs="Arial"/>
          <w:sz w:val="20"/>
          <w:szCs w:val="20"/>
        </w:rPr>
      </w:pPr>
    </w:p>
    <w:p w14:paraId="2FD1F708" w14:textId="77777777" w:rsidR="00C87F9E" w:rsidRPr="00546BAF" w:rsidRDefault="00866666" w:rsidP="00002A8D">
      <w:pPr>
        <w:jc w:val="both"/>
        <w:rPr>
          <w:rFonts w:ascii="Arial" w:hAnsi="Arial" w:cs="Arial"/>
          <w:color w:val="000000" w:themeColor="text1"/>
          <w:sz w:val="20"/>
          <w:szCs w:val="20"/>
        </w:rPr>
      </w:pPr>
      <w:r w:rsidRPr="00546BAF">
        <w:rPr>
          <w:rFonts w:ascii="Arial" w:hAnsi="Arial" w:cs="Arial"/>
          <w:sz w:val="20"/>
          <w:szCs w:val="20"/>
        </w:rPr>
        <w:t xml:space="preserve">The ADME analysis of </w:t>
      </w:r>
      <w:r w:rsidR="00844CC8" w:rsidRPr="00546BAF">
        <w:rPr>
          <w:rFonts w:ascii="Arial" w:hAnsi="Arial" w:cs="Arial"/>
          <w:sz w:val="20"/>
          <w:szCs w:val="20"/>
        </w:rPr>
        <w:t>4-hydroxy-3-methoxycinnamic acid</w:t>
      </w:r>
      <w:r w:rsidR="000878AF" w:rsidRPr="00546BAF">
        <w:rPr>
          <w:rFonts w:ascii="Arial" w:hAnsi="Arial" w:cs="Arial"/>
          <w:sz w:val="20"/>
          <w:szCs w:val="20"/>
        </w:rPr>
        <w:t xml:space="preserve"> </w:t>
      </w:r>
      <w:r w:rsidRPr="00546BAF">
        <w:rPr>
          <w:rFonts w:ascii="Arial" w:hAnsi="Arial" w:cs="Arial"/>
          <w:sz w:val="20"/>
          <w:szCs w:val="20"/>
        </w:rPr>
        <w:t>derivatives revealed a generally favo</w:t>
      </w:r>
      <w:r w:rsidR="00FE38B6" w:rsidRPr="00546BAF">
        <w:rPr>
          <w:rFonts w:ascii="Arial" w:hAnsi="Arial" w:cs="Arial"/>
          <w:sz w:val="20"/>
          <w:szCs w:val="20"/>
        </w:rPr>
        <w:t>u</w:t>
      </w:r>
      <w:r w:rsidRPr="00546BAF">
        <w:rPr>
          <w:rFonts w:ascii="Arial" w:hAnsi="Arial" w:cs="Arial"/>
          <w:sz w:val="20"/>
          <w:szCs w:val="20"/>
        </w:rPr>
        <w:t xml:space="preserve">rable pharmacokinetic profile across most parameters. In terms of human intestinal absorption (HIA), </w:t>
      </w:r>
      <w:r w:rsidR="006C07E6" w:rsidRPr="00546BAF">
        <w:rPr>
          <w:rFonts w:ascii="Arial" w:hAnsi="Arial" w:cs="Arial"/>
          <w:sz w:val="20"/>
          <w:szCs w:val="20"/>
        </w:rPr>
        <w:t xml:space="preserve">14 </w:t>
      </w:r>
      <w:r w:rsidRPr="00546BAF">
        <w:rPr>
          <w:rFonts w:ascii="Arial" w:hAnsi="Arial" w:cs="Arial"/>
          <w:sz w:val="20"/>
          <w:szCs w:val="20"/>
        </w:rPr>
        <w:t xml:space="preserve">compounds demonstrated high absorption while only one compound showed moderate absorption, indicating strong oral bioavailability potential. Plasma protein binding (PPB) results showed that </w:t>
      </w:r>
      <w:r w:rsidR="006C07E6" w:rsidRPr="00546BAF">
        <w:rPr>
          <w:rFonts w:ascii="Arial" w:hAnsi="Arial" w:cs="Arial"/>
          <w:sz w:val="20"/>
          <w:szCs w:val="20"/>
        </w:rPr>
        <w:t>2</w:t>
      </w:r>
      <w:r w:rsidRPr="00546BAF">
        <w:rPr>
          <w:rFonts w:ascii="Arial" w:hAnsi="Arial" w:cs="Arial"/>
          <w:sz w:val="20"/>
          <w:szCs w:val="20"/>
        </w:rPr>
        <w:t xml:space="preserve"> compounds</w:t>
      </w:r>
      <w:r w:rsidR="006C07E6" w:rsidRPr="00546BAF">
        <w:rPr>
          <w:rFonts w:ascii="Arial" w:hAnsi="Arial" w:cs="Arial"/>
          <w:sz w:val="20"/>
          <w:szCs w:val="20"/>
        </w:rPr>
        <w:t xml:space="preserve"> (FA7 and FA11)</w:t>
      </w:r>
      <w:r w:rsidRPr="00546BAF">
        <w:rPr>
          <w:rFonts w:ascii="Arial" w:hAnsi="Arial" w:cs="Arial"/>
          <w:sz w:val="20"/>
          <w:szCs w:val="20"/>
        </w:rPr>
        <w:t xml:space="preserve"> were strongly bound, whereas the majority (</w:t>
      </w:r>
      <w:r w:rsidR="006C07E6" w:rsidRPr="00546BAF">
        <w:rPr>
          <w:rFonts w:ascii="Arial" w:hAnsi="Arial" w:cs="Arial"/>
          <w:sz w:val="20"/>
          <w:szCs w:val="20"/>
        </w:rPr>
        <w:t xml:space="preserve">13 </w:t>
      </w:r>
      <w:r w:rsidRPr="00546BAF">
        <w:rPr>
          <w:rFonts w:ascii="Arial" w:hAnsi="Arial" w:cs="Arial"/>
          <w:sz w:val="20"/>
          <w:szCs w:val="20"/>
        </w:rPr>
        <w:t xml:space="preserve">compounds) were weakly bound, suggesting variability in distribution. For </w:t>
      </w:r>
      <w:commentRangeStart w:id="23"/>
      <w:r w:rsidRPr="00546BAF">
        <w:rPr>
          <w:rFonts w:ascii="Arial" w:hAnsi="Arial" w:cs="Arial"/>
          <w:sz w:val="20"/>
          <w:szCs w:val="20"/>
        </w:rPr>
        <w:t>CaCO</w:t>
      </w:r>
      <w:r w:rsidR="00CB532C" w:rsidRPr="00546BAF">
        <w:rPr>
          <w:rFonts w:ascii="Times New Roman" w:hAnsi="Times New Roman" w:cs="Arial"/>
          <w:sz w:val="20"/>
          <w:szCs w:val="20"/>
          <w:vertAlign w:val="subscript"/>
        </w:rPr>
        <w:t>3</w:t>
      </w:r>
      <w:commentRangeEnd w:id="23"/>
      <w:r w:rsidR="00016298">
        <w:rPr>
          <w:rStyle w:val="CommentReference"/>
        </w:rPr>
        <w:commentReference w:id="23"/>
      </w:r>
      <w:r w:rsidRPr="00546BAF">
        <w:rPr>
          <w:rFonts w:ascii="Arial" w:hAnsi="Arial" w:cs="Arial"/>
          <w:sz w:val="20"/>
          <w:szCs w:val="20"/>
        </w:rPr>
        <w:t xml:space="preserve"> permeation, nearly all compounds (</w:t>
      </w:r>
      <w:r w:rsidR="006C07E6" w:rsidRPr="00546BAF">
        <w:rPr>
          <w:rFonts w:ascii="Arial" w:hAnsi="Arial" w:cs="Arial"/>
          <w:sz w:val="20"/>
          <w:szCs w:val="20"/>
        </w:rPr>
        <w:t>14</w:t>
      </w:r>
      <w:r w:rsidRPr="00546BAF">
        <w:rPr>
          <w:rFonts w:ascii="Arial" w:hAnsi="Arial" w:cs="Arial"/>
          <w:sz w:val="20"/>
          <w:szCs w:val="20"/>
        </w:rPr>
        <w:t>) exhibited moderate permeation, with just one compound showing lower permeation. Importantly, all compounds were non</w:t>
      </w:r>
      <w:r w:rsidRPr="00546BAF">
        <w:rPr>
          <w:rFonts w:ascii="Arial" w:hAnsi="Arial" w:cs="Arial"/>
          <w:sz w:val="20"/>
          <w:szCs w:val="20"/>
        </w:rPr>
        <w:noBreakHyphen/>
        <w:t xml:space="preserve">inhibitors of CYP2D6, meeting acceptable criteria and minimizing risks of drug–drug interactions. In MDCK cell permeability assays, </w:t>
      </w:r>
      <w:r w:rsidR="006C07E6" w:rsidRPr="00546BAF">
        <w:rPr>
          <w:rFonts w:ascii="Arial" w:hAnsi="Arial" w:cs="Arial"/>
          <w:sz w:val="20"/>
          <w:szCs w:val="20"/>
        </w:rPr>
        <w:t>1</w:t>
      </w:r>
      <w:r w:rsidRPr="00546BAF">
        <w:rPr>
          <w:rFonts w:ascii="Arial" w:hAnsi="Arial" w:cs="Arial"/>
          <w:sz w:val="20"/>
          <w:szCs w:val="20"/>
        </w:rPr>
        <w:t>compound</w:t>
      </w:r>
      <w:r w:rsidR="006C07E6" w:rsidRPr="00546BAF">
        <w:rPr>
          <w:rFonts w:ascii="Arial" w:hAnsi="Arial" w:cs="Arial"/>
          <w:sz w:val="20"/>
          <w:szCs w:val="20"/>
        </w:rPr>
        <w:t xml:space="preserve"> (FA)</w:t>
      </w:r>
      <w:r w:rsidRPr="00546BAF">
        <w:rPr>
          <w:rFonts w:ascii="Arial" w:hAnsi="Arial" w:cs="Arial"/>
          <w:sz w:val="20"/>
          <w:szCs w:val="20"/>
        </w:rPr>
        <w:t xml:space="preserve"> displayed moderate permeation while the remaining </w:t>
      </w:r>
      <w:r w:rsidR="006C07E6" w:rsidRPr="00546BAF">
        <w:rPr>
          <w:rFonts w:ascii="Arial" w:hAnsi="Arial" w:cs="Arial"/>
          <w:sz w:val="20"/>
          <w:szCs w:val="20"/>
        </w:rPr>
        <w:t>14</w:t>
      </w:r>
      <w:r w:rsidRPr="00546BAF">
        <w:rPr>
          <w:rFonts w:ascii="Arial" w:hAnsi="Arial" w:cs="Arial"/>
          <w:sz w:val="20"/>
          <w:szCs w:val="20"/>
        </w:rPr>
        <w:t xml:space="preserve"> were lower, highlighting limited transport efficiency in this model. Regarding P</w:t>
      </w:r>
      <w:r w:rsidRPr="00546BAF">
        <w:rPr>
          <w:rFonts w:ascii="Arial" w:hAnsi="Arial" w:cs="Arial"/>
          <w:sz w:val="20"/>
          <w:szCs w:val="20"/>
        </w:rPr>
        <w:noBreakHyphen/>
        <w:t>glycoprotein (P</w:t>
      </w:r>
      <w:r w:rsidRPr="00546BAF">
        <w:rPr>
          <w:rFonts w:ascii="Arial" w:hAnsi="Arial" w:cs="Arial"/>
          <w:sz w:val="20"/>
          <w:szCs w:val="20"/>
        </w:rPr>
        <w:noBreakHyphen/>
      </w:r>
      <w:proofErr w:type="spellStart"/>
      <w:r w:rsidRPr="00546BAF">
        <w:rPr>
          <w:rFonts w:ascii="Arial" w:hAnsi="Arial" w:cs="Arial"/>
          <w:sz w:val="20"/>
          <w:szCs w:val="20"/>
        </w:rPr>
        <w:t>gp</w:t>
      </w:r>
      <w:proofErr w:type="spellEnd"/>
      <w:r w:rsidRPr="00546BAF">
        <w:rPr>
          <w:rFonts w:ascii="Arial" w:hAnsi="Arial" w:cs="Arial"/>
          <w:sz w:val="20"/>
          <w:szCs w:val="20"/>
        </w:rPr>
        <w:t xml:space="preserve">) interaction, </w:t>
      </w:r>
      <w:r w:rsidR="006C07E6" w:rsidRPr="00546BAF">
        <w:rPr>
          <w:rFonts w:ascii="Arial" w:hAnsi="Arial" w:cs="Arial"/>
          <w:sz w:val="20"/>
          <w:szCs w:val="20"/>
        </w:rPr>
        <w:t xml:space="preserve">1 </w:t>
      </w:r>
      <w:r w:rsidRPr="00546BAF">
        <w:rPr>
          <w:rFonts w:ascii="Arial" w:hAnsi="Arial" w:cs="Arial"/>
          <w:sz w:val="20"/>
          <w:szCs w:val="20"/>
        </w:rPr>
        <w:t>compound</w:t>
      </w:r>
      <w:r w:rsidR="006C07E6" w:rsidRPr="00546BAF">
        <w:rPr>
          <w:rFonts w:ascii="Arial" w:hAnsi="Arial" w:cs="Arial"/>
          <w:sz w:val="20"/>
          <w:szCs w:val="20"/>
        </w:rPr>
        <w:t xml:space="preserve"> (FA11)</w:t>
      </w:r>
      <w:r w:rsidRPr="00546BAF">
        <w:rPr>
          <w:rFonts w:ascii="Arial" w:hAnsi="Arial" w:cs="Arial"/>
          <w:sz w:val="20"/>
          <w:szCs w:val="20"/>
        </w:rPr>
        <w:t xml:space="preserve"> acted as inhibitors while most (</w:t>
      </w:r>
      <w:r w:rsidR="006C07E6" w:rsidRPr="00546BAF">
        <w:rPr>
          <w:rFonts w:ascii="Arial" w:hAnsi="Arial" w:cs="Arial"/>
          <w:sz w:val="20"/>
          <w:szCs w:val="20"/>
        </w:rPr>
        <w:t>14</w:t>
      </w:r>
      <w:r w:rsidRPr="00546BAF">
        <w:rPr>
          <w:rFonts w:ascii="Arial" w:hAnsi="Arial" w:cs="Arial"/>
          <w:sz w:val="20"/>
          <w:szCs w:val="20"/>
        </w:rPr>
        <w:t>) were non</w:t>
      </w:r>
      <w:r w:rsidRPr="00546BAF">
        <w:rPr>
          <w:rFonts w:ascii="Arial" w:hAnsi="Arial" w:cs="Arial"/>
          <w:sz w:val="20"/>
          <w:szCs w:val="20"/>
        </w:rPr>
        <w:noBreakHyphen/>
        <w:t>inhibitors, reducing concerns about efflux</w:t>
      </w:r>
      <w:r w:rsidRPr="00546BAF">
        <w:rPr>
          <w:rFonts w:ascii="Arial" w:hAnsi="Arial" w:cs="Arial"/>
          <w:sz w:val="20"/>
          <w:szCs w:val="20"/>
        </w:rPr>
        <w:noBreakHyphen/>
        <w:t xml:space="preserve">related bioavailability issues. Finally, blood–brain barrier (BBB) penetration results indicated that 3 compounds were CNS active, suggesting potential for neurological applications, while </w:t>
      </w:r>
      <w:r w:rsidR="006C07E6" w:rsidRPr="00546BAF">
        <w:rPr>
          <w:rFonts w:ascii="Arial" w:hAnsi="Arial" w:cs="Arial"/>
          <w:sz w:val="20"/>
          <w:szCs w:val="20"/>
        </w:rPr>
        <w:t xml:space="preserve">12 </w:t>
      </w:r>
      <w:r w:rsidRPr="00546BAF">
        <w:rPr>
          <w:rFonts w:ascii="Arial" w:hAnsi="Arial" w:cs="Arial"/>
          <w:sz w:val="20"/>
          <w:szCs w:val="20"/>
        </w:rPr>
        <w:t>compounds were non</w:t>
      </w:r>
      <w:r w:rsidRPr="00546BAF">
        <w:rPr>
          <w:rFonts w:ascii="Arial" w:hAnsi="Arial" w:cs="Arial"/>
          <w:sz w:val="20"/>
          <w:szCs w:val="20"/>
        </w:rPr>
        <w:noBreakHyphen/>
        <w:t xml:space="preserve">CNS active. Overall, </w:t>
      </w:r>
      <w:r w:rsidR="00844CC8" w:rsidRPr="00546BAF">
        <w:rPr>
          <w:rFonts w:ascii="Arial" w:hAnsi="Arial" w:cs="Arial"/>
          <w:sz w:val="20"/>
          <w:szCs w:val="20"/>
        </w:rPr>
        <w:t>4-hydroxy-3-methoxycinnamic acid</w:t>
      </w:r>
      <w:r w:rsidR="00CB532C" w:rsidRPr="00546BAF">
        <w:rPr>
          <w:rFonts w:ascii="Arial" w:hAnsi="Arial" w:cs="Arial"/>
          <w:sz w:val="20"/>
          <w:szCs w:val="20"/>
        </w:rPr>
        <w:t xml:space="preserve"> </w:t>
      </w:r>
      <w:r w:rsidRPr="00546BAF">
        <w:rPr>
          <w:rFonts w:ascii="Arial" w:hAnsi="Arial" w:cs="Arial"/>
          <w:sz w:val="20"/>
          <w:szCs w:val="20"/>
        </w:rPr>
        <w:t>derivatives showed promising absorption and metabolic safety, with notable CNS activity in the majority of compounds.</w:t>
      </w:r>
      <w:r w:rsidR="00CB532C" w:rsidRPr="00546BAF">
        <w:rPr>
          <w:rFonts w:ascii="Arial" w:hAnsi="Arial" w:cs="Arial"/>
          <w:sz w:val="20"/>
          <w:szCs w:val="20"/>
        </w:rPr>
        <w:t xml:space="preserve"> </w:t>
      </w:r>
      <w:r w:rsidR="00A0396A" w:rsidRPr="00546BAF">
        <w:rPr>
          <w:rFonts w:ascii="Arial" w:hAnsi="Arial" w:cs="Arial"/>
          <w:color w:val="000000" w:themeColor="text1"/>
          <w:sz w:val="20"/>
          <w:szCs w:val="20"/>
        </w:rPr>
        <w:t xml:space="preserve">The boiled egg model of </w:t>
      </w:r>
      <w:r w:rsidR="00F8728E" w:rsidRPr="00546BAF">
        <w:rPr>
          <w:rFonts w:ascii="Arial" w:hAnsi="Arial" w:cs="Arial"/>
          <w:color w:val="000000" w:themeColor="text1"/>
          <w:sz w:val="20"/>
          <w:szCs w:val="20"/>
        </w:rPr>
        <w:t>FA</w:t>
      </w:r>
      <w:r w:rsidR="006C07E6" w:rsidRPr="00546BAF">
        <w:rPr>
          <w:rFonts w:ascii="Arial" w:hAnsi="Arial" w:cs="Arial"/>
          <w:color w:val="000000" w:themeColor="text1"/>
          <w:sz w:val="20"/>
          <w:szCs w:val="20"/>
        </w:rPr>
        <w:t>1</w:t>
      </w:r>
      <w:r w:rsidR="00A0396A" w:rsidRPr="00546BAF">
        <w:rPr>
          <w:rFonts w:ascii="Arial" w:hAnsi="Arial" w:cs="Arial"/>
          <w:color w:val="000000" w:themeColor="text1"/>
          <w:sz w:val="20"/>
          <w:szCs w:val="20"/>
        </w:rPr>
        <w:t>1 is shown in figure</w:t>
      </w:r>
      <w:r w:rsidR="006C07E6" w:rsidRPr="00546BAF">
        <w:rPr>
          <w:rFonts w:ascii="Arial" w:hAnsi="Arial" w:cs="Arial"/>
          <w:color w:val="000000" w:themeColor="text1"/>
          <w:sz w:val="20"/>
          <w:szCs w:val="20"/>
        </w:rPr>
        <w:t>.</w:t>
      </w:r>
    </w:p>
    <w:p w14:paraId="24FEB71D" w14:textId="77777777" w:rsidR="00A0396A" w:rsidRPr="00546BAF" w:rsidRDefault="00A0396A" w:rsidP="00A0396A">
      <w:pPr>
        <w:jc w:val="center"/>
        <w:rPr>
          <w:rFonts w:ascii="Arial" w:hAnsi="Arial" w:cs="Arial"/>
          <w:sz w:val="20"/>
          <w:szCs w:val="20"/>
        </w:rPr>
      </w:pPr>
      <w:r w:rsidRPr="00546BAF">
        <w:rPr>
          <w:rFonts w:ascii="Arial" w:hAnsi="Arial" w:cs="Arial"/>
          <w:noProof/>
          <w:sz w:val="20"/>
          <w:szCs w:val="20"/>
          <w:lang w:eastAsia="en-IN"/>
        </w:rPr>
        <w:lastRenderedPageBreak/>
        <w:drawing>
          <wp:inline distT="0" distB="0" distL="0" distR="0" wp14:anchorId="2F94423E" wp14:editId="65BE19A4">
            <wp:extent cx="3557230" cy="2077517"/>
            <wp:effectExtent l="19050" t="0" r="51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560829" cy="2079619"/>
                    </a:xfrm>
                    <a:prstGeom prst="rect">
                      <a:avLst/>
                    </a:prstGeom>
                    <a:noFill/>
                    <a:ln>
                      <a:noFill/>
                    </a:ln>
                  </pic:spPr>
                </pic:pic>
              </a:graphicData>
            </a:graphic>
          </wp:inline>
        </w:drawing>
      </w:r>
    </w:p>
    <w:p w14:paraId="5AC398C5" w14:textId="77777777" w:rsidR="00A0396A" w:rsidRPr="00546BAF" w:rsidRDefault="00A0396A" w:rsidP="00A0396A">
      <w:pPr>
        <w:jc w:val="center"/>
        <w:rPr>
          <w:rFonts w:ascii="Arial" w:hAnsi="Arial" w:cs="Arial"/>
          <w:b/>
          <w:color w:val="000000" w:themeColor="text1"/>
          <w:sz w:val="20"/>
          <w:szCs w:val="20"/>
        </w:rPr>
      </w:pPr>
      <w:r w:rsidRPr="00546BAF">
        <w:rPr>
          <w:rFonts w:ascii="Arial" w:hAnsi="Arial" w:cs="Arial"/>
          <w:b/>
          <w:color w:val="000000" w:themeColor="text1"/>
          <w:sz w:val="20"/>
          <w:szCs w:val="20"/>
        </w:rPr>
        <w:t>Fig</w:t>
      </w:r>
      <w:r w:rsidR="006C07E6" w:rsidRPr="00546BAF">
        <w:rPr>
          <w:rFonts w:ascii="Arial" w:hAnsi="Arial" w:cs="Arial"/>
          <w:b/>
          <w:color w:val="000000" w:themeColor="text1"/>
          <w:sz w:val="20"/>
          <w:szCs w:val="20"/>
        </w:rPr>
        <w:t>ure 03:</w:t>
      </w:r>
      <w:r w:rsidRPr="00546BAF">
        <w:rPr>
          <w:rFonts w:ascii="Arial" w:hAnsi="Arial" w:cs="Arial"/>
          <w:b/>
          <w:color w:val="000000" w:themeColor="text1"/>
          <w:sz w:val="20"/>
          <w:szCs w:val="20"/>
        </w:rPr>
        <w:t xml:space="preserve"> boiled egg model representing </w:t>
      </w:r>
      <w:r w:rsidR="00F8728E" w:rsidRPr="00546BAF">
        <w:rPr>
          <w:rFonts w:ascii="Arial" w:hAnsi="Arial" w:cs="Arial"/>
          <w:b/>
          <w:color w:val="000000" w:themeColor="text1"/>
          <w:sz w:val="20"/>
          <w:szCs w:val="20"/>
        </w:rPr>
        <w:t>FA</w:t>
      </w:r>
      <w:r w:rsidR="006C07E6" w:rsidRPr="00546BAF">
        <w:rPr>
          <w:rFonts w:ascii="Arial" w:hAnsi="Arial" w:cs="Arial"/>
          <w:b/>
          <w:color w:val="000000" w:themeColor="text1"/>
          <w:sz w:val="20"/>
          <w:szCs w:val="20"/>
        </w:rPr>
        <w:t>1</w:t>
      </w:r>
      <w:r w:rsidRPr="00546BAF">
        <w:rPr>
          <w:rFonts w:ascii="Arial" w:hAnsi="Arial" w:cs="Arial"/>
          <w:b/>
          <w:color w:val="000000" w:themeColor="text1"/>
          <w:sz w:val="20"/>
          <w:szCs w:val="20"/>
        </w:rPr>
        <w:t>1 as PGP inhibitor</w:t>
      </w:r>
    </w:p>
    <w:p w14:paraId="1CC8911D" w14:textId="77777777" w:rsidR="00C212F6" w:rsidRPr="00546BAF" w:rsidRDefault="004B7C29" w:rsidP="00002A8D">
      <w:pPr>
        <w:jc w:val="both"/>
        <w:rPr>
          <w:rFonts w:ascii="Arial" w:hAnsi="Arial" w:cs="Arial"/>
          <w:sz w:val="20"/>
          <w:szCs w:val="20"/>
        </w:rPr>
      </w:pPr>
      <w:bookmarkStart w:id="24" w:name="_Hlk220432242"/>
      <w:r w:rsidRPr="00546BAF">
        <w:rPr>
          <w:rFonts w:ascii="Arial" w:hAnsi="Arial" w:cs="Arial"/>
          <w:b/>
          <w:bCs/>
          <w:sz w:val="20"/>
          <w:szCs w:val="20"/>
        </w:rPr>
        <w:t>Result o</w:t>
      </w:r>
      <w:r w:rsidR="006A4ADB" w:rsidRPr="00546BAF">
        <w:rPr>
          <w:rFonts w:ascii="Arial" w:hAnsi="Arial" w:cs="Arial"/>
          <w:b/>
          <w:bCs/>
          <w:sz w:val="20"/>
          <w:szCs w:val="20"/>
        </w:rPr>
        <w:t>f</w:t>
      </w:r>
      <w:r w:rsidR="009909A1" w:rsidRPr="00546BAF">
        <w:rPr>
          <w:rFonts w:ascii="Arial" w:hAnsi="Arial" w:cs="Arial"/>
          <w:b/>
          <w:bCs/>
          <w:sz w:val="20"/>
          <w:szCs w:val="20"/>
        </w:rPr>
        <w:t xml:space="preserve"> toxicity of compounds by pre</w:t>
      </w:r>
      <w:r w:rsidR="00040C03" w:rsidRPr="00546BAF">
        <w:rPr>
          <w:rFonts w:ascii="Arial" w:hAnsi="Arial" w:cs="Arial"/>
          <w:b/>
          <w:bCs/>
          <w:sz w:val="20"/>
          <w:szCs w:val="20"/>
        </w:rPr>
        <w:t>-</w:t>
      </w:r>
      <w:r w:rsidR="009909A1" w:rsidRPr="00546BAF">
        <w:rPr>
          <w:rFonts w:ascii="Arial" w:hAnsi="Arial" w:cs="Arial"/>
          <w:b/>
          <w:bCs/>
          <w:sz w:val="20"/>
          <w:szCs w:val="20"/>
        </w:rPr>
        <w:t>ADMET tool</w:t>
      </w:r>
    </w:p>
    <w:p w14:paraId="5573CD51" w14:textId="77777777" w:rsidR="006C07E6" w:rsidRPr="00546BAF" w:rsidRDefault="006C07E6" w:rsidP="00002A8D">
      <w:pPr>
        <w:jc w:val="both"/>
        <w:rPr>
          <w:rFonts w:ascii="Arial" w:hAnsi="Arial" w:cs="Arial"/>
          <w:sz w:val="20"/>
          <w:szCs w:val="20"/>
        </w:rPr>
      </w:pPr>
      <w:r w:rsidRPr="00546BAF">
        <w:rPr>
          <w:rFonts w:ascii="Arial" w:hAnsi="Arial" w:cs="Arial"/>
          <w:sz w:val="20"/>
          <w:szCs w:val="20"/>
        </w:rPr>
        <w:t>The result of toxicity of designed c</w:t>
      </w:r>
      <w:r w:rsidR="00632A57" w:rsidRPr="00546BAF">
        <w:rPr>
          <w:rFonts w:ascii="Arial" w:hAnsi="Arial" w:cs="Arial"/>
          <w:sz w:val="20"/>
          <w:szCs w:val="20"/>
        </w:rPr>
        <w:t xml:space="preserve">ompounds are detailed in table </w:t>
      </w:r>
      <w:r w:rsidR="00546BAF" w:rsidRPr="00546BAF">
        <w:rPr>
          <w:rFonts w:ascii="Arial" w:hAnsi="Arial" w:cs="Arial"/>
          <w:sz w:val="20"/>
          <w:szCs w:val="20"/>
        </w:rPr>
        <w:t>4</w:t>
      </w:r>
    </w:p>
    <w:p w14:paraId="569876B7" w14:textId="77777777" w:rsidR="00641FF6" w:rsidRPr="00546BAF" w:rsidRDefault="00140D8B" w:rsidP="00002A8D">
      <w:pPr>
        <w:jc w:val="both"/>
        <w:rPr>
          <w:rFonts w:ascii="Arial" w:hAnsi="Arial" w:cs="Arial"/>
          <w:sz w:val="20"/>
          <w:szCs w:val="20"/>
        </w:rPr>
      </w:pPr>
      <w:r w:rsidRPr="00546BAF">
        <w:rPr>
          <w:rFonts w:ascii="Arial" w:hAnsi="Arial" w:cs="Arial"/>
          <w:sz w:val="20"/>
          <w:szCs w:val="20"/>
        </w:rPr>
        <w:t xml:space="preserve">At the Ames test endpoint of </w:t>
      </w:r>
      <w:proofErr w:type="spellStart"/>
      <w:r w:rsidRPr="00546BAF">
        <w:rPr>
          <w:rFonts w:ascii="Arial" w:hAnsi="Arial" w:cs="Arial"/>
          <w:sz w:val="20"/>
          <w:szCs w:val="20"/>
        </w:rPr>
        <w:t>PreADMET</w:t>
      </w:r>
      <w:proofErr w:type="spellEnd"/>
      <w:r w:rsidRPr="00546BAF">
        <w:rPr>
          <w:rFonts w:ascii="Arial" w:hAnsi="Arial" w:cs="Arial"/>
          <w:sz w:val="20"/>
          <w:szCs w:val="20"/>
        </w:rPr>
        <w:t xml:space="preserve">, there are </w:t>
      </w:r>
      <w:r w:rsidR="006C07E6" w:rsidRPr="00546BAF">
        <w:rPr>
          <w:rFonts w:ascii="Arial" w:hAnsi="Arial" w:cs="Arial"/>
          <w:sz w:val="20"/>
          <w:szCs w:val="20"/>
        </w:rPr>
        <w:t>14</w:t>
      </w:r>
      <w:r w:rsidRPr="00546BAF">
        <w:rPr>
          <w:rFonts w:ascii="Arial" w:hAnsi="Arial" w:cs="Arial"/>
          <w:sz w:val="20"/>
          <w:szCs w:val="20"/>
        </w:rPr>
        <w:t xml:space="preserve">mutagenic compounds and </w:t>
      </w:r>
      <w:r w:rsidR="006C07E6" w:rsidRPr="00546BAF">
        <w:rPr>
          <w:rFonts w:ascii="Arial" w:hAnsi="Arial" w:cs="Arial"/>
          <w:sz w:val="20"/>
          <w:szCs w:val="20"/>
        </w:rPr>
        <w:t>only 1</w:t>
      </w:r>
      <w:r w:rsidRPr="00546BAF">
        <w:rPr>
          <w:rFonts w:ascii="Arial" w:hAnsi="Arial" w:cs="Arial"/>
          <w:sz w:val="20"/>
          <w:szCs w:val="20"/>
        </w:rPr>
        <w:t xml:space="preserve"> compound</w:t>
      </w:r>
      <w:r w:rsidR="00CB532C" w:rsidRPr="00546BAF">
        <w:rPr>
          <w:rFonts w:ascii="Arial" w:hAnsi="Arial" w:cs="Arial"/>
          <w:sz w:val="20"/>
          <w:szCs w:val="20"/>
        </w:rPr>
        <w:t xml:space="preserve"> </w:t>
      </w:r>
      <w:r w:rsidR="006C64FC" w:rsidRPr="00546BAF">
        <w:rPr>
          <w:rFonts w:ascii="Arial" w:hAnsi="Arial" w:cs="Arial"/>
          <w:sz w:val="20"/>
          <w:szCs w:val="20"/>
        </w:rPr>
        <w:t>(</w:t>
      </w:r>
      <w:r w:rsidR="00F8728E" w:rsidRPr="00546BAF">
        <w:rPr>
          <w:rFonts w:ascii="Arial" w:hAnsi="Arial" w:cs="Arial"/>
          <w:sz w:val="20"/>
          <w:szCs w:val="20"/>
        </w:rPr>
        <w:t>FA</w:t>
      </w:r>
      <w:r w:rsidR="006C07E6" w:rsidRPr="00546BAF">
        <w:rPr>
          <w:rFonts w:ascii="Arial" w:hAnsi="Arial" w:cs="Arial"/>
          <w:sz w:val="20"/>
          <w:szCs w:val="20"/>
        </w:rPr>
        <w:t xml:space="preserve">7) </w:t>
      </w:r>
      <w:r w:rsidRPr="00546BAF">
        <w:rPr>
          <w:rFonts w:ascii="Arial" w:hAnsi="Arial" w:cs="Arial"/>
          <w:sz w:val="20"/>
          <w:szCs w:val="20"/>
        </w:rPr>
        <w:t xml:space="preserve">are non-mutagenic compounds. The positive test results on Ames test indicate that the compound is mutagenic and has the possibility as carcinogenic. In the prediction of carcinogenicity in rat produced </w:t>
      </w:r>
      <w:r w:rsidR="006C07E6" w:rsidRPr="00546BAF">
        <w:rPr>
          <w:rFonts w:ascii="Arial" w:hAnsi="Arial" w:cs="Arial"/>
          <w:sz w:val="20"/>
          <w:szCs w:val="20"/>
        </w:rPr>
        <w:t xml:space="preserve">14 </w:t>
      </w:r>
      <w:r w:rsidRPr="00546BAF">
        <w:rPr>
          <w:rFonts w:ascii="Arial" w:hAnsi="Arial" w:cs="Arial"/>
          <w:sz w:val="20"/>
          <w:szCs w:val="20"/>
        </w:rPr>
        <w:t xml:space="preserve">carcinogenic positive compounds and </w:t>
      </w:r>
      <w:r w:rsidR="006C07E6" w:rsidRPr="00546BAF">
        <w:rPr>
          <w:rFonts w:ascii="Arial" w:hAnsi="Arial" w:cs="Arial"/>
          <w:sz w:val="20"/>
          <w:szCs w:val="20"/>
        </w:rPr>
        <w:t>only 1</w:t>
      </w:r>
      <w:r w:rsidRPr="00546BAF">
        <w:rPr>
          <w:rFonts w:ascii="Arial" w:hAnsi="Arial" w:cs="Arial"/>
          <w:sz w:val="20"/>
          <w:szCs w:val="20"/>
        </w:rPr>
        <w:t xml:space="preserve"> compound are negative carcinogenic. While in the prediction of carcinogenicity in mouse </w:t>
      </w:r>
      <w:r w:rsidR="006C07E6" w:rsidRPr="00546BAF">
        <w:rPr>
          <w:rFonts w:ascii="Arial" w:hAnsi="Arial" w:cs="Arial"/>
          <w:sz w:val="20"/>
          <w:szCs w:val="20"/>
        </w:rPr>
        <w:t xml:space="preserve">6 </w:t>
      </w:r>
      <w:r w:rsidRPr="00546BAF">
        <w:rPr>
          <w:rFonts w:ascii="Arial" w:hAnsi="Arial" w:cs="Arial"/>
          <w:sz w:val="20"/>
          <w:szCs w:val="20"/>
        </w:rPr>
        <w:t xml:space="preserve">compounds are not carcinogenicity. At the </w:t>
      </w:r>
      <w:r w:rsidR="00DC0218" w:rsidRPr="00546BAF">
        <w:rPr>
          <w:rFonts w:ascii="Arial" w:hAnsi="Arial" w:cs="Arial"/>
          <w:sz w:val="20"/>
          <w:szCs w:val="20"/>
        </w:rPr>
        <w:t>H</w:t>
      </w:r>
      <w:r w:rsidRPr="00546BAF">
        <w:rPr>
          <w:rFonts w:ascii="Arial" w:hAnsi="Arial" w:cs="Arial"/>
          <w:sz w:val="20"/>
          <w:szCs w:val="20"/>
        </w:rPr>
        <w:t xml:space="preserve">ERG Inhibition </w:t>
      </w:r>
      <w:r w:rsidR="00C212F6" w:rsidRPr="00546BAF">
        <w:rPr>
          <w:rFonts w:ascii="Arial" w:hAnsi="Arial" w:cs="Arial"/>
          <w:sz w:val="20"/>
          <w:szCs w:val="20"/>
        </w:rPr>
        <w:t>all</w:t>
      </w:r>
      <w:r w:rsidRPr="00546BAF">
        <w:rPr>
          <w:rFonts w:ascii="Arial" w:hAnsi="Arial" w:cs="Arial"/>
          <w:sz w:val="20"/>
          <w:szCs w:val="20"/>
        </w:rPr>
        <w:t xml:space="preserve"> compounds show </w:t>
      </w:r>
      <w:r w:rsidR="00C212F6" w:rsidRPr="00546BAF">
        <w:rPr>
          <w:rFonts w:ascii="Arial" w:hAnsi="Arial" w:cs="Arial"/>
          <w:sz w:val="20"/>
          <w:szCs w:val="20"/>
        </w:rPr>
        <w:t>medium</w:t>
      </w:r>
      <w:r w:rsidRPr="00546BAF">
        <w:rPr>
          <w:rFonts w:ascii="Arial" w:hAnsi="Arial" w:cs="Arial"/>
          <w:sz w:val="20"/>
          <w:szCs w:val="20"/>
        </w:rPr>
        <w:t xml:space="preserve"> risk</w:t>
      </w:r>
      <w:r w:rsidR="00C212F6" w:rsidRPr="00546BAF">
        <w:rPr>
          <w:rFonts w:ascii="Arial" w:hAnsi="Arial" w:cs="Arial"/>
          <w:sz w:val="20"/>
          <w:szCs w:val="20"/>
        </w:rPr>
        <w:t>.</w:t>
      </w:r>
    </w:p>
    <w:p w14:paraId="320F1F9A" w14:textId="77777777" w:rsidR="00E7479A" w:rsidRPr="00546BAF" w:rsidRDefault="00632A57" w:rsidP="00002A8D">
      <w:pPr>
        <w:jc w:val="both"/>
        <w:rPr>
          <w:rFonts w:ascii="Arial" w:hAnsi="Arial" w:cs="Arial"/>
          <w:b/>
          <w:sz w:val="20"/>
          <w:szCs w:val="20"/>
        </w:rPr>
      </w:pPr>
      <w:bookmarkStart w:id="25" w:name="_Hlk220432674"/>
      <w:bookmarkEnd w:id="24"/>
      <w:r w:rsidRPr="00546BAF">
        <w:rPr>
          <w:rFonts w:ascii="Arial" w:hAnsi="Arial" w:cs="Arial"/>
          <w:b/>
          <w:sz w:val="20"/>
          <w:szCs w:val="20"/>
        </w:rPr>
        <w:t xml:space="preserve">Table </w:t>
      </w:r>
      <w:r w:rsidR="00546BAF" w:rsidRPr="00546BAF">
        <w:rPr>
          <w:rFonts w:ascii="Arial" w:hAnsi="Arial" w:cs="Arial"/>
          <w:b/>
          <w:sz w:val="20"/>
          <w:szCs w:val="20"/>
        </w:rPr>
        <w:t>4</w:t>
      </w:r>
      <w:r w:rsidR="00E7479A" w:rsidRPr="00546BAF">
        <w:rPr>
          <w:rFonts w:ascii="Arial" w:hAnsi="Arial" w:cs="Arial"/>
          <w:b/>
          <w:sz w:val="20"/>
          <w:szCs w:val="20"/>
        </w:rPr>
        <w:t>: Result of Toxicity studies and drug likeness of designed compounds</w:t>
      </w:r>
    </w:p>
    <w:tbl>
      <w:tblPr>
        <w:tblStyle w:val="TableGrid"/>
        <w:tblpPr w:leftFromText="180" w:rightFromText="180" w:vertAnchor="text" w:tblpY="1"/>
        <w:tblOverlap w:val="never"/>
        <w:tblW w:w="0" w:type="auto"/>
        <w:tblLook w:val="04A0" w:firstRow="1" w:lastRow="0" w:firstColumn="1" w:lastColumn="0" w:noHBand="0" w:noVBand="1"/>
      </w:tblPr>
      <w:tblGrid>
        <w:gridCol w:w="1502"/>
        <w:gridCol w:w="1708"/>
        <w:gridCol w:w="1297"/>
        <w:gridCol w:w="1503"/>
        <w:gridCol w:w="1503"/>
      </w:tblGrid>
      <w:tr w:rsidR="00641FF6" w:rsidRPr="00546BAF" w14:paraId="494EEA86" w14:textId="77777777" w:rsidTr="00A0396A">
        <w:tc>
          <w:tcPr>
            <w:tcW w:w="1502" w:type="dxa"/>
          </w:tcPr>
          <w:bookmarkEnd w:id="25"/>
          <w:p w14:paraId="093C179D" w14:textId="77777777" w:rsidR="00641FF6" w:rsidRPr="00546BAF" w:rsidRDefault="00641FF6" w:rsidP="00270965">
            <w:pPr>
              <w:rPr>
                <w:rFonts w:ascii="Arial" w:hAnsi="Arial" w:cs="Arial"/>
                <w:sz w:val="20"/>
                <w:szCs w:val="20"/>
              </w:rPr>
            </w:pPr>
            <w:r w:rsidRPr="00546BAF">
              <w:rPr>
                <w:rFonts w:ascii="Arial" w:hAnsi="Arial" w:cs="Arial"/>
                <w:sz w:val="20"/>
                <w:szCs w:val="20"/>
              </w:rPr>
              <w:t>COMP</w:t>
            </w:r>
          </w:p>
        </w:tc>
        <w:tc>
          <w:tcPr>
            <w:tcW w:w="1708" w:type="dxa"/>
          </w:tcPr>
          <w:p w14:paraId="61628C25" w14:textId="77777777" w:rsidR="00641FF6" w:rsidRPr="00546BAF" w:rsidRDefault="00641FF6" w:rsidP="00270965">
            <w:pPr>
              <w:rPr>
                <w:rFonts w:ascii="Arial" w:hAnsi="Arial" w:cs="Arial"/>
                <w:sz w:val="20"/>
                <w:szCs w:val="20"/>
              </w:rPr>
            </w:pPr>
            <w:r w:rsidRPr="00546BAF">
              <w:rPr>
                <w:rFonts w:ascii="Arial" w:hAnsi="Arial" w:cs="Arial"/>
                <w:sz w:val="20"/>
                <w:szCs w:val="20"/>
              </w:rPr>
              <w:t>AMES TEST</w:t>
            </w:r>
          </w:p>
        </w:tc>
        <w:tc>
          <w:tcPr>
            <w:tcW w:w="1297" w:type="dxa"/>
          </w:tcPr>
          <w:p w14:paraId="1CA7446E" w14:textId="77777777" w:rsidR="00641FF6" w:rsidRPr="00546BAF" w:rsidRDefault="00641FF6" w:rsidP="00270965">
            <w:pPr>
              <w:rPr>
                <w:rFonts w:ascii="Arial" w:hAnsi="Arial" w:cs="Arial"/>
                <w:sz w:val="20"/>
                <w:szCs w:val="20"/>
              </w:rPr>
            </w:pPr>
            <w:r w:rsidRPr="00546BAF">
              <w:rPr>
                <w:rFonts w:ascii="Arial" w:hAnsi="Arial" w:cs="Arial"/>
                <w:sz w:val="20"/>
                <w:szCs w:val="20"/>
              </w:rPr>
              <w:t>CARCINO MOUSE</w:t>
            </w:r>
          </w:p>
        </w:tc>
        <w:tc>
          <w:tcPr>
            <w:tcW w:w="1503" w:type="dxa"/>
          </w:tcPr>
          <w:p w14:paraId="57F8F365" w14:textId="77777777" w:rsidR="00641FF6" w:rsidRPr="00546BAF" w:rsidRDefault="00641FF6" w:rsidP="00270965">
            <w:pPr>
              <w:rPr>
                <w:rFonts w:ascii="Arial" w:hAnsi="Arial" w:cs="Arial"/>
                <w:sz w:val="20"/>
                <w:szCs w:val="20"/>
              </w:rPr>
            </w:pPr>
            <w:r w:rsidRPr="00546BAF">
              <w:rPr>
                <w:rFonts w:ascii="Arial" w:hAnsi="Arial" w:cs="Arial"/>
                <w:sz w:val="20"/>
                <w:szCs w:val="20"/>
              </w:rPr>
              <w:t>CARCINO RAT</w:t>
            </w:r>
          </w:p>
        </w:tc>
        <w:tc>
          <w:tcPr>
            <w:tcW w:w="1503" w:type="dxa"/>
          </w:tcPr>
          <w:p w14:paraId="049E55D1" w14:textId="77777777" w:rsidR="00641FF6" w:rsidRPr="00546BAF" w:rsidRDefault="00641FF6" w:rsidP="00270965">
            <w:pPr>
              <w:rPr>
                <w:rFonts w:ascii="Arial" w:hAnsi="Arial" w:cs="Arial"/>
                <w:sz w:val="20"/>
                <w:szCs w:val="20"/>
              </w:rPr>
            </w:pPr>
            <w:r w:rsidRPr="00546BAF">
              <w:rPr>
                <w:rFonts w:ascii="Arial" w:hAnsi="Arial" w:cs="Arial"/>
                <w:sz w:val="20"/>
                <w:szCs w:val="20"/>
              </w:rPr>
              <w:t>HERG</w:t>
            </w:r>
          </w:p>
        </w:tc>
      </w:tr>
      <w:tr w:rsidR="00641FF6" w:rsidRPr="00546BAF" w14:paraId="28B380CD" w14:textId="77777777" w:rsidTr="00A0396A">
        <w:tc>
          <w:tcPr>
            <w:tcW w:w="1502" w:type="dxa"/>
          </w:tcPr>
          <w:p w14:paraId="7387E7F9" w14:textId="77777777" w:rsidR="00641FF6" w:rsidRPr="00546BAF" w:rsidRDefault="00F8728E" w:rsidP="00270965">
            <w:pPr>
              <w:rPr>
                <w:rFonts w:ascii="Arial" w:hAnsi="Arial" w:cs="Arial"/>
                <w:sz w:val="20"/>
                <w:szCs w:val="20"/>
              </w:rPr>
            </w:pPr>
            <w:r w:rsidRPr="00546BAF">
              <w:rPr>
                <w:rFonts w:ascii="Arial" w:hAnsi="Arial" w:cs="Arial"/>
                <w:sz w:val="20"/>
                <w:szCs w:val="20"/>
              </w:rPr>
              <w:t>FA</w:t>
            </w:r>
            <w:r w:rsidR="00641FF6" w:rsidRPr="00546BAF">
              <w:rPr>
                <w:rFonts w:ascii="Arial" w:hAnsi="Arial" w:cs="Arial"/>
                <w:sz w:val="20"/>
                <w:szCs w:val="20"/>
              </w:rPr>
              <w:t>1</w:t>
            </w:r>
          </w:p>
        </w:tc>
        <w:tc>
          <w:tcPr>
            <w:tcW w:w="1708" w:type="dxa"/>
          </w:tcPr>
          <w:p w14:paraId="3FDB3EBB" w14:textId="77777777" w:rsidR="00641FF6" w:rsidRPr="00546BAF" w:rsidRDefault="00641FF6" w:rsidP="00270965">
            <w:pPr>
              <w:rPr>
                <w:rFonts w:ascii="Arial" w:hAnsi="Arial" w:cs="Arial"/>
                <w:sz w:val="20"/>
                <w:szCs w:val="20"/>
              </w:rPr>
            </w:pPr>
            <w:r w:rsidRPr="00546BAF">
              <w:rPr>
                <w:rFonts w:ascii="Arial" w:hAnsi="Arial" w:cs="Arial"/>
                <w:sz w:val="20"/>
                <w:szCs w:val="20"/>
              </w:rPr>
              <w:t>mutagen</w:t>
            </w:r>
          </w:p>
        </w:tc>
        <w:tc>
          <w:tcPr>
            <w:tcW w:w="1297" w:type="dxa"/>
          </w:tcPr>
          <w:p w14:paraId="59026EC3" w14:textId="77777777"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14:paraId="4D601F15" w14:textId="77777777"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14:paraId="7B954636" w14:textId="77777777" w:rsidR="00641FF6" w:rsidRPr="00546BAF" w:rsidRDefault="00641FF6" w:rsidP="00270965">
            <w:pPr>
              <w:rPr>
                <w:rFonts w:ascii="Arial" w:hAnsi="Arial" w:cs="Arial"/>
                <w:sz w:val="20"/>
                <w:szCs w:val="20"/>
              </w:rPr>
            </w:pPr>
            <w:r w:rsidRPr="00546BAF">
              <w:rPr>
                <w:rFonts w:ascii="Arial" w:hAnsi="Arial" w:cs="Arial"/>
                <w:sz w:val="20"/>
                <w:szCs w:val="20"/>
              </w:rPr>
              <w:t>Medium risk</w:t>
            </w:r>
          </w:p>
        </w:tc>
      </w:tr>
      <w:tr w:rsidR="00641FF6" w:rsidRPr="00546BAF" w14:paraId="29C16F68" w14:textId="77777777" w:rsidTr="00A0396A">
        <w:tc>
          <w:tcPr>
            <w:tcW w:w="1502" w:type="dxa"/>
          </w:tcPr>
          <w:p w14:paraId="096103A1" w14:textId="77777777" w:rsidR="00641FF6" w:rsidRPr="00546BAF" w:rsidRDefault="00F8728E" w:rsidP="00270965">
            <w:pPr>
              <w:rPr>
                <w:rFonts w:ascii="Arial" w:hAnsi="Arial" w:cs="Arial"/>
                <w:sz w:val="20"/>
                <w:szCs w:val="20"/>
              </w:rPr>
            </w:pPr>
            <w:r w:rsidRPr="00546BAF">
              <w:rPr>
                <w:rFonts w:ascii="Arial" w:hAnsi="Arial" w:cs="Arial"/>
                <w:sz w:val="20"/>
                <w:szCs w:val="20"/>
              </w:rPr>
              <w:t>FA</w:t>
            </w:r>
            <w:r w:rsidR="00641FF6" w:rsidRPr="00546BAF">
              <w:rPr>
                <w:rFonts w:ascii="Arial" w:hAnsi="Arial" w:cs="Arial"/>
                <w:sz w:val="20"/>
                <w:szCs w:val="20"/>
              </w:rPr>
              <w:t>2</w:t>
            </w:r>
          </w:p>
        </w:tc>
        <w:tc>
          <w:tcPr>
            <w:tcW w:w="1708" w:type="dxa"/>
          </w:tcPr>
          <w:p w14:paraId="69D4F214" w14:textId="77777777" w:rsidR="00641FF6" w:rsidRPr="00546BAF" w:rsidRDefault="00641FF6" w:rsidP="00270965">
            <w:pPr>
              <w:rPr>
                <w:rFonts w:ascii="Arial" w:hAnsi="Arial" w:cs="Arial"/>
                <w:sz w:val="20"/>
                <w:szCs w:val="20"/>
              </w:rPr>
            </w:pPr>
            <w:r w:rsidRPr="00546BAF">
              <w:rPr>
                <w:rFonts w:ascii="Arial" w:hAnsi="Arial" w:cs="Arial"/>
                <w:sz w:val="20"/>
                <w:szCs w:val="20"/>
              </w:rPr>
              <w:t>mutagen</w:t>
            </w:r>
          </w:p>
        </w:tc>
        <w:tc>
          <w:tcPr>
            <w:tcW w:w="1297" w:type="dxa"/>
          </w:tcPr>
          <w:p w14:paraId="2957EB1E" w14:textId="77777777"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14:paraId="2CE3AF6C" w14:textId="77777777"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14:paraId="35CD8DB0" w14:textId="77777777" w:rsidR="00641FF6" w:rsidRPr="00546BAF" w:rsidRDefault="00641FF6" w:rsidP="00270965">
            <w:pPr>
              <w:rPr>
                <w:rFonts w:ascii="Arial" w:hAnsi="Arial" w:cs="Arial"/>
                <w:sz w:val="20"/>
                <w:szCs w:val="20"/>
              </w:rPr>
            </w:pPr>
            <w:r w:rsidRPr="00546BAF">
              <w:rPr>
                <w:rFonts w:ascii="Arial" w:hAnsi="Arial" w:cs="Arial"/>
                <w:sz w:val="20"/>
                <w:szCs w:val="20"/>
              </w:rPr>
              <w:t>Medium risk</w:t>
            </w:r>
          </w:p>
        </w:tc>
      </w:tr>
      <w:tr w:rsidR="00641FF6" w:rsidRPr="00546BAF" w14:paraId="7FB626BA" w14:textId="77777777" w:rsidTr="00A0396A">
        <w:tc>
          <w:tcPr>
            <w:tcW w:w="1502" w:type="dxa"/>
          </w:tcPr>
          <w:p w14:paraId="7CDBB3C8" w14:textId="77777777" w:rsidR="00641FF6" w:rsidRPr="00546BAF" w:rsidRDefault="00F8728E" w:rsidP="00270965">
            <w:pPr>
              <w:rPr>
                <w:rFonts w:ascii="Arial" w:hAnsi="Arial" w:cs="Arial"/>
                <w:sz w:val="20"/>
                <w:szCs w:val="20"/>
              </w:rPr>
            </w:pPr>
            <w:r w:rsidRPr="00546BAF">
              <w:rPr>
                <w:rFonts w:ascii="Arial" w:hAnsi="Arial" w:cs="Arial"/>
                <w:sz w:val="20"/>
                <w:szCs w:val="20"/>
              </w:rPr>
              <w:t>FA</w:t>
            </w:r>
            <w:r w:rsidR="00641FF6" w:rsidRPr="00546BAF">
              <w:rPr>
                <w:rFonts w:ascii="Arial" w:hAnsi="Arial" w:cs="Arial"/>
                <w:sz w:val="20"/>
                <w:szCs w:val="20"/>
              </w:rPr>
              <w:t>3</w:t>
            </w:r>
          </w:p>
        </w:tc>
        <w:tc>
          <w:tcPr>
            <w:tcW w:w="1708" w:type="dxa"/>
          </w:tcPr>
          <w:p w14:paraId="138CF90B" w14:textId="77777777" w:rsidR="00641FF6" w:rsidRPr="00546BAF" w:rsidRDefault="00641FF6" w:rsidP="00270965">
            <w:pPr>
              <w:rPr>
                <w:rFonts w:ascii="Arial" w:hAnsi="Arial" w:cs="Arial"/>
                <w:sz w:val="20"/>
                <w:szCs w:val="20"/>
              </w:rPr>
            </w:pPr>
            <w:r w:rsidRPr="00546BAF">
              <w:rPr>
                <w:rFonts w:ascii="Arial" w:hAnsi="Arial" w:cs="Arial"/>
                <w:sz w:val="20"/>
                <w:szCs w:val="20"/>
              </w:rPr>
              <w:t>mutagen</w:t>
            </w:r>
          </w:p>
        </w:tc>
        <w:tc>
          <w:tcPr>
            <w:tcW w:w="1297" w:type="dxa"/>
          </w:tcPr>
          <w:p w14:paraId="223AD85D" w14:textId="77777777"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14:paraId="468B388F" w14:textId="77777777"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14:paraId="66059871" w14:textId="77777777" w:rsidR="00641FF6" w:rsidRPr="00546BAF" w:rsidRDefault="00641FF6" w:rsidP="00270965">
            <w:pPr>
              <w:rPr>
                <w:rFonts w:ascii="Arial" w:hAnsi="Arial" w:cs="Arial"/>
                <w:sz w:val="20"/>
                <w:szCs w:val="20"/>
              </w:rPr>
            </w:pPr>
            <w:r w:rsidRPr="00546BAF">
              <w:rPr>
                <w:rFonts w:ascii="Arial" w:hAnsi="Arial" w:cs="Arial"/>
                <w:sz w:val="20"/>
                <w:szCs w:val="20"/>
              </w:rPr>
              <w:t>Medium risk</w:t>
            </w:r>
          </w:p>
        </w:tc>
      </w:tr>
      <w:tr w:rsidR="00641FF6" w:rsidRPr="00546BAF" w14:paraId="7E5923C0" w14:textId="77777777" w:rsidTr="00A0396A">
        <w:tc>
          <w:tcPr>
            <w:tcW w:w="1502" w:type="dxa"/>
          </w:tcPr>
          <w:p w14:paraId="09F89B32" w14:textId="77777777" w:rsidR="00641FF6" w:rsidRPr="00546BAF" w:rsidRDefault="00F8728E" w:rsidP="00270965">
            <w:pPr>
              <w:rPr>
                <w:rFonts w:ascii="Arial" w:hAnsi="Arial" w:cs="Arial"/>
                <w:sz w:val="20"/>
                <w:szCs w:val="20"/>
              </w:rPr>
            </w:pPr>
            <w:r w:rsidRPr="00546BAF">
              <w:rPr>
                <w:rFonts w:ascii="Arial" w:hAnsi="Arial" w:cs="Arial"/>
                <w:sz w:val="20"/>
                <w:szCs w:val="20"/>
              </w:rPr>
              <w:t>FA</w:t>
            </w:r>
            <w:r w:rsidR="00641FF6" w:rsidRPr="00546BAF">
              <w:rPr>
                <w:rFonts w:ascii="Arial" w:hAnsi="Arial" w:cs="Arial"/>
                <w:sz w:val="20"/>
                <w:szCs w:val="20"/>
              </w:rPr>
              <w:t>4</w:t>
            </w:r>
          </w:p>
        </w:tc>
        <w:tc>
          <w:tcPr>
            <w:tcW w:w="1708" w:type="dxa"/>
          </w:tcPr>
          <w:p w14:paraId="216676C0" w14:textId="77777777" w:rsidR="00641FF6" w:rsidRPr="00546BAF" w:rsidRDefault="00641FF6" w:rsidP="00270965">
            <w:pPr>
              <w:rPr>
                <w:rFonts w:ascii="Arial" w:hAnsi="Arial" w:cs="Arial"/>
                <w:sz w:val="20"/>
                <w:szCs w:val="20"/>
              </w:rPr>
            </w:pPr>
            <w:r w:rsidRPr="00546BAF">
              <w:rPr>
                <w:rFonts w:ascii="Arial" w:hAnsi="Arial" w:cs="Arial"/>
                <w:sz w:val="20"/>
                <w:szCs w:val="20"/>
              </w:rPr>
              <w:t>mutagen</w:t>
            </w:r>
          </w:p>
        </w:tc>
        <w:tc>
          <w:tcPr>
            <w:tcW w:w="1297" w:type="dxa"/>
          </w:tcPr>
          <w:p w14:paraId="72E67651" w14:textId="77777777"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14:paraId="0E560813" w14:textId="77777777"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14:paraId="1580841E" w14:textId="77777777" w:rsidR="00641FF6" w:rsidRPr="00546BAF" w:rsidRDefault="00641FF6" w:rsidP="00270965">
            <w:pPr>
              <w:rPr>
                <w:rFonts w:ascii="Arial" w:hAnsi="Arial" w:cs="Arial"/>
                <w:sz w:val="20"/>
                <w:szCs w:val="20"/>
              </w:rPr>
            </w:pPr>
            <w:r w:rsidRPr="00546BAF">
              <w:rPr>
                <w:rFonts w:ascii="Arial" w:hAnsi="Arial" w:cs="Arial"/>
                <w:sz w:val="20"/>
                <w:szCs w:val="20"/>
              </w:rPr>
              <w:t>Medium risk</w:t>
            </w:r>
          </w:p>
        </w:tc>
      </w:tr>
      <w:tr w:rsidR="00641FF6" w:rsidRPr="00546BAF" w14:paraId="14605996" w14:textId="77777777" w:rsidTr="00A0396A">
        <w:tc>
          <w:tcPr>
            <w:tcW w:w="1502" w:type="dxa"/>
          </w:tcPr>
          <w:p w14:paraId="3CBD6713" w14:textId="77777777" w:rsidR="00641FF6" w:rsidRPr="00546BAF" w:rsidRDefault="00F8728E" w:rsidP="00270965">
            <w:pPr>
              <w:rPr>
                <w:rFonts w:ascii="Arial" w:hAnsi="Arial" w:cs="Arial"/>
                <w:sz w:val="20"/>
                <w:szCs w:val="20"/>
              </w:rPr>
            </w:pPr>
            <w:r w:rsidRPr="00546BAF">
              <w:rPr>
                <w:rFonts w:ascii="Arial" w:hAnsi="Arial" w:cs="Arial"/>
                <w:sz w:val="20"/>
                <w:szCs w:val="20"/>
              </w:rPr>
              <w:t>FA</w:t>
            </w:r>
            <w:r w:rsidR="00641FF6" w:rsidRPr="00546BAF">
              <w:rPr>
                <w:rFonts w:ascii="Arial" w:hAnsi="Arial" w:cs="Arial"/>
                <w:sz w:val="20"/>
                <w:szCs w:val="20"/>
              </w:rPr>
              <w:t>5</w:t>
            </w:r>
          </w:p>
        </w:tc>
        <w:tc>
          <w:tcPr>
            <w:tcW w:w="1708" w:type="dxa"/>
          </w:tcPr>
          <w:p w14:paraId="49281426" w14:textId="77777777" w:rsidR="00641FF6" w:rsidRPr="00546BAF" w:rsidRDefault="00641FF6" w:rsidP="00270965">
            <w:pPr>
              <w:rPr>
                <w:rFonts w:ascii="Arial" w:hAnsi="Arial" w:cs="Arial"/>
                <w:sz w:val="20"/>
                <w:szCs w:val="20"/>
              </w:rPr>
            </w:pPr>
            <w:r w:rsidRPr="00546BAF">
              <w:rPr>
                <w:rFonts w:ascii="Arial" w:hAnsi="Arial" w:cs="Arial"/>
                <w:sz w:val="20"/>
                <w:szCs w:val="20"/>
              </w:rPr>
              <w:t>mutagen</w:t>
            </w:r>
          </w:p>
        </w:tc>
        <w:tc>
          <w:tcPr>
            <w:tcW w:w="1297" w:type="dxa"/>
          </w:tcPr>
          <w:p w14:paraId="2199E440" w14:textId="77777777"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14:paraId="27D63B0D" w14:textId="77777777"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14:paraId="60A4265B" w14:textId="77777777" w:rsidR="00641FF6" w:rsidRPr="00546BAF" w:rsidRDefault="00641FF6" w:rsidP="00270965">
            <w:pPr>
              <w:rPr>
                <w:rFonts w:ascii="Arial" w:hAnsi="Arial" w:cs="Arial"/>
                <w:sz w:val="20"/>
                <w:szCs w:val="20"/>
              </w:rPr>
            </w:pPr>
            <w:r w:rsidRPr="00546BAF">
              <w:rPr>
                <w:rFonts w:ascii="Arial" w:hAnsi="Arial" w:cs="Arial"/>
                <w:sz w:val="20"/>
                <w:szCs w:val="20"/>
              </w:rPr>
              <w:t>Medium risk</w:t>
            </w:r>
          </w:p>
        </w:tc>
      </w:tr>
      <w:tr w:rsidR="00641FF6" w:rsidRPr="00546BAF" w14:paraId="53766285" w14:textId="77777777" w:rsidTr="00A0396A">
        <w:tc>
          <w:tcPr>
            <w:tcW w:w="1502" w:type="dxa"/>
          </w:tcPr>
          <w:p w14:paraId="4F5991E1" w14:textId="77777777" w:rsidR="00641FF6" w:rsidRPr="00546BAF" w:rsidRDefault="00F8728E" w:rsidP="00270965">
            <w:pPr>
              <w:rPr>
                <w:rFonts w:ascii="Arial" w:hAnsi="Arial" w:cs="Arial"/>
                <w:sz w:val="20"/>
                <w:szCs w:val="20"/>
              </w:rPr>
            </w:pPr>
            <w:r w:rsidRPr="00546BAF">
              <w:rPr>
                <w:rFonts w:ascii="Arial" w:hAnsi="Arial" w:cs="Arial"/>
                <w:sz w:val="20"/>
                <w:szCs w:val="20"/>
              </w:rPr>
              <w:t>FA</w:t>
            </w:r>
            <w:r w:rsidR="00641FF6" w:rsidRPr="00546BAF">
              <w:rPr>
                <w:rFonts w:ascii="Arial" w:hAnsi="Arial" w:cs="Arial"/>
                <w:sz w:val="20"/>
                <w:szCs w:val="20"/>
              </w:rPr>
              <w:t>6</w:t>
            </w:r>
          </w:p>
        </w:tc>
        <w:tc>
          <w:tcPr>
            <w:tcW w:w="1708" w:type="dxa"/>
          </w:tcPr>
          <w:p w14:paraId="3A3E3C08" w14:textId="77777777" w:rsidR="00641FF6" w:rsidRPr="00546BAF" w:rsidRDefault="00641FF6" w:rsidP="00270965">
            <w:pPr>
              <w:rPr>
                <w:rFonts w:ascii="Arial" w:hAnsi="Arial" w:cs="Arial"/>
                <w:sz w:val="20"/>
                <w:szCs w:val="20"/>
              </w:rPr>
            </w:pPr>
            <w:r w:rsidRPr="00546BAF">
              <w:rPr>
                <w:rFonts w:ascii="Arial" w:hAnsi="Arial" w:cs="Arial"/>
                <w:sz w:val="20"/>
                <w:szCs w:val="20"/>
              </w:rPr>
              <w:t>mutagen</w:t>
            </w:r>
          </w:p>
        </w:tc>
        <w:tc>
          <w:tcPr>
            <w:tcW w:w="1297" w:type="dxa"/>
          </w:tcPr>
          <w:p w14:paraId="0091C9D7" w14:textId="77777777"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14:paraId="73F8E2CB" w14:textId="77777777"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14:paraId="2E216D99" w14:textId="77777777" w:rsidR="00641FF6" w:rsidRPr="00546BAF" w:rsidRDefault="00641FF6" w:rsidP="00270965">
            <w:pPr>
              <w:rPr>
                <w:rFonts w:ascii="Arial" w:hAnsi="Arial" w:cs="Arial"/>
                <w:sz w:val="20"/>
                <w:szCs w:val="20"/>
              </w:rPr>
            </w:pPr>
            <w:r w:rsidRPr="00546BAF">
              <w:rPr>
                <w:rFonts w:ascii="Arial" w:hAnsi="Arial" w:cs="Arial"/>
                <w:sz w:val="20"/>
                <w:szCs w:val="20"/>
              </w:rPr>
              <w:t>Medium risk</w:t>
            </w:r>
          </w:p>
        </w:tc>
      </w:tr>
      <w:tr w:rsidR="00641FF6" w:rsidRPr="00546BAF" w14:paraId="22678753" w14:textId="77777777" w:rsidTr="00A0396A">
        <w:tc>
          <w:tcPr>
            <w:tcW w:w="1502" w:type="dxa"/>
          </w:tcPr>
          <w:p w14:paraId="7FAE5D48" w14:textId="77777777" w:rsidR="00641FF6" w:rsidRPr="00546BAF" w:rsidRDefault="00F8728E" w:rsidP="00270965">
            <w:pPr>
              <w:rPr>
                <w:rFonts w:ascii="Arial" w:hAnsi="Arial" w:cs="Arial"/>
                <w:sz w:val="20"/>
                <w:szCs w:val="20"/>
              </w:rPr>
            </w:pPr>
            <w:r w:rsidRPr="00546BAF">
              <w:rPr>
                <w:rFonts w:ascii="Arial" w:hAnsi="Arial" w:cs="Arial"/>
                <w:sz w:val="20"/>
                <w:szCs w:val="20"/>
              </w:rPr>
              <w:t>FA</w:t>
            </w:r>
            <w:r w:rsidR="00641FF6" w:rsidRPr="00546BAF">
              <w:rPr>
                <w:rFonts w:ascii="Arial" w:hAnsi="Arial" w:cs="Arial"/>
                <w:sz w:val="20"/>
                <w:szCs w:val="20"/>
              </w:rPr>
              <w:t>7</w:t>
            </w:r>
          </w:p>
        </w:tc>
        <w:tc>
          <w:tcPr>
            <w:tcW w:w="1708" w:type="dxa"/>
          </w:tcPr>
          <w:p w14:paraId="5F3D929C" w14:textId="77777777" w:rsidR="00641FF6" w:rsidRPr="00546BAF" w:rsidRDefault="00641FF6" w:rsidP="00270965">
            <w:pPr>
              <w:rPr>
                <w:rFonts w:ascii="Arial" w:hAnsi="Arial" w:cs="Arial"/>
                <w:sz w:val="20"/>
                <w:szCs w:val="20"/>
              </w:rPr>
            </w:pPr>
            <w:r w:rsidRPr="00546BAF">
              <w:rPr>
                <w:rFonts w:ascii="Arial" w:hAnsi="Arial" w:cs="Arial"/>
                <w:sz w:val="20"/>
                <w:szCs w:val="20"/>
              </w:rPr>
              <w:t>Non mutagen</w:t>
            </w:r>
          </w:p>
        </w:tc>
        <w:tc>
          <w:tcPr>
            <w:tcW w:w="1297" w:type="dxa"/>
          </w:tcPr>
          <w:p w14:paraId="582E4376" w14:textId="77777777"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14:paraId="01DEE914" w14:textId="77777777"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14:paraId="5FA04442" w14:textId="77777777" w:rsidR="00641FF6" w:rsidRPr="00546BAF" w:rsidRDefault="00641FF6" w:rsidP="00270965">
            <w:pPr>
              <w:rPr>
                <w:rFonts w:ascii="Arial" w:hAnsi="Arial" w:cs="Arial"/>
                <w:sz w:val="20"/>
                <w:szCs w:val="20"/>
              </w:rPr>
            </w:pPr>
            <w:r w:rsidRPr="00546BAF">
              <w:rPr>
                <w:rFonts w:ascii="Arial" w:hAnsi="Arial" w:cs="Arial"/>
                <w:sz w:val="20"/>
                <w:szCs w:val="20"/>
              </w:rPr>
              <w:t>Medium risk</w:t>
            </w:r>
          </w:p>
        </w:tc>
      </w:tr>
      <w:tr w:rsidR="00641FF6" w:rsidRPr="00546BAF" w14:paraId="142DEE8B" w14:textId="77777777" w:rsidTr="00A0396A">
        <w:tc>
          <w:tcPr>
            <w:tcW w:w="1502" w:type="dxa"/>
          </w:tcPr>
          <w:p w14:paraId="78BF427B" w14:textId="77777777" w:rsidR="00641FF6" w:rsidRPr="00546BAF" w:rsidRDefault="00F8728E" w:rsidP="00270965">
            <w:pPr>
              <w:rPr>
                <w:rFonts w:ascii="Arial" w:hAnsi="Arial" w:cs="Arial"/>
                <w:sz w:val="20"/>
                <w:szCs w:val="20"/>
              </w:rPr>
            </w:pPr>
            <w:r w:rsidRPr="00546BAF">
              <w:rPr>
                <w:rFonts w:ascii="Arial" w:hAnsi="Arial" w:cs="Arial"/>
                <w:sz w:val="20"/>
                <w:szCs w:val="20"/>
              </w:rPr>
              <w:t>FA</w:t>
            </w:r>
            <w:r w:rsidR="00641FF6" w:rsidRPr="00546BAF">
              <w:rPr>
                <w:rFonts w:ascii="Arial" w:hAnsi="Arial" w:cs="Arial"/>
                <w:sz w:val="20"/>
                <w:szCs w:val="20"/>
              </w:rPr>
              <w:t>8</w:t>
            </w:r>
          </w:p>
        </w:tc>
        <w:tc>
          <w:tcPr>
            <w:tcW w:w="1708" w:type="dxa"/>
          </w:tcPr>
          <w:p w14:paraId="5C6665E3" w14:textId="77777777" w:rsidR="00641FF6" w:rsidRPr="00546BAF" w:rsidRDefault="00641FF6" w:rsidP="00270965">
            <w:pPr>
              <w:rPr>
                <w:rFonts w:ascii="Arial" w:hAnsi="Arial" w:cs="Arial"/>
                <w:sz w:val="20"/>
                <w:szCs w:val="20"/>
              </w:rPr>
            </w:pPr>
            <w:r w:rsidRPr="00546BAF">
              <w:rPr>
                <w:rFonts w:ascii="Arial" w:hAnsi="Arial" w:cs="Arial"/>
                <w:sz w:val="20"/>
                <w:szCs w:val="20"/>
              </w:rPr>
              <w:t>mutagen</w:t>
            </w:r>
          </w:p>
        </w:tc>
        <w:tc>
          <w:tcPr>
            <w:tcW w:w="1297" w:type="dxa"/>
          </w:tcPr>
          <w:p w14:paraId="5F5FA362" w14:textId="77777777"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14:paraId="730BD258" w14:textId="77777777"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14:paraId="279181D1" w14:textId="77777777" w:rsidR="00641FF6" w:rsidRPr="00546BAF" w:rsidRDefault="00641FF6" w:rsidP="00270965">
            <w:pPr>
              <w:rPr>
                <w:rFonts w:ascii="Arial" w:hAnsi="Arial" w:cs="Arial"/>
                <w:sz w:val="20"/>
                <w:szCs w:val="20"/>
              </w:rPr>
            </w:pPr>
            <w:r w:rsidRPr="00546BAF">
              <w:rPr>
                <w:rFonts w:ascii="Arial" w:hAnsi="Arial" w:cs="Arial"/>
                <w:sz w:val="20"/>
                <w:szCs w:val="20"/>
              </w:rPr>
              <w:t>Medium risk</w:t>
            </w:r>
          </w:p>
        </w:tc>
      </w:tr>
      <w:tr w:rsidR="00641FF6" w:rsidRPr="00546BAF" w14:paraId="02E66D55" w14:textId="77777777" w:rsidTr="00A0396A">
        <w:tc>
          <w:tcPr>
            <w:tcW w:w="1502" w:type="dxa"/>
          </w:tcPr>
          <w:p w14:paraId="41250624" w14:textId="77777777" w:rsidR="00641FF6" w:rsidRPr="00546BAF" w:rsidRDefault="00F8728E" w:rsidP="00270965">
            <w:pPr>
              <w:rPr>
                <w:rFonts w:ascii="Arial" w:hAnsi="Arial" w:cs="Arial"/>
                <w:sz w:val="20"/>
                <w:szCs w:val="20"/>
              </w:rPr>
            </w:pPr>
            <w:r w:rsidRPr="00546BAF">
              <w:rPr>
                <w:rFonts w:ascii="Arial" w:hAnsi="Arial" w:cs="Arial"/>
                <w:sz w:val="20"/>
                <w:szCs w:val="20"/>
              </w:rPr>
              <w:t>FA</w:t>
            </w:r>
            <w:r w:rsidR="00641FF6" w:rsidRPr="00546BAF">
              <w:rPr>
                <w:rFonts w:ascii="Arial" w:hAnsi="Arial" w:cs="Arial"/>
                <w:sz w:val="20"/>
                <w:szCs w:val="20"/>
              </w:rPr>
              <w:t>9</w:t>
            </w:r>
          </w:p>
        </w:tc>
        <w:tc>
          <w:tcPr>
            <w:tcW w:w="1708" w:type="dxa"/>
          </w:tcPr>
          <w:p w14:paraId="44695D08" w14:textId="77777777" w:rsidR="00641FF6" w:rsidRPr="00546BAF" w:rsidRDefault="00641FF6" w:rsidP="00270965">
            <w:pPr>
              <w:rPr>
                <w:rFonts w:ascii="Arial" w:hAnsi="Arial" w:cs="Arial"/>
                <w:sz w:val="20"/>
                <w:szCs w:val="20"/>
              </w:rPr>
            </w:pPr>
            <w:r w:rsidRPr="00546BAF">
              <w:rPr>
                <w:rFonts w:ascii="Arial" w:hAnsi="Arial" w:cs="Arial"/>
                <w:sz w:val="20"/>
                <w:szCs w:val="20"/>
              </w:rPr>
              <w:t>mutagen</w:t>
            </w:r>
          </w:p>
        </w:tc>
        <w:tc>
          <w:tcPr>
            <w:tcW w:w="1297" w:type="dxa"/>
          </w:tcPr>
          <w:p w14:paraId="1922E076" w14:textId="77777777"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14:paraId="6A09DF90" w14:textId="77777777"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14:paraId="17D28935" w14:textId="77777777" w:rsidR="00641FF6" w:rsidRPr="00546BAF" w:rsidRDefault="00641FF6" w:rsidP="00270965">
            <w:pPr>
              <w:rPr>
                <w:rFonts w:ascii="Arial" w:hAnsi="Arial" w:cs="Arial"/>
                <w:sz w:val="20"/>
                <w:szCs w:val="20"/>
              </w:rPr>
            </w:pPr>
            <w:r w:rsidRPr="00546BAF">
              <w:rPr>
                <w:rFonts w:ascii="Arial" w:hAnsi="Arial" w:cs="Arial"/>
                <w:sz w:val="20"/>
                <w:szCs w:val="20"/>
              </w:rPr>
              <w:t>Medium risk</w:t>
            </w:r>
          </w:p>
        </w:tc>
      </w:tr>
      <w:tr w:rsidR="00641FF6" w:rsidRPr="00546BAF" w14:paraId="1313CAEF" w14:textId="77777777" w:rsidTr="00A0396A">
        <w:tc>
          <w:tcPr>
            <w:tcW w:w="1502" w:type="dxa"/>
          </w:tcPr>
          <w:p w14:paraId="5CFCF665" w14:textId="77777777" w:rsidR="00641FF6" w:rsidRPr="00546BAF" w:rsidRDefault="00F8728E" w:rsidP="00270965">
            <w:pPr>
              <w:rPr>
                <w:rFonts w:ascii="Arial" w:hAnsi="Arial" w:cs="Arial"/>
                <w:sz w:val="20"/>
                <w:szCs w:val="20"/>
              </w:rPr>
            </w:pPr>
            <w:r w:rsidRPr="00546BAF">
              <w:rPr>
                <w:rFonts w:ascii="Arial" w:hAnsi="Arial" w:cs="Arial"/>
                <w:sz w:val="20"/>
                <w:szCs w:val="20"/>
              </w:rPr>
              <w:t>FA1</w:t>
            </w:r>
            <w:r w:rsidR="00641FF6" w:rsidRPr="00546BAF">
              <w:rPr>
                <w:rFonts w:ascii="Arial" w:hAnsi="Arial" w:cs="Arial"/>
                <w:sz w:val="20"/>
                <w:szCs w:val="20"/>
              </w:rPr>
              <w:t>0</w:t>
            </w:r>
          </w:p>
        </w:tc>
        <w:tc>
          <w:tcPr>
            <w:tcW w:w="1708" w:type="dxa"/>
          </w:tcPr>
          <w:p w14:paraId="6F857A73" w14:textId="77777777" w:rsidR="00641FF6" w:rsidRPr="00546BAF" w:rsidRDefault="00641FF6" w:rsidP="00270965">
            <w:pPr>
              <w:rPr>
                <w:rFonts w:ascii="Arial" w:hAnsi="Arial" w:cs="Arial"/>
                <w:sz w:val="20"/>
                <w:szCs w:val="20"/>
              </w:rPr>
            </w:pPr>
            <w:r w:rsidRPr="00546BAF">
              <w:rPr>
                <w:rFonts w:ascii="Arial" w:hAnsi="Arial" w:cs="Arial"/>
                <w:sz w:val="20"/>
                <w:szCs w:val="20"/>
              </w:rPr>
              <w:t>mutagen</w:t>
            </w:r>
          </w:p>
        </w:tc>
        <w:tc>
          <w:tcPr>
            <w:tcW w:w="1297" w:type="dxa"/>
          </w:tcPr>
          <w:p w14:paraId="6EB784FC" w14:textId="77777777" w:rsidR="00641FF6" w:rsidRPr="00546BAF" w:rsidRDefault="00641FF6" w:rsidP="00270965">
            <w:pPr>
              <w:rPr>
                <w:rFonts w:ascii="Arial" w:hAnsi="Arial" w:cs="Arial"/>
                <w:color w:val="FF0000"/>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14:paraId="1175B774" w14:textId="77777777"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14:paraId="6C0B9303" w14:textId="77777777" w:rsidR="00641FF6" w:rsidRPr="00546BAF" w:rsidRDefault="00641FF6" w:rsidP="00270965">
            <w:pPr>
              <w:rPr>
                <w:rFonts w:ascii="Arial" w:hAnsi="Arial" w:cs="Arial"/>
                <w:sz w:val="20"/>
                <w:szCs w:val="20"/>
              </w:rPr>
            </w:pPr>
            <w:r w:rsidRPr="00546BAF">
              <w:rPr>
                <w:rFonts w:ascii="Arial" w:hAnsi="Arial" w:cs="Arial"/>
                <w:sz w:val="20"/>
                <w:szCs w:val="20"/>
              </w:rPr>
              <w:t>Medium risk</w:t>
            </w:r>
          </w:p>
        </w:tc>
      </w:tr>
      <w:tr w:rsidR="00641FF6" w:rsidRPr="00546BAF" w14:paraId="4D24FA04" w14:textId="77777777" w:rsidTr="00A0396A">
        <w:tc>
          <w:tcPr>
            <w:tcW w:w="1502" w:type="dxa"/>
          </w:tcPr>
          <w:p w14:paraId="795CFB94" w14:textId="77777777" w:rsidR="00641FF6" w:rsidRPr="00546BAF" w:rsidRDefault="00F8728E" w:rsidP="00270965">
            <w:pPr>
              <w:rPr>
                <w:rFonts w:ascii="Arial" w:hAnsi="Arial" w:cs="Arial"/>
                <w:color w:val="000000" w:themeColor="text1"/>
                <w:sz w:val="20"/>
                <w:szCs w:val="20"/>
              </w:rPr>
            </w:pPr>
            <w:r w:rsidRPr="00546BAF">
              <w:rPr>
                <w:rFonts w:ascii="Arial" w:hAnsi="Arial" w:cs="Arial"/>
                <w:color w:val="000000" w:themeColor="text1"/>
                <w:sz w:val="20"/>
                <w:szCs w:val="20"/>
              </w:rPr>
              <w:t>FA1</w:t>
            </w:r>
            <w:r w:rsidR="00641FF6" w:rsidRPr="00546BAF">
              <w:rPr>
                <w:rFonts w:ascii="Arial" w:hAnsi="Arial" w:cs="Arial"/>
                <w:color w:val="000000" w:themeColor="text1"/>
                <w:sz w:val="20"/>
                <w:szCs w:val="20"/>
              </w:rPr>
              <w:t>1</w:t>
            </w:r>
          </w:p>
        </w:tc>
        <w:tc>
          <w:tcPr>
            <w:tcW w:w="1708" w:type="dxa"/>
          </w:tcPr>
          <w:p w14:paraId="7F2C44EA" w14:textId="77777777" w:rsidR="00641FF6" w:rsidRPr="00546BAF" w:rsidRDefault="00641FF6" w:rsidP="00270965">
            <w:pPr>
              <w:rPr>
                <w:rFonts w:ascii="Arial" w:hAnsi="Arial" w:cs="Arial"/>
                <w:sz w:val="20"/>
                <w:szCs w:val="20"/>
              </w:rPr>
            </w:pPr>
            <w:r w:rsidRPr="00546BAF">
              <w:rPr>
                <w:rFonts w:ascii="Arial" w:hAnsi="Arial" w:cs="Arial"/>
                <w:sz w:val="20"/>
                <w:szCs w:val="20"/>
              </w:rPr>
              <w:t>mutagen</w:t>
            </w:r>
          </w:p>
        </w:tc>
        <w:tc>
          <w:tcPr>
            <w:tcW w:w="1297" w:type="dxa"/>
          </w:tcPr>
          <w:p w14:paraId="605CB16D" w14:textId="77777777"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14:paraId="5F0F9C81" w14:textId="77777777"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14:paraId="74F3EF01" w14:textId="77777777" w:rsidR="00641FF6" w:rsidRPr="00546BAF" w:rsidRDefault="00641FF6" w:rsidP="00270965">
            <w:pPr>
              <w:rPr>
                <w:rFonts w:ascii="Arial" w:hAnsi="Arial" w:cs="Arial"/>
                <w:sz w:val="20"/>
                <w:szCs w:val="20"/>
              </w:rPr>
            </w:pPr>
            <w:r w:rsidRPr="00546BAF">
              <w:rPr>
                <w:rFonts w:ascii="Arial" w:hAnsi="Arial" w:cs="Arial"/>
                <w:sz w:val="20"/>
                <w:szCs w:val="20"/>
              </w:rPr>
              <w:t>Medium risk</w:t>
            </w:r>
          </w:p>
        </w:tc>
      </w:tr>
      <w:tr w:rsidR="00641FF6" w:rsidRPr="00546BAF" w14:paraId="1E6CFB3E" w14:textId="77777777" w:rsidTr="00A0396A">
        <w:tc>
          <w:tcPr>
            <w:tcW w:w="1502" w:type="dxa"/>
          </w:tcPr>
          <w:p w14:paraId="1E9840A6" w14:textId="77777777" w:rsidR="00641FF6" w:rsidRPr="00546BAF" w:rsidRDefault="00F8728E" w:rsidP="00270965">
            <w:pPr>
              <w:rPr>
                <w:rFonts w:ascii="Arial" w:hAnsi="Arial" w:cs="Arial"/>
                <w:sz w:val="20"/>
                <w:szCs w:val="20"/>
              </w:rPr>
            </w:pPr>
            <w:r w:rsidRPr="00546BAF">
              <w:rPr>
                <w:rFonts w:ascii="Arial" w:hAnsi="Arial" w:cs="Arial"/>
                <w:sz w:val="20"/>
                <w:szCs w:val="20"/>
              </w:rPr>
              <w:t>FA1</w:t>
            </w:r>
            <w:r w:rsidR="00641FF6" w:rsidRPr="00546BAF">
              <w:rPr>
                <w:rFonts w:ascii="Arial" w:hAnsi="Arial" w:cs="Arial"/>
                <w:sz w:val="20"/>
                <w:szCs w:val="20"/>
              </w:rPr>
              <w:t>2</w:t>
            </w:r>
          </w:p>
        </w:tc>
        <w:tc>
          <w:tcPr>
            <w:tcW w:w="1708" w:type="dxa"/>
          </w:tcPr>
          <w:p w14:paraId="51F4E7EF" w14:textId="77777777" w:rsidR="00641FF6" w:rsidRPr="00546BAF" w:rsidRDefault="00641FF6" w:rsidP="00270965">
            <w:pPr>
              <w:rPr>
                <w:rFonts w:ascii="Arial" w:hAnsi="Arial" w:cs="Arial"/>
                <w:sz w:val="20"/>
                <w:szCs w:val="20"/>
              </w:rPr>
            </w:pPr>
            <w:r w:rsidRPr="00546BAF">
              <w:rPr>
                <w:rFonts w:ascii="Arial" w:hAnsi="Arial" w:cs="Arial"/>
                <w:sz w:val="20"/>
                <w:szCs w:val="20"/>
              </w:rPr>
              <w:t>mutagen</w:t>
            </w:r>
          </w:p>
        </w:tc>
        <w:tc>
          <w:tcPr>
            <w:tcW w:w="1297" w:type="dxa"/>
          </w:tcPr>
          <w:p w14:paraId="3B72AE8A" w14:textId="77777777"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14:paraId="399EC17F" w14:textId="77777777"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14:paraId="1A71E50E" w14:textId="77777777" w:rsidR="00641FF6" w:rsidRPr="00546BAF" w:rsidRDefault="00641FF6" w:rsidP="00270965">
            <w:pPr>
              <w:rPr>
                <w:rFonts w:ascii="Arial" w:hAnsi="Arial" w:cs="Arial"/>
                <w:sz w:val="20"/>
                <w:szCs w:val="20"/>
              </w:rPr>
            </w:pPr>
            <w:r w:rsidRPr="00546BAF">
              <w:rPr>
                <w:rFonts w:ascii="Arial" w:hAnsi="Arial" w:cs="Arial"/>
                <w:sz w:val="20"/>
                <w:szCs w:val="20"/>
              </w:rPr>
              <w:t>Medium risk</w:t>
            </w:r>
          </w:p>
        </w:tc>
      </w:tr>
      <w:tr w:rsidR="00641FF6" w:rsidRPr="00546BAF" w14:paraId="46C98698" w14:textId="77777777" w:rsidTr="00A0396A">
        <w:tc>
          <w:tcPr>
            <w:tcW w:w="1502" w:type="dxa"/>
          </w:tcPr>
          <w:p w14:paraId="55EF32FE" w14:textId="77777777" w:rsidR="00641FF6" w:rsidRPr="00546BAF" w:rsidRDefault="00F8728E" w:rsidP="00270965">
            <w:pPr>
              <w:rPr>
                <w:rFonts w:ascii="Arial" w:hAnsi="Arial" w:cs="Arial"/>
                <w:sz w:val="20"/>
                <w:szCs w:val="20"/>
              </w:rPr>
            </w:pPr>
            <w:r w:rsidRPr="00546BAF">
              <w:rPr>
                <w:rFonts w:ascii="Arial" w:hAnsi="Arial" w:cs="Arial"/>
                <w:sz w:val="20"/>
                <w:szCs w:val="20"/>
              </w:rPr>
              <w:t>FA1</w:t>
            </w:r>
            <w:r w:rsidR="00641FF6" w:rsidRPr="00546BAF">
              <w:rPr>
                <w:rFonts w:ascii="Arial" w:hAnsi="Arial" w:cs="Arial"/>
                <w:sz w:val="20"/>
                <w:szCs w:val="20"/>
              </w:rPr>
              <w:t>3</w:t>
            </w:r>
          </w:p>
        </w:tc>
        <w:tc>
          <w:tcPr>
            <w:tcW w:w="1708" w:type="dxa"/>
          </w:tcPr>
          <w:p w14:paraId="54842053" w14:textId="77777777" w:rsidR="00641FF6" w:rsidRPr="00546BAF" w:rsidRDefault="00641FF6" w:rsidP="00270965">
            <w:pPr>
              <w:rPr>
                <w:rFonts w:ascii="Arial" w:hAnsi="Arial" w:cs="Arial"/>
                <w:sz w:val="20"/>
                <w:szCs w:val="20"/>
              </w:rPr>
            </w:pPr>
            <w:r w:rsidRPr="00546BAF">
              <w:rPr>
                <w:rFonts w:ascii="Arial" w:hAnsi="Arial" w:cs="Arial"/>
                <w:sz w:val="20"/>
                <w:szCs w:val="20"/>
              </w:rPr>
              <w:t>mutagen</w:t>
            </w:r>
          </w:p>
        </w:tc>
        <w:tc>
          <w:tcPr>
            <w:tcW w:w="1297" w:type="dxa"/>
          </w:tcPr>
          <w:p w14:paraId="6BD8F920" w14:textId="77777777"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14:paraId="7DDA2CD1" w14:textId="77777777"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14:paraId="35F65938" w14:textId="77777777" w:rsidR="00641FF6" w:rsidRPr="00546BAF" w:rsidRDefault="00641FF6" w:rsidP="00270965">
            <w:pPr>
              <w:rPr>
                <w:rFonts w:ascii="Arial" w:hAnsi="Arial" w:cs="Arial"/>
                <w:sz w:val="20"/>
                <w:szCs w:val="20"/>
              </w:rPr>
            </w:pPr>
            <w:r w:rsidRPr="00546BAF">
              <w:rPr>
                <w:rFonts w:ascii="Arial" w:hAnsi="Arial" w:cs="Arial"/>
                <w:sz w:val="20"/>
                <w:szCs w:val="20"/>
              </w:rPr>
              <w:t>Medium risk</w:t>
            </w:r>
          </w:p>
        </w:tc>
      </w:tr>
      <w:tr w:rsidR="00641FF6" w:rsidRPr="00546BAF" w14:paraId="02E57DE4" w14:textId="77777777" w:rsidTr="00A0396A">
        <w:tc>
          <w:tcPr>
            <w:tcW w:w="1502" w:type="dxa"/>
          </w:tcPr>
          <w:p w14:paraId="3C3D5979" w14:textId="77777777" w:rsidR="00641FF6" w:rsidRPr="00546BAF" w:rsidRDefault="00F8728E" w:rsidP="00270965">
            <w:pPr>
              <w:rPr>
                <w:rFonts w:ascii="Arial" w:hAnsi="Arial" w:cs="Arial"/>
                <w:sz w:val="20"/>
                <w:szCs w:val="20"/>
              </w:rPr>
            </w:pPr>
            <w:r w:rsidRPr="00546BAF">
              <w:rPr>
                <w:rFonts w:ascii="Arial" w:hAnsi="Arial" w:cs="Arial"/>
                <w:sz w:val="20"/>
                <w:szCs w:val="20"/>
              </w:rPr>
              <w:t>FA1</w:t>
            </w:r>
            <w:r w:rsidR="00641FF6" w:rsidRPr="00546BAF">
              <w:rPr>
                <w:rFonts w:ascii="Arial" w:hAnsi="Arial" w:cs="Arial"/>
                <w:sz w:val="20"/>
                <w:szCs w:val="20"/>
              </w:rPr>
              <w:t>4</w:t>
            </w:r>
          </w:p>
        </w:tc>
        <w:tc>
          <w:tcPr>
            <w:tcW w:w="1708" w:type="dxa"/>
          </w:tcPr>
          <w:p w14:paraId="189E5226" w14:textId="77777777" w:rsidR="00641FF6" w:rsidRPr="00546BAF" w:rsidRDefault="00641FF6" w:rsidP="00270965">
            <w:pPr>
              <w:rPr>
                <w:rFonts w:ascii="Arial" w:hAnsi="Arial" w:cs="Arial"/>
                <w:sz w:val="20"/>
                <w:szCs w:val="20"/>
              </w:rPr>
            </w:pPr>
            <w:r w:rsidRPr="00546BAF">
              <w:rPr>
                <w:rFonts w:ascii="Arial" w:hAnsi="Arial" w:cs="Arial"/>
                <w:sz w:val="20"/>
                <w:szCs w:val="20"/>
              </w:rPr>
              <w:t>mutagen</w:t>
            </w:r>
          </w:p>
        </w:tc>
        <w:tc>
          <w:tcPr>
            <w:tcW w:w="1297" w:type="dxa"/>
          </w:tcPr>
          <w:p w14:paraId="0CC23175" w14:textId="77777777"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14:paraId="10F00B15" w14:textId="77777777"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14:paraId="63E5D33C" w14:textId="77777777" w:rsidR="00641FF6" w:rsidRPr="00546BAF" w:rsidRDefault="00641FF6" w:rsidP="00270965">
            <w:pPr>
              <w:rPr>
                <w:rFonts w:ascii="Arial" w:hAnsi="Arial" w:cs="Arial"/>
                <w:sz w:val="20"/>
                <w:szCs w:val="20"/>
              </w:rPr>
            </w:pPr>
            <w:r w:rsidRPr="00546BAF">
              <w:rPr>
                <w:rFonts w:ascii="Arial" w:hAnsi="Arial" w:cs="Arial"/>
                <w:sz w:val="20"/>
                <w:szCs w:val="20"/>
              </w:rPr>
              <w:t>Medium risk</w:t>
            </w:r>
          </w:p>
        </w:tc>
      </w:tr>
      <w:tr w:rsidR="00641FF6" w:rsidRPr="00546BAF" w14:paraId="3F8482DF" w14:textId="77777777" w:rsidTr="00A0396A">
        <w:tc>
          <w:tcPr>
            <w:tcW w:w="1502" w:type="dxa"/>
          </w:tcPr>
          <w:p w14:paraId="391B462E" w14:textId="77777777" w:rsidR="00641FF6" w:rsidRPr="00546BAF" w:rsidRDefault="00F8728E" w:rsidP="00270965">
            <w:pPr>
              <w:rPr>
                <w:rFonts w:ascii="Arial" w:hAnsi="Arial" w:cs="Arial"/>
                <w:sz w:val="20"/>
                <w:szCs w:val="20"/>
              </w:rPr>
            </w:pPr>
            <w:r w:rsidRPr="00546BAF">
              <w:rPr>
                <w:rFonts w:ascii="Arial" w:hAnsi="Arial" w:cs="Arial"/>
                <w:sz w:val="20"/>
                <w:szCs w:val="20"/>
              </w:rPr>
              <w:t>FA1</w:t>
            </w:r>
            <w:r w:rsidR="00641FF6" w:rsidRPr="00546BAF">
              <w:rPr>
                <w:rFonts w:ascii="Arial" w:hAnsi="Arial" w:cs="Arial"/>
                <w:sz w:val="20"/>
                <w:szCs w:val="20"/>
              </w:rPr>
              <w:t>5</w:t>
            </w:r>
          </w:p>
        </w:tc>
        <w:tc>
          <w:tcPr>
            <w:tcW w:w="1708" w:type="dxa"/>
          </w:tcPr>
          <w:p w14:paraId="66602EF3" w14:textId="77777777" w:rsidR="00641FF6" w:rsidRPr="00546BAF" w:rsidRDefault="00641FF6" w:rsidP="00270965">
            <w:pPr>
              <w:rPr>
                <w:rFonts w:ascii="Arial" w:hAnsi="Arial" w:cs="Arial"/>
                <w:sz w:val="20"/>
                <w:szCs w:val="20"/>
              </w:rPr>
            </w:pPr>
            <w:r w:rsidRPr="00546BAF">
              <w:rPr>
                <w:rFonts w:ascii="Arial" w:hAnsi="Arial" w:cs="Arial"/>
                <w:sz w:val="20"/>
                <w:szCs w:val="20"/>
              </w:rPr>
              <w:t>mutagen</w:t>
            </w:r>
          </w:p>
        </w:tc>
        <w:tc>
          <w:tcPr>
            <w:tcW w:w="1297" w:type="dxa"/>
          </w:tcPr>
          <w:p w14:paraId="12F601C3" w14:textId="77777777"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14:paraId="02AE5562" w14:textId="77777777"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14:paraId="750E4546" w14:textId="77777777" w:rsidR="00641FF6" w:rsidRPr="00546BAF" w:rsidRDefault="00641FF6" w:rsidP="00270965">
            <w:pPr>
              <w:rPr>
                <w:rFonts w:ascii="Arial" w:hAnsi="Arial" w:cs="Arial"/>
                <w:sz w:val="20"/>
                <w:szCs w:val="20"/>
              </w:rPr>
            </w:pPr>
            <w:r w:rsidRPr="00546BAF">
              <w:rPr>
                <w:rFonts w:ascii="Arial" w:hAnsi="Arial" w:cs="Arial"/>
                <w:sz w:val="20"/>
                <w:szCs w:val="20"/>
              </w:rPr>
              <w:t>Medium risk</w:t>
            </w:r>
          </w:p>
        </w:tc>
      </w:tr>
    </w:tbl>
    <w:p w14:paraId="599D79E7" w14:textId="77777777" w:rsidR="00002A8D" w:rsidRPr="00546BAF" w:rsidRDefault="00E81BCD" w:rsidP="00002A8D">
      <w:pPr>
        <w:jc w:val="both"/>
        <w:rPr>
          <w:rStyle w:val="Hyperlink"/>
          <w:rFonts w:ascii="Arial" w:hAnsi="Arial" w:cs="Arial"/>
          <w:color w:val="auto"/>
          <w:sz w:val="20"/>
          <w:szCs w:val="20"/>
          <w:u w:val="none"/>
        </w:rPr>
      </w:pPr>
      <w:r w:rsidRPr="00546BAF">
        <w:rPr>
          <w:rFonts w:ascii="Arial" w:hAnsi="Arial" w:cs="Arial"/>
          <w:sz w:val="20"/>
          <w:szCs w:val="20"/>
        </w:rPr>
        <w:fldChar w:fldCharType="begin"/>
      </w:r>
      <w:r w:rsidR="00002A8D" w:rsidRPr="00546BAF">
        <w:rPr>
          <w:rFonts w:ascii="Arial" w:hAnsi="Arial" w:cs="Arial"/>
          <w:sz w:val="20"/>
          <w:szCs w:val="20"/>
        </w:rPr>
        <w:instrText>HYPERLINK "https://www.researchgate.net/deref/https%3A%2F%2Forcid.org%2F0000-0001-9199-4861"</w:instrText>
      </w:r>
      <w:r w:rsidRPr="00546BAF">
        <w:rPr>
          <w:rFonts w:ascii="Arial" w:hAnsi="Arial" w:cs="Arial"/>
          <w:sz w:val="20"/>
          <w:szCs w:val="20"/>
        </w:rPr>
        <w:fldChar w:fldCharType="separate"/>
      </w:r>
    </w:p>
    <w:p w14:paraId="095A8B68" w14:textId="77777777" w:rsidR="00002A8D" w:rsidRPr="00546BAF" w:rsidRDefault="00E81BCD" w:rsidP="00002A8D">
      <w:pPr>
        <w:jc w:val="both"/>
        <w:rPr>
          <w:rStyle w:val="Hyperlink"/>
          <w:rFonts w:ascii="Arial" w:hAnsi="Arial" w:cs="Arial"/>
          <w:sz w:val="20"/>
          <w:szCs w:val="20"/>
        </w:rPr>
      </w:pPr>
      <w:r w:rsidRPr="00546BAF">
        <w:rPr>
          <w:rFonts w:ascii="Arial" w:hAnsi="Arial" w:cs="Arial"/>
          <w:sz w:val="20"/>
          <w:szCs w:val="20"/>
        </w:rPr>
        <w:fldChar w:fldCharType="end"/>
      </w:r>
      <w:r w:rsidRPr="00546BAF">
        <w:rPr>
          <w:rFonts w:ascii="Arial" w:hAnsi="Arial" w:cs="Arial"/>
          <w:sz w:val="20"/>
          <w:szCs w:val="20"/>
        </w:rPr>
        <w:fldChar w:fldCharType="begin"/>
      </w:r>
      <w:r w:rsidR="00002A8D" w:rsidRPr="00546BAF">
        <w:rPr>
          <w:rFonts w:ascii="Arial" w:hAnsi="Arial" w:cs="Arial"/>
          <w:sz w:val="20"/>
          <w:szCs w:val="20"/>
        </w:rPr>
        <w:instrText>HYPERLINK "https://www.researchgate.net/deref/https%3A%2F%2Forcid.org%2F0000-0002-0674-724X"</w:instrText>
      </w:r>
      <w:r w:rsidRPr="00546BAF">
        <w:rPr>
          <w:rFonts w:ascii="Arial" w:hAnsi="Arial" w:cs="Arial"/>
          <w:sz w:val="20"/>
          <w:szCs w:val="20"/>
        </w:rPr>
        <w:fldChar w:fldCharType="separate"/>
      </w:r>
    </w:p>
    <w:p w14:paraId="71A2CB40" w14:textId="77777777" w:rsidR="00002A8D" w:rsidRPr="00546BAF" w:rsidRDefault="00E81BCD" w:rsidP="00002A8D">
      <w:pPr>
        <w:jc w:val="both"/>
        <w:rPr>
          <w:rStyle w:val="Hyperlink"/>
          <w:rFonts w:ascii="Arial" w:hAnsi="Arial" w:cs="Arial"/>
          <w:sz w:val="20"/>
          <w:szCs w:val="20"/>
        </w:rPr>
      </w:pPr>
      <w:r w:rsidRPr="00546BAF">
        <w:rPr>
          <w:rFonts w:ascii="Arial" w:hAnsi="Arial" w:cs="Arial"/>
          <w:sz w:val="20"/>
          <w:szCs w:val="20"/>
        </w:rPr>
        <w:fldChar w:fldCharType="end"/>
      </w:r>
      <w:r w:rsidRPr="00546BAF">
        <w:rPr>
          <w:rFonts w:ascii="Arial" w:hAnsi="Arial" w:cs="Arial"/>
          <w:sz w:val="20"/>
          <w:szCs w:val="20"/>
        </w:rPr>
        <w:fldChar w:fldCharType="begin"/>
      </w:r>
      <w:r w:rsidR="00002A8D" w:rsidRPr="00546BAF">
        <w:rPr>
          <w:rFonts w:ascii="Arial" w:hAnsi="Arial" w:cs="Arial"/>
          <w:sz w:val="20"/>
          <w:szCs w:val="20"/>
        </w:rPr>
        <w:instrText>HYPERLINK "https://www.researchgate.net/deref/https%3A%2F%2Forcid.org%2F0000-0003-0057-3493"</w:instrText>
      </w:r>
      <w:r w:rsidRPr="00546BAF">
        <w:rPr>
          <w:rFonts w:ascii="Arial" w:hAnsi="Arial" w:cs="Arial"/>
          <w:sz w:val="20"/>
          <w:szCs w:val="20"/>
        </w:rPr>
        <w:fldChar w:fldCharType="separate"/>
      </w:r>
    </w:p>
    <w:p w14:paraId="0D5C587B" w14:textId="77777777" w:rsidR="00002A8D" w:rsidRPr="00546BAF" w:rsidRDefault="00E81BCD" w:rsidP="00D309D4">
      <w:pPr>
        <w:pStyle w:val="Heading1"/>
        <w:rPr>
          <w:rStyle w:val="Hyperlink"/>
          <w:rFonts w:ascii="Arial" w:hAnsi="Arial" w:cs="Arial"/>
          <w:sz w:val="20"/>
          <w:szCs w:val="20"/>
        </w:rPr>
      </w:pPr>
      <w:r w:rsidRPr="00546BAF">
        <w:rPr>
          <w:rFonts w:ascii="Arial" w:hAnsi="Arial" w:cs="Arial"/>
          <w:sz w:val="20"/>
          <w:szCs w:val="20"/>
        </w:rPr>
        <w:fldChar w:fldCharType="end"/>
      </w:r>
      <w:r w:rsidRPr="00546BAF">
        <w:rPr>
          <w:rFonts w:ascii="Arial" w:hAnsi="Arial" w:cs="Arial"/>
          <w:sz w:val="20"/>
          <w:szCs w:val="20"/>
        </w:rPr>
        <w:fldChar w:fldCharType="begin"/>
      </w:r>
      <w:r w:rsidR="00002A8D" w:rsidRPr="00546BAF">
        <w:rPr>
          <w:rFonts w:ascii="Arial" w:hAnsi="Arial" w:cs="Arial"/>
          <w:sz w:val="20"/>
          <w:szCs w:val="20"/>
        </w:rPr>
        <w:instrText>HYPERLINK "https://www.researchgate.net/deref/mailto%3Aarnesht%40uj.ac.za"</w:instrText>
      </w:r>
      <w:r w:rsidRPr="00546BAF">
        <w:rPr>
          <w:rFonts w:ascii="Arial" w:hAnsi="Arial" w:cs="Arial"/>
          <w:sz w:val="20"/>
          <w:szCs w:val="20"/>
        </w:rPr>
        <w:fldChar w:fldCharType="separate"/>
      </w:r>
    </w:p>
    <w:p w14:paraId="2ABB0E79" w14:textId="77777777" w:rsidR="00002A8D" w:rsidRPr="00546BAF" w:rsidRDefault="00E81BCD" w:rsidP="00002A8D">
      <w:pPr>
        <w:jc w:val="both"/>
        <w:rPr>
          <w:rStyle w:val="Hyperlink"/>
          <w:rFonts w:ascii="Arial" w:hAnsi="Arial" w:cs="Arial"/>
          <w:sz w:val="20"/>
          <w:szCs w:val="20"/>
        </w:rPr>
      </w:pPr>
      <w:r w:rsidRPr="00546BAF">
        <w:rPr>
          <w:rFonts w:ascii="Arial" w:hAnsi="Arial" w:cs="Arial"/>
          <w:sz w:val="20"/>
          <w:szCs w:val="20"/>
        </w:rPr>
        <w:fldChar w:fldCharType="end"/>
      </w:r>
      <w:r w:rsidRPr="00546BAF">
        <w:rPr>
          <w:rFonts w:ascii="Arial" w:hAnsi="Arial" w:cs="Arial"/>
          <w:sz w:val="20"/>
          <w:szCs w:val="20"/>
        </w:rPr>
        <w:fldChar w:fldCharType="begin"/>
      </w:r>
      <w:r w:rsidR="00002A8D" w:rsidRPr="00546BAF">
        <w:rPr>
          <w:rFonts w:ascii="Arial" w:hAnsi="Arial" w:cs="Arial"/>
          <w:sz w:val="20"/>
          <w:szCs w:val="20"/>
        </w:rPr>
        <w:instrText>HYPERLINK "https://www.researchgate.net/deref/https%3A%2F%2Forcid.org%2F0000-0003-0987-708X"</w:instrText>
      </w:r>
      <w:r w:rsidRPr="00546BAF">
        <w:rPr>
          <w:rFonts w:ascii="Arial" w:hAnsi="Arial" w:cs="Arial"/>
          <w:sz w:val="20"/>
          <w:szCs w:val="20"/>
        </w:rPr>
        <w:fldChar w:fldCharType="separate"/>
      </w:r>
    </w:p>
    <w:p w14:paraId="6526FCBD" w14:textId="77777777" w:rsidR="00A0396A" w:rsidRPr="00546BAF" w:rsidRDefault="00E81BCD" w:rsidP="008A5796">
      <w:pPr>
        <w:jc w:val="both"/>
        <w:rPr>
          <w:rFonts w:ascii="Arial" w:hAnsi="Arial" w:cs="Arial"/>
          <w:sz w:val="20"/>
          <w:szCs w:val="20"/>
        </w:rPr>
      </w:pPr>
      <w:r w:rsidRPr="00546BAF">
        <w:rPr>
          <w:rFonts w:ascii="Arial" w:hAnsi="Arial" w:cs="Arial"/>
          <w:sz w:val="20"/>
          <w:szCs w:val="20"/>
        </w:rPr>
        <w:fldChar w:fldCharType="end"/>
      </w:r>
    </w:p>
    <w:p w14:paraId="23BAD520" w14:textId="77777777" w:rsidR="00A0396A" w:rsidRPr="00546BAF" w:rsidRDefault="00A0396A" w:rsidP="008A5796">
      <w:pPr>
        <w:jc w:val="both"/>
        <w:rPr>
          <w:rFonts w:ascii="Arial" w:hAnsi="Arial" w:cs="Arial"/>
          <w:sz w:val="20"/>
          <w:szCs w:val="20"/>
        </w:rPr>
      </w:pPr>
    </w:p>
    <w:p w14:paraId="518EE6C5" w14:textId="77777777" w:rsidR="00A0396A" w:rsidRPr="00546BAF" w:rsidRDefault="00A0396A" w:rsidP="008A5796">
      <w:pPr>
        <w:jc w:val="both"/>
        <w:rPr>
          <w:rFonts w:ascii="Arial" w:hAnsi="Arial" w:cs="Arial"/>
          <w:sz w:val="20"/>
          <w:szCs w:val="20"/>
        </w:rPr>
      </w:pPr>
    </w:p>
    <w:p w14:paraId="7237EB9B" w14:textId="77777777" w:rsidR="00A0396A" w:rsidRPr="00546BAF" w:rsidRDefault="00A0396A" w:rsidP="008A5796">
      <w:pPr>
        <w:jc w:val="both"/>
        <w:rPr>
          <w:rFonts w:ascii="Arial" w:hAnsi="Arial" w:cs="Arial"/>
          <w:sz w:val="20"/>
          <w:szCs w:val="20"/>
        </w:rPr>
      </w:pPr>
    </w:p>
    <w:p w14:paraId="6656838E" w14:textId="77777777" w:rsidR="00A0396A" w:rsidRPr="00546BAF" w:rsidRDefault="00A0396A" w:rsidP="008A5796">
      <w:pPr>
        <w:jc w:val="both"/>
        <w:rPr>
          <w:rFonts w:ascii="Arial" w:hAnsi="Arial" w:cs="Arial"/>
          <w:sz w:val="20"/>
          <w:szCs w:val="20"/>
        </w:rPr>
      </w:pPr>
    </w:p>
    <w:p w14:paraId="2001CE4E" w14:textId="77777777" w:rsidR="00A0396A" w:rsidRPr="00546BAF" w:rsidRDefault="00A0396A" w:rsidP="008A5796">
      <w:pPr>
        <w:jc w:val="both"/>
        <w:rPr>
          <w:rFonts w:ascii="Arial" w:hAnsi="Arial" w:cs="Arial"/>
          <w:sz w:val="20"/>
          <w:szCs w:val="20"/>
        </w:rPr>
      </w:pPr>
    </w:p>
    <w:p w14:paraId="00545983" w14:textId="77777777" w:rsidR="00A0396A" w:rsidRPr="00546BAF" w:rsidRDefault="00A0396A" w:rsidP="008A5796">
      <w:pPr>
        <w:jc w:val="both"/>
        <w:rPr>
          <w:rFonts w:ascii="Arial" w:hAnsi="Arial" w:cs="Arial"/>
          <w:sz w:val="20"/>
          <w:szCs w:val="20"/>
        </w:rPr>
      </w:pPr>
    </w:p>
    <w:p w14:paraId="3EFA9B88" w14:textId="77777777" w:rsidR="00E76926" w:rsidRPr="00546BAF" w:rsidRDefault="00A0396A" w:rsidP="008A5796">
      <w:pPr>
        <w:jc w:val="both"/>
        <w:rPr>
          <w:rFonts w:ascii="Arial" w:hAnsi="Arial" w:cs="Arial"/>
          <w:b/>
          <w:bCs/>
          <w:sz w:val="20"/>
          <w:szCs w:val="20"/>
        </w:rPr>
      </w:pPr>
      <w:bookmarkStart w:id="26" w:name="_Hlk220432764"/>
      <w:r w:rsidRPr="00546BAF">
        <w:rPr>
          <w:rFonts w:ascii="Arial" w:hAnsi="Arial" w:cs="Arial"/>
          <w:b/>
          <w:bCs/>
          <w:sz w:val="20"/>
          <w:szCs w:val="20"/>
        </w:rPr>
        <w:t xml:space="preserve">Result of Drug likeness properties of designed derivatives of </w:t>
      </w:r>
      <w:r w:rsidR="00C219A6" w:rsidRPr="00546BAF">
        <w:rPr>
          <w:rFonts w:ascii="Arial" w:hAnsi="Arial" w:cs="Arial"/>
          <w:b/>
          <w:sz w:val="20"/>
          <w:szCs w:val="20"/>
        </w:rPr>
        <w:t>4-hydroxy-3-methoxycinnamic acid</w:t>
      </w:r>
    </w:p>
    <w:p w14:paraId="2F2D78F1" w14:textId="77777777" w:rsidR="00A41FE7" w:rsidRPr="00546BAF" w:rsidRDefault="00A41FE7" w:rsidP="008A5796">
      <w:pPr>
        <w:jc w:val="both"/>
        <w:rPr>
          <w:rFonts w:ascii="Arial" w:hAnsi="Arial" w:cs="Arial"/>
          <w:b/>
          <w:bCs/>
          <w:sz w:val="20"/>
          <w:szCs w:val="20"/>
        </w:rPr>
      </w:pPr>
      <w:r w:rsidRPr="00546BAF">
        <w:rPr>
          <w:rFonts w:ascii="Arial" w:hAnsi="Arial" w:cs="Arial"/>
          <w:b/>
          <w:bCs/>
          <w:sz w:val="20"/>
          <w:szCs w:val="20"/>
        </w:rPr>
        <w:t>T</w:t>
      </w:r>
      <w:r w:rsidRPr="00546BAF">
        <w:rPr>
          <w:rFonts w:ascii="Arial" w:hAnsi="Arial" w:cs="Arial"/>
          <w:b/>
          <w:sz w:val="20"/>
          <w:szCs w:val="20"/>
        </w:rPr>
        <w:t xml:space="preserve">able </w:t>
      </w:r>
      <w:r w:rsidR="00546BAF" w:rsidRPr="00546BAF">
        <w:rPr>
          <w:rFonts w:ascii="Arial" w:hAnsi="Arial" w:cs="Arial"/>
          <w:b/>
          <w:sz w:val="20"/>
          <w:szCs w:val="20"/>
        </w:rPr>
        <w:t>5</w:t>
      </w:r>
      <w:r w:rsidRPr="00546BAF">
        <w:rPr>
          <w:rFonts w:ascii="Arial" w:hAnsi="Arial" w:cs="Arial"/>
          <w:b/>
          <w:sz w:val="20"/>
          <w:szCs w:val="20"/>
        </w:rPr>
        <w:t>: Result</w:t>
      </w:r>
      <w:r w:rsidR="00270965" w:rsidRPr="00546BAF">
        <w:rPr>
          <w:rFonts w:ascii="Arial" w:hAnsi="Arial" w:cs="Arial"/>
          <w:b/>
          <w:sz w:val="20"/>
          <w:szCs w:val="20"/>
        </w:rPr>
        <w:t xml:space="preserve"> of Molecular Properties using o</w:t>
      </w:r>
      <w:r w:rsidRPr="00546BAF">
        <w:rPr>
          <w:rFonts w:ascii="Arial" w:hAnsi="Arial" w:cs="Arial"/>
          <w:b/>
          <w:sz w:val="20"/>
          <w:szCs w:val="20"/>
        </w:rPr>
        <w:t>nline program (</w:t>
      </w:r>
      <w:proofErr w:type="spellStart"/>
      <w:r w:rsidRPr="00546BAF">
        <w:rPr>
          <w:rFonts w:ascii="Arial" w:hAnsi="Arial" w:cs="Arial"/>
          <w:b/>
          <w:sz w:val="20"/>
          <w:szCs w:val="20"/>
        </w:rPr>
        <w:t>Molinspiration</w:t>
      </w:r>
      <w:proofErr w:type="spellEnd"/>
      <w:r w:rsidRPr="00546BAF">
        <w:rPr>
          <w:rFonts w:ascii="Arial" w:hAnsi="Arial" w:cs="Arial"/>
          <w:b/>
          <w:sz w:val="20"/>
          <w:szCs w:val="20"/>
        </w:rPr>
        <w:t>)</w:t>
      </w:r>
    </w:p>
    <w:bookmarkEnd w:id="26"/>
    <w:tbl>
      <w:tblPr>
        <w:tblStyle w:val="TableGrid"/>
        <w:tblW w:w="0" w:type="auto"/>
        <w:tblLayout w:type="fixed"/>
        <w:tblLook w:val="04A0" w:firstRow="1" w:lastRow="0" w:firstColumn="1" w:lastColumn="0" w:noHBand="0" w:noVBand="1"/>
      </w:tblPr>
      <w:tblGrid>
        <w:gridCol w:w="846"/>
        <w:gridCol w:w="709"/>
        <w:gridCol w:w="992"/>
        <w:gridCol w:w="479"/>
        <w:gridCol w:w="1061"/>
        <w:gridCol w:w="617"/>
        <w:gridCol w:w="890"/>
        <w:gridCol w:w="1182"/>
        <w:gridCol w:w="708"/>
        <w:gridCol w:w="877"/>
      </w:tblGrid>
      <w:tr w:rsidR="004A3C87" w:rsidRPr="00546BAF" w14:paraId="3EC2FAC5" w14:textId="77777777" w:rsidTr="00270965">
        <w:tc>
          <w:tcPr>
            <w:tcW w:w="846" w:type="dxa"/>
          </w:tcPr>
          <w:p w14:paraId="7E8570D1" w14:textId="77777777" w:rsidR="004A3C87" w:rsidRPr="00546BAF" w:rsidRDefault="004A3C87" w:rsidP="00270965">
            <w:pPr>
              <w:rPr>
                <w:rFonts w:ascii="Arial" w:hAnsi="Arial" w:cs="Arial"/>
                <w:b/>
                <w:bCs/>
                <w:sz w:val="20"/>
                <w:szCs w:val="20"/>
              </w:rPr>
            </w:pPr>
            <w:r w:rsidRPr="00546BAF">
              <w:rPr>
                <w:rFonts w:ascii="Arial" w:hAnsi="Arial" w:cs="Arial"/>
                <w:sz w:val="20"/>
                <w:szCs w:val="20"/>
              </w:rPr>
              <w:br w:type="page"/>
            </w:r>
            <w:r w:rsidRPr="00546BAF">
              <w:rPr>
                <w:rFonts w:ascii="Arial" w:hAnsi="Arial" w:cs="Arial"/>
                <w:b/>
                <w:bCs/>
                <w:sz w:val="20"/>
                <w:szCs w:val="20"/>
              </w:rPr>
              <w:t>code</w:t>
            </w:r>
          </w:p>
        </w:tc>
        <w:tc>
          <w:tcPr>
            <w:tcW w:w="709" w:type="dxa"/>
          </w:tcPr>
          <w:p w14:paraId="6045F5C3" w14:textId="77777777" w:rsidR="004A3C87" w:rsidRPr="00546BAF" w:rsidRDefault="004A3C87" w:rsidP="00270965">
            <w:pPr>
              <w:rPr>
                <w:rFonts w:ascii="Arial" w:hAnsi="Arial" w:cs="Arial"/>
                <w:b/>
                <w:bCs/>
                <w:sz w:val="20"/>
                <w:szCs w:val="20"/>
              </w:rPr>
            </w:pPr>
            <w:proofErr w:type="spellStart"/>
            <w:r w:rsidRPr="00546BAF">
              <w:rPr>
                <w:rFonts w:ascii="Arial" w:hAnsi="Arial" w:cs="Arial"/>
                <w:b/>
                <w:bCs/>
                <w:sz w:val="20"/>
                <w:szCs w:val="20"/>
              </w:rPr>
              <w:t>miLogP</w:t>
            </w:r>
            <w:proofErr w:type="spellEnd"/>
          </w:p>
        </w:tc>
        <w:tc>
          <w:tcPr>
            <w:tcW w:w="992" w:type="dxa"/>
          </w:tcPr>
          <w:p w14:paraId="76F23325" w14:textId="77777777" w:rsidR="004A3C87" w:rsidRPr="00546BAF" w:rsidRDefault="004A3C87" w:rsidP="00270965">
            <w:pPr>
              <w:rPr>
                <w:rFonts w:ascii="Arial" w:hAnsi="Arial" w:cs="Arial"/>
                <w:b/>
                <w:bCs/>
                <w:sz w:val="20"/>
                <w:szCs w:val="20"/>
              </w:rPr>
            </w:pPr>
            <w:r w:rsidRPr="00546BAF">
              <w:rPr>
                <w:rFonts w:ascii="Arial" w:hAnsi="Arial" w:cs="Arial"/>
                <w:b/>
                <w:bCs/>
                <w:sz w:val="20"/>
                <w:szCs w:val="20"/>
              </w:rPr>
              <w:t>TPSA</w:t>
            </w:r>
          </w:p>
        </w:tc>
        <w:tc>
          <w:tcPr>
            <w:tcW w:w="479" w:type="dxa"/>
          </w:tcPr>
          <w:p w14:paraId="44A11591" w14:textId="77777777" w:rsidR="004A3C87" w:rsidRPr="00546BAF" w:rsidRDefault="004A3C87" w:rsidP="00270965">
            <w:pPr>
              <w:rPr>
                <w:rFonts w:ascii="Arial" w:hAnsi="Arial" w:cs="Arial"/>
                <w:b/>
                <w:bCs/>
                <w:sz w:val="20"/>
                <w:szCs w:val="20"/>
              </w:rPr>
            </w:pPr>
            <w:proofErr w:type="spellStart"/>
            <w:r w:rsidRPr="00546BAF">
              <w:rPr>
                <w:rFonts w:ascii="Arial" w:hAnsi="Arial" w:cs="Arial"/>
                <w:b/>
                <w:bCs/>
                <w:sz w:val="20"/>
                <w:szCs w:val="20"/>
              </w:rPr>
              <w:t>natoms</w:t>
            </w:r>
            <w:proofErr w:type="spellEnd"/>
          </w:p>
        </w:tc>
        <w:tc>
          <w:tcPr>
            <w:tcW w:w="1061" w:type="dxa"/>
          </w:tcPr>
          <w:p w14:paraId="72C530B7" w14:textId="77777777" w:rsidR="004A3C87" w:rsidRPr="00546BAF" w:rsidRDefault="004A3C87" w:rsidP="00270965">
            <w:pPr>
              <w:rPr>
                <w:rFonts w:ascii="Arial" w:hAnsi="Arial" w:cs="Arial"/>
                <w:b/>
                <w:bCs/>
                <w:sz w:val="20"/>
                <w:szCs w:val="20"/>
              </w:rPr>
            </w:pPr>
            <w:r w:rsidRPr="00546BAF">
              <w:rPr>
                <w:rFonts w:ascii="Arial" w:hAnsi="Arial" w:cs="Arial"/>
                <w:b/>
                <w:bCs/>
                <w:sz w:val="20"/>
                <w:szCs w:val="20"/>
              </w:rPr>
              <w:t>MW</w:t>
            </w:r>
          </w:p>
        </w:tc>
        <w:tc>
          <w:tcPr>
            <w:tcW w:w="617" w:type="dxa"/>
          </w:tcPr>
          <w:p w14:paraId="11EAE2E8" w14:textId="77777777" w:rsidR="004A3C87" w:rsidRPr="00546BAF" w:rsidRDefault="004A3C87" w:rsidP="00270965">
            <w:pPr>
              <w:rPr>
                <w:rFonts w:ascii="Arial" w:hAnsi="Arial" w:cs="Arial"/>
                <w:b/>
                <w:bCs/>
                <w:sz w:val="20"/>
                <w:szCs w:val="20"/>
              </w:rPr>
            </w:pPr>
            <w:proofErr w:type="spellStart"/>
            <w:r w:rsidRPr="00546BAF">
              <w:rPr>
                <w:rFonts w:ascii="Arial" w:hAnsi="Arial" w:cs="Arial"/>
                <w:b/>
                <w:bCs/>
                <w:sz w:val="20"/>
                <w:szCs w:val="20"/>
              </w:rPr>
              <w:t>nON</w:t>
            </w:r>
            <w:proofErr w:type="spellEnd"/>
          </w:p>
        </w:tc>
        <w:tc>
          <w:tcPr>
            <w:tcW w:w="890" w:type="dxa"/>
          </w:tcPr>
          <w:p w14:paraId="7B0F8CA9" w14:textId="77777777" w:rsidR="004A3C87" w:rsidRPr="00546BAF" w:rsidRDefault="004A3C87" w:rsidP="00270965">
            <w:pPr>
              <w:rPr>
                <w:rFonts w:ascii="Arial" w:hAnsi="Arial" w:cs="Arial"/>
                <w:b/>
                <w:bCs/>
                <w:sz w:val="20"/>
                <w:szCs w:val="20"/>
              </w:rPr>
            </w:pPr>
            <w:proofErr w:type="spellStart"/>
            <w:r w:rsidRPr="00546BAF">
              <w:rPr>
                <w:rFonts w:ascii="Arial" w:hAnsi="Arial" w:cs="Arial"/>
                <w:b/>
                <w:bCs/>
                <w:sz w:val="20"/>
                <w:szCs w:val="20"/>
              </w:rPr>
              <w:t>nOHNH</w:t>
            </w:r>
            <w:proofErr w:type="spellEnd"/>
          </w:p>
        </w:tc>
        <w:tc>
          <w:tcPr>
            <w:tcW w:w="1182" w:type="dxa"/>
          </w:tcPr>
          <w:p w14:paraId="1E9419F2" w14:textId="77777777" w:rsidR="004A3C87" w:rsidRPr="00546BAF" w:rsidRDefault="004A3C87" w:rsidP="00270965">
            <w:pPr>
              <w:rPr>
                <w:rFonts w:ascii="Arial" w:hAnsi="Arial" w:cs="Arial"/>
                <w:b/>
                <w:bCs/>
                <w:sz w:val="20"/>
                <w:szCs w:val="20"/>
              </w:rPr>
            </w:pPr>
            <w:proofErr w:type="spellStart"/>
            <w:r w:rsidRPr="00546BAF">
              <w:rPr>
                <w:rFonts w:ascii="Arial" w:hAnsi="Arial" w:cs="Arial"/>
                <w:b/>
                <w:bCs/>
                <w:sz w:val="20"/>
                <w:szCs w:val="20"/>
              </w:rPr>
              <w:t>nviolations</w:t>
            </w:r>
            <w:proofErr w:type="spellEnd"/>
          </w:p>
        </w:tc>
        <w:tc>
          <w:tcPr>
            <w:tcW w:w="708" w:type="dxa"/>
          </w:tcPr>
          <w:p w14:paraId="32B417C8" w14:textId="77777777" w:rsidR="004A3C87" w:rsidRPr="00546BAF" w:rsidRDefault="004A3C87" w:rsidP="00270965">
            <w:pPr>
              <w:rPr>
                <w:rFonts w:ascii="Arial" w:hAnsi="Arial" w:cs="Arial"/>
                <w:b/>
                <w:bCs/>
                <w:sz w:val="20"/>
                <w:szCs w:val="20"/>
              </w:rPr>
            </w:pPr>
            <w:proofErr w:type="spellStart"/>
            <w:r w:rsidRPr="00546BAF">
              <w:rPr>
                <w:rFonts w:ascii="Arial" w:hAnsi="Arial" w:cs="Arial"/>
                <w:b/>
                <w:bCs/>
                <w:sz w:val="20"/>
                <w:szCs w:val="20"/>
              </w:rPr>
              <w:t>nrotb</w:t>
            </w:r>
            <w:proofErr w:type="spellEnd"/>
          </w:p>
        </w:tc>
        <w:tc>
          <w:tcPr>
            <w:tcW w:w="877" w:type="dxa"/>
          </w:tcPr>
          <w:p w14:paraId="42011658" w14:textId="77777777" w:rsidR="004A3C87" w:rsidRPr="00546BAF" w:rsidRDefault="004A3C87" w:rsidP="00270965">
            <w:pPr>
              <w:rPr>
                <w:rFonts w:ascii="Arial" w:hAnsi="Arial" w:cs="Arial"/>
                <w:b/>
                <w:bCs/>
                <w:sz w:val="20"/>
                <w:szCs w:val="20"/>
              </w:rPr>
            </w:pPr>
            <w:r w:rsidRPr="00546BAF">
              <w:rPr>
                <w:rFonts w:ascii="Arial" w:hAnsi="Arial" w:cs="Arial"/>
                <w:b/>
                <w:bCs/>
                <w:sz w:val="20"/>
                <w:szCs w:val="20"/>
              </w:rPr>
              <w:t>volume</w:t>
            </w:r>
          </w:p>
        </w:tc>
      </w:tr>
      <w:tr w:rsidR="004A3C87" w:rsidRPr="00546BAF" w14:paraId="24179C11" w14:textId="77777777" w:rsidTr="00270965">
        <w:tc>
          <w:tcPr>
            <w:tcW w:w="846" w:type="dxa"/>
          </w:tcPr>
          <w:p w14:paraId="591B385F" w14:textId="77777777" w:rsidR="004A3C87" w:rsidRPr="00546BAF" w:rsidRDefault="00F8728E" w:rsidP="00270965">
            <w:pPr>
              <w:rPr>
                <w:rFonts w:ascii="Arial" w:hAnsi="Arial" w:cs="Arial"/>
                <w:sz w:val="20"/>
                <w:szCs w:val="20"/>
              </w:rPr>
            </w:pPr>
            <w:r w:rsidRPr="00546BAF">
              <w:rPr>
                <w:rFonts w:ascii="Arial" w:hAnsi="Arial" w:cs="Arial"/>
                <w:sz w:val="20"/>
                <w:szCs w:val="20"/>
              </w:rPr>
              <w:lastRenderedPageBreak/>
              <w:t>FA</w:t>
            </w:r>
            <w:r w:rsidR="004A3C87" w:rsidRPr="00546BAF">
              <w:rPr>
                <w:rFonts w:ascii="Arial" w:hAnsi="Arial" w:cs="Arial"/>
                <w:sz w:val="20"/>
                <w:szCs w:val="20"/>
              </w:rPr>
              <w:t>1</w:t>
            </w:r>
          </w:p>
        </w:tc>
        <w:tc>
          <w:tcPr>
            <w:tcW w:w="709" w:type="dxa"/>
          </w:tcPr>
          <w:p w14:paraId="044E886E" w14:textId="77777777" w:rsidR="004A3C87" w:rsidRPr="00546BAF" w:rsidRDefault="004A3C87" w:rsidP="00270965">
            <w:pPr>
              <w:rPr>
                <w:rFonts w:ascii="Arial" w:hAnsi="Arial" w:cs="Arial"/>
                <w:sz w:val="20"/>
                <w:szCs w:val="20"/>
              </w:rPr>
            </w:pPr>
            <w:r w:rsidRPr="00546BAF">
              <w:rPr>
                <w:rFonts w:ascii="Arial" w:hAnsi="Arial" w:cs="Arial"/>
                <w:sz w:val="20"/>
                <w:szCs w:val="20"/>
              </w:rPr>
              <w:t>3.25</w:t>
            </w:r>
          </w:p>
        </w:tc>
        <w:tc>
          <w:tcPr>
            <w:tcW w:w="992" w:type="dxa"/>
          </w:tcPr>
          <w:p w14:paraId="53D4975C" w14:textId="77777777" w:rsidR="004A3C87" w:rsidRPr="00546BAF" w:rsidRDefault="004A3C87" w:rsidP="00270965">
            <w:pPr>
              <w:rPr>
                <w:rFonts w:ascii="Arial" w:hAnsi="Arial" w:cs="Arial"/>
                <w:sz w:val="20"/>
                <w:szCs w:val="20"/>
              </w:rPr>
            </w:pPr>
            <w:r w:rsidRPr="00546BAF">
              <w:rPr>
                <w:rFonts w:ascii="Arial" w:hAnsi="Arial" w:cs="Arial"/>
                <w:sz w:val="20"/>
                <w:szCs w:val="20"/>
              </w:rPr>
              <w:t>58.56</w:t>
            </w:r>
          </w:p>
        </w:tc>
        <w:tc>
          <w:tcPr>
            <w:tcW w:w="479" w:type="dxa"/>
          </w:tcPr>
          <w:p w14:paraId="1DBF957E" w14:textId="77777777" w:rsidR="004A3C87" w:rsidRPr="00546BAF" w:rsidRDefault="004A3C87" w:rsidP="00270965">
            <w:pPr>
              <w:rPr>
                <w:rFonts w:ascii="Arial" w:hAnsi="Arial" w:cs="Arial"/>
                <w:sz w:val="20"/>
                <w:szCs w:val="20"/>
              </w:rPr>
            </w:pPr>
            <w:r w:rsidRPr="00546BAF">
              <w:rPr>
                <w:rFonts w:ascii="Arial" w:hAnsi="Arial" w:cs="Arial"/>
                <w:sz w:val="20"/>
                <w:szCs w:val="20"/>
              </w:rPr>
              <w:t>21</w:t>
            </w:r>
          </w:p>
        </w:tc>
        <w:tc>
          <w:tcPr>
            <w:tcW w:w="1061" w:type="dxa"/>
          </w:tcPr>
          <w:p w14:paraId="59D6B9EB" w14:textId="77777777" w:rsidR="004A3C87" w:rsidRPr="00546BAF" w:rsidRDefault="004A3C87" w:rsidP="00270965">
            <w:pPr>
              <w:rPr>
                <w:rFonts w:ascii="Arial" w:hAnsi="Arial" w:cs="Arial"/>
                <w:sz w:val="20"/>
                <w:szCs w:val="20"/>
              </w:rPr>
            </w:pPr>
            <w:r w:rsidRPr="00546BAF">
              <w:rPr>
                <w:rFonts w:ascii="Arial" w:hAnsi="Arial" w:cs="Arial"/>
                <w:sz w:val="20"/>
                <w:szCs w:val="20"/>
              </w:rPr>
              <w:t>283.33</w:t>
            </w:r>
          </w:p>
        </w:tc>
        <w:tc>
          <w:tcPr>
            <w:tcW w:w="617" w:type="dxa"/>
          </w:tcPr>
          <w:p w14:paraId="1DA76096" w14:textId="77777777" w:rsidR="004A3C87" w:rsidRPr="00546BAF" w:rsidRDefault="004A3C87" w:rsidP="00270965">
            <w:pPr>
              <w:rPr>
                <w:rFonts w:ascii="Arial" w:hAnsi="Arial" w:cs="Arial"/>
                <w:sz w:val="20"/>
                <w:szCs w:val="20"/>
              </w:rPr>
            </w:pPr>
            <w:r w:rsidRPr="00546BAF">
              <w:rPr>
                <w:rFonts w:ascii="Arial" w:hAnsi="Arial" w:cs="Arial"/>
                <w:sz w:val="20"/>
                <w:szCs w:val="20"/>
              </w:rPr>
              <w:t>4</w:t>
            </w:r>
          </w:p>
        </w:tc>
        <w:tc>
          <w:tcPr>
            <w:tcW w:w="890" w:type="dxa"/>
          </w:tcPr>
          <w:p w14:paraId="393129C4" w14:textId="77777777" w:rsidR="004A3C87" w:rsidRPr="00546BAF" w:rsidRDefault="004A3C87" w:rsidP="00270965">
            <w:pPr>
              <w:rPr>
                <w:rFonts w:ascii="Arial" w:hAnsi="Arial" w:cs="Arial"/>
                <w:sz w:val="20"/>
                <w:szCs w:val="20"/>
              </w:rPr>
            </w:pPr>
            <w:r w:rsidRPr="00546BAF">
              <w:rPr>
                <w:rFonts w:ascii="Arial" w:hAnsi="Arial" w:cs="Arial"/>
                <w:sz w:val="20"/>
                <w:szCs w:val="20"/>
              </w:rPr>
              <w:t>2</w:t>
            </w:r>
          </w:p>
        </w:tc>
        <w:tc>
          <w:tcPr>
            <w:tcW w:w="1182" w:type="dxa"/>
          </w:tcPr>
          <w:p w14:paraId="2E1C24CA" w14:textId="77777777" w:rsidR="004A3C87" w:rsidRPr="00546BAF" w:rsidRDefault="004A3C87" w:rsidP="00270965">
            <w:pPr>
              <w:rPr>
                <w:rFonts w:ascii="Arial" w:hAnsi="Arial" w:cs="Arial"/>
                <w:sz w:val="20"/>
                <w:szCs w:val="20"/>
              </w:rPr>
            </w:pPr>
            <w:r w:rsidRPr="00546BAF">
              <w:rPr>
                <w:rFonts w:ascii="Arial" w:hAnsi="Arial" w:cs="Arial"/>
                <w:sz w:val="20"/>
                <w:szCs w:val="20"/>
              </w:rPr>
              <w:t>0</w:t>
            </w:r>
          </w:p>
        </w:tc>
        <w:tc>
          <w:tcPr>
            <w:tcW w:w="708" w:type="dxa"/>
          </w:tcPr>
          <w:p w14:paraId="08BC1208" w14:textId="77777777" w:rsidR="004A3C87" w:rsidRPr="00546BAF" w:rsidRDefault="004A3C87" w:rsidP="00270965">
            <w:pPr>
              <w:rPr>
                <w:rFonts w:ascii="Arial" w:hAnsi="Arial" w:cs="Arial"/>
                <w:sz w:val="20"/>
                <w:szCs w:val="20"/>
              </w:rPr>
            </w:pPr>
            <w:r w:rsidRPr="00546BAF">
              <w:rPr>
                <w:rFonts w:ascii="Arial" w:hAnsi="Arial" w:cs="Arial"/>
                <w:sz w:val="20"/>
                <w:szCs w:val="20"/>
              </w:rPr>
              <w:t>4</w:t>
            </w:r>
          </w:p>
        </w:tc>
        <w:tc>
          <w:tcPr>
            <w:tcW w:w="877" w:type="dxa"/>
          </w:tcPr>
          <w:p w14:paraId="320C7CAC" w14:textId="77777777" w:rsidR="004A3C87" w:rsidRPr="00546BAF" w:rsidRDefault="004A3C87" w:rsidP="00270965">
            <w:pPr>
              <w:rPr>
                <w:rFonts w:ascii="Arial" w:hAnsi="Arial" w:cs="Arial"/>
                <w:sz w:val="20"/>
                <w:szCs w:val="20"/>
              </w:rPr>
            </w:pPr>
            <w:r w:rsidRPr="00546BAF">
              <w:rPr>
                <w:rFonts w:ascii="Arial" w:hAnsi="Arial" w:cs="Arial"/>
                <w:sz w:val="20"/>
                <w:szCs w:val="20"/>
              </w:rPr>
              <w:t>264.38</w:t>
            </w:r>
          </w:p>
        </w:tc>
      </w:tr>
      <w:tr w:rsidR="004A3C87" w:rsidRPr="00546BAF" w14:paraId="78D8A0C6" w14:textId="77777777" w:rsidTr="00270965">
        <w:tc>
          <w:tcPr>
            <w:tcW w:w="846" w:type="dxa"/>
          </w:tcPr>
          <w:p w14:paraId="38CAF9E3" w14:textId="77777777" w:rsidR="004A3C87" w:rsidRPr="00546BAF" w:rsidRDefault="00F8728E" w:rsidP="00270965">
            <w:pPr>
              <w:rPr>
                <w:rFonts w:ascii="Arial" w:hAnsi="Arial" w:cs="Arial"/>
                <w:sz w:val="20"/>
                <w:szCs w:val="20"/>
              </w:rPr>
            </w:pPr>
            <w:r w:rsidRPr="00546BAF">
              <w:rPr>
                <w:rFonts w:ascii="Arial" w:hAnsi="Arial" w:cs="Arial"/>
                <w:sz w:val="20"/>
                <w:szCs w:val="20"/>
              </w:rPr>
              <w:t>FA</w:t>
            </w:r>
            <w:r w:rsidR="004A3C87" w:rsidRPr="00546BAF">
              <w:rPr>
                <w:rFonts w:ascii="Arial" w:hAnsi="Arial" w:cs="Arial"/>
                <w:sz w:val="20"/>
                <w:szCs w:val="20"/>
              </w:rPr>
              <w:t>2</w:t>
            </w:r>
          </w:p>
        </w:tc>
        <w:tc>
          <w:tcPr>
            <w:tcW w:w="709" w:type="dxa"/>
          </w:tcPr>
          <w:p w14:paraId="5DE15EC4" w14:textId="77777777" w:rsidR="004A3C87" w:rsidRPr="00546BAF" w:rsidRDefault="004A3C87" w:rsidP="00270965">
            <w:pPr>
              <w:rPr>
                <w:rFonts w:ascii="Arial" w:hAnsi="Arial" w:cs="Arial"/>
                <w:sz w:val="20"/>
                <w:szCs w:val="20"/>
              </w:rPr>
            </w:pPr>
            <w:r w:rsidRPr="00546BAF">
              <w:rPr>
                <w:rFonts w:ascii="Arial" w:hAnsi="Arial" w:cs="Arial"/>
                <w:sz w:val="20"/>
                <w:szCs w:val="20"/>
              </w:rPr>
              <w:t>1.76</w:t>
            </w:r>
          </w:p>
        </w:tc>
        <w:tc>
          <w:tcPr>
            <w:tcW w:w="992" w:type="dxa"/>
          </w:tcPr>
          <w:p w14:paraId="29FD7539" w14:textId="77777777" w:rsidR="004A3C87" w:rsidRPr="00546BAF" w:rsidRDefault="004A3C87" w:rsidP="00270965">
            <w:pPr>
              <w:rPr>
                <w:rFonts w:ascii="Arial" w:hAnsi="Arial" w:cs="Arial"/>
                <w:sz w:val="20"/>
                <w:szCs w:val="20"/>
              </w:rPr>
            </w:pPr>
            <w:r w:rsidRPr="00546BAF">
              <w:rPr>
                <w:rFonts w:ascii="Arial" w:hAnsi="Arial" w:cs="Arial"/>
                <w:sz w:val="20"/>
                <w:szCs w:val="20"/>
              </w:rPr>
              <w:t>71.70</w:t>
            </w:r>
          </w:p>
        </w:tc>
        <w:tc>
          <w:tcPr>
            <w:tcW w:w="479" w:type="dxa"/>
          </w:tcPr>
          <w:p w14:paraId="7B86D462" w14:textId="77777777" w:rsidR="004A3C87" w:rsidRPr="00546BAF" w:rsidRDefault="004A3C87" w:rsidP="00270965">
            <w:pPr>
              <w:rPr>
                <w:rFonts w:ascii="Arial" w:hAnsi="Arial" w:cs="Arial"/>
                <w:sz w:val="20"/>
                <w:szCs w:val="20"/>
              </w:rPr>
            </w:pPr>
            <w:r w:rsidRPr="00546BAF">
              <w:rPr>
                <w:rFonts w:ascii="Arial" w:hAnsi="Arial" w:cs="Arial"/>
                <w:sz w:val="20"/>
                <w:szCs w:val="20"/>
              </w:rPr>
              <w:t>20</w:t>
            </w:r>
          </w:p>
        </w:tc>
        <w:tc>
          <w:tcPr>
            <w:tcW w:w="1061" w:type="dxa"/>
          </w:tcPr>
          <w:p w14:paraId="7E8EBB25" w14:textId="77777777" w:rsidR="004A3C87" w:rsidRPr="00546BAF" w:rsidRDefault="004A3C87" w:rsidP="00270965">
            <w:pPr>
              <w:rPr>
                <w:rFonts w:ascii="Arial" w:hAnsi="Arial" w:cs="Arial"/>
                <w:sz w:val="20"/>
                <w:szCs w:val="20"/>
              </w:rPr>
            </w:pPr>
            <w:r w:rsidRPr="00546BAF">
              <w:rPr>
                <w:rFonts w:ascii="Arial" w:hAnsi="Arial" w:cs="Arial"/>
                <w:sz w:val="20"/>
                <w:szCs w:val="20"/>
              </w:rPr>
              <w:t>273.29</w:t>
            </w:r>
          </w:p>
        </w:tc>
        <w:tc>
          <w:tcPr>
            <w:tcW w:w="617" w:type="dxa"/>
          </w:tcPr>
          <w:p w14:paraId="44AE6AE9" w14:textId="77777777" w:rsidR="004A3C87" w:rsidRPr="00546BAF" w:rsidRDefault="004A3C87" w:rsidP="00270965">
            <w:pPr>
              <w:rPr>
                <w:rFonts w:ascii="Arial" w:hAnsi="Arial" w:cs="Arial"/>
                <w:sz w:val="20"/>
                <w:szCs w:val="20"/>
              </w:rPr>
            </w:pPr>
            <w:r w:rsidRPr="00546BAF">
              <w:rPr>
                <w:rFonts w:ascii="Arial" w:hAnsi="Arial" w:cs="Arial"/>
                <w:sz w:val="20"/>
                <w:szCs w:val="20"/>
              </w:rPr>
              <w:t>5</w:t>
            </w:r>
          </w:p>
        </w:tc>
        <w:tc>
          <w:tcPr>
            <w:tcW w:w="890" w:type="dxa"/>
          </w:tcPr>
          <w:p w14:paraId="724838D8" w14:textId="77777777" w:rsidR="004A3C87" w:rsidRPr="00546BAF" w:rsidRDefault="004A3C87" w:rsidP="00270965">
            <w:pPr>
              <w:rPr>
                <w:rFonts w:ascii="Arial" w:hAnsi="Arial" w:cs="Arial"/>
                <w:sz w:val="20"/>
                <w:szCs w:val="20"/>
              </w:rPr>
            </w:pPr>
            <w:r w:rsidRPr="00546BAF">
              <w:rPr>
                <w:rFonts w:ascii="Arial" w:hAnsi="Arial" w:cs="Arial"/>
                <w:sz w:val="20"/>
                <w:szCs w:val="20"/>
              </w:rPr>
              <w:t>2</w:t>
            </w:r>
          </w:p>
        </w:tc>
        <w:tc>
          <w:tcPr>
            <w:tcW w:w="1182" w:type="dxa"/>
          </w:tcPr>
          <w:p w14:paraId="57B9AC41" w14:textId="77777777" w:rsidR="004A3C87" w:rsidRPr="00546BAF" w:rsidRDefault="004A3C87" w:rsidP="00270965">
            <w:pPr>
              <w:rPr>
                <w:rFonts w:ascii="Arial" w:hAnsi="Arial" w:cs="Arial"/>
                <w:sz w:val="20"/>
                <w:szCs w:val="20"/>
              </w:rPr>
            </w:pPr>
            <w:r w:rsidRPr="00546BAF">
              <w:rPr>
                <w:rFonts w:ascii="Arial" w:hAnsi="Arial" w:cs="Arial"/>
                <w:sz w:val="20"/>
                <w:szCs w:val="20"/>
              </w:rPr>
              <w:t>0</w:t>
            </w:r>
          </w:p>
        </w:tc>
        <w:tc>
          <w:tcPr>
            <w:tcW w:w="708" w:type="dxa"/>
          </w:tcPr>
          <w:p w14:paraId="09122823" w14:textId="77777777" w:rsidR="004A3C87" w:rsidRPr="00546BAF" w:rsidRDefault="004A3C87" w:rsidP="00270965">
            <w:pPr>
              <w:rPr>
                <w:rFonts w:ascii="Arial" w:hAnsi="Arial" w:cs="Arial"/>
                <w:sz w:val="20"/>
                <w:szCs w:val="20"/>
              </w:rPr>
            </w:pPr>
            <w:r w:rsidRPr="00546BAF">
              <w:rPr>
                <w:rFonts w:ascii="Arial" w:hAnsi="Arial" w:cs="Arial"/>
                <w:sz w:val="20"/>
                <w:szCs w:val="20"/>
              </w:rPr>
              <w:t>5</w:t>
            </w:r>
          </w:p>
        </w:tc>
        <w:tc>
          <w:tcPr>
            <w:tcW w:w="877" w:type="dxa"/>
          </w:tcPr>
          <w:p w14:paraId="189A771F" w14:textId="77777777" w:rsidR="004A3C87" w:rsidRPr="00546BAF" w:rsidRDefault="004A3C87" w:rsidP="00270965">
            <w:pPr>
              <w:rPr>
                <w:rFonts w:ascii="Arial" w:hAnsi="Arial" w:cs="Arial"/>
                <w:sz w:val="20"/>
                <w:szCs w:val="20"/>
              </w:rPr>
            </w:pPr>
            <w:r w:rsidRPr="00546BAF">
              <w:rPr>
                <w:rFonts w:ascii="Arial" w:hAnsi="Arial" w:cs="Arial"/>
                <w:sz w:val="20"/>
                <w:szCs w:val="20"/>
              </w:rPr>
              <w:t>246.19</w:t>
            </w:r>
          </w:p>
        </w:tc>
      </w:tr>
      <w:tr w:rsidR="004A3C87" w:rsidRPr="00546BAF" w14:paraId="4D72099B" w14:textId="77777777" w:rsidTr="00270965">
        <w:tc>
          <w:tcPr>
            <w:tcW w:w="846" w:type="dxa"/>
          </w:tcPr>
          <w:p w14:paraId="299CB4D5" w14:textId="77777777" w:rsidR="004A3C87" w:rsidRPr="00546BAF" w:rsidRDefault="00F8728E" w:rsidP="00270965">
            <w:pPr>
              <w:rPr>
                <w:rFonts w:ascii="Arial" w:hAnsi="Arial" w:cs="Arial"/>
                <w:sz w:val="20"/>
                <w:szCs w:val="20"/>
              </w:rPr>
            </w:pPr>
            <w:r w:rsidRPr="00546BAF">
              <w:rPr>
                <w:rFonts w:ascii="Arial" w:hAnsi="Arial" w:cs="Arial"/>
                <w:sz w:val="20"/>
                <w:szCs w:val="20"/>
              </w:rPr>
              <w:t>FA</w:t>
            </w:r>
            <w:r w:rsidR="004A3C87" w:rsidRPr="00546BAF">
              <w:rPr>
                <w:rFonts w:ascii="Arial" w:hAnsi="Arial" w:cs="Arial"/>
                <w:sz w:val="20"/>
                <w:szCs w:val="20"/>
              </w:rPr>
              <w:t>3</w:t>
            </w:r>
          </w:p>
        </w:tc>
        <w:tc>
          <w:tcPr>
            <w:tcW w:w="709" w:type="dxa"/>
          </w:tcPr>
          <w:p w14:paraId="7BD20E3E" w14:textId="77777777" w:rsidR="004A3C87" w:rsidRPr="00546BAF" w:rsidRDefault="004A3C87" w:rsidP="00270965">
            <w:pPr>
              <w:rPr>
                <w:rFonts w:ascii="Arial" w:hAnsi="Arial" w:cs="Arial"/>
                <w:sz w:val="20"/>
                <w:szCs w:val="20"/>
              </w:rPr>
            </w:pPr>
            <w:r w:rsidRPr="00546BAF">
              <w:rPr>
                <w:rFonts w:ascii="Arial" w:hAnsi="Arial" w:cs="Arial"/>
                <w:sz w:val="20"/>
                <w:szCs w:val="20"/>
              </w:rPr>
              <w:t>2.54</w:t>
            </w:r>
          </w:p>
        </w:tc>
        <w:tc>
          <w:tcPr>
            <w:tcW w:w="992" w:type="dxa"/>
          </w:tcPr>
          <w:p w14:paraId="44794993" w14:textId="77777777" w:rsidR="004A3C87" w:rsidRPr="00546BAF" w:rsidRDefault="004A3C87" w:rsidP="00270965">
            <w:pPr>
              <w:rPr>
                <w:rFonts w:ascii="Arial" w:hAnsi="Arial" w:cs="Arial"/>
                <w:sz w:val="20"/>
                <w:szCs w:val="20"/>
              </w:rPr>
            </w:pPr>
            <w:r w:rsidRPr="00546BAF">
              <w:rPr>
                <w:rFonts w:ascii="Arial" w:hAnsi="Arial" w:cs="Arial"/>
                <w:sz w:val="20"/>
                <w:szCs w:val="20"/>
              </w:rPr>
              <w:t>78.79</w:t>
            </w:r>
          </w:p>
        </w:tc>
        <w:tc>
          <w:tcPr>
            <w:tcW w:w="479" w:type="dxa"/>
          </w:tcPr>
          <w:p w14:paraId="7C08595A" w14:textId="77777777" w:rsidR="004A3C87" w:rsidRPr="00546BAF" w:rsidRDefault="004A3C87" w:rsidP="00270965">
            <w:pPr>
              <w:rPr>
                <w:rFonts w:ascii="Arial" w:hAnsi="Arial" w:cs="Arial"/>
                <w:sz w:val="20"/>
                <w:szCs w:val="20"/>
              </w:rPr>
            </w:pPr>
            <w:r w:rsidRPr="00546BAF">
              <w:rPr>
                <w:rFonts w:ascii="Arial" w:hAnsi="Arial" w:cs="Arial"/>
                <w:sz w:val="20"/>
                <w:szCs w:val="20"/>
              </w:rPr>
              <w:t>21</w:t>
            </w:r>
          </w:p>
        </w:tc>
        <w:tc>
          <w:tcPr>
            <w:tcW w:w="1061" w:type="dxa"/>
          </w:tcPr>
          <w:p w14:paraId="6758C070" w14:textId="77777777" w:rsidR="004A3C87" w:rsidRPr="00546BAF" w:rsidRDefault="004A3C87" w:rsidP="00270965">
            <w:pPr>
              <w:rPr>
                <w:rFonts w:ascii="Arial" w:hAnsi="Arial" w:cs="Arial"/>
                <w:sz w:val="20"/>
                <w:szCs w:val="20"/>
              </w:rPr>
            </w:pPr>
            <w:r w:rsidRPr="00546BAF">
              <w:rPr>
                <w:rFonts w:ascii="Arial" w:hAnsi="Arial" w:cs="Arial"/>
                <w:sz w:val="20"/>
                <w:szCs w:val="20"/>
              </w:rPr>
              <w:t>285.30</w:t>
            </w:r>
          </w:p>
        </w:tc>
        <w:tc>
          <w:tcPr>
            <w:tcW w:w="617" w:type="dxa"/>
          </w:tcPr>
          <w:p w14:paraId="52DB7482" w14:textId="77777777" w:rsidR="004A3C87" w:rsidRPr="00546BAF" w:rsidRDefault="004A3C87" w:rsidP="00270965">
            <w:pPr>
              <w:rPr>
                <w:rFonts w:ascii="Arial" w:hAnsi="Arial" w:cs="Arial"/>
                <w:sz w:val="20"/>
                <w:szCs w:val="20"/>
              </w:rPr>
            </w:pPr>
            <w:r w:rsidRPr="00546BAF">
              <w:rPr>
                <w:rFonts w:ascii="Arial" w:hAnsi="Arial" w:cs="Arial"/>
                <w:sz w:val="20"/>
                <w:szCs w:val="20"/>
              </w:rPr>
              <w:t>5</w:t>
            </w:r>
          </w:p>
        </w:tc>
        <w:tc>
          <w:tcPr>
            <w:tcW w:w="890" w:type="dxa"/>
          </w:tcPr>
          <w:p w14:paraId="481187AD" w14:textId="77777777" w:rsidR="004A3C87" w:rsidRPr="00546BAF" w:rsidRDefault="004A3C87" w:rsidP="00270965">
            <w:pPr>
              <w:rPr>
                <w:rFonts w:ascii="Arial" w:hAnsi="Arial" w:cs="Arial"/>
                <w:sz w:val="20"/>
                <w:szCs w:val="20"/>
              </w:rPr>
            </w:pPr>
            <w:r w:rsidRPr="00546BAF">
              <w:rPr>
                <w:rFonts w:ascii="Arial" w:hAnsi="Arial" w:cs="Arial"/>
                <w:sz w:val="20"/>
                <w:szCs w:val="20"/>
              </w:rPr>
              <w:t>3</w:t>
            </w:r>
          </w:p>
        </w:tc>
        <w:tc>
          <w:tcPr>
            <w:tcW w:w="1182" w:type="dxa"/>
          </w:tcPr>
          <w:p w14:paraId="638ED9A1" w14:textId="77777777" w:rsidR="004A3C87" w:rsidRPr="00546BAF" w:rsidRDefault="004A3C87" w:rsidP="00270965">
            <w:pPr>
              <w:rPr>
                <w:rFonts w:ascii="Arial" w:hAnsi="Arial" w:cs="Arial"/>
                <w:sz w:val="20"/>
                <w:szCs w:val="20"/>
              </w:rPr>
            </w:pPr>
            <w:r w:rsidRPr="00546BAF">
              <w:rPr>
                <w:rFonts w:ascii="Arial" w:hAnsi="Arial" w:cs="Arial"/>
                <w:sz w:val="20"/>
                <w:szCs w:val="20"/>
              </w:rPr>
              <w:t>0</w:t>
            </w:r>
          </w:p>
        </w:tc>
        <w:tc>
          <w:tcPr>
            <w:tcW w:w="708" w:type="dxa"/>
          </w:tcPr>
          <w:p w14:paraId="7A3FD0E6" w14:textId="77777777" w:rsidR="004A3C87" w:rsidRPr="00546BAF" w:rsidRDefault="004A3C87" w:rsidP="00270965">
            <w:pPr>
              <w:rPr>
                <w:rFonts w:ascii="Arial" w:hAnsi="Arial" w:cs="Arial"/>
                <w:sz w:val="20"/>
                <w:szCs w:val="20"/>
              </w:rPr>
            </w:pPr>
            <w:r w:rsidRPr="00546BAF">
              <w:rPr>
                <w:rFonts w:ascii="Arial" w:hAnsi="Arial" w:cs="Arial"/>
                <w:sz w:val="20"/>
                <w:szCs w:val="20"/>
              </w:rPr>
              <w:t>4</w:t>
            </w:r>
          </w:p>
        </w:tc>
        <w:tc>
          <w:tcPr>
            <w:tcW w:w="877" w:type="dxa"/>
          </w:tcPr>
          <w:p w14:paraId="7D3DF878" w14:textId="77777777" w:rsidR="004A3C87" w:rsidRPr="00546BAF" w:rsidRDefault="004A3C87" w:rsidP="00270965">
            <w:pPr>
              <w:rPr>
                <w:rFonts w:ascii="Arial" w:hAnsi="Arial" w:cs="Arial"/>
                <w:sz w:val="20"/>
                <w:szCs w:val="20"/>
              </w:rPr>
            </w:pPr>
            <w:r w:rsidRPr="00546BAF">
              <w:rPr>
                <w:rFonts w:ascii="Arial" w:hAnsi="Arial" w:cs="Arial"/>
                <w:sz w:val="20"/>
                <w:szCs w:val="20"/>
              </w:rPr>
              <w:t>255.84</w:t>
            </w:r>
          </w:p>
        </w:tc>
      </w:tr>
      <w:tr w:rsidR="004A3C87" w:rsidRPr="00546BAF" w14:paraId="648939B1" w14:textId="77777777" w:rsidTr="00270965">
        <w:tc>
          <w:tcPr>
            <w:tcW w:w="846" w:type="dxa"/>
          </w:tcPr>
          <w:p w14:paraId="2AE75C72" w14:textId="77777777" w:rsidR="004A3C87" w:rsidRPr="00546BAF" w:rsidRDefault="00F8728E" w:rsidP="00270965">
            <w:pPr>
              <w:rPr>
                <w:rFonts w:ascii="Arial" w:hAnsi="Arial" w:cs="Arial"/>
                <w:sz w:val="20"/>
                <w:szCs w:val="20"/>
              </w:rPr>
            </w:pPr>
            <w:r w:rsidRPr="00546BAF">
              <w:rPr>
                <w:rFonts w:ascii="Arial" w:hAnsi="Arial" w:cs="Arial"/>
                <w:sz w:val="20"/>
                <w:szCs w:val="20"/>
              </w:rPr>
              <w:t>FA</w:t>
            </w:r>
            <w:r w:rsidR="004A3C87" w:rsidRPr="00546BAF">
              <w:rPr>
                <w:rFonts w:ascii="Arial" w:hAnsi="Arial" w:cs="Arial"/>
                <w:sz w:val="20"/>
                <w:szCs w:val="20"/>
              </w:rPr>
              <w:t>4</w:t>
            </w:r>
          </w:p>
        </w:tc>
        <w:tc>
          <w:tcPr>
            <w:tcW w:w="709" w:type="dxa"/>
          </w:tcPr>
          <w:p w14:paraId="08D252CA" w14:textId="77777777" w:rsidR="004A3C87" w:rsidRPr="00546BAF" w:rsidRDefault="004A3C87" w:rsidP="00270965">
            <w:pPr>
              <w:rPr>
                <w:rFonts w:ascii="Arial" w:hAnsi="Arial" w:cs="Arial"/>
                <w:sz w:val="20"/>
                <w:szCs w:val="20"/>
              </w:rPr>
            </w:pPr>
            <w:r w:rsidRPr="00546BAF">
              <w:rPr>
                <w:rFonts w:ascii="Arial" w:hAnsi="Arial" w:cs="Arial"/>
                <w:sz w:val="20"/>
                <w:szCs w:val="20"/>
              </w:rPr>
              <w:t>2.66</w:t>
            </w:r>
          </w:p>
        </w:tc>
        <w:tc>
          <w:tcPr>
            <w:tcW w:w="992" w:type="dxa"/>
          </w:tcPr>
          <w:p w14:paraId="07BECCE7" w14:textId="77777777" w:rsidR="004A3C87" w:rsidRPr="00546BAF" w:rsidRDefault="004A3C87" w:rsidP="00270965">
            <w:pPr>
              <w:rPr>
                <w:rFonts w:ascii="Arial" w:hAnsi="Arial" w:cs="Arial"/>
                <w:sz w:val="20"/>
                <w:szCs w:val="20"/>
              </w:rPr>
            </w:pPr>
            <w:r w:rsidRPr="00546BAF">
              <w:rPr>
                <w:rFonts w:ascii="Arial" w:hAnsi="Arial" w:cs="Arial"/>
                <w:sz w:val="20"/>
                <w:szCs w:val="20"/>
              </w:rPr>
              <w:t>75.63</w:t>
            </w:r>
          </w:p>
        </w:tc>
        <w:tc>
          <w:tcPr>
            <w:tcW w:w="479" w:type="dxa"/>
          </w:tcPr>
          <w:p w14:paraId="3DC77244" w14:textId="77777777" w:rsidR="004A3C87" w:rsidRPr="00546BAF" w:rsidRDefault="004A3C87" w:rsidP="00270965">
            <w:pPr>
              <w:rPr>
                <w:rFonts w:ascii="Arial" w:hAnsi="Arial" w:cs="Arial"/>
                <w:sz w:val="20"/>
                <w:szCs w:val="20"/>
              </w:rPr>
            </w:pPr>
            <w:r w:rsidRPr="00546BAF">
              <w:rPr>
                <w:rFonts w:ascii="Arial" w:hAnsi="Arial" w:cs="Arial"/>
                <w:sz w:val="20"/>
                <w:szCs w:val="20"/>
              </w:rPr>
              <w:t>23</w:t>
            </w:r>
          </w:p>
        </w:tc>
        <w:tc>
          <w:tcPr>
            <w:tcW w:w="1061" w:type="dxa"/>
          </w:tcPr>
          <w:p w14:paraId="277764F5" w14:textId="77777777" w:rsidR="004A3C87" w:rsidRPr="00546BAF" w:rsidRDefault="004A3C87" w:rsidP="00270965">
            <w:pPr>
              <w:rPr>
                <w:rFonts w:ascii="Arial" w:hAnsi="Arial" w:cs="Arial"/>
                <w:sz w:val="20"/>
                <w:szCs w:val="20"/>
              </w:rPr>
            </w:pPr>
            <w:r w:rsidRPr="00546BAF">
              <w:rPr>
                <w:rFonts w:ascii="Arial" w:hAnsi="Arial" w:cs="Arial"/>
                <w:sz w:val="20"/>
                <w:szCs w:val="20"/>
              </w:rPr>
              <w:t>311.34</w:t>
            </w:r>
          </w:p>
        </w:tc>
        <w:tc>
          <w:tcPr>
            <w:tcW w:w="617" w:type="dxa"/>
          </w:tcPr>
          <w:p w14:paraId="2A68E512" w14:textId="77777777" w:rsidR="004A3C87" w:rsidRPr="00546BAF" w:rsidRDefault="004A3C87" w:rsidP="00270965">
            <w:pPr>
              <w:rPr>
                <w:rFonts w:ascii="Arial" w:hAnsi="Arial" w:cs="Arial"/>
                <w:sz w:val="20"/>
                <w:szCs w:val="20"/>
              </w:rPr>
            </w:pPr>
            <w:r w:rsidRPr="00546BAF">
              <w:rPr>
                <w:rFonts w:ascii="Arial" w:hAnsi="Arial" w:cs="Arial"/>
                <w:sz w:val="20"/>
                <w:szCs w:val="20"/>
              </w:rPr>
              <w:t>5</w:t>
            </w:r>
          </w:p>
        </w:tc>
        <w:tc>
          <w:tcPr>
            <w:tcW w:w="890" w:type="dxa"/>
          </w:tcPr>
          <w:p w14:paraId="1528A3C1" w14:textId="77777777" w:rsidR="004A3C87" w:rsidRPr="00546BAF" w:rsidRDefault="004A3C87" w:rsidP="00270965">
            <w:pPr>
              <w:rPr>
                <w:rFonts w:ascii="Arial" w:hAnsi="Arial" w:cs="Arial"/>
                <w:sz w:val="20"/>
                <w:szCs w:val="20"/>
              </w:rPr>
            </w:pPr>
            <w:r w:rsidRPr="00546BAF">
              <w:rPr>
                <w:rFonts w:ascii="Arial" w:hAnsi="Arial" w:cs="Arial"/>
                <w:sz w:val="20"/>
                <w:szCs w:val="20"/>
              </w:rPr>
              <w:t>2</w:t>
            </w:r>
          </w:p>
        </w:tc>
        <w:tc>
          <w:tcPr>
            <w:tcW w:w="1182" w:type="dxa"/>
          </w:tcPr>
          <w:p w14:paraId="531EF024" w14:textId="77777777" w:rsidR="004A3C87" w:rsidRPr="00546BAF" w:rsidRDefault="004A3C87" w:rsidP="00270965">
            <w:pPr>
              <w:rPr>
                <w:rFonts w:ascii="Arial" w:hAnsi="Arial" w:cs="Arial"/>
                <w:sz w:val="20"/>
                <w:szCs w:val="20"/>
              </w:rPr>
            </w:pPr>
            <w:r w:rsidRPr="00546BAF">
              <w:rPr>
                <w:rFonts w:ascii="Arial" w:hAnsi="Arial" w:cs="Arial"/>
                <w:sz w:val="20"/>
                <w:szCs w:val="20"/>
              </w:rPr>
              <w:t>0</w:t>
            </w:r>
          </w:p>
        </w:tc>
        <w:tc>
          <w:tcPr>
            <w:tcW w:w="708" w:type="dxa"/>
          </w:tcPr>
          <w:p w14:paraId="64EF646D" w14:textId="77777777" w:rsidR="004A3C87" w:rsidRPr="00546BAF" w:rsidRDefault="004A3C87" w:rsidP="00270965">
            <w:pPr>
              <w:rPr>
                <w:rFonts w:ascii="Arial" w:hAnsi="Arial" w:cs="Arial"/>
                <w:sz w:val="20"/>
                <w:szCs w:val="20"/>
              </w:rPr>
            </w:pPr>
            <w:r w:rsidRPr="00546BAF">
              <w:rPr>
                <w:rFonts w:ascii="Arial" w:hAnsi="Arial" w:cs="Arial"/>
                <w:sz w:val="20"/>
                <w:szCs w:val="20"/>
              </w:rPr>
              <w:t>5</w:t>
            </w:r>
          </w:p>
        </w:tc>
        <w:tc>
          <w:tcPr>
            <w:tcW w:w="877" w:type="dxa"/>
          </w:tcPr>
          <w:p w14:paraId="4EEC9126" w14:textId="77777777" w:rsidR="004A3C87" w:rsidRPr="00546BAF" w:rsidRDefault="004A3C87" w:rsidP="00270965">
            <w:pPr>
              <w:rPr>
                <w:rFonts w:ascii="Arial" w:hAnsi="Arial" w:cs="Arial"/>
                <w:sz w:val="20"/>
                <w:szCs w:val="20"/>
              </w:rPr>
            </w:pPr>
            <w:r w:rsidRPr="00546BAF">
              <w:rPr>
                <w:rFonts w:ascii="Arial" w:hAnsi="Arial" w:cs="Arial"/>
                <w:sz w:val="20"/>
                <w:szCs w:val="20"/>
              </w:rPr>
              <w:t>283.36</w:t>
            </w:r>
          </w:p>
        </w:tc>
      </w:tr>
      <w:tr w:rsidR="004A3C87" w:rsidRPr="00546BAF" w14:paraId="702ECA6F" w14:textId="77777777" w:rsidTr="00270965">
        <w:tc>
          <w:tcPr>
            <w:tcW w:w="846" w:type="dxa"/>
          </w:tcPr>
          <w:p w14:paraId="7F7721CD" w14:textId="77777777" w:rsidR="004A3C87" w:rsidRPr="00546BAF" w:rsidRDefault="00F8728E" w:rsidP="00270965">
            <w:pPr>
              <w:rPr>
                <w:rFonts w:ascii="Arial" w:hAnsi="Arial" w:cs="Arial"/>
                <w:sz w:val="20"/>
                <w:szCs w:val="20"/>
              </w:rPr>
            </w:pPr>
            <w:r w:rsidRPr="00546BAF">
              <w:rPr>
                <w:rFonts w:ascii="Arial" w:hAnsi="Arial" w:cs="Arial"/>
                <w:sz w:val="20"/>
                <w:szCs w:val="20"/>
              </w:rPr>
              <w:t>FA</w:t>
            </w:r>
            <w:r w:rsidR="004A3C87" w:rsidRPr="00546BAF">
              <w:rPr>
                <w:rFonts w:ascii="Arial" w:hAnsi="Arial" w:cs="Arial"/>
                <w:sz w:val="20"/>
                <w:szCs w:val="20"/>
              </w:rPr>
              <w:t>5</w:t>
            </w:r>
          </w:p>
        </w:tc>
        <w:tc>
          <w:tcPr>
            <w:tcW w:w="709" w:type="dxa"/>
          </w:tcPr>
          <w:p w14:paraId="1858A1E6" w14:textId="77777777" w:rsidR="004A3C87" w:rsidRPr="00546BAF" w:rsidRDefault="004A3C87" w:rsidP="00270965">
            <w:pPr>
              <w:rPr>
                <w:rFonts w:ascii="Arial" w:hAnsi="Arial" w:cs="Arial"/>
                <w:sz w:val="20"/>
                <w:szCs w:val="20"/>
              </w:rPr>
            </w:pPr>
            <w:r w:rsidRPr="00546BAF">
              <w:rPr>
                <w:rFonts w:ascii="Arial" w:hAnsi="Arial" w:cs="Arial"/>
                <w:sz w:val="20"/>
                <w:szCs w:val="20"/>
              </w:rPr>
              <w:t>2.68</w:t>
            </w:r>
          </w:p>
        </w:tc>
        <w:tc>
          <w:tcPr>
            <w:tcW w:w="992" w:type="dxa"/>
          </w:tcPr>
          <w:p w14:paraId="1B47A1BD" w14:textId="77777777" w:rsidR="004A3C87" w:rsidRPr="00546BAF" w:rsidRDefault="004A3C87" w:rsidP="00270965">
            <w:pPr>
              <w:rPr>
                <w:rFonts w:ascii="Arial" w:hAnsi="Arial" w:cs="Arial"/>
                <w:sz w:val="20"/>
                <w:szCs w:val="20"/>
              </w:rPr>
            </w:pPr>
            <w:r w:rsidRPr="00546BAF">
              <w:rPr>
                <w:rFonts w:ascii="Arial" w:hAnsi="Arial" w:cs="Arial"/>
                <w:sz w:val="20"/>
                <w:szCs w:val="20"/>
              </w:rPr>
              <w:t>75.63</w:t>
            </w:r>
          </w:p>
        </w:tc>
        <w:tc>
          <w:tcPr>
            <w:tcW w:w="479" w:type="dxa"/>
          </w:tcPr>
          <w:p w14:paraId="26149772" w14:textId="77777777" w:rsidR="004A3C87" w:rsidRPr="00546BAF" w:rsidRDefault="004A3C87" w:rsidP="00270965">
            <w:pPr>
              <w:rPr>
                <w:rFonts w:ascii="Arial" w:hAnsi="Arial" w:cs="Arial"/>
                <w:sz w:val="20"/>
                <w:szCs w:val="20"/>
              </w:rPr>
            </w:pPr>
            <w:r w:rsidRPr="00546BAF">
              <w:rPr>
                <w:rFonts w:ascii="Arial" w:hAnsi="Arial" w:cs="Arial"/>
                <w:sz w:val="20"/>
                <w:szCs w:val="20"/>
              </w:rPr>
              <w:t>23</w:t>
            </w:r>
          </w:p>
        </w:tc>
        <w:tc>
          <w:tcPr>
            <w:tcW w:w="1061" w:type="dxa"/>
          </w:tcPr>
          <w:p w14:paraId="7F02A456" w14:textId="77777777" w:rsidR="004A3C87" w:rsidRPr="00546BAF" w:rsidRDefault="004A3C87" w:rsidP="00270965">
            <w:pPr>
              <w:rPr>
                <w:rFonts w:ascii="Arial" w:hAnsi="Arial" w:cs="Arial"/>
                <w:sz w:val="20"/>
                <w:szCs w:val="20"/>
              </w:rPr>
            </w:pPr>
            <w:r w:rsidRPr="00546BAF">
              <w:rPr>
                <w:rFonts w:ascii="Arial" w:hAnsi="Arial" w:cs="Arial"/>
                <w:sz w:val="20"/>
                <w:szCs w:val="20"/>
              </w:rPr>
              <w:t>311.34</w:t>
            </w:r>
          </w:p>
        </w:tc>
        <w:tc>
          <w:tcPr>
            <w:tcW w:w="617" w:type="dxa"/>
          </w:tcPr>
          <w:p w14:paraId="236772BA" w14:textId="77777777" w:rsidR="004A3C87" w:rsidRPr="00546BAF" w:rsidRDefault="004A3C87" w:rsidP="00270965">
            <w:pPr>
              <w:rPr>
                <w:rFonts w:ascii="Arial" w:hAnsi="Arial" w:cs="Arial"/>
                <w:sz w:val="20"/>
                <w:szCs w:val="20"/>
              </w:rPr>
            </w:pPr>
            <w:r w:rsidRPr="00546BAF">
              <w:rPr>
                <w:rFonts w:ascii="Arial" w:hAnsi="Arial" w:cs="Arial"/>
                <w:sz w:val="20"/>
                <w:szCs w:val="20"/>
              </w:rPr>
              <w:t>5</w:t>
            </w:r>
          </w:p>
        </w:tc>
        <w:tc>
          <w:tcPr>
            <w:tcW w:w="890" w:type="dxa"/>
          </w:tcPr>
          <w:p w14:paraId="52A90A3C" w14:textId="77777777" w:rsidR="004A3C87" w:rsidRPr="00546BAF" w:rsidRDefault="004A3C87" w:rsidP="00270965">
            <w:pPr>
              <w:rPr>
                <w:rFonts w:ascii="Arial" w:hAnsi="Arial" w:cs="Arial"/>
                <w:sz w:val="20"/>
                <w:szCs w:val="20"/>
              </w:rPr>
            </w:pPr>
            <w:r w:rsidRPr="00546BAF">
              <w:rPr>
                <w:rFonts w:ascii="Arial" w:hAnsi="Arial" w:cs="Arial"/>
                <w:sz w:val="20"/>
                <w:szCs w:val="20"/>
              </w:rPr>
              <w:t>2</w:t>
            </w:r>
          </w:p>
        </w:tc>
        <w:tc>
          <w:tcPr>
            <w:tcW w:w="1182" w:type="dxa"/>
          </w:tcPr>
          <w:p w14:paraId="39FA7045" w14:textId="77777777" w:rsidR="004A3C87" w:rsidRPr="00546BAF" w:rsidRDefault="004A3C87" w:rsidP="00270965">
            <w:pPr>
              <w:rPr>
                <w:rFonts w:ascii="Arial" w:hAnsi="Arial" w:cs="Arial"/>
                <w:sz w:val="20"/>
                <w:szCs w:val="20"/>
              </w:rPr>
            </w:pPr>
            <w:r w:rsidRPr="00546BAF">
              <w:rPr>
                <w:rFonts w:ascii="Arial" w:hAnsi="Arial" w:cs="Arial"/>
                <w:sz w:val="20"/>
                <w:szCs w:val="20"/>
              </w:rPr>
              <w:t>0</w:t>
            </w:r>
          </w:p>
        </w:tc>
        <w:tc>
          <w:tcPr>
            <w:tcW w:w="708" w:type="dxa"/>
          </w:tcPr>
          <w:p w14:paraId="57B1E40D" w14:textId="77777777" w:rsidR="004A3C87" w:rsidRPr="00546BAF" w:rsidRDefault="004A3C87" w:rsidP="00270965">
            <w:pPr>
              <w:rPr>
                <w:rFonts w:ascii="Arial" w:hAnsi="Arial" w:cs="Arial"/>
                <w:sz w:val="20"/>
                <w:szCs w:val="20"/>
              </w:rPr>
            </w:pPr>
            <w:r w:rsidRPr="00546BAF">
              <w:rPr>
                <w:rFonts w:ascii="Arial" w:hAnsi="Arial" w:cs="Arial"/>
                <w:sz w:val="20"/>
                <w:szCs w:val="20"/>
              </w:rPr>
              <w:t>5</w:t>
            </w:r>
          </w:p>
        </w:tc>
        <w:tc>
          <w:tcPr>
            <w:tcW w:w="877" w:type="dxa"/>
          </w:tcPr>
          <w:p w14:paraId="5E86B085" w14:textId="77777777" w:rsidR="004A3C87" w:rsidRPr="00546BAF" w:rsidRDefault="004A3C87" w:rsidP="00270965">
            <w:pPr>
              <w:rPr>
                <w:rFonts w:ascii="Arial" w:hAnsi="Arial" w:cs="Arial"/>
                <w:sz w:val="20"/>
                <w:szCs w:val="20"/>
              </w:rPr>
            </w:pPr>
            <w:r w:rsidRPr="00546BAF">
              <w:rPr>
                <w:rFonts w:ascii="Arial" w:hAnsi="Arial" w:cs="Arial"/>
                <w:sz w:val="20"/>
                <w:szCs w:val="20"/>
              </w:rPr>
              <w:t>283.36</w:t>
            </w:r>
          </w:p>
        </w:tc>
      </w:tr>
      <w:tr w:rsidR="004A3C87" w:rsidRPr="00546BAF" w14:paraId="0FB863A5" w14:textId="77777777" w:rsidTr="00270965">
        <w:tc>
          <w:tcPr>
            <w:tcW w:w="846" w:type="dxa"/>
          </w:tcPr>
          <w:p w14:paraId="4E1908A6" w14:textId="77777777" w:rsidR="004A3C87" w:rsidRPr="00546BAF" w:rsidRDefault="00F8728E" w:rsidP="00270965">
            <w:pPr>
              <w:rPr>
                <w:rFonts w:ascii="Arial" w:hAnsi="Arial" w:cs="Arial"/>
                <w:sz w:val="20"/>
                <w:szCs w:val="20"/>
              </w:rPr>
            </w:pPr>
            <w:r w:rsidRPr="00546BAF">
              <w:rPr>
                <w:rFonts w:ascii="Arial" w:hAnsi="Arial" w:cs="Arial"/>
                <w:sz w:val="20"/>
                <w:szCs w:val="20"/>
              </w:rPr>
              <w:t>FA</w:t>
            </w:r>
            <w:r w:rsidR="004A3C87" w:rsidRPr="00546BAF">
              <w:rPr>
                <w:rFonts w:ascii="Arial" w:hAnsi="Arial" w:cs="Arial"/>
                <w:sz w:val="20"/>
                <w:szCs w:val="20"/>
              </w:rPr>
              <w:t>6</w:t>
            </w:r>
          </w:p>
        </w:tc>
        <w:tc>
          <w:tcPr>
            <w:tcW w:w="709" w:type="dxa"/>
          </w:tcPr>
          <w:p w14:paraId="316D99C1" w14:textId="77777777" w:rsidR="004A3C87" w:rsidRPr="00546BAF" w:rsidRDefault="004A3C87" w:rsidP="00270965">
            <w:pPr>
              <w:rPr>
                <w:rFonts w:ascii="Arial" w:hAnsi="Arial" w:cs="Arial"/>
                <w:sz w:val="20"/>
                <w:szCs w:val="20"/>
              </w:rPr>
            </w:pPr>
            <w:r w:rsidRPr="00546BAF">
              <w:rPr>
                <w:rFonts w:ascii="Arial" w:hAnsi="Arial" w:cs="Arial"/>
                <w:sz w:val="20"/>
                <w:szCs w:val="20"/>
              </w:rPr>
              <w:t>2.71</w:t>
            </w:r>
          </w:p>
        </w:tc>
        <w:tc>
          <w:tcPr>
            <w:tcW w:w="992" w:type="dxa"/>
          </w:tcPr>
          <w:p w14:paraId="54B04599" w14:textId="77777777" w:rsidR="004A3C87" w:rsidRPr="00546BAF" w:rsidRDefault="004A3C87" w:rsidP="00270965">
            <w:pPr>
              <w:rPr>
                <w:rFonts w:ascii="Arial" w:hAnsi="Arial" w:cs="Arial"/>
                <w:sz w:val="20"/>
                <w:szCs w:val="20"/>
              </w:rPr>
            </w:pPr>
            <w:r w:rsidRPr="00546BAF">
              <w:rPr>
                <w:rFonts w:ascii="Arial" w:hAnsi="Arial" w:cs="Arial"/>
                <w:sz w:val="20"/>
                <w:szCs w:val="20"/>
              </w:rPr>
              <w:t>75.63</w:t>
            </w:r>
          </w:p>
        </w:tc>
        <w:tc>
          <w:tcPr>
            <w:tcW w:w="479" w:type="dxa"/>
          </w:tcPr>
          <w:p w14:paraId="096AD92D" w14:textId="77777777" w:rsidR="004A3C87" w:rsidRPr="00546BAF" w:rsidRDefault="004A3C87" w:rsidP="00270965">
            <w:pPr>
              <w:rPr>
                <w:rFonts w:ascii="Arial" w:hAnsi="Arial" w:cs="Arial"/>
                <w:sz w:val="20"/>
                <w:szCs w:val="20"/>
              </w:rPr>
            </w:pPr>
            <w:r w:rsidRPr="00546BAF">
              <w:rPr>
                <w:rFonts w:ascii="Arial" w:hAnsi="Arial" w:cs="Arial"/>
                <w:sz w:val="20"/>
                <w:szCs w:val="20"/>
              </w:rPr>
              <w:t>23</w:t>
            </w:r>
          </w:p>
        </w:tc>
        <w:tc>
          <w:tcPr>
            <w:tcW w:w="1061" w:type="dxa"/>
          </w:tcPr>
          <w:p w14:paraId="631A379C" w14:textId="77777777" w:rsidR="004A3C87" w:rsidRPr="00546BAF" w:rsidRDefault="004A3C87" w:rsidP="00270965">
            <w:pPr>
              <w:rPr>
                <w:rFonts w:ascii="Arial" w:hAnsi="Arial" w:cs="Arial"/>
                <w:sz w:val="20"/>
                <w:szCs w:val="20"/>
              </w:rPr>
            </w:pPr>
            <w:r w:rsidRPr="00546BAF">
              <w:rPr>
                <w:rFonts w:ascii="Arial" w:hAnsi="Arial" w:cs="Arial"/>
                <w:sz w:val="20"/>
                <w:szCs w:val="20"/>
              </w:rPr>
              <w:t>311.34</w:t>
            </w:r>
          </w:p>
        </w:tc>
        <w:tc>
          <w:tcPr>
            <w:tcW w:w="617" w:type="dxa"/>
          </w:tcPr>
          <w:p w14:paraId="7FD45893" w14:textId="77777777" w:rsidR="004A3C87" w:rsidRPr="00546BAF" w:rsidRDefault="004A3C87" w:rsidP="00270965">
            <w:pPr>
              <w:rPr>
                <w:rFonts w:ascii="Arial" w:hAnsi="Arial" w:cs="Arial"/>
                <w:sz w:val="20"/>
                <w:szCs w:val="20"/>
              </w:rPr>
            </w:pPr>
            <w:r w:rsidRPr="00546BAF">
              <w:rPr>
                <w:rFonts w:ascii="Arial" w:hAnsi="Arial" w:cs="Arial"/>
                <w:sz w:val="20"/>
                <w:szCs w:val="20"/>
              </w:rPr>
              <w:t>5</w:t>
            </w:r>
          </w:p>
        </w:tc>
        <w:tc>
          <w:tcPr>
            <w:tcW w:w="890" w:type="dxa"/>
          </w:tcPr>
          <w:p w14:paraId="1056F7BE" w14:textId="77777777" w:rsidR="004A3C87" w:rsidRPr="00546BAF" w:rsidRDefault="004A3C87" w:rsidP="00270965">
            <w:pPr>
              <w:rPr>
                <w:rFonts w:ascii="Arial" w:hAnsi="Arial" w:cs="Arial"/>
                <w:sz w:val="20"/>
                <w:szCs w:val="20"/>
              </w:rPr>
            </w:pPr>
            <w:r w:rsidRPr="00546BAF">
              <w:rPr>
                <w:rFonts w:ascii="Arial" w:hAnsi="Arial" w:cs="Arial"/>
                <w:sz w:val="20"/>
                <w:szCs w:val="20"/>
              </w:rPr>
              <w:t>2</w:t>
            </w:r>
          </w:p>
        </w:tc>
        <w:tc>
          <w:tcPr>
            <w:tcW w:w="1182" w:type="dxa"/>
          </w:tcPr>
          <w:p w14:paraId="736ADCB5" w14:textId="77777777" w:rsidR="004A3C87" w:rsidRPr="00546BAF" w:rsidRDefault="004A3C87" w:rsidP="00270965">
            <w:pPr>
              <w:rPr>
                <w:rFonts w:ascii="Arial" w:hAnsi="Arial" w:cs="Arial"/>
                <w:sz w:val="20"/>
                <w:szCs w:val="20"/>
              </w:rPr>
            </w:pPr>
            <w:r w:rsidRPr="00546BAF">
              <w:rPr>
                <w:rFonts w:ascii="Arial" w:hAnsi="Arial" w:cs="Arial"/>
                <w:sz w:val="20"/>
                <w:szCs w:val="20"/>
              </w:rPr>
              <w:t>0</w:t>
            </w:r>
          </w:p>
        </w:tc>
        <w:tc>
          <w:tcPr>
            <w:tcW w:w="708" w:type="dxa"/>
          </w:tcPr>
          <w:p w14:paraId="65A1FDCB" w14:textId="77777777" w:rsidR="004A3C87" w:rsidRPr="00546BAF" w:rsidRDefault="004A3C87" w:rsidP="00270965">
            <w:pPr>
              <w:rPr>
                <w:rFonts w:ascii="Arial" w:hAnsi="Arial" w:cs="Arial"/>
                <w:sz w:val="20"/>
                <w:szCs w:val="20"/>
              </w:rPr>
            </w:pPr>
            <w:r w:rsidRPr="00546BAF">
              <w:rPr>
                <w:rFonts w:ascii="Arial" w:hAnsi="Arial" w:cs="Arial"/>
                <w:sz w:val="20"/>
                <w:szCs w:val="20"/>
              </w:rPr>
              <w:t>5</w:t>
            </w:r>
          </w:p>
        </w:tc>
        <w:tc>
          <w:tcPr>
            <w:tcW w:w="877" w:type="dxa"/>
          </w:tcPr>
          <w:p w14:paraId="12924045" w14:textId="77777777" w:rsidR="004A3C87" w:rsidRPr="00546BAF" w:rsidRDefault="004A3C87" w:rsidP="00270965">
            <w:pPr>
              <w:rPr>
                <w:rFonts w:ascii="Arial" w:hAnsi="Arial" w:cs="Arial"/>
                <w:sz w:val="20"/>
                <w:szCs w:val="20"/>
              </w:rPr>
            </w:pPr>
            <w:r w:rsidRPr="00546BAF">
              <w:rPr>
                <w:rFonts w:ascii="Arial" w:hAnsi="Arial" w:cs="Arial"/>
                <w:sz w:val="20"/>
                <w:szCs w:val="20"/>
              </w:rPr>
              <w:t>283.36</w:t>
            </w:r>
          </w:p>
        </w:tc>
      </w:tr>
      <w:tr w:rsidR="004A3C87" w:rsidRPr="00546BAF" w14:paraId="2DE673AC" w14:textId="77777777" w:rsidTr="00270965">
        <w:tc>
          <w:tcPr>
            <w:tcW w:w="846" w:type="dxa"/>
          </w:tcPr>
          <w:p w14:paraId="2FD37CD8" w14:textId="77777777" w:rsidR="004A3C87" w:rsidRPr="00546BAF" w:rsidRDefault="00F8728E" w:rsidP="00270965">
            <w:pPr>
              <w:rPr>
                <w:rFonts w:ascii="Arial" w:hAnsi="Arial" w:cs="Arial"/>
                <w:sz w:val="20"/>
                <w:szCs w:val="20"/>
              </w:rPr>
            </w:pPr>
            <w:r w:rsidRPr="00546BAF">
              <w:rPr>
                <w:rFonts w:ascii="Arial" w:hAnsi="Arial" w:cs="Arial"/>
                <w:sz w:val="20"/>
                <w:szCs w:val="20"/>
              </w:rPr>
              <w:t>FA</w:t>
            </w:r>
            <w:r w:rsidR="004A3C87" w:rsidRPr="00546BAF">
              <w:rPr>
                <w:rFonts w:ascii="Arial" w:hAnsi="Arial" w:cs="Arial"/>
                <w:sz w:val="20"/>
                <w:szCs w:val="20"/>
              </w:rPr>
              <w:t>7</w:t>
            </w:r>
          </w:p>
        </w:tc>
        <w:tc>
          <w:tcPr>
            <w:tcW w:w="709" w:type="dxa"/>
          </w:tcPr>
          <w:p w14:paraId="5F694462" w14:textId="77777777" w:rsidR="004A3C87" w:rsidRPr="00546BAF" w:rsidRDefault="004A3C87" w:rsidP="00270965">
            <w:pPr>
              <w:rPr>
                <w:rFonts w:ascii="Arial" w:hAnsi="Arial" w:cs="Arial"/>
                <w:sz w:val="20"/>
                <w:szCs w:val="20"/>
              </w:rPr>
            </w:pPr>
            <w:r w:rsidRPr="00546BAF">
              <w:rPr>
                <w:rFonts w:ascii="Arial" w:hAnsi="Arial" w:cs="Arial"/>
                <w:sz w:val="20"/>
                <w:szCs w:val="20"/>
              </w:rPr>
              <w:t>-0.20</w:t>
            </w:r>
          </w:p>
        </w:tc>
        <w:tc>
          <w:tcPr>
            <w:tcW w:w="992" w:type="dxa"/>
          </w:tcPr>
          <w:p w14:paraId="64713C3D" w14:textId="77777777" w:rsidR="004A3C87" w:rsidRPr="00546BAF" w:rsidRDefault="004A3C87" w:rsidP="00270965">
            <w:pPr>
              <w:rPr>
                <w:rFonts w:ascii="Arial" w:hAnsi="Arial" w:cs="Arial"/>
                <w:sz w:val="20"/>
                <w:szCs w:val="20"/>
              </w:rPr>
            </w:pPr>
            <w:r w:rsidRPr="00546BAF">
              <w:rPr>
                <w:rFonts w:ascii="Arial" w:hAnsi="Arial" w:cs="Arial"/>
                <w:sz w:val="20"/>
                <w:szCs w:val="20"/>
              </w:rPr>
              <w:t>112.93</w:t>
            </w:r>
          </w:p>
        </w:tc>
        <w:tc>
          <w:tcPr>
            <w:tcW w:w="479" w:type="dxa"/>
          </w:tcPr>
          <w:p w14:paraId="6720EBCA" w14:textId="77777777" w:rsidR="004A3C87" w:rsidRPr="00546BAF" w:rsidRDefault="004A3C87" w:rsidP="00270965">
            <w:pPr>
              <w:rPr>
                <w:rFonts w:ascii="Arial" w:hAnsi="Arial" w:cs="Arial"/>
                <w:sz w:val="20"/>
                <w:szCs w:val="20"/>
              </w:rPr>
            </w:pPr>
            <w:r w:rsidRPr="00546BAF">
              <w:rPr>
                <w:rFonts w:ascii="Arial" w:hAnsi="Arial" w:cs="Arial"/>
                <w:sz w:val="20"/>
                <w:szCs w:val="20"/>
              </w:rPr>
              <w:t>24</w:t>
            </w:r>
          </w:p>
        </w:tc>
        <w:tc>
          <w:tcPr>
            <w:tcW w:w="1061" w:type="dxa"/>
          </w:tcPr>
          <w:p w14:paraId="75029958" w14:textId="77777777" w:rsidR="004A3C87" w:rsidRPr="00546BAF" w:rsidRDefault="004A3C87" w:rsidP="00270965">
            <w:pPr>
              <w:rPr>
                <w:rFonts w:ascii="Arial" w:hAnsi="Arial" w:cs="Arial"/>
                <w:sz w:val="20"/>
                <w:szCs w:val="20"/>
              </w:rPr>
            </w:pPr>
            <w:r w:rsidRPr="00546BAF">
              <w:rPr>
                <w:rFonts w:ascii="Arial" w:hAnsi="Arial" w:cs="Arial"/>
                <w:sz w:val="20"/>
                <w:szCs w:val="20"/>
              </w:rPr>
              <w:t>349.36</w:t>
            </w:r>
          </w:p>
        </w:tc>
        <w:tc>
          <w:tcPr>
            <w:tcW w:w="617" w:type="dxa"/>
          </w:tcPr>
          <w:p w14:paraId="7FC1B38F" w14:textId="77777777" w:rsidR="004A3C87" w:rsidRPr="00546BAF" w:rsidRDefault="004A3C87" w:rsidP="00270965">
            <w:pPr>
              <w:rPr>
                <w:rFonts w:ascii="Arial" w:hAnsi="Arial" w:cs="Arial"/>
                <w:sz w:val="20"/>
                <w:szCs w:val="20"/>
              </w:rPr>
            </w:pPr>
            <w:r w:rsidRPr="00546BAF">
              <w:rPr>
                <w:rFonts w:ascii="Arial" w:hAnsi="Arial" w:cs="Arial"/>
                <w:sz w:val="20"/>
                <w:szCs w:val="20"/>
              </w:rPr>
              <w:t>7</w:t>
            </w:r>
          </w:p>
        </w:tc>
        <w:tc>
          <w:tcPr>
            <w:tcW w:w="890" w:type="dxa"/>
          </w:tcPr>
          <w:p w14:paraId="4512790C" w14:textId="77777777" w:rsidR="004A3C87" w:rsidRPr="00546BAF" w:rsidRDefault="004A3C87" w:rsidP="00270965">
            <w:pPr>
              <w:rPr>
                <w:rFonts w:ascii="Arial" w:hAnsi="Arial" w:cs="Arial"/>
                <w:sz w:val="20"/>
                <w:szCs w:val="20"/>
              </w:rPr>
            </w:pPr>
            <w:r w:rsidRPr="00546BAF">
              <w:rPr>
                <w:rFonts w:ascii="Arial" w:hAnsi="Arial" w:cs="Arial"/>
                <w:sz w:val="20"/>
                <w:szCs w:val="20"/>
              </w:rPr>
              <w:t>3</w:t>
            </w:r>
          </w:p>
        </w:tc>
        <w:tc>
          <w:tcPr>
            <w:tcW w:w="1182" w:type="dxa"/>
          </w:tcPr>
          <w:p w14:paraId="70BAA430" w14:textId="77777777" w:rsidR="004A3C87" w:rsidRPr="00546BAF" w:rsidRDefault="004A3C87" w:rsidP="00270965">
            <w:pPr>
              <w:rPr>
                <w:rFonts w:ascii="Arial" w:hAnsi="Arial" w:cs="Arial"/>
                <w:sz w:val="20"/>
                <w:szCs w:val="20"/>
              </w:rPr>
            </w:pPr>
            <w:r w:rsidRPr="00546BAF">
              <w:rPr>
                <w:rFonts w:ascii="Arial" w:hAnsi="Arial" w:cs="Arial"/>
                <w:sz w:val="20"/>
                <w:szCs w:val="20"/>
              </w:rPr>
              <w:t>0</w:t>
            </w:r>
          </w:p>
        </w:tc>
        <w:tc>
          <w:tcPr>
            <w:tcW w:w="708" w:type="dxa"/>
          </w:tcPr>
          <w:p w14:paraId="4339B5AE" w14:textId="77777777" w:rsidR="004A3C87" w:rsidRPr="00546BAF" w:rsidRDefault="004A3C87" w:rsidP="00270965">
            <w:pPr>
              <w:rPr>
                <w:rFonts w:ascii="Arial" w:hAnsi="Arial" w:cs="Arial"/>
                <w:sz w:val="20"/>
                <w:szCs w:val="20"/>
              </w:rPr>
            </w:pPr>
            <w:r w:rsidRPr="00546BAF">
              <w:rPr>
                <w:rFonts w:ascii="Arial" w:hAnsi="Arial" w:cs="Arial"/>
                <w:sz w:val="20"/>
                <w:szCs w:val="20"/>
              </w:rPr>
              <w:t>5</w:t>
            </w:r>
          </w:p>
        </w:tc>
        <w:tc>
          <w:tcPr>
            <w:tcW w:w="877" w:type="dxa"/>
          </w:tcPr>
          <w:p w14:paraId="17FBB1F3" w14:textId="77777777" w:rsidR="004A3C87" w:rsidRPr="00546BAF" w:rsidRDefault="004A3C87" w:rsidP="00270965">
            <w:pPr>
              <w:rPr>
                <w:rFonts w:ascii="Arial" w:hAnsi="Arial" w:cs="Arial"/>
                <w:sz w:val="20"/>
                <w:szCs w:val="20"/>
              </w:rPr>
            </w:pPr>
            <w:r w:rsidRPr="00546BAF">
              <w:rPr>
                <w:rFonts w:ascii="Arial" w:hAnsi="Arial" w:cs="Arial"/>
                <w:sz w:val="20"/>
                <w:szCs w:val="20"/>
              </w:rPr>
              <w:t>287.27</w:t>
            </w:r>
          </w:p>
        </w:tc>
      </w:tr>
      <w:tr w:rsidR="004A3C87" w:rsidRPr="00546BAF" w14:paraId="20391101" w14:textId="77777777" w:rsidTr="00270965">
        <w:tc>
          <w:tcPr>
            <w:tcW w:w="846" w:type="dxa"/>
          </w:tcPr>
          <w:p w14:paraId="7CF05064" w14:textId="77777777" w:rsidR="004A3C87" w:rsidRPr="00546BAF" w:rsidRDefault="00F8728E" w:rsidP="00270965">
            <w:pPr>
              <w:rPr>
                <w:rFonts w:ascii="Arial" w:hAnsi="Arial" w:cs="Arial"/>
                <w:sz w:val="20"/>
                <w:szCs w:val="20"/>
              </w:rPr>
            </w:pPr>
            <w:r w:rsidRPr="00546BAF">
              <w:rPr>
                <w:rFonts w:ascii="Arial" w:hAnsi="Arial" w:cs="Arial"/>
                <w:sz w:val="20"/>
                <w:szCs w:val="20"/>
              </w:rPr>
              <w:t>FA</w:t>
            </w:r>
            <w:r w:rsidR="004A3C87" w:rsidRPr="00546BAF">
              <w:rPr>
                <w:rFonts w:ascii="Arial" w:hAnsi="Arial" w:cs="Arial"/>
                <w:sz w:val="20"/>
                <w:szCs w:val="20"/>
              </w:rPr>
              <w:t>8</w:t>
            </w:r>
          </w:p>
        </w:tc>
        <w:tc>
          <w:tcPr>
            <w:tcW w:w="709" w:type="dxa"/>
          </w:tcPr>
          <w:p w14:paraId="2A491466" w14:textId="77777777" w:rsidR="004A3C87" w:rsidRPr="00546BAF" w:rsidRDefault="004A3C87" w:rsidP="00270965">
            <w:pPr>
              <w:rPr>
                <w:rFonts w:ascii="Arial" w:hAnsi="Arial" w:cs="Arial"/>
                <w:sz w:val="20"/>
                <w:szCs w:val="20"/>
              </w:rPr>
            </w:pPr>
            <w:r w:rsidRPr="00546BAF">
              <w:rPr>
                <w:rFonts w:ascii="Arial" w:hAnsi="Arial" w:cs="Arial"/>
                <w:sz w:val="20"/>
                <w:szCs w:val="20"/>
              </w:rPr>
              <w:t>2.69</w:t>
            </w:r>
          </w:p>
        </w:tc>
        <w:tc>
          <w:tcPr>
            <w:tcW w:w="992" w:type="dxa"/>
          </w:tcPr>
          <w:p w14:paraId="50A06180" w14:textId="77777777" w:rsidR="004A3C87" w:rsidRPr="00546BAF" w:rsidRDefault="004A3C87" w:rsidP="00270965">
            <w:pPr>
              <w:rPr>
                <w:rFonts w:ascii="Arial" w:hAnsi="Arial" w:cs="Arial"/>
                <w:sz w:val="20"/>
                <w:szCs w:val="20"/>
              </w:rPr>
            </w:pPr>
            <w:r w:rsidRPr="00546BAF">
              <w:rPr>
                <w:rFonts w:ascii="Arial" w:hAnsi="Arial" w:cs="Arial"/>
                <w:sz w:val="20"/>
                <w:szCs w:val="20"/>
              </w:rPr>
              <w:t>95.86</w:t>
            </w:r>
          </w:p>
        </w:tc>
        <w:tc>
          <w:tcPr>
            <w:tcW w:w="479" w:type="dxa"/>
          </w:tcPr>
          <w:p w14:paraId="33C93A2D" w14:textId="77777777" w:rsidR="004A3C87" w:rsidRPr="00546BAF" w:rsidRDefault="004A3C87" w:rsidP="00270965">
            <w:pPr>
              <w:rPr>
                <w:rFonts w:ascii="Arial" w:hAnsi="Arial" w:cs="Arial"/>
                <w:sz w:val="20"/>
                <w:szCs w:val="20"/>
              </w:rPr>
            </w:pPr>
            <w:r w:rsidRPr="00546BAF">
              <w:rPr>
                <w:rFonts w:ascii="Arial" w:hAnsi="Arial" w:cs="Arial"/>
                <w:sz w:val="20"/>
                <w:szCs w:val="20"/>
              </w:rPr>
              <w:t>23</w:t>
            </w:r>
          </w:p>
        </w:tc>
        <w:tc>
          <w:tcPr>
            <w:tcW w:w="1061" w:type="dxa"/>
          </w:tcPr>
          <w:p w14:paraId="49C99F8C" w14:textId="77777777" w:rsidR="004A3C87" w:rsidRPr="00546BAF" w:rsidRDefault="004A3C87" w:rsidP="00270965">
            <w:pPr>
              <w:rPr>
                <w:rFonts w:ascii="Arial" w:hAnsi="Arial" w:cs="Arial"/>
                <w:sz w:val="20"/>
                <w:szCs w:val="20"/>
              </w:rPr>
            </w:pPr>
            <w:r w:rsidRPr="00546BAF">
              <w:rPr>
                <w:rFonts w:ascii="Arial" w:hAnsi="Arial" w:cs="Arial"/>
                <w:sz w:val="20"/>
                <w:szCs w:val="20"/>
              </w:rPr>
              <w:t>313.31</w:t>
            </w:r>
          </w:p>
        </w:tc>
        <w:tc>
          <w:tcPr>
            <w:tcW w:w="617" w:type="dxa"/>
          </w:tcPr>
          <w:p w14:paraId="56FA9779" w14:textId="77777777" w:rsidR="004A3C87" w:rsidRPr="00546BAF" w:rsidRDefault="004A3C87" w:rsidP="00270965">
            <w:pPr>
              <w:rPr>
                <w:rFonts w:ascii="Arial" w:hAnsi="Arial" w:cs="Arial"/>
                <w:sz w:val="20"/>
                <w:szCs w:val="20"/>
              </w:rPr>
            </w:pPr>
            <w:r w:rsidRPr="00546BAF">
              <w:rPr>
                <w:rFonts w:ascii="Arial" w:hAnsi="Arial" w:cs="Arial"/>
                <w:sz w:val="20"/>
                <w:szCs w:val="20"/>
              </w:rPr>
              <w:t>6</w:t>
            </w:r>
          </w:p>
        </w:tc>
        <w:tc>
          <w:tcPr>
            <w:tcW w:w="890" w:type="dxa"/>
          </w:tcPr>
          <w:p w14:paraId="6691E016" w14:textId="77777777" w:rsidR="004A3C87" w:rsidRPr="00546BAF" w:rsidRDefault="004A3C87" w:rsidP="00270965">
            <w:pPr>
              <w:rPr>
                <w:rFonts w:ascii="Arial" w:hAnsi="Arial" w:cs="Arial"/>
                <w:sz w:val="20"/>
                <w:szCs w:val="20"/>
              </w:rPr>
            </w:pPr>
            <w:r w:rsidRPr="00546BAF">
              <w:rPr>
                <w:rFonts w:ascii="Arial" w:hAnsi="Arial" w:cs="Arial"/>
                <w:sz w:val="20"/>
                <w:szCs w:val="20"/>
              </w:rPr>
              <w:t>3</w:t>
            </w:r>
          </w:p>
        </w:tc>
        <w:tc>
          <w:tcPr>
            <w:tcW w:w="1182" w:type="dxa"/>
          </w:tcPr>
          <w:p w14:paraId="054E91C0" w14:textId="77777777" w:rsidR="004A3C87" w:rsidRPr="00546BAF" w:rsidRDefault="004A3C87" w:rsidP="00270965">
            <w:pPr>
              <w:rPr>
                <w:rFonts w:ascii="Arial" w:hAnsi="Arial" w:cs="Arial"/>
                <w:sz w:val="20"/>
                <w:szCs w:val="20"/>
              </w:rPr>
            </w:pPr>
            <w:r w:rsidRPr="00546BAF">
              <w:rPr>
                <w:rFonts w:ascii="Arial" w:hAnsi="Arial" w:cs="Arial"/>
                <w:sz w:val="20"/>
                <w:szCs w:val="20"/>
              </w:rPr>
              <w:t>0</w:t>
            </w:r>
          </w:p>
        </w:tc>
        <w:tc>
          <w:tcPr>
            <w:tcW w:w="708" w:type="dxa"/>
          </w:tcPr>
          <w:p w14:paraId="323A197D" w14:textId="77777777" w:rsidR="004A3C87" w:rsidRPr="00546BAF" w:rsidRDefault="004A3C87" w:rsidP="00270965">
            <w:pPr>
              <w:rPr>
                <w:rFonts w:ascii="Arial" w:hAnsi="Arial" w:cs="Arial"/>
                <w:sz w:val="20"/>
                <w:szCs w:val="20"/>
              </w:rPr>
            </w:pPr>
            <w:r w:rsidRPr="00546BAF">
              <w:rPr>
                <w:rFonts w:ascii="Arial" w:hAnsi="Arial" w:cs="Arial"/>
                <w:sz w:val="20"/>
                <w:szCs w:val="20"/>
              </w:rPr>
              <w:t>5</w:t>
            </w:r>
          </w:p>
        </w:tc>
        <w:tc>
          <w:tcPr>
            <w:tcW w:w="877" w:type="dxa"/>
          </w:tcPr>
          <w:p w14:paraId="79F0A6B9" w14:textId="77777777" w:rsidR="004A3C87" w:rsidRPr="00546BAF" w:rsidRDefault="004A3C87" w:rsidP="00270965">
            <w:pPr>
              <w:rPr>
                <w:rFonts w:ascii="Arial" w:hAnsi="Arial" w:cs="Arial"/>
                <w:sz w:val="20"/>
                <w:szCs w:val="20"/>
              </w:rPr>
            </w:pPr>
            <w:r w:rsidRPr="00546BAF">
              <w:rPr>
                <w:rFonts w:ascii="Arial" w:hAnsi="Arial" w:cs="Arial"/>
                <w:sz w:val="20"/>
                <w:szCs w:val="20"/>
              </w:rPr>
              <w:t>274.82</w:t>
            </w:r>
          </w:p>
        </w:tc>
      </w:tr>
      <w:tr w:rsidR="004A3C87" w:rsidRPr="00546BAF" w14:paraId="3AC9F6A3" w14:textId="77777777" w:rsidTr="00270965">
        <w:tc>
          <w:tcPr>
            <w:tcW w:w="846" w:type="dxa"/>
          </w:tcPr>
          <w:p w14:paraId="484E0856" w14:textId="77777777" w:rsidR="004A3C87" w:rsidRPr="00546BAF" w:rsidRDefault="00F8728E" w:rsidP="00270965">
            <w:pPr>
              <w:rPr>
                <w:rFonts w:ascii="Arial" w:hAnsi="Arial" w:cs="Arial"/>
                <w:sz w:val="20"/>
                <w:szCs w:val="20"/>
              </w:rPr>
            </w:pPr>
            <w:r w:rsidRPr="00546BAF">
              <w:rPr>
                <w:rFonts w:ascii="Arial" w:hAnsi="Arial" w:cs="Arial"/>
                <w:sz w:val="20"/>
                <w:szCs w:val="20"/>
              </w:rPr>
              <w:t>FA</w:t>
            </w:r>
            <w:r w:rsidR="004A3C87" w:rsidRPr="00546BAF">
              <w:rPr>
                <w:rFonts w:ascii="Arial" w:hAnsi="Arial" w:cs="Arial"/>
                <w:sz w:val="20"/>
                <w:szCs w:val="20"/>
              </w:rPr>
              <w:t>9</w:t>
            </w:r>
          </w:p>
        </w:tc>
        <w:tc>
          <w:tcPr>
            <w:tcW w:w="709" w:type="dxa"/>
          </w:tcPr>
          <w:p w14:paraId="74A2B530" w14:textId="77777777" w:rsidR="004A3C87" w:rsidRPr="00546BAF" w:rsidRDefault="004A3C87" w:rsidP="00270965">
            <w:pPr>
              <w:rPr>
                <w:rFonts w:ascii="Arial" w:hAnsi="Arial" w:cs="Arial"/>
                <w:sz w:val="20"/>
                <w:szCs w:val="20"/>
              </w:rPr>
            </w:pPr>
            <w:r w:rsidRPr="00546BAF">
              <w:rPr>
                <w:rFonts w:ascii="Arial" w:hAnsi="Arial" w:cs="Arial"/>
                <w:sz w:val="20"/>
                <w:szCs w:val="20"/>
              </w:rPr>
              <w:t>2.92</w:t>
            </w:r>
          </w:p>
        </w:tc>
        <w:tc>
          <w:tcPr>
            <w:tcW w:w="992" w:type="dxa"/>
          </w:tcPr>
          <w:p w14:paraId="210DEC7F" w14:textId="77777777" w:rsidR="004A3C87" w:rsidRPr="00546BAF" w:rsidRDefault="004A3C87" w:rsidP="00270965">
            <w:pPr>
              <w:rPr>
                <w:rFonts w:ascii="Arial" w:hAnsi="Arial" w:cs="Arial"/>
                <w:sz w:val="20"/>
                <w:szCs w:val="20"/>
              </w:rPr>
            </w:pPr>
            <w:r w:rsidRPr="00546BAF">
              <w:rPr>
                <w:rFonts w:ascii="Arial" w:hAnsi="Arial" w:cs="Arial"/>
                <w:sz w:val="20"/>
                <w:szCs w:val="20"/>
              </w:rPr>
              <w:t>58.56</w:t>
            </w:r>
          </w:p>
        </w:tc>
        <w:tc>
          <w:tcPr>
            <w:tcW w:w="479" w:type="dxa"/>
          </w:tcPr>
          <w:p w14:paraId="2E3699EE" w14:textId="77777777" w:rsidR="004A3C87" w:rsidRPr="00546BAF" w:rsidRDefault="004A3C87" w:rsidP="00270965">
            <w:pPr>
              <w:rPr>
                <w:rFonts w:ascii="Arial" w:hAnsi="Arial" w:cs="Arial"/>
                <w:sz w:val="20"/>
                <w:szCs w:val="20"/>
              </w:rPr>
            </w:pPr>
            <w:r w:rsidRPr="00546BAF">
              <w:rPr>
                <w:rFonts w:ascii="Arial" w:hAnsi="Arial" w:cs="Arial"/>
                <w:sz w:val="20"/>
                <w:szCs w:val="20"/>
              </w:rPr>
              <w:t>21</w:t>
            </w:r>
          </w:p>
        </w:tc>
        <w:tc>
          <w:tcPr>
            <w:tcW w:w="1061" w:type="dxa"/>
          </w:tcPr>
          <w:p w14:paraId="7FBC1879" w14:textId="77777777" w:rsidR="004A3C87" w:rsidRPr="00546BAF" w:rsidRDefault="004A3C87" w:rsidP="00270965">
            <w:pPr>
              <w:rPr>
                <w:rFonts w:ascii="Arial" w:hAnsi="Arial" w:cs="Arial"/>
                <w:sz w:val="20"/>
                <w:szCs w:val="20"/>
              </w:rPr>
            </w:pPr>
            <w:r w:rsidRPr="00546BAF">
              <w:rPr>
                <w:rFonts w:ascii="Arial" w:hAnsi="Arial" w:cs="Arial"/>
                <w:sz w:val="20"/>
                <w:szCs w:val="20"/>
              </w:rPr>
              <w:t>287.29</w:t>
            </w:r>
          </w:p>
        </w:tc>
        <w:tc>
          <w:tcPr>
            <w:tcW w:w="617" w:type="dxa"/>
          </w:tcPr>
          <w:p w14:paraId="6E03D211" w14:textId="77777777" w:rsidR="004A3C87" w:rsidRPr="00546BAF" w:rsidRDefault="004A3C87" w:rsidP="00270965">
            <w:pPr>
              <w:rPr>
                <w:rFonts w:ascii="Arial" w:hAnsi="Arial" w:cs="Arial"/>
                <w:sz w:val="20"/>
                <w:szCs w:val="20"/>
              </w:rPr>
            </w:pPr>
            <w:r w:rsidRPr="00546BAF">
              <w:rPr>
                <w:rFonts w:ascii="Arial" w:hAnsi="Arial" w:cs="Arial"/>
                <w:sz w:val="20"/>
                <w:szCs w:val="20"/>
              </w:rPr>
              <w:t>4</w:t>
            </w:r>
          </w:p>
        </w:tc>
        <w:tc>
          <w:tcPr>
            <w:tcW w:w="890" w:type="dxa"/>
          </w:tcPr>
          <w:p w14:paraId="239EB69C" w14:textId="77777777" w:rsidR="004A3C87" w:rsidRPr="00546BAF" w:rsidRDefault="004A3C87" w:rsidP="00270965">
            <w:pPr>
              <w:rPr>
                <w:rFonts w:ascii="Arial" w:hAnsi="Arial" w:cs="Arial"/>
                <w:sz w:val="20"/>
                <w:szCs w:val="20"/>
              </w:rPr>
            </w:pPr>
            <w:r w:rsidRPr="00546BAF">
              <w:rPr>
                <w:rFonts w:ascii="Arial" w:hAnsi="Arial" w:cs="Arial"/>
                <w:sz w:val="20"/>
                <w:szCs w:val="20"/>
              </w:rPr>
              <w:t>2</w:t>
            </w:r>
          </w:p>
        </w:tc>
        <w:tc>
          <w:tcPr>
            <w:tcW w:w="1182" w:type="dxa"/>
          </w:tcPr>
          <w:p w14:paraId="1AD04FD2" w14:textId="77777777" w:rsidR="004A3C87" w:rsidRPr="00546BAF" w:rsidRDefault="004A3C87" w:rsidP="00270965">
            <w:pPr>
              <w:rPr>
                <w:rFonts w:ascii="Arial" w:hAnsi="Arial" w:cs="Arial"/>
                <w:sz w:val="20"/>
                <w:szCs w:val="20"/>
              </w:rPr>
            </w:pPr>
            <w:r w:rsidRPr="00546BAF">
              <w:rPr>
                <w:rFonts w:ascii="Arial" w:hAnsi="Arial" w:cs="Arial"/>
                <w:sz w:val="20"/>
                <w:szCs w:val="20"/>
              </w:rPr>
              <w:t>0</w:t>
            </w:r>
          </w:p>
        </w:tc>
        <w:tc>
          <w:tcPr>
            <w:tcW w:w="708" w:type="dxa"/>
          </w:tcPr>
          <w:p w14:paraId="4492FA43" w14:textId="77777777" w:rsidR="004A3C87" w:rsidRPr="00546BAF" w:rsidRDefault="004A3C87" w:rsidP="00270965">
            <w:pPr>
              <w:rPr>
                <w:rFonts w:ascii="Arial" w:hAnsi="Arial" w:cs="Arial"/>
                <w:sz w:val="20"/>
                <w:szCs w:val="20"/>
              </w:rPr>
            </w:pPr>
            <w:r w:rsidRPr="00546BAF">
              <w:rPr>
                <w:rFonts w:ascii="Arial" w:hAnsi="Arial" w:cs="Arial"/>
                <w:sz w:val="20"/>
                <w:szCs w:val="20"/>
              </w:rPr>
              <w:t>4</w:t>
            </w:r>
          </w:p>
        </w:tc>
        <w:tc>
          <w:tcPr>
            <w:tcW w:w="877" w:type="dxa"/>
          </w:tcPr>
          <w:p w14:paraId="5597C769" w14:textId="77777777" w:rsidR="004A3C87" w:rsidRPr="00546BAF" w:rsidRDefault="004A3C87" w:rsidP="00270965">
            <w:pPr>
              <w:rPr>
                <w:rFonts w:ascii="Arial" w:hAnsi="Arial" w:cs="Arial"/>
                <w:sz w:val="20"/>
                <w:szCs w:val="20"/>
              </w:rPr>
            </w:pPr>
            <w:r w:rsidRPr="00546BAF">
              <w:rPr>
                <w:rFonts w:ascii="Arial" w:hAnsi="Arial" w:cs="Arial"/>
                <w:sz w:val="20"/>
                <w:szCs w:val="20"/>
              </w:rPr>
              <w:t>252.75</w:t>
            </w:r>
          </w:p>
        </w:tc>
      </w:tr>
      <w:tr w:rsidR="004A3C87" w:rsidRPr="00546BAF" w14:paraId="3A5E240F" w14:textId="77777777" w:rsidTr="00270965">
        <w:tc>
          <w:tcPr>
            <w:tcW w:w="846" w:type="dxa"/>
          </w:tcPr>
          <w:p w14:paraId="7107AFD7" w14:textId="77777777" w:rsidR="004A3C87" w:rsidRPr="00546BAF" w:rsidRDefault="00F8728E" w:rsidP="00270965">
            <w:pPr>
              <w:rPr>
                <w:rFonts w:ascii="Arial" w:hAnsi="Arial" w:cs="Arial"/>
                <w:sz w:val="20"/>
                <w:szCs w:val="20"/>
              </w:rPr>
            </w:pPr>
            <w:r w:rsidRPr="00546BAF">
              <w:rPr>
                <w:rFonts w:ascii="Arial" w:hAnsi="Arial" w:cs="Arial"/>
                <w:sz w:val="20"/>
                <w:szCs w:val="20"/>
              </w:rPr>
              <w:t>FA1</w:t>
            </w:r>
            <w:r w:rsidR="004A3C87" w:rsidRPr="00546BAF">
              <w:rPr>
                <w:rFonts w:ascii="Arial" w:hAnsi="Arial" w:cs="Arial"/>
                <w:sz w:val="20"/>
                <w:szCs w:val="20"/>
              </w:rPr>
              <w:t>0</w:t>
            </w:r>
          </w:p>
        </w:tc>
        <w:tc>
          <w:tcPr>
            <w:tcW w:w="709" w:type="dxa"/>
          </w:tcPr>
          <w:p w14:paraId="4EF1C922" w14:textId="77777777" w:rsidR="004A3C87" w:rsidRPr="00546BAF" w:rsidRDefault="004A3C87" w:rsidP="00270965">
            <w:pPr>
              <w:rPr>
                <w:rFonts w:ascii="Arial" w:hAnsi="Arial" w:cs="Arial"/>
                <w:sz w:val="20"/>
                <w:szCs w:val="20"/>
              </w:rPr>
            </w:pPr>
            <w:r w:rsidRPr="00546BAF">
              <w:rPr>
                <w:rFonts w:ascii="Arial" w:hAnsi="Arial" w:cs="Arial"/>
                <w:sz w:val="20"/>
                <w:szCs w:val="20"/>
              </w:rPr>
              <w:t>2.97</w:t>
            </w:r>
          </w:p>
        </w:tc>
        <w:tc>
          <w:tcPr>
            <w:tcW w:w="992" w:type="dxa"/>
          </w:tcPr>
          <w:p w14:paraId="2CBE0B46" w14:textId="77777777" w:rsidR="004A3C87" w:rsidRPr="00546BAF" w:rsidRDefault="004A3C87" w:rsidP="00270965">
            <w:pPr>
              <w:rPr>
                <w:rFonts w:ascii="Arial" w:hAnsi="Arial" w:cs="Arial"/>
                <w:sz w:val="20"/>
                <w:szCs w:val="20"/>
              </w:rPr>
            </w:pPr>
            <w:r w:rsidRPr="00546BAF">
              <w:rPr>
                <w:rFonts w:ascii="Arial" w:hAnsi="Arial" w:cs="Arial"/>
                <w:sz w:val="20"/>
                <w:szCs w:val="20"/>
              </w:rPr>
              <w:t>58.56</w:t>
            </w:r>
          </w:p>
        </w:tc>
        <w:tc>
          <w:tcPr>
            <w:tcW w:w="479" w:type="dxa"/>
          </w:tcPr>
          <w:p w14:paraId="11C341D1" w14:textId="77777777" w:rsidR="004A3C87" w:rsidRPr="00546BAF" w:rsidRDefault="004A3C87" w:rsidP="00270965">
            <w:pPr>
              <w:rPr>
                <w:rFonts w:ascii="Arial" w:hAnsi="Arial" w:cs="Arial"/>
                <w:sz w:val="20"/>
                <w:szCs w:val="20"/>
              </w:rPr>
            </w:pPr>
            <w:r w:rsidRPr="00546BAF">
              <w:rPr>
                <w:rFonts w:ascii="Arial" w:hAnsi="Arial" w:cs="Arial"/>
                <w:sz w:val="20"/>
                <w:szCs w:val="20"/>
              </w:rPr>
              <w:t>21</w:t>
            </w:r>
          </w:p>
        </w:tc>
        <w:tc>
          <w:tcPr>
            <w:tcW w:w="1061" w:type="dxa"/>
          </w:tcPr>
          <w:p w14:paraId="0AC0AA0C" w14:textId="77777777" w:rsidR="004A3C87" w:rsidRPr="00546BAF" w:rsidRDefault="004A3C87" w:rsidP="00270965">
            <w:pPr>
              <w:rPr>
                <w:rFonts w:ascii="Arial" w:hAnsi="Arial" w:cs="Arial"/>
                <w:sz w:val="20"/>
                <w:szCs w:val="20"/>
              </w:rPr>
            </w:pPr>
            <w:r w:rsidRPr="00546BAF">
              <w:rPr>
                <w:rFonts w:ascii="Arial" w:hAnsi="Arial" w:cs="Arial"/>
                <w:sz w:val="20"/>
                <w:szCs w:val="20"/>
              </w:rPr>
              <w:t>287.29</w:t>
            </w:r>
          </w:p>
        </w:tc>
        <w:tc>
          <w:tcPr>
            <w:tcW w:w="617" w:type="dxa"/>
          </w:tcPr>
          <w:p w14:paraId="1C484DE7" w14:textId="77777777" w:rsidR="004A3C87" w:rsidRPr="00546BAF" w:rsidRDefault="004A3C87" w:rsidP="00270965">
            <w:pPr>
              <w:rPr>
                <w:rFonts w:ascii="Arial" w:hAnsi="Arial" w:cs="Arial"/>
                <w:sz w:val="20"/>
                <w:szCs w:val="20"/>
              </w:rPr>
            </w:pPr>
            <w:r w:rsidRPr="00546BAF">
              <w:rPr>
                <w:rFonts w:ascii="Arial" w:hAnsi="Arial" w:cs="Arial"/>
                <w:sz w:val="20"/>
                <w:szCs w:val="20"/>
              </w:rPr>
              <w:t>4</w:t>
            </w:r>
          </w:p>
        </w:tc>
        <w:tc>
          <w:tcPr>
            <w:tcW w:w="890" w:type="dxa"/>
          </w:tcPr>
          <w:p w14:paraId="1CE14B98" w14:textId="77777777" w:rsidR="004A3C87" w:rsidRPr="00546BAF" w:rsidRDefault="004A3C87" w:rsidP="00270965">
            <w:pPr>
              <w:rPr>
                <w:rFonts w:ascii="Arial" w:hAnsi="Arial" w:cs="Arial"/>
                <w:sz w:val="20"/>
                <w:szCs w:val="20"/>
              </w:rPr>
            </w:pPr>
            <w:r w:rsidRPr="00546BAF">
              <w:rPr>
                <w:rFonts w:ascii="Arial" w:hAnsi="Arial" w:cs="Arial"/>
                <w:sz w:val="20"/>
                <w:szCs w:val="20"/>
              </w:rPr>
              <w:t>2</w:t>
            </w:r>
          </w:p>
        </w:tc>
        <w:tc>
          <w:tcPr>
            <w:tcW w:w="1182" w:type="dxa"/>
          </w:tcPr>
          <w:p w14:paraId="0A1DD44C" w14:textId="77777777" w:rsidR="004A3C87" w:rsidRPr="00546BAF" w:rsidRDefault="004A3C87" w:rsidP="00270965">
            <w:pPr>
              <w:rPr>
                <w:rFonts w:ascii="Arial" w:hAnsi="Arial" w:cs="Arial"/>
                <w:sz w:val="20"/>
                <w:szCs w:val="20"/>
              </w:rPr>
            </w:pPr>
            <w:r w:rsidRPr="00546BAF">
              <w:rPr>
                <w:rFonts w:ascii="Arial" w:hAnsi="Arial" w:cs="Arial"/>
                <w:sz w:val="20"/>
                <w:szCs w:val="20"/>
              </w:rPr>
              <w:t>0</w:t>
            </w:r>
          </w:p>
        </w:tc>
        <w:tc>
          <w:tcPr>
            <w:tcW w:w="708" w:type="dxa"/>
          </w:tcPr>
          <w:p w14:paraId="3566256D" w14:textId="77777777" w:rsidR="004A3C87" w:rsidRPr="00546BAF" w:rsidRDefault="004A3C87" w:rsidP="00270965">
            <w:pPr>
              <w:rPr>
                <w:rFonts w:ascii="Arial" w:hAnsi="Arial" w:cs="Arial"/>
                <w:sz w:val="20"/>
                <w:szCs w:val="20"/>
              </w:rPr>
            </w:pPr>
            <w:r w:rsidRPr="00546BAF">
              <w:rPr>
                <w:rFonts w:ascii="Arial" w:hAnsi="Arial" w:cs="Arial"/>
                <w:sz w:val="20"/>
                <w:szCs w:val="20"/>
              </w:rPr>
              <w:t>4</w:t>
            </w:r>
          </w:p>
        </w:tc>
        <w:tc>
          <w:tcPr>
            <w:tcW w:w="877" w:type="dxa"/>
          </w:tcPr>
          <w:p w14:paraId="2AB69AD2" w14:textId="77777777" w:rsidR="004A3C87" w:rsidRPr="00546BAF" w:rsidRDefault="004A3C87" w:rsidP="00270965">
            <w:pPr>
              <w:rPr>
                <w:rFonts w:ascii="Arial" w:hAnsi="Arial" w:cs="Arial"/>
                <w:sz w:val="20"/>
                <w:szCs w:val="20"/>
              </w:rPr>
            </w:pPr>
            <w:r w:rsidRPr="00546BAF">
              <w:rPr>
                <w:rFonts w:ascii="Arial" w:hAnsi="Arial" w:cs="Arial"/>
                <w:sz w:val="20"/>
                <w:szCs w:val="20"/>
              </w:rPr>
              <w:t>252.75</w:t>
            </w:r>
          </w:p>
        </w:tc>
      </w:tr>
      <w:tr w:rsidR="004A3C87" w:rsidRPr="00546BAF" w14:paraId="4C6A1B54" w14:textId="77777777" w:rsidTr="00270965">
        <w:tc>
          <w:tcPr>
            <w:tcW w:w="846" w:type="dxa"/>
          </w:tcPr>
          <w:p w14:paraId="489A2F03" w14:textId="77777777" w:rsidR="004A3C87" w:rsidRPr="00546BAF" w:rsidRDefault="00F8728E" w:rsidP="00270965">
            <w:pPr>
              <w:rPr>
                <w:rFonts w:ascii="Arial" w:hAnsi="Arial" w:cs="Arial"/>
                <w:sz w:val="20"/>
                <w:szCs w:val="20"/>
              </w:rPr>
            </w:pPr>
            <w:r w:rsidRPr="00546BAF">
              <w:rPr>
                <w:rFonts w:ascii="Arial" w:hAnsi="Arial" w:cs="Arial"/>
                <w:sz w:val="20"/>
                <w:szCs w:val="20"/>
              </w:rPr>
              <w:t>FA</w:t>
            </w:r>
            <w:r w:rsidR="006C07E6" w:rsidRPr="00546BAF">
              <w:rPr>
                <w:rFonts w:ascii="Arial" w:hAnsi="Arial" w:cs="Arial"/>
                <w:sz w:val="20"/>
                <w:szCs w:val="20"/>
              </w:rPr>
              <w:t>1</w:t>
            </w:r>
            <w:r w:rsidR="004A3C87" w:rsidRPr="00546BAF">
              <w:rPr>
                <w:rFonts w:ascii="Arial" w:hAnsi="Arial" w:cs="Arial"/>
                <w:sz w:val="20"/>
                <w:szCs w:val="20"/>
              </w:rPr>
              <w:t>1</w:t>
            </w:r>
          </w:p>
        </w:tc>
        <w:tc>
          <w:tcPr>
            <w:tcW w:w="709" w:type="dxa"/>
          </w:tcPr>
          <w:p w14:paraId="5E0A5E94" w14:textId="77777777" w:rsidR="004A3C87" w:rsidRPr="00546BAF" w:rsidRDefault="004A3C87" w:rsidP="00270965">
            <w:pPr>
              <w:rPr>
                <w:rFonts w:ascii="Arial" w:hAnsi="Arial" w:cs="Arial"/>
                <w:sz w:val="20"/>
                <w:szCs w:val="20"/>
              </w:rPr>
            </w:pPr>
            <w:r w:rsidRPr="00546BAF">
              <w:rPr>
                <w:rFonts w:ascii="Arial" w:hAnsi="Arial" w:cs="Arial"/>
                <w:sz w:val="20"/>
                <w:szCs w:val="20"/>
              </w:rPr>
              <w:t>2.65</w:t>
            </w:r>
          </w:p>
        </w:tc>
        <w:tc>
          <w:tcPr>
            <w:tcW w:w="992" w:type="dxa"/>
          </w:tcPr>
          <w:p w14:paraId="4EDB4176" w14:textId="77777777" w:rsidR="004A3C87" w:rsidRPr="00546BAF" w:rsidRDefault="004A3C87" w:rsidP="00270965">
            <w:pPr>
              <w:rPr>
                <w:rFonts w:ascii="Arial" w:hAnsi="Arial" w:cs="Arial"/>
                <w:sz w:val="20"/>
                <w:szCs w:val="20"/>
              </w:rPr>
            </w:pPr>
            <w:r w:rsidRPr="00546BAF">
              <w:rPr>
                <w:rFonts w:ascii="Arial" w:hAnsi="Arial" w:cs="Arial"/>
                <w:sz w:val="20"/>
                <w:szCs w:val="20"/>
              </w:rPr>
              <w:t>150.21</w:t>
            </w:r>
          </w:p>
        </w:tc>
        <w:tc>
          <w:tcPr>
            <w:tcW w:w="479" w:type="dxa"/>
          </w:tcPr>
          <w:p w14:paraId="4C6B22B5" w14:textId="77777777" w:rsidR="004A3C87" w:rsidRPr="00546BAF" w:rsidRDefault="004A3C87" w:rsidP="00270965">
            <w:pPr>
              <w:rPr>
                <w:rFonts w:ascii="Arial" w:hAnsi="Arial" w:cs="Arial"/>
                <w:sz w:val="20"/>
                <w:szCs w:val="20"/>
              </w:rPr>
            </w:pPr>
            <w:r w:rsidRPr="00546BAF">
              <w:rPr>
                <w:rFonts w:ascii="Arial" w:hAnsi="Arial" w:cs="Arial"/>
                <w:sz w:val="20"/>
                <w:szCs w:val="20"/>
              </w:rPr>
              <w:t>26</w:t>
            </w:r>
          </w:p>
        </w:tc>
        <w:tc>
          <w:tcPr>
            <w:tcW w:w="1061" w:type="dxa"/>
          </w:tcPr>
          <w:p w14:paraId="451F6799" w14:textId="77777777" w:rsidR="004A3C87" w:rsidRPr="00546BAF" w:rsidRDefault="004A3C87" w:rsidP="00270965">
            <w:pPr>
              <w:rPr>
                <w:rFonts w:ascii="Arial" w:hAnsi="Arial" w:cs="Arial"/>
                <w:sz w:val="20"/>
                <w:szCs w:val="20"/>
              </w:rPr>
            </w:pPr>
            <w:r w:rsidRPr="00546BAF">
              <w:rPr>
                <w:rFonts w:ascii="Arial" w:hAnsi="Arial" w:cs="Arial"/>
                <w:sz w:val="20"/>
                <w:szCs w:val="20"/>
              </w:rPr>
              <w:t>359.29</w:t>
            </w:r>
          </w:p>
        </w:tc>
        <w:tc>
          <w:tcPr>
            <w:tcW w:w="617" w:type="dxa"/>
          </w:tcPr>
          <w:p w14:paraId="60D63D5C" w14:textId="77777777" w:rsidR="004A3C87" w:rsidRPr="00546BAF" w:rsidRDefault="004A3C87" w:rsidP="00270965">
            <w:pPr>
              <w:rPr>
                <w:rFonts w:ascii="Arial" w:hAnsi="Arial" w:cs="Arial"/>
                <w:sz w:val="20"/>
                <w:szCs w:val="20"/>
              </w:rPr>
            </w:pPr>
            <w:r w:rsidRPr="00546BAF">
              <w:rPr>
                <w:rFonts w:ascii="Arial" w:hAnsi="Arial" w:cs="Arial"/>
                <w:sz w:val="20"/>
                <w:szCs w:val="20"/>
              </w:rPr>
              <w:t>10</w:t>
            </w:r>
          </w:p>
        </w:tc>
        <w:tc>
          <w:tcPr>
            <w:tcW w:w="890" w:type="dxa"/>
          </w:tcPr>
          <w:p w14:paraId="15FCD807" w14:textId="77777777" w:rsidR="004A3C87" w:rsidRPr="00546BAF" w:rsidRDefault="004A3C87" w:rsidP="00270965">
            <w:pPr>
              <w:rPr>
                <w:rFonts w:ascii="Arial" w:hAnsi="Arial" w:cs="Arial"/>
                <w:sz w:val="20"/>
                <w:szCs w:val="20"/>
              </w:rPr>
            </w:pPr>
            <w:r w:rsidRPr="00546BAF">
              <w:rPr>
                <w:rFonts w:ascii="Arial" w:hAnsi="Arial" w:cs="Arial"/>
                <w:sz w:val="20"/>
                <w:szCs w:val="20"/>
              </w:rPr>
              <w:t>20</w:t>
            </w:r>
          </w:p>
        </w:tc>
        <w:tc>
          <w:tcPr>
            <w:tcW w:w="1182" w:type="dxa"/>
          </w:tcPr>
          <w:p w14:paraId="1FF843B6" w14:textId="77777777" w:rsidR="004A3C87" w:rsidRPr="00546BAF" w:rsidRDefault="004A3C87" w:rsidP="00270965">
            <w:pPr>
              <w:rPr>
                <w:rFonts w:ascii="Arial" w:hAnsi="Arial" w:cs="Arial"/>
                <w:sz w:val="20"/>
                <w:szCs w:val="20"/>
              </w:rPr>
            </w:pPr>
            <w:r w:rsidRPr="00546BAF">
              <w:rPr>
                <w:rFonts w:ascii="Arial" w:hAnsi="Arial" w:cs="Arial"/>
                <w:sz w:val="20"/>
                <w:szCs w:val="20"/>
              </w:rPr>
              <w:t>0</w:t>
            </w:r>
          </w:p>
        </w:tc>
        <w:tc>
          <w:tcPr>
            <w:tcW w:w="708" w:type="dxa"/>
          </w:tcPr>
          <w:p w14:paraId="124A5551" w14:textId="77777777" w:rsidR="004A3C87" w:rsidRPr="00546BAF" w:rsidRDefault="004A3C87" w:rsidP="00270965">
            <w:pPr>
              <w:rPr>
                <w:rFonts w:ascii="Arial" w:hAnsi="Arial" w:cs="Arial"/>
                <w:sz w:val="20"/>
                <w:szCs w:val="20"/>
              </w:rPr>
            </w:pPr>
            <w:r w:rsidRPr="00546BAF">
              <w:rPr>
                <w:rFonts w:ascii="Arial" w:hAnsi="Arial" w:cs="Arial"/>
                <w:sz w:val="20"/>
                <w:szCs w:val="20"/>
              </w:rPr>
              <w:t>6</w:t>
            </w:r>
          </w:p>
        </w:tc>
        <w:tc>
          <w:tcPr>
            <w:tcW w:w="877" w:type="dxa"/>
          </w:tcPr>
          <w:p w14:paraId="48B7C0BE" w14:textId="77777777" w:rsidR="004A3C87" w:rsidRPr="00546BAF" w:rsidRDefault="004A3C87" w:rsidP="00270965">
            <w:pPr>
              <w:rPr>
                <w:rFonts w:ascii="Arial" w:hAnsi="Arial" w:cs="Arial"/>
                <w:sz w:val="20"/>
                <w:szCs w:val="20"/>
              </w:rPr>
            </w:pPr>
            <w:r w:rsidRPr="00546BAF">
              <w:rPr>
                <w:rFonts w:ascii="Arial" w:hAnsi="Arial" w:cs="Arial"/>
                <w:sz w:val="20"/>
                <w:szCs w:val="20"/>
              </w:rPr>
              <w:t>294.49</w:t>
            </w:r>
          </w:p>
        </w:tc>
      </w:tr>
      <w:tr w:rsidR="004A3C87" w:rsidRPr="00546BAF" w14:paraId="727F494A" w14:textId="77777777" w:rsidTr="00270965">
        <w:tc>
          <w:tcPr>
            <w:tcW w:w="846" w:type="dxa"/>
          </w:tcPr>
          <w:p w14:paraId="1DA74B58" w14:textId="77777777" w:rsidR="004A3C87" w:rsidRPr="00546BAF" w:rsidRDefault="00F8728E" w:rsidP="00270965">
            <w:pPr>
              <w:rPr>
                <w:rFonts w:ascii="Arial" w:hAnsi="Arial" w:cs="Arial"/>
                <w:sz w:val="20"/>
                <w:szCs w:val="20"/>
              </w:rPr>
            </w:pPr>
            <w:r w:rsidRPr="00546BAF">
              <w:rPr>
                <w:rFonts w:ascii="Arial" w:hAnsi="Arial" w:cs="Arial"/>
                <w:sz w:val="20"/>
                <w:szCs w:val="20"/>
              </w:rPr>
              <w:t>FA</w:t>
            </w:r>
            <w:r w:rsidR="006C07E6" w:rsidRPr="00546BAF">
              <w:rPr>
                <w:rFonts w:ascii="Arial" w:hAnsi="Arial" w:cs="Arial"/>
                <w:sz w:val="20"/>
                <w:szCs w:val="20"/>
              </w:rPr>
              <w:t>1</w:t>
            </w:r>
            <w:r w:rsidR="004A3C87" w:rsidRPr="00546BAF">
              <w:rPr>
                <w:rFonts w:ascii="Arial" w:hAnsi="Arial" w:cs="Arial"/>
                <w:sz w:val="20"/>
                <w:szCs w:val="20"/>
              </w:rPr>
              <w:t>2</w:t>
            </w:r>
          </w:p>
        </w:tc>
        <w:tc>
          <w:tcPr>
            <w:tcW w:w="709" w:type="dxa"/>
          </w:tcPr>
          <w:p w14:paraId="3602430A" w14:textId="77777777" w:rsidR="004A3C87" w:rsidRPr="00546BAF" w:rsidRDefault="004A3C87" w:rsidP="00270965">
            <w:pPr>
              <w:rPr>
                <w:rFonts w:ascii="Arial" w:hAnsi="Arial" w:cs="Arial"/>
                <w:sz w:val="20"/>
                <w:szCs w:val="20"/>
              </w:rPr>
            </w:pPr>
            <w:r w:rsidRPr="00546BAF">
              <w:rPr>
                <w:rFonts w:ascii="Arial" w:hAnsi="Arial" w:cs="Arial"/>
                <w:sz w:val="20"/>
                <w:szCs w:val="20"/>
              </w:rPr>
              <w:t>2.30</w:t>
            </w:r>
          </w:p>
        </w:tc>
        <w:tc>
          <w:tcPr>
            <w:tcW w:w="992" w:type="dxa"/>
          </w:tcPr>
          <w:p w14:paraId="0FD2A8D5" w14:textId="77777777" w:rsidR="004A3C87" w:rsidRPr="00546BAF" w:rsidRDefault="004A3C87" w:rsidP="00270965">
            <w:pPr>
              <w:rPr>
                <w:rFonts w:ascii="Arial" w:hAnsi="Arial" w:cs="Arial"/>
                <w:sz w:val="20"/>
                <w:szCs w:val="20"/>
              </w:rPr>
            </w:pPr>
            <w:r w:rsidRPr="00546BAF">
              <w:rPr>
                <w:rFonts w:ascii="Arial" w:hAnsi="Arial" w:cs="Arial"/>
                <w:sz w:val="20"/>
                <w:szCs w:val="20"/>
              </w:rPr>
              <w:t>78.79</w:t>
            </w:r>
          </w:p>
        </w:tc>
        <w:tc>
          <w:tcPr>
            <w:tcW w:w="479" w:type="dxa"/>
          </w:tcPr>
          <w:p w14:paraId="1FA3B0D3" w14:textId="77777777" w:rsidR="004A3C87" w:rsidRPr="00546BAF" w:rsidRDefault="004A3C87" w:rsidP="00270965">
            <w:pPr>
              <w:rPr>
                <w:rFonts w:ascii="Arial" w:hAnsi="Arial" w:cs="Arial"/>
                <w:sz w:val="20"/>
                <w:szCs w:val="20"/>
              </w:rPr>
            </w:pPr>
            <w:r w:rsidRPr="00546BAF">
              <w:rPr>
                <w:rFonts w:ascii="Arial" w:hAnsi="Arial" w:cs="Arial"/>
                <w:sz w:val="20"/>
                <w:szCs w:val="20"/>
              </w:rPr>
              <w:t>21</w:t>
            </w:r>
          </w:p>
        </w:tc>
        <w:tc>
          <w:tcPr>
            <w:tcW w:w="1061" w:type="dxa"/>
          </w:tcPr>
          <w:p w14:paraId="65C34007" w14:textId="77777777" w:rsidR="004A3C87" w:rsidRPr="00546BAF" w:rsidRDefault="004A3C87" w:rsidP="00270965">
            <w:pPr>
              <w:rPr>
                <w:rFonts w:ascii="Arial" w:hAnsi="Arial" w:cs="Arial"/>
                <w:sz w:val="20"/>
                <w:szCs w:val="20"/>
              </w:rPr>
            </w:pPr>
            <w:r w:rsidRPr="00546BAF">
              <w:rPr>
                <w:rFonts w:ascii="Arial" w:hAnsi="Arial" w:cs="Arial"/>
                <w:sz w:val="20"/>
                <w:szCs w:val="20"/>
              </w:rPr>
              <w:t>285.30</w:t>
            </w:r>
          </w:p>
        </w:tc>
        <w:tc>
          <w:tcPr>
            <w:tcW w:w="617" w:type="dxa"/>
          </w:tcPr>
          <w:p w14:paraId="0E7C4149" w14:textId="77777777" w:rsidR="004A3C87" w:rsidRPr="00546BAF" w:rsidRDefault="004A3C87" w:rsidP="00270965">
            <w:pPr>
              <w:rPr>
                <w:rFonts w:ascii="Arial" w:hAnsi="Arial" w:cs="Arial"/>
                <w:sz w:val="20"/>
                <w:szCs w:val="20"/>
              </w:rPr>
            </w:pPr>
            <w:r w:rsidRPr="00546BAF">
              <w:rPr>
                <w:rFonts w:ascii="Arial" w:hAnsi="Arial" w:cs="Arial"/>
                <w:sz w:val="20"/>
                <w:szCs w:val="20"/>
              </w:rPr>
              <w:t>5</w:t>
            </w:r>
          </w:p>
        </w:tc>
        <w:tc>
          <w:tcPr>
            <w:tcW w:w="890" w:type="dxa"/>
          </w:tcPr>
          <w:p w14:paraId="4FE140D8" w14:textId="77777777" w:rsidR="004A3C87" w:rsidRPr="00546BAF" w:rsidRDefault="004A3C87" w:rsidP="00270965">
            <w:pPr>
              <w:rPr>
                <w:rFonts w:ascii="Arial" w:hAnsi="Arial" w:cs="Arial"/>
                <w:sz w:val="20"/>
                <w:szCs w:val="20"/>
              </w:rPr>
            </w:pPr>
            <w:r w:rsidRPr="00546BAF">
              <w:rPr>
                <w:rFonts w:ascii="Arial" w:hAnsi="Arial" w:cs="Arial"/>
                <w:sz w:val="20"/>
                <w:szCs w:val="20"/>
              </w:rPr>
              <w:t>3</w:t>
            </w:r>
          </w:p>
        </w:tc>
        <w:tc>
          <w:tcPr>
            <w:tcW w:w="1182" w:type="dxa"/>
          </w:tcPr>
          <w:p w14:paraId="0F818892" w14:textId="77777777" w:rsidR="004A3C87" w:rsidRPr="00546BAF" w:rsidRDefault="004A3C87" w:rsidP="00270965">
            <w:pPr>
              <w:rPr>
                <w:rFonts w:ascii="Arial" w:hAnsi="Arial" w:cs="Arial"/>
                <w:sz w:val="20"/>
                <w:szCs w:val="20"/>
              </w:rPr>
            </w:pPr>
            <w:r w:rsidRPr="00546BAF">
              <w:rPr>
                <w:rFonts w:ascii="Arial" w:hAnsi="Arial" w:cs="Arial"/>
                <w:sz w:val="20"/>
                <w:szCs w:val="20"/>
              </w:rPr>
              <w:t>0</w:t>
            </w:r>
          </w:p>
        </w:tc>
        <w:tc>
          <w:tcPr>
            <w:tcW w:w="708" w:type="dxa"/>
          </w:tcPr>
          <w:p w14:paraId="7761044E" w14:textId="77777777" w:rsidR="004A3C87" w:rsidRPr="00546BAF" w:rsidRDefault="004A3C87" w:rsidP="00270965">
            <w:pPr>
              <w:rPr>
                <w:rFonts w:ascii="Arial" w:hAnsi="Arial" w:cs="Arial"/>
                <w:sz w:val="20"/>
                <w:szCs w:val="20"/>
              </w:rPr>
            </w:pPr>
            <w:r w:rsidRPr="00546BAF">
              <w:rPr>
                <w:rFonts w:ascii="Arial" w:hAnsi="Arial" w:cs="Arial"/>
                <w:sz w:val="20"/>
                <w:szCs w:val="20"/>
              </w:rPr>
              <w:t>4</w:t>
            </w:r>
          </w:p>
        </w:tc>
        <w:tc>
          <w:tcPr>
            <w:tcW w:w="877" w:type="dxa"/>
          </w:tcPr>
          <w:p w14:paraId="5FEF182C" w14:textId="77777777" w:rsidR="004A3C87" w:rsidRPr="00546BAF" w:rsidRDefault="004A3C87" w:rsidP="00270965">
            <w:pPr>
              <w:rPr>
                <w:rFonts w:ascii="Arial" w:hAnsi="Arial" w:cs="Arial"/>
                <w:sz w:val="20"/>
                <w:szCs w:val="20"/>
              </w:rPr>
            </w:pPr>
            <w:r w:rsidRPr="00546BAF">
              <w:rPr>
                <w:rFonts w:ascii="Arial" w:hAnsi="Arial" w:cs="Arial"/>
                <w:sz w:val="20"/>
                <w:szCs w:val="20"/>
              </w:rPr>
              <w:t>255.84</w:t>
            </w:r>
          </w:p>
        </w:tc>
      </w:tr>
      <w:tr w:rsidR="004A3C87" w:rsidRPr="00546BAF" w14:paraId="53495A0D" w14:textId="77777777" w:rsidTr="00270965">
        <w:tc>
          <w:tcPr>
            <w:tcW w:w="846" w:type="dxa"/>
          </w:tcPr>
          <w:p w14:paraId="182B9F03" w14:textId="77777777" w:rsidR="004A3C87" w:rsidRPr="00546BAF" w:rsidRDefault="00F8728E" w:rsidP="00270965">
            <w:pPr>
              <w:rPr>
                <w:rFonts w:ascii="Arial" w:hAnsi="Arial" w:cs="Arial"/>
                <w:sz w:val="20"/>
                <w:szCs w:val="20"/>
              </w:rPr>
            </w:pPr>
            <w:r w:rsidRPr="00546BAF">
              <w:rPr>
                <w:rFonts w:ascii="Arial" w:hAnsi="Arial" w:cs="Arial"/>
                <w:sz w:val="20"/>
                <w:szCs w:val="20"/>
              </w:rPr>
              <w:t>FA</w:t>
            </w:r>
            <w:r w:rsidR="006C07E6" w:rsidRPr="00546BAF">
              <w:rPr>
                <w:rFonts w:ascii="Arial" w:hAnsi="Arial" w:cs="Arial"/>
                <w:sz w:val="20"/>
                <w:szCs w:val="20"/>
              </w:rPr>
              <w:t>1</w:t>
            </w:r>
            <w:r w:rsidR="004A3C87" w:rsidRPr="00546BAF">
              <w:rPr>
                <w:rFonts w:ascii="Arial" w:hAnsi="Arial" w:cs="Arial"/>
                <w:sz w:val="20"/>
                <w:szCs w:val="20"/>
              </w:rPr>
              <w:t>3</w:t>
            </w:r>
          </w:p>
        </w:tc>
        <w:tc>
          <w:tcPr>
            <w:tcW w:w="709" w:type="dxa"/>
          </w:tcPr>
          <w:p w14:paraId="5C7FE4C5" w14:textId="77777777" w:rsidR="004A3C87" w:rsidRPr="00546BAF" w:rsidRDefault="004A3C87" w:rsidP="00270965">
            <w:pPr>
              <w:rPr>
                <w:rFonts w:ascii="Arial" w:hAnsi="Arial" w:cs="Arial"/>
                <w:sz w:val="20"/>
                <w:szCs w:val="20"/>
              </w:rPr>
            </w:pPr>
            <w:r w:rsidRPr="00546BAF">
              <w:rPr>
                <w:rFonts w:ascii="Arial" w:hAnsi="Arial" w:cs="Arial"/>
                <w:sz w:val="20"/>
                <w:szCs w:val="20"/>
              </w:rPr>
              <w:t>2.33</w:t>
            </w:r>
          </w:p>
        </w:tc>
        <w:tc>
          <w:tcPr>
            <w:tcW w:w="992" w:type="dxa"/>
          </w:tcPr>
          <w:p w14:paraId="317839A0" w14:textId="77777777" w:rsidR="004A3C87" w:rsidRPr="00546BAF" w:rsidRDefault="004A3C87" w:rsidP="00270965">
            <w:pPr>
              <w:rPr>
                <w:rFonts w:ascii="Arial" w:hAnsi="Arial" w:cs="Arial"/>
                <w:sz w:val="20"/>
                <w:szCs w:val="20"/>
              </w:rPr>
            </w:pPr>
            <w:r w:rsidRPr="00546BAF">
              <w:rPr>
                <w:rFonts w:ascii="Arial" w:hAnsi="Arial" w:cs="Arial"/>
                <w:sz w:val="20"/>
                <w:szCs w:val="20"/>
              </w:rPr>
              <w:t>78.79</w:t>
            </w:r>
          </w:p>
        </w:tc>
        <w:tc>
          <w:tcPr>
            <w:tcW w:w="479" w:type="dxa"/>
          </w:tcPr>
          <w:p w14:paraId="6C4783B7" w14:textId="77777777" w:rsidR="004A3C87" w:rsidRPr="00546BAF" w:rsidRDefault="004A3C87" w:rsidP="00270965">
            <w:pPr>
              <w:rPr>
                <w:rFonts w:ascii="Arial" w:hAnsi="Arial" w:cs="Arial"/>
                <w:sz w:val="20"/>
                <w:szCs w:val="20"/>
              </w:rPr>
            </w:pPr>
            <w:r w:rsidRPr="00546BAF">
              <w:rPr>
                <w:rFonts w:ascii="Arial" w:hAnsi="Arial" w:cs="Arial"/>
                <w:sz w:val="20"/>
                <w:szCs w:val="20"/>
              </w:rPr>
              <w:t>21</w:t>
            </w:r>
          </w:p>
        </w:tc>
        <w:tc>
          <w:tcPr>
            <w:tcW w:w="1061" w:type="dxa"/>
          </w:tcPr>
          <w:p w14:paraId="0E950675" w14:textId="77777777" w:rsidR="004A3C87" w:rsidRPr="00546BAF" w:rsidRDefault="004A3C87" w:rsidP="00270965">
            <w:pPr>
              <w:rPr>
                <w:rFonts w:ascii="Arial" w:hAnsi="Arial" w:cs="Arial"/>
                <w:sz w:val="20"/>
                <w:szCs w:val="20"/>
              </w:rPr>
            </w:pPr>
            <w:r w:rsidRPr="00546BAF">
              <w:rPr>
                <w:rFonts w:ascii="Arial" w:hAnsi="Arial" w:cs="Arial"/>
                <w:sz w:val="20"/>
                <w:szCs w:val="20"/>
              </w:rPr>
              <w:t>285.30</w:t>
            </w:r>
          </w:p>
        </w:tc>
        <w:tc>
          <w:tcPr>
            <w:tcW w:w="617" w:type="dxa"/>
          </w:tcPr>
          <w:p w14:paraId="06257D77" w14:textId="77777777" w:rsidR="004A3C87" w:rsidRPr="00546BAF" w:rsidRDefault="004A3C87" w:rsidP="00270965">
            <w:pPr>
              <w:rPr>
                <w:rFonts w:ascii="Arial" w:hAnsi="Arial" w:cs="Arial"/>
                <w:sz w:val="20"/>
                <w:szCs w:val="20"/>
              </w:rPr>
            </w:pPr>
            <w:r w:rsidRPr="00546BAF">
              <w:rPr>
                <w:rFonts w:ascii="Arial" w:hAnsi="Arial" w:cs="Arial"/>
                <w:sz w:val="20"/>
                <w:szCs w:val="20"/>
              </w:rPr>
              <w:t>5</w:t>
            </w:r>
          </w:p>
        </w:tc>
        <w:tc>
          <w:tcPr>
            <w:tcW w:w="890" w:type="dxa"/>
          </w:tcPr>
          <w:p w14:paraId="674AF23B" w14:textId="77777777" w:rsidR="004A3C87" w:rsidRPr="00546BAF" w:rsidRDefault="004A3C87" w:rsidP="00270965">
            <w:pPr>
              <w:rPr>
                <w:rFonts w:ascii="Arial" w:hAnsi="Arial" w:cs="Arial"/>
                <w:sz w:val="20"/>
                <w:szCs w:val="20"/>
              </w:rPr>
            </w:pPr>
            <w:r w:rsidRPr="00546BAF">
              <w:rPr>
                <w:rFonts w:ascii="Arial" w:hAnsi="Arial" w:cs="Arial"/>
                <w:sz w:val="20"/>
                <w:szCs w:val="20"/>
              </w:rPr>
              <w:t>3</w:t>
            </w:r>
          </w:p>
        </w:tc>
        <w:tc>
          <w:tcPr>
            <w:tcW w:w="1182" w:type="dxa"/>
          </w:tcPr>
          <w:p w14:paraId="413B9D85" w14:textId="77777777" w:rsidR="004A3C87" w:rsidRPr="00546BAF" w:rsidRDefault="004A3C87" w:rsidP="00270965">
            <w:pPr>
              <w:rPr>
                <w:rFonts w:ascii="Arial" w:hAnsi="Arial" w:cs="Arial"/>
                <w:sz w:val="20"/>
                <w:szCs w:val="20"/>
              </w:rPr>
            </w:pPr>
            <w:r w:rsidRPr="00546BAF">
              <w:rPr>
                <w:rFonts w:ascii="Arial" w:hAnsi="Arial" w:cs="Arial"/>
                <w:sz w:val="20"/>
                <w:szCs w:val="20"/>
              </w:rPr>
              <w:t>0</w:t>
            </w:r>
          </w:p>
        </w:tc>
        <w:tc>
          <w:tcPr>
            <w:tcW w:w="708" w:type="dxa"/>
          </w:tcPr>
          <w:p w14:paraId="2716DA39" w14:textId="77777777" w:rsidR="004A3C87" w:rsidRPr="00546BAF" w:rsidRDefault="004A3C87" w:rsidP="00270965">
            <w:pPr>
              <w:rPr>
                <w:rFonts w:ascii="Arial" w:hAnsi="Arial" w:cs="Arial"/>
                <w:sz w:val="20"/>
                <w:szCs w:val="20"/>
              </w:rPr>
            </w:pPr>
            <w:r w:rsidRPr="00546BAF">
              <w:rPr>
                <w:rFonts w:ascii="Arial" w:hAnsi="Arial" w:cs="Arial"/>
                <w:sz w:val="20"/>
                <w:szCs w:val="20"/>
              </w:rPr>
              <w:t>4</w:t>
            </w:r>
          </w:p>
        </w:tc>
        <w:tc>
          <w:tcPr>
            <w:tcW w:w="877" w:type="dxa"/>
          </w:tcPr>
          <w:p w14:paraId="32BE8D8E" w14:textId="77777777" w:rsidR="004A3C87" w:rsidRPr="00546BAF" w:rsidRDefault="004A3C87" w:rsidP="00270965">
            <w:pPr>
              <w:rPr>
                <w:rFonts w:ascii="Arial" w:hAnsi="Arial" w:cs="Arial"/>
                <w:sz w:val="20"/>
                <w:szCs w:val="20"/>
              </w:rPr>
            </w:pPr>
            <w:r w:rsidRPr="00546BAF">
              <w:rPr>
                <w:rFonts w:ascii="Arial" w:hAnsi="Arial" w:cs="Arial"/>
                <w:sz w:val="20"/>
                <w:szCs w:val="20"/>
              </w:rPr>
              <w:t>255.84</w:t>
            </w:r>
          </w:p>
        </w:tc>
      </w:tr>
      <w:tr w:rsidR="004A3C87" w:rsidRPr="00546BAF" w14:paraId="629A5584" w14:textId="77777777" w:rsidTr="00270965">
        <w:tc>
          <w:tcPr>
            <w:tcW w:w="846" w:type="dxa"/>
          </w:tcPr>
          <w:p w14:paraId="401079EB" w14:textId="77777777" w:rsidR="004A3C87" w:rsidRPr="00546BAF" w:rsidRDefault="00F8728E" w:rsidP="00270965">
            <w:pPr>
              <w:rPr>
                <w:rFonts w:ascii="Arial" w:hAnsi="Arial" w:cs="Arial"/>
                <w:sz w:val="20"/>
                <w:szCs w:val="20"/>
              </w:rPr>
            </w:pPr>
            <w:r w:rsidRPr="00546BAF">
              <w:rPr>
                <w:rFonts w:ascii="Arial" w:hAnsi="Arial" w:cs="Arial"/>
                <w:sz w:val="20"/>
                <w:szCs w:val="20"/>
              </w:rPr>
              <w:t>FA</w:t>
            </w:r>
            <w:r w:rsidR="006C07E6" w:rsidRPr="00546BAF">
              <w:rPr>
                <w:rFonts w:ascii="Arial" w:hAnsi="Arial" w:cs="Arial"/>
                <w:sz w:val="20"/>
                <w:szCs w:val="20"/>
              </w:rPr>
              <w:t>1</w:t>
            </w:r>
            <w:r w:rsidR="004A3C87" w:rsidRPr="00546BAF">
              <w:rPr>
                <w:rFonts w:ascii="Arial" w:hAnsi="Arial" w:cs="Arial"/>
                <w:sz w:val="20"/>
                <w:szCs w:val="20"/>
              </w:rPr>
              <w:t>4</w:t>
            </w:r>
          </w:p>
        </w:tc>
        <w:tc>
          <w:tcPr>
            <w:tcW w:w="709" w:type="dxa"/>
          </w:tcPr>
          <w:p w14:paraId="5321F400" w14:textId="77777777" w:rsidR="004A3C87" w:rsidRPr="00546BAF" w:rsidRDefault="004A3C87" w:rsidP="00270965">
            <w:pPr>
              <w:rPr>
                <w:rFonts w:ascii="Arial" w:hAnsi="Arial" w:cs="Arial"/>
                <w:sz w:val="20"/>
                <w:szCs w:val="20"/>
              </w:rPr>
            </w:pPr>
            <w:r w:rsidRPr="00546BAF">
              <w:rPr>
                <w:rFonts w:ascii="Arial" w:hAnsi="Arial" w:cs="Arial"/>
                <w:sz w:val="20"/>
                <w:szCs w:val="20"/>
              </w:rPr>
              <w:t>1.96</w:t>
            </w:r>
          </w:p>
        </w:tc>
        <w:tc>
          <w:tcPr>
            <w:tcW w:w="992" w:type="dxa"/>
          </w:tcPr>
          <w:p w14:paraId="589A96B7" w14:textId="77777777" w:rsidR="004A3C87" w:rsidRPr="00546BAF" w:rsidRDefault="004A3C87" w:rsidP="00270965">
            <w:pPr>
              <w:rPr>
                <w:rFonts w:ascii="Arial" w:hAnsi="Arial" w:cs="Arial"/>
                <w:sz w:val="20"/>
                <w:szCs w:val="20"/>
              </w:rPr>
            </w:pPr>
            <w:r w:rsidRPr="00546BAF">
              <w:rPr>
                <w:rFonts w:ascii="Arial" w:hAnsi="Arial" w:cs="Arial"/>
                <w:sz w:val="20"/>
                <w:szCs w:val="20"/>
              </w:rPr>
              <w:t>71.45</w:t>
            </w:r>
          </w:p>
        </w:tc>
        <w:tc>
          <w:tcPr>
            <w:tcW w:w="479" w:type="dxa"/>
          </w:tcPr>
          <w:p w14:paraId="3D94C7D7" w14:textId="77777777" w:rsidR="004A3C87" w:rsidRPr="00546BAF" w:rsidRDefault="004A3C87" w:rsidP="00270965">
            <w:pPr>
              <w:rPr>
                <w:rFonts w:ascii="Arial" w:hAnsi="Arial" w:cs="Arial"/>
                <w:sz w:val="20"/>
                <w:szCs w:val="20"/>
              </w:rPr>
            </w:pPr>
            <w:r w:rsidRPr="00546BAF">
              <w:rPr>
                <w:rFonts w:ascii="Arial" w:hAnsi="Arial" w:cs="Arial"/>
                <w:sz w:val="20"/>
                <w:szCs w:val="20"/>
              </w:rPr>
              <w:t>21</w:t>
            </w:r>
          </w:p>
        </w:tc>
        <w:tc>
          <w:tcPr>
            <w:tcW w:w="1061" w:type="dxa"/>
          </w:tcPr>
          <w:p w14:paraId="0FC36963" w14:textId="77777777" w:rsidR="004A3C87" w:rsidRPr="00546BAF" w:rsidRDefault="004A3C87" w:rsidP="00270965">
            <w:pPr>
              <w:rPr>
                <w:rFonts w:ascii="Arial" w:hAnsi="Arial" w:cs="Arial"/>
                <w:sz w:val="20"/>
                <w:szCs w:val="20"/>
              </w:rPr>
            </w:pPr>
            <w:r w:rsidRPr="00546BAF">
              <w:rPr>
                <w:rFonts w:ascii="Arial" w:hAnsi="Arial" w:cs="Arial"/>
                <w:sz w:val="20"/>
                <w:szCs w:val="20"/>
              </w:rPr>
              <w:t>284.31</w:t>
            </w:r>
          </w:p>
        </w:tc>
        <w:tc>
          <w:tcPr>
            <w:tcW w:w="617" w:type="dxa"/>
          </w:tcPr>
          <w:p w14:paraId="56AEAC1E" w14:textId="77777777" w:rsidR="004A3C87" w:rsidRPr="00546BAF" w:rsidRDefault="004A3C87" w:rsidP="00270965">
            <w:pPr>
              <w:rPr>
                <w:rFonts w:ascii="Arial" w:hAnsi="Arial" w:cs="Arial"/>
                <w:sz w:val="20"/>
                <w:szCs w:val="20"/>
              </w:rPr>
            </w:pPr>
            <w:r w:rsidRPr="00546BAF">
              <w:rPr>
                <w:rFonts w:ascii="Arial" w:hAnsi="Arial" w:cs="Arial"/>
                <w:sz w:val="20"/>
                <w:szCs w:val="20"/>
              </w:rPr>
              <w:t>5</w:t>
            </w:r>
          </w:p>
        </w:tc>
        <w:tc>
          <w:tcPr>
            <w:tcW w:w="890" w:type="dxa"/>
          </w:tcPr>
          <w:p w14:paraId="060DDABC" w14:textId="77777777" w:rsidR="004A3C87" w:rsidRPr="00546BAF" w:rsidRDefault="004A3C87" w:rsidP="00270965">
            <w:pPr>
              <w:rPr>
                <w:rFonts w:ascii="Arial" w:hAnsi="Arial" w:cs="Arial"/>
                <w:sz w:val="20"/>
                <w:szCs w:val="20"/>
              </w:rPr>
            </w:pPr>
            <w:r w:rsidRPr="00546BAF">
              <w:rPr>
                <w:rFonts w:ascii="Arial" w:hAnsi="Arial" w:cs="Arial"/>
                <w:sz w:val="20"/>
                <w:szCs w:val="20"/>
              </w:rPr>
              <w:t>2</w:t>
            </w:r>
          </w:p>
        </w:tc>
        <w:tc>
          <w:tcPr>
            <w:tcW w:w="1182" w:type="dxa"/>
          </w:tcPr>
          <w:p w14:paraId="5C8D1DFC" w14:textId="77777777" w:rsidR="004A3C87" w:rsidRPr="00546BAF" w:rsidRDefault="004A3C87" w:rsidP="00270965">
            <w:pPr>
              <w:rPr>
                <w:rFonts w:ascii="Arial" w:hAnsi="Arial" w:cs="Arial"/>
                <w:sz w:val="20"/>
                <w:szCs w:val="20"/>
              </w:rPr>
            </w:pPr>
            <w:r w:rsidRPr="00546BAF">
              <w:rPr>
                <w:rFonts w:ascii="Arial" w:hAnsi="Arial" w:cs="Arial"/>
                <w:sz w:val="20"/>
                <w:szCs w:val="20"/>
              </w:rPr>
              <w:t>0</w:t>
            </w:r>
          </w:p>
        </w:tc>
        <w:tc>
          <w:tcPr>
            <w:tcW w:w="708" w:type="dxa"/>
          </w:tcPr>
          <w:p w14:paraId="2CC43586" w14:textId="77777777" w:rsidR="004A3C87" w:rsidRPr="00546BAF" w:rsidRDefault="004A3C87" w:rsidP="00270965">
            <w:pPr>
              <w:rPr>
                <w:rFonts w:ascii="Arial" w:hAnsi="Arial" w:cs="Arial"/>
                <w:sz w:val="20"/>
                <w:szCs w:val="20"/>
              </w:rPr>
            </w:pPr>
            <w:r w:rsidRPr="00546BAF">
              <w:rPr>
                <w:rFonts w:ascii="Arial" w:hAnsi="Arial" w:cs="Arial"/>
                <w:sz w:val="20"/>
                <w:szCs w:val="20"/>
              </w:rPr>
              <w:t>4</w:t>
            </w:r>
          </w:p>
        </w:tc>
        <w:tc>
          <w:tcPr>
            <w:tcW w:w="877" w:type="dxa"/>
          </w:tcPr>
          <w:p w14:paraId="7E461B82" w14:textId="77777777" w:rsidR="004A3C87" w:rsidRPr="00546BAF" w:rsidRDefault="004A3C87" w:rsidP="00270965">
            <w:pPr>
              <w:rPr>
                <w:rFonts w:ascii="Arial" w:hAnsi="Arial" w:cs="Arial"/>
                <w:sz w:val="20"/>
                <w:szCs w:val="20"/>
              </w:rPr>
            </w:pPr>
            <w:r w:rsidRPr="00546BAF">
              <w:rPr>
                <w:rFonts w:ascii="Arial" w:hAnsi="Arial" w:cs="Arial"/>
                <w:sz w:val="20"/>
                <w:szCs w:val="20"/>
              </w:rPr>
              <w:t>260.22</w:t>
            </w:r>
          </w:p>
        </w:tc>
      </w:tr>
      <w:tr w:rsidR="004A3C87" w:rsidRPr="00546BAF" w14:paraId="7DBA8B69" w14:textId="77777777" w:rsidTr="00270965">
        <w:tc>
          <w:tcPr>
            <w:tcW w:w="846" w:type="dxa"/>
          </w:tcPr>
          <w:p w14:paraId="55CF9C91" w14:textId="77777777" w:rsidR="004A3C87" w:rsidRPr="00546BAF" w:rsidRDefault="00F8728E" w:rsidP="00270965">
            <w:pPr>
              <w:rPr>
                <w:rFonts w:ascii="Arial" w:hAnsi="Arial" w:cs="Arial"/>
                <w:sz w:val="20"/>
                <w:szCs w:val="20"/>
              </w:rPr>
            </w:pPr>
            <w:r w:rsidRPr="00546BAF">
              <w:rPr>
                <w:rFonts w:ascii="Arial" w:hAnsi="Arial" w:cs="Arial"/>
                <w:sz w:val="20"/>
                <w:szCs w:val="20"/>
              </w:rPr>
              <w:t>FA</w:t>
            </w:r>
            <w:r w:rsidR="006C07E6" w:rsidRPr="00546BAF">
              <w:rPr>
                <w:rFonts w:ascii="Arial" w:hAnsi="Arial" w:cs="Arial"/>
                <w:sz w:val="20"/>
                <w:szCs w:val="20"/>
              </w:rPr>
              <w:t>1</w:t>
            </w:r>
            <w:r w:rsidR="004A3C87" w:rsidRPr="00546BAF">
              <w:rPr>
                <w:rFonts w:ascii="Arial" w:hAnsi="Arial" w:cs="Arial"/>
                <w:sz w:val="20"/>
                <w:szCs w:val="20"/>
              </w:rPr>
              <w:t>5</w:t>
            </w:r>
          </w:p>
        </w:tc>
        <w:tc>
          <w:tcPr>
            <w:tcW w:w="709" w:type="dxa"/>
          </w:tcPr>
          <w:p w14:paraId="18B64AEF" w14:textId="77777777" w:rsidR="004A3C87" w:rsidRPr="00546BAF" w:rsidRDefault="004A3C87" w:rsidP="00270965">
            <w:pPr>
              <w:rPr>
                <w:rFonts w:ascii="Arial" w:hAnsi="Arial" w:cs="Arial"/>
                <w:sz w:val="20"/>
                <w:szCs w:val="20"/>
              </w:rPr>
            </w:pPr>
            <w:r w:rsidRPr="00546BAF">
              <w:rPr>
                <w:rFonts w:ascii="Arial" w:hAnsi="Arial" w:cs="Arial"/>
                <w:sz w:val="20"/>
                <w:szCs w:val="20"/>
              </w:rPr>
              <w:t>2.31</w:t>
            </w:r>
          </w:p>
        </w:tc>
        <w:tc>
          <w:tcPr>
            <w:tcW w:w="992" w:type="dxa"/>
          </w:tcPr>
          <w:p w14:paraId="246567A7" w14:textId="77777777" w:rsidR="004A3C87" w:rsidRPr="00546BAF" w:rsidRDefault="004A3C87" w:rsidP="00270965">
            <w:pPr>
              <w:rPr>
                <w:rFonts w:ascii="Arial" w:hAnsi="Arial" w:cs="Arial"/>
                <w:sz w:val="20"/>
                <w:szCs w:val="20"/>
              </w:rPr>
            </w:pPr>
            <w:r w:rsidRPr="00546BAF">
              <w:rPr>
                <w:rFonts w:ascii="Arial" w:hAnsi="Arial" w:cs="Arial"/>
                <w:sz w:val="20"/>
                <w:szCs w:val="20"/>
              </w:rPr>
              <w:t>71.45</w:t>
            </w:r>
          </w:p>
        </w:tc>
        <w:tc>
          <w:tcPr>
            <w:tcW w:w="479" w:type="dxa"/>
          </w:tcPr>
          <w:p w14:paraId="61462751" w14:textId="77777777" w:rsidR="004A3C87" w:rsidRPr="00546BAF" w:rsidRDefault="004A3C87" w:rsidP="00270965">
            <w:pPr>
              <w:rPr>
                <w:rFonts w:ascii="Arial" w:hAnsi="Arial" w:cs="Arial"/>
                <w:sz w:val="20"/>
                <w:szCs w:val="20"/>
              </w:rPr>
            </w:pPr>
            <w:r w:rsidRPr="00546BAF">
              <w:rPr>
                <w:rFonts w:ascii="Arial" w:hAnsi="Arial" w:cs="Arial"/>
                <w:sz w:val="20"/>
                <w:szCs w:val="20"/>
              </w:rPr>
              <w:t>21</w:t>
            </w:r>
          </w:p>
        </w:tc>
        <w:tc>
          <w:tcPr>
            <w:tcW w:w="1061" w:type="dxa"/>
          </w:tcPr>
          <w:p w14:paraId="5B5F2A5D" w14:textId="77777777" w:rsidR="004A3C87" w:rsidRPr="00546BAF" w:rsidRDefault="004A3C87" w:rsidP="00270965">
            <w:pPr>
              <w:rPr>
                <w:rFonts w:ascii="Arial" w:hAnsi="Arial" w:cs="Arial"/>
                <w:sz w:val="20"/>
                <w:szCs w:val="20"/>
              </w:rPr>
            </w:pPr>
            <w:r w:rsidRPr="00546BAF">
              <w:rPr>
                <w:rFonts w:ascii="Arial" w:hAnsi="Arial" w:cs="Arial"/>
                <w:sz w:val="20"/>
                <w:szCs w:val="20"/>
              </w:rPr>
              <w:t>284.31</w:t>
            </w:r>
          </w:p>
        </w:tc>
        <w:tc>
          <w:tcPr>
            <w:tcW w:w="617" w:type="dxa"/>
          </w:tcPr>
          <w:p w14:paraId="6CE906C0" w14:textId="77777777" w:rsidR="004A3C87" w:rsidRPr="00546BAF" w:rsidRDefault="004A3C87" w:rsidP="00270965">
            <w:pPr>
              <w:rPr>
                <w:rFonts w:ascii="Arial" w:hAnsi="Arial" w:cs="Arial"/>
                <w:sz w:val="20"/>
                <w:szCs w:val="20"/>
              </w:rPr>
            </w:pPr>
            <w:r w:rsidRPr="00546BAF">
              <w:rPr>
                <w:rFonts w:ascii="Arial" w:hAnsi="Arial" w:cs="Arial"/>
                <w:sz w:val="20"/>
                <w:szCs w:val="20"/>
              </w:rPr>
              <w:t>5</w:t>
            </w:r>
          </w:p>
        </w:tc>
        <w:tc>
          <w:tcPr>
            <w:tcW w:w="890" w:type="dxa"/>
          </w:tcPr>
          <w:p w14:paraId="42B4F334" w14:textId="77777777" w:rsidR="004A3C87" w:rsidRPr="00546BAF" w:rsidRDefault="004A3C87" w:rsidP="00270965">
            <w:pPr>
              <w:rPr>
                <w:rFonts w:ascii="Arial" w:hAnsi="Arial" w:cs="Arial"/>
                <w:sz w:val="20"/>
                <w:szCs w:val="20"/>
              </w:rPr>
            </w:pPr>
            <w:r w:rsidRPr="00546BAF">
              <w:rPr>
                <w:rFonts w:ascii="Arial" w:hAnsi="Arial" w:cs="Arial"/>
                <w:sz w:val="20"/>
                <w:szCs w:val="20"/>
              </w:rPr>
              <w:t>2</w:t>
            </w:r>
          </w:p>
        </w:tc>
        <w:tc>
          <w:tcPr>
            <w:tcW w:w="1182" w:type="dxa"/>
          </w:tcPr>
          <w:p w14:paraId="32E2EAAF" w14:textId="77777777" w:rsidR="004A3C87" w:rsidRPr="00546BAF" w:rsidRDefault="004A3C87" w:rsidP="00270965">
            <w:pPr>
              <w:rPr>
                <w:rFonts w:ascii="Arial" w:hAnsi="Arial" w:cs="Arial"/>
                <w:sz w:val="20"/>
                <w:szCs w:val="20"/>
              </w:rPr>
            </w:pPr>
            <w:r w:rsidRPr="00546BAF">
              <w:rPr>
                <w:rFonts w:ascii="Arial" w:hAnsi="Arial" w:cs="Arial"/>
                <w:sz w:val="20"/>
                <w:szCs w:val="20"/>
              </w:rPr>
              <w:t>0</w:t>
            </w:r>
          </w:p>
        </w:tc>
        <w:tc>
          <w:tcPr>
            <w:tcW w:w="708" w:type="dxa"/>
          </w:tcPr>
          <w:p w14:paraId="4651F86A" w14:textId="77777777" w:rsidR="004A3C87" w:rsidRPr="00546BAF" w:rsidRDefault="004A3C87" w:rsidP="00270965">
            <w:pPr>
              <w:rPr>
                <w:rFonts w:ascii="Arial" w:hAnsi="Arial" w:cs="Arial"/>
                <w:sz w:val="20"/>
                <w:szCs w:val="20"/>
              </w:rPr>
            </w:pPr>
            <w:r w:rsidRPr="00546BAF">
              <w:rPr>
                <w:rFonts w:ascii="Arial" w:hAnsi="Arial" w:cs="Arial"/>
                <w:sz w:val="20"/>
                <w:szCs w:val="20"/>
              </w:rPr>
              <w:t>4</w:t>
            </w:r>
          </w:p>
        </w:tc>
        <w:tc>
          <w:tcPr>
            <w:tcW w:w="877" w:type="dxa"/>
          </w:tcPr>
          <w:p w14:paraId="51B3E73A" w14:textId="77777777" w:rsidR="004A3C87" w:rsidRPr="00546BAF" w:rsidRDefault="004A3C87" w:rsidP="00270965">
            <w:pPr>
              <w:rPr>
                <w:rFonts w:ascii="Arial" w:hAnsi="Arial" w:cs="Arial"/>
                <w:sz w:val="20"/>
                <w:szCs w:val="20"/>
              </w:rPr>
            </w:pPr>
            <w:r w:rsidRPr="00546BAF">
              <w:rPr>
                <w:rFonts w:ascii="Arial" w:hAnsi="Arial" w:cs="Arial"/>
                <w:sz w:val="20"/>
                <w:szCs w:val="20"/>
              </w:rPr>
              <w:t>260.22</w:t>
            </w:r>
          </w:p>
        </w:tc>
      </w:tr>
    </w:tbl>
    <w:p w14:paraId="78833832" w14:textId="77777777" w:rsidR="004A3C87" w:rsidRPr="00546BAF" w:rsidRDefault="00E81BCD" w:rsidP="004A3C87">
      <w:pPr>
        <w:jc w:val="both"/>
        <w:rPr>
          <w:rFonts w:ascii="Arial" w:hAnsi="Arial" w:cs="Arial"/>
          <w:b/>
          <w:bCs/>
          <w:sz w:val="20"/>
          <w:szCs w:val="20"/>
        </w:rPr>
      </w:pPr>
      <w:r w:rsidRPr="00546BAF">
        <w:rPr>
          <w:rFonts w:ascii="Arial" w:hAnsi="Arial" w:cs="Arial"/>
          <w:b/>
          <w:bCs/>
          <w:sz w:val="20"/>
          <w:szCs w:val="20"/>
        </w:rPr>
        <w:fldChar w:fldCharType="begin"/>
      </w:r>
      <w:r w:rsidR="004A3C87" w:rsidRPr="00546BAF">
        <w:rPr>
          <w:rFonts w:ascii="Arial" w:hAnsi="Arial" w:cs="Arial"/>
          <w:b/>
          <w:bCs/>
          <w:sz w:val="20"/>
          <w:szCs w:val="20"/>
        </w:rPr>
        <w:instrText>HYPERLINK "https://www.researchgate.net/publication/386291355_Druggability_of_Pharmaceutical_Compounds_Using_Lipinski_Rules_with_Machine_Learning" \l "pfe"</w:instrText>
      </w:r>
      <w:r w:rsidRPr="00546BAF">
        <w:rPr>
          <w:rFonts w:ascii="Arial" w:hAnsi="Arial" w:cs="Arial"/>
          <w:b/>
          <w:bCs/>
          <w:sz w:val="20"/>
          <w:szCs w:val="20"/>
        </w:rPr>
        <w:fldChar w:fldCharType="separate"/>
      </w:r>
    </w:p>
    <w:p w14:paraId="5D0FDC82" w14:textId="77777777" w:rsidR="00755650" w:rsidRPr="00546BAF" w:rsidRDefault="00E81BCD" w:rsidP="004A3C87">
      <w:pPr>
        <w:jc w:val="both"/>
        <w:rPr>
          <w:rFonts w:ascii="Arial" w:hAnsi="Arial" w:cs="Arial"/>
          <w:color w:val="000000"/>
          <w:sz w:val="20"/>
          <w:szCs w:val="20"/>
          <w:shd w:val="clear" w:color="auto" w:fill="FFFFFF"/>
        </w:rPr>
      </w:pPr>
      <w:r w:rsidRPr="00546BAF">
        <w:rPr>
          <w:rFonts w:ascii="Arial" w:hAnsi="Arial" w:cs="Arial"/>
          <w:b/>
          <w:bCs/>
          <w:sz w:val="20"/>
          <w:szCs w:val="20"/>
        </w:rPr>
        <w:fldChar w:fldCharType="end"/>
      </w:r>
      <w:r w:rsidR="00013EB0" w:rsidRPr="00546BAF">
        <w:rPr>
          <w:rFonts w:ascii="Arial" w:hAnsi="Arial" w:cs="Arial"/>
          <w:b/>
          <w:bCs/>
          <w:sz w:val="20"/>
          <w:szCs w:val="20"/>
        </w:rPr>
        <w:t xml:space="preserve">Result of molecular docking with 6CU6 </w:t>
      </w:r>
      <w:proofErr w:type="spellStart"/>
      <w:r w:rsidR="00013EB0" w:rsidRPr="00546BAF">
        <w:rPr>
          <w:rFonts w:ascii="Arial" w:hAnsi="Arial" w:cs="Arial"/>
          <w:b/>
          <w:bCs/>
          <w:sz w:val="20"/>
          <w:szCs w:val="20"/>
        </w:rPr>
        <w:t>pdb</w:t>
      </w:r>
      <w:proofErr w:type="spellEnd"/>
      <w:r w:rsidR="00013EB0" w:rsidRPr="00546BAF">
        <w:rPr>
          <w:rFonts w:ascii="Arial" w:hAnsi="Arial" w:cs="Arial"/>
          <w:b/>
          <w:bCs/>
          <w:sz w:val="20"/>
          <w:szCs w:val="20"/>
        </w:rPr>
        <w:t>:</w:t>
      </w:r>
    </w:p>
    <w:p w14:paraId="448B5B4A" w14:textId="77777777" w:rsidR="002412DB" w:rsidRPr="00546BAF" w:rsidRDefault="00755650" w:rsidP="004A3C87">
      <w:pPr>
        <w:jc w:val="both"/>
        <w:rPr>
          <w:rFonts w:ascii="Arial" w:hAnsi="Arial" w:cs="Arial"/>
          <w:sz w:val="20"/>
          <w:szCs w:val="20"/>
        </w:rPr>
      </w:pPr>
      <w:r w:rsidRPr="00546BAF">
        <w:rPr>
          <w:rFonts w:ascii="Arial" w:hAnsi="Arial" w:cs="Arial"/>
          <w:sz w:val="20"/>
          <w:szCs w:val="20"/>
        </w:rPr>
        <w:t xml:space="preserve">To understand the molecular interaction, all compounds were docked with the </w:t>
      </w:r>
      <w:r w:rsidR="004D118B" w:rsidRPr="00546BAF">
        <w:rPr>
          <w:rFonts w:ascii="Arial" w:hAnsi="Arial" w:cs="Arial"/>
          <w:sz w:val="20"/>
          <w:szCs w:val="20"/>
        </w:rPr>
        <w:t xml:space="preserve">GMPPNP-bound G12R mutant of </w:t>
      </w:r>
      <w:r w:rsidRPr="00546BAF">
        <w:rPr>
          <w:rFonts w:ascii="Arial" w:hAnsi="Arial" w:cs="Arial"/>
          <w:sz w:val="20"/>
          <w:szCs w:val="20"/>
        </w:rPr>
        <w:t>human KRAS</w:t>
      </w:r>
      <w:r w:rsidR="006C07E6" w:rsidRPr="00546BAF">
        <w:rPr>
          <w:rFonts w:ascii="Arial" w:hAnsi="Arial" w:cs="Arial"/>
          <w:sz w:val="20"/>
          <w:szCs w:val="20"/>
        </w:rPr>
        <w:t>4b</w:t>
      </w:r>
      <w:r w:rsidRPr="00546BAF">
        <w:rPr>
          <w:rFonts w:ascii="Arial" w:hAnsi="Arial" w:cs="Arial"/>
          <w:sz w:val="20"/>
          <w:szCs w:val="20"/>
        </w:rPr>
        <w:t xml:space="preserve"> (</w:t>
      </w:r>
      <w:r w:rsidR="00D843A3" w:rsidRPr="00546BAF">
        <w:rPr>
          <w:rFonts w:ascii="Arial" w:hAnsi="Arial" w:cs="Arial"/>
          <w:sz w:val="20"/>
          <w:szCs w:val="20"/>
        </w:rPr>
        <w:t>6CU6 PDB ID)</w:t>
      </w:r>
      <w:r w:rsidR="006C3095" w:rsidRPr="00546BAF">
        <w:rPr>
          <w:rFonts w:ascii="Arial" w:hAnsi="Arial" w:cs="Arial"/>
          <w:sz w:val="20"/>
          <w:szCs w:val="20"/>
        </w:rPr>
        <w:t>. Organic compounds can link to proteins via creating chemical bonds and non-covalent interactions between the ligand and the protein </w:t>
      </w:r>
      <w:r w:rsidR="0009583F" w:rsidRPr="00546BAF">
        <w:rPr>
          <w:rFonts w:ascii="Arial" w:hAnsi="Arial" w:cs="Arial"/>
          <w:sz w:val="20"/>
          <w:szCs w:val="20"/>
        </w:rPr>
        <w:t>(2</w:t>
      </w:r>
      <w:r w:rsidR="006C07E6" w:rsidRPr="00546BAF">
        <w:rPr>
          <w:rFonts w:ascii="Arial" w:hAnsi="Arial" w:cs="Arial"/>
          <w:sz w:val="20"/>
          <w:szCs w:val="20"/>
        </w:rPr>
        <w:t>6</w:t>
      </w:r>
      <w:r w:rsidR="0009583F" w:rsidRPr="00546BAF">
        <w:rPr>
          <w:rFonts w:ascii="Arial" w:hAnsi="Arial" w:cs="Arial"/>
          <w:sz w:val="20"/>
          <w:szCs w:val="20"/>
        </w:rPr>
        <w:t>)</w:t>
      </w:r>
      <w:r w:rsidR="00587D06" w:rsidRPr="00546BAF">
        <w:rPr>
          <w:rFonts w:ascii="Arial" w:hAnsi="Arial" w:cs="Arial"/>
          <w:sz w:val="20"/>
          <w:szCs w:val="20"/>
        </w:rPr>
        <w:t>. Hydrogen bond interaction and hydrophobic interaction are important considerations in evaluating binding affinity and the effectiveness of a new drug molecule to gain suitable pharmacologic properties. H-bonds play a critical role in drug-receptor interactions and the structural integrity of numerous biological components, including proteins and DNA. (2</w:t>
      </w:r>
      <w:r w:rsidR="006C07E6" w:rsidRPr="00546BAF">
        <w:rPr>
          <w:rFonts w:ascii="Arial" w:hAnsi="Arial" w:cs="Arial"/>
          <w:sz w:val="20"/>
          <w:szCs w:val="20"/>
        </w:rPr>
        <w:t>7</w:t>
      </w:r>
      <w:proofErr w:type="gramStart"/>
      <w:r w:rsidR="00587D06" w:rsidRPr="00546BAF">
        <w:rPr>
          <w:rFonts w:ascii="Arial" w:hAnsi="Arial" w:cs="Arial"/>
          <w:sz w:val="20"/>
          <w:szCs w:val="20"/>
        </w:rPr>
        <w:t>).</w:t>
      </w:r>
      <w:bookmarkStart w:id="27" w:name="_Hlk220433214"/>
      <w:r w:rsidR="00A50A79" w:rsidRPr="00546BAF">
        <w:rPr>
          <w:rFonts w:ascii="Arial" w:hAnsi="Arial" w:cs="Arial"/>
          <w:sz w:val="20"/>
          <w:szCs w:val="20"/>
        </w:rPr>
        <w:t>The</w:t>
      </w:r>
      <w:proofErr w:type="gramEnd"/>
      <w:r w:rsidR="00A50A79" w:rsidRPr="00546BAF">
        <w:rPr>
          <w:rFonts w:ascii="Arial" w:hAnsi="Arial" w:cs="Arial"/>
          <w:sz w:val="20"/>
          <w:szCs w:val="20"/>
        </w:rPr>
        <w:t xml:space="preserve"> poses with the highest negative docking scores were selected for the final presentation that signifies the best affinities of the compounds towards the target </w:t>
      </w:r>
      <w:proofErr w:type="spellStart"/>
      <w:r w:rsidR="00A50A79" w:rsidRPr="00546BAF">
        <w:rPr>
          <w:rFonts w:ascii="Arial" w:hAnsi="Arial" w:cs="Arial"/>
          <w:sz w:val="20"/>
          <w:szCs w:val="20"/>
        </w:rPr>
        <w:t>receptors.</w:t>
      </w:r>
      <w:r w:rsidR="00632A57" w:rsidRPr="00546BAF">
        <w:rPr>
          <w:rFonts w:ascii="Arial" w:hAnsi="Arial" w:cs="Arial"/>
          <w:sz w:val="20"/>
          <w:szCs w:val="20"/>
        </w:rPr>
        <w:t>The</w:t>
      </w:r>
      <w:proofErr w:type="spellEnd"/>
      <w:r w:rsidR="00632A57" w:rsidRPr="00546BAF">
        <w:rPr>
          <w:rFonts w:ascii="Arial" w:hAnsi="Arial" w:cs="Arial"/>
          <w:sz w:val="20"/>
          <w:szCs w:val="20"/>
        </w:rPr>
        <w:t xml:space="preserve"> results were shown in table </w:t>
      </w:r>
      <w:r w:rsidR="00546BAF" w:rsidRPr="00546BAF">
        <w:rPr>
          <w:rFonts w:ascii="Arial" w:hAnsi="Arial" w:cs="Arial"/>
          <w:sz w:val="20"/>
          <w:szCs w:val="20"/>
        </w:rPr>
        <w:t>6</w:t>
      </w:r>
      <w:r w:rsidR="00632A57" w:rsidRPr="00546BAF">
        <w:rPr>
          <w:rFonts w:ascii="Arial" w:hAnsi="Arial" w:cs="Arial"/>
          <w:sz w:val="20"/>
          <w:szCs w:val="20"/>
        </w:rPr>
        <w:t>.</w:t>
      </w:r>
    </w:p>
    <w:p w14:paraId="313A0D96" w14:textId="77777777" w:rsidR="00C134FE" w:rsidRPr="00546BAF" w:rsidRDefault="00632A57" w:rsidP="004A3C87">
      <w:pPr>
        <w:jc w:val="both"/>
        <w:rPr>
          <w:rFonts w:ascii="Arial" w:hAnsi="Arial" w:cs="Arial"/>
          <w:b/>
          <w:sz w:val="20"/>
          <w:szCs w:val="20"/>
        </w:rPr>
      </w:pPr>
      <w:bookmarkStart w:id="28" w:name="_Hlk220433269"/>
      <w:bookmarkEnd w:id="27"/>
      <w:r w:rsidRPr="00546BAF">
        <w:rPr>
          <w:rFonts w:ascii="Arial" w:hAnsi="Arial" w:cs="Arial"/>
          <w:b/>
          <w:sz w:val="20"/>
          <w:szCs w:val="20"/>
        </w:rPr>
        <w:t xml:space="preserve">Table </w:t>
      </w:r>
      <w:r w:rsidR="00546BAF" w:rsidRPr="00546BAF">
        <w:rPr>
          <w:rFonts w:ascii="Arial" w:hAnsi="Arial" w:cs="Arial"/>
          <w:b/>
          <w:sz w:val="20"/>
          <w:szCs w:val="20"/>
        </w:rPr>
        <w:t>6</w:t>
      </w:r>
      <w:r w:rsidR="00422B1F" w:rsidRPr="00546BAF">
        <w:rPr>
          <w:rFonts w:ascii="Arial" w:hAnsi="Arial" w:cs="Arial"/>
          <w:b/>
          <w:sz w:val="20"/>
          <w:szCs w:val="20"/>
        </w:rPr>
        <w:t>: R</w:t>
      </w:r>
      <w:r w:rsidR="00C134FE" w:rsidRPr="00546BAF">
        <w:rPr>
          <w:rFonts w:ascii="Arial" w:hAnsi="Arial" w:cs="Arial"/>
          <w:b/>
          <w:sz w:val="20"/>
          <w:szCs w:val="20"/>
        </w:rPr>
        <w:t xml:space="preserve">esult of molecular docking </w:t>
      </w:r>
      <w:r w:rsidR="003244DF" w:rsidRPr="00546BAF">
        <w:rPr>
          <w:rFonts w:ascii="Arial" w:hAnsi="Arial" w:cs="Arial"/>
          <w:b/>
          <w:sz w:val="20"/>
          <w:szCs w:val="20"/>
        </w:rPr>
        <w:t xml:space="preserve">with human KRAS </w:t>
      </w:r>
      <w:proofErr w:type="spellStart"/>
      <w:r w:rsidR="003244DF" w:rsidRPr="00546BAF">
        <w:rPr>
          <w:rFonts w:ascii="Arial" w:hAnsi="Arial" w:cs="Arial"/>
          <w:b/>
          <w:sz w:val="20"/>
          <w:szCs w:val="20"/>
        </w:rPr>
        <w:t>pdb</w:t>
      </w:r>
      <w:proofErr w:type="spellEnd"/>
      <w:r w:rsidR="003244DF" w:rsidRPr="00546BAF">
        <w:rPr>
          <w:rFonts w:ascii="Arial" w:hAnsi="Arial" w:cs="Arial"/>
          <w:b/>
          <w:sz w:val="20"/>
          <w:szCs w:val="20"/>
        </w:rPr>
        <w:t xml:space="preserve"> (6CU6)</w:t>
      </w:r>
    </w:p>
    <w:tbl>
      <w:tblPr>
        <w:tblStyle w:val="TableGrid"/>
        <w:tblW w:w="0" w:type="auto"/>
        <w:tblLayout w:type="fixed"/>
        <w:tblLook w:val="04A0" w:firstRow="1" w:lastRow="0" w:firstColumn="1" w:lastColumn="0" w:noHBand="0" w:noVBand="1"/>
      </w:tblPr>
      <w:tblGrid>
        <w:gridCol w:w="817"/>
        <w:gridCol w:w="1181"/>
        <w:gridCol w:w="1229"/>
        <w:gridCol w:w="3260"/>
        <w:gridCol w:w="2596"/>
      </w:tblGrid>
      <w:tr w:rsidR="002412DB" w:rsidRPr="00546BAF" w14:paraId="535F2DE3" w14:textId="77777777" w:rsidTr="006C07E6">
        <w:tc>
          <w:tcPr>
            <w:tcW w:w="817" w:type="dxa"/>
          </w:tcPr>
          <w:bookmarkEnd w:id="28"/>
          <w:p w14:paraId="1B27F5F5" w14:textId="77777777" w:rsidR="002412DB" w:rsidRPr="00546BAF" w:rsidRDefault="002412DB" w:rsidP="00270965">
            <w:pPr>
              <w:rPr>
                <w:rFonts w:ascii="Arial" w:hAnsi="Arial" w:cs="Arial"/>
                <w:sz w:val="20"/>
                <w:szCs w:val="20"/>
              </w:rPr>
            </w:pPr>
            <w:r w:rsidRPr="00546BAF">
              <w:rPr>
                <w:rFonts w:ascii="Arial" w:hAnsi="Arial" w:cs="Arial"/>
                <w:sz w:val="20"/>
                <w:szCs w:val="20"/>
              </w:rPr>
              <w:t>Sr No.</w:t>
            </w:r>
          </w:p>
        </w:tc>
        <w:tc>
          <w:tcPr>
            <w:tcW w:w="1181" w:type="dxa"/>
          </w:tcPr>
          <w:p w14:paraId="67136FE6" w14:textId="77777777" w:rsidR="002412DB" w:rsidRPr="00546BAF" w:rsidRDefault="002412DB" w:rsidP="00270965">
            <w:pPr>
              <w:rPr>
                <w:rFonts w:ascii="Arial" w:hAnsi="Arial" w:cs="Arial"/>
                <w:sz w:val="20"/>
                <w:szCs w:val="20"/>
              </w:rPr>
            </w:pPr>
            <w:r w:rsidRPr="00546BAF">
              <w:rPr>
                <w:rFonts w:ascii="Arial" w:hAnsi="Arial" w:cs="Arial"/>
                <w:sz w:val="20"/>
                <w:szCs w:val="20"/>
              </w:rPr>
              <w:t>code</w:t>
            </w:r>
          </w:p>
        </w:tc>
        <w:tc>
          <w:tcPr>
            <w:tcW w:w="1229" w:type="dxa"/>
          </w:tcPr>
          <w:p w14:paraId="6FB8B7B9" w14:textId="77777777" w:rsidR="002412DB" w:rsidRPr="00546BAF" w:rsidRDefault="002412DB" w:rsidP="00270965">
            <w:pPr>
              <w:rPr>
                <w:rFonts w:ascii="Arial" w:hAnsi="Arial" w:cs="Arial"/>
                <w:sz w:val="20"/>
                <w:szCs w:val="20"/>
              </w:rPr>
            </w:pPr>
            <w:proofErr w:type="spellStart"/>
            <w:r w:rsidRPr="00546BAF">
              <w:rPr>
                <w:rFonts w:ascii="Arial" w:hAnsi="Arial" w:cs="Arial"/>
                <w:sz w:val="20"/>
                <w:szCs w:val="20"/>
              </w:rPr>
              <w:t>Moldock</w:t>
            </w:r>
            <w:proofErr w:type="spellEnd"/>
            <w:r w:rsidRPr="00546BAF">
              <w:rPr>
                <w:rFonts w:ascii="Arial" w:hAnsi="Arial" w:cs="Arial"/>
                <w:sz w:val="20"/>
                <w:szCs w:val="20"/>
              </w:rPr>
              <w:t xml:space="preserve"> score</w:t>
            </w:r>
          </w:p>
        </w:tc>
        <w:tc>
          <w:tcPr>
            <w:tcW w:w="3260" w:type="dxa"/>
          </w:tcPr>
          <w:p w14:paraId="1C6D2700" w14:textId="77777777" w:rsidR="002412DB" w:rsidRPr="00546BAF" w:rsidRDefault="002412DB" w:rsidP="00270965">
            <w:pPr>
              <w:rPr>
                <w:rFonts w:ascii="Arial" w:hAnsi="Arial" w:cs="Arial"/>
                <w:sz w:val="20"/>
                <w:szCs w:val="20"/>
              </w:rPr>
            </w:pPr>
            <w:r w:rsidRPr="00546BAF">
              <w:rPr>
                <w:rFonts w:ascii="Arial" w:hAnsi="Arial" w:cs="Arial"/>
                <w:sz w:val="20"/>
                <w:szCs w:val="20"/>
              </w:rPr>
              <w:t>H bond</w:t>
            </w:r>
          </w:p>
        </w:tc>
        <w:tc>
          <w:tcPr>
            <w:tcW w:w="2596" w:type="dxa"/>
          </w:tcPr>
          <w:p w14:paraId="227DE8F8" w14:textId="77777777" w:rsidR="002412DB" w:rsidRPr="00546BAF" w:rsidRDefault="002412DB" w:rsidP="00270965">
            <w:pPr>
              <w:rPr>
                <w:rFonts w:ascii="Arial" w:hAnsi="Arial" w:cs="Arial"/>
                <w:sz w:val="20"/>
                <w:szCs w:val="20"/>
              </w:rPr>
            </w:pPr>
            <w:r w:rsidRPr="00546BAF">
              <w:rPr>
                <w:rFonts w:ascii="Arial" w:hAnsi="Arial" w:cs="Arial"/>
                <w:sz w:val="20"/>
                <w:szCs w:val="20"/>
              </w:rPr>
              <w:t xml:space="preserve">Steric interaction </w:t>
            </w:r>
          </w:p>
        </w:tc>
      </w:tr>
      <w:tr w:rsidR="002412DB" w:rsidRPr="00546BAF" w14:paraId="44224AD9" w14:textId="77777777" w:rsidTr="006C07E6">
        <w:tc>
          <w:tcPr>
            <w:tcW w:w="817" w:type="dxa"/>
          </w:tcPr>
          <w:p w14:paraId="0570355C" w14:textId="77777777" w:rsidR="002412DB" w:rsidRPr="00546BAF" w:rsidRDefault="002412DB" w:rsidP="00220E04">
            <w:pPr>
              <w:pStyle w:val="ListParagraph"/>
              <w:numPr>
                <w:ilvl w:val="1"/>
                <w:numId w:val="10"/>
              </w:numPr>
              <w:rPr>
                <w:rFonts w:ascii="Arial" w:hAnsi="Arial" w:cs="Arial"/>
                <w:sz w:val="20"/>
                <w:szCs w:val="20"/>
              </w:rPr>
            </w:pPr>
          </w:p>
        </w:tc>
        <w:tc>
          <w:tcPr>
            <w:tcW w:w="1181" w:type="dxa"/>
          </w:tcPr>
          <w:p w14:paraId="3CBBC05F" w14:textId="77777777" w:rsidR="002412DB" w:rsidRPr="00546BAF" w:rsidRDefault="00A0396A" w:rsidP="00270965">
            <w:pPr>
              <w:rPr>
                <w:rFonts w:ascii="Arial" w:hAnsi="Arial" w:cs="Arial"/>
                <w:sz w:val="20"/>
                <w:szCs w:val="20"/>
              </w:rPr>
            </w:pPr>
            <w:r w:rsidRPr="00546BAF">
              <w:rPr>
                <w:rFonts w:ascii="Arial" w:hAnsi="Arial" w:cs="Arial"/>
                <w:sz w:val="20"/>
                <w:szCs w:val="20"/>
              </w:rPr>
              <w:t>Co-crystallized</w:t>
            </w:r>
          </w:p>
          <w:p w14:paraId="09CFCDF6" w14:textId="77777777" w:rsidR="00A0396A" w:rsidRPr="00546BAF" w:rsidRDefault="00A0396A" w:rsidP="00270965">
            <w:pPr>
              <w:rPr>
                <w:rFonts w:ascii="Arial" w:hAnsi="Arial" w:cs="Arial"/>
                <w:sz w:val="20"/>
                <w:szCs w:val="20"/>
              </w:rPr>
            </w:pPr>
            <w:r w:rsidRPr="00546BAF">
              <w:rPr>
                <w:rFonts w:ascii="Arial" w:hAnsi="Arial" w:cs="Arial"/>
                <w:sz w:val="20"/>
                <w:szCs w:val="20"/>
              </w:rPr>
              <w:t>ligand</w:t>
            </w:r>
          </w:p>
        </w:tc>
        <w:tc>
          <w:tcPr>
            <w:tcW w:w="1229" w:type="dxa"/>
          </w:tcPr>
          <w:p w14:paraId="041D1ADB" w14:textId="77777777" w:rsidR="002412DB" w:rsidRPr="00546BAF" w:rsidRDefault="002412DB" w:rsidP="00270965">
            <w:pPr>
              <w:rPr>
                <w:rFonts w:ascii="Arial" w:hAnsi="Arial" w:cs="Arial"/>
                <w:sz w:val="20"/>
                <w:szCs w:val="20"/>
              </w:rPr>
            </w:pPr>
            <w:r w:rsidRPr="00546BAF">
              <w:rPr>
                <w:rFonts w:ascii="Arial" w:hAnsi="Arial" w:cs="Arial"/>
                <w:sz w:val="20"/>
                <w:szCs w:val="20"/>
              </w:rPr>
              <w:t>-250.535</w:t>
            </w:r>
          </w:p>
        </w:tc>
        <w:tc>
          <w:tcPr>
            <w:tcW w:w="3260" w:type="dxa"/>
          </w:tcPr>
          <w:p w14:paraId="6B9BF7C8" w14:textId="77777777" w:rsidR="002412DB" w:rsidRPr="00546BAF" w:rsidRDefault="002412DB" w:rsidP="00270965">
            <w:pPr>
              <w:rPr>
                <w:rFonts w:ascii="Arial" w:hAnsi="Arial" w:cs="Arial"/>
                <w:sz w:val="20"/>
                <w:szCs w:val="20"/>
              </w:rPr>
            </w:pPr>
            <w:r w:rsidRPr="00546BAF">
              <w:rPr>
                <w:rFonts w:ascii="Arial" w:hAnsi="Arial" w:cs="Arial"/>
                <w:sz w:val="20"/>
                <w:szCs w:val="20"/>
              </w:rPr>
              <w:t xml:space="preserve">ASP119, Ala 146, </w:t>
            </w:r>
            <w:proofErr w:type="spellStart"/>
            <w:r w:rsidRPr="00546BAF">
              <w:rPr>
                <w:rFonts w:ascii="Arial" w:hAnsi="Arial" w:cs="Arial"/>
                <w:sz w:val="20"/>
                <w:szCs w:val="20"/>
              </w:rPr>
              <w:t>Asn</w:t>
            </w:r>
            <w:proofErr w:type="spellEnd"/>
            <w:r w:rsidRPr="00546BAF">
              <w:rPr>
                <w:rFonts w:ascii="Arial" w:hAnsi="Arial" w:cs="Arial"/>
                <w:sz w:val="20"/>
                <w:szCs w:val="20"/>
              </w:rPr>
              <w:t xml:space="preserve"> 116, lys117, </w:t>
            </w:r>
            <w:proofErr w:type="spellStart"/>
            <w:r w:rsidRPr="00546BAF">
              <w:rPr>
                <w:rFonts w:ascii="Arial" w:hAnsi="Arial" w:cs="Arial"/>
                <w:sz w:val="20"/>
                <w:szCs w:val="20"/>
              </w:rPr>
              <w:t>Ser</w:t>
            </w:r>
            <w:proofErr w:type="spellEnd"/>
            <w:r w:rsidRPr="00546BAF">
              <w:rPr>
                <w:rFonts w:ascii="Arial" w:hAnsi="Arial" w:cs="Arial"/>
                <w:sz w:val="20"/>
                <w:szCs w:val="20"/>
              </w:rPr>
              <w:t xml:space="preserve"> 11, Ala18, Lys 16, </w:t>
            </w:r>
            <w:proofErr w:type="spellStart"/>
            <w:r w:rsidRPr="00546BAF">
              <w:rPr>
                <w:rFonts w:ascii="Arial" w:hAnsi="Arial" w:cs="Arial"/>
                <w:sz w:val="20"/>
                <w:szCs w:val="20"/>
              </w:rPr>
              <w:t>Gly</w:t>
            </w:r>
            <w:proofErr w:type="spellEnd"/>
            <w:r w:rsidRPr="00546BAF">
              <w:rPr>
                <w:rFonts w:ascii="Arial" w:hAnsi="Arial" w:cs="Arial"/>
                <w:sz w:val="20"/>
                <w:szCs w:val="20"/>
              </w:rPr>
              <w:t xml:space="preserve"> 16, Gly15, </w:t>
            </w:r>
            <w:proofErr w:type="spellStart"/>
            <w:r w:rsidRPr="00546BAF">
              <w:rPr>
                <w:rFonts w:ascii="Arial" w:hAnsi="Arial" w:cs="Arial"/>
                <w:sz w:val="20"/>
                <w:szCs w:val="20"/>
              </w:rPr>
              <w:t>Thr</w:t>
            </w:r>
            <w:proofErr w:type="spellEnd"/>
            <w:r w:rsidRPr="00546BAF">
              <w:rPr>
                <w:rFonts w:ascii="Arial" w:hAnsi="Arial" w:cs="Arial"/>
                <w:sz w:val="20"/>
                <w:szCs w:val="20"/>
              </w:rPr>
              <w:t xml:space="preserve"> 35, Tyr 32, </w:t>
            </w:r>
            <w:proofErr w:type="spellStart"/>
            <w:r w:rsidRPr="00546BAF">
              <w:rPr>
                <w:rFonts w:ascii="Arial" w:hAnsi="Arial" w:cs="Arial"/>
                <w:sz w:val="20"/>
                <w:szCs w:val="20"/>
              </w:rPr>
              <w:t>Arg</w:t>
            </w:r>
            <w:proofErr w:type="spellEnd"/>
            <w:r w:rsidRPr="00546BAF">
              <w:rPr>
                <w:rFonts w:ascii="Arial" w:hAnsi="Arial" w:cs="Arial"/>
                <w:sz w:val="20"/>
                <w:szCs w:val="20"/>
              </w:rPr>
              <w:t xml:space="preserve"> 12, Asp 30, Val 29</w:t>
            </w:r>
          </w:p>
        </w:tc>
        <w:tc>
          <w:tcPr>
            <w:tcW w:w="2596" w:type="dxa"/>
          </w:tcPr>
          <w:p w14:paraId="597DA4A6" w14:textId="77777777" w:rsidR="002412DB" w:rsidRPr="00546BAF" w:rsidRDefault="002412DB" w:rsidP="00270965">
            <w:pPr>
              <w:rPr>
                <w:rFonts w:ascii="Arial" w:hAnsi="Arial" w:cs="Arial"/>
                <w:sz w:val="20"/>
                <w:szCs w:val="20"/>
              </w:rPr>
            </w:pPr>
            <w:proofErr w:type="spellStart"/>
            <w:r w:rsidRPr="00546BAF">
              <w:rPr>
                <w:rFonts w:ascii="Arial" w:hAnsi="Arial" w:cs="Arial"/>
                <w:sz w:val="20"/>
                <w:szCs w:val="20"/>
              </w:rPr>
              <w:t>Arg</w:t>
            </w:r>
            <w:proofErr w:type="spellEnd"/>
            <w:r w:rsidRPr="00546BAF">
              <w:rPr>
                <w:rFonts w:ascii="Arial" w:hAnsi="Arial" w:cs="Arial"/>
                <w:sz w:val="20"/>
                <w:szCs w:val="20"/>
              </w:rPr>
              <w:t xml:space="preserve"> 12, </w:t>
            </w:r>
            <w:proofErr w:type="spellStart"/>
            <w:r w:rsidRPr="00546BAF">
              <w:rPr>
                <w:rFonts w:ascii="Arial" w:hAnsi="Arial" w:cs="Arial"/>
                <w:sz w:val="20"/>
                <w:szCs w:val="20"/>
              </w:rPr>
              <w:t>Thr</w:t>
            </w:r>
            <w:proofErr w:type="spellEnd"/>
            <w:r w:rsidRPr="00546BAF">
              <w:rPr>
                <w:rFonts w:ascii="Arial" w:hAnsi="Arial" w:cs="Arial"/>
                <w:sz w:val="20"/>
                <w:szCs w:val="20"/>
              </w:rPr>
              <w:t xml:space="preserve"> 35, </w:t>
            </w:r>
            <w:proofErr w:type="spellStart"/>
            <w:r w:rsidRPr="00546BAF">
              <w:rPr>
                <w:rFonts w:ascii="Arial" w:hAnsi="Arial" w:cs="Arial"/>
                <w:sz w:val="20"/>
                <w:szCs w:val="20"/>
              </w:rPr>
              <w:t>Gly</w:t>
            </w:r>
            <w:proofErr w:type="spellEnd"/>
            <w:r w:rsidRPr="00546BAF">
              <w:rPr>
                <w:rFonts w:ascii="Arial" w:hAnsi="Arial" w:cs="Arial"/>
                <w:sz w:val="20"/>
                <w:szCs w:val="20"/>
              </w:rPr>
              <w:t xml:space="preserve"> 13, </w:t>
            </w:r>
            <w:proofErr w:type="spellStart"/>
            <w:r w:rsidRPr="00546BAF">
              <w:rPr>
                <w:rFonts w:ascii="Arial" w:hAnsi="Arial" w:cs="Arial"/>
                <w:sz w:val="20"/>
                <w:szCs w:val="20"/>
              </w:rPr>
              <w:t>Gly</w:t>
            </w:r>
            <w:proofErr w:type="spellEnd"/>
            <w:r w:rsidRPr="00546BAF">
              <w:rPr>
                <w:rFonts w:ascii="Arial" w:hAnsi="Arial" w:cs="Arial"/>
                <w:sz w:val="20"/>
                <w:szCs w:val="20"/>
              </w:rPr>
              <w:t xml:space="preserve"> 60</w:t>
            </w:r>
          </w:p>
        </w:tc>
      </w:tr>
      <w:tr w:rsidR="002412DB" w:rsidRPr="00546BAF" w14:paraId="239F0344" w14:textId="77777777" w:rsidTr="006C07E6">
        <w:tc>
          <w:tcPr>
            <w:tcW w:w="817" w:type="dxa"/>
          </w:tcPr>
          <w:p w14:paraId="729E38CD" w14:textId="77777777" w:rsidR="002412DB" w:rsidRPr="00546BAF" w:rsidRDefault="002412DB" w:rsidP="00220E04">
            <w:pPr>
              <w:pStyle w:val="ListParagraph"/>
              <w:numPr>
                <w:ilvl w:val="0"/>
                <w:numId w:val="10"/>
              </w:numPr>
              <w:rPr>
                <w:rFonts w:ascii="Arial" w:hAnsi="Arial" w:cs="Arial"/>
                <w:sz w:val="20"/>
                <w:szCs w:val="20"/>
              </w:rPr>
            </w:pPr>
          </w:p>
        </w:tc>
        <w:tc>
          <w:tcPr>
            <w:tcW w:w="1181" w:type="dxa"/>
          </w:tcPr>
          <w:p w14:paraId="3AF605BC" w14:textId="77777777" w:rsidR="002412DB" w:rsidRPr="00546BAF" w:rsidRDefault="006C07E6" w:rsidP="00270965">
            <w:pPr>
              <w:rPr>
                <w:rFonts w:ascii="Arial" w:hAnsi="Arial" w:cs="Arial"/>
                <w:sz w:val="20"/>
                <w:szCs w:val="20"/>
              </w:rPr>
            </w:pPr>
            <w:r w:rsidRPr="00546BAF">
              <w:rPr>
                <w:rFonts w:ascii="Arial" w:hAnsi="Arial" w:cs="Arial"/>
                <w:sz w:val="20"/>
                <w:szCs w:val="20"/>
              </w:rPr>
              <w:t>FA1</w:t>
            </w:r>
          </w:p>
        </w:tc>
        <w:tc>
          <w:tcPr>
            <w:tcW w:w="1229" w:type="dxa"/>
          </w:tcPr>
          <w:p w14:paraId="0B46E17B" w14:textId="77777777" w:rsidR="002412DB" w:rsidRPr="00546BAF" w:rsidRDefault="002412DB" w:rsidP="00270965">
            <w:pPr>
              <w:rPr>
                <w:rFonts w:ascii="Arial" w:hAnsi="Arial" w:cs="Arial"/>
                <w:sz w:val="20"/>
                <w:szCs w:val="20"/>
              </w:rPr>
            </w:pPr>
            <w:r w:rsidRPr="00546BAF">
              <w:rPr>
                <w:rFonts w:ascii="Arial" w:hAnsi="Arial" w:cs="Arial"/>
                <w:sz w:val="20"/>
                <w:szCs w:val="20"/>
              </w:rPr>
              <w:t>-136.76</w:t>
            </w:r>
          </w:p>
        </w:tc>
        <w:tc>
          <w:tcPr>
            <w:tcW w:w="3260" w:type="dxa"/>
          </w:tcPr>
          <w:p w14:paraId="3944D98A" w14:textId="77777777" w:rsidR="002412DB" w:rsidRPr="00546BAF" w:rsidRDefault="002412DB" w:rsidP="00270965">
            <w:pPr>
              <w:rPr>
                <w:rFonts w:ascii="Arial" w:hAnsi="Arial" w:cs="Arial"/>
                <w:sz w:val="20"/>
                <w:szCs w:val="20"/>
              </w:rPr>
            </w:pPr>
            <w:r w:rsidRPr="00546BAF">
              <w:rPr>
                <w:rFonts w:ascii="Arial" w:hAnsi="Arial" w:cs="Arial"/>
                <w:sz w:val="20"/>
                <w:szCs w:val="20"/>
              </w:rPr>
              <w:t xml:space="preserve">Ala 146, Lys 147, Asp 119, </w:t>
            </w:r>
          </w:p>
        </w:tc>
        <w:tc>
          <w:tcPr>
            <w:tcW w:w="2596" w:type="dxa"/>
          </w:tcPr>
          <w:p w14:paraId="215A6345" w14:textId="77777777" w:rsidR="002412DB" w:rsidRPr="00546BAF" w:rsidRDefault="002412DB" w:rsidP="00270965">
            <w:pPr>
              <w:rPr>
                <w:rFonts w:ascii="Arial" w:hAnsi="Arial" w:cs="Arial"/>
                <w:sz w:val="20"/>
                <w:szCs w:val="20"/>
              </w:rPr>
            </w:pPr>
            <w:r w:rsidRPr="00546BAF">
              <w:rPr>
                <w:rFonts w:ascii="Arial" w:hAnsi="Arial" w:cs="Arial"/>
                <w:sz w:val="20"/>
                <w:szCs w:val="20"/>
              </w:rPr>
              <w:t>Ala 146</w:t>
            </w:r>
          </w:p>
        </w:tc>
      </w:tr>
      <w:tr w:rsidR="002412DB" w:rsidRPr="00546BAF" w14:paraId="65F5CC43" w14:textId="77777777" w:rsidTr="006C07E6">
        <w:tc>
          <w:tcPr>
            <w:tcW w:w="817" w:type="dxa"/>
          </w:tcPr>
          <w:p w14:paraId="264D2032" w14:textId="77777777" w:rsidR="002412DB" w:rsidRPr="00546BAF" w:rsidRDefault="002412DB" w:rsidP="00220E04">
            <w:pPr>
              <w:pStyle w:val="ListParagraph"/>
              <w:numPr>
                <w:ilvl w:val="0"/>
                <w:numId w:val="10"/>
              </w:numPr>
              <w:rPr>
                <w:rFonts w:ascii="Arial" w:hAnsi="Arial" w:cs="Arial"/>
                <w:sz w:val="20"/>
                <w:szCs w:val="20"/>
              </w:rPr>
            </w:pPr>
          </w:p>
        </w:tc>
        <w:tc>
          <w:tcPr>
            <w:tcW w:w="1181" w:type="dxa"/>
          </w:tcPr>
          <w:p w14:paraId="77D8E57E" w14:textId="77777777" w:rsidR="002412DB" w:rsidRPr="00546BAF" w:rsidRDefault="006C07E6" w:rsidP="00270965">
            <w:pPr>
              <w:rPr>
                <w:rFonts w:ascii="Arial" w:hAnsi="Arial" w:cs="Arial"/>
                <w:sz w:val="20"/>
                <w:szCs w:val="20"/>
              </w:rPr>
            </w:pPr>
            <w:r w:rsidRPr="00546BAF">
              <w:rPr>
                <w:rFonts w:ascii="Arial" w:hAnsi="Arial" w:cs="Arial"/>
                <w:sz w:val="20"/>
                <w:szCs w:val="20"/>
              </w:rPr>
              <w:t>FA2</w:t>
            </w:r>
          </w:p>
        </w:tc>
        <w:tc>
          <w:tcPr>
            <w:tcW w:w="1229" w:type="dxa"/>
          </w:tcPr>
          <w:p w14:paraId="56E90FFA" w14:textId="77777777" w:rsidR="002412DB" w:rsidRPr="00546BAF" w:rsidRDefault="002412DB" w:rsidP="00270965">
            <w:pPr>
              <w:rPr>
                <w:rFonts w:ascii="Arial" w:hAnsi="Arial" w:cs="Arial"/>
                <w:sz w:val="20"/>
                <w:szCs w:val="20"/>
              </w:rPr>
            </w:pPr>
            <w:r w:rsidRPr="00546BAF">
              <w:rPr>
                <w:rFonts w:ascii="Arial" w:hAnsi="Arial" w:cs="Arial"/>
                <w:sz w:val="20"/>
                <w:szCs w:val="20"/>
              </w:rPr>
              <w:t>-141.721</w:t>
            </w:r>
          </w:p>
        </w:tc>
        <w:tc>
          <w:tcPr>
            <w:tcW w:w="3260" w:type="dxa"/>
          </w:tcPr>
          <w:p w14:paraId="4616D7BD" w14:textId="77777777" w:rsidR="002412DB" w:rsidRPr="00546BAF" w:rsidRDefault="002412DB" w:rsidP="00270965">
            <w:pPr>
              <w:rPr>
                <w:rFonts w:ascii="Arial" w:hAnsi="Arial" w:cs="Arial"/>
                <w:sz w:val="20"/>
                <w:szCs w:val="20"/>
              </w:rPr>
            </w:pPr>
            <w:r w:rsidRPr="00546BAF">
              <w:rPr>
                <w:rFonts w:ascii="Arial" w:hAnsi="Arial" w:cs="Arial"/>
                <w:sz w:val="20"/>
                <w:szCs w:val="20"/>
              </w:rPr>
              <w:t>Ser 17, ser 145, Asp 119, Lys 147</w:t>
            </w:r>
          </w:p>
        </w:tc>
        <w:tc>
          <w:tcPr>
            <w:tcW w:w="2596" w:type="dxa"/>
          </w:tcPr>
          <w:p w14:paraId="755F5967" w14:textId="77777777" w:rsidR="002412DB" w:rsidRPr="00546BAF" w:rsidRDefault="002412DB" w:rsidP="00270965">
            <w:pPr>
              <w:rPr>
                <w:rFonts w:ascii="Arial" w:hAnsi="Arial" w:cs="Arial"/>
                <w:sz w:val="20"/>
                <w:szCs w:val="20"/>
              </w:rPr>
            </w:pPr>
            <w:r w:rsidRPr="00546BAF">
              <w:rPr>
                <w:rFonts w:ascii="Arial" w:hAnsi="Arial" w:cs="Arial"/>
                <w:sz w:val="20"/>
                <w:szCs w:val="20"/>
              </w:rPr>
              <w:t>Ala 146</w:t>
            </w:r>
          </w:p>
        </w:tc>
      </w:tr>
      <w:tr w:rsidR="002412DB" w:rsidRPr="00546BAF" w14:paraId="7DDA3E6E" w14:textId="77777777" w:rsidTr="006C07E6">
        <w:tc>
          <w:tcPr>
            <w:tcW w:w="817" w:type="dxa"/>
          </w:tcPr>
          <w:p w14:paraId="21AA0C52" w14:textId="77777777" w:rsidR="002412DB" w:rsidRPr="00546BAF" w:rsidRDefault="002412DB" w:rsidP="00220E04">
            <w:pPr>
              <w:pStyle w:val="ListParagraph"/>
              <w:numPr>
                <w:ilvl w:val="0"/>
                <w:numId w:val="10"/>
              </w:numPr>
              <w:rPr>
                <w:rFonts w:ascii="Arial" w:hAnsi="Arial" w:cs="Arial"/>
                <w:sz w:val="20"/>
                <w:szCs w:val="20"/>
              </w:rPr>
            </w:pPr>
          </w:p>
        </w:tc>
        <w:tc>
          <w:tcPr>
            <w:tcW w:w="1181" w:type="dxa"/>
          </w:tcPr>
          <w:p w14:paraId="13A7616F" w14:textId="77777777" w:rsidR="002412DB" w:rsidRPr="00546BAF" w:rsidRDefault="006C07E6" w:rsidP="00270965">
            <w:pPr>
              <w:rPr>
                <w:rFonts w:ascii="Arial" w:hAnsi="Arial" w:cs="Arial"/>
                <w:sz w:val="20"/>
                <w:szCs w:val="20"/>
              </w:rPr>
            </w:pPr>
            <w:r w:rsidRPr="00546BAF">
              <w:rPr>
                <w:rFonts w:ascii="Arial" w:hAnsi="Arial" w:cs="Arial"/>
                <w:sz w:val="20"/>
                <w:szCs w:val="20"/>
              </w:rPr>
              <w:t>FA3</w:t>
            </w:r>
          </w:p>
        </w:tc>
        <w:tc>
          <w:tcPr>
            <w:tcW w:w="1229" w:type="dxa"/>
          </w:tcPr>
          <w:p w14:paraId="1751A948" w14:textId="77777777" w:rsidR="002412DB" w:rsidRPr="00546BAF" w:rsidRDefault="002412DB" w:rsidP="00270965">
            <w:pPr>
              <w:rPr>
                <w:rFonts w:ascii="Arial" w:hAnsi="Arial" w:cs="Arial"/>
                <w:sz w:val="20"/>
                <w:szCs w:val="20"/>
              </w:rPr>
            </w:pPr>
            <w:r w:rsidRPr="00546BAF">
              <w:rPr>
                <w:rFonts w:ascii="Arial" w:hAnsi="Arial" w:cs="Arial"/>
                <w:sz w:val="20"/>
                <w:szCs w:val="20"/>
              </w:rPr>
              <w:t>-136.065</w:t>
            </w:r>
          </w:p>
        </w:tc>
        <w:tc>
          <w:tcPr>
            <w:tcW w:w="3260" w:type="dxa"/>
          </w:tcPr>
          <w:p w14:paraId="32D7ED59" w14:textId="77777777" w:rsidR="002412DB" w:rsidRPr="00546BAF" w:rsidRDefault="002412DB" w:rsidP="00270965">
            <w:pPr>
              <w:rPr>
                <w:rFonts w:ascii="Arial" w:hAnsi="Arial" w:cs="Arial"/>
                <w:sz w:val="20"/>
                <w:szCs w:val="20"/>
              </w:rPr>
            </w:pPr>
            <w:r w:rsidRPr="00546BAF">
              <w:rPr>
                <w:rFonts w:ascii="Arial" w:hAnsi="Arial" w:cs="Arial"/>
                <w:sz w:val="20"/>
                <w:szCs w:val="20"/>
              </w:rPr>
              <w:t xml:space="preserve">Lys 16, </w:t>
            </w:r>
            <w:proofErr w:type="spellStart"/>
            <w:r w:rsidRPr="00546BAF">
              <w:rPr>
                <w:rFonts w:ascii="Arial" w:hAnsi="Arial" w:cs="Arial"/>
                <w:sz w:val="20"/>
                <w:szCs w:val="20"/>
              </w:rPr>
              <w:t>Gly</w:t>
            </w:r>
            <w:proofErr w:type="spellEnd"/>
            <w:r w:rsidRPr="00546BAF">
              <w:rPr>
                <w:rFonts w:ascii="Arial" w:hAnsi="Arial" w:cs="Arial"/>
                <w:sz w:val="20"/>
                <w:szCs w:val="20"/>
              </w:rPr>
              <w:t xml:space="preserve"> </w:t>
            </w:r>
            <w:proofErr w:type="gramStart"/>
            <w:r w:rsidRPr="00546BAF">
              <w:rPr>
                <w:rFonts w:ascii="Arial" w:hAnsi="Arial" w:cs="Arial"/>
                <w:sz w:val="20"/>
                <w:szCs w:val="20"/>
              </w:rPr>
              <w:t>15,Asp</w:t>
            </w:r>
            <w:proofErr w:type="gramEnd"/>
            <w:r w:rsidRPr="00546BAF">
              <w:rPr>
                <w:rFonts w:ascii="Arial" w:hAnsi="Arial" w:cs="Arial"/>
                <w:sz w:val="20"/>
                <w:szCs w:val="20"/>
              </w:rPr>
              <w:t xml:space="preserve"> 119, </w:t>
            </w:r>
            <w:proofErr w:type="spellStart"/>
            <w:r w:rsidRPr="00546BAF">
              <w:rPr>
                <w:rFonts w:ascii="Arial" w:hAnsi="Arial" w:cs="Arial"/>
                <w:sz w:val="20"/>
                <w:szCs w:val="20"/>
              </w:rPr>
              <w:t>Gly</w:t>
            </w:r>
            <w:proofErr w:type="spellEnd"/>
            <w:r w:rsidRPr="00546BAF">
              <w:rPr>
                <w:rFonts w:ascii="Arial" w:hAnsi="Arial" w:cs="Arial"/>
                <w:sz w:val="20"/>
                <w:szCs w:val="20"/>
              </w:rPr>
              <w:t xml:space="preserve"> 13</w:t>
            </w:r>
          </w:p>
        </w:tc>
        <w:tc>
          <w:tcPr>
            <w:tcW w:w="2596" w:type="dxa"/>
          </w:tcPr>
          <w:p w14:paraId="20B94008" w14:textId="77777777" w:rsidR="002412DB" w:rsidRPr="00546BAF" w:rsidRDefault="002412DB" w:rsidP="00270965">
            <w:pPr>
              <w:rPr>
                <w:rFonts w:ascii="Arial" w:hAnsi="Arial" w:cs="Arial"/>
                <w:sz w:val="20"/>
                <w:szCs w:val="20"/>
              </w:rPr>
            </w:pPr>
            <w:proofErr w:type="spellStart"/>
            <w:r w:rsidRPr="00546BAF">
              <w:rPr>
                <w:rFonts w:ascii="Arial" w:hAnsi="Arial" w:cs="Arial"/>
                <w:sz w:val="20"/>
                <w:szCs w:val="20"/>
              </w:rPr>
              <w:t>Gly</w:t>
            </w:r>
            <w:proofErr w:type="spellEnd"/>
            <w:r w:rsidRPr="00546BAF">
              <w:rPr>
                <w:rFonts w:ascii="Arial" w:hAnsi="Arial" w:cs="Arial"/>
                <w:sz w:val="20"/>
                <w:szCs w:val="20"/>
              </w:rPr>
              <w:t xml:space="preserve"> 15, Ala 18</w:t>
            </w:r>
          </w:p>
        </w:tc>
      </w:tr>
      <w:tr w:rsidR="002412DB" w:rsidRPr="00546BAF" w14:paraId="19E030C5" w14:textId="77777777" w:rsidTr="006C07E6">
        <w:tc>
          <w:tcPr>
            <w:tcW w:w="817" w:type="dxa"/>
          </w:tcPr>
          <w:p w14:paraId="389A05C3" w14:textId="77777777" w:rsidR="002412DB" w:rsidRPr="00546BAF" w:rsidRDefault="002412DB" w:rsidP="00220E04">
            <w:pPr>
              <w:pStyle w:val="ListParagraph"/>
              <w:numPr>
                <w:ilvl w:val="0"/>
                <w:numId w:val="10"/>
              </w:numPr>
              <w:rPr>
                <w:rFonts w:ascii="Arial" w:hAnsi="Arial" w:cs="Arial"/>
                <w:sz w:val="20"/>
                <w:szCs w:val="20"/>
              </w:rPr>
            </w:pPr>
          </w:p>
        </w:tc>
        <w:tc>
          <w:tcPr>
            <w:tcW w:w="1181" w:type="dxa"/>
          </w:tcPr>
          <w:p w14:paraId="07DBD0CD" w14:textId="77777777" w:rsidR="002412DB" w:rsidRPr="00546BAF" w:rsidRDefault="006C07E6" w:rsidP="00270965">
            <w:pPr>
              <w:rPr>
                <w:rFonts w:ascii="Arial" w:hAnsi="Arial" w:cs="Arial"/>
                <w:sz w:val="20"/>
                <w:szCs w:val="20"/>
              </w:rPr>
            </w:pPr>
            <w:r w:rsidRPr="00546BAF">
              <w:rPr>
                <w:rFonts w:ascii="Arial" w:hAnsi="Arial" w:cs="Arial"/>
                <w:sz w:val="20"/>
                <w:szCs w:val="20"/>
              </w:rPr>
              <w:t>FA4</w:t>
            </w:r>
          </w:p>
        </w:tc>
        <w:tc>
          <w:tcPr>
            <w:tcW w:w="1229" w:type="dxa"/>
          </w:tcPr>
          <w:p w14:paraId="16E5FC7A" w14:textId="77777777" w:rsidR="002412DB" w:rsidRPr="00546BAF" w:rsidRDefault="002412DB" w:rsidP="00270965">
            <w:pPr>
              <w:rPr>
                <w:rFonts w:ascii="Arial" w:hAnsi="Arial" w:cs="Arial"/>
                <w:sz w:val="20"/>
                <w:szCs w:val="20"/>
              </w:rPr>
            </w:pPr>
            <w:r w:rsidRPr="00546BAF">
              <w:rPr>
                <w:rFonts w:ascii="Arial" w:hAnsi="Arial" w:cs="Arial"/>
                <w:sz w:val="20"/>
                <w:szCs w:val="20"/>
              </w:rPr>
              <w:t>-132.126</w:t>
            </w:r>
          </w:p>
        </w:tc>
        <w:tc>
          <w:tcPr>
            <w:tcW w:w="3260" w:type="dxa"/>
          </w:tcPr>
          <w:p w14:paraId="10138A0C" w14:textId="77777777" w:rsidR="002412DB" w:rsidRPr="00546BAF" w:rsidRDefault="002412DB" w:rsidP="00270965">
            <w:pPr>
              <w:rPr>
                <w:rFonts w:ascii="Arial" w:hAnsi="Arial" w:cs="Arial"/>
                <w:sz w:val="20"/>
                <w:szCs w:val="20"/>
              </w:rPr>
            </w:pPr>
            <w:r w:rsidRPr="00546BAF">
              <w:rPr>
                <w:rFonts w:ascii="Arial" w:hAnsi="Arial" w:cs="Arial"/>
                <w:sz w:val="20"/>
                <w:szCs w:val="20"/>
              </w:rPr>
              <w:t xml:space="preserve">Ala 146, Lys 16, </w:t>
            </w:r>
            <w:proofErr w:type="spellStart"/>
            <w:r w:rsidRPr="00546BAF">
              <w:rPr>
                <w:rFonts w:ascii="Arial" w:hAnsi="Arial" w:cs="Arial"/>
                <w:sz w:val="20"/>
                <w:szCs w:val="20"/>
              </w:rPr>
              <w:t>Gly</w:t>
            </w:r>
            <w:proofErr w:type="spellEnd"/>
            <w:r w:rsidRPr="00546BAF">
              <w:rPr>
                <w:rFonts w:ascii="Arial" w:hAnsi="Arial" w:cs="Arial"/>
                <w:sz w:val="20"/>
                <w:szCs w:val="20"/>
              </w:rPr>
              <w:t xml:space="preserve"> 13, </w:t>
            </w:r>
            <w:proofErr w:type="spellStart"/>
            <w:r w:rsidRPr="00546BAF">
              <w:rPr>
                <w:rFonts w:ascii="Arial" w:hAnsi="Arial" w:cs="Arial"/>
                <w:sz w:val="20"/>
                <w:szCs w:val="20"/>
              </w:rPr>
              <w:t>Ser</w:t>
            </w:r>
            <w:proofErr w:type="spellEnd"/>
            <w:r w:rsidRPr="00546BAF">
              <w:rPr>
                <w:rFonts w:ascii="Arial" w:hAnsi="Arial" w:cs="Arial"/>
                <w:sz w:val="20"/>
                <w:szCs w:val="20"/>
              </w:rPr>
              <w:t xml:space="preserve"> 17, </w:t>
            </w:r>
            <w:proofErr w:type="spellStart"/>
            <w:r w:rsidRPr="00546BAF">
              <w:rPr>
                <w:rFonts w:ascii="Arial" w:hAnsi="Arial" w:cs="Arial"/>
                <w:sz w:val="20"/>
                <w:szCs w:val="20"/>
              </w:rPr>
              <w:t>Thr</w:t>
            </w:r>
            <w:proofErr w:type="spellEnd"/>
            <w:r w:rsidRPr="00546BAF">
              <w:rPr>
                <w:rFonts w:ascii="Arial" w:hAnsi="Arial" w:cs="Arial"/>
                <w:sz w:val="20"/>
                <w:szCs w:val="20"/>
              </w:rPr>
              <w:t xml:space="preserve"> 35, Lys 117</w:t>
            </w:r>
          </w:p>
        </w:tc>
        <w:tc>
          <w:tcPr>
            <w:tcW w:w="2596" w:type="dxa"/>
          </w:tcPr>
          <w:p w14:paraId="58A3AAE6" w14:textId="77777777" w:rsidR="002412DB" w:rsidRPr="00546BAF" w:rsidRDefault="002412DB" w:rsidP="00270965">
            <w:pPr>
              <w:rPr>
                <w:rFonts w:ascii="Arial" w:hAnsi="Arial" w:cs="Arial"/>
                <w:sz w:val="20"/>
                <w:szCs w:val="20"/>
              </w:rPr>
            </w:pPr>
            <w:r w:rsidRPr="00546BAF">
              <w:rPr>
                <w:rFonts w:ascii="Arial" w:hAnsi="Arial" w:cs="Arial"/>
                <w:sz w:val="20"/>
                <w:szCs w:val="20"/>
              </w:rPr>
              <w:t xml:space="preserve">Ala 18, Ala 146, </w:t>
            </w:r>
            <w:proofErr w:type="spellStart"/>
            <w:r w:rsidRPr="00546BAF">
              <w:rPr>
                <w:rFonts w:ascii="Arial" w:hAnsi="Arial" w:cs="Arial"/>
                <w:sz w:val="20"/>
                <w:szCs w:val="20"/>
              </w:rPr>
              <w:t>Asn</w:t>
            </w:r>
            <w:proofErr w:type="spellEnd"/>
            <w:r w:rsidRPr="00546BAF">
              <w:rPr>
                <w:rFonts w:ascii="Arial" w:hAnsi="Arial" w:cs="Arial"/>
                <w:sz w:val="20"/>
                <w:szCs w:val="20"/>
              </w:rPr>
              <w:t xml:space="preserve"> 116, Lys 117, </w:t>
            </w:r>
            <w:proofErr w:type="spellStart"/>
            <w:r w:rsidRPr="00546BAF">
              <w:rPr>
                <w:rFonts w:ascii="Arial" w:hAnsi="Arial" w:cs="Arial"/>
                <w:sz w:val="20"/>
                <w:szCs w:val="20"/>
              </w:rPr>
              <w:t>Gly</w:t>
            </w:r>
            <w:proofErr w:type="spellEnd"/>
            <w:r w:rsidRPr="00546BAF">
              <w:rPr>
                <w:rFonts w:ascii="Arial" w:hAnsi="Arial" w:cs="Arial"/>
                <w:sz w:val="20"/>
                <w:szCs w:val="20"/>
              </w:rPr>
              <w:t xml:space="preserve"> 13 </w:t>
            </w:r>
          </w:p>
        </w:tc>
      </w:tr>
      <w:tr w:rsidR="002412DB" w:rsidRPr="00546BAF" w14:paraId="6ECEB98C" w14:textId="77777777" w:rsidTr="006C07E6">
        <w:tc>
          <w:tcPr>
            <w:tcW w:w="817" w:type="dxa"/>
          </w:tcPr>
          <w:p w14:paraId="48BBA8AB" w14:textId="77777777" w:rsidR="002412DB" w:rsidRPr="00546BAF" w:rsidRDefault="002412DB" w:rsidP="00220E04">
            <w:pPr>
              <w:pStyle w:val="ListParagraph"/>
              <w:numPr>
                <w:ilvl w:val="0"/>
                <w:numId w:val="10"/>
              </w:numPr>
              <w:rPr>
                <w:rFonts w:ascii="Arial" w:hAnsi="Arial" w:cs="Arial"/>
                <w:sz w:val="20"/>
                <w:szCs w:val="20"/>
              </w:rPr>
            </w:pPr>
          </w:p>
        </w:tc>
        <w:tc>
          <w:tcPr>
            <w:tcW w:w="1181" w:type="dxa"/>
          </w:tcPr>
          <w:p w14:paraId="62427D50" w14:textId="77777777" w:rsidR="002412DB" w:rsidRPr="00546BAF" w:rsidRDefault="006C07E6" w:rsidP="00270965">
            <w:pPr>
              <w:rPr>
                <w:rFonts w:ascii="Arial" w:hAnsi="Arial" w:cs="Arial"/>
                <w:sz w:val="20"/>
                <w:szCs w:val="20"/>
              </w:rPr>
            </w:pPr>
            <w:r w:rsidRPr="00546BAF">
              <w:rPr>
                <w:rFonts w:ascii="Arial" w:hAnsi="Arial" w:cs="Arial"/>
                <w:sz w:val="20"/>
                <w:szCs w:val="20"/>
              </w:rPr>
              <w:t>FA5</w:t>
            </w:r>
          </w:p>
        </w:tc>
        <w:tc>
          <w:tcPr>
            <w:tcW w:w="1229" w:type="dxa"/>
          </w:tcPr>
          <w:p w14:paraId="2BCE540F" w14:textId="77777777" w:rsidR="002412DB" w:rsidRPr="00546BAF" w:rsidRDefault="002412DB" w:rsidP="00270965">
            <w:pPr>
              <w:rPr>
                <w:rFonts w:ascii="Arial" w:hAnsi="Arial" w:cs="Arial"/>
                <w:sz w:val="20"/>
                <w:szCs w:val="20"/>
              </w:rPr>
            </w:pPr>
            <w:r w:rsidRPr="00546BAF">
              <w:rPr>
                <w:rFonts w:ascii="Arial" w:hAnsi="Arial" w:cs="Arial"/>
                <w:sz w:val="20"/>
                <w:szCs w:val="20"/>
              </w:rPr>
              <w:t>-163.464</w:t>
            </w:r>
          </w:p>
        </w:tc>
        <w:tc>
          <w:tcPr>
            <w:tcW w:w="3260" w:type="dxa"/>
          </w:tcPr>
          <w:p w14:paraId="257B8FCE" w14:textId="77777777" w:rsidR="002412DB" w:rsidRPr="00546BAF" w:rsidRDefault="002412DB" w:rsidP="00270965">
            <w:pPr>
              <w:rPr>
                <w:rFonts w:ascii="Arial" w:hAnsi="Arial" w:cs="Arial"/>
                <w:sz w:val="20"/>
                <w:szCs w:val="20"/>
              </w:rPr>
            </w:pPr>
            <w:r w:rsidRPr="00546BAF">
              <w:rPr>
                <w:rFonts w:ascii="Arial" w:hAnsi="Arial" w:cs="Arial"/>
                <w:sz w:val="20"/>
                <w:szCs w:val="20"/>
              </w:rPr>
              <w:t xml:space="preserve">Tyr 32, </w:t>
            </w:r>
            <w:proofErr w:type="spellStart"/>
            <w:r w:rsidRPr="00546BAF">
              <w:rPr>
                <w:rFonts w:ascii="Arial" w:hAnsi="Arial" w:cs="Arial"/>
                <w:sz w:val="20"/>
                <w:szCs w:val="20"/>
              </w:rPr>
              <w:t>Gly</w:t>
            </w:r>
            <w:proofErr w:type="spellEnd"/>
            <w:r w:rsidRPr="00546BAF">
              <w:rPr>
                <w:rFonts w:ascii="Arial" w:hAnsi="Arial" w:cs="Arial"/>
                <w:sz w:val="20"/>
                <w:szCs w:val="20"/>
              </w:rPr>
              <w:t xml:space="preserve"> 13, Lys 147, Asp 119, Ser 145</w:t>
            </w:r>
          </w:p>
        </w:tc>
        <w:tc>
          <w:tcPr>
            <w:tcW w:w="2596" w:type="dxa"/>
          </w:tcPr>
          <w:p w14:paraId="104888D6" w14:textId="77777777" w:rsidR="002412DB" w:rsidRPr="00546BAF" w:rsidRDefault="002412DB" w:rsidP="00270965">
            <w:pPr>
              <w:rPr>
                <w:rFonts w:ascii="Arial" w:hAnsi="Arial" w:cs="Arial"/>
                <w:sz w:val="20"/>
                <w:szCs w:val="20"/>
              </w:rPr>
            </w:pPr>
            <w:r w:rsidRPr="00546BAF">
              <w:rPr>
                <w:rFonts w:ascii="Arial" w:hAnsi="Arial" w:cs="Arial"/>
                <w:sz w:val="20"/>
                <w:szCs w:val="20"/>
              </w:rPr>
              <w:t xml:space="preserve">Asp 33, </w:t>
            </w:r>
            <w:proofErr w:type="spellStart"/>
            <w:r w:rsidRPr="00546BAF">
              <w:rPr>
                <w:rFonts w:ascii="Arial" w:hAnsi="Arial" w:cs="Arial"/>
                <w:sz w:val="20"/>
                <w:szCs w:val="20"/>
              </w:rPr>
              <w:t>Gly</w:t>
            </w:r>
            <w:proofErr w:type="spellEnd"/>
            <w:r w:rsidRPr="00546BAF">
              <w:rPr>
                <w:rFonts w:ascii="Arial" w:hAnsi="Arial" w:cs="Arial"/>
                <w:sz w:val="20"/>
                <w:szCs w:val="20"/>
              </w:rPr>
              <w:t xml:space="preserve"> 15, Asn116, Ala 146</w:t>
            </w:r>
          </w:p>
          <w:p w14:paraId="49B639A8" w14:textId="77777777" w:rsidR="002412DB" w:rsidRPr="00546BAF" w:rsidRDefault="002412DB" w:rsidP="00270965">
            <w:pPr>
              <w:rPr>
                <w:rFonts w:ascii="Arial" w:hAnsi="Arial" w:cs="Arial"/>
                <w:sz w:val="20"/>
                <w:szCs w:val="20"/>
              </w:rPr>
            </w:pPr>
          </w:p>
        </w:tc>
      </w:tr>
      <w:tr w:rsidR="002412DB" w:rsidRPr="00546BAF" w14:paraId="64A1239A" w14:textId="77777777" w:rsidTr="006C07E6">
        <w:tc>
          <w:tcPr>
            <w:tcW w:w="817" w:type="dxa"/>
          </w:tcPr>
          <w:p w14:paraId="0BB10FB2" w14:textId="77777777" w:rsidR="002412DB" w:rsidRPr="00546BAF" w:rsidRDefault="002412DB" w:rsidP="00220E04">
            <w:pPr>
              <w:pStyle w:val="ListParagraph"/>
              <w:numPr>
                <w:ilvl w:val="0"/>
                <w:numId w:val="10"/>
              </w:numPr>
              <w:rPr>
                <w:rFonts w:ascii="Arial" w:hAnsi="Arial" w:cs="Arial"/>
                <w:sz w:val="20"/>
                <w:szCs w:val="20"/>
              </w:rPr>
            </w:pPr>
          </w:p>
        </w:tc>
        <w:tc>
          <w:tcPr>
            <w:tcW w:w="1181" w:type="dxa"/>
          </w:tcPr>
          <w:p w14:paraId="22B3DF6E" w14:textId="77777777" w:rsidR="002412DB" w:rsidRPr="00546BAF" w:rsidRDefault="006C07E6" w:rsidP="00270965">
            <w:pPr>
              <w:rPr>
                <w:rFonts w:ascii="Arial" w:hAnsi="Arial" w:cs="Arial"/>
                <w:sz w:val="20"/>
                <w:szCs w:val="20"/>
              </w:rPr>
            </w:pPr>
            <w:r w:rsidRPr="00546BAF">
              <w:rPr>
                <w:rFonts w:ascii="Arial" w:hAnsi="Arial" w:cs="Arial"/>
                <w:sz w:val="20"/>
                <w:szCs w:val="20"/>
              </w:rPr>
              <w:t>FA6</w:t>
            </w:r>
          </w:p>
        </w:tc>
        <w:tc>
          <w:tcPr>
            <w:tcW w:w="1229" w:type="dxa"/>
          </w:tcPr>
          <w:p w14:paraId="698F488A" w14:textId="77777777" w:rsidR="002412DB" w:rsidRPr="00546BAF" w:rsidRDefault="002412DB" w:rsidP="00270965">
            <w:pPr>
              <w:rPr>
                <w:rFonts w:ascii="Arial" w:hAnsi="Arial" w:cs="Arial"/>
                <w:sz w:val="20"/>
                <w:szCs w:val="20"/>
              </w:rPr>
            </w:pPr>
            <w:r w:rsidRPr="00546BAF">
              <w:rPr>
                <w:rFonts w:ascii="Arial" w:hAnsi="Arial" w:cs="Arial"/>
                <w:sz w:val="20"/>
                <w:szCs w:val="20"/>
              </w:rPr>
              <w:t>-149.977</w:t>
            </w:r>
          </w:p>
        </w:tc>
        <w:tc>
          <w:tcPr>
            <w:tcW w:w="3260" w:type="dxa"/>
          </w:tcPr>
          <w:p w14:paraId="38DEBE35" w14:textId="77777777" w:rsidR="002412DB" w:rsidRPr="00546BAF" w:rsidRDefault="002412DB" w:rsidP="00270965">
            <w:pPr>
              <w:rPr>
                <w:rFonts w:ascii="Arial" w:hAnsi="Arial" w:cs="Arial"/>
                <w:sz w:val="20"/>
                <w:szCs w:val="20"/>
              </w:rPr>
            </w:pPr>
            <w:proofErr w:type="spellStart"/>
            <w:r w:rsidRPr="00546BAF">
              <w:rPr>
                <w:rFonts w:ascii="Arial" w:hAnsi="Arial" w:cs="Arial"/>
                <w:sz w:val="20"/>
                <w:szCs w:val="20"/>
              </w:rPr>
              <w:t>Thr</w:t>
            </w:r>
            <w:proofErr w:type="spellEnd"/>
            <w:r w:rsidRPr="00546BAF">
              <w:rPr>
                <w:rFonts w:ascii="Arial" w:hAnsi="Arial" w:cs="Arial"/>
                <w:sz w:val="20"/>
                <w:szCs w:val="20"/>
              </w:rPr>
              <w:t xml:space="preserve"> 35, </w:t>
            </w:r>
            <w:proofErr w:type="spellStart"/>
            <w:r w:rsidRPr="00546BAF">
              <w:rPr>
                <w:rFonts w:ascii="Arial" w:hAnsi="Arial" w:cs="Arial"/>
                <w:sz w:val="20"/>
                <w:szCs w:val="20"/>
              </w:rPr>
              <w:t>Arg</w:t>
            </w:r>
            <w:proofErr w:type="spellEnd"/>
            <w:r w:rsidRPr="00546BAF">
              <w:rPr>
                <w:rFonts w:ascii="Arial" w:hAnsi="Arial" w:cs="Arial"/>
                <w:sz w:val="20"/>
                <w:szCs w:val="20"/>
              </w:rPr>
              <w:t xml:space="preserve"> 12, Tyr 32, Lys 147, Ser 145, Ala 146, Asp 119</w:t>
            </w:r>
          </w:p>
        </w:tc>
        <w:tc>
          <w:tcPr>
            <w:tcW w:w="2596" w:type="dxa"/>
          </w:tcPr>
          <w:p w14:paraId="5433DC8E" w14:textId="77777777" w:rsidR="002412DB" w:rsidRPr="00546BAF" w:rsidRDefault="002412DB" w:rsidP="00270965">
            <w:pPr>
              <w:rPr>
                <w:rFonts w:ascii="Arial" w:hAnsi="Arial" w:cs="Arial"/>
                <w:sz w:val="20"/>
                <w:szCs w:val="20"/>
              </w:rPr>
            </w:pPr>
            <w:r w:rsidRPr="00546BAF">
              <w:rPr>
                <w:rFonts w:ascii="Arial" w:hAnsi="Arial" w:cs="Arial"/>
                <w:sz w:val="20"/>
                <w:szCs w:val="20"/>
              </w:rPr>
              <w:t xml:space="preserve">Ala 146, </w:t>
            </w:r>
            <w:proofErr w:type="spellStart"/>
            <w:r w:rsidRPr="00546BAF">
              <w:rPr>
                <w:rFonts w:ascii="Arial" w:hAnsi="Arial" w:cs="Arial"/>
                <w:sz w:val="20"/>
                <w:szCs w:val="20"/>
              </w:rPr>
              <w:t>Asn</w:t>
            </w:r>
            <w:proofErr w:type="spellEnd"/>
            <w:r w:rsidRPr="00546BAF">
              <w:rPr>
                <w:rFonts w:ascii="Arial" w:hAnsi="Arial" w:cs="Arial"/>
                <w:sz w:val="20"/>
                <w:szCs w:val="20"/>
              </w:rPr>
              <w:t xml:space="preserve"> 116, Lys 117, Asp 119, </w:t>
            </w:r>
            <w:proofErr w:type="spellStart"/>
            <w:r w:rsidRPr="00546BAF">
              <w:rPr>
                <w:rFonts w:ascii="Arial" w:hAnsi="Arial" w:cs="Arial"/>
                <w:sz w:val="20"/>
                <w:szCs w:val="20"/>
              </w:rPr>
              <w:t>Gly</w:t>
            </w:r>
            <w:proofErr w:type="spellEnd"/>
            <w:r w:rsidRPr="00546BAF">
              <w:rPr>
                <w:rFonts w:ascii="Arial" w:hAnsi="Arial" w:cs="Arial"/>
                <w:sz w:val="20"/>
                <w:szCs w:val="20"/>
              </w:rPr>
              <w:t xml:space="preserve"> 15</w:t>
            </w:r>
          </w:p>
        </w:tc>
      </w:tr>
      <w:tr w:rsidR="002412DB" w:rsidRPr="00546BAF" w14:paraId="0015159D" w14:textId="77777777" w:rsidTr="006C07E6">
        <w:tc>
          <w:tcPr>
            <w:tcW w:w="817" w:type="dxa"/>
          </w:tcPr>
          <w:p w14:paraId="14DFB9FE" w14:textId="77777777" w:rsidR="002412DB" w:rsidRPr="00546BAF" w:rsidRDefault="002412DB" w:rsidP="00220E04">
            <w:pPr>
              <w:pStyle w:val="ListParagraph"/>
              <w:numPr>
                <w:ilvl w:val="0"/>
                <w:numId w:val="10"/>
              </w:numPr>
              <w:rPr>
                <w:rFonts w:ascii="Arial" w:hAnsi="Arial" w:cs="Arial"/>
                <w:sz w:val="20"/>
                <w:szCs w:val="20"/>
              </w:rPr>
            </w:pPr>
          </w:p>
        </w:tc>
        <w:tc>
          <w:tcPr>
            <w:tcW w:w="1181" w:type="dxa"/>
          </w:tcPr>
          <w:p w14:paraId="65EF0017" w14:textId="77777777" w:rsidR="002412DB" w:rsidRPr="00546BAF" w:rsidRDefault="006C07E6" w:rsidP="00270965">
            <w:pPr>
              <w:rPr>
                <w:rFonts w:ascii="Arial" w:hAnsi="Arial" w:cs="Arial"/>
                <w:sz w:val="20"/>
                <w:szCs w:val="20"/>
              </w:rPr>
            </w:pPr>
            <w:r w:rsidRPr="00546BAF">
              <w:rPr>
                <w:rFonts w:ascii="Arial" w:hAnsi="Arial" w:cs="Arial"/>
                <w:sz w:val="20"/>
                <w:szCs w:val="20"/>
              </w:rPr>
              <w:t>FA7</w:t>
            </w:r>
          </w:p>
        </w:tc>
        <w:tc>
          <w:tcPr>
            <w:tcW w:w="1229" w:type="dxa"/>
          </w:tcPr>
          <w:p w14:paraId="1CE362C0" w14:textId="77777777" w:rsidR="002412DB" w:rsidRPr="00546BAF" w:rsidRDefault="002412DB" w:rsidP="00270965">
            <w:pPr>
              <w:rPr>
                <w:rFonts w:ascii="Arial" w:hAnsi="Arial" w:cs="Arial"/>
                <w:sz w:val="20"/>
                <w:szCs w:val="20"/>
              </w:rPr>
            </w:pPr>
            <w:r w:rsidRPr="00546BAF">
              <w:rPr>
                <w:rFonts w:ascii="Arial" w:hAnsi="Arial" w:cs="Arial"/>
                <w:sz w:val="20"/>
                <w:szCs w:val="20"/>
              </w:rPr>
              <w:t>-166.593</w:t>
            </w:r>
          </w:p>
        </w:tc>
        <w:tc>
          <w:tcPr>
            <w:tcW w:w="3260" w:type="dxa"/>
          </w:tcPr>
          <w:p w14:paraId="5A5024E8" w14:textId="77777777" w:rsidR="002412DB" w:rsidRPr="00546BAF" w:rsidRDefault="002412DB" w:rsidP="00270965">
            <w:pPr>
              <w:rPr>
                <w:rFonts w:ascii="Arial" w:hAnsi="Arial" w:cs="Arial"/>
                <w:sz w:val="20"/>
                <w:szCs w:val="20"/>
              </w:rPr>
            </w:pPr>
            <w:r w:rsidRPr="00546BAF">
              <w:rPr>
                <w:rFonts w:ascii="Arial" w:hAnsi="Arial" w:cs="Arial"/>
                <w:sz w:val="20"/>
                <w:szCs w:val="20"/>
              </w:rPr>
              <w:t xml:space="preserve">Lys 16, </w:t>
            </w:r>
            <w:proofErr w:type="spellStart"/>
            <w:r w:rsidRPr="00546BAF">
              <w:rPr>
                <w:rFonts w:ascii="Arial" w:hAnsi="Arial" w:cs="Arial"/>
                <w:sz w:val="20"/>
                <w:szCs w:val="20"/>
              </w:rPr>
              <w:t>Gly</w:t>
            </w:r>
            <w:proofErr w:type="spellEnd"/>
            <w:r w:rsidRPr="00546BAF">
              <w:rPr>
                <w:rFonts w:ascii="Arial" w:hAnsi="Arial" w:cs="Arial"/>
                <w:sz w:val="20"/>
                <w:szCs w:val="20"/>
              </w:rPr>
              <w:t xml:space="preserve"> 60, </w:t>
            </w:r>
            <w:proofErr w:type="spellStart"/>
            <w:r w:rsidRPr="00546BAF">
              <w:rPr>
                <w:rFonts w:ascii="Arial" w:hAnsi="Arial" w:cs="Arial"/>
                <w:sz w:val="20"/>
                <w:szCs w:val="20"/>
              </w:rPr>
              <w:t>Arg</w:t>
            </w:r>
            <w:proofErr w:type="spellEnd"/>
            <w:r w:rsidRPr="00546BAF">
              <w:rPr>
                <w:rFonts w:ascii="Arial" w:hAnsi="Arial" w:cs="Arial"/>
                <w:sz w:val="20"/>
                <w:szCs w:val="20"/>
              </w:rPr>
              <w:t xml:space="preserve"> 12, Tyr 32, </w:t>
            </w:r>
            <w:proofErr w:type="spellStart"/>
            <w:r w:rsidRPr="00546BAF">
              <w:rPr>
                <w:rFonts w:ascii="Arial" w:hAnsi="Arial" w:cs="Arial"/>
                <w:sz w:val="20"/>
                <w:szCs w:val="20"/>
              </w:rPr>
              <w:t>Thr</w:t>
            </w:r>
            <w:proofErr w:type="spellEnd"/>
            <w:r w:rsidRPr="00546BAF">
              <w:rPr>
                <w:rFonts w:ascii="Arial" w:hAnsi="Arial" w:cs="Arial"/>
                <w:sz w:val="20"/>
                <w:szCs w:val="20"/>
              </w:rPr>
              <w:t xml:space="preserve"> 35, Ala 146, Lys 147, Asp 119</w:t>
            </w:r>
          </w:p>
        </w:tc>
        <w:tc>
          <w:tcPr>
            <w:tcW w:w="2596" w:type="dxa"/>
          </w:tcPr>
          <w:p w14:paraId="4FA4CB38" w14:textId="77777777" w:rsidR="002412DB" w:rsidRPr="00546BAF" w:rsidRDefault="002412DB" w:rsidP="00270965">
            <w:pPr>
              <w:rPr>
                <w:rFonts w:ascii="Arial" w:hAnsi="Arial" w:cs="Arial"/>
                <w:sz w:val="20"/>
                <w:szCs w:val="20"/>
              </w:rPr>
            </w:pPr>
            <w:proofErr w:type="spellStart"/>
            <w:r w:rsidRPr="00546BAF">
              <w:rPr>
                <w:rFonts w:ascii="Arial" w:hAnsi="Arial" w:cs="Arial"/>
                <w:sz w:val="20"/>
                <w:szCs w:val="20"/>
              </w:rPr>
              <w:t>Thr</w:t>
            </w:r>
            <w:proofErr w:type="spellEnd"/>
            <w:r w:rsidRPr="00546BAF">
              <w:rPr>
                <w:rFonts w:ascii="Arial" w:hAnsi="Arial" w:cs="Arial"/>
                <w:sz w:val="20"/>
                <w:szCs w:val="20"/>
              </w:rPr>
              <w:t xml:space="preserve"> 35, </w:t>
            </w:r>
            <w:proofErr w:type="spellStart"/>
            <w:r w:rsidRPr="00546BAF">
              <w:rPr>
                <w:rFonts w:ascii="Arial" w:hAnsi="Arial" w:cs="Arial"/>
                <w:sz w:val="20"/>
                <w:szCs w:val="20"/>
              </w:rPr>
              <w:t>Gly</w:t>
            </w:r>
            <w:proofErr w:type="spellEnd"/>
            <w:r w:rsidRPr="00546BAF">
              <w:rPr>
                <w:rFonts w:ascii="Arial" w:hAnsi="Arial" w:cs="Arial"/>
                <w:sz w:val="20"/>
                <w:szCs w:val="20"/>
              </w:rPr>
              <w:t xml:space="preserve"> 15, Ala 18, Lys 117, Ala 146, Asp 119</w:t>
            </w:r>
          </w:p>
        </w:tc>
      </w:tr>
      <w:tr w:rsidR="002412DB" w:rsidRPr="00546BAF" w14:paraId="4DAEA917" w14:textId="77777777" w:rsidTr="006C07E6">
        <w:tc>
          <w:tcPr>
            <w:tcW w:w="817" w:type="dxa"/>
          </w:tcPr>
          <w:p w14:paraId="43EADB96" w14:textId="77777777" w:rsidR="002412DB" w:rsidRPr="00546BAF" w:rsidRDefault="002412DB" w:rsidP="00220E04">
            <w:pPr>
              <w:pStyle w:val="ListParagraph"/>
              <w:numPr>
                <w:ilvl w:val="0"/>
                <w:numId w:val="10"/>
              </w:numPr>
              <w:rPr>
                <w:rFonts w:ascii="Arial" w:hAnsi="Arial" w:cs="Arial"/>
                <w:sz w:val="20"/>
                <w:szCs w:val="20"/>
              </w:rPr>
            </w:pPr>
          </w:p>
        </w:tc>
        <w:tc>
          <w:tcPr>
            <w:tcW w:w="1181" w:type="dxa"/>
          </w:tcPr>
          <w:p w14:paraId="23F6E223" w14:textId="77777777" w:rsidR="002412DB" w:rsidRPr="00546BAF" w:rsidRDefault="006C07E6" w:rsidP="00270965">
            <w:pPr>
              <w:rPr>
                <w:rFonts w:ascii="Arial" w:hAnsi="Arial" w:cs="Arial"/>
                <w:sz w:val="20"/>
                <w:szCs w:val="20"/>
              </w:rPr>
            </w:pPr>
            <w:r w:rsidRPr="00546BAF">
              <w:rPr>
                <w:rFonts w:ascii="Arial" w:hAnsi="Arial" w:cs="Arial"/>
                <w:sz w:val="20"/>
                <w:szCs w:val="20"/>
              </w:rPr>
              <w:t>FA8</w:t>
            </w:r>
          </w:p>
        </w:tc>
        <w:tc>
          <w:tcPr>
            <w:tcW w:w="1229" w:type="dxa"/>
          </w:tcPr>
          <w:p w14:paraId="514E1542" w14:textId="77777777" w:rsidR="002412DB" w:rsidRPr="00546BAF" w:rsidRDefault="002412DB" w:rsidP="00270965">
            <w:pPr>
              <w:rPr>
                <w:rFonts w:ascii="Arial" w:hAnsi="Arial" w:cs="Arial"/>
                <w:sz w:val="20"/>
                <w:szCs w:val="20"/>
              </w:rPr>
            </w:pPr>
            <w:r w:rsidRPr="00546BAF">
              <w:rPr>
                <w:rFonts w:ascii="Arial" w:hAnsi="Arial" w:cs="Arial"/>
                <w:sz w:val="20"/>
                <w:szCs w:val="20"/>
              </w:rPr>
              <w:t>-169.702</w:t>
            </w:r>
          </w:p>
        </w:tc>
        <w:tc>
          <w:tcPr>
            <w:tcW w:w="3260" w:type="dxa"/>
          </w:tcPr>
          <w:p w14:paraId="3B9255D3" w14:textId="77777777" w:rsidR="002412DB" w:rsidRPr="00546BAF" w:rsidRDefault="002412DB" w:rsidP="00270965">
            <w:pPr>
              <w:rPr>
                <w:rFonts w:ascii="Arial" w:hAnsi="Arial" w:cs="Arial"/>
                <w:sz w:val="20"/>
                <w:szCs w:val="20"/>
              </w:rPr>
            </w:pPr>
            <w:proofErr w:type="spellStart"/>
            <w:r w:rsidRPr="00546BAF">
              <w:rPr>
                <w:rFonts w:ascii="Arial" w:hAnsi="Arial" w:cs="Arial"/>
                <w:sz w:val="20"/>
                <w:szCs w:val="20"/>
              </w:rPr>
              <w:t>Asn</w:t>
            </w:r>
            <w:proofErr w:type="spellEnd"/>
            <w:r w:rsidRPr="00546BAF">
              <w:rPr>
                <w:rFonts w:ascii="Arial" w:hAnsi="Arial" w:cs="Arial"/>
                <w:sz w:val="20"/>
                <w:szCs w:val="20"/>
              </w:rPr>
              <w:t xml:space="preserve"> 116, Ala 146, </w:t>
            </w:r>
            <w:proofErr w:type="spellStart"/>
            <w:r w:rsidRPr="00546BAF">
              <w:rPr>
                <w:rFonts w:ascii="Arial" w:hAnsi="Arial" w:cs="Arial"/>
                <w:sz w:val="20"/>
                <w:szCs w:val="20"/>
              </w:rPr>
              <w:t>Gly</w:t>
            </w:r>
            <w:proofErr w:type="spellEnd"/>
            <w:r w:rsidRPr="00546BAF">
              <w:rPr>
                <w:rFonts w:ascii="Arial" w:hAnsi="Arial" w:cs="Arial"/>
                <w:sz w:val="20"/>
                <w:szCs w:val="20"/>
              </w:rPr>
              <w:t xml:space="preserve"> 13, Lys 16, </w:t>
            </w:r>
            <w:proofErr w:type="spellStart"/>
            <w:r w:rsidRPr="00546BAF">
              <w:rPr>
                <w:rFonts w:ascii="Arial" w:hAnsi="Arial" w:cs="Arial"/>
                <w:sz w:val="20"/>
                <w:szCs w:val="20"/>
              </w:rPr>
              <w:t>Ser</w:t>
            </w:r>
            <w:proofErr w:type="spellEnd"/>
            <w:r w:rsidRPr="00546BAF">
              <w:rPr>
                <w:rFonts w:ascii="Arial" w:hAnsi="Arial" w:cs="Arial"/>
                <w:sz w:val="20"/>
                <w:szCs w:val="20"/>
              </w:rPr>
              <w:t xml:space="preserve"> 17, </w:t>
            </w:r>
            <w:proofErr w:type="spellStart"/>
            <w:r w:rsidRPr="00546BAF">
              <w:rPr>
                <w:rFonts w:ascii="Arial" w:hAnsi="Arial" w:cs="Arial"/>
                <w:sz w:val="20"/>
                <w:szCs w:val="20"/>
              </w:rPr>
              <w:t>Thr</w:t>
            </w:r>
            <w:proofErr w:type="spellEnd"/>
            <w:r w:rsidRPr="00546BAF">
              <w:rPr>
                <w:rFonts w:ascii="Arial" w:hAnsi="Arial" w:cs="Arial"/>
                <w:sz w:val="20"/>
                <w:szCs w:val="20"/>
              </w:rPr>
              <w:t xml:space="preserve"> 35</w:t>
            </w:r>
          </w:p>
        </w:tc>
        <w:tc>
          <w:tcPr>
            <w:tcW w:w="2596" w:type="dxa"/>
          </w:tcPr>
          <w:p w14:paraId="77F3591D" w14:textId="77777777" w:rsidR="002412DB" w:rsidRPr="00546BAF" w:rsidRDefault="002412DB" w:rsidP="00270965">
            <w:pPr>
              <w:rPr>
                <w:rFonts w:ascii="Arial" w:hAnsi="Arial" w:cs="Arial"/>
                <w:sz w:val="20"/>
                <w:szCs w:val="20"/>
              </w:rPr>
            </w:pPr>
            <w:r w:rsidRPr="00546BAF">
              <w:rPr>
                <w:rFonts w:ascii="Arial" w:hAnsi="Arial" w:cs="Arial"/>
                <w:sz w:val="20"/>
                <w:szCs w:val="20"/>
              </w:rPr>
              <w:t>Ala `8, Ala 146, Asn</w:t>
            </w:r>
            <w:proofErr w:type="gramStart"/>
            <w:r w:rsidRPr="00546BAF">
              <w:rPr>
                <w:rFonts w:ascii="Arial" w:hAnsi="Arial" w:cs="Arial"/>
                <w:sz w:val="20"/>
                <w:szCs w:val="20"/>
              </w:rPr>
              <w:t>116,Gly</w:t>
            </w:r>
            <w:proofErr w:type="gramEnd"/>
            <w:r w:rsidRPr="00546BAF">
              <w:rPr>
                <w:rFonts w:ascii="Arial" w:hAnsi="Arial" w:cs="Arial"/>
                <w:sz w:val="20"/>
                <w:szCs w:val="20"/>
              </w:rPr>
              <w:t>13</w:t>
            </w:r>
          </w:p>
        </w:tc>
      </w:tr>
      <w:tr w:rsidR="002412DB" w:rsidRPr="00546BAF" w14:paraId="079C6008" w14:textId="77777777" w:rsidTr="006C07E6">
        <w:tc>
          <w:tcPr>
            <w:tcW w:w="817" w:type="dxa"/>
          </w:tcPr>
          <w:p w14:paraId="4099C56D" w14:textId="77777777" w:rsidR="002412DB" w:rsidRPr="00546BAF" w:rsidRDefault="002412DB" w:rsidP="00220E04">
            <w:pPr>
              <w:pStyle w:val="ListParagraph"/>
              <w:numPr>
                <w:ilvl w:val="0"/>
                <w:numId w:val="10"/>
              </w:numPr>
              <w:rPr>
                <w:rFonts w:ascii="Arial" w:hAnsi="Arial" w:cs="Arial"/>
                <w:sz w:val="20"/>
                <w:szCs w:val="20"/>
              </w:rPr>
            </w:pPr>
          </w:p>
        </w:tc>
        <w:tc>
          <w:tcPr>
            <w:tcW w:w="1181" w:type="dxa"/>
          </w:tcPr>
          <w:p w14:paraId="6637B9EA" w14:textId="77777777" w:rsidR="002412DB" w:rsidRPr="00546BAF" w:rsidRDefault="006C07E6" w:rsidP="00270965">
            <w:pPr>
              <w:rPr>
                <w:rFonts w:ascii="Arial" w:hAnsi="Arial" w:cs="Arial"/>
                <w:sz w:val="20"/>
                <w:szCs w:val="20"/>
              </w:rPr>
            </w:pPr>
            <w:r w:rsidRPr="00546BAF">
              <w:rPr>
                <w:rFonts w:ascii="Arial" w:hAnsi="Arial" w:cs="Arial"/>
                <w:sz w:val="20"/>
                <w:szCs w:val="20"/>
              </w:rPr>
              <w:t>FA9</w:t>
            </w:r>
          </w:p>
        </w:tc>
        <w:tc>
          <w:tcPr>
            <w:tcW w:w="1229" w:type="dxa"/>
          </w:tcPr>
          <w:p w14:paraId="02E4459D" w14:textId="77777777" w:rsidR="002412DB" w:rsidRPr="00546BAF" w:rsidRDefault="002412DB" w:rsidP="00270965">
            <w:pPr>
              <w:rPr>
                <w:rFonts w:ascii="Arial" w:hAnsi="Arial" w:cs="Arial"/>
                <w:sz w:val="20"/>
                <w:szCs w:val="20"/>
              </w:rPr>
            </w:pPr>
            <w:r w:rsidRPr="00546BAF">
              <w:rPr>
                <w:rFonts w:ascii="Arial" w:hAnsi="Arial" w:cs="Arial"/>
                <w:sz w:val="20"/>
                <w:szCs w:val="20"/>
              </w:rPr>
              <w:t>-129.335</w:t>
            </w:r>
          </w:p>
        </w:tc>
        <w:tc>
          <w:tcPr>
            <w:tcW w:w="3260" w:type="dxa"/>
          </w:tcPr>
          <w:p w14:paraId="0A4F5854" w14:textId="77777777" w:rsidR="002412DB" w:rsidRPr="00546BAF" w:rsidRDefault="002412DB" w:rsidP="00270965">
            <w:pPr>
              <w:rPr>
                <w:rFonts w:ascii="Arial" w:hAnsi="Arial" w:cs="Arial"/>
                <w:sz w:val="20"/>
                <w:szCs w:val="20"/>
              </w:rPr>
            </w:pPr>
            <w:r w:rsidRPr="00546BAF">
              <w:rPr>
                <w:rFonts w:ascii="Arial" w:hAnsi="Arial" w:cs="Arial"/>
                <w:sz w:val="20"/>
                <w:szCs w:val="20"/>
              </w:rPr>
              <w:t xml:space="preserve">Lys 16, </w:t>
            </w:r>
            <w:proofErr w:type="spellStart"/>
            <w:r w:rsidRPr="00546BAF">
              <w:rPr>
                <w:rFonts w:ascii="Arial" w:hAnsi="Arial" w:cs="Arial"/>
                <w:sz w:val="20"/>
                <w:szCs w:val="20"/>
              </w:rPr>
              <w:t>Thr</w:t>
            </w:r>
            <w:proofErr w:type="spellEnd"/>
            <w:r w:rsidRPr="00546BAF">
              <w:rPr>
                <w:rFonts w:ascii="Arial" w:hAnsi="Arial" w:cs="Arial"/>
                <w:sz w:val="20"/>
                <w:szCs w:val="20"/>
              </w:rPr>
              <w:t xml:space="preserve"> </w:t>
            </w:r>
            <w:proofErr w:type="gramStart"/>
            <w:r w:rsidRPr="00546BAF">
              <w:rPr>
                <w:rFonts w:ascii="Arial" w:hAnsi="Arial" w:cs="Arial"/>
                <w:sz w:val="20"/>
                <w:szCs w:val="20"/>
              </w:rPr>
              <w:t>35,Ser</w:t>
            </w:r>
            <w:proofErr w:type="gramEnd"/>
            <w:r w:rsidRPr="00546BAF">
              <w:rPr>
                <w:rFonts w:ascii="Arial" w:hAnsi="Arial" w:cs="Arial"/>
                <w:sz w:val="20"/>
                <w:szCs w:val="20"/>
              </w:rPr>
              <w:t xml:space="preserve"> 17, Asp 33</w:t>
            </w:r>
          </w:p>
        </w:tc>
        <w:tc>
          <w:tcPr>
            <w:tcW w:w="2596" w:type="dxa"/>
          </w:tcPr>
          <w:p w14:paraId="20FC3C27" w14:textId="77777777" w:rsidR="002412DB" w:rsidRPr="00546BAF" w:rsidRDefault="002412DB" w:rsidP="00270965">
            <w:pPr>
              <w:rPr>
                <w:rFonts w:ascii="Arial" w:hAnsi="Arial" w:cs="Arial"/>
                <w:sz w:val="20"/>
                <w:szCs w:val="20"/>
              </w:rPr>
            </w:pPr>
            <w:r w:rsidRPr="00546BAF">
              <w:rPr>
                <w:rFonts w:ascii="Arial" w:hAnsi="Arial" w:cs="Arial"/>
                <w:sz w:val="20"/>
                <w:szCs w:val="20"/>
              </w:rPr>
              <w:t xml:space="preserve">Asp 119, </w:t>
            </w:r>
            <w:proofErr w:type="spellStart"/>
            <w:r w:rsidRPr="00546BAF">
              <w:rPr>
                <w:rFonts w:ascii="Arial" w:hAnsi="Arial" w:cs="Arial"/>
                <w:sz w:val="20"/>
                <w:szCs w:val="20"/>
              </w:rPr>
              <w:t>Asn</w:t>
            </w:r>
            <w:proofErr w:type="spellEnd"/>
            <w:r w:rsidRPr="00546BAF">
              <w:rPr>
                <w:rFonts w:ascii="Arial" w:hAnsi="Arial" w:cs="Arial"/>
                <w:sz w:val="20"/>
                <w:szCs w:val="20"/>
              </w:rPr>
              <w:t xml:space="preserve"> 116, Ala 146</w:t>
            </w:r>
          </w:p>
        </w:tc>
      </w:tr>
      <w:tr w:rsidR="002412DB" w:rsidRPr="00546BAF" w14:paraId="28C37912" w14:textId="77777777" w:rsidTr="006C07E6">
        <w:tc>
          <w:tcPr>
            <w:tcW w:w="817" w:type="dxa"/>
          </w:tcPr>
          <w:p w14:paraId="151CBC28" w14:textId="77777777" w:rsidR="002412DB" w:rsidRPr="00546BAF" w:rsidRDefault="002412DB" w:rsidP="00220E04">
            <w:pPr>
              <w:pStyle w:val="ListParagraph"/>
              <w:numPr>
                <w:ilvl w:val="0"/>
                <w:numId w:val="10"/>
              </w:numPr>
              <w:rPr>
                <w:rFonts w:ascii="Arial" w:hAnsi="Arial" w:cs="Arial"/>
                <w:sz w:val="20"/>
                <w:szCs w:val="20"/>
              </w:rPr>
            </w:pPr>
          </w:p>
        </w:tc>
        <w:tc>
          <w:tcPr>
            <w:tcW w:w="1181" w:type="dxa"/>
          </w:tcPr>
          <w:p w14:paraId="0A6B10EE" w14:textId="77777777" w:rsidR="002412DB" w:rsidRPr="00546BAF" w:rsidRDefault="006C07E6" w:rsidP="00270965">
            <w:pPr>
              <w:rPr>
                <w:rFonts w:ascii="Arial" w:hAnsi="Arial" w:cs="Arial"/>
                <w:sz w:val="20"/>
                <w:szCs w:val="20"/>
              </w:rPr>
            </w:pPr>
            <w:r w:rsidRPr="00546BAF">
              <w:rPr>
                <w:rFonts w:ascii="Arial" w:hAnsi="Arial" w:cs="Arial"/>
                <w:sz w:val="20"/>
                <w:szCs w:val="20"/>
              </w:rPr>
              <w:t>FA10</w:t>
            </w:r>
          </w:p>
        </w:tc>
        <w:tc>
          <w:tcPr>
            <w:tcW w:w="1229" w:type="dxa"/>
          </w:tcPr>
          <w:p w14:paraId="487533BE" w14:textId="77777777" w:rsidR="002412DB" w:rsidRPr="00546BAF" w:rsidRDefault="002412DB" w:rsidP="00270965">
            <w:pPr>
              <w:rPr>
                <w:rFonts w:ascii="Arial" w:hAnsi="Arial" w:cs="Arial"/>
                <w:sz w:val="20"/>
                <w:szCs w:val="20"/>
              </w:rPr>
            </w:pPr>
            <w:r w:rsidRPr="00546BAF">
              <w:rPr>
                <w:rFonts w:ascii="Arial" w:hAnsi="Arial" w:cs="Arial"/>
                <w:sz w:val="20"/>
                <w:szCs w:val="20"/>
              </w:rPr>
              <w:t>-136.39</w:t>
            </w:r>
          </w:p>
        </w:tc>
        <w:tc>
          <w:tcPr>
            <w:tcW w:w="3260" w:type="dxa"/>
          </w:tcPr>
          <w:p w14:paraId="534EE7D6" w14:textId="77777777" w:rsidR="002412DB" w:rsidRPr="00546BAF" w:rsidRDefault="002412DB" w:rsidP="00270965">
            <w:pPr>
              <w:rPr>
                <w:rFonts w:ascii="Arial" w:hAnsi="Arial" w:cs="Arial"/>
                <w:sz w:val="20"/>
                <w:szCs w:val="20"/>
              </w:rPr>
            </w:pPr>
            <w:r w:rsidRPr="00546BAF">
              <w:rPr>
                <w:rFonts w:ascii="Arial" w:hAnsi="Arial" w:cs="Arial"/>
                <w:sz w:val="20"/>
                <w:szCs w:val="20"/>
              </w:rPr>
              <w:t>Asp 119, Ala 146, Lys 147</w:t>
            </w:r>
          </w:p>
        </w:tc>
        <w:tc>
          <w:tcPr>
            <w:tcW w:w="2596" w:type="dxa"/>
          </w:tcPr>
          <w:p w14:paraId="1520DCCE" w14:textId="77777777" w:rsidR="002412DB" w:rsidRPr="00546BAF" w:rsidRDefault="002412DB" w:rsidP="00270965">
            <w:pPr>
              <w:rPr>
                <w:rFonts w:ascii="Arial" w:hAnsi="Arial" w:cs="Arial"/>
                <w:sz w:val="20"/>
                <w:szCs w:val="20"/>
              </w:rPr>
            </w:pPr>
            <w:r w:rsidRPr="00546BAF">
              <w:rPr>
                <w:rFonts w:ascii="Arial" w:hAnsi="Arial" w:cs="Arial"/>
                <w:sz w:val="20"/>
                <w:szCs w:val="20"/>
              </w:rPr>
              <w:t>Ala 146</w:t>
            </w:r>
          </w:p>
        </w:tc>
      </w:tr>
      <w:tr w:rsidR="002412DB" w:rsidRPr="00546BAF" w14:paraId="38BB2373" w14:textId="77777777" w:rsidTr="006C07E6">
        <w:tc>
          <w:tcPr>
            <w:tcW w:w="817" w:type="dxa"/>
          </w:tcPr>
          <w:p w14:paraId="6E085DC9" w14:textId="77777777" w:rsidR="002412DB" w:rsidRPr="00546BAF" w:rsidRDefault="002412DB" w:rsidP="00220E04">
            <w:pPr>
              <w:pStyle w:val="ListParagraph"/>
              <w:numPr>
                <w:ilvl w:val="0"/>
                <w:numId w:val="10"/>
              </w:numPr>
              <w:rPr>
                <w:rFonts w:ascii="Arial" w:hAnsi="Arial" w:cs="Arial"/>
                <w:sz w:val="20"/>
                <w:szCs w:val="20"/>
              </w:rPr>
            </w:pPr>
          </w:p>
        </w:tc>
        <w:tc>
          <w:tcPr>
            <w:tcW w:w="1181" w:type="dxa"/>
          </w:tcPr>
          <w:p w14:paraId="5202D557" w14:textId="77777777" w:rsidR="002412DB" w:rsidRPr="00546BAF" w:rsidRDefault="006C07E6" w:rsidP="00270965">
            <w:pPr>
              <w:rPr>
                <w:rFonts w:ascii="Arial" w:hAnsi="Arial" w:cs="Arial"/>
                <w:sz w:val="20"/>
                <w:szCs w:val="20"/>
              </w:rPr>
            </w:pPr>
            <w:r w:rsidRPr="00546BAF">
              <w:rPr>
                <w:rFonts w:ascii="Arial" w:hAnsi="Arial" w:cs="Arial"/>
                <w:sz w:val="20"/>
                <w:szCs w:val="20"/>
              </w:rPr>
              <w:t>FA11</w:t>
            </w:r>
          </w:p>
        </w:tc>
        <w:tc>
          <w:tcPr>
            <w:tcW w:w="1229" w:type="dxa"/>
          </w:tcPr>
          <w:p w14:paraId="51BF450B" w14:textId="77777777" w:rsidR="002412DB" w:rsidRPr="00546BAF" w:rsidRDefault="002412DB" w:rsidP="00270965">
            <w:pPr>
              <w:rPr>
                <w:rFonts w:ascii="Arial" w:hAnsi="Arial" w:cs="Arial"/>
                <w:sz w:val="20"/>
                <w:szCs w:val="20"/>
              </w:rPr>
            </w:pPr>
            <w:r w:rsidRPr="00546BAF">
              <w:rPr>
                <w:rFonts w:ascii="Arial" w:hAnsi="Arial" w:cs="Arial"/>
                <w:sz w:val="20"/>
                <w:szCs w:val="20"/>
              </w:rPr>
              <w:t>-181.092</w:t>
            </w:r>
          </w:p>
        </w:tc>
        <w:tc>
          <w:tcPr>
            <w:tcW w:w="3260" w:type="dxa"/>
          </w:tcPr>
          <w:p w14:paraId="31C89A0D" w14:textId="77777777" w:rsidR="002412DB" w:rsidRPr="00546BAF" w:rsidRDefault="002412DB" w:rsidP="00270965">
            <w:pPr>
              <w:rPr>
                <w:rFonts w:ascii="Arial" w:hAnsi="Arial" w:cs="Arial"/>
                <w:sz w:val="20"/>
                <w:szCs w:val="20"/>
              </w:rPr>
            </w:pPr>
            <w:r w:rsidRPr="00546BAF">
              <w:rPr>
                <w:rFonts w:ascii="Arial" w:hAnsi="Arial" w:cs="Arial"/>
                <w:sz w:val="20"/>
                <w:szCs w:val="20"/>
              </w:rPr>
              <w:t xml:space="preserve">Asp 33, </w:t>
            </w:r>
            <w:proofErr w:type="spellStart"/>
            <w:r w:rsidRPr="00546BAF">
              <w:rPr>
                <w:rFonts w:ascii="Arial" w:hAnsi="Arial" w:cs="Arial"/>
                <w:sz w:val="20"/>
                <w:szCs w:val="20"/>
              </w:rPr>
              <w:t>Ser</w:t>
            </w:r>
            <w:proofErr w:type="spellEnd"/>
            <w:r w:rsidRPr="00546BAF">
              <w:rPr>
                <w:rFonts w:ascii="Arial" w:hAnsi="Arial" w:cs="Arial"/>
                <w:sz w:val="20"/>
                <w:szCs w:val="20"/>
              </w:rPr>
              <w:t xml:space="preserve"> 17, </w:t>
            </w:r>
            <w:proofErr w:type="spellStart"/>
            <w:r w:rsidRPr="00546BAF">
              <w:rPr>
                <w:rFonts w:ascii="Arial" w:hAnsi="Arial" w:cs="Arial"/>
                <w:sz w:val="20"/>
                <w:szCs w:val="20"/>
              </w:rPr>
              <w:t>Thr</w:t>
            </w:r>
            <w:proofErr w:type="spellEnd"/>
            <w:r w:rsidRPr="00546BAF">
              <w:rPr>
                <w:rFonts w:ascii="Arial" w:hAnsi="Arial" w:cs="Arial"/>
                <w:sz w:val="20"/>
                <w:szCs w:val="20"/>
              </w:rPr>
              <w:t xml:space="preserve"> 35, </w:t>
            </w:r>
            <w:proofErr w:type="spellStart"/>
            <w:r w:rsidRPr="00546BAF">
              <w:rPr>
                <w:rFonts w:ascii="Arial" w:hAnsi="Arial" w:cs="Arial"/>
                <w:sz w:val="20"/>
                <w:szCs w:val="20"/>
              </w:rPr>
              <w:t>Thr</w:t>
            </w:r>
            <w:proofErr w:type="spellEnd"/>
            <w:r w:rsidRPr="00546BAF">
              <w:rPr>
                <w:rFonts w:ascii="Arial" w:hAnsi="Arial" w:cs="Arial"/>
                <w:sz w:val="20"/>
                <w:szCs w:val="20"/>
              </w:rPr>
              <w:t xml:space="preserve"> 32, </w:t>
            </w:r>
            <w:proofErr w:type="spellStart"/>
            <w:r w:rsidRPr="00546BAF">
              <w:rPr>
                <w:rFonts w:ascii="Arial" w:hAnsi="Arial" w:cs="Arial"/>
                <w:sz w:val="20"/>
                <w:szCs w:val="20"/>
              </w:rPr>
              <w:t>Arg</w:t>
            </w:r>
            <w:proofErr w:type="spellEnd"/>
            <w:r w:rsidRPr="00546BAF">
              <w:rPr>
                <w:rFonts w:ascii="Arial" w:hAnsi="Arial" w:cs="Arial"/>
                <w:sz w:val="20"/>
                <w:szCs w:val="20"/>
              </w:rPr>
              <w:t xml:space="preserve"> 12, </w:t>
            </w:r>
            <w:proofErr w:type="spellStart"/>
            <w:r w:rsidRPr="00546BAF">
              <w:rPr>
                <w:rFonts w:ascii="Arial" w:hAnsi="Arial" w:cs="Arial"/>
                <w:sz w:val="20"/>
                <w:szCs w:val="20"/>
              </w:rPr>
              <w:t>Ser</w:t>
            </w:r>
            <w:proofErr w:type="spellEnd"/>
            <w:r w:rsidRPr="00546BAF">
              <w:rPr>
                <w:rFonts w:ascii="Arial" w:hAnsi="Arial" w:cs="Arial"/>
                <w:sz w:val="20"/>
                <w:szCs w:val="20"/>
              </w:rPr>
              <w:t xml:space="preserve"> 145, Lys 147, Asp 119</w:t>
            </w:r>
          </w:p>
        </w:tc>
        <w:tc>
          <w:tcPr>
            <w:tcW w:w="2596" w:type="dxa"/>
          </w:tcPr>
          <w:p w14:paraId="77CAC381" w14:textId="77777777" w:rsidR="002412DB" w:rsidRPr="00546BAF" w:rsidRDefault="002412DB" w:rsidP="00270965">
            <w:pPr>
              <w:rPr>
                <w:rFonts w:ascii="Arial" w:hAnsi="Arial" w:cs="Arial"/>
                <w:sz w:val="20"/>
                <w:szCs w:val="20"/>
              </w:rPr>
            </w:pPr>
            <w:r w:rsidRPr="00546BAF">
              <w:rPr>
                <w:rFonts w:ascii="Arial" w:hAnsi="Arial" w:cs="Arial"/>
                <w:sz w:val="20"/>
                <w:szCs w:val="20"/>
              </w:rPr>
              <w:t xml:space="preserve">Tyr 32, Pro 34, </w:t>
            </w:r>
            <w:proofErr w:type="spellStart"/>
            <w:r w:rsidRPr="00546BAF">
              <w:rPr>
                <w:rFonts w:ascii="Arial" w:hAnsi="Arial" w:cs="Arial"/>
                <w:sz w:val="20"/>
                <w:szCs w:val="20"/>
              </w:rPr>
              <w:t>Thr</w:t>
            </w:r>
            <w:proofErr w:type="spellEnd"/>
            <w:r w:rsidRPr="00546BAF">
              <w:rPr>
                <w:rFonts w:ascii="Arial" w:hAnsi="Arial" w:cs="Arial"/>
                <w:sz w:val="20"/>
                <w:szCs w:val="20"/>
              </w:rPr>
              <w:t xml:space="preserve"> 35, Gly15, </w:t>
            </w:r>
            <w:proofErr w:type="spellStart"/>
            <w:r w:rsidRPr="00546BAF">
              <w:rPr>
                <w:rFonts w:ascii="Arial" w:hAnsi="Arial" w:cs="Arial"/>
                <w:sz w:val="20"/>
                <w:szCs w:val="20"/>
              </w:rPr>
              <w:t>Ser</w:t>
            </w:r>
            <w:proofErr w:type="spellEnd"/>
            <w:r w:rsidRPr="00546BAF">
              <w:rPr>
                <w:rFonts w:ascii="Arial" w:hAnsi="Arial" w:cs="Arial"/>
                <w:sz w:val="20"/>
                <w:szCs w:val="20"/>
              </w:rPr>
              <w:t xml:space="preserve"> 17, Asp 33, </w:t>
            </w:r>
            <w:proofErr w:type="spellStart"/>
            <w:r w:rsidRPr="00546BAF">
              <w:rPr>
                <w:rFonts w:ascii="Arial" w:hAnsi="Arial" w:cs="Arial"/>
                <w:sz w:val="20"/>
                <w:szCs w:val="20"/>
              </w:rPr>
              <w:t>Asn</w:t>
            </w:r>
            <w:proofErr w:type="spellEnd"/>
            <w:r w:rsidRPr="00546BAF">
              <w:rPr>
                <w:rFonts w:ascii="Arial" w:hAnsi="Arial" w:cs="Arial"/>
                <w:sz w:val="20"/>
                <w:szCs w:val="20"/>
              </w:rPr>
              <w:t xml:space="preserve"> 116, Ala 146, Lys 147</w:t>
            </w:r>
          </w:p>
        </w:tc>
      </w:tr>
      <w:tr w:rsidR="002412DB" w:rsidRPr="00546BAF" w14:paraId="7703748C" w14:textId="77777777" w:rsidTr="006C07E6">
        <w:tc>
          <w:tcPr>
            <w:tcW w:w="817" w:type="dxa"/>
          </w:tcPr>
          <w:p w14:paraId="7E4BC8B7" w14:textId="77777777" w:rsidR="002412DB" w:rsidRPr="00546BAF" w:rsidRDefault="002412DB" w:rsidP="00220E04">
            <w:pPr>
              <w:pStyle w:val="ListParagraph"/>
              <w:numPr>
                <w:ilvl w:val="0"/>
                <w:numId w:val="10"/>
              </w:numPr>
              <w:rPr>
                <w:rFonts w:ascii="Arial" w:hAnsi="Arial" w:cs="Arial"/>
                <w:sz w:val="20"/>
                <w:szCs w:val="20"/>
              </w:rPr>
            </w:pPr>
          </w:p>
        </w:tc>
        <w:tc>
          <w:tcPr>
            <w:tcW w:w="1181" w:type="dxa"/>
          </w:tcPr>
          <w:p w14:paraId="3C6021CC" w14:textId="77777777" w:rsidR="002412DB" w:rsidRPr="00546BAF" w:rsidRDefault="006C07E6" w:rsidP="00270965">
            <w:pPr>
              <w:rPr>
                <w:rFonts w:ascii="Arial" w:hAnsi="Arial" w:cs="Arial"/>
                <w:sz w:val="20"/>
                <w:szCs w:val="20"/>
              </w:rPr>
            </w:pPr>
            <w:r w:rsidRPr="00546BAF">
              <w:rPr>
                <w:rFonts w:ascii="Arial" w:hAnsi="Arial" w:cs="Arial"/>
                <w:sz w:val="20"/>
                <w:szCs w:val="20"/>
              </w:rPr>
              <w:t>FA12</w:t>
            </w:r>
          </w:p>
        </w:tc>
        <w:tc>
          <w:tcPr>
            <w:tcW w:w="1229" w:type="dxa"/>
          </w:tcPr>
          <w:p w14:paraId="4EFD58C3" w14:textId="77777777" w:rsidR="002412DB" w:rsidRPr="00546BAF" w:rsidRDefault="002412DB" w:rsidP="00270965">
            <w:pPr>
              <w:rPr>
                <w:rFonts w:ascii="Arial" w:hAnsi="Arial" w:cs="Arial"/>
                <w:sz w:val="20"/>
                <w:szCs w:val="20"/>
              </w:rPr>
            </w:pPr>
            <w:r w:rsidRPr="00546BAF">
              <w:rPr>
                <w:rFonts w:ascii="Arial" w:hAnsi="Arial" w:cs="Arial"/>
                <w:sz w:val="20"/>
                <w:szCs w:val="20"/>
              </w:rPr>
              <w:t>-137.653</w:t>
            </w:r>
          </w:p>
        </w:tc>
        <w:tc>
          <w:tcPr>
            <w:tcW w:w="3260" w:type="dxa"/>
          </w:tcPr>
          <w:p w14:paraId="68431FE2" w14:textId="77777777" w:rsidR="002412DB" w:rsidRPr="00546BAF" w:rsidRDefault="002412DB" w:rsidP="00270965">
            <w:pPr>
              <w:rPr>
                <w:rFonts w:ascii="Arial" w:hAnsi="Arial" w:cs="Arial"/>
                <w:sz w:val="20"/>
                <w:szCs w:val="20"/>
              </w:rPr>
            </w:pPr>
            <w:r w:rsidRPr="00546BAF">
              <w:rPr>
                <w:rFonts w:ascii="Arial" w:hAnsi="Arial" w:cs="Arial"/>
                <w:sz w:val="20"/>
                <w:szCs w:val="20"/>
              </w:rPr>
              <w:t xml:space="preserve">Asp 119, </w:t>
            </w:r>
            <w:proofErr w:type="spellStart"/>
            <w:r w:rsidRPr="00546BAF">
              <w:rPr>
                <w:rFonts w:ascii="Arial" w:hAnsi="Arial" w:cs="Arial"/>
                <w:sz w:val="20"/>
                <w:szCs w:val="20"/>
              </w:rPr>
              <w:t>Ser</w:t>
            </w:r>
            <w:proofErr w:type="spellEnd"/>
            <w:r w:rsidRPr="00546BAF">
              <w:rPr>
                <w:rFonts w:ascii="Arial" w:hAnsi="Arial" w:cs="Arial"/>
                <w:sz w:val="20"/>
                <w:szCs w:val="20"/>
              </w:rPr>
              <w:t xml:space="preserve"> 17, </w:t>
            </w:r>
            <w:proofErr w:type="spellStart"/>
            <w:r w:rsidRPr="00546BAF">
              <w:rPr>
                <w:rFonts w:ascii="Arial" w:hAnsi="Arial" w:cs="Arial"/>
                <w:sz w:val="20"/>
                <w:szCs w:val="20"/>
              </w:rPr>
              <w:t>Thr</w:t>
            </w:r>
            <w:proofErr w:type="spellEnd"/>
            <w:r w:rsidRPr="00546BAF">
              <w:rPr>
                <w:rFonts w:ascii="Arial" w:hAnsi="Arial" w:cs="Arial"/>
                <w:sz w:val="20"/>
                <w:szCs w:val="20"/>
              </w:rPr>
              <w:t xml:space="preserve"> 35, Asp 33</w:t>
            </w:r>
          </w:p>
        </w:tc>
        <w:tc>
          <w:tcPr>
            <w:tcW w:w="2596" w:type="dxa"/>
          </w:tcPr>
          <w:p w14:paraId="722B0248" w14:textId="77777777" w:rsidR="002412DB" w:rsidRPr="00546BAF" w:rsidRDefault="002412DB" w:rsidP="00270965">
            <w:pPr>
              <w:rPr>
                <w:rFonts w:ascii="Arial" w:hAnsi="Arial" w:cs="Arial"/>
                <w:sz w:val="20"/>
                <w:szCs w:val="20"/>
              </w:rPr>
            </w:pPr>
            <w:proofErr w:type="spellStart"/>
            <w:r w:rsidRPr="00546BAF">
              <w:rPr>
                <w:rFonts w:ascii="Arial" w:hAnsi="Arial" w:cs="Arial"/>
                <w:sz w:val="20"/>
                <w:szCs w:val="20"/>
              </w:rPr>
              <w:t>Asn</w:t>
            </w:r>
            <w:proofErr w:type="spellEnd"/>
            <w:r w:rsidRPr="00546BAF">
              <w:rPr>
                <w:rFonts w:ascii="Arial" w:hAnsi="Arial" w:cs="Arial"/>
                <w:sz w:val="20"/>
                <w:szCs w:val="20"/>
              </w:rPr>
              <w:t xml:space="preserve"> 116, Ala 146, Asp119, Lys 16</w:t>
            </w:r>
          </w:p>
        </w:tc>
      </w:tr>
      <w:tr w:rsidR="002412DB" w:rsidRPr="00546BAF" w14:paraId="4F082C02" w14:textId="77777777" w:rsidTr="006C07E6">
        <w:tc>
          <w:tcPr>
            <w:tcW w:w="817" w:type="dxa"/>
          </w:tcPr>
          <w:p w14:paraId="5A9B0A61" w14:textId="77777777" w:rsidR="002412DB" w:rsidRPr="00546BAF" w:rsidRDefault="002412DB" w:rsidP="00220E04">
            <w:pPr>
              <w:pStyle w:val="ListParagraph"/>
              <w:numPr>
                <w:ilvl w:val="0"/>
                <w:numId w:val="10"/>
              </w:numPr>
              <w:rPr>
                <w:rFonts w:ascii="Arial" w:hAnsi="Arial" w:cs="Arial"/>
                <w:sz w:val="20"/>
                <w:szCs w:val="20"/>
              </w:rPr>
            </w:pPr>
          </w:p>
        </w:tc>
        <w:tc>
          <w:tcPr>
            <w:tcW w:w="1181" w:type="dxa"/>
          </w:tcPr>
          <w:p w14:paraId="08EA1E42" w14:textId="77777777" w:rsidR="002412DB" w:rsidRPr="00546BAF" w:rsidRDefault="006C07E6" w:rsidP="00270965">
            <w:pPr>
              <w:rPr>
                <w:rFonts w:ascii="Arial" w:hAnsi="Arial" w:cs="Arial"/>
                <w:sz w:val="20"/>
                <w:szCs w:val="20"/>
              </w:rPr>
            </w:pPr>
            <w:r w:rsidRPr="00546BAF">
              <w:rPr>
                <w:rFonts w:ascii="Arial" w:hAnsi="Arial" w:cs="Arial"/>
                <w:sz w:val="20"/>
                <w:szCs w:val="20"/>
              </w:rPr>
              <w:t>FA13</w:t>
            </w:r>
          </w:p>
        </w:tc>
        <w:tc>
          <w:tcPr>
            <w:tcW w:w="1229" w:type="dxa"/>
          </w:tcPr>
          <w:p w14:paraId="1897767D" w14:textId="77777777" w:rsidR="002412DB" w:rsidRPr="00546BAF" w:rsidRDefault="002412DB" w:rsidP="00270965">
            <w:pPr>
              <w:rPr>
                <w:rFonts w:ascii="Arial" w:hAnsi="Arial" w:cs="Arial"/>
                <w:sz w:val="20"/>
                <w:szCs w:val="20"/>
              </w:rPr>
            </w:pPr>
            <w:r w:rsidRPr="00546BAF">
              <w:rPr>
                <w:rFonts w:ascii="Arial" w:hAnsi="Arial" w:cs="Arial"/>
                <w:sz w:val="20"/>
                <w:szCs w:val="20"/>
              </w:rPr>
              <w:t>-141.709</w:t>
            </w:r>
          </w:p>
        </w:tc>
        <w:tc>
          <w:tcPr>
            <w:tcW w:w="3260" w:type="dxa"/>
          </w:tcPr>
          <w:p w14:paraId="05A948D8" w14:textId="77777777" w:rsidR="002412DB" w:rsidRPr="00546BAF" w:rsidRDefault="002412DB" w:rsidP="00270965">
            <w:pPr>
              <w:rPr>
                <w:rFonts w:ascii="Arial" w:hAnsi="Arial" w:cs="Arial"/>
                <w:sz w:val="20"/>
                <w:szCs w:val="20"/>
              </w:rPr>
            </w:pPr>
            <w:r w:rsidRPr="00546BAF">
              <w:rPr>
                <w:rFonts w:ascii="Arial" w:hAnsi="Arial" w:cs="Arial"/>
                <w:sz w:val="20"/>
                <w:szCs w:val="20"/>
              </w:rPr>
              <w:t xml:space="preserve">Ser 145, Asp 119, Lys 147, Gly13, </w:t>
            </w:r>
            <w:r w:rsidRPr="00546BAF">
              <w:rPr>
                <w:rFonts w:ascii="Arial" w:hAnsi="Arial" w:cs="Arial"/>
                <w:sz w:val="20"/>
                <w:szCs w:val="20"/>
              </w:rPr>
              <w:lastRenderedPageBreak/>
              <w:t xml:space="preserve">Lys 16, </w:t>
            </w:r>
            <w:proofErr w:type="spellStart"/>
            <w:r w:rsidRPr="00546BAF">
              <w:rPr>
                <w:rFonts w:ascii="Arial" w:hAnsi="Arial" w:cs="Arial"/>
                <w:sz w:val="20"/>
                <w:szCs w:val="20"/>
              </w:rPr>
              <w:t>Thr</w:t>
            </w:r>
            <w:proofErr w:type="spellEnd"/>
            <w:r w:rsidRPr="00546BAF">
              <w:rPr>
                <w:rFonts w:ascii="Arial" w:hAnsi="Arial" w:cs="Arial"/>
                <w:sz w:val="20"/>
                <w:szCs w:val="20"/>
              </w:rPr>
              <w:t xml:space="preserve"> 35</w:t>
            </w:r>
          </w:p>
        </w:tc>
        <w:tc>
          <w:tcPr>
            <w:tcW w:w="2596" w:type="dxa"/>
          </w:tcPr>
          <w:p w14:paraId="4A5C391F" w14:textId="77777777" w:rsidR="002412DB" w:rsidRPr="00546BAF" w:rsidRDefault="002412DB" w:rsidP="00270965">
            <w:pPr>
              <w:rPr>
                <w:rFonts w:ascii="Arial" w:hAnsi="Arial" w:cs="Arial"/>
                <w:sz w:val="20"/>
                <w:szCs w:val="20"/>
              </w:rPr>
            </w:pPr>
            <w:proofErr w:type="spellStart"/>
            <w:r w:rsidRPr="00546BAF">
              <w:rPr>
                <w:rFonts w:ascii="Arial" w:hAnsi="Arial" w:cs="Arial"/>
                <w:sz w:val="20"/>
                <w:szCs w:val="20"/>
              </w:rPr>
              <w:lastRenderedPageBreak/>
              <w:t>Asn</w:t>
            </w:r>
            <w:proofErr w:type="spellEnd"/>
            <w:r w:rsidRPr="00546BAF">
              <w:rPr>
                <w:rFonts w:ascii="Arial" w:hAnsi="Arial" w:cs="Arial"/>
                <w:sz w:val="20"/>
                <w:szCs w:val="20"/>
              </w:rPr>
              <w:t xml:space="preserve"> 116, </w:t>
            </w:r>
            <w:proofErr w:type="spellStart"/>
            <w:r w:rsidRPr="00546BAF">
              <w:rPr>
                <w:rFonts w:ascii="Arial" w:hAnsi="Arial" w:cs="Arial"/>
                <w:sz w:val="20"/>
                <w:szCs w:val="20"/>
              </w:rPr>
              <w:t>Gly</w:t>
            </w:r>
            <w:proofErr w:type="spellEnd"/>
            <w:r w:rsidRPr="00546BAF">
              <w:rPr>
                <w:rFonts w:ascii="Arial" w:hAnsi="Arial" w:cs="Arial"/>
                <w:sz w:val="20"/>
                <w:szCs w:val="20"/>
              </w:rPr>
              <w:t xml:space="preserve"> 15, Ala 146</w:t>
            </w:r>
          </w:p>
        </w:tc>
      </w:tr>
      <w:tr w:rsidR="002412DB" w:rsidRPr="00546BAF" w14:paraId="6AB62E1A" w14:textId="77777777" w:rsidTr="006C07E6">
        <w:tc>
          <w:tcPr>
            <w:tcW w:w="817" w:type="dxa"/>
          </w:tcPr>
          <w:p w14:paraId="078D2917" w14:textId="77777777" w:rsidR="002412DB" w:rsidRPr="00546BAF" w:rsidRDefault="002412DB" w:rsidP="00220E04">
            <w:pPr>
              <w:pStyle w:val="ListParagraph"/>
              <w:numPr>
                <w:ilvl w:val="0"/>
                <w:numId w:val="10"/>
              </w:numPr>
              <w:rPr>
                <w:rFonts w:ascii="Arial" w:hAnsi="Arial" w:cs="Arial"/>
                <w:sz w:val="20"/>
                <w:szCs w:val="20"/>
              </w:rPr>
            </w:pPr>
          </w:p>
        </w:tc>
        <w:tc>
          <w:tcPr>
            <w:tcW w:w="1181" w:type="dxa"/>
          </w:tcPr>
          <w:p w14:paraId="4D6DFB19" w14:textId="77777777" w:rsidR="002412DB" w:rsidRPr="00546BAF" w:rsidRDefault="006C07E6" w:rsidP="00270965">
            <w:pPr>
              <w:rPr>
                <w:rFonts w:ascii="Arial" w:hAnsi="Arial" w:cs="Arial"/>
                <w:sz w:val="20"/>
                <w:szCs w:val="20"/>
              </w:rPr>
            </w:pPr>
            <w:r w:rsidRPr="00546BAF">
              <w:rPr>
                <w:rFonts w:ascii="Arial" w:hAnsi="Arial" w:cs="Arial"/>
                <w:sz w:val="20"/>
                <w:szCs w:val="20"/>
              </w:rPr>
              <w:t>FA14</w:t>
            </w:r>
          </w:p>
        </w:tc>
        <w:tc>
          <w:tcPr>
            <w:tcW w:w="1229" w:type="dxa"/>
          </w:tcPr>
          <w:p w14:paraId="0F46BA36" w14:textId="77777777" w:rsidR="002412DB" w:rsidRPr="00546BAF" w:rsidRDefault="002412DB" w:rsidP="00270965">
            <w:pPr>
              <w:rPr>
                <w:rFonts w:ascii="Arial" w:hAnsi="Arial" w:cs="Arial"/>
                <w:sz w:val="20"/>
                <w:szCs w:val="20"/>
              </w:rPr>
            </w:pPr>
            <w:r w:rsidRPr="00546BAF">
              <w:rPr>
                <w:rFonts w:ascii="Arial" w:hAnsi="Arial" w:cs="Arial"/>
                <w:sz w:val="20"/>
                <w:szCs w:val="20"/>
              </w:rPr>
              <w:t>-142.505</w:t>
            </w:r>
          </w:p>
        </w:tc>
        <w:tc>
          <w:tcPr>
            <w:tcW w:w="3260" w:type="dxa"/>
          </w:tcPr>
          <w:p w14:paraId="27627213" w14:textId="77777777" w:rsidR="002412DB" w:rsidRPr="00546BAF" w:rsidRDefault="002412DB" w:rsidP="00270965">
            <w:pPr>
              <w:rPr>
                <w:rFonts w:ascii="Arial" w:hAnsi="Arial" w:cs="Arial"/>
                <w:sz w:val="20"/>
                <w:szCs w:val="20"/>
              </w:rPr>
            </w:pPr>
            <w:r w:rsidRPr="00546BAF">
              <w:rPr>
                <w:rFonts w:ascii="Arial" w:hAnsi="Arial" w:cs="Arial"/>
                <w:sz w:val="20"/>
                <w:szCs w:val="20"/>
              </w:rPr>
              <w:t>Ser 17, Lys 147, Asp 119, Ser 145,</w:t>
            </w:r>
          </w:p>
        </w:tc>
        <w:tc>
          <w:tcPr>
            <w:tcW w:w="2596" w:type="dxa"/>
          </w:tcPr>
          <w:p w14:paraId="06BF0F2F" w14:textId="77777777" w:rsidR="002412DB" w:rsidRPr="00546BAF" w:rsidRDefault="002412DB" w:rsidP="00270965">
            <w:pPr>
              <w:rPr>
                <w:rFonts w:ascii="Arial" w:hAnsi="Arial" w:cs="Arial"/>
                <w:sz w:val="20"/>
                <w:szCs w:val="20"/>
              </w:rPr>
            </w:pPr>
            <w:proofErr w:type="spellStart"/>
            <w:r w:rsidRPr="00546BAF">
              <w:rPr>
                <w:rFonts w:ascii="Arial" w:hAnsi="Arial" w:cs="Arial"/>
                <w:sz w:val="20"/>
                <w:szCs w:val="20"/>
              </w:rPr>
              <w:t>Gly</w:t>
            </w:r>
            <w:proofErr w:type="spellEnd"/>
            <w:r w:rsidRPr="00546BAF">
              <w:rPr>
                <w:rFonts w:ascii="Arial" w:hAnsi="Arial" w:cs="Arial"/>
                <w:sz w:val="20"/>
                <w:szCs w:val="20"/>
              </w:rPr>
              <w:t xml:space="preserve"> 15, </w:t>
            </w:r>
            <w:proofErr w:type="spellStart"/>
            <w:r w:rsidRPr="00546BAF">
              <w:rPr>
                <w:rFonts w:ascii="Arial" w:hAnsi="Arial" w:cs="Arial"/>
                <w:sz w:val="20"/>
                <w:szCs w:val="20"/>
              </w:rPr>
              <w:t>Asn</w:t>
            </w:r>
            <w:proofErr w:type="spellEnd"/>
            <w:r w:rsidRPr="00546BAF">
              <w:rPr>
                <w:rFonts w:ascii="Arial" w:hAnsi="Arial" w:cs="Arial"/>
                <w:sz w:val="20"/>
                <w:szCs w:val="20"/>
              </w:rPr>
              <w:t xml:space="preserve"> 116, Ala 146</w:t>
            </w:r>
          </w:p>
        </w:tc>
      </w:tr>
      <w:tr w:rsidR="002412DB" w:rsidRPr="00546BAF" w14:paraId="1C66E7EA" w14:textId="77777777" w:rsidTr="006C07E6">
        <w:tc>
          <w:tcPr>
            <w:tcW w:w="817" w:type="dxa"/>
          </w:tcPr>
          <w:p w14:paraId="6A1385D7" w14:textId="77777777" w:rsidR="002412DB" w:rsidRPr="00546BAF" w:rsidRDefault="002412DB" w:rsidP="00220E04">
            <w:pPr>
              <w:pStyle w:val="ListParagraph"/>
              <w:numPr>
                <w:ilvl w:val="0"/>
                <w:numId w:val="10"/>
              </w:numPr>
              <w:rPr>
                <w:rFonts w:ascii="Arial" w:hAnsi="Arial" w:cs="Arial"/>
                <w:sz w:val="20"/>
                <w:szCs w:val="20"/>
              </w:rPr>
            </w:pPr>
          </w:p>
        </w:tc>
        <w:tc>
          <w:tcPr>
            <w:tcW w:w="1181" w:type="dxa"/>
          </w:tcPr>
          <w:p w14:paraId="0A02869D" w14:textId="77777777" w:rsidR="002412DB" w:rsidRPr="00546BAF" w:rsidRDefault="006C07E6" w:rsidP="00270965">
            <w:pPr>
              <w:rPr>
                <w:rFonts w:ascii="Arial" w:hAnsi="Arial" w:cs="Arial"/>
                <w:sz w:val="20"/>
                <w:szCs w:val="20"/>
              </w:rPr>
            </w:pPr>
            <w:r w:rsidRPr="00546BAF">
              <w:rPr>
                <w:rFonts w:ascii="Arial" w:hAnsi="Arial" w:cs="Arial"/>
                <w:sz w:val="20"/>
                <w:szCs w:val="20"/>
              </w:rPr>
              <w:t>FA15</w:t>
            </w:r>
          </w:p>
        </w:tc>
        <w:tc>
          <w:tcPr>
            <w:tcW w:w="1229" w:type="dxa"/>
          </w:tcPr>
          <w:p w14:paraId="1DF2F207" w14:textId="77777777" w:rsidR="002412DB" w:rsidRPr="00546BAF" w:rsidRDefault="002412DB" w:rsidP="00270965">
            <w:pPr>
              <w:rPr>
                <w:rFonts w:ascii="Arial" w:hAnsi="Arial" w:cs="Arial"/>
                <w:sz w:val="20"/>
                <w:szCs w:val="20"/>
              </w:rPr>
            </w:pPr>
            <w:r w:rsidRPr="00546BAF">
              <w:rPr>
                <w:rFonts w:ascii="Arial" w:hAnsi="Arial" w:cs="Arial"/>
                <w:sz w:val="20"/>
                <w:szCs w:val="20"/>
              </w:rPr>
              <w:t>-142.771</w:t>
            </w:r>
          </w:p>
        </w:tc>
        <w:tc>
          <w:tcPr>
            <w:tcW w:w="3260" w:type="dxa"/>
          </w:tcPr>
          <w:p w14:paraId="0C3BCAD7" w14:textId="77777777" w:rsidR="002412DB" w:rsidRPr="00546BAF" w:rsidRDefault="002412DB" w:rsidP="00270965">
            <w:pPr>
              <w:rPr>
                <w:rFonts w:ascii="Arial" w:hAnsi="Arial" w:cs="Arial"/>
                <w:sz w:val="20"/>
                <w:szCs w:val="20"/>
              </w:rPr>
            </w:pPr>
            <w:proofErr w:type="spellStart"/>
            <w:r w:rsidRPr="00546BAF">
              <w:rPr>
                <w:rFonts w:ascii="Arial" w:hAnsi="Arial" w:cs="Arial"/>
                <w:sz w:val="20"/>
                <w:szCs w:val="20"/>
              </w:rPr>
              <w:t>Asn</w:t>
            </w:r>
            <w:proofErr w:type="spellEnd"/>
            <w:r w:rsidRPr="00546BAF">
              <w:rPr>
                <w:rFonts w:ascii="Arial" w:hAnsi="Arial" w:cs="Arial"/>
                <w:sz w:val="20"/>
                <w:szCs w:val="20"/>
              </w:rPr>
              <w:t xml:space="preserve"> 116, </w:t>
            </w:r>
            <w:proofErr w:type="spellStart"/>
            <w:r w:rsidRPr="00546BAF">
              <w:rPr>
                <w:rFonts w:ascii="Arial" w:hAnsi="Arial" w:cs="Arial"/>
                <w:sz w:val="20"/>
                <w:szCs w:val="20"/>
              </w:rPr>
              <w:t>Gly</w:t>
            </w:r>
            <w:proofErr w:type="spellEnd"/>
            <w:r w:rsidRPr="00546BAF">
              <w:rPr>
                <w:rFonts w:ascii="Arial" w:hAnsi="Arial" w:cs="Arial"/>
                <w:sz w:val="20"/>
                <w:szCs w:val="20"/>
              </w:rPr>
              <w:t xml:space="preserve"> 13, Lys 16, </w:t>
            </w:r>
            <w:proofErr w:type="spellStart"/>
            <w:r w:rsidRPr="00546BAF">
              <w:rPr>
                <w:rFonts w:ascii="Arial" w:hAnsi="Arial" w:cs="Arial"/>
                <w:sz w:val="20"/>
                <w:szCs w:val="20"/>
              </w:rPr>
              <w:t>Thr</w:t>
            </w:r>
            <w:proofErr w:type="spellEnd"/>
            <w:r w:rsidRPr="00546BAF">
              <w:rPr>
                <w:rFonts w:ascii="Arial" w:hAnsi="Arial" w:cs="Arial"/>
                <w:sz w:val="20"/>
                <w:szCs w:val="20"/>
              </w:rPr>
              <w:t xml:space="preserve"> 35, Asp 33</w:t>
            </w:r>
          </w:p>
        </w:tc>
        <w:tc>
          <w:tcPr>
            <w:tcW w:w="2596" w:type="dxa"/>
          </w:tcPr>
          <w:p w14:paraId="6CE15AD7" w14:textId="77777777" w:rsidR="002412DB" w:rsidRPr="00546BAF" w:rsidRDefault="002412DB" w:rsidP="00270965">
            <w:pPr>
              <w:rPr>
                <w:rFonts w:ascii="Arial" w:hAnsi="Arial" w:cs="Arial"/>
                <w:sz w:val="20"/>
                <w:szCs w:val="20"/>
              </w:rPr>
            </w:pPr>
            <w:r w:rsidRPr="00546BAF">
              <w:rPr>
                <w:rFonts w:ascii="Arial" w:hAnsi="Arial" w:cs="Arial"/>
                <w:sz w:val="20"/>
                <w:szCs w:val="20"/>
              </w:rPr>
              <w:t>Ala 146, Asp 119, Lys 16</w:t>
            </w:r>
          </w:p>
        </w:tc>
      </w:tr>
    </w:tbl>
    <w:p w14:paraId="32DBAE96" w14:textId="77777777" w:rsidR="006C07E6" w:rsidRPr="00546BAF" w:rsidRDefault="006C07E6" w:rsidP="002412DB">
      <w:pPr>
        <w:rPr>
          <w:rFonts w:ascii="Arial" w:hAnsi="Arial" w:cs="Arial"/>
          <w:noProof/>
          <w:sz w:val="20"/>
          <w:szCs w:val="20"/>
          <w:lang w:eastAsia="en-IN"/>
        </w:rPr>
      </w:pPr>
    </w:p>
    <w:p w14:paraId="30C57B46" w14:textId="77777777" w:rsidR="004B3268" w:rsidRPr="00546BAF" w:rsidRDefault="004B3268" w:rsidP="002412DB">
      <w:pPr>
        <w:rPr>
          <w:rFonts w:ascii="Arial" w:hAnsi="Arial" w:cs="Arial"/>
          <w:sz w:val="20"/>
          <w:szCs w:val="20"/>
        </w:rPr>
      </w:pPr>
      <w:r w:rsidRPr="00546BAF">
        <w:rPr>
          <w:rFonts w:ascii="Arial" w:hAnsi="Arial" w:cs="Arial"/>
          <w:noProof/>
          <w:sz w:val="20"/>
          <w:szCs w:val="20"/>
          <w:lang w:eastAsia="en-IN"/>
        </w:rPr>
        <w:drawing>
          <wp:inline distT="0" distB="0" distL="0" distR="0" wp14:anchorId="48EA8F9B" wp14:editId="6993FDC8">
            <wp:extent cx="2736850" cy="3250362"/>
            <wp:effectExtent l="0" t="0" r="6350" b="7620"/>
            <wp:docPr id="3876928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692866" name="Picture 387692866"/>
                    <pic:cNvPicPr/>
                  </pic:nvPicPr>
                  <pic:blipFill>
                    <a:blip r:embed="rId29">
                      <a:extLst>
                        <a:ext uri="{28A0092B-C50C-407E-A947-70E740481C1C}">
                          <a14:useLocalDpi xmlns:a14="http://schemas.microsoft.com/office/drawing/2010/main" val="0"/>
                        </a:ext>
                      </a:extLst>
                    </a:blip>
                    <a:stretch>
                      <a:fillRect/>
                    </a:stretch>
                  </pic:blipFill>
                  <pic:spPr>
                    <a:xfrm>
                      <a:off x="0" y="0"/>
                      <a:ext cx="2739770" cy="3253829"/>
                    </a:xfrm>
                    <a:prstGeom prst="rect">
                      <a:avLst/>
                    </a:prstGeom>
                  </pic:spPr>
                </pic:pic>
              </a:graphicData>
            </a:graphic>
          </wp:inline>
        </w:drawing>
      </w:r>
      <w:r w:rsidRPr="00546BAF">
        <w:rPr>
          <w:rFonts w:ascii="Arial" w:hAnsi="Arial" w:cs="Arial"/>
          <w:noProof/>
          <w:sz w:val="20"/>
          <w:szCs w:val="20"/>
          <w:lang w:eastAsia="en-IN"/>
        </w:rPr>
        <w:drawing>
          <wp:inline distT="0" distB="0" distL="0" distR="0" wp14:anchorId="6D7BBEA4" wp14:editId="3F4D8361">
            <wp:extent cx="2844800" cy="3243186"/>
            <wp:effectExtent l="0" t="0" r="0" b="0"/>
            <wp:docPr id="18528245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24512" name="Picture 1852824512"/>
                    <pic:cNvPicPr/>
                  </pic:nvPicPr>
                  <pic:blipFill>
                    <a:blip r:embed="rId30">
                      <a:extLst>
                        <a:ext uri="{28A0092B-C50C-407E-A947-70E740481C1C}">
                          <a14:useLocalDpi xmlns:a14="http://schemas.microsoft.com/office/drawing/2010/main" val="0"/>
                        </a:ext>
                      </a:extLst>
                    </a:blip>
                    <a:stretch>
                      <a:fillRect/>
                    </a:stretch>
                  </pic:blipFill>
                  <pic:spPr>
                    <a:xfrm flipH="1">
                      <a:off x="0" y="0"/>
                      <a:ext cx="2862362" cy="3263207"/>
                    </a:xfrm>
                    <a:prstGeom prst="rect">
                      <a:avLst/>
                    </a:prstGeom>
                  </pic:spPr>
                </pic:pic>
              </a:graphicData>
            </a:graphic>
          </wp:inline>
        </w:drawing>
      </w:r>
    </w:p>
    <w:p w14:paraId="2316EA8C" w14:textId="77777777" w:rsidR="006B5E54" w:rsidRPr="00546BAF" w:rsidRDefault="00AA5238" w:rsidP="002412DB">
      <w:pPr>
        <w:rPr>
          <w:rFonts w:ascii="Arial" w:hAnsi="Arial" w:cs="Arial"/>
          <w:b/>
          <w:bCs/>
          <w:sz w:val="20"/>
          <w:szCs w:val="20"/>
        </w:rPr>
      </w:pPr>
      <w:bookmarkStart w:id="29" w:name="_Hlk220494346"/>
      <w:r w:rsidRPr="00546BAF">
        <w:rPr>
          <w:rFonts w:ascii="Arial" w:hAnsi="Arial" w:cs="Arial"/>
          <w:b/>
          <w:bCs/>
          <w:sz w:val="20"/>
          <w:szCs w:val="20"/>
        </w:rPr>
        <w:t xml:space="preserve">Figure </w:t>
      </w:r>
      <w:r w:rsidR="000B70F6" w:rsidRPr="00546BAF">
        <w:rPr>
          <w:rFonts w:ascii="Arial" w:hAnsi="Arial" w:cs="Arial"/>
          <w:b/>
          <w:bCs/>
          <w:sz w:val="20"/>
          <w:szCs w:val="20"/>
        </w:rPr>
        <w:t>0</w:t>
      </w:r>
      <w:r w:rsidR="00632A57" w:rsidRPr="00546BAF">
        <w:rPr>
          <w:rFonts w:ascii="Arial" w:hAnsi="Arial" w:cs="Arial"/>
          <w:b/>
          <w:bCs/>
          <w:sz w:val="20"/>
          <w:szCs w:val="20"/>
        </w:rPr>
        <w:t>4</w:t>
      </w:r>
      <w:r w:rsidR="000B70F6" w:rsidRPr="00546BAF">
        <w:rPr>
          <w:rFonts w:ascii="Arial" w:hAnsi="Arial" w:cs="Arial"/>
          <w:b/>
          <w:bCs/>
          <w:sz w:val="20"/>
          <w:szCs w:val="20"/>
        </w:rPr>
        <w:t>: H-bond interaction</w:t>
      </w:r>
      <w:r w:rsidR="00270965" w:rsidRPr="00546BAF">
        <w:rPr>
          <w:rFonts w:ascii="Arial" w:hAnsi="Arial" w:cs="Arial"/>
          <w:b/>
          <w:bCs/>
          <w:sz w:val="20"/>
          <w:szCs w:val="20"/>
        </w:rPr>
        <w:t xml:space="preserve"> and docking pose </w:t>
      </w:r>
      <w:r w:rsidR="000B70F6" w:rsidRPr="00546BAF">
        <w:rPr>
          <w:rFonts w:ascii="Arial" w:hAnsi="Arial" w:cs="Arial"/>
          <w:b/>
          <w:bCs/>
          <w:sz w:val="20"/>
          <w:szCs w:val="20"/>
        </w:rPr>
        <w:t xml:space="preserve">of </w:t>
      </w:r>
      <w:r w:rsidR="00F8728E" w:rsidRPr="00546BAF">
        <w:rPr>
          <w:rFonts w:ascii="Arial" w:hAnsi="Arial" w:cs="Arial"/>
          <w:b/>
          <w:bCs/>
          <w:sz w:val="20"/>
          <w:szCs w:val="20"/>
        </w:rPr>
        <w:t>FA</w:t>
      </w:r>
      <w:r w:rsidR="006C07E6" w:rsidRPr="00546BAF">
        <w:rPr>
          <w:rFonts w:ascii="Arial" w:hAnsi="Arial" w:cs="Arial"/>
          <w:b/>
          <w:bCs/>
          <w:sz w:val="20"/>
          <w:szCs w:val="20"/>
        </w:rPr>
        <w:t>1</w:t>
      </w:r>
      <w:r w:rsidR="000B70F6" w:rsidRPr="00546BAF">
        <w:rPr>
          <w:rFonts w:ascii="Arial" w:hAnsi="Arial" w:cs="Arial"/>
          <w:b/>
          <w:bCs/>
          <w:sz w:val="20"/>
          <w:szCs w:val="20"/>
        </w:rPr>
        <w:t xml:space="preserve">1 </w:t>
      </w:r>
    </w:p>
    <w:p w14:paraId="4130C697" w14:textId="77777777" w:rsidR="00CB199E" w:rsidRPr="00546BAF" w:rsidRDefault="00CB199E" w:rsidP="00CB199E">
      <w:pPr>
        <w:jc w:val="both"/>
        <w:rPr>
          <w:rFonts w:ascii="Arial" w:hAnsi="Arial" w:cs="Arial"/>
          <w:sz w:val="20"/>
          <w:szCs w:val="20"/>
        </w:rPr>
      </w:pPr>
      <w:bookmarkStart w:id="30" w:name="_Hlk220437659"/>
      <w:bookmarkEnd w:id="29"/>
      <w:r w:rsidRPr="00546BAF">
        <w:rPr>
          <w:rFonts w:ascii="Arial" w:hAnsi="Arial" w:cs="Arial"/>
          <w:bCs/>
          <w:sz w:val="20"/>
          <w:szCs w:val="20"/>
        </w:rPr>
        <w:t>Result</w:t>
      </w:r>
      <w:r w:rsidRPr="00546BAF">
        <w:rPr>
          <w:rFonts w:ascii="Arial" w:hAnsi="Arial" w:cs="Arial"/>
          <w:b/>
          <w:bCs/>
          <w:sz w:val="20"/>
          <w:szCs w:val="20"/>
        </w:rPr>
        <w:t xml:space="preserve"> </w:t>
      </w:r>
      <w:r w:rsidRPr="00546BAF">
        <w:rPr>
          <w:rFonts w:ascii="Arial" w:hAnsi="Arial" w:cs="Arial"/>
          <w:sz w:val="20"/>
          <w:szCs w:val="20"/>
        </w:rPr>
        <w:t>of molecular docking when standard tyrosine kinase inhibitor such as gefitinib is docked with</w:t>
      </w:r>
      <w:r w:rsidR="00CB532C" w:rsidRPr="00546BAF">
        <w:rPr>
          <w:rFonts w:ascii="Arial" w:hAnsi="Arial" w:cs="Arial"/>
          <w:sz w:val="20"/>
          <w:szCs w:val="20"/>
        </w:rPr>
        <w:t xml:space="preserve"> </w:t>
      </w:r>
      <w:r w:rsidR="004D118B" w:rsidRPr="00546BAF">
        <w:rPr>
          <w:rFonts w:ascii="Arial" w:hAnsi="Arial" w:cs="Arial"/>
          <w:sz w:val="20"/>
          <w:szCs w:val="20"/>
        </w:rPr>
        <w:t xml:space="preserve">GMPPNP-bound G12R mutant of </w:t>
      </w:r>
      <w:r w:rsidRPr="00546BAF">
        <w:rPr>
          <w:rFonts w:ascii="Arial" w:hAnsi="Arial" w:cs="Arial"/>
          <w:sz w:val="20"/>
          <w:szCs w:val="20"/>
        </w:rPr>
        <w:t>human KRAS</w:t>
      </w:r>
      <w:r w:rsidR="006C07E6" w:rsidRPr="00546BAF">
        <w:rPr>
          <w:rFonts w:ascii="Arial" w:hAnsi="Arial" w:cs="Arial"/>
          <w:sz w:val="20"/>
          <w:szCs w:val="20"/>
        </w:rPr>
        <w:t>4b</w:t>
      </w:r>
      <w:r w:rsidRPr="00546BAF">
        <w:rPr>
          <w:rFonts w:ascii="Arial" w:hAnsi="Arial" w:cs="Arial"/>
          <w:sz w:val="20"/>
          <w:szCs w:val="20"/>
        </w:rPr>
        <w:t xml:space="preserve"> (6CU6 PDB ID).</w:t>
      </w:r>
    </w:p>
    <w:p w14:paraId="073F5E82" w14:textId="77777777" w:rsidR="004759CD" w:rsidRPr="00546BAF" w:rsidRDefault="00632A57" w:rsidP="00CB199E">
      <w:pPr>
        <w:jc w:val="both"/>
        <w:rPr>
          <w:rFonts w:ascii="Arial" w:hAnsi="Arial" w:cs="Arial"/>
          <w:b/>
          <w:sz w:val="20"/>
          <w:szCs w:val="20"/>
        </w:rPr>
      </w:pPr>
      <w:r w:rsidRPr="00546BAF">
        <w:rPr>
          <w:rFonts w:ascii="Arial" w:hAnsi="Arial" w:cs="Arial"/>
          <w:b/>
          <w:sz w:val="20"/>
          <w:szCs w:val="20"/>
        </w:rPr>
        <w:t xml:space="preserve">Table </w:t>
      </w:r>
      <w:r w:rsidR="00546BAF" w:rsidRPr="00546BAF">
        <w:rPr>
          <w:rFonts w:ascii="Arial" w:hAnsi="Arial" w:cs="Arial"/>
          <w:b/>
          <w:sz w:val="20"/>
          <w:szCs w:val="20"/>
        </w:rPr>
        <w:t>7</w:t>
      </w:r>
      <w:r w:rsidR="00422B1F" w:rsidRPr="00546BAF">
        <w:rPr>
          <w:rFonts w:ascii="Arial" w:hAnsi="Arial" w:cs="Arial"/>
          <w:b/>
          <w:sz w:val="20"/>
          <w:szCs w:val="20"/>
        </w:rPr>
        <w:t>: Result</w:t>
      </w:r>
      <w:r w:rsidR="004759CD" w:rsidRPr="00546BAF">
        <w:rPr>
          <w:rFonts w:ascii="Arial" w:hAnsi="Arial" w:cs="Arial"/>
          <w:b/>
          <w:sz w:val="20"/>
          <w:szCs w:val="20"/>
        </w:rPr>
        <w:t xml:space="preserve"> </w:t>
      </w:r>
      <w:r w:rsidR="004826F5" w:rsidRPr="00546BAF">
        <w:rPr>
          <w:rFonts w:ascii="Arial" w:hAnsi="Arial" w:cs="Arial"/>
          <w:b/>
          <w:sz w:val="20"/>
          <w:szCs w:val="20"/>
        </w:rPr>
        <w:t xml:space="preserve">of molecular docking of standard TKIs </w:t>
      </w:r>
    </w:p>
    <w:tbl>
      <w:tblPr>
        <w:tblStyle w:val="TableGrid"/>
        <w:tblW w:w="0" w:type="auto"/>
        <w:tblLook w:val="04A0" w:firstRow="1" w:lastRow="0" w:firstColumn="1" w:lastColumn="0" w:noHBand="0" w:noVBand="1"/>
      </w:tblPr>
      <w:tblGrid>
        <w:gridCol w:w="758"/>
        <w:gridCol w:w="1618"/>
        <w:gridCol w:w="1712"/>
        <w:gridCol w:w="1863"/>
        <w:gridCol w:w="3065"/>
      </w:tblGrid>
      <w:tr w:rsidR="00E36EFA" w:rsidRPr="00546BAF" w14:paraId="3F88CC9F" w14:textId="77777777" w:rsidTr="00E36EFA">
        <w:tc>
          <w:tcPr>
            <w:tcW w:w="758" w:type="dxa"/>
          </w:tcPr>
          <w:p w14:paraId="251957ED" w14:textId="77777777" w:rsidR="00E36EFA" w:rsidRPr="00546BAF" w:rsidRDefault="00E36EFA" w:rsidP="00270965">
            <w:pPr>
              <w:jc w:val="both"/>
              <w:rPr>
                <w:rFonts w:ascii="Arial" w:hAnsi="Arial" w:cs="Arial"/>
                <w:sz w:val="20"/>
                <w:szCs w:val="20"/>
              </w:rPr>
            </w:pPr>
            <w:r w:rsidRPr="00546BAF">
              <w:rPr>
                <w:rFonts w:ascii="Arial" w:hAnsi="Arial" w:cs="Arial"/>
                <w:sz w:val="20"/>
                <w:szCs w:val="20"/>
              </w:rPr>
              <w:t>Sr No.</w:t>
            </w:r>
          </w:p>
        </w:tc>
        <w:tc>
          <w:tcPr>
            <w:tcW w:w="1618" w:type="dxa"/>
          </w:tcPr>
          <w:p w14:paraId="584EE980" w14:textId="77777777" w:rsidR="00E36EFA" w:rsidRPr="00546BAF" w:rsidRDefault="00E36EFA" w:rsidP="00270965">
            <w:pPr>
              <w:jc w:val="both"/>
              <w:rPr>
                <w:rFonts w:ascii="Arial" w:hAnsi="Arial" w:cs="Arial"/>
                <w:sz w:val="20"/>
                <w:szCs w:val="20"/>
              </w:rPr>
            </w:pPr>
            <w:r w:rsidRPr="00546BAF">
              <w:rPr>
                <w:rFonts w:ascii="Arial" w:hAnsi="Arial" w:cs="Arial"/>
                <w:sz w:val="20"/>
                <w:szCs w:val="20"/>
              </w:rPr>
              <w:t>Standard TKI</w:t>
            </w:r>
          </w:p>
        </w:tc>
        <w:tc>
          <w:tcPr>
            <w:tcW w:w="1712" w:type="dxa"/>
          </w:tcPr>
          <w:p w14:paraId="6660BB80" w14:textId="77777777" w:rsidR="00E36EFA" w:rsidRPr="00546BAF" w:rsidRDefault="00E36EFA" w:rsidP="00270965">
            <w:pPr>
              <w:jc w:val="both"/>
              <w:rPr>
                <w:rFonts w:ascii="Arial" w:hAnsi="Arial" w:cs="Arial"/>
                <w:sz w:val="20"/>
                <w:szCs w:val="20"/>
              </w:rPr>
            </w:pPr>
            <w:proofErr w:type="spellStart"/>
            <w:r w:rsidRPr="00546BAF">
              <w:rPr>
                <w:rFonts w:ascii="Arial" w:hAnsi="Arial" w:cs="Arial"/>
                <w:sz w:val="20"/>
                <w:szCs w:val="20"/>
              </w:rPr>
              <w:t>Moldock</w:t>
            </w:r>
            <w:proofErr w:type="spellEnd"/>
            <w:r w:rsidRPr="00546BAF">
              <w:rPr>
                <w:rFonts w:ascii="Arial" w:hAnsi="Arial" w:cs="Arial"/>
                <w:sz w:val="20"/>
                <w:szCs w:val="20"/>
              </w:rPr>
              <w:t xml:space="preserve"> score </w:t>
            </w:r>
          </w:p>
        </w:tc>
        <w:tc>
          <w:tcPr>
            <w:tcW w:w="1863" w:type="dxa"/>
          </w:tcPr>
          <w:p w14:paraId="2805FBD6" w14:textId="77777777" w:rsidR="00E36EFA" w:rsidRPr="00546BAF" w:rsidRDefault="00E36EFA" w:rsidP="00270965">
            <w:pPr>
              <w:jc w:val="both"/>
              <w:rPr>
                <w:rFonts w:ascii="Arial" w:hAnsi="Arial" w:cs="Arial"/>
                <w:sz w:val="20"/>
                <w:szCs w:val="20"/>
              </w:rPr>
            </w:pPr>
            <w:r w:rsidRPr="00546BAF">
              <w:rPr>
                <w:rFonts w:ascii="Arial" w:hAnsi="Arial" w:cs="Arial"/>
                <w:sz w:val="20"/>
                <w:szCs w:val="20"/>
              </w:rPr>
              <w:t>H bond</w:t>
            </w:r>
          </w:p>
        </w:tc>
        <w:tc>
          <w:tcPr>
            <w:tcW w:w="3065" w:type="dxa"/>
          </w:tcPr>
          <w:p w14:paraId="089B0E85" w14:textId="77777777" w:rsidR="00E36EFA" w:rsidRPr="00546BAF" w:rsidRDefault="00E36EFA" w:rsidP="00270965">
            <w:pPr>
              <w:jc w:val="both"/>
              <w:rPr>
                <w:rFonts w:ascii="Arial" w:hAnsi="Arial" w:cs="Arial"/>
                <w:sz w:val="20"/>
                <w:szCs w:val="20"/>
              </w:rPr>
            </w:pPr>
            <w:r w:rsidRPr="00546BAF">
              <w:rPr>
                <w:rFonts w:ascii="Arial" w:hAnsi="Arial" w:cs="Arial"/>
                <w:sz w:val="20"/>
                <w:szCs w:val="20"/>
              </w:rPr>
              <w:t xml:space="preserve">Steric interaction </w:t>
            </w:r>
          </w:p>
        </w:tc>
      </w:tr>
      <w:tr w:rsidR="00E36EFA" w:rsidRPr="00546BAF" w14:paraId="50172FF9" w14:textId="77777777" w:rsidTr="00E36EFA">
        <w:tc>
          <w:tcPr>
            <w:tcW w:w="758" w:type="dxa"/>
          </w:tcPr>
          <w:p w14:paraId="7E1ED476" w14:textId="77777777" w:rsidR="00E36EFA" w:rsidRPr="00546BAF" w:rsidRDefault="00E36EFA" w:rsidP="00270965">
            <w:pPr>
              <w:pStyle w:val="ListParagraph"/>
              <w:numPr>
                <w:ilvl w:val="0"/>
                <w:numId w:val="5"/>
              </w:numPr>
              <w:jc w:val="both"/>
              <w:rPr>
                <w:rFonts w:ascii="Arial" w:hAnsi="Arial" w:cs="Arial"/>
                <w:sz w:val="20"/>
                <w:szCs w:val="20"/>
              </w:rPr>
            </w:pPr>
          </w:p>
        </w:tc>
        <w:tc>
          <w:tcPr>
            <w:tcW w:w="1618" w:type="dxa"/>
          </w:tcPr>
          <w:p w14:paraId="7FC9B7DD" w14:textId="77777777" w:rsidR="00E36EFA" w:rsidRPr="00546BAF" w:rsidRDefault="00E36EFA" w:rsidP="00270965">
            <w:pPr>
              <w:jc w:val="both"/>
              <w:rPr>
                <w:rFonts w:ascii="Arial" w:hAnsi="Arial" w:cs="Arial"/>
                <w:sz w:val="20"/>
                <w:szCs w:val="20"/>
              </w:rPr>
            </w:pPr>
            <w:r w:rsidRPr="00546BAF">
              <w:rPr>
                <w:rFonts w:ascii="Arial" w:hAnsi="Arial" w:cs="Arial"/>
                <w:sz w:val="20"/>
                <w:szCs w:val="20"/>
              </w:rPr>
              <w:t xml:space="preserve">Gefitinib </w:t>
            </w:r>
          </w:p>
        </w:tc>
        <w:tc>
          <w:tcPr>
            <w:tcW w:w="1712" w:type="dxa"/>
          </w:tcPr>
          <w:p w14:paraId="789F8301" w14:textId="77777777" w:rsidR="00E36EFA" w:rsidRPr="00546BAF" w:rsidRDefault="00FB4E5E" w:rsidP="00270965">
            <w:pPr>
              <w:jc w:val="both"/>
              <w:rPr>
                <w:rFonts w:ascii="Arial" w:hAnsi="Arial" w:cs="Arial"/>
                <w:sz w:val="20"/>
                <w:szCs w:val="20"/>
              </w:rPr>
            </w:pPr>
            <w:r w:rsidRPr="00546BAF">
              <w:rPr>
                <w:rFonts w:ascii="Arial" w:hAnsi="Arial" w:cs="Arial"/>
                <w:sz w:val="20"/>
                <w:szCs w:val="20"/>
              </w:rPr>
              <w:t>-157</w:t>
            </w:r>
            <w:r w:rsidR="00C7119F" w:rsidRPr="00546BAF">
              <w:rPr>
                <w:rFonts w:ascii="Arial" w:hAnsi="Arial" w:cs="Arial"/>
                <w:sz w:val="20"/>
                <w:szCs w:val="20"/>
              </w:rPr>
              <w:t>.872</w:t>
            </w:r>
          </w:p>
        </w:tc>
        <w:tc>
          <w:tcPr>
            <w:tcW w:w="1863" w:type="dxa"/>
          </w:tcPr>
          <w:p w14:paraId="1A71C8F5" w14:textId="77777777" w:rsidR="00E36EFA" w:rsidRPr="00546BAF" w:rsidRDefault="00E36EFA" w:rsidP="00270965">
            <w:pPr>
              <w:jc w:val="both"/>
              <w:rPr>
                <w:rFonts w:ascii="Arial" w:hAnsi="Arial" w:cs="Arial"/>
                <w:sz w:val="20"/>
                <w:szCs w:val="20"/>
              </w:rPr>
            </w:pPr>
            <w:proofErr w:type="spellStart"/>
            <w:r w:rsidRPr="00546BAF">
              <w:rPr>
                <w:rFonts w:ascii="Arial" w:hAnsi="Arial" w:cs="Arial"/>
                <w:sz w:val="20"/>
                <w:szCs w:val="20"/>
              </w:rPr>
              <w:t>Thr</w:t>
            </w:r>
            <w:proofErr w:type="spellEnd"/>
            <w:r w:rsidRPr="00546BAF">
              <w:rPr>
                <w:rFonts w:ascii="Arial" w:hAnsi="Arial" w:cs="Arial"/>
                <w:sz w:val="20"/>
                <w:szCs w:val="20"/>
              </w:rPr>
              <w:t xml:space="preserve"> 35, </w:t>
            </w:r>
            <w:proofErr w:type="spellStart"/>
            <w:r w:rsidRPr="00546BAF">
              <w:rPr>
                <w:rFonts w:ascii="Arial" w:hAnsi="Arial" w:cs="Arial"/>
                <w:sz w:val="20"/>
                <w:szCs w:val="20"/>
              </w:rPr>
              <w:t>Ser</w:t>
            </w:r>
            <w:proofErr w:type="spellEnd"/>
            <w:r w:rsidRPr="00546BAF">
              <w:rPr>
                <w:rFonts w:ascii="Arial" w:hAnsi="Arial" w:cs="Arial"/>
                <w:sz w:val="20"/>
                <w:szCs w:val="20"/>
              </w:rPr>
              <w:t xml:space="preserve"> 17, Glu 31</w:t>
            </w:r>
          </w:p>
        </w:tc>
        <w:tc>
          <w:tcPr>
            <w:tcW w:w="3065" w:type="dxa"/>
          </w:tcPr>
          <w:p w14:paraId="1A3721C5" w14:textId="77777777" w:rsidR="00E36EFA" w:rsidRPr="00546BAF" w:rsidRDefault="00E36EFA" w:rsidP="00270965">
            <w:pPr>
              <w:jc w:val="both"/>
              <w:rPr>
                <w:rFonts w:ascii="Arial" w:hAnsi="Arial" w:cs="Arial"/>
                <w:sz w:val="20"/>
                <w:szCs w:val="20"/>
              </w:rPr>
            </w:pPr>
            <w:r w:rsidRPr="00546BAF">
              <w:rPr>
                <w:rFonts w:ascii="Arial" w:hAnsi="Arial" w:cs="Arial"/>
                <w:sz w:val="20"/>
                <w:szCs w:val="20"/>
              </w:rPr>
              <w:t xml:space="preserve">Asp 119, Lys 147, </w:t>
            </w:r>
            <w:proofErr w:type="spellStart"/>
            <w:r w:rsidRPr="00546BAF">
              <w:rPr>
                <w:rFonts w:ascii="Arial" w:hAnsi="Arial" w:cs="Arial"/>
                <w:sz w:val="20"/>
                <w:szCs w:val="20"/>
              </w:rPr>
              <w:t>Gly</w:t>
            </w:r>
            <w:proofErr w:type="spellEnd"/>
            <w:r w:rsidRPr="00546BAF">
              <w:rPr>
                <w:rFonts w:ascii="Arial" w:hAnsi="Arial" w:cs="Arial"/>
                <w:sz w:val="20"/>
                <w:szCs w:val="20"/>
              </w:rPr>
              <w:t xml:space="preserve"> 13, Gly15, Thr32, Asp 33, Ser 17, Val 29</w:t>
            </w:r>
          </w:p>
        </w:tc>
      </w:tr>
      <w:bookmarkEnd w:id="30"/>
    </w:tbl>
    <w:p w14:paraId="24984025" w14:textId="77777777" w:rsidR="00110DC1" w:rsidRPr="00546BAF" w:rsidRDefault="00110DC1" w:rsidP="004A3C87">
      <w:pPr>
        <w:jc w:val="both"/>
        <w:rPr>
          <w:rFonts w:ascii="Arial" w:hAnsi="Arial" w:cs="Arial"/>
          <w:sz w:val="20"/>
          <w:szCs w:val="20"/>
        </w:rPr>
      </w:pPr>
    </w:p>
    <w:p w14:paraId="7FE1995D" w14:textId="77777777" w:rsidR="00110DC1" w:rsidRPr="00546BAF" w:rsidRDefault="00621F17" w:rsidP="004A3C87">
      <w:pPr>
        <w:jc w:val="both"/>
        <w:rPr>
          <w:rFonts w:ascii="Arial" w:hAnsi="Arial" w:cs="Arial"/>
          <w:sz w:val="20"/>
          <w:szCs w:val="20"/>
        </w:rPr>
      </w:pPr>
      <w:r w:rsidRPr="00546BAF">
        <w:rPr>
          <w:rFonts w:ascii="Arial" w:hAnsi="Arial" w:cs="Arial"/>
          <w:noProof/>
          <w:sz w:val="20"/>
          <w:szCs w:val="20"/>
          <w:lang w:eastAsia="en-IN"/>
        </w:rPr>
        <w:lastRenderedPageBreak/>
        <w:drawing>
          <wp:inline distT="0" distB="0" distL="0" distR="0" wp14:anchorId="1BB5E600" wp14:editId="2C454599">
            <wp:extent cx="2634724" cy="2901315"/>
            <wp:effectExtent l="0" t="0" r="0" b="0"/>
            <wp:docPr id="15710911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091184" name="Picture 1571091184"/>
                    <pic:cNvPicPr/>
                  </pic:nvPicPr>
                  <pic:blipFill>
                    <a:blip r:embed="rId31">
                      <a:extLst>
                        <a:ext uri="{28A0092B-C50C-407E-A947-70E740481C1C}">
                          <a14:useLocalDpi xmlns:a14="http://schemas.microsoft.com/office/drawing/2010/main" val="0"/>
                        </a:ext>
                      </a:extLst>
                    </a:blip>
                    <a:stretch>
                      <a:fillRect/>
                    </a:stretch>
                  </pic:blipFill>
                  <pic:spPr>
                    <a:xfrm>
                      <a:off x="0" y="0"/>
                      <a:ext cx="2654648" cy="2923255"/>
                    </a:xfrm>
                    <a:prstGeom prst="rect">
                      <a:avLst/>
                    </a:prstGeom>
                  </pic:spPr>
                </pic:pic>
              </a:graphicData>
            </a:graphic>
          </wp:inline>
        </w:drawing>
      </w:r>
      <w:r w:rsidRPr="00546BAF">
        <w:rPr>
          <w:rFonts w:ascii="Arial" w:hAnsi="Arial" w:cs="Arial"/>
          <w:noProof/>
          <w:sz w:val="20"/>
          <w:szCs w:val="20"/>
          <w:lang w:eastAsia="en-IN"/>
        </w:rPr>
        <w:drawing>
          <wp:inline distT="0" distB="0" distL="0" distR="0" wp14:anchorId="788BCFE0" wp14:editId="26B2C7A7">
            <wp:extent cx="2984123" cy="2901315"/>
            <wp:effectExtent l="0" t="0" r="6985" b="0"/>
            <wp:docPr id="155656310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563104" name="Picture 1556563104"/>
                    <pic:cNvPicPr/>
                  </pic:nvPicPr>
                  <pic:blipFill>
                    <a:blip r:embed="rId32">
                      <a:extLst>
                        <a:ext uri="{28A0092B-C50C-407E-A947-70E740481C1C}">
                          <a14:useLocalDpi xmlns:a14="http://schemas.microsoft.com/office/drawing/2010/main" val="0"/>
                        </a:ext>
                      </a:extLst>
                    </a:blip>
                    <a:stretch>
                      <a:fillRect/>
                    </a:stretch>
                  </pic:blipFill>
                  <pic:spPr>
                    <a:xfrm>
                      <a:off x="0" y="0"/>
                      <a:ext cx="3040880" cy="2956497"/>
                    </a:xfrm>
                    <a:prstGeom prst="rect">
                      <a:avLst/>
                    </a:prstGeom>
                  </pic:spPr>
                </pic:pic>
              </a:graphicData>
            </a:graphic>
          </wp:inline>
        </w:drawing>
      </w:r>
    </w:p>
    <w:p w14:paraId="0CC58165" w14:textId="77777777" w:rsidR="00987CE4" w:rsidRPr="00546BAF" w:rsidRDefault="00987CE4" w:rsidP="006C07E6">
      <w:pPr>
        <w:jc w:val="center"/>
        <w:rPr>
          <w:rFonts w:ascii="Arial" w:hAnsi="Arial" w:cs="Arial"/>
          <w:b/>
          <w:bCs/>
          <w:sz w:val="20"/>
          <w:szCs w:val="20"/>
        </w:rPr>
      </w:pPr>
      <w:bookmarkStart w:id="31" w:name="_Hlk220437725"/>
      <w:r w:rsidRPr="00546BAF">
        <w:rPr>
          <w:rFonts w:ascii="Arial" w:hAnsi="Arial" w:cs="Arial"/>
          <w:b/>
          <w:bCs/>
          <w:sz w:val="20"/>
          <w:szCs w:val="20"/>
        </w:rPr>
        <w:t>Figure 0</w:t>
      </w:r>
      <w:r w:rsidR="00632A57" w:rsidRPr="00546BAF">
        <w:rPr>
          <w:rFonts w:ascii="Arial" w:hAnsi="Arial" w:cs="Arial"/>
          <w:b/>
          <w:bCs/>
          <w:sz w:val="20"/>
          <w:szCs w:val="20"/>
        </w:rPr>
        <w:t>5</w:t>
      </w:r>
      <w:r w:rsidRPr="00546BAF">
        <w:rPr>
          <w:rFonts w:ascii="Arial" w:hAnsi="Arial" w:cs="Arial"/>
          <w:b/>
          <w:bCs/>
          <w:sz w:val="20"/>
          <w:szCs w:val="20"/>
        </w:rPr>
        <w:t>: H- bond interaction</w:t>
      </w:r>
      <w:r w:rsidR="006C07E6" w:rsidRPr="00546BAF">
        <w:rPr>
          <w:rFonts w:ascii="Arial" w:hAnsi="Arial" w:cs="Arial"/>
          <w:b/>
          <w:bCs/>
          <w:sz w:val="20"/>
          <w:szCs w:val="20"/>
        </w:rPr>
        <w:t xml:space="preserve"> and do</w:t>
      </w:r>
      <w:r w:rsidR="004D118B" w:rsidRPr="00546BAF">
        <w:rPr>
          <w:rFonts w:ascii="Arial" w:hAnsi="Arial" w:cs="Arial"/>
          <w:b/>
          <w:bCs/>
          <w:sz w:val="20"/>
          <w:szCs w:val="20"/>
        </w:rPr>
        <w:t>c</w:t>
      </w:r>
      <w:r w:rsidR="006C07E6" w:rsidRPr="00546BAF">
        <w:rPr>
          <w:rFonts w:ascii="Arial" w:hAnsi="Arial" w:cs="Arial"/>
          <w:b/>
          <w:bCs/>
          <w:sz w:val="20"/>
          <w:szCs w:val="20"/>
        </w:rPr>
        <w:t>king pose</w:t>
      </w:r>
      <w:r w:rsidRPr="00546BAF">
        <w:rPr>
          <w:rFonts w:ascii="Arial" w:hAnsi="Arial" w:cs="Arial"/>
          <w:b/>
          <w:bCs/>
          <w:sz w:val="20"/>
          <w:szCs w:val="20"/>
        </w:rPr>
        <w:t xml:space="preserve"> of </w:t>
      </w:r>
      <w:r w:rsidR="00270965" w:rsidRPr="00546BAF">
        <w:rPr>
          <w:rFonts w:ascii="Arial" w:hAnsi="Arial" w:cs="Arial"/>
          <w:b/>
          <w:bCs/>
          <w:sz w:val="20"/>
          <w:szCs w:val="20"/>
        </w:rPr>
        <w:t>G</w:t>
      </w:r>
      <w:r w:rsidR="00335843" w:rsidRPr="00546BAF">
        <w:rPr>
          <w:rFonts w:ascii="Arial" w:hAnsi="Arial" w:cs="Arial"/>
          <w:b/>
          <w:bCs/>
          <w:sz w:val="20"/>
          <w:szCs w:val="20"/>
        </w:rPr>
        <w:t>efitinib (</w:t>
      </w:r>
      <w:r w:rsidRPr="00546BAF">
        <w:rPr>
          <w:rFonts w:ascii="Arial" w:hAnsi="Arial" w:cs="Arial"/>
          <w:b/>
          <w:bCs/>
          <w:sz w:val="20"/>
          <w:szCs w:val="20"/>
        </w:rPr>
        <w:t>standard tyrosine kinase in</w:t>
      </w:r>
      <w:r w:rsidR="00335843" w:rsidRPr="00546BAF">
        <w:rPr>
          <w:rFonts w:ascii="Arial" w:hAnsi="Arial" w:cs="Arial"/>
          <w:b/>
          <w:bCs/>
          <w:sz w:val="20"/>
          <w:szCs w:val="20"/>
        </w:rPr>
        <w:t>hibitor)</w:t>
      </w:r>
      <w:bookmarkEnd w:id="31"/>
    </w:p>
    <w:p w14:paraId="1001B5DE" w14:textId="77777777" w:rsidR="002412DB" w:rsidRPr="00546BAF" w:rsidRDefault="003746CD" w:rsidP="004A3C87">
      <w:pPr>
        <w:jc w:val="both"/>
        <w:rPr>
          <w:rFonts w:ascii="Arial" w:hAnsi="Arial" w:cs="Arial"/>
          <w:sz w:val="20"/>
          <w:szCs w:val="20"/>
        </w:rPr>
      </w:pPr>
      <w:bookmarkStart w:id="32" w:name="_Hlk220438337"/>
      <w:r w:rsidRPr="00546BAF">
        <w:rPr>
          <w:rFonts w:ascii="Arial" w:hAnsi="Arial" w:cs="Arial"/>
          <w:sz w:val="20"/>
          <w:szCs w:val="20"/>
        </w:rPr>
        <w:t xml:space="preserve">Among all the </w:t>
      </w:r>
      <w:r w:rsidR="006C07E6" w:rsidRPr="00546BAF">
        <w:rPr>
          <w:rFonts w:ascii="Arial" w:hAnsi="Arial" w:cs="Arial"/>
          <w:sz w:val="20"/>
          <w:szCs w:val="20"/>
        </w:rPr>
        <w:t xml:space="preserve">15 </w:t>
      </w:r>
      <w:r w:rsidR="001E55B0" w:rsidRPr="00546BAF">
        <w:rPr>
          <w:rFonts w:ascii="Arial" w:hAnsi="Arial" w:cs="Arial"/>
          <w:sz w:val="20"/>
          <w:szCs w:val="20"/>
        </w:rPr>
        <w:t xml:space="preserve">derivatives compound </w:t>
      </w:r>
      <w:r w:rsidR="006C07E6" w:rsidRPr="00546BAF">
        <w:rPr>
          <w:rFonts w:ascii="Arial" w:hAnsi="Arial" w:cs="Arial"/>
          <w:sz w:val="20"/>
          <w:szCs w:val="20"/>
        </w:rPr>
        <w:t xml:space="preserve">FA11 which is derivative of </w:t>
      </w:r>
      <w:r w:rsidR="00C219A6" w:rsidRPr="00546BAF">
        <w:rPr>
          <w:rFonts w:ascii="Arial" w:hAnsi="Arial" w:cs="Arial"/>
          <w:sz w:val="20"/>
          <w:szCs w:val="20"/>
        </w:rPr>
        <w:t>4-hydroxy-3-methoxycinnamic acid</w:t>
      </w:r>
      <w:r w:rsidR="00CB532C" w:rsidRPr="00546BAF">
        <w:rPr>
          <w:rFonts w:ascii="Arial" w:hAnsi="Arial" w:cs="Arial"/>
          <w:sz w:val="20"/>
          <w:szCs w:val="20"/>
        </w:rPr>
        <w:t xml:space="preserve"> </w:t>
      </w:r>
      <w:r w:rsidR="006C07E6" w:rsidRPr="00546BAF">
        <w:rPr>
          <w:rFonts w:ascii="Arial" w:hAnsi="Arial" w:cs="Arial"/>
          <w:sz w:val="20"/>
          <w:szCs w:val="20"/>
        </w:rPr>
        <w:t>with 2,4 dinitro aniline</w:t>
      </w:r>
      <w:r w:rsidR="001E55B0" w:rsidRPr="00546BAF">
        <w:rPr>
          <w:rFonts w:ascii="Arial" w:hAnsi="Arial" w:cs="Arial"/>
          <w:sz w:val="20"/>
          <w:szCs w:val="20"/>
        </w:rPr>
        <w:t xml:space="preserve"> shows the </w:t>
      </w:r>
      <w:r w:rsidR="006D3ECF" w:rsidRPr="00546BAF">
        <w:rPr>
          <w:rFonts w:ascii="Arial" w:hAnsi="Arial" w:cs="Arial"/>
          <w:sz w:val="20"/>
          <w:szCs w:val="20"/>
        </w:rPr>
        <w:t>relatable results with standard tyrosin</w:t>
      </w:r>
      <w:r w:rsidR="004D118B" w:rsidRPr="00546BAF">
        <w:rPr>
          <w:rFonts w:ascii="Arial" w:hAnsi="Arial" w:cs="Arial"/>
          <w:sz w:val="20"/>
          <w:szCs w:val="20"/>
        </w:rPr>
        <w:t>e</w:t>
      </w:r>
      <w:r w:rsidR="006D3ECF" w:rsidRPr="00546BAF">
        <w:rPr>
          <w:rFonts w:ascii="Arial" w:hAnsi="Arial" w:cs="Arial"/>
          <w:sz w:val="20"/>
          <w:szCs w:val="20"/>
        </w:rPr>
        <w:t xml:space="preserve"> kinase inhibitors</w:t>
      </w:r>
      <w:r w:rsidR="008F59BE" w:rsidRPr="00546BAF">
        <w:rPr>
          <w:rFonts w:ascii="Arial" w:hAnsi="Arial" w:cs="Arial"/>
          <w:sz w:val="20"/>
          <w:szCs w:val="20"/>
        </w:rPr>
        <w:t xml:space="preserve"> in terms of binding affinity and interactions</w:t>
      </w:r>
      <w:bookmarkEnd w:id="32"/>
      <w:r w:rsidR="006D3ECF" w:rsidRPr="00546BAF">
        <w:rPr>
          <w:rFonts w:ascii="Arial" w:hAnsi="Arial" w:cs="Arial"/>
          <w:sz w:val="20"/>
          <w:szCs w:val="20"/>
        </w:rPr>
        <w:t>.</w:t>
      </w:r>
    </w:p>
    <w:p w14:paraId="2CAAC5A4" w14:textId="77777777" w:rsidR="006C07E6" w:rsidRPr="00546BAF" w:rsidRDefault="00CB532C" w:rsidP="006C07E6">
      <w:pPr>
        <w:jc w:val="center"/>
        <w:rPr>
          <w:rFonts w:ascii="Arial" w:hAnsi="Arial" w:cs="Arial"/>
          <w:sz w:val="20"/>
          <w:szCs w:val="20"/>
        </w:rPr>
      </w:pPr>
      <w:r w:rsidRPr="00546BAF">
        <w:rPr>
          <w:rFonts w:ascii="Arial" w:hAnsi="Arial" w:cs="Arial"/>
          <w:sz w:val="20"/>
          <w:szCs w:val="20"/>
        </w:rPr>
        <w:object w:dxaOrig="6331" w:dyaOrig="2984" w14:anchorId="33A20E23">
          <v:shape id="_x0000_i1030" type="#_x0000_t75" style="width:257pt;height:121.4pt" o:ole="">
            <v:imagedata r:id="rId33" o:title=""/>
          </v:shape>
          <o:OLEObject Type="Embed" ProgID="ChemDraw.Document.6.0" ShapeID="_x0000_i1030" DrawAspect="Content" ObjectID="_1831655560" r:id="rId34"/>
        </w:object>
      </w:r>
    </w:p>
    <w:p w14:paraId="2E6CDCB3" w14:textId="77777777" w:rsidR="006C07E6" w:rsidRPr="00546BAF" w:rsidRDefault="00C219A6" w:rsidP="006C07E6">
      <w:pPr>
        <w:jc w:val="center"/>
        <w:rPr>
          <w:rFonts w:ascii="Arial" w:hAnsi="Arial" w:cs="Arial"/>
          <w:b/>
          <w:bCs/>
          <w:sz w:val="20"/>
          <w:szCs w:val="20"/>
        </w:rPr>
      </w:pPr>
      <w:r w:rsidRPr="00546BAF">
        <w:rPr>
          <w:rFonts w:ascii="Arial" w:hAnsi="Arial" w:cs="Arial"/>
          <w:sz w:val="20"/>
          <w:szCs w:val="20"/>
        </w:rPr>
        <w:t>4-hydroxy-3-methoxycinnamic acid</w:t>
      </w:r>
      <w:r w:rsidR="00CB532C" w:rsidRPr="00546BAF">
        <w:rPr>
          <w:rFonts w:ascii="Arial" w:hAnsi="Arial" w:cs="Arial"/>
          <w:sz w:val="20"/>
          <w:szCs w:val="20"/>
        </w:rPr>
        <w:t xml:space="preserve"> </w:t>
      </w:r>
      <w:r w:rsidR="006C07E6" w:rsidRPr="00546BAF">
        <w:rPr>
          <w:rFonts w:ascii="Arial" w:hAnsi="Arial" w:cs="Arial"/>
          <w:bCs/>
          <w:sz w:val="20"/>
          <w:szCs w:val="20"/>
        </w:rPr>
        <w:t>with 2,4dinitro aniline</w:t>
      </w:r>
    </w:p>
    <w:p w14:paraId="215B9ABE" w14:textId="77777777" w:rsidR="00411D99" w:rsidRPr="00546BAF" w:rsidRDefault="00422B1F" w:rsidP="004A3C87">
      <w:pPr>
        <w:jc w:val="both"/>
        <w:rPr>
          <w:rFonts w:ascii="Arial" w:hAnsi="Arial" w:cs="Arial"/>
          <w:b/>
          <w:bCs/>
          <w:sz w:val="22"/>
          <w:szCs w:val="20"/>
        </w:rPr>
      </w:pPr>
      <w:r w:rsidRPr="00546BAF">
        <w:rPr>
          <w:rFonts w:ascii="Arial" w:hAnsi="Arial" w:cs="Arial"/>
          <w:b/>
          <w:bCs/>
          <w:sz w:val="22"/>
          <w:szCs w:val="20"/>
        </w:rPr>
        <w:t xml:space="preserve">DISCUSSION: </w:t>
      </w:r>
    </w:p>
    <w:p w14:paraId="524C2B16" w14:textId="77777777" w:rsidR="00411D99" w:rsidRPr="00546BAF" w:rsidRDefault="00411D99" w:rsidP="00411D99">
      <w:pPr>
        <w:spacing w:before="100" w:beforeAutospacing="1" w:after="100" w:afterAutospacing="1" w:line="240" w:lineRule="auto"/>
        <w:jc w:val="both"/>
        <w:rPr>
          <w:rFonts w:ascii="Arial" w:eastAsia="Times New Roman" w:hAnsi="Arial" w:cs="Arial"/>
          <w:kern w:val="0"/>
          <w:sz w:val="20"/>
          <w:szCs w:val="20"/>
          <w:lang w:eastAsia="en-IN"/>
        </w:rPr>
      </w:pPr>
      <w:r w:rsidRPr="00546BAF">
        <w:rPr>
          <w:rFonts w:ascii="Arial" w:eastAsia="Times New Roman" w:hAnsi="Arial" w:cs="Arial"/>
          <w:kern w:val="0"/>
          <w:sz w:val="20"/>
          <w:szCs w:val="20"/>
          <w:lang w:eastAsia="en-IN"/>
        </w:rPr>
        <w:t xml:space="preserve">Drug-likeness and pharmacokinetic profiling are essential steps in early-stage drug discovery to identify compounds with </w:t>
      </w:r>
      <w:commentRangeStart w:id="33"/>
      <w:proofErr w:type="spellStart"/>
      <w:r w:rsidRPr="00546BAF">
        <w:rPr>
          <w:rFonts w:ascii="Arial" w:eastAsia="Times New Roman" w:hAnsi="Arial" w:cs="Arial"/>
          <w:kern w:val="0"/>
          <w:sz w:val="20"/>
          <w:szCs w:val="20"/>
          <w:lang w:eastAsia="en-IN"/>
        </w:rPr>
        <w:t>favorable</w:t>
      </w:r>
      <w:commentRangeEnd w:id="33"/>
      <w:proofErr w:type="spellEnd"/>
      <w:r w:rsidR="00481C7F">
        <w:rPr>
          <w:rStyle w:val="CommentReference"/>
        </w:rPr>
        <w:commentReference w:id="33"/>
      </w:r>
      <w:r w:rsidRPr="00546BAF">
        <w:rPr>
          <w:rFonts w:ascii="Arial" w:eastAsia="Times New Roman" w:hAnsi="Arial" w:cs="Arial"/>
          <w:kern w:val="0"/>
          <w:sz w:val="20"/>
          <w:szCs w:val="20"/>
          <w:lang w:eastAsia="en-IN"/>
        </w:rPr>
        <w:t xml:space="preserve"> oral bioavailability and safety characteristics. In the present study, all designed </w:t>
      </w:r>
      <w:r w:rsidRPr="00546BAF">
        <w:rPr>
          <w:rFonts w:ascii="Arial" w:eastAsia="Times New Roman" w:hAnsi="Arial" w:cs="Arial"/>
          <w:bCs/>
          <w:kern w:val="0"/>
          <w:sz w:val="20"/>
          <w:szCs w:val="20"/>
          <w:lang w:eastAsia="en-IN"/>
        </w:rPr>
        <w:t>4-hydroxy-3-methoxycinnamic acid derivatives substituted</w:t>
      </w:r>
      <w:r w:rsidR="00CB532C" w:rsidRPr="00546BAF">
        <w:rPr>
          <w:rFonts w:ascii="Arial" w:eastAsia="Times New Roman" w:hAnsi="Arial" w:cs="Arial"/>
          <w:bCs/>
          <w:kern w:val="0"/>
          <w:sz w:val="20"/>
          <w:szCs w:val="20"/>
          <w:lang w:eastAsia="en-IN"/>
        </w:rPr>
        <w:t xml:space="preserve"> </w:t>
      </w:r>
      <w:r w:rsidRPr="00546BAF">
        <w:rPr>
          <w:rFonts w:ascii="Arial" w:eastAsia="Times New Roman" w:hAnsi="Arial" w:cs="Arial"/>
          <w:bCs/>
          <w:kern w:val="0"/>
          <w:sz w:val="20"/>
          <w:szCs w:val="20"/>
          <w:lang w:eastAsia="en-IN"/>
        </w:rPr>
        <w:t>with</w:t>
      </w:r>
      <w:r w:rsidR="00CB532C" w:rsidRPr="00546BAF">
        <w:rPr>
          <w:rFonts w:ascii="Arial" w:eastAsia="Times New Roman" w:hAnsi="Arial" w:cs="Arial"/>
          <w:bCs/>
          <w:kern w:val="0"/>
          <w:sz w:val="20"/>
          <w:szCs w:val="20"/>
          <w:lang w:eastAsia="en-IN"/>
        </w:rPr>
        <w:t xml:space="preserve"> </w:t>
      </w:r>
      <w:r w:rsidRPr="00546BAF">
        <w:rPr>
          <w:rFonts w:ascii="Arial" w:eastAsia="Times New Roman" w:hAnsi="Arial" w:cs="Arial"/>
          <w:bCs/>
          <w:kern w:val="0"/>
          <w:sz w:val="20"/>
          <w:szCs w:val="20"/>
          <w:lang w:eastAsia="en-IN"/>
        </w:rPr>
        <w:t>aromatic amines</w:t>
      </w:r>
      <w:r w:rsidRPr="00546BAF">
        <w:rPr>
          <w:rFonts w:ascii="Arial" w:eastAsia="Times New Roman" w:hAnsi="Arial" w:cs="Arial"/>
          <w:kern w:val="0"/>
          <w:sz w:val="20"/>
          <w:szCs w:val="20"/>
          <w:lang w:eastAsia="en-IN"/>
        </w:rPr>
        <w:t xml:space="preserve"> demonstrated acceptable drug-like properties, as evidenced by their compliance with </w:t>
      </w:r>
      <w:r w:rsidRPr="00546BAF">
        <w:rPr>
          <w:rFonts w:ascii="Arial" w:eastAsia="Times New Roman" w:hAnsi="Arial" w:cs="Arial"/>
          <w:bCs/>
          <w:kern w:val="0"/>
          <w:sz w:val="20"/>
          <w:szCs w:val="20"/>
          <w:lang w:eastAsia="en-IN"/>
        </w:rPr>
        <w:t>Lipinski’s rule of five</w:t>
      </w:r>
      <w:r w:rsidRPr="00546BAF">
        <w:rPr>
          <w:rFonts w:ascii="Arial" w:eastAsia="Times New Roman" w:hAnsi="Arial" w:cs="Arial"/>
          <w:kern w:val="0"/>
          <w:sz w:val="20"/>
          <w:szCs w:val="20"/>
          <w:lang w:eastAsia="en-IN"/>
        </w:rPr>
        <w:t>. All compounds satisfied the established criteria for molecular weight (≤ 500 Da), lipophilicity (</w:t>
      </w:r>
      <w:proofErr w:type="spellStart"/>
      <w:r w:rsidRPr="00546BAF">
        <w:rPr>
          <w:rFonts w:ascii="Arial" w:eastAsia="Times New Roman" w:hAnsi="Arial" w:cs="Arial"/>
          <w:kern w:val="0"/>
          <w:sz w:val="20"/>
          <w:szCs w:val="20"/>
          <w:lang w:eastAsia="en-IN"/>
        </w:rPr>
        <w:t>LogP</w:t>
      </w:r>
      <w:proofErr w:type="spellEnd"/>
      <w:r w:rsidRPr="00546BAF">
        <w:rPr>
          <w:rFonts w:ascii="Arial" w:eastAsia="Times New Roman" w:hAnsi="Arial" w:cs="Arial"/>
          <w:kern w:val="0"/>
          <w:sz w:val="20"/>
          <w:szCs w:val="20"/>
          <w:lang w:eastAsia="en-IN"/>
        </w:rPr>
        <w:t>&lt; 5), hydrogen bond donors (≤ 5), and hydrogen bond acceptors (≤ 10), indicating their suitability as orally active drug candidates. Although molecular weight plays a significant role in oral bioavailability, the commonly applied 500 Da threshold does not strictly differentiate compounds with good or poor absorption. Importantly, compounds are generally regarded as orally non-bioavailable only when two or more Lipinski parameters are violated, which was not observed for a</w:t>
      </w:r>
      <w:r w:rsidR="00DA666A" w:rsidRPr="00546BAF">
        <w:rPr>
          <w:rFonts w:ascii="Arial" w:eastAsia="Times New Roman" w:hAnsi="Arial" w:cs="Arial"/>
          <w:kern w:val="0"/>
          <w:sz w:val="20"/>
          <w:szCs w:val="20"/>
          <w:lang w:eastAsia="en-IN"/>
        </w:rPr>
        <w:t>ny of the studied derivatives.</w:t>
      </w:r>
    </w:p>
    <w:p w14:paraId="4F1DD072" w14:textId="77777777" w:rsidR="00411D99" w:rsidRPr="00546BAF" w:rsidRDefault="00411D99" w:rsidP="00411D99">
      <w:pPr>
        <w:spacing w:before="100" w:beforeAutospacing="1" w:after="100" w:afterAutospacing="1" w:line="240" w:lineRule="auto"/>
        <w:jc w:val="both"/>
        <w:rPr>
          <w:rFonts w:ascii="Arial" w:eastAsia="Times New Roman" w:hAnsi="Arial" w:cs="Arial"/>
          <w:kern w:val="0"/>
          <w:sz w:val="20"/>
          <w:szCs w:val="20"/>
          <w:lang w:eastAsia="en-IN"/>
        </w:rPr>
      </w:pPr>
      <w:r w:rsidRPr="00546BAF">
        <w:rPr>
          <w:rFonts w:ascii="Arial" w:eastAsia="Times New Roman" w:hAnsi="Arial" w:cs="Arial"/>
          <w:kern w:val="0"/>
          <w:sz w:val="20"/>
          <w:szCs w:val="20"/>
          <w:lang w:eastAsia="en-IN"/>
        </w:rPr>
        <w:t xml:space="preserve">The </w:t>
      </w:r>
      <w:r w:rsidRPr="00546BAF">
        <w:rPr>
          <w:rFonts w:ascii="Arial" w:eastAsia="Times New Roman" w:hAnsi="Arial" w:cs="Arial"/>
          <w:bCs/>
          <w:kern w:val="0"/>
          <w:sz w:val="20"/>
          <w:szCs w:val="20"/>
          <w:lang w:eastAsia="en-IN"/>
        </w:rPr>
        <w:t>ADME predictions</w:t>
      </w:r>
      <w:r w:rsidRPr="00546BAF">
        <w:rPr>
          <w:rFonts w:ascii="Arial" w:eastAsia="Times New Roman" w:hAnsi="Arial" w:cs="Arial"/>
          <w:kern w:val="0"/>
          <w:sz w:val="20"/>
          <w:szCs w:val="20"/>
          <w:lang w:eastAsia="en-IN"/>
        </w:rPr>
        <w:t xml:space="preserve"> further supported the </w:t>
      </w:r>
      <w:proofErr w:type="spellStart"/>
      <w:r w:rsidRPr="00546BAF">
        <w:rPr>
          <w:rFonts w:ascii="Arial" w:eastAsia="Times New Roman" w:hAnsi="Arial" w:cs="Arial"/>
          <w:kern w:val="0"/>
          <w:sz w:val="20"/>
          <w:szCs w:val="20"/>
          <w:lang w:eastAsia="en-IN"/>
        </w:rPr>
        <w:t>favorable</w:t>
      </w:r>
      <w:proofErr w:type="spellEnd"/>
      <w:r w:rsidRPr="00546BAF">
        <w:rPr>
          <w:rFonts w:ascii="Arial" w:eastAsia="Times New Roman" w:hAnsi="Arial" w:cs="Arial"/>
          <w:kern w:val="0"/>
          <w:sz w:val="20"/>
          <w:szCs w:val="20"/>
          <w:lang w:eastAsia="en-IN"/>
        </w:rPr>
        <w:t xml:space="preserve"> pharmacokinetic </w:t>
      </w:r>
      <w:proofErr w:type="spellStart"/>
      <w:r w:rsidRPr="00546BAF">
        <w:rPr>
          <w:rFonts w:ascii="Arial" w:eastAsia="Times New Roman" w:hAnsi="Arial" w:cs="Arial"/>
          <w:kern w:val="0"/>
          <w:sz w:val="20"/>
          <w:szCs w:val="20"/>
          <w:lang w:eastAsia="en-IN"/>
        </w:rPr>
        <w:t>behavior</w:t>
      </w:r>
      <w:proofErr w:type="spellEnd"/>
      <w:r w:rsidRPr="00546BAF">
        <w:rPr>
          <w:rFonts w:ascii="Arial" w:eastAsia="Times New Roman" w:hAnsi="Arial" w:cs="Arial"/>
          <w:kern w:val="0"/>
          <w:sz w:val="20"/>
          <w:szCs w:val="20"/>
          <w:lang w:eastAsia="en-IN"/>
        </w:rPr>
        <w:t xml:space="preserve"> of the designed compounds. Human intestinal absorption (HIA) analysis revealed that the majority of the derivatives (14 compounds) exhibited high absorption, while only one compound showed moderate absorption, indicating strong potential for oral bioavailability. Plasma protein binding (PPB) analysis demonstrated variability in distribution characteristics, with two compounds (FA7 and FA11) showing strong binding, </w:t>
      </w:r>
      <w:r w:rsidRPr="00546BAF">
        <w:rPr>
          <w:rFonts w:ascii="Arial" w:eastAsia="Times New Roman" w:hAnsi="Arial" w:cs="Arial"/>
          <w:kern w:val="0"/>
          <w:sz w:val="20"/>
          <w:szCs w:val="20"/>
          <w:lang w:eastAsia="en-IN"/>
        </w:rPr>
        <w:lastRenderedPageBreak/>
        <w:t>whereas the remaining derivatives were weakly bound. This moderate PPB profile is advantageous, as excessive plasma protein binding can reduce the free fraction of drug available for therapeutic action.</w:t>
      </w:r>
    </w:p>
    <w:p w14:paraId="45D27D01" w14:textId="77777777" w:rsidR="00411D99" w:rsidRPr="00546BAF" w:rsidRDefault="00411D99" w:rsidP="00411D99">
      <w:pPr>
        <w:spacing w:before="100" w:beforeAutospacing="1" w:after="100" w:afterAutospacing="1" w:line="240" w:lineRule="auto"/>
        <w:jc w:val="both"/>
        <w:rPr>
          <w:rFonts w:ascii="Arial" w:eastAsia="Times New Roman" w:hAnsi="Arial" w:cs="Arial"/>
          <w:kern w:val="0"/>
          <w:sz w:val="20"/>
          <w:szCs w:val="20"/>
          <w:lang w:eastAsia="en-IN"/>
        </w:rPr>
      </w:pPr>
      <w:commentRangeStart w:id="34"/>
      <w:r w:rsidRPr="00546BAF">
        <w:rPr>
          <w:rFonts w:ascii="Arial" w:eastAsia="Times New Roman" w:hAnsi="Arial" w:cs="Arial"/>
          <w:kern w:val="0"/>
          <w:sz w:val="20"/>
          <w:szCs w:val="20"/>
          <w:lang w:eastAsia="en-IN"/>
        </w:rPr>
        <w:t>CaCO</w:t>
      </w:r>
      <w:r w:rsidR="00CB532C" w:rsidRPr="00546BAF">
        <w:rPr>
          <w:rFonts w:ascii="Times New Roman" w:eastAsia="Times New Roman" w:hAnsi="Times New Roman" w:cs="Arial"/>
          <w:kern w:val="0"/>
          <w:sz w:val="20"/>
          <w:szCs w:val="20"/>
          <w:vertAlign w:val="subscript"/>
          <w:lang w:eastAsia="en-IN"/>
        </w:rPr>
        <w:t>3</w:t>
      </w:r>
      <w:commentRangeEnd w:id="34"/>
      <w:r w:rsidR="00757985">
        <w:rPr>
          <w:rStyle w:val="CommentReference"/>
        </w:rPr>
        <w:commentReference w:id="34"/>
      </w:r>
      <w:r w:rsidRPr="00546BAF">
        <w:rPr>
          <w:rFonts w:ascii="Arial" w:eastAsia="Times New Roman" w:hAnsi="Arial" w:cs="Arial"/>
          <w:kern w:val="0"/>
          <w:sz w:val="20"/>
          <w:szCs w:val="20"/>
          <w:lang w:eastAsia="en-IN"/>
        </w:rPr>
        <w:t xml:space="preserve"> permeability analysis showed that nearly all derivatives exhibited moderate permeation, suggesting acceptable intestinal transport properties. In contrast, MDCK cell permeability results indicated predominantly low permeability for most compounds, with only one compound displaying moderate permeation. This discrepancy may reflect differences between in vitro permeability models and highlights the complexity of membrane transport mechanisms. Nevertheless, the absence of </w:t>
      </w:r>
      <w:r w:rsidRPr="00546BAF">
        <w:rPr>
          <w:rFonts w:ascii="Arial" w:eastAsia="Times New Roman" w:hAnsi="Arial" w:cs="Arial"/>
          <w:bCs/>
          <w:kern w:val="0"/>
          <w:sz w:val="20"/>
          <w:szCs w:val="20"/>
          <w:lang w:eastAsia="en-IN"/>
        </w:rPr>
        <w:t>CYP2D6 inhibition</w:t>
      </w:r>
      <w:r w:rsidRPr="00546BAF">
        <w:rPr>
          <w:rFonts w:ascii="Arial" w:eastAsia="Times New Roman" w:hAnsi="Arial" w:cs="Arial"/>
          <w:kern w:val="0"/>
          <w:sz w:val="20"/>
          <w:szCs w:val="20"/>
          <w:lang w:eastAsia="en-IN"/>
        </w:rPr>
        <w:t xml:space="preserve"> across all compounds is a highly </w:t>
      </w:r>
      <w:proofErr w:type="spellStart"/>
      <w:r w:rsidRPr="00546BAF">
        <w:rPr>
          <w:rFonts w:ascii="Arial" w:eastAsia="Times New Roman" w:hAnsi="Arial" w:cs="Arial"/>
          <w:kern w:val="0"/>
          <w:sz w:val="20"/>
          <w:szCs w:val="20"/>
          <w:lang w:eastAsia="en-IN"/>
        </w:rPr>
        <w:t>favorable</w:t>
      </w:r>
      <w:proofErr w:type="spellEnd"/>
      <w:r w:rsidRPr="00546BAF">
        <w:rPr>
          <w:rFonts w:ascii="Arial" w:eastAsia="Times New Roman" w:hAnsi="Arial" w:cs="Arial"/>
          <w:kern w:val="0"/>
          <w:sz w:val="20"/>
          <w:szCs w:val="20"/>
          <w:lang w:eastAsia="en-IN"/>
        </w:rPr>
        <w:t xml:space="preserve"> outcome, as it minimizes the risk of metabolic instability and potential drug–drug interactions.</w:t>
      </w:r>
    </w:p>
    <w:p w14:paraId="3712762A" w14:textId="77777777" w:rsidR="00411D99" w:rsidRPr="00546BAF" w:rsidRDefault="00411D99" w:rsidP="00411D99">
      <w:pPr>
        <w:spacing w:before="100" w:beforeAutospacing="1" w:after="100" w:afterAutospacing="1" w:line="240" w:lineRule="auto"/>
        <w:jc w:val="both"/>
        <w:rPr>
          <w:rFonts w:ascii="Arial" w:eastAsia="Times New Roman" w:hAnsi="Arial" w:cs="Arial"/>
          <w:kern w:val="0"/>
          <w:sz w:val="20"/>
          <w:szCs w:val="20"/>
          <w:lang w:eastAsia="en-IN"/>
        </w:rPr>
      </w:pPr>
      <w:r w:rsidRPr="00546BAF">
        <w:rPr>
          <w:rFonts w:ascii="Arial" w:eastAsia="Times New Roman" w:hAnsi="Arial" w:cs="Arial"/>
          <w:kern w:val="0"/>
          <w:sz w:val="20"/>
          <w:szCs w:val="20"/>
          <w:lang w:eastAsia="en-IN"/>
        </w:rPr>
        <w:t xml:space="preserve">Evaluation of </w:t>
      </w:r>
      <w:r w:rsidRPr="00546BAF">
        <w:rPr>
          <w:rFonts w:ascii="Arial" w:eastAsia="Times New Roman" w:hAnsi="Arial" w:cs="Arial"/>
          <w:bCs/>
          <w:kern w:val="0"/>
          <w:sz w:val="20"/>
          <w:szCs w:val="20"/>
          <w:lang w:eastAsia="en-IN"/>
        </w:rPr>
        <w:t>P-glycoprotein (P-</w:t>
      </w:r>
      <w:proofErr w:type="spellStart"/>
      <w:r w:rsidRPr="00546BAF">
        <w:rPr>
          <w:rFonts w:ascii="Arial" w:eastAsia="Times New Roman" w:hAnsi="Arial" w:cs="Arial"/>
          <w:bCs/>
          <w:kern w:val="0"/>
          <w:sz w:val="20"/>
          <w:szCs w:val="20"/>
          <w:lang w:eastAsia="en-IN"/>
        </w:rPr>
        <w:t>gp</w:t>
      </w:r>
      <w:proofErr w:type="spellEnd"/>
      <w:r w:rsidRPr="00546BAF">
        <w:rPr>
          <w:rFonts w:ascii="Arial" w:eastAsia="Times New Roman" w:hAnsi="Arial" w:cs="Arial"/>
          <w:bCs/>
          <w:kern w:val="0"/>
          <w:sz w:val="20"/>
          <w:szCs w:val="20"/>
          <w:lang w:eastAsia="en-IN"/>
        </w:rPr>
        <w:t>)</w:t>
      </w:r>
      <w:r w:rsidRPr="00546BAF">
        <w:rPr>
          <w:rFonts w:ascii="Arial" w:eastAsia="Times New Roman" w:hAnsi="Arial" w:cs="Arial"/>
          <w:kern w:val="0"/>
          <w:sz w:val="20"/>
          <w:szCs w:val="20"/>
          <w:lang w:eastAsia="en-IN"/>
        </w:rPr>
        <w:t xml:space="preserve"> interactions revealed that only one compound (FA11) acted as a P-</w:t>
      </w:r>
      <w:proofErr w:type="spellStart"/>
      <w:r w:rsidRPr="00546BAF">
        <w:rPr>
          <w:rFonts w:ascii="Arial" w:eastAsia="Times New Roman" w:hAnsi="Arial" w:cs="Arial"/>
          <w:kern w:val="0"/>
          <w:sz w:val="20"/>
          <w:szCs w:val="20"/>
          <w:lang w:eastAsia="en-IN"/>
        </w:rPr>
        <w:t>gp</w:t>
      </w:r>
      <w:proofErr w:type="spellEnd"/>
      <w:r w:rsidRPr="00546BAF">
        <w:rPr>
          <w:rFonts w:ascii="Arial" w:eastAsia="Times New Roman" w:hAnsi="Arial" w:cs="Arial"/>
          <w:kern w:val="0"/>
          <w:sz w:val="20"/>
          <w:szCs w:val="20"/>
          <w:lang w:eastAsia="en-IN"/>
        </w:rPr>
        <w:t xml:space="preserve"> inhibitor, while the remaining derivatives were non-inhibitors. This finding suggests a reduced likelihood of efflux-mediated limitations in oral bioavailability for most compounds. Blood–brain barrier (BBB) penetration analysis indicated that three compounds were CNS-active, whereas the majority were non-CNS active, suggesting limited central nervous system exposure. Such a profile may be advantageous for anticancer agents intended for peripheral targets, reducing the risk of CNS-related side effects. The BOILED-Egg model for FA11 further supports its predicted absorption and distribution </w:t>
      </w:r>
      <w:proofErr w:type="spellStart"/>
      <w:r w:rsidRPr="00546BAF">
        <w:rPr>
          <w:rFonts w:ascii="Arial" w:eastAsia="Times New Roman" w:hAnsi="Arial" w:cs="Arial"/>
          <w:kern w:val="0"/>
          <w:sz w:val="20"/>
          <w:szCs w:val="20"/>
          <w:lang w:eastAsia="en-IN"/>
        </w:rPr>
        <w:t>behavior</w:t>
      </w:r>
      <w:proofErr w:type="spellEnd"/>
      <w:r w:rsidRPr="00546BAF">
        <w:rPr>
          <w:rFonts w:ascii="Arial" w:eastAsia="Times New Roman" w:hAnsi="Arial" w:cs="Arial"/>
          <w:kern w:val="0"/>
          <w:sz w:val="20"/>
          <w:szCs w:val="20"/>
          <w:lang w:eastAsia="en-IN"/>
        </w:rPr>
        <w:t>.</w:t>
      </w:r>
    </w:p>
    <w:p w14:paraId="5A4C0B30" w14:textId="77777777" w:rsidR="00411D99" w:rsidRPr="00546BAF" w:rsidRDefault="00411D99" w:rsidP="00411D99">
      <w:pPr>
        <w:spacing w:before="100" w:beforeAutospacing="1" w:after="100" w:afterAutospacing="1" w:line="240" w:lineRule="auto"/>
        <w:jc w:val="both"/>
        <w:rPr>
          <w:rFonts w:ascii="Arial" w:eastAsia="Times New Roman" w:hAnsi="Arial" w:cs="Arial"/>
          <w:kern w:val="0"/>
          <w:sz w:val="20"/>
          <w:szCs w:val="20"/>
          <w:lang w:eastAsia="en-IN"/>
        </w:rPr>
      </w:pPr>
      <w:r w:rsidRPr="00546BAF">
        <w:rPr>
          <w:rFonts w:ascii="Arial" w:eastAsia="Times New Roman" w:hAnsi="Arial" w:cs="Arial"/>
          <w:kern w:val="0"/>
          <w:sz w:val="20"/>
          <w:szCs w:val="20"/>
          <w:lang w:eastAsia="en-IN"/>
        </w:rPr>
        <w:t xml:space="preserve">Despite the </w:t>
      </w:r>
      <w:proofErr w:type="spellStart"/>
      <w:r w:rsidRPr="00546BAF">
        <w:rPr>
          <w:rFonts w:ascii="Arial" w:eastAsia="Times New Roman" w:hAnsi="Arial" w:cs="Arial"/>
          <w:kern w:val="0"/>
          <w:sz w:val="20"/>
          <w:szCs w:val="20"/>
          <w:lang w:eastAsia="en-IN"/>
        </w:rPr>
        <w:t>favorable</w:t>
      </w:r>
      <w:proofErr w:type="spellEnd"/>
      <w:r w:rsidRPr="00546BAF">
        <w:rPr>
          <w:rFonts w:ascii="Arial" w:eastAsia="Times New Roman" w:hAnsi="Arial" w:cs="Arial"/>
          <w:kern w:val="0"/>
          <w:sz w:val="20"/>
          <w:szCs w:val="20"/>
          <w:lang w:eastAsia="en-IN"/>
        </w:rPr>
        <w:t xml:space="preserve"> ADME characteristics, </w:t>
      </w:r>
      <w:r w:rsidRPr="00546BAF">
        <w:rPr>
          <w:rFonts w:ascii="Arial" w:eastAsia="Times New Roman" w:hAnsi="Arial" w:cs="Arial"/>
          <w:bCs/>
          <w:kern w:val="0"/>
          <w:sz w:val="20"/>
          <w:szCs w:val="20"/>
          <w:lang w:eastAsia="en-IN"/>
        </w:rPr>
        <w:t>toxicity predictions</w:t>
      </w:r>
      <w:r w:rsidRPr="00546BAF">
        <w:rPr>
          <w:rFonts w:ascii="Arial" w:eastAsia="Times New Roman" w:hAnsi="Arial" w:cs="Arial"/>
          <w:kern w:val="0"/>
          <w:sz w:val="20"/>
          <w:szCs w:val="20"/>
          <w:lang w:eastAsia="en-IN"/>
        </w:rPr>
        <w:t xml:space="preserve"> revealed certain limitations. Ames mutagenicity analysis showed that most compounds were predicted to be mutagenic, with only FA7 identified as non-mutagenic. Positive Ames test predictions suggest a potential risk of genotoxicity and carcinogenicity, which warrants further structural optimization. Similarly, carcinogenicity predictions indicated that most compounds were carcinogenic in rats, while a subset of compounds were predicted to be non-carcinogenic in mice, highlighting species-dependent variability. Additionally, all compounds exhibited a medium risk of </w:t>
      </w:r>
      <w:proofErr w:type="spellStart"/>
      <w:r w:rsidRPr="00546BAF">
        <w:rPr>
          <w:rFonts w:ascii="Arial" w:eastAsia="Times New Roman" w:hAnsi="Arial" w:cs="Arial"/>
          <w:kern w:val="0"/>
          <w:sz w:val="20"/>
          <w:szCs w:val="20"/>
          <w:lang w:eastAsia="en-IN"/>
        </w:rPr>
        <w:t>hERG</w:t>
      </w:r>
      <w:proofErr w:type="spellEnd"/>
      <w:r w:rsidRPr="00546BAF">
        <w:rPr>
          <w:rFonts w:ascii="Arial" w:eastAsia="Times New Roman" w:hAnsi="Arial" w:cs="Arial"/>
          <w:kern w:val="0"/>
          <w:sz w:val="20"/>
          <w:szCs w:val="20"/>
          <w:lang w:eastAsia="en-IN"/>
        </w:rPr>
        <w:t xml:space="preserve"> inhibition, suggesting a moderate potential for cardiotoxicity that should be carefully evaluated in subsequent experimental studies.</w:t>
      </w:r>
    </w:p>
    <w:p w14:paraId="325619CA" w14:textId="77777777" w:rsidR="00411D99" w:rsidRPr="00546BAF" w:rsidRDefault="00411D99" w:rsidP="00411D99">
      <w:pPr>
        <w:spacing w:before="100" w:beforeAutospacing="1" w:after="100" w:afterAutospacing="1" w:line="240" w:lineRule="auto"/>
        <w:jc w:val="both"/>
        <w:rPr>
          <w:rFonts w:ascii="Arial" w:eastAsia="Times New Roman" w:hAnsi="Arial" w:cs="Arial"/>
          <w:kern w:val="0"/>
          <w:sz w:val="20"/>
          <w:szCs w:val="20"/>
          <w:lang w:eastAsia="en-IN"/>
        </w:rPr>
      </w:pPr>
      <w:r w:rsidRPr="00546BAF">
        <w:rPr>
          <w:rFonts w:ascii="Arial" w:eastAsia="Times New Roman" w:hAnsi="Arial" w:cs="Arial"/>
          <w:kern w:val="0"/>
          <w:sz w:val="20"/>
          <w:szCs w:val="20"/>
          <w:lang w:eastAsia="en-IN"/>
        </w:rPr>
        <w:t xml:space="preserve">Overall, the in silico evaluation indicates that </w:t>
      </w:r>
      <w:r w:rsidRPr="00546BAF">
        <w:rPr>
          <w:rFonts w:ascii="Arial" w:eastAsia="Times New Roman" w:hAnsi="Arial" w:cs="Arial"/>
          <w:bCs/>
          <w:kern w:val="0"/>
          <w:sz w:val="20"/>
          <w:szCs w:val="20"/>
          <w:lang w:eastAsia="en-IN"/>
        </w:rPr>
        <w:t>4-hydroxy-3-methoxycinnamic acid</w:t>
      </w:r>
      <w:r w:rsidR="00CB532C" w:rsidRPr="00546BAF">
        <w:rPr>
          <w:rFonts w:ascii="Arial" w:eastAsia="Times New Roman" w:hAnsi="Arial" w:cs="Arial"/>
          <w:bCs/>
          <w:kern w:val="0"/>
          <w:sz w:val="20"/>
          <w:szCs w:val="20"/>
          <w:lang w:eastAsia="en-IN"/>
        </w:rPr>
        <w:t xml:space="preserve"> </w:t>
      </w:r>
      <w:r w:rsidRPr="00546BAF">
        <w:rPr>
          <w:rFonts w:ascii="Arial" w:eastAsia="Times New Roman" w:hAnsi="Arial" w:cs="Arial"/>
          <w:bCs/>
          <w:kern w:val="0"/>
          <w:sz w:val="20"/>
          <w:szCs w:val="20"/>
          <w:lang w:eastAsia="en-IN"/>
        </w:rPr>
        <w:t>derivatives</w:t>
      </w:r>
      <w:r w:rsidRPr="00546BAF">
        <w:rPr>
          <w:rFonts w:ascii="Arial" w:eastAsia="Times New Roman" w:hAnsi="Arial" w:cs="Arial"/>
          <w:kern w:val="0"/>
          <w:sz w:val="20"/>
          <w:szCs w:val="20"/>
          <w:lang w:eastAsia="en-IN"/>
        </w:rPr>
        <w:t xml:space="preserve"> possess promising drug-likeness and pharmacokinetic profiles, particularly with respect to oral absorption, metabolic safety, and enzyme inhibition. However, the predicted mutagenicity and carcinogenicity emphasize the need for further molecular refinement and experimental validation. These findings provide a valuable foundation for the rational design and optimization of </w:t>
      </w:r>
      <w:r w:rsidR="00C219A6" w:rsidRPr="00546BAF">
        <w:rPr>
          <w:rFonts w:ascii="Arial" w:hAnsi="Arial" w:cs="Arial"/>
          <w:sz w:val="20"/>
          <w:szCs w:val="20"/>
        </w:rPr>
        <w:t>4-hydroxy-3-methoxycinnamic acid</w:t>
      </w:r>
      <w:r w:rsidRPr="00546BAF">
        <w:rPr>
          <w:rFonts w:ascii="Arial" w:eastAsia="Times New Roman" w:hAnsi="Arial" w:cs="Arial"/>
          <w:kern w:val="0"/>
          <w:sz w:val="20"/>
          <w:szCs w:val="20"/>
          <w:lang w:eastAsia="en-IN"/>
        </w:rPr>
        <w:t>–based derivatives as potential anticancer agents.</w:t>
      </w:r>
    </w:p>
    <w:p w14:paraId="2C281CB2" w14:textId="77777777" w:rsidR="0099043B" w:rsidRPr="00546BAF" w:rsidRDefault="00422B1F" w:rsidP="004A3C87">
      <w:pPr>
        <w:jc w:val="both"/>
        <w:rPr>
          <w:rFonts w:ascii="Arial" w:hAnsi="Arial" w:cs="Arial"/>
          <w:b/>
          <w:bCs/>
          <w:sz w:val="22"/>
          <w:szCs w:val="20"/>
        </w:rPr>
      </w:pPr>
      <w:r w:rsidRPr="00546BAF">
        <w:rPr>
          <w:rFonts w:ascii="Arial" w:hAnsi="Arial" w:cs="Arial"/>
          <w:b/>
          <w:bCs/>
          <w:sz w:val="22"/>
          <w:szCs w:val="20"/>
        </w:rPr>
        <w:t>CONCLUSION:</w:t>
      </w:r>
    </w:p>
    <w:p w14:paraId="19E1A8FD" w14:textId="77777777" w:rsidR="007F455C" w:rsidRPr="00546BAF" w:rsidRDefault="007F455C" w:rsidP="004A3C87">
      <w:pPr>
        <w:jc w:val="both"/>
        <w:rPr>
          <w:rFonts w:ascii="Arial" w:hAnsi="Arial" w:cs="Arial"/>
          <w:sz w:val="20"/>
          <w:szCs w:val="20"/>
        </w:rPr>
      </w:pPr>
      <w:r w:rsidRPr="00546BAF">
        <w:rPr>
          <w:rFonts w:ascii="Arial" w:hAnsi="Arial" w:cs="Arial"/>
          <w:sz w:val="20"/>
          <w:szCs w:val="20"/>
        </w:rPr>
        <w:t xml:space="preserve">In conclusion, our study aimed to investigate the potential role of substituted </w:t>
      </w:r>
      <w:r w:rsidR="00844CC8" w:rsidRPr="00546BAF">
        <w:rPr>
          <w:rFonts w:ascii="Arial" w:hAnsi="Arial" w:cs="Arial"/>
          <w:sz w:val="20"/>
          <w:szCs w:val="20"/>
        </w:rPr>
        <w:t>4-hydroxy-3-methoxycinnamic acid</w:t>
      </w:r>
      <w:r w:rsidR="00CB532C" w:rsidRPr="00546BAF">
        <w:rPr>
          <w:rFonts w:ascii="Arial" w:hAnsi="Arial" w:cs="Arial"/>
          <w:sz w:val="20"/>
          <w:szCs w:val="20"/>
        </w:rPr>
        <w:t xml:space="preserve"> </w:t>
      </w:r>
      <w:r w:rsidRPr="00546BAF">
        <w:rPr>
          <w:rFonts w:ascii="Arial" w:hAnsi="Arial" w:cs="Arial"/>
          <w:sz w:val="20"/>
          <w:szCs w:val="20"/>
        </w:rPr>
        <w:t>derivative in anti-lung cancer activity by targeting</w:t>
      </w:r>
      <w:r w:rsidR="00CB532C" w:rsidRPr="00546BAF">
        <w:rPr>
          <w:rFonts w:ascii="Arial" w:hAnsi="Arial" w:cs="Arial"/>
          <w:sz w:val="20"/>
          <w:szCs w:val="20"/>
        </w:rPr>
        <w:t xml:space="preserve"> </w:t>
      </w:r>
      <w:r w:rsidR="004D118B" w:rsidRPr="00546BAF">
        <w:rPr>
          <w:rFonts w:ascii="Arial" w:hAnsi="Arial" w:cs="Arial"/>
          <w:sz w:val="20"/>
          <w:szCs w:val="20"/>
        </w:rPr>
        <w:t>GMPPNP-bound G12R mutant of</w:t>
      </w:r>
      <w:r w:rsidR="00925A78" w:rsidRPr="00546BAF">
        <w:rPr>
          <w:rFonts w:ascii="Arial" w:hAnsi="Arial" w:cs="Arial"/>
          <w:sz w:val="20"/>
          <w:szCs w:val="20"/>
        </w:rPr>
        <w:t xml:space="preserve"> Human KRAS</w:t>
      </w:r>
      <w:r w:rsidR="006C07E6" w:rsidRPr="00546BAF">
        <w:rPr>
          <w:rFonts w:ascii="Arial" w:hAnsi="Arial" w:cs="Arial"/>
          <w:sz w:val="20"/>
          <w:szCs w:val="20"/>
        </w:rPr>
        <w:t>4b</w:t>
      </w:r>
      <w:r w:rsidRPr="00546BAF">
        <w:rPr>
          <w:rFonts w:ascii="Arial" w:hAnsi="Arial" w:cs="Arial"/>
          <w:sz w:val="20"/>
          <w:szCs w:val="20"/>
        </w:rPr>
        <w:t xml:space="preserve">. The observations from our docking results suggested that substituted </w:t>
      </w:r>
      <w:r w:rsidR="00C219A6" w:rsidRPr="00546BAF">
        <w:rPr>
          <w:rFonts w:ascii="Arial" w:hAnsi="Arial" w:cs="Arial"/>
          <w:sz w:val="20"/>
          <w:szCs w:val="20"/>
        </w:rPr>
        <w:t>4-hydroxy-3-methoxycinnamic acid</w:t>
      </w:r>
      <w:r w:rsidR="00CB532C" w:rsidRPr="00546BAF">
        <w:rPr>
          <w:rFonts w:ascii="Arial" w:hAnsi="Arial" w:cs="Arial"/>
          <w:sz w:val="20"/>
          <w:szCs w:val="20"/>
        </w:rPr>
        <w:t xml:space="preserve"> </w:t>
      </w:r>
      <w:r w:rsidRPr="00546BAF">
        <w:rPr>
          <w:rFonts w:ascii="Arial" w:hAnsi="Arial" w:cs="Arial"/>
          <w:sz w:val="20"/>
          <w:szCs w:val="20"/>
        </w:rPr>
        <w:t xml:space="preserve">may be a better ligand for </w:t>
      </w:r>
      <w:r w:rsidR="004A0810" w:rsidRPr="00546BAF">
        <w:rPr>
          <w:rFonts w:ascii="Arial" w:hAnsi="Arial" w:cs="Arial"/>
          <w:sz w:val="20"/>
          <w:szCs w:val="20"/>
        </w:rPr>
        <w:t>Human KRAS</w:t>
      </w:r>
      <w:r w:rsidR="006C07E6" w:rsidRPr="00546BAF">
        <w:rPr>
          <w:rFonts w:ascii="Arial" w:hAnsi="Arial" w:cs="Arial"/>
          <w:sz w:val="20"/>
          <w:szCs w:val="20"/>
        </w:rPr>
        <w:t>4b</w:t>
      </w:r>
      <w:r w:rsidRPr="00546BAF">
        <w:rPr>
          <w:rFonts w:ascii="Arial" w:hAnsi="Arial" w:cs="Arial"/>
          <w:sz w:val="20"/>
          <w:szCs w:val="20"/>
        </w:rPr>
        <w:t xml:space="preserve">in comparison to </w:t>
      </w:r>
      <w:proofErr w:type="spellStart"/>
      <w:r w:rsidR="004A0810" w:rsidRPr="00546BAF">
        <w:rPr>
          <w:rFonts w:ascii="Arial" w:hAnsi="Arial" w:cs="Arial"/>
          <w:sz w:val="20"/>
          <w:szCs w:val="20"/>
        </w:rPr>
        <w:t>gefitinib</w:t>
      </w:r>
      <w:proofErr w:type="spellEnd"/>
      <w:r w:rsidR="00277E64" w:rsidRPr="00546BAF">
        <w:rPr>
          <w:rFonts w:ascii="Arial" w:hAnsi="Arial" w:cs="Arial"/>
          <w:sz w:val="20"/>
          <w:szCs w:val="20"/>
        </w:rPr>
        <w:t xml:space="preserve">, </w:t>
      </w:r>
      <w:commentRangeStart w:id="35"/>
      <w:proofErr w:type="spellStart"/>
      <w:r w:rsidR="00277E64" w:rsidRPr="00546BAF">
        <w:rPr>
          <w:rFonts w:ascii="Arial" w:hAnsi="Arial" w:cs="Arial"/>
          <w:sz w:val="20"/>
          <w:szCs w:val="20"/>
        </w:rPr>
        <w:t>erlitinib</w:t>
      </w:r>
      <w:commentRangeEnd w:id="35"/>
      <w:proofErr w:type="spellEnd"/>
      <w:r w:rsidR="00683C2D">
        <w:rPr>
          <w:rStyle w:val="CommentReference"/>
        </w:rPr>
        <w:commentReference w:id="35"/>
      </w:r>
      <w:r w:rsidR="00277E64" w:rsidRPr="00546BAF">
        <w:rPr>
          <w:rFonts w:ascii="Arial" w:hAnsi="Arial" w:cs="Arial"/>
          <w:sz w:val="20"/>
          <w:szCs w:val="20"/>
        </w:rPr>
        <w:t xml:space="preserve">, </w:t>
      </w:r>
      <w:proofErr w:type="spellStart"/>
      <w:r w:rsidR="00277E64" w:rsidRPr="00546BAF">
        <w:rPr>
          <w:rFonts w:ascii="Arial" w:hAnsi="Arial" w:cs="Arial"/>
          <w:sz w:val="20"/>
          <w:szCs w:val="20"/>
        </w:rPr>
        <w:t>desatinib</w:t>
      </w:r>
      <w:proofErr w:type="spellEnd"/>
      <w:r w:rsidR="00277E64" w:rsidRPr="00546BAF">
        <w:rPr>
          <w:rFonts w:ascii="Arial" w:hAnsi="Arial" w:cs="Arial"/>
          <w:sz w:val="20"/>
          <w:szCs w:val="20"/>
        </w:rPr>
        <w:t xml:space="preserve"> </w:t>
      </w:r>
      <w:r w:rsidRPr="00546BAF">
        <w:rPr>
          <w:rFonts w:ascii="Arial" w:hAnsi="Arial" w:cs="Arial"/>
          <w:sz w:val="20"/>
          <w:szCs w:val="20"/>
        </w:rPr>
        <w:t>in terms of binding affinity and interactions. Further based upon the prediction of the drug</w:t>
      </w:r>
      <w:r w:rsidR="00CB532C" w:rsidRPr="00546BAF">
        <w:rPr>
          <w:rFonts w:ascii="Arial" w:hAnsi="Arial" w:cs="Arial"/>
          <w:sz w:val="20"/>
          <w:szCs w:val="20"/>
        </w:rPr>
        <w:t xml:space="preserve"> </w:t>
      </w:r>
      <w:r w:rsidRPr="00546BAF">
        <w:rPr>
          <w:rFonts w:ascii="Arial" w:hAnsi="Arial" w:cs="Arial"/>
          <w:sz w:val="20"/>
          <w:szCs w:val="20"/>
        </w:rPr>
        <w:t xml:space="preserve">like qualities of substituted </w:t>
      </w:r>
      <w:r w:rsidR="00C219A6" w:rsidRPr="00546BAF">
        <w:rPr>
          <w:rFonts w:ascii="Arial" w:hAnsi="Arial" w:cs="Arial"/>
          <w:sz w:val="20"/>
          <w:szCs w:val="20"/>
        </w:rPr>
        <w:t>4-hydroxy-3-methoxycinnamic acid</w:t>
      </w:r>
      <w:r w:rsidR="00CB532C" w:rsidRPr="00546BAF">
        <w:rPr>
          <w:rFonts w:ascii="Arial" w:hAnsi="Arial" w:cs="Arial"/>
          <w:sz w:val="20"/>
          <w:szCs w:val="20"/>
        </w:rPr>
        <w:t xml:space="preserve"> </w:t>
      </w:r>
      <w:r w:rsidRPr="00546BAF">
        <w:rPr>
          <w:rFonts w:ascii="Arial" w:hAnsi="Arial" w:cs="Arial"/>
          <w:sz w:val="20"/>
          <w:szCs w:val="20"/>
        </w:rPr>
        <w:t>we observed that it can be a potential drug candidate. The bioactivity prediction also suggested that substituted may exhib</w:t>
      </w:r>
      <w:r w:rsidR="002467DE" w:rsidRPr="00546BAF">
        <w:rPr>
          <w:rFonts w:ascii="Arial" w:hAnsi="Arial" w:cs="Arial"/>
          <w:sz w:val="20"/>
          <w:szCs w:val="20"/>
        </w:rPr>
        <w:t xml:space="preserve">it </w:t>
      </w:r>
      <w:r w:rsidR="00C219A6" w:rsidRPr="00546BAF">
        <w:rPr>
          <w:rFonts w:ascii="Arial" w:hAnsi="Arial" w:cs="Arial"/>
          <w:sz w:val="20"/>
          <w:szCs w:val="20"/>
        </w:rPr>
        <w:t>4-hydroxy-3-methoxycinnamic acid</w:t>
      </w:r>
      <w:r w:rsidRPr="00546BAF">
        <w:rPr>
          <w:rFonts w:ascii="Arial" w:hAnsi="Arial" w:cs="Arial"/>
          <w:sz w:val="20"/>
          <w:szCs w:val="20"/>
        </w:rPr>
        <w:t xml:space="preserve"> a promising activity for kinase receptor ligands. Altogether, substituted </w:t>
      </w:r>
      <w:r w:rsidR="00C219A6" w:rsidRPr="00546BAF">
        <w:rPr>
          <w:rFonts w:ascii="Arial" w:hAnsi="Arial" w:cs="Arial"/>
          <w:sz w:val="20"/>
          <w:szCs w:val="20"/>
        </w:rPr>
        <w:t>4-hydroxy-3-methoxycinnamic acid</w:t>
      </w:r>
      <w:r w:rsidR="00CB532C" w:rsidRPr="00546BAF">
        <w:rPr>
          <w:rFonts w:ascii="Arial" w:hAnsi="Arial" w:cs="Arial"/>
          <w:sz w:val="20"/>
          <w:szCs w:val="20"/>
        </w:rPr>
        <w:t xml:space="preserve"> </w:t>
      </w:r>
      <w:r w:rsidRPr="00546BAF">
        <w:rPr>
          <w:rFonts w:ascii="Arial" w:hAnsi="Arial" w:cs="Arial"/>
          <w:sz w:val="20"/>
          <w:szCs w:val="20"/>
        </w:rPr>
        <w:t>may be proposed as a potential ligand for</w:t>
      </w:r>
      <w:r w:rsidR="00CB532C" w:rsidRPr="00546BAF">
        <w:rPr>
          <w:rFonts w:ascii="Arial" w:hAnsi="Arial" w:cs="Arial"/>
          <w:sz w:val="20"/>
          <w:szCs w:val="20"/>
        </w:rPr>
        <w:t xml:space="preserve"> </w:t>
      </w:r>
      <w:r w:rsidR="004D118B" w:rsidRPr="00546BAF">
        <w:rPr>
          <w:rFonts w:ascii="Arial" w:hAnsi="Arial" w:cs="Arial"/>
          <w:sz w:val="20"/>
          <w:szCs w:val="20"/>
        </w:rPr>
        <w:t xml:space="preserve">GMPPNP-bound G12R mutant of </w:t>
      </w:r>
      <w:r w:rsidR="001D2BD7" w:rsidRPr="00546BAF">
        <w:rPr>
          <w:rFonts w:ascii="Arial" w:hAnsi="Arial" w:cs="Arial"/>
          <w:sz w:val="20"/>
          <w:szCs w:val="20"/>
        </w:rPr>
        <w:t>human KRAS</w:t>
      </w:r>
      <w:r w:rsidRPr="00546BAF">
        <w:rPr>
          <w:rFonts w:ascii="Arial" w:hAnsi="Arial" w:cs="Arial"/>
          <w:sz w:val="20"/>
          <w:szCs w:val="20"/>
        </w:rPr>
        <w:t xml:space="preserve"> and based on their bioactivity score and may also be suggested to be used as a future drug candidate as </w:t>
      </w:r>
      <w:r w:rsidR="00B64423" w:rsidRPr="00546BAF">
        <w:rPr>
          <w:rFonts w:ascii="Arial" w:hAnsi="Arial" w:cs="Arial"/>
          <w:sz w:val="20"/>
          <w:szCs w:val="20"/>
        </w:rPr>
        <w:t>anti-cancer for lung cancer.</w:t>
      </w:r>
    </w:p>
    <w:p w14:paraId="011CC0F7" w14:textId="77777777" w:rsidR="00255D6F" w:rsidRDefault="00255D6F" w:rsidP="00422B1F">
      <w:pPr>
        <w:spacing w:after="0" w:line="240" w:lineRule="auto"/>
        <w:jc w:val="both"/>
        <w:rPr>
          <w:rFonts w:ascii="Arial" w:hAnsi="Arial" w:cs="Arial"/>
          <w:color w:val="000000" w:themeColor="text1"/>
          <w:sz w:val="20"/>
        </w:rPr>
      </w:pPr>
      <w:bookmarkStart w:id="36" w:name="_Hlk220438237"/>
    </w:p>
    <w:p w14:paraId="4723690B" w14:textId="77777777" w:rsidR="00255D6F" w:rsidRPr="00546BAF" w:rsidRDefault="00255D6F" w:rsidP="00422B1F">
      <w:pPr>
        <w:spacing w:after="0" w:line="240" w:lineRule="auto"/>
        <w:jc w:val="both"/>
        <w:rPr>
          <w:rFonts w:ascii="Arial" w:hAnsi="Arial" w:cs="Arial"/>
          <w:color w:val="000000" w:themeColor="text1"/>
          <w:sz w:val="20"/>
        </w:rPr>
      </w:pPr>
    </w:p>
    <w:p w14:paraId="3481B65F" w14:textId="77777777" w:rsidR="00741C32" w:rsidRPr="00546BAF" w:rsidRDefault="00422B1F" w:rsidP="004A3C87">
      <w:pPr>
        <w:jc w:val="both"/>
        <w:rPr>
          <w:rFonts w:ascii="Arial" w:hAnsi="Arial" w:cs="Arial"/>
          <w:b/>
          <w:bCs/>
          <w:sz w:val="22"/>
          <w:szCs w:val="20"/>
        </w:rPr>
      </w:pPr>
      <w:r w:rsidRPr="00546BAF">
        <w:rPr>
          <w:rFonts w:ascii="Arial" w:hAnsi="Arial" w:cs="Arial"/>
          <w:b/>
          <w:bCs/>
          <w:sz w:val="22"/>
          <w:szCs w:val="20"/>
        </w:rPr>
        <w:t>REFERENCES:</w:t>
      </w:r>
    </w:p>
    <w:p w14:paraId="6F3E249D" w14:textId="77777777" w:rsidR="00CD712B" w:rsidRPr="00546BAF" w:rsidRDefault="00F56CB4" w:rsidP="00DA666A">
      <w:pPr>
        <w:pStyle w:val="ListParagraph"/>
        <w:numPr>
          <w:ilvl w:val="0"/>
          <w:numId w:val="6"/>
        </w:numPr>
        <w:jc w:val="both"/>
        <w:rPr>
          <w:rFonts w:ascii="Arial" w:hAnsi="Arial" w:cs="Arial"/>
          <w:sz w:val="20"/>
          <w:szCs w:val="20"/>
        </w:rPr>
      </w:pPr>
      <w:bookmarkStart w:id="37" w:name="_Hlk220443725"/>
      <w:proofErr w:type="spellStart"/>
      <w:r w:rsidRPr="00546BAF">
        <w:rPr>
          <w:rFonts w:ascii="Arial" w:hAnsi="Arial" w:cs="Arial"/>
          <w:sz w:val="20"/>
          <w:szCs w:val="20"/>
        </w:rPr>
        <w:t>Aftab</w:t>
      </w:r>
      <w:proofErr w:type="spellEnd"/>
      <w:r w:rsidR="00A967F3" w:rsidRPr="00546BAF">
        <w:rPr>
          <w:rFonts w:ascii="Arial" w:hAnsi="Arial" w:cs="Arial"/>
          <w:sz w:val="20"/>
          <w:szCs w:val="20"/>
        </w:rPr>
        <w:t xml:space="preserve"> H</w:t>
      </w:r>
      <w:r w:rsidRPr="00546BAF">
        <w:rPr>
          <w:rFonts w:ascii="Arial" w:hAnsi="Arial" w:cs="Arial"/>
          <w:sz w:val="20"/>
          <w:szCs w:val="20"/>
        </w:rPr>
        <w:t>, Islam</w:t>
      </w:r>
      <w:r w:rsidR="00C520ED" w:rsidRPr="00546BAF">
        <w:rPr>
          <w:rFonts w:ascii="Arial" w:hAnsi="Arial" w:cs="Arial"/>
          <w:sz w:val="20"/>
          <w:szCs w:val="20"/>
        </w:rPr>
        <w:t xml:space="preserve"> </w:t>
      </w:r>
      <w:proofErr w:type="spellStart"/>
      <w:proofErr w:type="gramStart"/>
      <w:r w:rsidR="00C520ED" w:rsidRPr="00546BAF">
        <w:rPr>
          <w:rFonts w:ascii="Arial" w:hAnsi="Arial" w:cs="Arial"/>
          <w:sz w:val="20"/>
          <w:szCs w:val="20"/>
        </w:rPr>
        <w:t>M,</w:t>
      </w:r>
      <w:r w:rsidRPr="00546BAF">
        <w:rPr>
          <w:rFonts w:ascii="Arial" w:hAnsi="Arial" w:cs="Arial"/>
          <w:sz w:val="20"/>
          <w:szCs w:val="20"/>
        </w:rPr>
        <w:t>Şenol</w:t>
      </w:r>
      <w:proofErr w:type="spellEnd"/>
      <w:proofErr w:type="gramEnd"/>
      <w:r w:rsidR="00C520ED" w:rsidRPr="00546BAF">
        <w:rPr>
          <w:rFonts w:ascii="Arial" w:hAnsi="Arial" w:cs="Arial"/>
          <w:sz w:val="20"/>
          <w:szCs w:val="20"/>
        </w:rPr>
        <w:t xml:space="preserve"> H</w:t>
      </w:r>
      <w:r w:rsidRPr="00546BAF">
        <w:rPr>
          <w:rFonts w:ascii="Arial" w:hAnsi="Arial" w:cs="Arial"/>
          <w:sz w:val="20"/>
          <w:szCs w:val="20"/>
        </w:rPr>
        <w:t xml:space="preserve">, </w:t>
      </w:r>
      <w:proofErr w:type="spellStart"/>
      <w:r w:rsidRPr="00546BAF">
        <w:rPr>
          <w:rFonts w:ascii="Arial" w:hAnsi="Arial" w:cs="Arial"/>
          <w:sz w:val="20"/>
          <w:szCs w:val="20"/>
        </w:rPr>
        <w:t>Batoo</w:t>
      </w:r>
      <w:proofErr w:type="spellEnd"/>
      <w:r w:rsidR="00C662BD" w:rsidRPr="00546BAF">
        <w:rPr>
          <w:rFonts w:ascii="Arial" w:hAnsi="Arial" w:cs="Arial"/>
          <w:sz w:val="20"/>
          <w:szCs w:val="20"/>
        </w:rPr>
        <w:t xml:space="preserve"> Z</w:t>
      </w:r>
      <w:r w:rsidRPr="00546BAF">
        <w:rPr>
          <w:rFonts w:ascii="Arial" w:hAnsi="Arial" w:cs="Arial"/>
          <w:sz w:val="20"/>
          <w:szCs w:val="20"/>
        </w:rPr>
        <w:t xml:space="preserve">, </w:t>
      </w:r>
      <w:proofErr w:type="spellStart"/>
      <w:r w:rsidRPr="00546BAF">
        <w:rPr>
          <w:rFonts w:ascii="Arial" w:hAnsi="Arial" w:cs="Arial"/>
          <w:sz w:val="20"/>
          <w:szCs w:val="20"/>
        </w:rPr>
        <w:t>Ateşoğlu</w:t>
      </w:r>
      <w:proofErr w:type="spellEnd"/>
      <w:r w:rsidR="00C662BD" w:rsidRPr="00546BAF">
        <w:rPr>
          <w:rFonts w:ascii="Arial" w:hAnsi="Arial" w:cs="Arial"/>
          <w:sz w:val="20"/>
          <w:szCs w:val="20"/>
        </w:rPr>
        <w:t xml:space="preserve"> S</w:t>
      </w:r>
      <w:r w:rsidRPr="00546BAF">
        <w:rPr>
          <w:rFonts w:ascii="Arial" w:hAnsi="Arial" w:cs="Arial"/>
          <w:sz w:val="20"/>
          <w:szCs w:val="20"/>
        </w:rPr>
        <w:t xml:space="preserve">, </w:t>
      </w:r>
      <w:proofErr w:type="spellStart"/>
      <w:r w:rsidRPr="00546BAF">
        <w:rPr>
          <w:rFonts w:ascii="Arial" w:hAnsi="Arial" w:cs="Arial"/>
          <w:sz w:val="20"/>
          <w:szCs w:val="20"/>
        </w:rPr>
        <w:t>Çakır</w:t>
      </w:r>
      <w:proofErr w:type="spellEnd"/>
      <w:r w:rsidR="00C662BD" w:rsidRPr="00546BAF">
        <w:rPr>
          <w:rFonts w:ascii="Arial" w:hAnsi="Arial" w:cs="Arial"/>
          <w:sz w:val="20"/>
          <w:szCs w:val="20"/>
        </w:rPr>
        <w:t xml:space="preserve"> F</w:t>
      </w:r>
      <w:r w:rsidRPr="00546BAF">
        <w:rPr>
          <w:rFonts w:ascii="Arial" w:hAnsi="Arial" w:cs="Arial"/>
          <w:sz w:val="20"/>
          <w:szCs w:val="20"/>
        </w:rPr>
        <w:t xml:space="preserve">, </w:t>
      </w:r>
      <w:proofErr w:type="spellStart"/>
      <w:r w:rsidRPr="00546BAF">
        <w:rPr>
          <w:rFonts w:ascii="Arial" w:hAnsi="Arial" w:cs="Arial"/>
          <w:sz w:val="20"/>
          <w:szCs w:val="20"/>
        </w:rPr>
        <w:t>Akbaş</w:t>
      </w:r>
      <w:proofErr w:type="spellEnd"/>
      <w:r w:rsidR="0011165C" w:rsidRPr="00546BAF">
        <w:rPr>
          <w:rFonts w:ascii="Arial" w:hAnsi="Arial" w:cs="Arial"/>
          <w:sz w:val="20"/>
          <w:szCs w:val="20"/>
        </w:rPr>
        <w:t xml:space="preserve"> F, </w:t>
      </w:r>
      <w:proofErr w:type="spellStart"/>
      <w:r w:rsidRPr="00546BAF">
        <w:rPr>
          <w:rFonts w:ascii="Arial" w:hAnsi="Arial" w:cs="Arial"/>
          <w:sz w:val="20"/>
          <w:szCs w:val="20"/>
        </w:rPr>
        <w:t>Taslimi</w:t>
      </w:r>
      <w:proofErr w:type="spellEnd"/>
      <w:r w:rsidR="0011165C" w:rsidRPr="00546BAF">
        <w:rPr>
          <w:rFonts w:ascii="Arial" w:hAnsi="Arial" w:cs="Arial"/>
          <w:sz w:val="20"/>
          <w:szCs w:val="20"/>
        </w:rPr>
        <w:t xml:space="preserve"> F</w:t>
      </w:r>
      <w:r w:rsidRPr="00546BAF">
        <w:rPr>
          <w:rFonts w:ascii="Arial" w:hAnsi="Arial" w:cs="Arial"/>
          <w:sz w:val="20"/>
          <w:szCs w:val="20"/>
        </w:rPr>
        <w:t xml:space="preserve">, </w:t>
      </w:r>
      <w:proofErr w:type="spellStart"/>
      <w:r w:rsidRPr="00546BAF">
        <w:rPr>
          <w:rFonts w:ascii="Arial" w:hAnsi="Arial" w:cs="Arial"/>
          <w:sz w:val="20"/>
          <w:szCs w:val="20"/>
        </w:rPr>
        <w:t>Alanazi</w:t>
      </w:r>
      <w:proofErr w:type="spellEnd"/>
      <w:r w:rsidR="00376BD6" w:rsidRPr="00546BAF">
        <w:rPr>
          <w:rFonts w:ascii="Arial" w:hAnsi="Arial" w:cs="Arial"/>
          <w:sz w:val="20"/>
          <w:szCs w:val="20"/>
        </w:rPr>
        <w:t xml:space="preserve"> A K</w:t>
      </w:r>
      <w:r w:rsidRPr="00546BAF">
        <w:rPr>
          <w:rFonts w:ascii="Arial" w:hAnsi="Arial" w:cs="Arial"/>
          <w:sz w:val="20"/>
          <w:szCs w:val="20"/>
        </w:rPr>
        <w:t>, Noreen</w:t>
      </w:r>
      <w:r w:rsidR="00E65BFD" w:rsidRPr="00546BAF">
        <w:rPr>
          <w:rFonts w:ascii="Arial" w:hAnsi="Arial" w:cs="Arial"/>
          <w:sz w:val="20"/>
          <w:szCs w:val="20"/>
        </w:rPr>
        <w:t xml:space="preserve"> </w:t>
      </w:r>
      <w:proofErr w:type="spellStart"/>
      <w:r w:rsidR="00E65BFD" w:rsidRPr="00546BAF">
        <w:rPr>
          <w:rFonts w:ascii="Arial" w:hAnsi="Arial" w:cs="Arial"/>
          <w:sz w:val="20"/>
          <w:szCs w:val="20"/>
        </w:rPr>
        <w:t>F</w:t>
      </w:r>
      <w:r w:rsidRPr="00546BAF">
        <w:rPr>
          <w:rFonts w:ascii="Arial" w:hAnsi="Arial" w:cs="Arial"/>
          <w:sz w:val="20"/>
          <w:szCs w:val="20"/>
        </w:rPr>
        <w:t>&amp;Shafiq</w:t>
      </w:r>
      <w:r w:rsidR="00E65BFD" w:rsidRPr="00546BAF">
        <w:rPr>
          <w:rFonts w:ascii="Arial" w:hAnsi="Arial" w:cs="Arial"/>
          <w:sz w:val="20"/>
          <w:szCs w:val="20"/>
        </w:rPr>
        <w:t>Z</w:t>
      </w:r>
      <w:r w:rsidR="00376BD6" w:rsidRPr="00546BAF">
        <w:rPr>
          <w:rFonts w:ascii="Arial" w:hAnsi="Arial" w:cs="Arial"/>
          <w:sz w:val="20"/>
          <w:szCs w:val="20"/>
        </w:rPr>
        <w:t>.</w:t>
      </w:r>
      <w:r w:rsidR="00CD712B" w:rsidRPr="00546BAF">
        <w:rPr>
          <w:rFonts w:ascii="Arial" w:hAnsi="Arial" w:cs="Arial"/>
          <w:sz w:val="20"/>
          <w:szCs w:val="20"/>
        </w:rPr>
        <w:t>Synthesis</w:t>
      </w:r>
      <w:proofErr w:type="spellEnd"/>
      <w:r w:rsidR="00CD712B" w:rsidRPr="00546BAF">
        <w:rPr>
          <w:rFonts w:ascii="Arial" w:hAnsi="Arial" w:cs="Arial"/>
          <w:sz w:val="20"/>
          <w:szCs w:val="20"/>
        </w:rPr>
        <w:t>, antiproliferative activity targeting lung cancer and in silico studies of hydroxypiperidine substituted thiosemicarbazones</w:t>
      </w:r>
      <w:r w:rsidR="00181B37" w:rsidRPr="00546BAF">
        <w:rPr>
          <w:rFonts w:ascii="Arial" w:hAnsi="Arial" w:cs="Arial"/>
          <w:sz w:val="20"/>
          <w:szCs w:val="20"/>
        </w:rPr>
        <w:t xml:space="preserve">. Scientific records </w:t>
      </w:r>
      <w:r w:rsidR="00F645BC" w:rsidRPr="00546BAF">
        <w:rPr>
          <w:rFonts w:ascii="Arial" w:hAnsi="Arial" w:cs="Arial"/>
          <w:sz w:val="20"/>
          <w:szCs w:val="20"/>
        </w:rPr>
        <w:t>2025</w:t>
      </w:r>
      <w:r w:rsidR="00F44109" w:rsidRPr="00546BAF">
        <w:rPr>
          <w:rFonts w:ascii="Arial" w:hAnsi="Arial" w:cs="Arial"/>
          <w:sz w:val="20"/>
          <w:szCs w:val="20"/>
        </w:rPr>
        <w:t>.</w:t>
      </w:r>
      <w:r w:rsidR="004D3059" w:rsidRPr="00546BAF">
        <w:rPr>
          <w:rFonts w:ascii="Arial" w:hAnsi="Arial" w:cs="Arial"/>
          <w:sz w:val="20"/>
          <w:szCs w:val="20"/>
        </w:rPr>
        <w:t>Article number: 18735 (2026).</w:t>
      </w:r>
      <w:r w:rsidR="00F44109" w:rsidRPr="00546BAF">
        <w:rPr>
          <w:rFonts w:ascii="Arial" w:hAnsi="Arial" w:cs="Arial"/>
          <w:sz w:val="20"/>
          <w:szCs w:val="20"/>
        </w:rPr>
        <w:t xml:space="preserve"> </w:t>
      </w:r>
      <w:proofErr w:type="spellStart"/>
      <w:r w:rsidR="00F44109" w:rsidRPr="00546BAF">
        <w:rPr>
          <w:rFonts w:ascii="Arial" w:hAnsi="Arial" w:cs="Arial"/>
          <w:sz w:val="20"/>
          <w:szCs w:val="20"/>
        </w:rPr>
        <w:t>DOI:</w:t>
      </w:r>
      <w:hyperlink r:id="rId35" w:history="1">
        <w:r w:rsidR="00DA666A" w:rsidRPr="00546BAF">
          <w:rPr>
            <w:rStyle w:val="Hyperlink"/>
            <w:rFonts w:ascii="Arial" w:hAnsi="Arial" w:cs="Arial"/>
            <w:sz w:val="20"/>
            <w:szCs w:val="20"/>
          </w:rPr>
          <w:t>https</w:t>
        </w:r>
        <w:proofErr w:type="spellEnd"/>
        <w:r w:rsidR="00DA666A" w:rsidRPr="00546BAF">
          <w:rPr>
            <w:rStyle w:val="Hyperlink"/>
            <w:rFonts w:ascii="Arial" w:hAnsi="Arial" w:cs="Arial"/>
            <w:sz w:val="20"/>
            <w:szCs w:val="20"/>
          </w:rPr>
          <w:t>://doi.org/10.1038/s41598-025-18735-y</w:t>
        </w:r>
      </w:hyperlink>
    </w:p>
    <w:p w14:paraId="3E0F8D87" w14:textId="77777777" w:rsidR="0036264C" w:rsidRPr="00546BAF" w:rsidRDefault="0036264C" w:rsidP="00F74EA0">
      <w:pPr>
        <w:pStyle w:val="ListParagraph"/>
        <w:numPr>
          <w:ilvl w:val="0"/>
          <w:numId w:val="6"/>
        </w:numPr>
        <w:jc w:val="both"/>
        <w:rPr>
          <w:rFonts w:ascii="Arial" w:hAnsi="Arial" w:cs="Arial"/>
          <w:sz w:val="20"/>
          <w:szCs w:val="20"/>
        </w:rPr>
      </w:pPr>
      <w:r w:rsidRPr="00546BAF">
        <w:rPr>
          <w:rFonts w:ascii="Arial" w:hAnsi="Arial" w:cs="Arial"/>
          <w:sz w:val="20"/>
          <w:szCs w:val="20"/>
        </w:rPr>
        <w:lastRenderedPageBreak/>
        <w:t>Bray F</w:t>
      </w:r>
      <w:r w:rsidR="00E40651" w:rsidRPr="00546BAF">
        <w:rPr>
          <w:rFonts w:ascii="Arial" w:hAnsi="Arial" w:cs="Arial"/>
          <w:sz w:val="20"/>
          <w:szCs w:val="20"/>
        </w:rPr>
        <w:t xml:space="preserve">, </w:t>
      </w:r>
      <w:proofErr w:type="spellStart"/>
      <w:r w:rsidR="003C6A64" w:rsidRPr="00546BAF">
        <w:rPr>
          <w:rFonts w:ascii="Arial" w:hAnsi="Arial" w:cs="Arial"/>
          <w:sz w:val="20"/>
          <w:szCs w:val="20"/>
        </w:rPr>
        <w:t>laversanne</w:t>
      </w:r>
      <w:proofErr w:type="spellEnd"/>
      <w:r w:rsidR="003C6A64" w:rsidRPr="00546BAF">
        <w:rPr>
          <w:rFonts w:ascii="Arial" w:hAnsi="Arial" w:cs="Arial"/>
          <w:sz w:val="20"/>
          <w:szCs w:val="20"/>
        </w:rPr>
        <w:t xml:space="preserve"> M, </w:t>
      </w:r>
      <w:r w:rsidR="007A06AC" w:rsidRPr="00546BAF">
        <w:rPr>
          <w:rFonts w:ascii="Arial" w:hAnsi="Arial" w:cs="Arial"/>
          <w:sz w:val="20"/>
          <w:szCs w:val="20"/>
        </w:rPr>
        <w:t>S</w:t>
      </w:r>
      <w:r w:rsidR="003C6A64" w:rsidRPr="00546BAF">
        <w:rPr>
          <w:rFonts w:ascii="Arial" w:hAnsi="Arial" w:cs="Arial"/>
          <w:sz w:val="20"/>
          <w:szCs w:val="20"/>
        </w:rPr>
        <w:t>ung</w:t>
      </w:r>
      <w:r w:rsidR="007A06AC" w:rsidRPr="00546BAF">
        <w:rPr>
          <w:rFonts w:ascii="Arial" w:hAnsi="Arial" w:cs="Arial"/>
          <w:sz w:val="20"/>
          <w:szCs w:val="20"/>
        </w:rPr>
        <w:t xml:space="preserve"> H, </w:t>
      </w:r>
      <w:proofErr w:type="spellStart"/>
      <w:r w:rsidR="007A06AC" w:rsidRPr="00546BAF">
        <w:rPr>
          <w:rFonts w:ascii="Arial" w:hAnsi="Arial" w:cs="Arial"/>
          <w:sz w:val="20"/>
          <w:szCs w:val="20"/>
        </w:rPr>
        <w:t>Ferlay</w:t>
      </w:r>
      <w:proofErr w:type="spellEnd"/>
      <w:r w:rsidR="007A06AC" w:rsidRPr="00546BAF">
        <w:rPr>
          <w:rFonts w:ascii="Arial" w:hAnsi="Arial" w:cs="Arial"/>
          <w:sz w:val="20"/>
          <w:szCs w:val="20"/>
        </w:rPr>
        <w:t xml:space="preserve"> J, </w:t>
      </w:r>
      <w:r w:rsidR="00FA66CB" w:rsidRPr="00546BAF">
        <w:rPr>
          <w:rFonts w:ascii="Arial" w:hAnsi="Arial" w:cs="Arial"/>
          <w:sz w:val="20"/>
          <w:szCs w:val="20"/>
        </w:rPr>
        <w:t xml:space="preserve">Siegel R, </w:t>
      </w:r>
      <w:proofErr w:type="spellStart"/>
      <w:r w:rsidR="00FA66CB" w:rsidRPr="00546BAF">
        <w:rPr>
          <w:rFonts w:ascii="Arial" w:hAnsi="Arial" w:cs="Arial"/>
          <w:sz w:val="20"/>
          <w:szCs w:val="20"/>
        </w:rPr>
        <w:t>Soejomataram</w:t>
      </w:r>
      <w:proofErr w:type="spellEnd"/>
      <w:r w:rsidR="00FA66CB" w:rsidRPr="00546BAF">
        <w:rPr>
          <w:rFonts w:ascii="Arial" w:hAnsi="Arial" w:cs="Arial"/>
          <w:sz w:val="20"/>
          <w:szCs w:val="20"/>
        </w:rPr>
        <w:t xml:space="preserve"> I, </w:t>
      </w:r>
      <w:proofErr w:type="spellStart"/>
      <w:r w:rsidR="0073118D" w:rsidRPr="00546BAF">
        <w:rPr>
          <w:rFonts w:ascii="Arial" w:hAnsi="Arial" w:cs="Arial"/>
          <w:sz w:val="20"/>
          <w:szCs w:val="20"/>
        </w:rPr>
        <w:t>Jemel</w:t>
      </w:r>
      <w:proofErr w:type="spellEnd"/>
      <w:r w:rsidR="0073118D" w:rsidRPr="00546BAF">
        <w:rPr>
          <w:rFonts w:ascii="Arial" w:hAnsi="Arial" w:cs="Arial"/>
          <w:sz w:val="20"/>
          <w:szCs w:val="20"/>
        </w:rPr>
        <w:t xml:space="preserve"> A.</w:t>
      </w:r>
      <w:r w:rsidRPr="00546BAF">
        <w:rPr>
          <w:rFonts w:ascii="Arial" w:hAnsi="Arial" w:cs="Arial"/>
          <w:sz w:val="20"/>
          <w:szCs w:val="20"/>
        </w:rPr>
        <w:t xml:space="preserve"> Global cancer statistics 2022: GLOBOCAN estimates of incidence and mortality worldwide for 36 cancers in 185 countries.</w:t>
      </w:r>
      <w:r w:rsidR="00BD325C" w:rsidRPr="00546BAF">
        <w:rPr>
          <w:rFonts w:ascii="Arial" w:hAnsi="Arial" w:cs="Arial"/>
          <w:sz w:val="20"/>
          <w:szCs w:val="20"/>
        </w:rPr>
        <w:t>2024</w:t>
      </w:r>
      <w:r w:rsidR="004F2086" w:rsidRPr="00546BAF">
        <w:rPr>
          <w:rFonts w:ascii="Arial" w:hAnsi="Arial" w:cs="Arial"/>
          <w:sz w:val="20"/>
          <w:szCs w:val="20"/>
        </w:rPr>
        <w:t>;</w:t>
      </w:r>
      <w:r w:rsidR="00BD325C" w:rsidRPr="00546BAF">
        <w:rPr>
          <w:rFonts w:ascii="Arial" w:hAnsi="Arial" w:cs="Arial"/>
          <w:sz w:val="20"/>
          <w:szCs w:val="20"/>
        </w:rPr>
        <w:t xml:space="preserve"> 74(3)</w:t>
      </w:r>
      <w:r w:rsidR="004F2086" w:rsidRPr="00546BAF">
        <w:rPr>
          <w:rFonts w:ascii="Arial" w:hAnsi="Arial" w:cs="Arial"/>
          <w:sz w:val="20"/>
          <w:szCs w:val="20"/>
        </w:rPr>
        <w:t>:</w:t>
      </w:r>
      <w:r w:rsidRPr="00546BAF">
        <w:rPr>
          <w:rFonts w:ascii="Arial" w:hAnsi="Arial" w:cs="Arial"/>
          <w:sz w:val="20"/>
          <w:szCs w:val="20"/>
        </w:rPr>
        <w:t xml:space="preserve"> 229–263. </w:t>
      </w:r>
      <w:hyperlink r:id="rId36" w:history="1">
        <w:r w:rsidR="00DA666A" w:rsidRPr="00546BAF">
          <w:rPr>
            <w:rStyle w:val="Hyperlink"/>
            <w:rFonts w:ascii="Arial" w:hAnsi="Arial" w:cs="Arial"/>
            <w:sz w:val="20"/>
            <w:szCs w:val="20"/>
          </w:rPr>
          <w:t>https://doi.org/10.3322/cFAc.21834</w:t>
        </w:r>
      </w:hyperlink>
    </w:p>
    <w:p w14:paraId="75B53C7F" w14:textId="77777777" w:rsidR="006053FC" w:rsidRPr="00546BAF" w:rsidRDefault="00672BCE" w:rsidP="00F74EA0">
      <w:pPr>
        <w:pStyle w:val="ListParagraph"/>
        <w:numPr>
          <w:ilvl w:val="0"/>
          <w:numId w:val="6"/>
        </w:numPr>
        <w:jc w:val="both"/>
        <w:rPr>
          <w:rFonts w:ascii="Arial" w:eastAsia="Times New Roman" w:hAnsi="Arial" w:cs="Arial"/>
          <w:kern w:val="0"/>
          <w:sz w:val="20"/>
          <w:szCs w:val="20"/>
          <w:lang w:eastAsia="en-IN"/>
        </w:rPr>
      </w:pPr>
      <w:proofErr w:type="spellStart"/>
      <w:r w:rsidRPr="00546BAF">
        <w:rPr>
          <w:rFonts w:ascii="Arial" w:eastAsia="Times New Roman" w:hAnsi="Arial" w:cs="Arial"/>
          <w:kern w:val="0"/>
          <w:sz w:val="20"/>
          <w:szCs w:val="20"/>
          <w:lang w:eastAsia="en-IN"/>
        </w:rPr>
        <w:t>Shivika</w:t>
      </w:r>
      <w:proofErr w:type="spellEnd"/>
      <w:r w:rsidRPr="00546BAF">
        <w:rPr>
          <w:rFonts w:ascii="Arial" w:eastAsia="Times New Roman" w:hAnsi="Arial" w:cs="Arial"/>
          <w:kern w:val="0"/>
          <w:sz w:val="20"/>
          <w:szCs w:val="20"/>
          <w:lang w:eastAsia="en-IN"/>
        </w:rPr>
        <w:t xml:space="preserve">, Sharma M, </w:t>
      </w:r>
      <w:proofErr w:type="spellStart"/>
      <w:r w:rsidRPr="00546BAF">
        <w:rPr>
          <w:rFonts w:ascii="Arial" w:eastAsia="Times New Roman" w:hAnsi="Arial" w:cs="Arial"/>
          <w:kern w:val="0"/>
          <w:sz w:val="20"/>
          <w:szCs w:val="20"/>
          <w:lang w:eastAsia="en-IN"/>
        </w:rPr>
        <w:t>Bajpai</w:t>
      </w:r>
      <w:proofErr w:type="spellEnd"/>
      <w:r w:rsidRPr="00546BAF">
        <w:rPr>
          <w:rFonts w:ascii="Arial" w:eastAsia="Times New Roman" w:hAnsi="Arial" w:cs="Arial"/>
          <w:kern w:val="0"/>
          <w:sz w:val="20"/>
          <w:szCs w:val="20"/>
          <w:lang w:eastAsia="en-IN"/>
        </w:rPr>
        <w:t xml:space="preserve"> A, Dar ZA, Singh R, </w:t>
      </w:r>
      <w:proofErr w:type="spellStart"/>
      <w:r w:rsidRPr="00546BAF">
        <w:rPr>
          <w:rFonts w:ascii="Arial" w:eastAsia="Times New Roman" w:hAnsi="Arial" w:cs="Arial"/>
          <w:kern w:val="0"/>
          <w:sz w:val="20"/>
          <w:szCs w:val="20"/>
          <w:lang w:eastAsia="en-IN"/>
        </w:rPr>
        <w:t>Bansa</w:t>
      </w:r>
      <w:proofErr w:type="spellEnd"/>
      <w:r w:rsidRPr="00546BAF">
        <w:rPr>
          <w:rFonts w:ascii="Arial" w:eastAsia="Times New Roman" w:hAnsi="Arial" w:cs="Arial"/>
          <w:kern w:val="0"/>
          <w:sz w:val="20"/>
          <w:szCs w:val="20"/>
          <w:lang w:eastAsia="en-IN"/>
        </w:rPr>
        <w:t xml:space="preserve"> R. Therapeutic dominance of tyrosine kinase inhibitors in non-small cell lung cancer</w:t>
      </w:r>
      <w:r w:rsidR="002C4901" w:rsidRPr="00546BAF">
        <w:rPr>
          <w:rFonts w:ascii="Arial" w:eastAsia="Times New Roman" w:hAnsi="Arial" w:cs="Arial"/>
          <w:kern w:val="0"/>
          <w:sz w:val="20"/>
          <w:szCs w:val="20"/>
          <w:lang w:eastAsia="en-IN"/>
        </w:rPr>
        <w:t>(NSCLC). National library of medicine.</w:t>
      </w:r>
      <w:r w:rsidRPr="00546BAF">
        <w:rPr>
          <w:rFonts w:ascii="Arial" w:eastAsia="Times New Roman" w:hAnsi="Arial" w:cs="Arial"/>
          <w:kern w:val="0"/>
          <w:sz w:val="20"/>
          <w:szCs w:val="20"/>
          <w:lang w:eastAsia="en-IN"/>
        </w:rPr>
        <w:t xml:space="preserve"> 2025</w:t>
      </w:r>
      <w:r w:rsidR="006053FC" w:rsidRPr="00546BAF">
        <w:rPr>
          <w:rFonts w:ascii="Arial" w:eastAsia="Times New Roman" w:hAnsi="Arial" w:cs="Arial"/>
          <w:kern w:val="0"/>
          <w:sz w:val="20"/>
          <w:szCs w:val="20"/>
          <w:lang w:eastAsia="en-IN"/>
        </w:rPr>
        <w:t>;18(3): DOI: </w:t>
      </w:r>
      <w:hyperlink r:id="rId37" w:tgtFrame="_blank" w:history="1">
        <w:r w:rsidR="006053FC" w:rsidRPr="00546BAF">
          <w:rPr>
            <w:rStyle w:val="Hyperlink"/>
            <w:rFonts w:ascii="Arial" w:eastAsia="Times New Roman" w:hAnsi="Arial" w:cs="Arial"/>
            <w:kern w:val="0"/>
            <w:sz w:val="20"/>
            <w:szCs w:val="20"/>
            <w:lang w:eastAsia="en-IN"/>
          </w:rPr>
          <w:t>10.1016/j.bioorg.2025.108660</w:t>
        </w:r>
      </w:hyperlink>
    </w:p>
    <w:p w14:paraId="44DEC6C7" w14:textId="77777777" w:rsidR="005C3494" w:rsidRPr="00546BAF" w:rsidRDefault="005C3494" w:rsidP="00DA666A">
      <w:pPr>
        <w:pStyle w:val="ListParagraph"/>
        <w:numPr>
          <w:ilvl w:val="0"/>
          <w:numId w:val="6"/>
        </w:numPr>
        <w:spacing w:before="100" w:beforeAutospacing="1" w:after="100" w:afterAutospacing="1" w:line="240" w:lineRule="auto"/>
        <w:jc w:val="both"/>
        <w:rPr>
          <w:rFonts w:ascii="Arial" w:eastAsia="Times New Roman" w:hAnsi="Arial" w:cs="Arial"/>
          <w:kern w:val="0"/>
          <w:sz w:val="20"/>
          <w:szCs w:val="20"/>
          <w:lang w:eastAsia="en-IN"/>
        </w:rPr>
      </w:pPr>
      <w:r w:rsidRPr="00546BAF">
        <w:rPr>
          <w:rFonts w:ascii="Arial" w:eastAsia="Times New Roman" w:hAnsi="Arial" w:cs="Arial"/>
          <w:kern w:val="0"/>
          <w:sz w:val="20"/>
          <w:szCs w:val="20"/>
          <w:lang w:eastAsia="en-IN"/>
        </w:rPr>
        <w:t xml:space="preserve">Li Y, </w:t>
      </w:r>
      <w:proofErr w:type="spellStart"/>
      <w:r w:rsidRPr="00546BAF">
        <w:rPr>
          <w:rFonts w:ascii="Arial" w:eastAsia="Times New Roman" w:hAnsi="Arial" w:cs="Arial"/>
          <w:kern w:val="0"/>
          <w:sz w:val="20"/>
          <w:szCs w:val="20"/>
          <w:lang w:eastAsia="en-IN"/>
        </w:rPr>
        <w:t>Xue</w:t>
      </w:r>
      <w:proofErr w:type="spellEnd"/>
      <w:r w:rsidRPr="00546BAF">
        <w:rPr>
          <w:rFonts w:ascii="Arial" w:eastAsia="Times New Roman" w:hAnsi="Arial" w:cs="Arial"/>
          <w:kern w:val="0"/>
          <w:sz w:val="20"/>
          <w:szCs w:val="20"/>
          <w:lang w:eastAsia="en-IN"/>
        </w:rPr>
        <w:t xml:space="preserve"> J, Zhang L. New advances in lung cancer treatment: Efficacy, safety, and future research directions.</w:t>
      </w:r>
      <w:r w:rsidR="00CD2C5E" w:rsidRPr="00546BAF">
        <w:rPr>
          <w:rFonts w:ascii="Arial" w:eastAsia="Times New Roman" w:hAnsi="Arial" w:cs="Arial"/>
          <w:kern w:val="0"/>
          <w:sz w:val="20"/>
          <w:szCs w:val="20"/>
          <w:lang w:eastAsia="en-IN"/>
        </w:rPr>
        <w:t xml:space="preserve"> National library of medicine.</w:t>
      </w:r>
      <w:r w:rsidRPr="00546BAF">
        <w:rPr>
          <w:rFonts w:ascii="Arial" w:eastAsia="Times New Roman" w:hAnsi="Arial" w:cs="Arial"/>
          <w:kern w:val="0"/>
          <w:sz w:val="20"/>
          <w:szCs w:val="20"/>
          <w:lang w:eastAsia="en-IN"/>
        </w:rPr>
        <w:t xml:space="preserve"> 2024;17(9):181</w:t>
      </w:r>
      <w:r w:rsidRPr="00546BAF">
        <w:rPr>
          <w:rFonts w:ascii="Arial" w:eastAsia="Times New Roman" w:hAnsi="Arial" w:cs="Arial"/>
          <w:kern w:val="0"/>
          <w:sz w:val="20"/>
          <w:szCs w:val="20"/>
          <w:lang w:eastAsia="en-IN"/>
        </w:rPr>
        <w:noBreakHyphen/>
        <w:t xml:space="preserve">182. </w:t>
      </w:r>
      <w:proofErr w:type="spellStart"/>
      <w:r w:rsidRPr="00546BAF">
        <w:rPr>
          <w:rFonts w:ascii="Arial" w:eastAsia="Times New Roman" w:hAnsi="Arial" w:cs="Arial"/>
          <w:kern w:val="0"/>
          <w:sz w:val="20"/>
          <w:szCs w:val="20"/>
          <w:lang w:eastAsia="en-IN"/>
        </w:rPr>
        <w:t>doi:</w:t>
      </w:r>
      <w:hyperlink r:id="rId38" w:history="1">
        <w:r w:rsidR="00DA666A" w:rsidRPr="00546BAF">
          <w:rPr>
            <w:rStyle w:val="Hyperlink"/>
            <w:rFonts w:ascii="Arial" w:eastAsia="Times New Roman" w:hAnsi="Arial" w:cs="Arial"/>
            <w:kern w:val="0"/>
            <w:sz w:val="20"/>
            <w:szCs w:val="20"/>
            <w:lang w:eastAsia="en-IN"/>
          </w:rPr>
          <w:t>https</w:t>
        </w:r>
        <w:proofErr w:type="spellEnd"/>
        <w:r w:rsidR="00DA666A" w:rsidRPr="00546BAF">
          <w:rPr>
            <w:rStyle w:val="Hyperlink"/>
            <w:rFonts w:ascii="Arial" w:eastAsia="Times New Roman" w:hAnsi="Arial" w:cs="Arial"/>
            <w:kern w:val="0"/>
            <w:sz w:val="20"/>
            <w:szCs w:val="20"/>
            <w:lang w:eastAsia="en-IN"/>
          </w:rPr>
          <w:t>://doi.org/10.1016/j.cpt.2024.09.005</w:t>
        </w:r>
      </w:hyperlink>
      <w:r w:rsidRPr="00546BAF">
        <w:rPr>
          <w:rFonts w:ascii="Arial" w:eastAsia="Times New Roman" w:hAnsi="Arial" w:cs="Arial"/>
          <w:kern w:val="0"/>
          <w:sz w:val="20"/>
          <w:szCs w:val="20"/>
          <w:lang w:eastAsia="en-IN"/>
        </w:rPr>
        <w:t>.</w:t>
      </w:r>
    </w:p>
    <w:p w14:paraId="317C96D6" w14:textId="77777777" w:rsidR="00673564" w:rsidRPr="00546BAF" w:rsidRDefault="00673564" w:rsidP="00DA666A">
      <w:pPr>
        <w:pStyle w:val="ListParagraph"/>
        <w:numPr>
          <w:ilvl w:val="0"/>
          <w:numId w:val="6"/>
        </w:numPr>
        <w:spacing w:before="100" w:beforeAutospacing="1" w:after="100" w:afterAutospacing="1" w:line="240" w:lineRule="auto"/>
        <w:jc w:val="both"/>
        <w:rPr>
          <w:rFonts w:ascii="Arial" w:eastAsia="Times New Roman" w:hAnsi="Arial" w:cs="Arial"/>
          <w:kern w:val="0"/>
          <w:sz w:val="20"/>
          <w:szCs w:val="20"/>
          <w:lang w:eastAsia="en-IN"/>
        </w:rPr>
      </w:pPr>
      <w:r w:rsidRPr="00546BAF">
        <w:rPr>
          <w:rFonts w:ascii="Arial" w:eastAsia="Times New Roman" w:hAnsi="Arial" w:cs="Arial"/>
          <w:kern w:val="0"/>
          <w:sz w:val="20"/>
          <w:szCs w:val="20"/>
          <w:lang w:eastAsia="en-IN"/>
        </w:rPr>
        <w:t xml:space="preserve">Fazio N, La Salvia A. Newly emerging tyrosine kinase inhibitors for the treatment of neuroendocrine neoplasms. </w:t>
      </w:r>
      <w:r w:rsidRPr="00546BAF">
        <w:rPr>
          <w:rFonts w:ascii="Arial" w:eastAsia="Times New Roman" w:hAnsi="Arial" w:cs="Arial"/>
          <w:i/>
          <w:iCs/>
          <w:kern w:val="0"/>
          <w:sz w:val="20"/>
          <w:szCs w:val="20"/>
          <w:lang w:eastAsia="en-IN"/>
        </w:rPr>
        <w:t xml:space="preserve">Expert </w:t>
      </w:r>
      <w:proofErr w:type="spellStart"/>
      <w:r w:rsidRPr="00546BAF">
        <w:rPr>
          <w:rFonts w:ascii="Arial" w:eastAsia="Times New Roman" w:hAnsi="Arial" w:cs="Arial"/>
          <w:i/>
          <w:iCs/>
          <w:kern w:val="0"/>
          <w:sz w:val="20"/>
          <w:szCs w:val="20"/>
          <w:lang w:eastAsia="en-IN"/>
        </w:rPr>
        <w:t>OpinEmerg</w:t>
      </w:r>
      <w:proofErr w:type="spellEnd"/>
      <w:r w:rsidRPr="00546BAF">
        <w:rPr>
          <w:rFonts w:ascii="Arial" w:eastAsia="Times New Roman" w:hAnsi="Arial" w:cs="Arial"/>
          <w:i/>
          <w:iCs/>
          <w:kern w:val="0"/>
          <w:sz w:val="20"/>
          <w:szCs w:val="20"/>
          <w:lang w:eastAsia="en-IN"/>
        </w:rPr>
        <w:t xml:space="preserve"> Drugs</w:t>
      </w:r>
      <w:r w:rsidRPr="00546BAF">
        <w:rPr>
          <w:rFonts w:ascii="Arial" w:eastAsia="Times New Roman" w:hAnsi="Arial" w:cs="Arial"/>
          <w:kern w:val="0"/>
          <w:sz w:val="20"/>
          <w:szCs w:val="20"/>
          <w:lang w:eastAsia="en-IN"/>
        </w:rPr>
        <w:t>. 2025;30(2):149</w:t>
      </w:r>
      <w:r w:rsidRPr="00546BAF">
        <w:rPr>
          <w:rFonts w:ascii="Arial" w:eastAsia="Times New Roman" w:hAnsi="Arial" w:cs="Arial"/>
          <w:kern w:val="0"/>
          <w:sz w:val="20"/>
          <w:szCs w:val="20"/>
          <w:lang w:eastAsia="en-IN"/>
        </w:rPr>
        <w:noBreakHyphen/>
        <w:t xml:space="preserve">157. </w:t>
      </w:r>
      <w:proofErr w:type="spellStart"/>
      <w:r w:rsidRPr="00546BAF">
        <w:rPr>
          <w:rFonts w:ascii="Arial" w:eastAsia="Times New Roman" w:hAnsi="Arial" w:cs="Arial"/>
          <w:kern w:val="0"/>
          <w:sz w:val="20"/>
          <w:szCs w:val="20"/>
          <w:lang w:eastAsia="en-IN"/>
        </w:rPr>
        <w:t>doi:</w:t>
      </w:r>
      <w:hyperlink r:id="rId39" w:history="1">
        <w:r w:rsidR="00DA666A" w:rsidRPr="00546BAF">
          <w:rPr>
            <w:rStyle w:val="Hyperlink"/>
            <w:rFonts w:ascii="Arial" w:eastAsia="Times New Roman" w:hAnsi="Arial" w:cs="Arial"/>
            <w:kern w:val="0"/>
            <w:sz w:val="20"/>
            <w:szCs w:val="20"/>
            <w:lang w:eastAsia="en-IN"/>
          </w:rPr>
          <w:t>https</w:t>
        </w:r>
        <w:proofErr w:type="spellEnd"/>
        <w:r w:rsidR="00DA666A" w:rsidRPr="00546BAF">
          <w:rPr>
            <w:rStyle w:val="Hyperlink"/>
            <w:rFonts w:ascii="Arial" w:eastAsia="Times New Roman" w:hAnsi="Arial" w:cs="Arial"/>
            <w:kern w:val="0"/>
            <w:sz w:val="20"/>
            <w:szCs w:val="20"/>
            <w:lang w:eastAsia="en-IN"/>
          </w:rPr>
          <w:t>://doi.org/10.1080/14728214.2025.2508994</w:t>
        </w:r>
      </w:hyperlink>
      <w:r w:rsidRPr="00546BAF">
        <w:rPr>
          <w:rFonts w:ascii="Arial" w:eastAsia="Times New Roman" w:hAnsi="Arial" w:cs="Arial"/>
          <w:kern w:val="0"/>
          <w:sz w:val="20"/>
          <w:szCs w:val="20"/>
          <w:lang w:eastAsia="en-IN"/>
        </w:rPr>
        <w:t>.</w:t>
      </w:r>
    </w:p>
    <w:p w14:paraId="13B361B7" w14:textId="77777777" w:rsidR="00E86E48" w:rsidRPr="00546BAF" w:rsidRDefault="00E86E48" w:rsidP="00F74EA0">
      <w:pPr>
        <w:pStyle w:val="ListParagraph"/>
        <w:numPr>
          <w:ilvl w:val="0"/>
          <w:numId w:val="6"/>
        </w:numPr>
        <w:spacing w:before="100" w:beforeAutospacing="1" w:after="100" w:afterAutospacing="1" w:line="240" w:lineRule="auto"/>
        <w:jc w:val="both"/>
        <w:rPr>
          <w:rFonts w:ascii="Arial" w:eastAsia="Times New Roman" w:hAnsi="Arial" w:cs="Arial"/>
          <w:kern w:val="0"/>
          <w:sz w:val="20"/>
          <w:szCs w:val="20"/>
          <w:lang w:eastAsia="en-IN"/>
        </w:rPr>
      </w:pPr>
      <w:proofErr w:type="spellStart"/>
      <w:r w:rsidRPr="00546BAF">
        <w:rPr>
          <w:rFonts w:ascii="Arial" w:eastAsia="Times New Roman" w:hAnsi="Arial" w:cs="Arial"/>
          <w:kern w:val="0"/>
          <w:sz w:val="20"/>
          <w:szCs w:val="20"/>
          <w:lang w:eastAsia="en-IN"/>
        </w:rPr>
        <w:t>Phogat</w:t>
      </w:r>
      <w:proofErr w:type="spellEnd"/>
      <w:r w:rsidRPr="00546BAF">
        <w:rPr>
          <w:rFonts w:ascii="Arial" w:eastAsia="Times New Roman" w:hAnsi="Arial" w:cs="Arial"/>
          <w:kern w:val="0"/>
          <w:sz w:val="20"/>
          <w:szCs w:val="20"/>
          <w:lang w:eastAsia="en-IN"/>
        </w:rPr>
        <w:t xml:space="preserve"> </w:t>
      </w:r>
      <w:proofErr w:type="spellStart"/>
      <w:proofErr w:type="gramStart"/>
      <w:r w:rsidRPr="00546BAF">
        <w:rPr>
          <w:rFonts w:ascii="Arial" w:eastAsia="Times New Roman" w:hAnsi="Arial" w:cs="Arial"/>
          <w:kern w:val="0"/>
          <w:sz w:val="20"/>
          <w:szCs w:val="20"/>
          <w:lang w:eastAsia="en-IN"/>
        </w:rPr>
        <w:t>D.</w:t>
      </w:r>
      <w:r w:rsidR="00250BFB" w:rsidRPr="00546BAF">
        <w:rPr>
          <w:rFonts w:ascii="Arial" w:eastAsia="Times New Roman" w:hAnsi="Arial" w:cs="Arial"/>
          <w:kern w:val="0"/>
          <w:sz w:val="20"/>
          <w:szCs w:val="20"/>
          <w:lang w:eastAsia="en-IN"/>
        </w:rPr>
        <w:t>Pati</w:t>
      </w:r>
      <w:proofErr w:type="spellEnd"/>
      <w:proofErr w:type="gramEnd"/>
      <w:r w:rsidR="00250BFB" w:rsidRPr="00546BAF">
        <w:rPr>
          <w:rFonts w:ascii="Arial" w:eastAsia="Times New Roman" w:hAnsi="Arial" w:cs="Arial"/>
          <w:kern w:val="0"/>
          <w:sz w:val="20"/>
          <w:szCs w:val="20"/>
          <w:lang w:eastAsia="en-IN"/>
        </w:rPr>
        <w:t xml:space="preserve"> J C, </w:t>
      </w:r>
      <w:r w:rsidRPr="00546BAF">
        <w:rPr>
          <w:rFonts w:ascii="Arial" w:eastAsia="Times New Roman" w:hAnsi="Arial" w:cs="Arial"/>
          <w:kern w:val="0"/>
          <w:sz w:val="20"/>
          <w:szCs w:val="20"/>
          <w:lang w:eastAsia="en-IN"/>
        </w:rPr>
        <w:t xml:space="preserve">Lipinski’s rule and biological activity of molecules. </w:t>
      </w:r>
      <w:proofErr w:type="spellStart"/>
      <w:r w:rsidRPr="00546BAF">
        <w:rPr>
          <w:rFonts w:ascii="Arial" w:eastAsia="Times New Roman" w:hAnsi="Arial" w:cs="Arial"/>
          <w:i/>
          <w:iCs/>
          <w:kern w:val="0"/>
          <w:sz w:val="20"/>
          <w:szCs w:val="20"/>
          <w:lang w:eastAsia="en-IN"/>
        </w:rPr>
        <w:t>IntAdv</w:t>
      </w:r>
      <w:proofErr w:type="spellEnd"/>
      <w:r w:rsidRPr="00546BAF">
        <w:rPr>
          <w:rFonts w:ascii="Arial" w:eastAsia="Times New Roman" w:hAnsi="Arial" w:cs="Arial"/>
          <w:i/>
          <w:iCs/>
          <w:kern w:val="0"/>
          <w:sz w:val="20"/>
          <w:szCs w:val="20"/>
          <w:lang w:eastAsia="en-IN"/>
        </w:rPr>
        <w:t xml:space="preserve"> J </w:t>
      </w:r>
      <w:proofErr w:type="spellStart"/>
      <w:r w:rsidRPr="00546BAF">
        <w:rPr>
          <w:rFonts w:ascii="Arial" w:eastAsia="Times New Roman" w:hAnsi="Arial" w:cs="Arial"/>
          <w:i/>
          <w:iCs/>
          <w:kern w:val="0"/>
          <w:sz w:val="20"/>
          <w:szCs w:val="20"/>
          <w:lang w:eastAsia="en-IN"/>
        </w:rPr>
        <w:t>EngSciManag</w:t>
      </w:r>
      <w:proofErr w:type="spellEnd"/>
      <w:r w:rsidRPr="00546BAF">
        <w:rPr>
          <w:rFonts w:ascii="Arial" w:eastAsia="Times New Roman" w:hAnsi="Arial" w:cs="Arial"/>
          <w:kern w:val="0"/>
          <w:sz w:val="20"/>
          <w:szCs w:val="20"/>
          <w:lang w:eastAsia="en-IN"/>
        </w:rPr>
        <w:t xml:space="preserve">. </w:t>
      </w:r>
      <w:proofErr w:type="gramStart"/>
      <w:r w:rsidRPr="00546BAF">
        <w:rPr>
          <w:rFonts w:ascii="Arial" w:eastAsia="Times New Roman" w:hAnsi="Arial" w:cs="Arial"/>
          <w:kern w:val="0"/>
          <w:sz w:val="20"/>
          <w:szCs w:val="20"/>
          <w:lang w:eastAsia="en-IN"/>
        </w:rPr>
        <w:t>2020;July</w:t>
      </w:r>
      <w:proofErr w:type="gramEnd"/>
      <w:r w:rsidRPr="00546BAF">
        <w:rPr>
          <w:rFonts w:ascii="Arial" w:eastAsia="Times New Roman" w:hAnsi="Arial" w:cs="Arial"/>
          <w:kern w:val="0"/>
          <w:sz w:val="20"/>
          <w:szCs w:val="20"/>
          <w:lang w:eastAsia="en-IN"/>
        </w:rPr>
        <w:t>–Dec:46</w:t>
      </w:r>
      <w:r w:rsidRPr="00546BAF">
        <w:rPr>
          <w:rFonts w:ascii="Arial" w:eastAsia="Times New Roman" w:hAnsi="Arial" w:cs="Arial"/>
          <w:kern w:val="0"/>
          <w:sz w:val="20"/>
          <w:szCs w:val="20"/>
          <w:lang w:eastAsia="en-IN"/>
        </w:rPr>
        <w:noBreakHyphen/>
        <w:t>52. ISSN 2393</w:t>
      </w:r>
      <w:r w:rsidRPr="00546BAF">
        <w:rPr>
          <w:rFonts w:ascii="Arial" w:eastAsia="Times New Roman" w:hAnsi="Arial" w:cs="Arial"/>
          <w:kern w:val="0"/>
          <w:sz w:val="20"/>
          <w:szCs w:val="20"/>
          <w:lang w:eastAsia="en-IN"/>
        </w:rPr>
        <w:noBreakHyphen/>
        <w:t>8048.</w:t>
      </w:r>
    </w:p>
    <w:p w14:paraId="63B87861" w14:textId="77777777" w:rsidR="00800DF9" w:rsidRPr="00546BAF" w:rsidRDefault="00800DF9" w:rsidP="00F74EA0">
      <w:pPr>
        <w:pStyle w:val="ListParagraph"/>
        <w:numPr>
          <w:ilvl w:val="0"/>
          <w:numId w:val="6"/>
        </w:numPr>
        <w:spacing w:before="100" w:beforeAutospacing="1" w:after="100" w:afterAutospacing="1" w:line="240" w:lineRule="auto"/>
        <w:jc w:val="both"/>
        <w:rPr>
          <w:rFonts w:ascii="Arial" w:eastAsia="Times New Roman" w:hAnsi="Arial" w:cs="Arial"/>
          <w:kern w:val="0"/>
          <w:sz w:val="20"/>
          <w:szCs w:val="20"/>
          <w:lang w:eastAsia="en-IN"/>
        </w:rPr>
      </w:pPr>
      <w:r w:rsidRPr="00546BAF">
        <w:rPr>
          <w:rFonts w:ascii="Arial" w:eastAsia="Times New Roman" w:hAnsi="Arial" w:cs="Arial"/>
          <w:kern w:val="0"/>
          <w:sz w:val="20"/>
          <w:szCs w:val="20"/>
          <w:lang w:eastAsia="en-IN"/>
        </w:rPr>
        <w:t xml:space="preserve">Sen DJ, Chaudhary PK, Sharma UD, </w:t>
      </w:r>
      <w:proofErr w:type="spellStart"/>
      <w:r w:rsidRPr="00546BAF">
        <w:rPr>
          <w:rFonts w:ascii="Arial" w:eastAsia="Times New Roman" w:hAnsi="Arial" w:cs="Arial"/>
          <w:kern w:val="0"/>
          <w:sz w:val="20"/>
          <w:szCs w:val="20"/>
          <w:lang w:eastAsia="en-IN"/>
        </w:rPr>
        <w:t>Oza</w:t>
      </w:r>
      <w:proofErr w:type="spellEnd"/>
      <w:r w:rsidRPr="00546BAF">
        <w:rPr>
          <w:rFonts w:ascii="Arial" w:eastAsia="Times New Roman" w:hAnsi="Arial" w:cs="Arial"/>
          <w:kern w:val="0"/>
          <w:sz w:val="20"/>
          <w:szCs w:val="20"/>
          <w:lang w:eastAsia="en-IN"/>
        </w:rPr>
        <w:t xml:space="preserve"> MV, </w:t>
      </w:r>
      <w:proofErr w:type="spellStart"/>
      <w:r w:rsidRPr="00546BAF">
        <w:rPr>
          <w:rFonts w:ascii="Arial" w:eastAsia="Times New Roman" w:hAnsi="Arial" w:cs="Arial"/>
          <w:kern w:val="0"/>
          <w:sz w:val="20"/>
          <w:szCs w:val="20"/>
          <w:lang w:eastAsia="en-IN"/>
        </w:rPr>
        <w:t>Raval</w:t>
      </w:r>
      <w:proofErr w:type="spellEnd"/>
      <w:r w:rsidRPr="00546BAF">
        <w:rPr>
          <w:rFonts w:ascii="Arial" w:eastAsia="Times New Roman" w:hAnsi="Arial" w:cs="Arial"/>
          <w:kern w:val="0"/>
          <w:sz w:val="20"/>
          <w:szCs w:val="20"/>
          <w:lang w:eastAsia="en-IN"/>
        </w:rPr>
        <w:t xml:space="preserve"> DH, Chaudhary DP. </w:t>
      </w:r>
      <w:proofErr w:type="spellStart"/>
      <w:r w:rsidRPr="00546BAF">
        <w:rPr>
          <w:rFonts w:ascii="Arial" w:eastAsia="Times New Roman" w:hAnsi="Arial" w:cs="Arial"/>
          <w:kern w:val="0"/>
          <w:sz w:val="20"/>
          <w:szCs w:val="20"/>
          <w:lang w:eastAsia="en-IN"/>
        </w:rPr>
        <w:t>Molinspiration</w:t>
      </w:r>
      <w:proofErr w:type="spellEnd"/>
      <w:r w:rsidRPr="00546BAF">
        <w:rPr>
          <w:rFonts w:ascii="Arial" w:eastAsia="Times New Roman" w:hAnsi="Arial" w:cs="Arial"/>
          <w:kern w:val="0"/>
          <w:sz w:val="20"/>
          <w:szCs w:val="20"/>
          <w:lang w:eastAsia="en-IN"/>
        </w:rPr>
        <w:t xml:space="preserve"> is inspiration to molecule by software in drug discovery. </w:t>
      </w:r>
      <w:r w:rsidRPr="00546BAF">
        <w:rPr>
          <w:rFonts w:ascii="Arial" w:eastAsia="Times New Roman" w:hAnsi="Arial" w:cs="Arial"/>
          <w:i/>
          <w:iCs/>
          <w:kern w:val="0"/>
          <w:sz w:val="20"/>
          <w:szCs w:val="20"/>
          <w:lang w:eastAsia="en-IN"/>
        </w:rPr>
        <w:t>World J Pharm Med Res</w:t>
      </w:r>
      <w:r w:rsidRPr="00546BAF">
        <w:rPr>
          <w:rFonts w:ascii="Arial" w:eastAsia="Times New Roman" w:hAnsi="Arial" w:cs="Arial"/>
          <w:kern w:val="0"/>
          <w:sz w:val="20"/>
          <w:szCs w:val="20"/>
          <w:lang w:eastAsia="en-IN"/>
        </w:rPr>
        <w:t>. 2025;11(5):165</w:t>
      </w:r>
      <w:r w:rsidRPr="00546BAF">
        <w:rPr>
          <w:rFonts w:ascii="Arial" w:eastAsia="Times New Roman" w:hAnsi="Arial" w:cs="Arial"/>
          <w:kern w:val="0"/>
          <w:sz w:val="20"/>
          <w:szCs w:val="20"/>
          <w:lang w:eastAsia="en-IN"/>
        </w:rPr>
        <w:noBreakHyphen/>
        <w:t>173. ISSN 2455</w:t>
      </w:r>
      <w:r w:rsidRPr="00546BAF">
        <w:rPr>
          <w:rFonts w:ascii="Arial" w:eastAsia="Times New Roman" w:hAnsi="Arial" w:cs="Arial"/>
          <w:kern w:val="0"/>
          <w:sz w:val="20"/>
          <w:szCs w:val="20"/>
          <w:lang w:eastAsia="en-IN"/>
        </w:rPr>
        <w:noBreakHyphen/>
        <w:t>3301.</w:t>
      </w:r>
    </w:p>
    <w:p w14:paraId="36EF0558" w14:textId="77777777" w:rsidR="00E11AB8" w:rsidRPr="00546BAF" w:rsidRDefault="00E11AB8" w:rsidP="00DA666A">
      <w:pPr>
        <w:pStyle w:val="ListParagraph"/>
        <w:numPr>
          <w:ilvl w:val="0"/>
          <w:numId w:val="6"/>
        </w:numPr>
        <w:spacing w:before="100" w:beforeAutospacing="1" w:after="100" w:afterAutospacing="1" w:line="240" w:lineRule="auto"/>
        <w:jc w:val="both"/>
        <w:rPr>
          <w:rFonts w:ascii="Arial" w:eastAsia="Times New Roman" w:hAnsi="Arial" w:cs="Arial"/>
          <w:kern w:val="0"/>
          <w:sz w:val="20"/>
          <w:szCs w:val="20"/>
          <w:lang w:eastAsia="en-IN"/>
        </w:rPr>
      </w:pPr>
      <w:r w:rsidRPr="00546BAF">
        <w:rPr>
          <w:rFonts w:ascii="Arial" w:eastAsia="Times New Roman" w:hAnsi="Arial" w:cs="Arial"/>
          <w:kern w:val="0"/>
          <w:sz w:val="20"/>
          <w:szCs w:val="20"/>
          <w:lang w:eastAsia="en-IN"/>
        </w:rPr>
        <w:t xml:space="preserve">Dubey R, </w:t>
      </w:r>
      <w:proofErr w:type="spellStart"/>
      <w:r w:rsidRPr="00546BAF">
        <w:rPr>
          <w:rFonts w:ascii="Arial" w:eastAsia="Times New Roman" w:hAnsi="Arial" w:cs="Arial"/>
          <w:kern w:val="0"/>
          <w:sz w:val="20"/>
          <w:szCs w:val="20"/>
          <w:lang w:eastAsia="en-IN"/>
        </w:rPr>
        <w:t>Deshmukh</w:t>
      </w:r>
      <w:proofErr w:type="spellEnd"/>
      <w:r w:rsidRPr="00546BAF">
        <w:rPr>
          <w:rFonts w:ascii="Arial" w:eastAsia="Times New Roman" w:hAnsi="Arial" w:cs="Arial"/>
          <w:kern w:val="0"/>
          <w:sz w:val="20"/>
          <w:szCs w:val="20"/>
          <w:lang w:eastAsia="en-IN"/>
        </w:rPr>
        <w:t xml:space="preserve"> N, </w:t>
      </w:r>
      <w:proofErr w:type="spellStart"/>
      <w:r w:rsidRPr="00546BAF">
        <w:rPr>
          <w:rFonts w:ascii="Arial" w:eastAsia="Times New Roman" w:hAnsi="Arial" w:cs="Arial"/>
          <w:kern w:val="0"/>
          <w:sz w:val="20"/>
          <w:szCs w:val="20"/>
          <w:lang w:eastAsia="en-IN"/>
        </w:rPr>
        <w:t>Patud</w:t>
      </w:r>
      <w:proofErr w:type="spellEnd"/>
      <w:r w:rsidRPr="00546BAF">
        <w:rPr>
          <w:rFonts w:ascii="Arial" w:eastAsia="Times New Roman" w:hAnsi="Arial" w:cs="Arial"/>
          <w:kern w:val="0"/>
          <w:sz w:val="20"/>
          <w:szCs w:val="20"/>
          <w:lang w:eastAsia="en-IN"/>
        </w:rPr>
        <w:t xml:space="preserve"> A, Trivedi G, </w:t>
      </w:r>
      <w:proofErr w:type="spellStart"/>
      <w:r w:rsidRPr="00546BAF">
        <w:rPr>
          <w:rFonts w:ascii="Arial" w:eastAsia="Times New Roman" w:hAnsi="Arial" w:cs="Arial"/>
          <w:kern w:val="0"/>
          <w:sz w:val="20"/>
          <w:szCs w:val="20"/>
          <w:lang w:eastAsia="en-IN"/>
        </w:rPr>
        <w:t>Soni</w:t>
      </w:r>
      <w:proofErr w:type="spellEnd"/>
      <w:r w:rsidRPr="00546BAF">
        <w:rPr>
          <w:rFonts w:ascii="Arial" w:eastAsia="Times New Roman" w:hAnsi="Arial" w:cs="Arial"/>
          <w:kern w:val="0"/>
          <w:sz w:val="20"/>
          <w:szCs w:val="20"/>
          <w:lang w:eastAsia="en-IN"/>
        </w:rPr>
        <w:t xml:space="preserve"> P, </w:t>
      </w:r>
      <w:proofErr w:type="spellStart"/>
      <w:r w:rsidRPr="00546BAF">
        <w:rPr>
          <w:rFonts w:ascii="Arial" w:eastAsia="Times New Roman" w:hAnsi="Arial" w:cs="Arial"/>
          <w:kern w:val="0"/>
          <w:sz w:val="20"/>
          <w:szCs w:val="20"/>
          <w:lang w:eastAsia="en-IN"/>
        </w:rPr>
        <w:t>Patidar</w:t>
      </w:r>
      <w:proofErr w:type="spellEnd"/>
      <w:r w:rsidRPr="00546BAF">
        <w:rPr>
          <w:rFonts w:ascii="Arial" w:eastAsia="Times New Roman" w:hAnsi="Arial" w:cs="Arial"/>
          <w:kern w:val="0"/>
          <w:sz w:val="20"/>
          <w:szCs w:val="20"/>
          <w:lang w:eastAsia="en-IN"/>
        </w:rPr>
        <w:t xml:space="preserve"> M. Oxadiazole derivatives as potential EGFR protein kinase inhibitors: prediction of in</w:t>
      </w:r>
      <w:r w:rsidRPr="00546BAF">
        <w:rPr>
          <w:rFonts w:ascii="Arial" w:eastAsia="Times New Roman" w:hAnsi="Arial" w:cs="Arial"/>
          <w:kern w:val="0"/>
          <w:sz w:val="20"/>
          <w:szCs w:val="20"/>
          <w:lang w:eastAsia="en-IN"/>
        </w:rPr>
        <w:noBreakHyphen/>
        <w:t xml:space="preserve">silico ADMET properties and molecular docking study. </w:t>
      </w:r>
      <w:r w:rsidRPr="00546BAF">
        <w:rPr>
          <w:rFonts w:ascii="Arial" w:eastAsia="Times New Roman" w:hAnsi="Arial" w:cs="Arial"/>
          <w:i/>
          <w:iCs/>
          <w:kern w:val="0"/>
          <w:sz w:val="20"/>
          <w:szCs w:val="20"/>
          <w:lang w:eastAsia="en-IN"/>
        </w:rPr>
        <w:t>Int J Adv Res</w:t>
      </w:r>
      <w:r w:rsidRPr="00546BAF">
        <w:rPr>
          <w:rFonts w:ascii="Arial" w:eastAsia="Times New Roman" w:hAnsi="Arial" w:cs="Arial"/>
          <w:kern w:val="0"/>
          <w:sz w:val="20"/>
          <w:szCs w:val="20"/>
          <w:lang w:eastAsia="en-IN"/>
        </w:rPr>
        <w:t>. 2025;13(5):112</w:t>
      </w:r>
      <w:r w:rsidRPr="00546BAF">
        <w:rPr>
          <w:rFonts w:ascii="Arial" w:eastAsia="Times New Roman" w:hAnsi="Arial" w:cs="Arial"/>
          <w:kern w:val="0"/>
          <w:sz w:val="20"/>
          <w:szCs w:val="20"/>
          <w:lang w:eastAsia="en-IN"/>
        </w:rPr>
        <w:noBreakHyphen/>
        <w:t xml:space="preserve">120. </w:t>
      </w:r>
      <w:proofErr w:type="spellStart"/>
      <w:r w:rsidRPr="00546BAF">
        <w:rPr>
          <w:rFonts w:ascii="Arial" w:eastAsia="Times New Roman" w:hAnsi="Arial" w:cs="Arial"/>
          <w:kern w:val="0"/>
          <w:sz w:val="20"/>
          <w:szCs w:val="20"/>
          <w:lang w:eastAsia="en-IN"/>
        </w:rPr>
        <w:t>doi:</w:t>
      </w:r>
      <w:hyperlink r:id="rId40" w:history="1">
        <w:r w:rsidR="00DA666A" w:rsidRPr="00546BAF">
          <w:rPr>
            <w:rStyle w:val="Hyperlink"/>
            <w:rFonts w:ascii="Arial" w:eastAsia="Times New Roman" w:hAnsi="Arial" w:cs="Arial"/>
            <w:kern w:val="0"/>
            <w:sz w:val="20"/>
            <w:szCs w:val="20"/>
            <w:lang w:eastAsia="en-IN"/>
          </w:rPr>
          <w:t>https</w:t>
        </w:r>
        <w:proofErr w:type="spellEnd"/>
        <w:r w:rsidR="00DA666A" w:rsidRPr="00546BAF">
          <w:rPr>
            <w:rStyle w:val="Hyperlink"/>
            <w:rFonts w:ascii="Arial" w:eastAsia="Times New Roman" w:hAnsi="Arial" w:cs="Arial"/>
            <w:kern w:val="0"/>
            <w:sz w:val="20"/>
            <w:szCs w:val="20"/>
            <w:lang w:eastAsia="en-IN"/>
          </w:rPr>
          <w:t>://doi.org/10.21474/IJAR01/53789</w:t>
        </w:r>
      </w:hyperlink>
      <w:r w:rsidRPr="00546BAF">
        <w:rPr>
          <w:rFonts w:ascii="Arial" w:eastAsia="Times New Roman" w:hAnsi="Arial" w:cs="Arial"/>
          <w:kern w:val="0"/>
          <w:sz w:val="20"/>
          <w:szCs w:val="20"/>
          <w:lang w:eastAsia="en-IN"/>
        </w:rPr>
        <w:t>.</w:t>
      </w:r>
    </w:p>
    <w:p w14:paraId="0AACCE39" w14:textId="77777777" w:rsidR="00E86E48" w:rsidRPr="00546BAF" w:rsidRDefault="00CE2244" w:rsidP="00DA666A">
      <w:pPr>
        <w:pStyle w:val="ListParagraph"/>
        <w:numPr>
          <w:ilvl w:val="0"/>
          <w:numId w:val="6"/>
        </w:numPr>
        <w:spacing w:before="100" w:beforeAutospacing="1" w:after="100" w:afterAutospacing="1" w:line="240" w:lineRule="auto"/>
        <w:jc w:val="both"/>
        <w:rPr>
          <w:rFonts w:ascii="Arial" w:eastAsia="Times New Roman" w:hAnsi="Arial" w:cs="Arial"/>
          <w:kern w:val="0"/>
          <w:sz w:val="20"/>
          <w:szCs w:val="20"/>
          <w:lang w:eastAsia="en-IN"/>
        </w:rPr>
      </w:pPr>
      <w:proofErr w:type="spellStart"/>
      <w:r w:rsidRPr="00546BAF">
        <w:rPr>
          <w:rFonts w:ascii="Arial" w:eastAsia="Times New Roman" w:hAnsi="Arial" w:cs="Arial"/>
          <w:kern w:val="0"/>
          <w:sz w:val="20"/>
          <w:szCs w:val="20"/>
          <w:lang w:eastAsia="en-IN"/>
        </w:rPr>
        <w:t>Nadaf</w:t>
      </w:r>
      <w:proofErr w:type="spellEnd"/>
      <w:r w:rsidRPr="00546BAF">
        <w:rPr>
          <w:rFonts w:ascii="Arial" w:eastAsia="Times New Roman" w:hAnsi="Arial" w:cs="Arial"/>
          <w:kern w:val="0"/>
          <w:sz w:val="20"/>
          <w:szCs w:val="20"/>
          <w:lang w:eastAsia="en-IN"/>
        </w:rPr>
        <w:t xml:space="preserve"> T, </w:t>
      </w:r>
      <w:proofErr w:type="spellStart"/>
      <w:r w:rsidRPr="00546BAF">
        <w:rPr>
          <w:rFonts w:ascii="Arial" w:eastAsia="Times New Roman" w:hAnsi="Arial" w:cs="Arial"/>
          <w:kern w:val="0"/>
          <w:sz w:val="20"/>
          <w:szCs w:val="20"/>
          <w:lang w:eastAsia="en-IN"/>
        </w:rPr>
        <w:t>Mulla</w:t>
      </w:r>
      <w:proofErr w:type="spellEnd"/>
      <w:r w:rsidRPr="00546BAF">
        <w:rPr>
          <w:rFonts w:ascii="Arial" w:eastAsia="Times New Roman" w:hAnsi="Arial" w:cs="Arial"/>
          <w:kern w:val="0"/>
          <w:sz w:val="20"/>
          <w:szCs w:val="20"/>
          <w:lang w:eastAsia="en-IN"/>
        </w:rPr>
        <w:t xml:space="preserve"> M, </w:t>
      </w:r>
      <w:proofErr w:type="spellStart"/>
      <w:r w:rsidRPr="00546BAF">
        <w:rPr>
          <w:rFonts w:ascii="Arial" w:eastAsia="Times New Roman" w:hAnsi="Arial" w:cs="Arial"/>
          <w:kern w:val="0"/>
          <w:sz w:val="20"/>
          <w:szCs w:val="20"/>
          <w:lang w:eastAsia="en-IN"/>
        </w:rPr>
        <w:t>Chougule</w:t>
      </w:r>
      <w:proofErr w:type="spellEnd"/>
      <w:r w:rsidRPr="00546BAF">
        <w:rPr>
          <w:rFonts w:ascii="Arial" w:eastAsia="Times New Roman" w:hAnsi="Arial" w:cs="Arial"/>
          <w:kern w:val="0"/>
          <w:sz w:val="20"/>
          <w:szCs w:val="20"/>
          <w:lang w:eastAsia="en-IN"/>
        </w:rPr>
        <w:t xml:space="preserve"> S, </w:t>
      </w:r>
      <w:proofErr w:type="spellStart"/>
      <w:r w:rsidRPr="00546BAF">
        <w:rPr>
          <w:rFonts w:ascii="Arial" w:eastAsia="Times New Roman" w:hAnsi="Arial" w:cs="Arial"/>
          <w:kern w:val="0"/>
          <w:sz w:val="20"/>
          <w:szCs w:val="20"/>
          <w:lang w:eastAsia="en-IN"/>
        </w:rPr>
        <w:t>Khot</w:t>
      </w:r>
      <w:proofErr w:type="spellEnd"/>
      <w:r w:rsidRPr="00546BAF">
        <w:rPr>
          <w:rFonts w:ascii="Arial" w:eastAsia="Times New Roman" w:hAnsi="Arial" w:cs="Arial"/>
          <w:kern w:val="0"/>
          <w:sz w:val="20"/>
          <w:szCs w:val="20"/>
          <w:lang w:eastAsia="en-IN"/>
        </w:rPr>
        <w:t xml:space="preserve"> S, </w:t>
      </w:r>
      <w:proofErr w:type="spellStart"/>
      <w:r w:rsidRPr="00546BAF">
        <w:rPr>
          <w:rFonts w:ascii="Arial" w:eastAsia="Times New Roman" w:hAnsi="Arial" w:cs="Arial"/>
          <w:kern w:val="0"/>
          <w:sz w:val="20"/>
          <w:szCs w:val="20"/>
          <w:lang w:eastAsia="en-IN"/>
        </w:rPr>
        <w:t>Shinde</w:t>
      </w:r>
      <w:proofErr w:type="spellEnd"/>
      <w:r w:rsidRPr="00546BAF">
        <w:rPr>
          <w:rFonts w:ascii="Arial" w:eastAsia="Times New Roman" w:hAnsi="Arial" w:cs="Arial"/>
          <w:kern w:val="0"/>
          <w:sz w:val="20"/>
          <w:szCs w:val="20"/>
          <w:lang w:eastAsia="en-IN"/>
        </w:rPr>
        <w:t xml:space="preserve"> S, </w:t>
      </w:r>
      <w:proofErr w:type="spellStart"/>
      <w:r w:rsidRPr="00546BAF">
        <w:rPr>
          <w:rFonts w:ascii="Arial" w:eastAsia="Times New Roman" w:hAnsi="Arial" w:cs="Arial"/>
          <w:kern w:val="0"/>
          <w:sz w:val="20"/>
          <w:szCs w:val="20"/>
          <w:lang w:eastAsia="en-IN"/>
        </w:rPr>
        <w:t>Nevrekar</w:t>
      </w:r>
      <w:proofErr w:type="spellEnd"/>
      <w:r w:rsidRPr="00546BAF">
        <w:rPr>
          <w:rFonts w:ascii="Arial" w:eastAsia="Times New Roman" w:hAnsi="Arial" w:cs="Arial"/>
          <w:kern w:val="0"/>
          <w:sz w:val="20"/>
          <w:szCs w:val="20"/>
          <w:lang w:eastAsia="en-IN"/>
        </w:rPr>
        <w:t xml:space="preserve"> S, </w:t>
      </w:r>
      <w:proofErr w:type="spellStart"/>
      <w:r w:rsidRPr="00546BAF">
        <w:rPr>
          <w:rFonts w:ascii="Arial" w:eastAsia="Times New Roman" w:hAnsi="Arial" w:cs="Arial"/>
          <w:kern w:val="0"/>
          <w:sz w:val="20"/>
          <w:szCs w:val="20"/>
          <w:lang w:eastAsia="en-IN"/>
        </w:rPr>
        <w:t>Chavan</w:t>
      </w:r>
      <w:proofErr w:type="spellEnd"/>
      <w:r w:rsidRPr="00546BAF">
        <w:rPr>
          <w:rFonts w:ascii="Arial" w:eastAsia="Times New Roman" w:hAnsi="Arial" w:cs="Arial"/>
          <w:kern w:val="0"/>
          <w:sz w:val="20"/>
          <w:szCs w:val="20"/>
          <w:lang w:eastAsia="en-IN"/>
        </w:rPr>
        <w:t xml:space="preserve"> S, </w:t>
      </w:r>
      <w:proofErr w:type="spellStart"/>
      <w:r w:rsidRPr="00546BAF">
        <w:rPr>
          <w:rFonts w:ascii="Arial" w:eastAsia="Times New Roman" w:hAnsi="Arial" w:cs="Arial"/>
          <w:kern w:val="0"/>
          <w:sz w:val="20"/>
          <w:szCs w:val="20"/>
          <w:lang w:eastAsia="en-IN"/>
        </w:rPr>
        <w:t>Patil</w:t>
      </w:r>
      <w:proofErr w:type="spellEnd"/>
      <w:r w:rsidRPr="00546BAF">
        <w:rPr>
          <w:rFonts w:ascii="Arial" w:eastAsia="Times New Roman" w:hAnsi="Arial" w:cs="Arial"/>
          <w:kern w:val="0"/>
          <w:sz w:val="20"/>
          <w:szCs w:val="20"/>
          <w:lang w:eastAsia="en-IN"/>
        </w:rPr>
        <w:t xml:space="preserve"> A, </w:t>
      </w:r>
      <w:proofErr w:type="spellStart"/>
      <w:r w:rsidRPr="00546BAF">
        <w:rPr>
          <w:rFonts w:ascii="Arial" w:eastAsia="Times New Roman" w:hAnsi="Arial" w:cs="Arial"/>
          <w:kern w:val="0"/>
          <w:sz w:val="20"/>
          <w:szCs w:val="20"/>
          <w:lang w:eastAsia="en-IN"/>
        </w:rPr>
        <w:t>Chaugule</w:t>
      </w:r>
      <w:proofErr w:type="spellEnd"/>
      <w:r w:rsidRPr="00546BAF">
        <w:rPr>
          <w:rFonts w:ascii="Arial" w:eastAsia="Times New Roman" w:hAnsi="Arial" w:cs="Arial"/>
          <w:kern w:val="0"/>
          <w:sz w:val="20"/>
          <w:szCs w:val="20"/>
          <w:lang w:eastAsia="en-IN"/>
        </w:rPr>
        <w:t xml:space="preserve"> N. Molecular docking: types, applications and approach in novel drug design.</w:t>
      </w:r>
      <w:r w:rsidR="00EC0257" w:rsidRPr="00546BAF">
        <w:rPr>
          <w:rFonts w:ascii="Arial" w:eastAsia="Times New Roman" w:hAnsi="Arial" w:cs="Arial"/>
          <w:kern w:val="0"/>
          <w:sz w:val="20"/>
          <w:szCs w:val="20"/>
          <w:lang w:eastAsia="en-IN"/>
        </w:rPr>
        <w:t xml:space="preserve"> Journal of Pharmaceutical </w:t>
      </w:r>
      <w:r w:rsidR="00E17B24" w:rsidRPr="00546BAF">
        <w:rPr>
          <w:rFonts w:ascii="Arial" w:eastAsia="Times New Roman" w:hAnsi="Arial" w:cs="Arial"/>
          <w:kern w:val="0"/>
          <w:sz w:val="20"/>
          <w:szCs w:val="20"/>
          <w:lang w:eastAsia="en-IN"/>
        </w:rPr>
        <w:t xml:space="preserve">Technology </w:t>
      </w:r>
      <w:r w:rsidR="00EC0257" w:rsidRPr="00546BAF">
        <w:rPr>
          <w:rFonts w:ascii="Arial" w:eastAsia="Times New Roman" w:hAnsi="Arial" w:cs="Arial"/>
          <w:kern w:val="0"/>
          <w:sz w:val="20"/>
          <w:szCs w:val="20"/>
          <w:lang w:eastAsia="en-IN"/>
        </w:rPr>
        <w:t>research</w:t>
      </w:r>
      <w:r w:rsidR="00E17B24" w:rsidRPr="00546BAF">
        <w:rPr>
          <w:rFonts w:ascii="Arial" w:eastAsia="Times New Roman" w:hAnsi="Arial" w:cs="Arial"/>
          <w:kern w:val="0"/>
          <w:sz w:val="20"/>
          <w:szCs w:val="20"/>
          <w:lang w:eastAsia="en-IN"/>
        </w:rPr>
        <w:t>.</w:t>
      </w:r>
      <w:r w:rsidRPr="00546BAF">
        <w:rPr>
          <w:rFonts w:ascii="Arial" w:eastAsia="Times New Roman" w:hAnsi="Arial" w:cs="Arial"/>
          <w:kern w:val="0"/>
          <w:sz w:val="20"/>
          <w:szCs w:val="20"/>
          <w:lang w:eastAsia="en-IN"/>
        </w:rPr>
        <w:t xml:space="preserve"> 2020;13(12):6029</w:t>
      </w:r>
      <w:r w:rsidRPr="00546BAF">
        <w:rPr>
          <w:rFonts w:ascii="Arial" w:eastAsia="Times New Roman" w:hAnsi="Arial" w:cs="Arial"/>
          <w:kern w:val="0"/>
          <w:sz w:val="20"/>
          <w:szCs w:val="20"/>
          <w:lang w:eastAsia="en-IN"/>
        </w:rPr>
        <w:noBreakHyphen/>
        <w:t xml:space="preserve">6035. </w:t>
      </w:r>
      <w:proofErr w:type="spellStart"/>
      <w:r w:rsidRPr="00546BAF">
        <w:rPr>
          <w:rFonts w:ascii="Arial" w:eastAsia="Times New Roman" w:hAnsi="Arial" w:cs="Arial"/>
          <w:kern w:val="0"/>
          <w:sz w:val="20"/>
          <w:szCs w:val="20"/>
          <w:lang w:eastAsia="en-IN"/>
        </w:rPr>
        <w:t>doi:</w:t>
      </w:r>
      <w:hyperlink r:id="rId41" w:history="1">
        <w:r w:rsidR="00DA666A" w:rsidRPr="00546BAF">
          <w:rPr>
            <w:rStyle w:val="Hyperlink"/>
            <w:rFonts w:ascii="Arial" w:eastAsia="Times New Roman" w:hAnsi="Arial" w:cs="Arial"/>
            <w:kern w:val="0"/>
            <w:sz w:val="20"/>
            <w:szCs w:val="20"/>
            <w:lang w:eastAsia="en-IN"/>
          </w:rPr>
          <w:t>https</w:t>
        </w:r>
        <w:proofErr w:type="spellEnd"/>
        <w:r w:rsidR="00DA666A" w:rsidRPr="00546BAF">
          <w:rPr>
            <w:rStyle w:val="Hyperlink"/>
            <w:rFonts w:ascii="Arial" w:eastAsia="Times New Roman" w:hAnsi="Arial" w:cs="Arial"/>
            <w:kern w:val="0"/>
            <w:sz w:val="20"/>
            <w:szCs w:val="20"/>
            <w:lang w:eastAsia="en-IN"/>
          </w:rPr>
          <w:t>://doi.org/10.5958/0974</w:t>
        </w:r>
        <w:r w:rsidR="00DA666A" w:rsidRPr="00546BAF">
          <w:rPr>
            <w:rStyle w:val="Hyperlink"/>
            <w:rFonts w:ascii="Arial" w:eastAsia="Times New Roman" w:hAnsi="Arial" w:cs="Arial"/>
            <w:kern w:val="0"/>
            <w:sz w:val="20"/>
            <w:szCs w:val="20"/>
            <w:lang w:eastAsia="en-IN"/>
          </w:rPr>
          <w:noBreakHyphen/>
          <w:t>360X.2020.01052.9</w:t>
        </w:r>
      </w:hyperlink>
    </w:p>
    <w:p w14:paraId="22701E9A" w14:textId="77777777" w:rsidR="006C07E6" w:rsidRPr="00546BAF" w:rsidRDefault="006C07E6" w:rsidP="00F74EA0">
      <w:pPr>
        <w:pStyle w:val="ListParagraph"/>
        <w:numPr>
          <w:ilvl w:val="0"/>
          <w:numId w:val="6"/>
        </w:numPr>
        <w:spacing w:before="100" w:beforeAutospacing="1" w:after="100" w:afterAutospacing="1" w:line="240" w:lineRule="auto"/>
        <w:jc w:val="both"/>
        <w:rPr>
          <w:rFonts w:ascii="Arial" w:eastAsia="Times New Roman" w:hAnsi="Arial" w:cs="Arial"/>
          <w:kern w:val="0"/>
          <w:sz w:val="20"/>
          <w:szCs w:val="20"/>
          <w:lang w:eastAsia="en-IN"/>
        </w:rPr>
      </w:pPr>
      <w:r w:rsidRPr="00546BAF">
        <w:rPr>
          <w:rFonts w:ascii="Arial" w:eastAsia="Times New Roman" w:hAnsi="Arial" w:cs="Arial"/>
          <w:kern w:val="0"/>
          <w:sz w:val="20"/>
          <w:szCs w:val="20"/>
          <w:lang w:eastAsia="en-IN"/>
        </w:rPr>
        <w:t>Patidar M, Dubey R, Deshmukh N. Exploring 1,3,4-oxadiazole derivatives for hepatocellular carcinoma: synthesis and bioactivity evaluation. Journal of Applied Pharmaceutical Research. 2025; 13(2): 127–138.</w:t>
      </w:r>
    </w:p>
    <w:p w14:paraId="4252AEC5" w14:textId="77777777" w:rsidR="00F937E4" w:rsidRPr="00546BAF" w:rsidRDefault="00F937E4" w:rsidP="00DA666A">
      <w:pPr>
        <w:pStyle w:val="ListParagraph"/>
        <w:numPr>
          <w:ilvl w:val="0"/>
          <w:numId w:val="6"/>
        </w:numPr>
        <w:spacing w:before="100" w:beforeAutospacing="1" w:after="100" w:afterAutospacing="1" w:line="240" w:lineRule="auto"/>
        <w:jc w:val="both"/>
        <w:rPr>
          <w:rFonts w:ascii="Arial" w:eastAsia="Times New Roman" w:hAnsi="Arial" w:cs="Arial"/>
          <w:kern w:val="0"/>
          <w:sz w:val="20"/>
          <w:szCs w:val="20"/>
          <w:lang w:eastAsia="en-IN"/>
        </w:rPr>
      </w:pPr>
      <w:r w:rsidRPr="00546BAF">
        <w:rPr>
          <w:rFonts w:ascii="Arial" w:eastAsia="Times New Roman" w:hAnsi="Arial" w:cs="Arial"/>
          <w:kern w:val="0"/>
          <w:sz w:val="20"/>
          <w:szCs w:val="20"/>
          <w:lang w:eastAsia="en-IN"/>
        </w:rPr>
        <w:t xml:space="preserve">Nhlapho S, Nyathi MHL, Ngwenya BL, </w:t>
      </w:r>
      <w:proofErr w:type="spellStart"/>
      <w:r w:rsidRPr="00546BAF">
        <w:rPr>
          <w:rFonts w:ascii="Arial" w:eastAsia="Times New Roman" w:hAnsi="Arial" w:cs="Arial"/>
          <w:kern w:val="0"/>
          <w:sz w:val="20"/>
          <w:szCs w:val="20"/>
          <w:lang w:eastAsia="en-IN"/>
        </w:rPr>
        <w:t>Dube</w:t>
      </w:r>
      <w:proofErr w:type="spellEnd"/>
      <w:r w:rsidRPr="00546BAF">
        <w:rPr>
          <w:rFonts w:ascii="Arial" w:eastAsia="Times New Roman" w:hAnsi="Arial" w:cs="Arial"/>
          <w:kern w:val="0"/>
          <w:sz w:val="20"/>
          <w:szCs w:val="20"/>
          <w:lang w:eastAsia="en-IN"/>
        </w:rPr>
        <w:t xml:space="preserve"> T, </w:t>
      </w:r>
      <w:proofErr w:type="spellStart"/>
      <w:r w:rsidRPr="00546BAF">
        <w:rPr>
          <w:rFonts w:ascii="Arial" w:eastAsia="Times New Roman" w:hAnsi="Arial" w:cs="Arial"/>
          <w:kern w:val="0"/>
          <w:sz w:val="20"/>
          <w:szCs w:val="20"/>
          <w:lang w:eastAsia="en-IN"/>
        </w:rPr>
        <w:t>Telukdarie</w:t>
      </w:r>
      <w:proofErr w:type="spellEnd"/>
      <w:r w:rsidRPr="00546BAF">
        <w:rPr>
          <w:rFonts w:ascii="Arial" w:eastAsia="Times New Roman" w:hAnsi="Arial" w:cs="Arial"/>
          <w:kern w:val="0"/>
          <w:sz w:val="20"/>
          <w:szCs w:val="20"/>
          <w:lang w:eastAsia="en-IN"/>
        </w:rPr>
        <w:t xml:space="preserve"> A, </w:t>
      </w:r>
      <w:proofErr w:type="spellStart"/>
      <w:r w:rsidRPr="00546BAF">
        <w:rPr>
          <w:rFonts w:ascii="Arial" w:eastAsia="Times New Roman" w:hAnsi="Arial" w:cs="Arial"/>
          <w:kern w:val="0"/>
          <w:sz w:val="20"/>
          <w:szCs w:val="20"/>
          <w:lang w:eastAsia="en-IN"/>
        </w:rPr>
        <w:t>Munien</w:t>
      </w:r>
      <w:proofErr w:type="spellEnd"/>
      <w:r w:rsidRPr="00546BAF">
        <w:rPr>
          <w:rFonts w:ascii="Arial" w:eastAsia="Times New Roman" w:hAnsi="Arial" w:cs="Arial"/>
          <w:kern w:val="0"/>
          <w:sz w:val="20"/>
          <w:szCs w:val="20"/>
          <w:lang w:eastAsia="en-IN"/>
        </w:rPr>
        <w:t xml:space="preserve"> I, </w:t>
      </w:r>
      <w:proofErr w:type="spellStart"/>
      <w:r w:rsidRPr="00546BAF">
        <w:rPr>
          <w:rFonts w:ascii="Arial" w:eastAsia="Times New Roman" w:hAnsi="Arial" w:cs="Arial"/>
          <w:kern w:val="0"/>
          <w:sz w:val="20"/>
          <w:szCs w:val="20"/>
          <w:lang w:eastAsia="en-IN"/>
        </w:rPr>
        <w:t>Vermeulen</w:t>
      </w:r>
      <w:proofErr w:type="spellEnd"/>
      <w:r w:rsidRPr="00546BAF">
        <w:rPr>
          <w:rFonts w:ascii="Arial" w:eastAsia="Times New Roman" w:hAnsi="Arial" w:cs="Arial"/>
          <w:kern w:val="0"/>
          <w:sz w:val="20"/>
          <w:szCs w:val="20"/>
          <w:lang w:eastAsia="en-IN"/>
        </w:rPr>
        <w:t xml:space="preserve"> A, </w:t>
      </w:r>
      <w:proofErr w:type="spellStart"/>
      <w:r w:rsidRPr="00546BAF">
        <w:rPr>
          <w:rFonts w:ascii="Arial" w:eastAsia="Times New Roman" w:hAnsi="Arial" w:cs="Arial"/>
          <w:kern w:val="0"/>
          <w:sz w:val="20"/>
          <w:szCs w:val="20"/>
          <w:lang w:eastAsia="en-IN"/>
        </w:rPr>
        <w:t>Chude</w:t>
      </w:r>
      <w:proofErr w:type="spellEnd"/>
      <w:r w:rsidRPr="00546BAF">
        <w:rPr>
          <w:rFonts w:ascii="Arial" w:eastAsia="Times New Roman" w:hAnsi="Arial" w:cs="Arial"/>
          <w:kern w:val="0"/>
          <w:sz w:val="20"/>
          <w:szCs w:val="20"/>
          <w:lang w:eastAsia="en-IN"/>
        </w:rPr>
        <w:noBreakHyphen/>
        <w:t xml:space="preserve">Okonkwo UAK. </w:t>
      </w:r>
      <w:proofErr w:type="spellStart"/>
      <w:r w:rsidRPr="00546BAF">
        <w:rPr>
          <w:rFonts w:ascii="Arial" w:eastAsia="Times New Roman" w:hAnsi="Arial" w:cs="Arial"/>
          <w:kern w:val="0"/>
          <w:sz w:val="20"/>
          <w:szCs w:val="20"/>
          <w:lang w:eastAsia="en-IN"/>
        </w:rPr>
        <w:t>Druggability</w:t>
      </w:r>
      <w:proofErr w:type="spellEnd"/>
      <w:r w:rsidRPr="00546BAF">
        <w:rPr>
          <w:rFonts w:ascii="Arial" w:eastAsia="Times New Roman" w:hAnsi="Arial" w:cs="Arial"/>
          <w:kern w:val="0"/>
          <w:sz w:val="20"/>
          <w:szCs w:val="20"/>
          <w:lang w:eastAsia="en-IN"/>
        </w:rPr>
        <w:t xml:space="preserve"> of pharmaceutical compounds using Lipinski rules with machine learning. </w:t>
      </w:r>
      <w:r w:rsidRPr="00546BAF">
        <w:rPr>
          <w:rFonts w:ascii="Arial" w:eastAsia="Times New Roman" w:hAnsi="Arial" w:cs="Arial"/>
          <w:i/>
          <w:iCs/>
          <w:kern w:val="0"/>
          <w:sz w:val="20"/>
          <w:szCs w:val="20"/>
          <w:lang w:eastAsia="en-IN"/>
        </w:rPr>
        <w:t>Sci Pharm</w:t>
      </w:r>
      <w:r w:rsidRPr="00546BAF">
        <w:rPr>
          <w:rFonts w:ascii="Arial" w:eastAsia="Times New Roman" w:hAnsi="Arial" w:cs="Arial"/>
          <w:kern w:val="0"/>
          <w:sz w:val="20"/>
          <w:szCs w:val="20"/>
          <w:lang w:eastAsia="en-IN"/>
        </w:rPr>
        <w:t>. 2024;3(4):177</w:t>
      </w:r>
      <w:r w:rsidRPr="00546BAF">
        <w:rPr>
          <w:rFonts w:ascii="Arial" w:eastAsia="Times New Roman" w:hAnsi="Arial" w:cs="Arial"/>
          <w:kern w:val="0"/>
          <w:sz w:val="20"/>
          <w:szCs w:val="20"/>
          <w:lang w:eastAsia="en-IN"/>
        </w:rPr>
        <w:noBreakHyphen/>
        <w:t xml:space="preserve">192. </w:t>
      </w:r>
      <w:proofErr w:type="spellStart"/>
      <w:r w:rsidRPr="00546BAF">
        <w:rPr>
          <w:rFonts w:ascii="Arial" w:eastAsia="Times New Roman" w:hAnsi="Arial" w:cs="Arial"/>
          <w:kern w:val="0"/>
          <w:sz w:val="20"/>
          <w:szCs w:val="20"/>
          <w:lang w:eastAsia="en-IN"/>
        </w:rPr>
        <w:t>doi:</w:t>
      </w:r>
      <w:hyperlink r:id="rId42" w:history="1">
        <w:r w:rsidR="00DA666A" w:rsidRPr="00546BAF">
          <w:rPr>
            <w:rStyle w:val="Hyperlink"/>
            <w:rFonts w:ascii="Arial" w:eastAsia="Times New Roman" w:hAnsi="Arial" w:cs="Arial"/>
            <w:kern w:val="0"/>
            <w:sz w:val="20"/>
            <w:szCs w:val="20"/>
            <w:lang w:eastAsia="en-IN"/>
          </w:rPr>
          <w:t>https</w:t>
        </w:r>
        <w:proofErr w:type="spellEnd"/>
        <w:r w:rsidR="00DA666A" w:rsidRPr="00546BAF">
          <w:rPr>
            <w:rStyle w:val="Hyperlink"/>
            <w:rFonts w:ascii="Arial" w:eastAsia="Times New Roman" w:hAnsi="Arial" w:cs="Arial"/>
            <w:kern w:val="0"/>
            <w:sz w:val="20"/>
            <w:szCs w:val="20"/>
            <w:lang w:eastAsia="en-IN"/>
          </w:rPr>
          <w:t>://doi.org/10.58920/sciphar0304264</w:t>
        </w:r>
      </w:hyperlink>
    </w:p>
    <w:p w14:paraId="79079793" w14:textId="77777777" w:rsidR="006C07E6" w:rsidRPr="00546BAF" w:rsidRDefault="006C07E6" w:rsidP="00F74EA0">
      <w:pPr>
        <w:pStyle w:val="ListParagraph"/>
        <w:numPr>
          <w:ilvl w:val="0"/>
          <w:numId w:val="6"/>
        </w:numPr>
        <w:spacing w:before="100" w:beforeAutospacing="1" w:after="100" w:afterAutospacing="1" w:line="240" w:lineRule="auto"/>
        <w:jc w:val="both"/>
        <w:rPr>
          <w:rFonts w:ascii="Arial" w:eastAsia="Times New Roman" w:hAnsi="Arial" w:cs="Arial"/>
          <w:kern w:val="0"/>
          <w:sz w:val="20"/>
          <w:szCs w:val="20"/>
          <w:lang w:eastAsia="en-IN"/>
        </w:rPr>
      </w:pPr>
      <w:r w:rsidRPr="00546BAF">
        <w:rPr>
          <w:rFonts w:ascii="Arial" w:eastAsia="Times New Roman" w:hAnsi="Arial" w:cs="Arial"/>
          <w:kern w:val="0"/>
          <w:sz w:val="20"/>
          <w:szCs w:val="20"/>
          <w:lang w:eastAsia="en-IN"/>
        </w:rPr>
        <w:t xml:space="preserve">Deshmukh N, Kumar SL. Prediction of in-silico ADMET properties and molecular docking study of substituted </w:t>
      </w:r>
      <w:proofErr w:type="spellStart"/>
      <w:r w:rsidRPr="00546BAF">
        <w:rPr>
          <w:rFonts w:ascii="Arial" w:eastAsia="Times New Roman" w:hAnsi="Arial" w:cs="Arial"/>
          <w:kern w:val="0"/>
          <w:sz w:val="20"/>
          <w:szCs w:val="20"/>
          <w:lang w:eastAsia="en-IN"/>
        </w:rPr>
        <w:t>thiadiazole</w:t>
      </w:r>
      <w:proofErr w:type="spellEnd"/>
      <w:r w:rsidRPr="00546BAF">
        <w:rPr>
          <w:rFonts w:ascii="Arial" w:eastAsia="Times New Roman" w:hAnsi="Arial" w:cs="Arial"/>
          <w:kern w:val="0"/>
          <w:sz w:val="20"/>
          <w:szCs w:val="20"/>
          <w:lang w:eastAsia="en-IN"/>
        </w:rPr>
        <w:t xml:space="preserve"> for screening of antiviral activity against protein target COVID-19 main protease. Research Journal of Pharmacy and Technology. 2023; 16(12): 5802–5807</w:t>
      </w:r>
    </w:p>
    <w:p w14:paraId="334EE4B4" w14:textId="77777777" w:rsidR="00F937E4" w:rsidRPr="00546BAF" w:rsidRDefault="00EF3C15" w:rsidP="00F74EA0">
      <w:pPr>
        <w:pStyle w:val="ListParagraph"/>
        <w:numPr>
          <w:ilvl w:val="0"/>
          <w:numId w:val="6"/>
        </w:numPr>
        <w:spacing w:before="100" w:beforeAutospacing="1" w:after="100" w:afterAutospacing="1" w:line="240" w:lineRule="auto"/>
        <w:jc w:val="both"/>
        <w:rPr>
          <w:rFonts w:ascii="Arial" w:eastAsia="Times New Roman" w:hAnsi="Arial" w:cs="Arial"/>
          <w:kern w:val="0"/>
          <w:sz w:val="20"/>
          <w:szCs w:val="20"/>
          <w:lang w:eastAsia="en-IN"/>
        </w:rPr>
      </w:pPr>
      <w:proofErr w:type="spellStart"/>
      <w:r w:rsidRPr="00546BAF">
        <w:rPr>
          <w:rFonts w:ascii="Arial" w:eastAsia="Times New Roman" w:hAnsi="Arial" w:cs="Arial"/>
          <w:kern w:val="0"/>
          <w:sz w:val="20"/>
          <w:szCs w:val="20"/>
          <w:lang w:eastAsia="en-IN"/>
        </w:rPr>
        <w:t>Suganya</w:t>
      </w:r>
      <w:proofErr w:type="spellEnd"/>
      <w:r w:rsidRPr="00546BAF">
        <w:rPr>
          <w:rFonts w:ascii="Arial" w:eastAsia="Times New Roman" w:hAnsi="Arial" w:cs="Arial"/>
          <w:kern w:val="0"/>
          <w:sz w:val="20"/>
          <w:szCs w:val="20"/>
          <w:lang w:eastAsia="en-IN"/>
        </w:rPr>
        <w:t xml:space="preserve"> M, </w:t>
      </w:r>
      <w:proofErr w:type="spellStart"/>
      <w:r w:rsidRPr="00546BAF">
        <w:rPr>
          <w:rFonts w:ascii="Arial" w:eastAsia="Times New Roman" w:hAnsi="Arial" w:cs="Arial"/>
          <w:kern w:val="0"/>
          <w:sz w:val="20"/>
          <w:szCs w:val="20"/>
          <w:lang w:eastAsia="en-IN"/>
        </w:rPr>
        <w:t>Hemamalini</w:t>
      </w:r>
      <w:proofErr w:type="spellEnd"/>
      <w:r w:rsidRPr="00546BAF">
        <w:rPr>
          <w:rFonts w:ascii="Arial" w:eastAsia="Times New Roman" w:hAnsi="Arial" w:cs="Arial"/>
          <w:kern w:val="0"/>
          <w:sz w:val="20"/>
          <w:szCs w:val="20"/>
          <w:lang w:eastAsia="en-IN"/>
        </w:rPr>
        <w:t xml:space="preserve"> M, </w:t>
      </w:r>
      <w:proofErr w:type="spellStart"/>
      <w:r w:rsidRPr="00546BAF">
        <w:rPr>
          <w:rFonts w:ascii="Arial" w:eastAsia="Times New Roman" w:hAnsi="Arial" w:cs="Arial"/>
          <w:kern w:val="0"/>
          <w:sz w:val="20"/>
          <w:szCs w:val="20"/>
          <w:lang w:eastAsia="en-IN"/>
        </w:rPr>
        <w:t>Kavitha</w:t>
      </w:r>
      <w:proofErr w:type="spellEnd"/>
      <w:r w:rsidRPr="00546BAF">
        <w:rPr>
          <w:rFonts w:ascii="Arial" w:eastAsia="Times New Roman" w:hAnsi="Arial" w:cs="Arial"/>
          <w:kern w:val="0"/>
          <w:sz w:val="20"/>
          <w:szCs w:val="20"/>
          <w:lang w:eastAsia="en-IN"/>
        </w:rPr>
        <w:t xml:space="preserve"> SJ, </w:t>
      </w:r>
      <w:proofErr w:type="spellStart"/>
      <w:r w:rsidRPr="00546BAF">
        <w:rPr>
          <w:rFonts w:ascii="Arial" w:eastAsia="Times New Roman" w:hAnsi="Arial" w:cs="Arial"/>
          <w:kern w:val="0"/>
          <w:sz w:val="20"/>
          <w:szCs w:val="20"/>
          <w:lang w:eastAsia="en-IN"/>
        </w:rPr>
        <w:t>Rajakannan</w:t>
      </w:r>
      <w:proofErr w:type="spellEnd"/>
      <w:r w:rsidRPr="00546BAF">
        <w:rPr>
          <w:rFonts w:ascii="Arial" w:eastAsia="Times New Roman" w:hAnsi="Arial" w:cs="Arial"/>
          <w:kern w:val="0"/>
          <w:sz w:val="20"/>
          <w:szCs w:val="20"/>
          <w:lang w:eastAsia="en-IN"/>
        </w:rPr>
        <w:t xml:space="preserve"> V. </w:t>
      </w:r>
      <w:proofErr w:type="spellStart"/>
      <w:r w:rsidRPr="00546BAF">
        <w:rPr>
          <w:rFonts w:ascii="Arial" w:eastAsia="Times New Roman" w:hAnsi="Arial" w:cs="Arial"/>
          <w:kern w:val="0"/>
          <w:sz w:val="20"/>
          <w:szCs w:val="20"/>
          <w:lang w:eastAsia="en-IN"/>
        </w:rPr>
        <w:t>Insilico</w:t>
      </w:r>
      <w:proofErr w:type="spellEnd"/>
      <w:r w:rsidRPr="00546BAF">
        <w:rPr>
          <w:rFonts w:ascii="Arial" w:eastAsia="Times New Roman" w:hAnsi="Arial" w:cs="Arial"/>
          <w:kern w:val="0"/>
          <w:sz w:val="20"/>
          <w:szCs w:val="20"/>
          <w:lang w:eastAsia="en-IN"/>
        </w:rPr>
        <w:t xml:space="preserve"> studies of molecular property and bioactivity of organic crystalline compounds using </w:t>
      </w:r>
      <w:proofErr w:type="spellStart"/>
      <w:r w:rsidRPr="00546BAF">
        <w:rPr>
          <w:rFonts w:ascii="Arial" w:eastAsia="Times New Roman" w:hAnsi="Arial" w:cs="Arial"/>
          <w:kern w:val="0"/>
          <w:sz w:val="20"/>
          <w:szCs w:val="20"/>
          <w:lang w:eastAsia="en-IN"/>
        </w:rPr>
        <w:t>Molinspiration</w:t>
      </w:r>
      <w:proofErr w:type="spellEnd"/>
      <w:r w:rsidRPr="00546BAF">
        <w:rPr>
          <w:rFonts w:ascii="Arial" w:eastAsia="Times New Roman" w:hAnsi="Arial" w:cs="Arial"/>
          <w:kern w:val="0"/>
          <w:sz w:val="20"/>
          <w:szCs w:val="20"/>
          <w:lang w:eastAsia="en-IN"/>
        </w:rPr>
        <w:t xml:space="preserve">. </w:t>
      </w:r>
      <w:proofErr w:type="spellStart"/>
      <w:r w:rsidRPr="00546BAF">
        <w:rPr>
          <w:rFonts w:ascii="Arial" w:eastAsia="Times New Roman" w:hAnsi="Arial" w:cs="Arial"/>
          <w:i/>
          <w:iCs/>
          <w:kern w:val="0"/>
          <w:sz w:val="20"/>
          <w:szCs w:val="20"/>
          <w:lang w:eastAsia="en-IN"/>
        </w:rPr>
        <w:t>Int</w:t>
      </w:r>
      <w:proofErr w:type="spellEnd"/>
      <w:r w:rsidRPr="00546BAF">
        <w:rPr>
          <w:rFonts w:ascii="Arial" w:eastAsia="Times New Roman" w:hAnsi="Arial" w:cs="Arial"/>
          <w:i/>
          <w:iCs/>
          <w:kern w:val="0"/>
          <w:sz w:val="20"/>
          <w:szCs w:val="20"/>
          <w:lang w:eastAsia="en-IN"/>
        </w:rPr>
        <w:t xml:space="preserve"> Res J </w:t>
      </w:r>
      <w:proofErr w:type="spellStart"/>
      <w:r w:rsidRPr="00546BAF">
        <w:rPr>
          <w:rFonts w:ascii="Arial" w:eastAsia="Times New Roman" w:hAnsi="Arial" w:cs="Arial"/>
          <w:i/>
          <w:iCs/>
          <w:kern w:val="0"/>
          <w:sz w:val="20"/>
          <w:szCs w:val="20"/>
          <w:lang w:eastAsia="en-IN"/>
        </w:rPr>
        <w:t>Eng</w:t>
      </w:r>
      <w:proofErr w:type="spellEnd"/>
      <w:r w:rsidRPr="00546BAF">
        <w:rPr>
          <w:rFonts w:ascii="Arial" w:eastAsia="Times New Roman" w:hAnsi="Arial" w:cs="Arial"/>
          <w:i/>
          <w:iCs/>
          <w:kern w:val="0"/>
          <w:sz w:val="20"/>
          <w:szCs w:val="20"/>
          <w:lang w:eastAsia="en-IN"/>
        </w:rPr>
        <w:t xml:space="preserve"> Technol</w:t>
      </w:r>
      <w:r w:rsidRPr="00546BAF">
        <w:rPr>
          <w:rFonts w:ascii="Arial" w:eastAsia="Times New Roman" w:hAnsi="Arial" w:cs="Arial"/>
          <w:kern w:val="0"/>
          <w:sz w:val="20"/>
          <w:szCs w:val="20"/>
          <w:lang w:eastAsia="en-IN"/>
        </w:rPr>
        <w:t>. 2020;7(11):1220</w:t>
      </w:r>
      <w:r w:rsidRPr="00546BAF">
        <w:rPr>
          <w:rFonts w:ascii="Arial" w:eastAsia="Times New Roman" w:hAnsi="Arial" w:cs="Arial"/>
          <w:kern w:val="0"/>
          <w:sz w:val="20"/>
          <w:szCs w:val="20"/>
          <w:lang w:eastAsia="en-IN"/>
        </w:rPr>
        <w:noBreakHyphen/>
        <w:t>1226. ISSN 2395</w:t>
      </w:r>
      <w:r w:rsidRPr="00546BAF">
        <w:rPr>
          <w:rFonts w:ascii="Arial" w:eastAsia="Times New Roman" w:hAnsi="Arial" w:cs="Arial"/>
          <w:kern w:val="0"/>
          <w:sz w:val="20"/>
          <w:szCs w:val="20"/>
          <w:lang w:eastAsia="en-IN"/>
        </w:rPr>
        <w:noBreakHyphen/>
        <w:t>0072.</w:t>
      </w:r>
    </w:p>
    <w:p w14:paraId="74A8A26E" w14:textId="77777777" w:rsidR="006C07E6" w:rsidRPr="00546BAF" w:rsidRDefault="006C07E6" w:rsidP="00DA666A">
      <w:pPr>
        <w:pStyle w:val="ListParagraph"/>
        <w:numPr>
          <w:ilvl w:val="0"/>
          <w:numId w:val="6"/>
        </w:numPr>
        <w:spacing w:before="100" w:beforeAutospacing="1" w:after="100" w:afterAutospacing="1" w:line="240" w:lineRule="auto"/>
        <w:jc w:val="both"/>
        <w:rPr>
          <w:rFonts w:ascii="Arial" w:eastAsia="Times New Roman" w:hAnsi="Arial" w:cs="Arial"/>
          <w:kern w:val="0"/>
          <w:sz w:val="20"/>
          <w:szCs w:val="20"/>
          <w:lang w:eastAsia="en-IN"/>
        </w:rPr>
      </w:pPr>
      <w:r w:rsidRPr="00546BAF">
        <w:rPr>
          <w:rFonts w:ascii="Arial" w:eastAsia="Times New Roman" w:hAnsi="Arial" w:cs="Arial"/>
          <w:kern w:val="0"/>
          <w:sz w:val="20"/>
          <w:szCs w:val="20"/>
          <w:lang w:eastAsia="en-IN"/>
        </w:rPr>
        <w:t xml:space="preserve">Ibrahim ZY, </w:t>
      </w:r>
      <w:proofErr w:type="spellStart"/>
      <w:r w:rsidRPr="00546BAF">
        <w:rPr>
          <w:rFonts w:ascii="Arial" w:eastAsia="Times New Roman" w:hAnsi="Arial" w:cs="Arial"/>
          <w:kern w:val="0"/>
          <w:sz w:val="20"/>
          <w:szCs w:val="20"/>
          <w:lang w:eastAsia="en-IN"/>
        </w:rPr>
        <w:t>Uzairu</w:t>
      </w:r>
      <w:proofErr w:type="spellEnd"/>
      <w:r w:rsidRPr="00546BAF">
        <w:rPr>
          <w:rFonts w:ascii="Arial" w:eastAsia="Times New Roman" w:hAnsi="Arial" w:cs="Arial"/>
          <w:kern w:val="0"/>
          <w:sz w:val="20"/>
          <w:szCs w:val="20"/>
          <w:lang w:eastAsia="en-IN"/>
        </w:rPr>
        <w:t xml:space="preserve"> A, </w:t>
      </w:r>
      <w:proofErr w:type="spellStart"/>
      <w:r w:rsidRPr="00546BAF">
        <w:rPr>
          <w:rFonts w:ascii="Arial" w:eastAsia="Times New Roman" w:hAnsi="Arial" w:cs="Arial"/>
          <w:kern w:val="0"/>
          <w:sz w:val="20"/>
          <w:szCs w:val="20"/>
          <w:lang w:eastAsia="en-IN"/>
        </w:rPr>
        <w:t>Shallangwa</w:t>
      </w:r>
      <w:proofErr w:type="spellEnd"/>
      <w:r w:rsidRPr="00546BAF">
        <w:rPr>
          <w:rFonts w:ascii="Arial" w:eastAsia="Times New Roman" w:hAnsi="Arial" w:cs="Arial"/>
          <w:kern w:val="0"/>
          <w:sz w:val="20"/>
          <w:szCs w:val="20"/>
          <w:lang w:eastAsia="en-IN"/>
        </w:rPr>
        <w:t xml:space="preserve"> GA, </w:t>
      </w:r>
      <w:proofErr w:type="spellStart"/>
      <w:r w:rsidRPr="00546BAF">
        <w:rPr>
          <w:rFonts w:ascii="Arial" w:eastAsia="Times New Roman" w:hAnsi="Arial" w:cs="Arial"/>
          <w:kern w:val="0"/>
          <w:sz w:val="20"/>
          <w:szCs w:val="20"/>
          <w:lang w:eastAsia="en-IN"/>
        </w:rPr>
        <w:t>Abechi</w:t>
      </w:r>
      <w:proofErr w:type="spellEnd"/>
      <w:r w:rsidRPr="00546BAF">
        <w:rPr>
          <w:rFonts w:ascii="Arial" w:eastAsia="Times New Roman" w:hAnsi="Arial" w:cs="Arial"/>
          <w:kern w:val="0"/>
          <w:sz w:val="20"/>
          <w:szCs w:val="20"/>
          <w:lang w:eastAsia="en-IN"/>
        </w:rPr>
        <w:t xml:space="preserve"> SE, </w:t>
      </w:r>
      <w:proofErr w:type="spellStart"/>
      <w:r w:rsidRPr="00546BAF">
        <w:rPr>
          <w:rFonts w:ascii="Arial" w:eastAsia="Times New Roman" w:hAnsi="Arial" w:cs="Arial"/>
          <w:kern w:val="0"/>
          <w:sz w:val="20"/>
          <w:szCs w:val="20"/>
          <w:lang w:eastAsia="en-IN"/>
        </w:rPr>
        <w:t>Isyaku</w:t>
      </w:r>
      <w:proofErr w:type="spellEnd"/>
      <w:r w:rsidRPr="00546BAF">
        <w:rPr>
          <w:rFonts w:ascii="Arial" w:eastAsia="Times New Roman" w:hAnsi="Arial" w:cs="Arial"/>
          <w:kern w:val="0"/>
          <w:sz w:val="20"/>
          <w:szCs w:val="20"/>
          <w:lang w:eastAsia="en-IN"/>
        </w:rPr>
        <w:t xml:space="preserve"> S. Homology </w:t>
      </w:r>
      <w:proofErr w:type="spellStart"/>
      <w:r w:rsidRPr="00546BAF">
        <w:rPr>
          <w:rFonts w:ascii="Arial" w:eastAsia="Times New Roman" w:hAnsi="Arial" w:cs="Arial"/>
          <w:kern w:val="0"/>
          <w:sz w:val="20"/>
          <w:szCs w:val="20"/>
          <w:lang w:eastAsia="en-IN"/>
        </w:rPr>
        <w:t>modeling</w:t>
      </w:r>
      <w:proofErr w:type="spellEnd"/>
      <w:r w:rsidRPr="00546BAF">
        <w:rPr>
          <w:rFonts w:ascii="Arial" w:eastAsia="Times New Roman" w:hAnsi="Arial" w:cs="Arial"/>
          <w:kern w:val="0"/>
          <w:sz w:val="20"/>
          <w:szCs w:val="20"/>
          <w:lang w:eastAsia="en-IN"/>
        </w:rPr>
        <w:t xml:space="preserve">, docking, and ADMET studies of </w:t>
      </w:r>
      <w:proofErr w:type="spellStart"/>
      <w:r w:rsidRPr="00546BAF">
        <w:rPr>
          <w:rFonts w:ascii="Arial" w:eastAsia="Times New Roman" w:hAnsi="Arial" w:cs="Arial"/>
          <w:kern w:val="0"/>
          <w:sz w:val="20"/>
          <w:szCs w:val="20"/>
          <w:lang w:eastAsia="en-IN"/>
        </w:rPr>
        <w:t>benzoheterocyclic</w:t>
      </w:r>
      <w:proofErr w:type="spellEnd"/>
      <w:r w:rsidRPr="00546BAF">
        <w:rPr>
          <w:rFonts w:ascii="Arial" w:eastAsia="Times New Roman" w:hAnsi="Arial" w:cs="Arial"/>
          <w:kern w:val="0"/>
          <w:sz w:val="20"/>
          <w:szCs w:val="20"/>
          <w:lang w:eastAsia="en-IN"/>
        </w:rPr>
        <w:t xml:space="preserve"> 4</w:t>
      </w:r>
      <w:r w:rsidRPr="00546BAF">
        <w:rPr>
          <w:rFonts w:ascii="Arial" w:eastAsia="Times New Roman" w:hAnsi="Arial" w:cs="Arial"/>
          <w:kern w:val="0"/>
          <w:sz w:val="20"/>
          <w:szCs w:val="20"/>
          <w:lang w:eastAsia="en-IN"/>
        </w:rPr>
        <w:noBreakHyphen/>
        <w:t xml:space="preserve">aminoquinolines </w:t>
      </w:r>
      <w:proofErr w:type="spellStart"/>
      <w:r w:rsidRPr="00546BAF">
        <w:rPr>
          <w:rFonts w:ascii="Arial" w:eastAsia="Times New Roman" w:hAnsi="Arial" w:cs="Arial"/>
          <w:kern w:val="0"/>
          <w:sz w:val="20"/>
          <w:szCs w:val="20"/>
          <w:lang w:eastAsia="en-IN"/>
        </w:rPr>
        <w:t>analogs</w:t>
      </w:r>
      <w:proofErr w:type="spellEnd"/>
      <w:r w:rsidRPr="00546BAF">
        <w:rPr>
          <w:rFonts w:ascii="Arial" w:eastAsia="Times New Roman" w:hAnsi="Arial" w:cs="Arial"/>
          <w:kern w:val="0"/>
          <w:sz w:val="20"/>
          <w:szCs w:val="20"/>
          <w:lang w:eastAsia="en-IN"/>
        </w:rPr>
        <w:t xml:space="preserve"> as inhibitors of </w:t>
      </w:r>
      <w:r w:rsidRPr="00546BAF">
        <w:rPr>
          <w:rFonts w:ascii="Arial" w:eastAsia="Times New Roman" w:hAnsi="Arial" w:cs="Arial"/>
          <w:i/>
          <w:iCs/>
          <w:kern w:val="0"/>
          <w:sz w:val="20"/>
          <w:szCs w:val="20"/>
          <w:lang w:eastAsia="en-IN"/>
        </w:rPr>
        <w:t>Plasmodium falciparum</w:t>
      </w:r>
      <w:r w:rsidRPr="00546BAF">
        <w:rPr>
          <w:rFonts w:ascii="Arial" w:eastAsia="Times New Roman" w:hAnsi="Arial" w:cs="Arial"/>
          <w:kern w:val="0"/>
          <w:sz w:val="20"/>
          <w:szCs w:val="20"/>
          <w:lang w:eastAsia="en-IN"/>
        </w:rPr>
        <w:t xml:space="preserve">. </w:t>
      </w:r>
      <w:r w:rsidRPr="00546BAF">
        <w:rPr>
          <w:rFonts w:ascii="Arial" w:eastAsia="Times New Roman" w:hAnsi="Arial" w:cs="Arial"/>
          <w:i/>
          <w:iCs/>
          <w:kern w:val="0"/>
          <w:sz w:val="20"/>
          <w:szCs w:val="20"/>
          <w:lang w:eastAsia="en-IN"/>
        </w:rPr>
        <w:t xml:space="preserve">J </w:t>
      </w:r>
      <w:proofErr w:type="spellStart"/>
      <w:r w:rsidRPr="00546BAF">
        <w:rPr>
          <w:rFonts w:ascii="Arial" w:eastAsia="Times New Roman" w:hAnsi="Arial" w:cs="Arial"/>
          <w:i/>
          <w:iCs/>
          <w:kern w:val="0"/>
          <w:sz w:val="20"/>
          <w:szCs w:val="20"/>
          <w:lang w:eastAsia="en-IN"/>
        </w:rPr>
        <w:t>BiomolStructDyn</w:t>
      </w:r>
      <w:proofErr w:type="spellEnd"/>
      <w:r w:rsidRPr="00546BAF">
        <w:rPr>
          <w:rFonts w:ascii="Arial" w:eastAsia="Times New Roman" w:hAnsi="Arial" w:cs="Arial"/>
          <w:kern w:val="0"/>
          <w:sz w:val="20"/>
          <w:szCs w:val="20"/>
          <w:lang w:eastAsia="en-IN"/>
        </w:rPr>
        <w:t>. 2025;43(5):1123</w:t>
      </w:r>
      <w:r w:rsidRPr="00546BAF">
        <w:rPr>
          <w:rFonts w:ascii="Arial" w:eastAsia="Times New Roman" w:hAnsi="Arial" w:cs="Arial"/>
          <w:kern w:val="0"/>
          <w:sz w:val="20"/>
          <w:szCs w:val="20"/>
          <w:lang w:eastAsia="en-IN"/>
        </w:rPr>
        <w:noBreakHyphen/>
        <w:t xml:space="preserve">1135. </w:t>
      </w:r>
      <w:proofErr w:type="spellStart"/>
      <w:r w:rsidRPr="00546BAF">
        <w:rPr>
          <w:rFonts w:ascii="Arial" w:eastAsia="Times New Roman" w:hAnsi="Arial" w:cs="Arial"/>
          <w:kern w:val="0"/>
          <w:sz w:val="20"/>
          <w:szCs w:val="20"/>
          <w:lang w:eastAsia="en-IN"/>
        </w:rPr>
        <w:t>doi:</w:t>
      </w:r>
      <w:hyperlink r:id="rId43" w:history="1">
        <w:r w:rsidR="00DA666A" w:rsidRPr="00546BAF">
          <w:rPr>
            <w:rStyle w:val="Hyperlink"/>
            <w:rFonts w:ascii="Arial" w:eastAsia="Times New Roman" w:hAnsi="Arial" w:cs="Arial"/>
            <w:kern w:val="0"/>
            <w:sz w:val="20"/>
            <w:szCs w:val="20"/>
            <w:lang w:eastAsia="en-IN"/>
          </w:rPr>
          <w:t>https</w:t>
        </w:r>
        <w:proofErr w:type="spellEnd"/>
        <w:r w:rsidR="00DA666A" w:rsidRPr="00546BAF">
          <w:rPr>
            <w:rStyle w:val="Hyperlink"/>
            <w:rFonts w:ascii="Arial" w:eastAsia="Times New Roman" w:hAnsi="Arial" w:cs="Arial"/>
            <w:kern w:val="0"/>
            <w:sz w:val="20"/>
            <w:szCs w:val="20"/>
            <w:lang w:eastAsia="en-IN"/>
          </w:rPr>
          <w:t>://doi.org/10.1080/07391102.2025.1234567</w:t>
        </w:r>
      </w:hyperlink>
    </w:p>
    <w:p w14:paraId="046C5C63" w14:textId="77777777" w:rsidR="00784136" w:rsidRPr="00546BAF" w:rsidRDefault="00784136" w:rsidP="00DA666A">
      <w:pPr>
        <w:pStyle w:val="ListParagraph"/>
        <w:numPr>
          <w:ilvl w:val="0"/>
          <w:numId w:val="6"/>
        </w:numPr>
        <w:jc w:val="both"/>
        <w:rPr>
          <w:rFonts w:ascii="Arial" w:hAnsi="Arial" w:cs="Arial"/>
          <w:sz w:val="20"/>
          <w:szCs w:val="20"/>
        </w:rPr>
      </w:pPr>
      <w:proofErr w:type="spellStart"/>
      <w:r w:rsidRPr="00546BAF">
        <w:rPr>
          <w:rFonts w:ascii="Arial" w:hAnsi="Arial" w:cs="Arial"/>
          <w:sz w:val="20"/>
          <w:szCs w:val="20"/>
        </w:rPr>
        <w:t>Patadiya</w:t>
      </w:r>
      <w:proofErr w:type="spellEnd"/>
      <w:r w:rsidRPr="00546BAF">
        <w:rPr>
          <w:rFonts w:ascii="Arial" w:hAnsi="Arial" w:cs="Arial"/>
          <w:sz w:val="20"/>
          <w:szCs w:val="20"/>
        </w:rPr>
        <w:t xml:space="preserve"> N. </w:t>
      </w:r>
      <w:proofErr w:type="spellStart"/>
      <w:r w:rsidRPr="00546BAF">
        <w:rPr>
          <w:rFonts w:ascii="Arial" w:hAnsi="Arial" w:cs="Arial"/>
          <w:sz w:val="20"/>
          <w:szCs w:val="20"/>
        </w:rPr>
        <w:t>Vaghela</w:t>
      </w:r>
      <w:proofErr w:type="spellEnd"/>
      <w:r w:rsidRPr="00546BAF">
        <w:rPr>
          <w:rFonts w:ascii="Arial" w:hAnsi="Arial" w:cs="Arial"/>
          <w:sz w:val="20"/>
          <w:szCs w:val="20"/>
        </w:rPr>
        <w:t xml:space="preserve"> V. Design, in-silico ADME Study and molecular docking study of novel quinoline-4-on derivatives as Factor </w:t>
      </w:r>
      <w:proofErr w:type="spellStart"/>
      <w:r w:rsidRPr="00546BAF">
        <w:rPr>
          <w:rFonts w:ascii="Arial" w:hAnsi="Arial" w:cs="Arial"/>
          <w:sz w:val="20"/>
          <w:szCs w:val="20"/>
        </w:rPr>
        <w:t>Xa</w:t>
      </w:r>
      <w:proofErr w:type="spellEnd"/>
      <w:r w:rsidRPr="00546BAF">
        <w:rPr>
          <w:rFonts w:ascii="Arial" w:hAnsi="Arial" w:cs="Arial"/>
          <w:sz w:val="20"/>
          <w:szCs w:val="20"/>
        </w:rPr>
        <w:t xml:space="preserve"> Inhibitor as Potential anti-coagulating agents. Asian Journal of Pharmaceutical Research. 2022; 12(3):207-1. </w:t>
      </w:r>
      <w:hyperlink r:id="rId44" w:history="1">
        <w:r w:rsidR="00DA666A" w:rsidRPr="00546BAF">
          <w:rPr>
            <w:rStyle w:val="Hyperlink"/>
            <w:rFonts w:ascii="Arial" w:hAnsi="Arial" w:cs="Arial"/>
            <w:sz w:val="20"/>
            <w:szCs w:val="20"/>
          </w:rPr>
          <w:t>https://doi.org/10.52711/2231-5691.2022.00034</w:t>
        </w:r>
      </w:hyperlink>
    </w:p>
    <w:p w14:paraId="4C20F058" w14:textId="77777777" w:rsidR="00CD712B" w:rsidRPr="00546BAF" w:rsidRDefault="0012145A" w:rsidP="00F74EA0">
      <w:pPr>
        <w:pStyle w:val="ListParagraph"/>
        <w:numPr>
          <w:ilvl w:val="0"/>
          <w:numId w:val="6"/>
        </w:numPr>
        <w:spacing w:before="100" w:beforeAutospacing="1" w:after="100" w:afterAutospacing="1" w:line="240" w:lineRule="auto"/>
        <w:jc w:val="both"/>
        <w:rPr>
          <w:rFonts w:ascii="Arial" w:hAnsi="Arial" w:cs="Arial"/>
          <w:b/>
          <w:bCs/>
          <w:sz w:val="20"/>
          <w:szCs w:val="20"/>
        </w:rPr>
      </w:pPr>
      <w:r w:rsidRPr="00546BAF">
        <w:rPr>
          <w:rFonts w:ascii="Arial" w:hAnsi="Arial" w:cs="Arial"/>
          <w:sz w:val="20"/>
          <w:szCs w:val="20"/>
        </w:rPr>
        <w:t xml:space="preserve">Available </w:t>
      </w:r>
      <w:proofErr w:type="spellStart"/>
      <w:r w:rsidRPr="00546BAF">
        <w:rPr>
          <w:rFonts w:ascii="Arial" w:hAnsi="Arial" w:cs="Arial"/>
          <w:sz w:val="20"/>
          <w:szCs w:val="20"/>
        </w:rPr>
        <w:t>online:</w:t>
      </w:r>
      <w:bookmarkStart w:id="38" w:name="_Hlk220440949"/>
      <w:r w:rsidR="00E81BCD" w:rsidRPr="00546BAF">
        <w:rPr>
          <w:rFonts w:ascii="Arial" w:hAnsi="Arial" w:cs="Arial"/>
          <w:sz w:val="20"/>
          <w:szCs w:val="20"/>
        </w:rPr>
        <w:fldChar w:fldCharType="begin"/>
      </w:r>
      <w:r w:rsidR="006C07E6" w:rsidRPr="00546BAF">
        <w:rPr>
          <w:rFonts w:ascii="Arial" w:hAnsi="Arial" w:cs="Arial"/>
          <w:sz w:val="20"/>
          <w:szCs w:val="20"/>
        </w:rPr>
        <w:instrText>HYPERLINK "https://preadmet.webservice.bmdrc.org/"</w:instrText>
      </w:r>
      <w:r w:rsidR="00E81BCD" w:rsidRPr="00546BAF">
        <w:rPr>
          <w:rFonts w:ascii="Arial" w:hAnsi="Arial" w:cs="Arial"/>
          <w:sz w:val="20"/>
          <w:szCs w:val="20"/>
        </w:rPr>
        <w:fldChar w:fldCharType="separate"/>
      </w:r>
      <w:r w:rsidR="006C07E6" w:rsidRPr="00546BAF">
        <w:rPr>
          <w:rStyle w:val="Hyperlink"/>
          <w:rFonts w:ascii="Arial" w:hAnsi="Arial" w:cs="Arial"/>
          <w:sz w:val="20"/>
          <w:szCs w:val="20"/>
        </w:rPr>
        <w:t>PreADMET</w:t>
      </w:r>
      <w:proofErr w:type="spellEnd"/>
      <w:r w:rsidR="006C07E6" w:rsidRPr="00546BAF">
        <w:rPr>
          <w:rStyle w:val="Hyperlink"/>
          <w:rFonts w:ascii="Arial" w:hAnsi="Arial" w:cs="Arial"/>
          <w:sz w:val="20"/>
          <w:szCs w:val="20"/>
        </w:rPr>
        <w:t xml:space="preserve"> | Prediction of ADME/</w:t>
      </w:r>
      <w:proofErr w:type="spellStart"/>
      <w:r w:rsidR="006C07E6" w:rsidRPr="00546BAF">
        <w:rPr>
          <w:rStyle w:val="Hyperlink"/>
          <w:rFonts w:ascii="Arial" w:hAnsi="Arial" w:cs="Arial"/>
          <w:sz w:val="20"/>
          <w:szCs w:val="20"/>
        </w:rPr>
        <w:t>Tox</w:t>
      </w:r>
      <w:proofErr w:type="spellEnd"/>
      <w:r w:rsidR="006C07E6" w:rsidRPr="00546BAF">
        <w:rPr>
          <w:rStyle w:val="Hyperlink"/>
          <w:rFonts w:ascii="Arial" w:hAnsi="Arial" w:cs="Arial"/>
          <w:sz w:val="20"/>
          <w:szCs w:val="20"/>
        </w:rPr>
        <w:t xml:space="preserve"> – Just another BMDRC Sites site</w:t>
      </w:r>
      <w:r w:rsidR="00E81BCD" w:rsidRPr="00546BAF">
        <w:rPr>
          <w:rFonts w:ascii="Arial" w:hAnsi="Arial" w:cs="Arial"/>
          <w:sz w:val="20"/>
          <w:szCs w:val="20"/>
        </w:rPr>
        <w:fldChar w:fldCharType="end"/>
      </w:r>
    </w:p>
    <w:p w14:paraId="26B14A85" w14:textId="77777777" w:rsidR="006C07E6" w:rsidRPr="00546BAF" w:rsidRDefault="006C07E6" w:rsidP="00DA666A">
      <w:pPr>
        <w:pStyle w:val="ListParagraph"/>
        <w:numPr>
          <w:ilvl w:val="0"/>
          <w:numId w:val="6"/>
        </w:numPr>
        <w:spacing w:before="100" w:beforeAutospacing="1" w:after="100" w:afterAutospacing="1" w:line="240" w:lineRule="auto"/>
        <w:jc w:val="both"/>
        <w:rPr>
          <w:rFonts w:ascii="Arial" w:hAnsi="Arial" w:cs="Arial"/>
          <w:b/>
          <w:bCs/>
          <w:sz w:val="20"/>
          <w:szCs w:val="20"/>
        </w:rPr>
      </w:pPr>
      <w:r w:rsidRPr="00546BAF">
        <w:rPr>
          <w:rFonts w:ascii="Arial" w:eastAsia="Times New Roman" w:hAnsi="Arial" w:cs="Arial"/>
          <w:kern w:val="0"/>
          <w:sz w:val="20"/>
          <w:szCs w:val="20"/>
          <w:lang w:eastAsia="en-IN"/>
        </w:rPr>
        <w:t xml:space="preserve">Ahmed IIJ, </w:t>
      </w:r>
      <w:proofErr w:type="spellStart"/>
      <w:r w:rsidRPr="00546BAF">
        <w:rPr>
          <w:rFonts w:ascii="Arial" w:eastAsia="Times New Roman" w:hAnsi="Arial" w:cs="Arial"/>
          <w:kern w:val="0"/>
          <w:sz w:val="20"/>
          <w:szCs w:val="20"/>
          <w:lang w:eastAsia="en-IN"/>
        </w:rPr>
        <w:t>AbdulHamidFA</w:t>
      </w:r>
      <w:proofErr w:type="spellEnd"/>
      <w:r w:rsidRPr="00546BAF">
        <w:rPr>
          <w:rFonts w:ascii="Arial" w:eastAsia="Times New Roman" w:hAnsi="Arial" w:cs="Arial"/>
          <w:kern w:val="0"/>
          <w:sz w:val="20"/>
          <w:szCs w:val="20"/>
          <w:lang w:eastAsia="en-IN"/>
        </w:rPr>
        <w:t xml:space="preserve">, </w:t>
      </w:r>
      <w:proofErr w:type="spellStart"/>
      <w:r w:rsidRPr="00546BAF">
        <w:rPr>
          <w:rFonts w:ascii="Arial" w:eastAsia="Times New Roman" w:hAnsi="Arial" w:cs="Arial"/>
          <w:kern w:val="0"/>
          <w:sz w:val="20"/>
          <w:szCs w:val="20"/>
          <w:lang w:eastAsia="en-IN"/>
        </w:rPr>
        <w:t>AbdHalim</w:t>
      </w:r>
      <w:proofErr w:type="spellEnd"/>
      <w:r w:rsidRPr="00546BAF">
        <w:rPr>
          <w:rFonts w:ascii="Arial" w:eastAsia="Times New Roman" w:hAnsi="Arial" w:cs="Arial"/>
          <w:kern w:val="0"/>
          <w:sz w:val="20"/>
          <w:szCs w:val="20"/>
          <w:lang w:eastAsia="en-IN"/>
        </w:rPr>
        <w:t xml:space="preserve"> KB, </w:t>
      </w:r>
      <w:proofErr w:type="spellStart"/>
      <w:r w:rsidRPr="00546BAF">
        <w:rPr>
          <w:rFonts w:ascii="Arial" w:eastAsia="Times New Roman" w:hAnsi="Arial" w:cs="Arial"/>
          <w:kern w:val="0"/>
          <w:sz w:val="20"/>
          <w:szCs w:val="20"/>
          <w:lang w:eastAsia="en-IN"/>
        </w:rPr>
        <w:t>Che</w:t>
      </w:r>
      <w:proofErr w:type="spellEnd"/>
      <w:r w:rsidRPr="00546BAF">
        <w:rPr>
          <w:rFonts w:ascii="Arial" w:eastAsia="Times New Roman" w:hAnsi="Arial" w:cs="Arial"/>
          <w:kern w:val="0"/>
          <w:sz w:val="20"/>
          <w:szCs w:val="20"/>
          <w:lang w:eastAsia="en-IN"/>
        </w:rPr>
        <w:t xml:space="preserve"> Has AT. P</w:t>
      </w:r>
      <w:r w:rsidRPr="00546BAF">
        <w:rPr>
          <w:rFonts w:ascii="Arial" w:eastAsia="Times New Roman" w:hAnsi="Arial" w:cs="Arial"/>
          <w:kern w:val="0"/>
          <w:sz w:val="20"/>
          <w:szCs w:val="20"/>
          <w:lang w:eastAsia="en-IN"/>
        </w:rPr>
        <w:noBreakHyphen/>
        <w:t xml:space="preserve">glycoprotein: new insights into structure, physiological function, regulation and alterations in disease. </w:t>
      </w:r>
      <w:proofErr w:type="spellStart"/>
      <w:r w:rsidRPr="00546BAF">
        <w:rPr>
          <w:rFonts w:ascii="Arial" w:eastAsia="Times New Roman" w:hAnsi="Arial" w:cs="Arial"/>
          <w:i/>
          <w:iCs/>
          <w:kern w:val="0"/>
          <w:sz w:val="20"/>
          <w:szCs w:val="20"/>
          <w:lang w:eastAsia="en-IN"/>
        </w:rPr>
        <w:t>Heliyon</w:t>
      </w:r>
      <w:proofErr w:type="spellEnd"/>
      <w:r w:rsidRPr="00546BAF">
        <w:rPr>
          <w:rFonts w:ascii="Arial" w:eastAsia="Times New Roman" w:hAnsi="Arial" w:cs="Arial"/>
          <w:kern w:val="0"/>
          <w:sz w:val="20"/>
          <w:szCs w:val="20"/>
          <w:lang w:eastAsia="en-IN"/>
        </w:rPr>
        <w:t>. 2022;8(6</w:t>
      </w:r>
      <w:proofErr w:type="gramStart"/>
      <w:r w:rsidRPr="00546BAF">
        <w:rPr>
          <w:rFonts w:ascii="Arial" w:eastAsia="Times New Roman" w:hAnsi="Arial" w:cs="Arial"/>
          <w:kern w:val="0"/>
          <w:sz w:val="20"/>
          <w:szCs w:val="20"/>
          <w:lang w:eastAsia="en-IN"/>
        </w:rPr>
        <w:t>):e</w:t>
      </w:r>
      <w:proofErr w:type="gramEnd"/>
      <w:r w:rsidRPr="00546BAF">
        <w:rPr>
          <w:rFonts w:ascii="Arial" w:eastAsia="Times New Roman" w:hAnsi="Arial" w:cs="Arial"/>
          <w:kern w:val="0"/>
          <w:sz w:val="20"/>
          <w:szCs w:val="20"/>
          <w:lang w:eastAsia="en-IN"/>
        </w:rPr>
        <w:t xml:space="preserve">09777. </w:t>
      </w:r>
      <w:proofErr w:type="spellStart"/>
      <w:r w:rsidRPr="00546BAF">
        <w:rPr>
          <w:rFonts w:ascii="Arial" w:eastAsia="Times New Roman" w:hAnsi="Arial" w:cs="Arial"/>
          <w:kern w:val="0"/>
          <w:sz w:val="20"/>
          <w:szCs w:val="20"/>
          <w:lang w:eastAsia="en-IN"/>
        </w:rPr>
        <w:t>Doi:</w:t>
      </w:r>
      <w:hyperlink r:id="rId45" w:history="1">
        <w:r w:rsidR="00DA666A" w:rsidRPr="00546BAF">
          <w:rPr>
            <w:rStyle w:val="Hyperlink"/>
            <w:rFonts w:ascii="Arial" w:eastAsia="Times New Roman" w:hAnsi="Arial" w:cs="Arial"/>
            <w:kern w:val="0"/>
            <w:sz w:val="20"/>
            <w:szCs w:val="20"/>
            <w:lang w:eastAsia="en-IN"/>
          </w:rPr>
          <w:t>https</w:t>
        </w:r>
        <w:proofErr w:type="spellEnd"/>
        <w:r w:rsidR="00DA666A" w:rsidRPr="00546BAF">
          <w:rPr>
            <w:rStyle w:val="Hyperlink"/>
            <w:rFonts w:ascii="Arial" w:eastAsia="Times New Roman" w:hAnsi="Arial" w:cs="Arial"/>
            <w:kern w:val="0"/>
            <w:sz w:val="20"/>
            <w:szCs w:val="20"/>
            <w:lang w:eastAsia="en-IN"/>
          </w:rPr>
          <w:t>://doi.org/10.1016/j.heliyon.2022.e09777</w:t>
        </w:r>
      </w:hyperlink>
    </w:p>
    <w:p w14:paraId="7A848F07" w14:textId="77777777" w:rsidR="006C07E6" w:rsidRPr="00546BAF" w:rsidRDefault="006C07E6" w:rsidP="006C07E6">
      <w:pPr>
        <w:pStyle w:val="ListParagraph"/>
        <w:numPr>
          <w:ilvl w:val="0"/>
          <w:numId w:val="6"/>
        </w:numPr>
        <w:spacing w:before="100" w:beforeAutospacing="1" w:after="100" w:afterAutospacing="1" w:line="240" w:lineRule="auto"/>
        <w:jc w:val="both"/>
        <w:rPr>
          <w:rFonts w:ascii="Arial" w:eastAsia="Times New Roman" w:hAnsi="Arial" w:cs="Arial"/>
          <w:kern w:val="0"/>
          <w:sz w:val="20"/>
          <w:szCs w:val="20"/>
          <w:lang w:eastAsia="en-IN"/>
        </w:rPr>
      </w:pPr>
      <w:r w:rsidRPr="00546BAF">
        <w:rPr>
          <w:rFonts w:ascii="Arial" w:eastAsia="Times New Roman" w:hAnsi="Arial" w:cs="Arial"/>
          <w:kern w:val="0"/>
          <w:sz w:val="20"/>
          <w:szCs w:val="20"/>
          <w:lang w:eastAsia="en-IN"/>
        </w:rPr>
        <w:t xml:space="preserve">Abelian A, </w:t>
      </w:r>
      <w:proofErr w:type="spellStart"/>
      <w:r w:rsidRPr="00546BAF">
        <w:rPr>
          <w:rFonts w:ascii="Arial" w:eastAsia="Times New Roman" w:hAnsi="Arial" w:cs="Arial"/>
          <w:kern w:val="0"/>
          <w:sz w:val="20"/>
          <w:szCs w:val="20"/>
          <w:lang w:eastAsia="en-IN"/>
        </w:rPr>
        <w:t>Dybek</w:t>
      </w:r>
      <w:proofErr w:type="spellEnd"/>
      <w:r w:rsidRPr="00546BAF">
        <w:rPr>
          <w:rFonts w:ascii="Arial" w:eastAsia="Times New Roman" w:hAnsi="Arial" w:cs="Arial"/>
          <w:kern w:val="0"/>
          <w:sz w:val="20"/>
          <w:szCs w:val="20"/>
          <w:lang w:eastAsia="en-IN"/>
        </w:rPr>
        <w:t xml:space="preserve"> M, Wallach J, Gaye B, </w:t>
      </w:r>
      <w:proofErr w:type="spellStart"/>
      <w:r w:rsidRPr="00546BAF">
        <w:rPr>
          <w:rFonts w:ascii="Arial" w:eastAsia="Times New Roman" w:hAnsi="Arial" w:cs="Arial"/>
          <w:kern w:val="0"/>
          <w:sz w:val="20"/>
          <w:szCs w:val="20"/>
          <w:lang w:eastAsia="en-IN"/>
        </w:rPr>
        <w:t>Adejare</w:t>
      </w:r>
      <w:proofErr w:type="spellEnd"/>
      <w:r w:rsidRPr="00546BAF">
        <w:rPr>
          <w:rFonts w:ascii="Arial" w:eastAsia="Times New Roman" w:hAnsi="Arial" w:cs="Arial"/>
          <w:kern w:val="0"/>
          <w:sz w:val="20"/>
          <w:szCs w:val="20"/>
          <w:lang w:eastAsia="en-IN"/>
        </w:rPr>
        <w:t xml:space="preserve"> A. Pharmaceutical chemistry. In: </w:t>
      </w:r>
      <w:proofErr w:type="spellStart"/>
      <w:r w:rsidRPr="00546BAF">
        <w:rPr>
          <w:rFonts w:ascii="Arial" w:eastAsia="Times New Roman" w:hAnsi="Arial" w:cs="Arial"/>
          <w:kern w:val="0"/>
          <w:sz w:val="20"/>
          <w:szCs w:val="20"/>
          <w:lang w:eastAsia="en-IN"/>
        </w:rPr>
        <w:t>Adejare</w:t>
      </w:r>
      <w:proofErr w:type="spellEnd"/>
      <w:r w:rsidRPr="00546BAF">
        <w:rPr>
          <w:rFonts w:ascii="Arial" w:eastAsia="Times New Roman" w:hAnsi="Arial" w:cs="Arial"/>
          <w:kern w:val="0"/>
          <w:sz w:val="20"/>
          <w:szCs w:val="20"/>
          <w:lang w:eastAsia="en-IN"/>
        </w:rPr>
        <w:t xml:space="preserve"> A, editor. </w:t>
      </w:r>
      <w:r w:rsidRPr="00546BAF">
        <w:rPr>
          <w:rFonts w:ascii="Arial" w:eastAsia="Times New Roman" w:hAnsi="Arial" w:cs="Arial"/>
          <w:i/>
          <w:iCs/>
          <w:kern w:val="0"/>
          <w:sz w:val="20"/>
          <w:szCs w:val="20"/>
          <w:lang w:eastAsia="en-IN"/>
        </w:rPr>
        <w:t>Remington: The Science and Practice of Pharmacy</w:t>
      </w:r>
      <w:r w:rsidRPr="00546BAF">
        <w:rPr>
          <w:rFonts w:ascii="Arial" w:eastAsia="Times New Roman" w:hAnsi="Arial" w:cs="Arial"/>
          <w:kern w:val="0"/>
          <w:sz w:val="20"/>
          <w:szCs w:val="20"/>
          <w:lang w:eastAsia="en-IN"/>
        </w:rPr>
        <w:t>. 23rd ed. Philadelphia: Elsevier; 2021. p.105</w:t>
      </w:r>
      <w:r w:rsidRPr="00546BAF">
        <w:rPr>
          <w:rFonts w:ascii="Arial" w:eastAsia="Times New Roman" w:hAnsi="Arial" w:cs="Arial"/>
          <w:kern w:val="0"/>
          <w:sz w:val="20"/>
          <w:szCs w:val="20"/>
          <w:lang w:eastAsia="en-IN"/>
        </w:rPr>
        <w:noBreakHyphen/>
        <w:t>128.</w:t>
      </w:r>
    </w:p>
    <w:bookmarkEnd w:id="38"/>
    <w:p w14:paraId="4A700105" w14:textId="77777777" w:rsidR="00DB2384" w:rsidRPr="00546BAF" w:rsidRDefault="00DB2384" w:rsidP="00DA666A">
      <w:pPr>
        <w:pStyle w:val="ListParagraph"/>
        <w:numPr>
          <w:ilvl w:val="0"/>
          <w:numId w:val="6"/>
        </w:numPr>
        <w:spacing w:before="100" w:beforeAutospacing="1" w:after="100" w:afterAutospacing="1" w:line="240" w:lineRule="auto"/>
        <w:jc w:val="both"/>
        <w:rPr>
          <w:rFonts w:ascii="Arial" w:eastAsia="Times New Roman" w:hAnsi="Arial" w:cs="Arial"/>
          <w:kern w:val="0"/>
          <w:sz w:val="20"/>
          <w:szCs w:val="20"/>
          <w:lang w:eastAsia="en-IN"/>
        </w:rPr>
      </w:pPr>
      <w:proofErr w:type="spellStart"/>
      <w:r w:rsidRPr="00546BAF">
        <w:rPr>
          <w:rFonts w:ascii="Arial" w:eastAsia="Times New Roman" w:hAnsi="Arial" w:cs="Arial"/>
          <w:kern w:val="0"/>
          <w:sz w:val="20"/>
          <w:szCs w:val="20"/>
          <w:lang w:eastAsia="en-IN"/>
        </w:rPr>
        <w:t>Mansouri</w:t>
      </w:r>
      <w:proofErr w:type="spellEnd"/>
      <w:r w:rsidRPr="00546BAF">
        <w:rPr>
          <w:rFonts w:ascii="Arial" w:eastAsia="Times New Roman" w:hAnsi="Arial" w:cs="Arial"/>
          <w:kern w:val="0"/>
          <w:sz w:val="20"/>
          <w:szCs w:val="20"/>
          <w:lang w:eastAsia="en-IN"/>
        </w:rPr>
        <w:t xml:space="preserve"> R, </w:t>
      </w:r>
      <w:proofErr w:type="spellStart"/>
      <w:r w:rsidRPr="00546BAF">
        <w:rPr>
          <w:rFonts w:ascii="Arial" w:eastAsia="Times New Roman" w:hAnsi="Arial" w:cs="Arial"/>
          <w:kern w:val="0"/>
          <w:sz w:val="20"/>
          <w:szCs w:val="20"/>
          <w:lang w:eastAsia="en-IN"/>
        </w:rPr>
        <w:t>Bouzina</w:t>
      </w:r>
      <w:proofErr w:type="spellEnd"/>
      <w:r w:rsidRPr="00546BAF">
        <w:rPr>
          <w:rFonts w:ascii="Arial" w:eastAsia="Times New Roman" w:hAnsi="Arial" w:cs="Arial"/>
          <w:kern w:val="0"/>
          <w:sz w:val="20"/>
          <w:szCs w:val="20"/>
          <w:lang w:eastAsia="en-IN"/>
        </w:rPr>
        <w:t xml:space="preserve"> A, </w:t>
      </w:r>
      <w:proofErr w:type="spellStart"/>
      <w:r w:rsidRPr="00546BAF">
        <w:rPr>
          <w:rFonts w:ascii="Arial" w:eastAsia="Times New Roman" w:hAnsi="Arial" w:cs="Arial"/>
          <w:kern w:val="0"/>
          <w:sz w:val="20"/>
          <w:szCs w:val="20"/>
          <w:lang w:eastAsia="en-IN"/>
        </w:rPr>
        <w:t>Frissou</w:t>
      </w:r>
      <w:proofErr w:type="spellEnd"/>
      <w:r w:rsidRPr="00546BAF">
        <w:rPr>
          <w:rFonts w:ascii="Arial" w:eastAsia="Times New Roman" w:hAnsi="Arial" w:cs="Arial"/>
          <w:kern w:val="0"/>
          <w:sz w:val="20"/>
          <w:szCs w:val="20"/>
          <w:lang w:eastAsia="en-IN"/>
        </w:rPr>
        <w:t xml:space="preserve"> N. Docking and in silico ADMET analysis of flavone glucoside compounds as antioxidant </w:t>
      </w:r>
      <w:proofErr w:type="spellStart"/>
      <w:proofErr w:type="gramStart"/>
      <w:r w:rsidRPr="00546BAF">
        <w:rPr>
          <w:rFonts w:ascii="Arial" w:eastAsia="Times New Roman" w:hAnsi="Arial" w:cs="Arial"/>
          <w:kern w:val="0"/>
          <w:sz w:val="20"/>
          <w:szCs w:val="20"/>
          <w:lang w:eastAsia="en-IN"/>
        </w:rPr>
        <w:t>agents.</w:t>
      </w:r>
      <w:r w:rsidR="00FB5505" w:rsidRPr="00546BAF">
        <w:rPr>
          <w:rFonts w:ascii="Arial" w:eastAsia="Times New Roman" w:hAnsi="Arial" w:cs="Arial"/>
          <w:kern w:val="0"/>
          <w:sz w:val="20"/>
          <w:szCs w:val="20"/>
          <w:lang w:eastAsia="en-IN"/>
        </w:rPr>
        <w:t>MDPI</w:t>
      </w:r>
      <w:proofErr w:type="spellEnd"/>
      <w:proofErr w:type="gramEnd"/>
      <w:r w:rsidR="009B0ABB" w:rsidRPr="00546BAF">
        <w:rPr>
          <w:rFonts w:ascii="Arial" w:eastAsia="Times New Roman" w:hAnsi="Arial" w:cs="Arial"/>
          <w:kern w:val="0"/>
          <w:sz w:val="20"/>
          <w:szCs w:val="20"/>
          <w:lang w:eastAsia="en-IN"/>
        </w:rPr>
        <w:t xml:space="preserve"> chemistry proceeding</w:t>
      </w:r>
      <w:r w:rsidRPr="00546BAF">
        <w:rPr>
          <w:rFonts w:ascii="Arial" w:eastAsia="Times New Roman" w:hAnsi="Arial" w:cs="Arial"/>
          <w:kern w:val="0"/>
          <w:sz w:val="20"/>
          <w:szCs w:val="20"/>
          <w:lang w:eastAsia="en-IN"/>
        </w:rPr>
        <w:t>. 2025;18(1):45</w:t>
      </w:r>
      <w:r w:rsidRPr="00546BAF">
        <w:rPr>
          <w:rFonts w:ascii="Arial" w:eastAsia="Times New Roman" w:hAnsi="Arial" w:cs="Arial"/>
          <w:kern w:val="0"/>
          <w:sz w:val="20"/>
          <w:szCs w:val="20"/>
          <w:lang w:eastAsia="en-IN"/>
        </w:rPr>
        <w:noBreakHyphen/>
        <w:t xml:space="preserve">52. </w:t>
      </w:r>
      <w:proofErr w:type="spellStart"/>
      <w:r w:rsidRPr="00546BAF">
        <w:rPr>
          <w:rFonts w:ascii="Arial" w:eastAsia="Times New Roman" w:hAnsi="Arial" w:cs="Arial"/>
          <w:kern w:val="0"/>
          <w:sz w:val="20"/>
          <w:szCs w:val="20"/>
          <w:lang w:eastAsia="en-IN"/>
        </w:rPr>
        <w:t>doi:</w:t>
      </w:r>
      <w:hyperlink r:id="rId46" w:history="1">
        <w:r w:rsidR="00DA666A" w:rsidRPr="00546BAF">
          <w:rPr>
            <w:rStyle w:val="Hyperlink"/>
            <w:rFonts w:ascii="Arial" w:eastAsia="Times New Roman" w:hAnsi="Arial" w:cs="Arial"/>
            <w:kern w:val="0"/>
            <w:sz w:val="20"/>
            <w:szCs w:val="20"/>
            <w:lang w:eastAsia="en-IN"/>
          </w:rPr>
          <w:t>https</w:t>
        </w:r>
        <w:proofErr w:type="spellEnd"/>
        <w:r w:rsidR="00DA666A" w:rsidRPr="00546BAF">
          <w:rPr>
            <w:rStyle w:val="Hyperlink"/>
            <w:rFonts w:ascii="Arial" w:eastAsia="Times New Roman" w:hAnsi="Arial" w:cs="Arial"/>
            <w:kern w:val="0"/>
            <w:sz w:val="20"/>
            <w:szCs w:val="20"/>
            <w:lang w:eastAsia="en-IN"/>
          </w:rPr>
          <w:t>://doi.org/10.5958/0974</w:t>
        </w:r>
        <w:r w:rsidR="00DA666A" w:rsidRPr="00546BAF">
          <w:rPr>
            <w:rStyle w:val="Hyperlink"/>
            <w:rFonts w:ascii="Arial" w:eastAsia="Times New Roman" w:hAnsi="Arial" w:cs="Arial"/>
            <w:kern w:val="0"/>
            <w:sz w:val="20"/>
            <w:szCs w:val="20"/>
            <w:lang w:eastAsia="en-IN"/>
          </w:rPr>
          <w:noBreakHyphen/>
          <w:t>360X.2025.00008.7</w:t>
        </w:r>
      </w:hyperlink>
    </w:p>
    <w:p w14:paraId="45E3F1DC" w14:textId="77777777" w:rsidR="00330992" w:rsidRPr="00546BAF" w:rsidRDefault="00330992" w:rsidP="00DA666A">
      <w:pPr>
        <w:pStyle w:val="ListParagraph"/>
        <w:numPr>
          <w:ilvl w:val="0"/>
          <w:numId w:val="6"/>
        </w:numPr>
        <w:spacing w:before="100" w:beforeAutospacing="1" w:after="100" w:afterAutospacing="1" w:line="240" w:lineRule="auto"/>
        <w:jc w:val="both"/>
        <w:rPr>
          <w:rFonts w:ascii="Arial" w:eastAsia="Times New Roman" w:hAnsi="Arial" w:cs="Arial"/>
          <w:kern w:val="0"/>
          <w:sz w:val="20"/>
          <w:szCs w:val="20"/>
          <w:lang w:eastAsia="en-IN"/>
        </w:rPr>
      </w:pPr>
      <w:proofErr w:type="spellStart"/>
      <w:r w:rsidRPr="00546BAF">
        <w:rPr>
          <w:rFonts w:ascii="Arial" w:eastAsia="Times New Roman" w:hAnsi="Arial" w:cs="Arial"/>
          <w:kern w:val="0"/>
          <w:sz w:val="20"/>
          <w:szCs w:val="20"/>
          <w:lang w:eastAsia="en-IN"/>
        </w:rPr>
        <w:t>Agu</w:t>
      </w:r>
      <w:proofErr w:type="spellEnd"/>
      <w:r w:rsidRPr="00546BAF">
        <w:rPr>
          <w:rFonts w:ascii="Arial" w:eastAsia="Times New Roman" w:hAnsi="Arial" w:cs="Arial"/>
          <w:kern w:val="0"/>
          <w:sz w:val="20"/>
          <w:szCs w:val="20"/>
          <w:lang w:eastAsia="en-IN"/>
        </w:rPr>
        <w:t xml:space="preserve"> PC, </w:t>
      </w:r>
      <w:proofErr w:type="spellStart"/>
      <w:r w:rsidRPr="00546BAF">
        <w:rPr>
          <w:rFonts w:ascii="Arial" w:eastAsia="Times New Roman" w:hAnsi="Arial" w:cs="Arial"/>
          <w:kern w:val="0"/>
          <w:sz w:val="20"/>
          <w:szCs w:val="20"/>
          <w:lang w:eastAsia="en-IN"/>
        </w:rPr>
        <w:t>Afiukwa</w:t>
      </w:r>
      <w:proofErr w:type="spellEnd"/>
      <w:r w:rsidRPr="00546BAF">
        <w:rPr>
          <w:rFonts w:ascii="Arial" w:eastAsia="Times New Roman" w:hAnsi="Arial" w:cs="Arial"/>
          <w:kern w:val="0"/>
          <w:sz w:val="20"/>
          <w:szCs w:val="20"/>
          <w:lang w:eastAsia="en-IN"/>
        </w:rPr>
        <w:t xml:space="preserve"> CA, Orji OU, </w:t>
      </w:r>
      <w:proofErr w:type="spellStart"/>
      <w:r w:rsidRPr="00546BAF">
        <w:rPr>
          <w:rFonts w:ascii="Arial" w:eastAsia="Times New Roman" w:hAnsi="Arial" w:cs="Arial"/>
          <w:kern w:val="0"/>
          <w:sz w:val="20"/>
          <w:szCs w:val="20"/>
          <w:lang w:eastAsia="en-IN"/>
        </w:rPr>
        <w:t>Ezeh</w:t>
      </w:r>
      <w:proofErr w:type="spellEnd"/>
      <w:r w:rsidRPr="00546BAF">
        <w:rPr>
          <w:rFonts w:ascii="Arial" w:eastAsia="Times New Roman" w:hAnsi="Arial" w:cs="Arial"/>
          <w:kern w:val="0"/>
          <w:sz w:val="20"/>
          <w:szCs w:val="20"/>
          <w:lang w:eastAsia="en-IN"/>
        </w:rPr>
        <w:t xml:space="preserve"> EM, </w:t>
      </w:r>
      <w:proofErr w:type="spellStart"/>
      <w:r w:rsidRPr="00546BAF">
        <w:rPr>
          <w:rFonts w:ascii="Arial" w:eastAsia="Times New Roman" w:hAnsi="Arial" w:cs="Arial"/>
          <w:kern w:val="0"/>
          <w:sz w:val="20"/>
          <w:szCs w:val="20"/>
          <w:lang w:eastAsia="en-IN"/>
        </w:rPr>
        <w:t>Ofoke</w:t>
      </w:r>
      <w:proofErr w:type="spellEnd"/>
      <w:r w:rsidRPr="00546BAF">
        <w:rPr>
          <w:rFonts w:ascii="Arial" w:eastAsia="Times New Roman" w:hAnsi="Arial" w:cs="Arial"/>
          <w:kern w:val="0"/>
          <w:sz w:val="20"/>
          <w:szCs w:val="20"/>
          <w:lang w:eastAsia="en-IN"/>
        </w:rPr>
        <w:t xml:space="preserve"> IH, </w:t>
      </w:r>
      <w:proofErr w:type="spellStart"/>
      <w:r w:rsidRPr="00546BAF">
        <w:rPr>
          <w:rFonts w:ascii="Arial" w:eastAsia="Times New Roman" w:hAnsi="Arial" w:cs="Arial"/>
          <w:kern w:val="0"/>
          <w:sz w:val="20"/>
          <w:szCs w:val="20"/>
          <w:lang w:eastAsia="en-IN"/>
        </w:rPr>
        <w:t>Ogbu</w:t>
      </w:r>
      <w:proofErr w:type="spellEnd"/>
      <w:r w:rsidRPr="00546BAF">
        <w:rPr>
          <w:rFonts w:ascii="Arial" w:eastAsia="Times New Roman" w:hAnsi="Arial" w:cs="Arial"/>
          <w:kern w:val="0"/>
          <w:sz w:val="20"/>
          <w:szCs w:val="20"/>
          <w:lang w:eastAsia="en-IN"/>
        </w:rPr>
        <w:t xml:space="preserve"> CO, </w:t>
      </w:r>
      <w:proofErr w:type="spellStart"/>
      <w:r w:rsidRPr="00546BAF">
        <w:rPr>
          <w:rFonts w:ascii="Arial" w:eastAsia="Times New Roman" w:hAnsi="Arial" w:cs="Arial"/>
          <w:kern w:val="0"/>
          <w:sz w:val="20"/>
          <w:szCs w:val="20"/>
          <w:lang w:eastAsia="en-IN"/>
        </w:rPr>
        <w:t>Ugwuja</w:t>
      </w:r>
      <w:proofErr w:type="spellEnd"/>
      <w:r w:rsidRPr="00546BAF">
        <w:rPr>
          <w:rFonts w:ascii="Arial" w:eastAsia="Times New Roman" w:hAnsi="Arial" w:cs="Arial"/>
          <w:kern w:val="0"/>
          <w:sz w:val="20"/>
          <w:szCs w:val="20"/>
          <w:lang w:eastAsia="en-IN"/>
        </w:rPr>
        <w:t xml:space="preserve"> EI, Aja PM. Molecular docking as a tool for the discovery of molecular targets of nutraceuticals in diseases management. </w:t>
      </w:r>
      <w:r w:rsidRPr="00546BAF">
        <w:rPr>
          <w:rFonts w:ascii="Arial" w:eastAsia="Times New Roman" w:hAnsi="Arial" w:cs="Arial"/>
          <w:i/>
          <w:iCs/>
          <w:kern w:val="0"/>
          <w:sz w:val="20"/>
          <w:szCs w:val="20"/>
          <w:lang w:eastAsia="en-IN"/>
        </w:rPr>
        <w:t>Sci Rep</w:t>
      </w:r>
      <w:r w:rsidRPr="00546BAF">
        <w:rPr>
          <w:rFonts w:ascii="Arial" w:eastAsia="Times New Roman" w:hAnsi="Arial" w:cs="Arial"/>
          <w:kern w:val="0"/>
          <w:sz w:val="20"/>
          <w:szCs w:val="20"/>
          <w:lang w:eastAsia="en-IN"/>
        </w:rPr>
        <w:t xml:space="preserve">. </w:t>
      </w:r>
      <w:proofErr w:type="gramStart"/>
      <w:r w:rsidRPr="00546BAF">
        <w:rPr>
          <w:rFonts w:ascii="Arial" w:eastAsia="Times New Roman" w:hAnsi="Arial" w:cs="Arial"/>
          <w:kern w:val="0"/>
          <w:sz w:val="20"/>
          <w:szCs w:val="20"/>
          <w:lang w:eastAsia="en-IN"/>
        </w:rPr>
        <w:t>2023;13:40160</w:t>
      </w:r>
      <w:proofErr w:type="gramEnd"/>
      <w:r w:rsidRPr="00546BAF">
        <w:rPr>
          <w:rFonts w:ascii="Arial" w:eastAsia="Times New Roman" w:hAnsi="Arial" w:cs="Arial"/>
          <w:kern w:val="0"/>
          <w:sz w:val="20"/>
          <w:szCs w:val="20"/>
          <w:lang w:eastAsia="en-IN"/>
        </w:rPr>
        <w:t xml:space="preserve">. </w:t>
      </w:r>
      <w:proofErr w:type="spellStart"/>
      <w:r w:rsidRPr="00546BAF">
        <w:rPr>
          <w:rFonts w:ascii="Arial" w:eastAsia="Times New Roman" w:hAnsi="Arial" w:cs="Arial"/>
          <w:kern w:val="0"/>
          <w:sz w:val="20"/>
          <w:szCs w:val="20"/>
          <w:lang w:eastAsia="en-IN"/>
        </w:rPr>
        <w:t>doi:</w:t>
      </w:r>
      <w:hyperlink r:id="rId47" w:history="1">
        <w:r w:rsidR="00DA666A" w:rsidRPr="00546BAF">
          <w:rPr>
            <w:rStyle w:val="Hyperlink"/>
            <w:rFonts w:ascii="Arial" w:eastAsia="Times New Roman" w:hAnsi="Arial" w:cs="Arial"/>
            <w:kern w:val="0"/>
            <w:sz w:val="20"/>
            <w:szCs w:val="20"/>
            <w:lang w:eastAsia="en-IN"/>
          </w:rPr>
          <w:t>https</w:t>
        </w:r>
        <w:proofErr w:type="spellEnd"/>
        <w:r w:rsidR="00DA666A" w:rsidRPr="00546BAF">
          <w:rPr>
            <w:rStyle w:val="Hyperlink"/>
            <w:rFonts w:ascii="Arial" w:eastAsia="Times New Roman" w:hAnsi="Arial" w:cs="Arial"/>
            <w:kern w:val="0"/>
            <w:sz w:val="20"/>
            <w:szCs w:val="20"/>
            <w:lang w:eastAsia="en-IN"/>
          </w:rPr>
          <w:t>://doi.org/10.1038/s41598-023-40160-2</w:t>
        </w:r>
      </w:hyperlink>
    </w:p>
    <w:p w14:paraId="54C264FB" w14:textId="77777777" w:rsidR="00330992" w:rsidRPr="00546BAF" w:rsidRDefault="00330992" w:rsidP="00DA666A">
      <w:pPr>
        <w:pStyle w:val="ListParagraph"/>
        <w:numPr>
          <w:ilvl w:val="0"/>
          <w:numId w:val="6"/>
        </w:numPr>
        <w:spacing w:before="100" w:beforeAutospacing="1" w:after="100" w:afterAutospacing="1" w:line="240" w:lineRule="auto"/>
        <w:jc w:val="both"/>
        <w:rPr>
          <w:rFonts w:ascii="Arial" w:eastAsia="Times New Roman" w:hAnsi="Arial" w:cs="Arial"/>
          <w:kern w:val="0"/>
          <w:sz w:val="20"/>
          <w:szCs w:val="20"/>
          <w:lang w:eastAsia="en-IN"/>
        </w:rPr>
      </w:pPr>
      <w:r w:rsidRPr="00546BAF">
        <w:rPr>
          <w:rFonts w:ascii="Arial" w:eastAsia="Times New Roman" w:hAnsi="Arial" w:cs="Arial"/>
          <w:kern w:val="0"/>
          <w:sz w:val="20"/>
          <w:szCs w:val="20"/>
          <w:lang w:eastAsia="en-IN"/>
        </w:rPr>
        <w:t xml:space="preserve">Chaudhary KK, Mishra N. A review on molecular docking: novel tool for drug discovery. </w:t>
      </w:r>
      <w:r w:rsidRPr="00546BAF">
        <w:rPr>
          <w:rFonts w:ascii="Arial" w:eastAsia="Times New Roman" w:hAnsi="Arial" w:cs="Arial"/>
          <w:i/>
          <w:iCs/>
          <w:kern w:val="0"/>
          <w:sz w:val="20"/>
          <w:szCs w:val="20"/>
          <w:lang w:eastAsia="en-IN"/>
        </w:rPr>
        <w:t>JSM Chem</w:t>
      </w:r>
      <w:r w:rsidRPr="00546BAF">
        <w:rPr>
          <w:rFonts w:ascii="Arial" w:eastAsia="Times New Roman" w:hAnsi="Arial" w:cs="Arial"/>
          <w:kern w:val="0"/>
          <w:sz w:val="20"/>
          <w:szCs w:val="20"/>
          <w:lang w:eastAsia="en-IN"/>
        </w:rPr>
        <w:t xml:space="preserve">. 2016;4(3):1029. </w:t>
      </w:r>
      <w:proofErr w:type="spellStart"/>
      <w:r w:rsidRPr="00546BAF">
        <w:rPr>
          <w:rFonts w:ascii="Arial" w:eastAsia="Times New Roman" w:hAnsi="Arial" w:cs="Arial"/>
          <w:kern w:val="0"/>
          <w:sz w:val="20"/>
          <w:szCs w:val="20"/>
          <w:lang w:eastAsia="en-IN"/>
        </w:rPr>
        <w:t>doi:</w:t>
      </w:r>
      <w:hyperlink r:id="rId48" w:history="1">
        <w:r w:rsidR="00DA666A" w:rsidRPr="00546BAF">
          <w:rPr>
            <w:rStyle w:val="Hyperlink"/>
            <w:rFonts w:ascii="Arial" w:eastAsia="Times New Roman" w:hAnsi="Arial" w:cs="Arial"/>
            <w:kern w:val="0"/>
            <w:sz w:val="20"/>
            <w:szCs w:val="20"/>
            <w:lang w:eastAsia="en-IN"/>
          </w:rPr>
          <w:t>https</w:t>
        </w:r>
        <w:proofErr w:type="spellEnd"/>
        <w:r w:rsidR="00DA666A" w:rsidRPr="00546BAF">
          <w:rPr>
            <w:rStyle w:val="Hyperlink"/>
            <w:rFonts w:ascii="Arial" w:eastAsia="Times New Roman" w:hAnsi="Arial" w:cs="Arial"/>
            <w:kern w:val="0"/>
            <w:sz w:val="20"/>
            <w:szCs w:val="20"/>
            <w:lang w:eastAsia="en-IN"/>
          </w:rPr>
          <w:t>://doi.org/10.47739/2334-1831/1029</w:t>
        </w:r>
      </w:hyperlink>
    </w:p>
    <w:p w14:paraId="40A8C5C7" w14:textId="77777777" w:rsidR="00330992" w:rsidRPr="00546BAF" w:rsidRDefault="00330992" w:rsidP="00DA666A">
      <w:pPr>
        <w:pStyle w:val="ListParagraph"/>
        <w:numPr>
          <w:ilvl w:val="0"/>
          <w:numId w:val="6"/>
        </w:numPr>
        <w:spacing w:before="100" w:beforeAutospacing="1" w:after="100" w:afterAutospacing="1" w:line="240" w:lineRule="auto"/>
        <w:jc w:val="both"/>
        <w:rPr>
          <w:rFonts w:ascii="Arial" w:eastAsia="Times New Roman" w:hAnsi="Arial" w:cs="Arial"/>
          <w:kern w:val="0"/>
          <w:sz w:val="20"/>
          <w:szCs w:val="20"/>
          <w:lang w:eastAsia="en-IN"/>
        </w:rPr>
      </w:pPr>
      <w:proofErr w:type="spellStart"/>
      <w:r w:rsidRPr="00546BAF">
        <w:rPr>
          <w:rFonts w:ascii="Arial" w:eastAsia="Times New Roman" w:hAnsi="Arial" w:cs="Arial"/>
          <w:kern w:val="0"/>
          <w:sz w:val="20"/>
          <w:szCs w:val="20"/>
          <w:lang w:eastAsia="en-IN"/>
        </w:rPr>
        <w:lastRenderedPageBreak/>
        <w:t>Yuliani</w:t>
      </w:r>
      <w:proofErr w:type="spellEnd"/>
      <w:r w:rsidRPr="00546BAF">
        <w:rPr>
          <w:rFonts w:ascii="Arial" w:eastAsia="Times New Roman" w:hAnsi="Arial" w:cs="Arial"/>
          <w:kern w:val="0"/>
          <w:sz w:val="20"/>
          <w:szCs w:val="20"/>
          <w:lang w:eastAsia="en-IN"/>
        </w:rPr>
        <w:t xml:space="preserve"> NN, </w:t>
      </w:r>
      <w:proofErr w:type="spellStart"/>
      <w:r w:rsidRPr="00546BAF">
        <w:rPr>
          <w:rFonts w:ascii="Arial" w:eastAsia="Times New Roman" w:hAnsi="Arial" w:cs="Arial"/>
          <w:kern w:val="0"/>
          <w:sz w:val="20"/>
          <w:szCs w:val="20"/>
          <w:lang w:eastAsia="en-IN"/>
        </w:rPr>
        <w:t>Siswandono</w:t>
      </w:r>
      <w:proofErr w:type="spellEnd"/>
      <w:r w:rsidRPr="00546BAF">
        <w:rPr>
          <w:rFonts w:ascii="Arial" w:eastAsia="Times New Roman" w:hAnsi="Arial" w:cs="Arial"/>
          <w:kern w:val="0"/>
          <w:sz w:val="20"/>
          <w:szCs w:val="20"/>
          <w:lang w:eastAsia="en-IN"/>
        </w:rPr>
        <w:t xml:space="preserve">, </w:t>
      </w:r>
      <w:proofErr w:type="spellStart"/>
      <w:r w:rsidRPr="00546BAF">
        <w:rPr>
          <w:rFonts w:ascii="Arial" w:eastAsia="Times New Roman" w:hAnsi="Arial" w:cs="Arial"/>
          <w:kern w:val="0"/>
          <w:sz w:val="20"/>
          <w:szCs w:val="20"/>
          <w:lang w:eastAsia="en-IN"/>
        </w:rPr>
        <w:t>Erawati</w:t>
      </w:r>
      <w:proofErr w:type="spellEnd"/>
      <w:r w:rsidRPr="00546BAF">
        <w:rPr>
          <w:rFonts w:ascii="Arial" w:eastAsia="Times New Roman" w:hAnsi="Arial" w:cs="Arial"/>
          <w:kern w:val="0"/>
          <w:sz w:val="20"/>
          <w:szCs w:val="20"/>
          <w:lang w:eastAsia="en-IN"/>
        </w:rPr>
        <w:t xml:space="preserve"> T, </w:t>
      </w:r>
      <w:proofErr w:type="spellStart"/>
      <w:r w:rsidRPr="00546BAF">
        <w:rPr>
          <w:rFonts w:ascii="Arial" w:eastAsia="Times New Roman" w:hAnsi="Arial" w:cs="Arial"/>
          <w:kern w:val="0"/>
          <w:sz w:val="20"/>
          <w:szCs w:val="20"/>
          <w:lang w:eastAsia="en-IN"/>
        </w:rPr>
        <w:t>Sambara</w:t>
      </w:r>
      <w:proofErr w:type="spellEnd"/>
      <w:r w:rsidRPr="00546BAF">
        <w:rPr>
          <w:rFonts w:ascii="Arial" w:eastAsia="Times New Roman" w:hAnsi="Arial" w:cs="Arial"/>
          <w:kern w:val="0"/>
          <w:sz w:val="20"/>
          <w:szCs w:val="20"/>
          <w:lang w:eastAsia="en-IN"/>
        </w:rPr>
        <w:t xml:space="preserve"> J, Mandala MS. Molecule docking using </w:t>
      </w:r>
      <w:proofErr w:type="spellStart"/>
      <w:r w:rsidRPr="00546BAF">
        <w:rPr>
          <w:rFonts w:ascii="Arial" w:eastAsia="Times New Roman" w:hAnsi="Arial" w:cs="Arial"/>
          <w:kern w:val="0"/>
          <w:sz w:val="20"/>
          <w:szCs w:val="20"/>
          <w:lang w:eastAsia="en-IN"/>
        </w:rPr>
        <w:t>molegro</w:t>
      </w:r>
      <w:proofErr w:type="spellEnd"/>
      <w:r w:rsidRPr="00546BAF">
        <w:rPr>
          <w:rFonts w:ascii="Arial" w:eastAsia="Times New Roman" w:hAnsi="Arial" w:cs="Arial"/>
          <w:kern w:val="0"/>
          <w:sz w:val="20"/>
          <w:szCs w:val="20"/>
          <w:lang w:eastAsia="en-IN"/>
        </w:rPr>
        <w:t xml:space="preserve"> virtual </w:t>
      </w:r>
      <w:proofErr w:type="spellStart"/>
      <w:r w:rsidRPr="00546BAF">
        <w:rPr>
          <w:rFonts w:ascii="Arial" w:eastAsia="Times New Roman" w:hAnsi="Arial" w:cs="Arial"/>
          <w:kern w:val="0"/>
          <w:sz w:val="20"/>
          <w:szCs w:val="20"/>
          <w:lang w:eastAsia="en-IN"/>
        </w:rPr>
        <w:t>docker</w:t>
      </w:r>
      <w:proofErr w:type="spellEnd"/>
      <w:r w:rsidRPr="00546BAF">
        <w:rPr>
          <w:rFonts w:ascii="Arial" w:eastAsia="Times New Roman" w:hAnsi="Arial" w:cs="Arial"/>
          <w:kern w:val="0"/>
          <w:sz w:val="20"/>
          <w:szCs w:val="20"/>
          <w:lang w:eastAsia="en-IN"/>
        </w:rPr>
        <w:t xml:space="preserve"> method from ethanol extract of </w:t>
      </w:r>
      <w:r w:rsidRPr="00546BAF">
        <w:rPr>
          <w:rFonts w:ascii="Arial" w:eastAsia="Times New Roman" w:hAnsi="Arial" w:cs="Arial"/>
          <w:i/>
          <w:iCs/>
          <w:kern w:val="0"/>
          <w:sz w:val="20"/>
          <w:szCs w:val="20"/>
          <w:lang w:eastAsia="en-IN"/>
        </w:rPr>
        <w:t xml:space="preserve">Bougainvillea </w:t>
      </w:r>
      <w:proofErr w:type="spellStart"/>
      <w:r w:rsidRPr="00546BAF">
        <w:rPr>
          <w:rFonts w:ascii="Arial" w:eastAsia="Times New Roman" w:hAnsi="Arial" w:cs="Arial"/>
          <w:i/>
          <w:iCs/>
          <w:kern w:val="0"/>
          <w:sz w:val="20"/>
          <w:szCs w:val="20"/>
          <w:lang w:eastAsia="en-IN"/>
        </w:rPr>
        <w:t>spectabilis</w:t>
      </w:r>
      <w:r w:rsidRPr="00546BAF">
        <w:rPr>
          <w:rFonts w:ascii="Arial" w:eastAsia="Times New Roman" w:hAnsi="Arial" w:cs="Arial"/>
          <w:kern w:val="0"/>
          <w:sz w:val="20"/>
          <w:szCs w:val="20"/>
          <w:lang w:eastAsia="en-IN"/>
        </w:rPr>
        <w:t>Willdbractea</w:t>
      </w:r>
      <w:proofErr w:type="spellEnd"/>
      <w:r w:rsidRPr="00546BAF">
        <w:rPr>
          <w:rFonts w:ascii="Arial" w:eastAsia="Times New Roman" w:hAnsi="Arial" w:cs="Arial"/>
          <w:kern w:val="0"/>
          <w:sz w:val="20"/>
          <w:szCs w:val="20"/>
          <w:lang w:eastAsia="en-IN"/>
        </w:rPr>
        <w:t xml:space="preserve"> as an inhibitor in tyrosinase for sunscreen. </w:t>
      </w:r>
      <w:proofErr w:type="spellStart"/>
      <w:r w:rsidRPr="00546BAF">
        <w:rPr>
          <w:rFonts w:ascii="Arial" w:eastAsia="Times New Roman" w:hAnsi="Arial" w:cs="Arial"/>
          <w:i/>
          <w:iCs/>
          <w:kern w:val="0"/>
          <w:sz w:val="20"/>
          <w:szCs w:val="20"/>
          <w:lang w:eastAsia="en-IN"/>
        </w:rPr>
        <w:t>Int</w:t>
      </w:r>
      <w:proofErr w:type="spellEnd"/>
      <w:r w:rsidRPr="00546BAF">
        <w:rPr>
          <w:rFonts w:ascii="Arial" w:eastAsia="Times New Roman" w:hAnsi="Arial" w:cs="Arial"/>
          <w:i/>
          <w:iCs/>
          <w:kern w:val="0"/>
          <w:sz w:val="20"/>
          <w:szCs w:val="20"/>
          <w:lang w:eastAsia="en-IN"/>
        </w:rPr>
        <w:t xml:space="preserve"> J </w:t>
      </w:r>
      <w:proofErr w:type="spellStart"/>
      <w:r w:rsidRPr="00546BAF">
        <w:rPr>
          <w:rFonts w:ascii="Arial" w:eastAsia="Times New Roman" w:hAnsi="Arial" w:cs="Arial"/>
          <w:i/>
          <w:iCs/>
          <w:kern w:val="0"/>
          <w:sz w:val="20"/>
          <w:szCs w:val="20"/>
          <w:lang w:eastAsia="en-IN"/>
        </w:rPr>
        <w:t>ChemChemEng</w:t>
      </w:r>
      <w:proofErr w:type="spellEnd"/>
      <w:r w:rsidRPr="00546BAF">
        <w:rPr>
          <w:rFonts w:ascii="Arial" w:eastAsia="Times New Roman" w:hAnsi="Arial" w:cs="Arial"/>
          <w:i/>
          <w:iCs/>
          <w:kern w:val="0"/>
          <w:sz w:val="20"/>
          <w:szCs w:val="20"/>
          <w:lang w:eastAsia="en-IN"/>
        </w:rPr>
        <w:t xml:space="preserve"> Syst</w:t>
      </w:r>
      <w:r w:rsidRPr="00546BAF">
        <w:rPr>
          <w:rFonts w:ascii="Arial" w:eastAsia="Times New Roman" w:hAnsi="Arial" w:cs="Arial"/>
          <w:kern w:val="0"/>
          <w:sz w:val="20"/>
          <w:szCs w:val="20"/>
          <w:lang w:eastAsia="en-IN"/>
        </w:rPr>
        <w:t>. 2024;9(1):16</w:t>
      </w:r>
      <w:r w:rsidRPr="00546BAF">
        <w:rPr>
          <w:rFonts w:ascii="Arial" w:eastAsia="Times New Roman" w:hAnsi="Arial" w:cs="Arial"/>
          <w:kern w:val="0"/>
          <w:sz w:val="20"/>
          <w:szCs w:val="20"/>
          <w:lang w:eastAsia="en-IN"/>
        </w:rPr>
        <w:noBreakHyphen/>
        <w:t xml:space="preserve">23. </w:t>
      </w:r>
      <w:proofErr w:type="spellStart"/>
      <w:r w:rsidRPr="00546BAF">
        <w:rPr>
          <w:rFonts w:ascii="Arial" w:eastAsia="Times New Roman" w:hAnsi="Arial" w:cs="Arial"/>
          <w:kern w:val="0"/>
          <w:sz w:val="20"/>
          <w:szCs w:val="20"/>
          <w:lang w:eastAsia="en-IN"/>
        </w:rPr>
        <w:t>doi:</w:t>
      </w:r>
      <w:hyperlink r:id="rId49" w:history="1">
        <w:r w:rsidR="00DA666A" w:rsidRPr="00546BAF">
          <w:rPr>
            <w:rStyle w:val="Hyperlink"/>
            <w:rFonts w:ascii="Arial" w:eastAsia="Times New Roman" w:hAnsi="Arial" w:cs="Arial"/>
            <w:kern w:val="0"/>
            <w:sz w:val="20"/>
            <w:szCs w:val="20"/>
            <w:lang w:eastAsia="en-IN"/>
          </w:rPr>
          <w:t>https</w:t>
        </w:r>
        <w:proofErr w:type="spellEnd"/>
        <w:r w:rsidR="00DA666A" w:rsidRPr="00546BAF">
          <w:rPr>
            <w:rStyle w:val="Hyperlink"/>
            <w:rFonts w:ascii="Arial" w:eastAsia="Times New Roman" w:hAnsi="Arial" w:cs="Arial"/>
            <w:kern w:val="0"/>
            <w:sz w:val="20"/>
            <w:szCs w:val="20"/>
            <w:lang w:eastAsia="en-IN"/>
          </w:rPr>
          <w:t>://doi.org/10.52711/0974-360X.2024.00131</w:t>
        </w:r>
      </w:hyperlink>
    </w:p>
    <w:p w14:paraId="25B83FE8" w14:textId="77777777" w:rsidR="00330992" w:rsidRPr="00546BAF" w:rsidRDefault="00330992" w:rsidP="00DA666A">
      <w:pPr>
        <w:pStyle w:val="ListParagraph"/>
        <w:numPr>
          <w:ilvl w:val="0"/>
          <w:numId w:val="6"/>
        </w:numPr>
        <w:spacing w:before="100" w:beforeAutospacing="1" w:after="100" w:afterAutospacing="1" w:line="240" w:lineRule="auto"/>
        <w:jc w:val="both"/>
        <w:rPr>
          <w:rFonts w:ascii="Arial" w:eastAsia="Times New Roman" w:hAnsi="Arial" w:cs="Arial"/>
          <w:kern w:val="0"/>
          <w:sz w:val="20"/>
          <w:szCs w:val="20"/>
          <w:lang w:eastAsia="en-IN"/>
        </w:rPr>
      </w:pPr>
      <w:r w:rsidRPr="00546BAF">
        <w:rPr>
          <w:rFonts w:ascii="Arial" w:eastAsia="Times New Roman" w:hAnsi="Arial" w:cs="Arial"/>
          <w:kern w:val="0"/>
          <w:sz w:val="20"/>
          <w:szCs w:val="20"/>
          <w:lang w:eastAsia="en-IN"/>
        </w:rPr>
        <w:t xml:space="preserve">Torres PHM, </w:t>
      </w:r>
      <w:proofErr w:type="spellStart"/>
      <w:r w:rsidRPr="00546BAF">
        <w:rPr>
          <w:rFonts w:ascii="Arial" w:eastAsia="Times New Roman" w:hAnsi="Arial" w:cs="Arial"/>
          <w:kern w:val="0"/>
          <w:sz w:val="20"/>
          <w:szCs w:val="20"/>
          <w:lang w:eastAsia="en-IN"/>
        </w:rPr>
        <w:t>Sodero</w:t>
      </w:r>
      <w:proofErr w:type="spellEnd"/>
      <w:r w:rsidRPr="00546BAF">
        <w:rPr>
          <w:rFonts w:ascii="Arial" w:eastAsia="Times New Roman" w:hAnsi="Arial" w:cs="Arial"/>
          <w:kern w:val="0"/>
          <w:sz w:val="20"/>
          <w:szCs w:val="20"/>
          <w:lang w:eastAsia="en-IN"/>
        </w:rPr>
        <w:t xml:space="preserve"> ACR, </w:t>
      </w:r>
      <w:proofErr w:type="spellStart"/>
      <w:r w:rsidRPr="00546BAF">
        <w:rPr>
          <w:rFonts w:ascii="Arial" w:eastAsia="Times New Roman" w:hAnsi="Arial" w:cs="Arial"/>
          <w:kern w:val="0"/>
          <w:sz w:val="20"/>
          <w:szCs w:val="20"/>
          <w:lang w:eastAsia="en-IN"/>
        </w:rPr>
        <w:t>Jofily</w:t>
      </w:r>
      <w:proofErr w:type="spellEnd"/>
      <w:r w:rsidRPr="00546BAF">
        <w:rPr>
          <w:rFonts w:ascii="Arial" w:eastAsia="Times New Roman" w:hAnsi="Arial" w:cs="Arial"/>
          <w:kern w:val="0"/>
          <w:sz w:val="20"/>
          <w:szCs w:val="20"/>
          <w:lang w:eastAsia="en-IN"/>
        </w:rPr>
        <w:t xml:space="preserve"> P, Silva</w:t>
      </w:r>
      <w:r w:rsidRPr="00546BAF">
        <w:rPr>
          <w:rFonts w:ascii="Arial" w:eastAsia="Times New Roman" w:hAnsi="Arial" w:cs="Arial"/>
          <w:kern w:val="0"/>
          <w:sz w:val="20"/>
          <w:szCs w:val="20"/>
          <w:lang w:eastAsia="en-IN"/>
        </w:rPr>
        <w:noBreakHyphen/>
        <w:t xml:space="preserve">Jr FP. Key topics in molecular docking for drug design. </w:t>
      </w:r>
      <w:r w:rsidRPr="00546BAF">
        <w:rPr>
          <w:rFonts w:ascii="Arial" w:eastAsia="Times New Roman" w:hAnsi="Arial" w:cs="Arial"/>
          <w:i/>
          <w:iCs/>
          <w:kern w:val="0"/>
          <w:sz w:val="20"/>
          <w:szCs w:val="20"/>
          <w:lang w:eastAsia="en-IN"/>
        </w:rPr>
        <w:t>Int J Mol Sci</w:t>
      </w:r>
      <w:r w:rsidRPr="00546BAF">
        <w:rPr>
          <w:rFonts w:ascii="Arial" w:eastAsia="Times New Roman" w:hAnsi="Arial" w:cs="Arial"/>
          <w:kern w:val="0"/>
          <w:sz w:val="20"/>
          <w:szCs w:val="20"/>
          <w:lang w:eastAsia="en-IN"/>
        </w:rPr>
        <w:t xml:space="preserve">. 2019;20(18):4574. </w:t>
      </w:r>
      <w:proofErr w:type="spellStart"/>
      <w:r w:rsidRPr="00546BAF">
        <w:rPr>
          <w:rFonts w:ascii="Arial" w:eastAsia="Times New Roman" w:hAnsi="Arial" w:cs="Arial"/>
          <w:kern w:val="0"/>
          <w:sz w:val="20"/>
          <w:szCs w:val="20"/>
          <w:lang w:eastAsia="en-IN"/>
        </w:rPr>
        <w:t>doi:</w:t>
      </w:r>
      <w:hyperlink r:id="rId50" w:history="1">
        <w:r w:rsidR="00DA666A" w:rsidRPr="00546BAF">
          <w:rPr>
            <w:rStyle w:val="Hyperlink"/>
            <w:rFonts w:ascii="Arial" w:eastAsia="Times New Roman" w:hAnsi="Arial" w:cs="Arial"/>
            <w:kern w:val="0"/>
            <w:sz w:val="20"/>
            <w:szCs w:val="20"/>
            <w:lang w:eastAsia="en-IN"/>
          </w:rPr>
          <w:t>https</w:t>
        </w:r>
        <w:proofErr w:type="spellEnd"/>
        <w:r w:rsidR="00DA666A" w:rsidRPr="00546BAF">
          <w:rPr>
            <w:rStyle w:val="Hyperlink"/>
            <w:rFonts w:ascii="Arial" w:eastAsia="Times New Roman" w:hAnsi="Arial" w:cs="Arial"/>
            <w:kern w:val="0"/>
            <w:sz w:val="20"/>
            <w:szCs w:val="20"/>
            <w:lang w:eastAsia="en-IN"/>
          </w:rPr>
          <w:t>://doi.org/10.3390/ijms20184574</w:t>
        </w:r>
      </w:hyperlink>
    </w:p>
    <w:p w14:paraId="28786E3D" w14:textId="77777777" w:rsidR="00330992" w:rsidRPr="00546BAF" w:rsidRDefault="00330992" w:rsidP="00DA666A">
      <w:pPr>
        <w:pStyle w:val="ListParagraph"/>
        <w:numPr>
          <w:ilvl w:val="0"/>
          <w:numId w:val="6"/>
        </w:numPr>
        <w:spacing w:before="100" w:beforeAutospacing="1" w:after="100" w:afterAutospacing="1" w:line="240" w:lineRule="auto"/>
        <w:jc w:val="both"/>
        <w:rPr>
          <w:rFonts w:ascii="Arial" w:eastAsia="Times New Roman" w:hAnsi="Arial" w:cs="Arial"/>
          <w:kern w:val="0"/>
          <w:sz w:val="20"/>
          <w:szCs w:val="20"/>
          <w:lang w:eastAsia="en-IN"/>
        </w:rPr>
      </w:pPr>
      <w:proofErr w:type="spellStart"/>
      <w:r w:rsidRPr="00546BAF">
        <w:rPr>
          <w:rFonts w:ascii="Arial" w:eastAsia="Times New Roman" w:hAnsi="Arial" w:cs="Arial"/>
          <w:kern w:val="0"/>
          <w:sz w:val="20"/>
          <w:szCs w:val="20"/>
          <w:lang w:eastAsia="en-IN"/>
        </w:rPr>
        <w:t>Pinzi</w:t>
      </w:r>
      <w:proofErr w:type="spellEnd"/>
      <w:r w:rsidRPr="00546BAF">
        <w:rPr>
          <w:rFonts w:ascii="Arial" w:eastAsia="Times New Roman" w:hAnsi="Arial" w:cs="Arial"/>
          <w:kern w:val="0"/>
          <w:sz w:val="20"/>
          <w:szCs w:val="20"/>
          <w:lang w:eastAsia="en-IN"/>
        </w:rPr>
        <w:t xml:space="preserve"> L, </w:t>
      </w:r>
      <w:proofErr w:type="spellStart"/>
      <w:r w:rsidRPr="00546BAF">
        <w:rPr>
          <w:rFonts w:ascii="Arial" w:eastAsia="Times New Roman" w:hAnsi="Arial" w:cs="Arial"/>
          <w:kern w:val="0"/>
          <w:sz w:val="20"/>
          <w:szCs w:val="20"/>
          <w:lang w:eastAsia="en-IN"/>
        </w:rPr>
        <w:t>Rastelli</w:t>
      </w:r>
      <w:proofErr w:type="spellEnd"/>
      <w:r w:rsidRPr="00546BAF">
        <w:rPr>
          <w:rFonts w:ascii="Arial" w:eastAsia="Times New Roman" w:hAnsi="Arial" w:cs="Arial"/>
          <w:kern w:val="0"/>
          <w:sz w:val="20"/>
          <w:szCs w:val="20"/>
          <w:lang w:eastAsia="en-IN"/>
        </w:rPr>
        <w:t xml:space="preserve"> G. Molecular docking: shifting paradigms in drug discovery. </w:t>
      </w:r>
      <w:r w:rsidRPr="00546BAF">
        <w:rPr>
          <w:rFonts w:ascii="Arial" w:eastAsia="Times New Roman" w:hAnsi="Arial" w:cs="Arial"/>
          <w:i/>
          <w:iCs/>
          <w:kern w:val="0"/>
          <w:sz w:val="20"/>
          <w:szCs w:val="20"/>
          <w:lang w:eastAsia="en-IN"/>
        </w:rPr>
        <w:t>Int J Mol Sci</w:t>
      </w:r>
      <w:r w:rsidRPr="00546BAF">
        <w:rPr>
          <w:rFonts w:ascii="Arial" w:eastAsia="Times New Roman" w:hAnsi="Arial" w:cs="Arial"/>
          <w:kern w:val="0"/>
          <w:sz w:val="20"/>
          <w:szCs w:val="20"/>
          <w:lang w:eastAsia="en-IN"/>
        </w:rPr>
        <w:t xml:space="preserve">. 2019;20(18):4331. </w:t>
      </w:r>
      <w:proofErr w:type="spellStart"/>
      <w:r w:rsidRPr="00546BAF">
        <w:rPr>
          <w:rFonts w:ascii="Arial" w:eastAsia="Times New Roman" w:hAnsi="Arial" w:cs="Arial"/>
          <w:kern w:val="0"/>
          <w:sz w:val="20"/>
          <w:szCs w:val="20"/>
          <w:lang w:eastAsia="en-IN"/>
        </w:rPr>
        <w:t>doi:</w:t>
      </w:r>
      <w:hyperlink r:id="rId51" w:history="1">
        <w:r w:rsidR="00DA666A" w:rsidRPr="00546BAF">
          <w:rPr>
            <w:rStyle w:val="Hyperlink"/>
            <w:rFonts w:ascii="Arial" w:eastAsia="Times New Roman" w:hAnsi="Arial" w:cs="Arial"/>
            <w:kern w:val="0"/>
            <w:sz w:val="20"/>
            <w:szCs w:val="20"/>
            <w:lang w:eastAsia="en-IN"/>
          </w:rPr>
          <w:t>https</w:t>
        </w:r>
        <w:proofErr w:type="spellEnd"/>
        <w:r w:rsidR="00DA666A" w:rsidRPr="00546BAF">
          <w:rPr>
            <w:rStyle w:val="Hyperlink"/>
            <w:rFonts w:ascii="Arial" w:eastAsia="Times New Roman" w:hAnsi="Arial" w:cs="Arial"/>
            <w:kern w:val="0"/>
            <w:sz w:val="20"/>
            <w:szCs w:val="20"/>
            <w:lang w:eastAsia="en-IN"/>
          </w:rPr>
          <w:t>://doi.org/10.3390/ijms2018433</w:t>
        </w:r>
      </w:hyperlink>
    </w:p>
    <w:p w14:paraId="2F29F486" w14:textId="77777777" w:rsidR="00C22D2C" w:rsidRPr="00546BAF" w:rsidRDefault="00330992" w:rsidP="00DA666A">
      <w:pPr>
        <w:pStyle w:val="ListParagraph"/>
        <w:numPr>
          <w:ilvl w:val="0"/>
          <w:numId w:val="6"/>
        </w:numPr>
        <w:spacing w:before="100" w:beforeAutospacing="1" w:after="100" w:afterAutospacing="1" w:line="240" w:lineRule="auto"/>
        <w:jc w:val="both"/>
        <w:rPr>
          <w:rFonts w:ascii="Arial" w:eastAsia="Times New Roman" w:hAnsi="Arial" w:cs="Arial"/>
          <w:kern w:val="0"/>
          <w:sz w:val="20"/>
          <w:szCs w:val="20"/>
          <w:lang w:eastAsia="en-IN"/>
        </w:rPr>
      </w:pPr>
      <w:r w:rsidRPr="00546BAF">
        <w:rPr>
          <w:rFonts w:ascii="Arial" w:eastAsia="Times New Roman" w:hAnsi="Arial" w:cs="Arial"/>
          <w:kern w:val="0"/>
          <w:sz w:val="20"/>
          <w:szCs w:val="20"/>
          <w:lang w:eastAsia="en-IN"/>
        </w:rPr>
        <w:t xml:space="preserve">Ibrahim ZY, </w:t>
      </w:r>
      <w:proofErr w:type="spellStart"/>
      <w:r w:rsidRPr="00546BAF">
        <w:rPr>
          <w:rFonts w:ascii="Arial" w:eastAsia="Times New Roman" w:hAnsi="Arial" w:cs="Arial"/>
          <w:kern w:val="0"/>
          <w:sz w:val="20"/>
          <w:szCs w:val="20"/>
          <w:lang w:eastAsia="en-IN"/>
        </w:rPr>
        <w:t>Uzairu</w:t>
      </w:r>
      <w:proofErr w:type="spellEnd"/>
      <w:r w:rsidRPr="00546BAF">
        <w:rPr>
          <w:rFonts w:ascii="Arial" w:eastAsia="Times New Roman" w:hAnsi="Arial" w:cs="Arial"/>
          <w:kern w:val="0"/>
          <w:sz w:val="20"/>
          <w:szCs w:val="20"/>
          <w:lang w:eastAsia="en-IN"/>
        </w:rPr>
        <w:t xml:space="preserve"> A, </w:t>
      </w:r>
      <w:proofErr w:type="spellStart"/>
      <w:r w:rsidRPr="00546BAF">
        <w:rPr>
          <w:rFonts w:ascii="Arial" w:eastAsia="Times New Roman" w:hAnsi="Arial" w:cs="Arial"/>
          <w:kern w:val="0"/>
          <w:sz w:val="20"/>
          <w:szCs w:val="20"/>
          <w:lang w:eastAsia="en-IN"/>
        </w:rPr>
        <w:t>Shallangwa</w:t>
      </w:r>
      <w:proofErr w:type="spellEnd"/>
      <w:r w:rsidRPr="00546BAF">
        <w:rPr>
          <w:rFonts w:ascii="Arial" w:eastAsia="Times New Roman" w:hAnsi="Arial" w:cs="Arial"/>
          <w:kern w:val="0"/>
          <w:sz w:val="20"/>
          <w:szCs w:val="20"/>
          <w:lang w:eastAsia="en-IN"/>
        </w:rPr>
        <w:t xml:space="preserve"> G, </w:t>
      </w:r>
      <w:proofErr w:type="spellStart"/>
      <w:r w:rsidRPr="00546BAF">
        <w:rPr>
          <w:rFonts w:ascii="Arial" w:eastAsia="Times New Roman" w:hAnsi="Arial" w:cs="Arial"/>
          <w:kern w:val="0"/>
          <w:sz w:val="20"/>
          <w:szCs w:val="20"/>
          <w:lang w:eastAsia="en-IN"/>
        </w:rPr>
        <w:t>Abechi</w:t>
      </w:r>
      <w:proofErr w:type="spellEnd"/>
      <w:r w:rsidRPr="00546BAF">
        <w:rPr>
          <w:rFonts w:ascii="Arial" w:eastAsia="Times New Roman" w:hAnsi="Arial" w:cs="Arial"/>
          <w:kern w:val="0"/>
          <w:sz w:val="20"/>
          <w:szCs w:val="20"/>
          <w:lang w:eastAsia="en-IN"/>
        </w:rPr>
        <w:t xml:space="preserve"> S. Molecular docking studies, drug</w:t>
      </w:r>
      <w:r w:rsidRPr="00546BAF">
        <w:rPr>
          <w:rFonts w:ascii="Arial" w:eastAsia="Times New Roman" w:hAnsi="Arial" w:cs="Arial"/>
          <w:kern w:val="0"/>
          <w:sz w:val="20"/>
          <w:szCs w:val="20"/>
          <w:lang w:eastAsia="en-IN"/>
        </w:rPr>
        <w:noBreakHyphen/>
        <w:t>likeness and in</w:t>
      </w:r>
      <w:r w:rsidRPr="00546BAF">
        <w:rPr>
          <w:rFonts w:ascii="Arial" w:eastAsia="Times New Roman" w:hAnsi="Arial" w:cs="Arial"/>
          <w:kern w:val="0"/>
          <w:sz w:val="20"/>
          <w:szCs w:val="20"/>
          <w:lang w:eastAsia="en-IN"/>
        </w:rPr>
        <w:noBreakHyphen/>
        <w:t>silico ADMET prediction of some novel β</w:t>
      </w:r>
      <w:r w:rsidRPr="00546BAF">
        <w:rPr>
          <w:rFonts w:ascii="Arial" w:eastAsia="Times New Roman" w:hAnsi="Arial" w:cs="Arial"/>
          <w:kern w:val="0"/>
          <w:sz w:val="20"/>
          <w:szCs w:val="20"/>
          <w:lang w:eastAsia="en-IN"/>
        </w:rPr>
        <w:noBreakHyphen/>
        <w:t>amino alcohol grafted 1,4,5</w:t>
      </w:r>
      <w:r w:rsidRPr="00546BAF">
        <w:rPr>
          <w:rFonts w:ascii="Arial" w:eastAsia="Times New Roman" w:hAnsi="Arial" w:cs="Arial"/>
          <w:kern w:val="0"/>
          <w:sz w:val="20"/>
          <w:szCs w:val="20"/>
          <w:lang w:eastAsia="en-IN"/>
        </w:rPr>
        <w:noBreakHyphen/>
        <w:t>trisubstituted 1,2,3</w:t>
      </w:r>
      <w:r w:rsidRPr="00546BAF">
        <w:rPr>
          <w:rFonts w:ascii="Arial" w:eastAsia="Times New Roman" w:hAnsi="Arial" w:cs="Arial"/>
          <w:kern w:val="0"/>
          <w:sz w:val="20"/>
          <w:szCs w:val="20"/>
          <w:lang w:eastAsia="en-IN"/>
        </w:rPr>
        <w:noBreakHyphen/>
        <w:t xml:space="preserve">triazoles derivatives as elevators of p53 protein levels. </w:t>
      </w:r>
      <w:r w:rsidRPr="00546BAF">
        <w:rPr>
          <w:rFonts w:ascii="Arial" w:eastAsia="Times New Roman" w:hAnsi="Arial" w:cs="Arial"/>
          <w:i/>
          <w:iCs/>
          <w:kern w:val="0"/>
          <w:sz w:val="20"/>
          <w:szCs w:val="20"/>
          <w:lang w:eastAsia="en-IN"/>
        </w:rPr>
        <w:t>J Mol Graph Model</w:t>
      </w:r>
      <w:r w:rsidRPr="00546BAF">
        <w:rPr>
          <w:rFonts w:ascii="Arial" w:eastAsia="Times New Roman" w:hAnsi="Arial" w:cs="Arial"/>
          <w:kern w:val="0"/>
          <w:sz w:val="20"/>
          <w:szCs w:val="20"/>
          <w:lang w:eastAsia="en-IN"/>
        </w:rPr>
        <w:t xml:space="preserve">. </w:t>
      </w:r>
      <w:proofErr w:type="gramStart"/>
      <w:r w:rsidRPr="00546BAF">
        <w:rPr>
          <w:rFonts w:ascii="Arial" w:eastAsia="Times New Roman" w:hAnsi="Arial" w:cs="Arial"/>
          <w:kern w:val="0"/>
          <w:sz w:val="20"/>
          <w:szCs w:val="20"/>
          <w:lang w:eastAsia="en-IN"/>
        </w:rPr>
        <w:t>2025;124:108119</w:t>
      </w:r>
      <w:proofErr w:type="gramEnd"/>
      <w:r w:rsidRPr="00546BAF">
        <w:rPr>
          <w:rFonts w:ascii="Arial" w:eastAsia="Times New Roman" w:hAnsi="Arial" w:cs="Arial"/>
          <w:kern w:val="0"/>
          <w:sz w:val="20"/>
          <w:szCs w:val="20"/>
          <w:lang w:eastAsia="en-IN"/>
        </w:rPr>
        <w:t xml:space="preserve">. </w:t>
      </w:r>
      <w:proofErr w:type="spellStart"/>
      <w:r w:rsidRPr="00546BAF">
        <w:rPr>
          <w:rFonts w:ascii="Arial" w:eastAsia="Times New Roman" w:hAnsi="Arial" w:cs="Arial"/>
          <w:kern w:val="0"/>
          <w:sz w:val="20"/>
          <w:szCs w:val="20"/>
          <w:lang w:eastAsia="en-IN"/>
        </w:rPr>
        <w:t>doi:</w:t>
      </w:r>
      <w:hyperlink r:id="rId52" w:history="1">
        <w:r w:rsidR="00DA666A" w:rsidRPr="00546BAF">
          <w:rPr>
            <w:rStyle w:val="Hyperlink"/>
            <w:rFonts w:ascii="Arial" w:eastAsia="Times New Roman" w:hAnsi="Arial" w:cs="Arial"/>
            <w:kern w:val="0"/>
            <w:sz w:val="20"/>
            <w:szCs w:val="20"/>
            <w:lang w:eastAsia="en-IN"/>
          </w:rPr>
          <w:t>https</w:t>
        </w:r>
        <w:proofErr w:type="spellEnd"/>
        <w:r w:rsidR="00DA666A" w:rsidRPr="00546BAF">
          <w:rPr>
            <w:rStyle w:val="Hyperlink"/>
            <w:rFonts w:ascii="Arial" w:eastAsia="Times New Roman" w:hAnsi="Arial" w:cs="Arial"/>
            <w:kern w:val="0"/>
            <w:sz w:val="20"/>
            <w:szCs w:val="20"/>
            <w:lang w:eastAsia="en-IN"/>
          </w:rPr>
          <w:t>://doi.org/10.1016/j.jmgm.2025.108119</w:t>
        </w:r>
      </w:hyperlink>
    </w:p>
    <w:p w14:paraId="779694C3" w14:textId="77777777" w:rsidR="00C22D2C" w:rsidRPr="00546BAF" w:rsidRDefault="00C22D2C" w:rsidP="00DA666A">
      <w:pPr>
        <w:pStyle w:val="ListParagraph"/>
        <w:numPr>
          <w:ilvl w:val="0"/>
          <w:numId w:val="6"/>
        </w:numPr>
        <w:spacing w:before="100" w:beforeAutospacing="1" w:after="100" w:afterAutospacing="1" w:line="240" w:lineRule="auto"/>
        <w:jc w:val="both"/>
        <w:rPr>
          <w:rFonts w:ascii="Arial" w:eastAsia="Times New Roman" w:hAnsi="Arial" w:cs="Arial"/>
          <w:kern w:val="0"/>
          <w:sz w:val="20"/>
          <w:szCs w:val="20"/>
          <w:lang w:eastAsia="en-IN"/>
        </w:rPr>
      </w:pPr>
      <w:proofErr w:type="spellStart"/>
      <w:r w:rsidRPr="00546BAF">
        <w:rPr>
          <w:rFonts w:ascii="Arial" w:eastAsia="Times New Roman" w:hAnsi="Arial" w:cs="Arial"/>
          <w:kern w:val="0"/>
          <w:sz w:val="20"/>
          <w:szCs w:val="20"/>
          <w:lang w:eastAsia="en-IN"/>
        </w:rPr>
        <w:t>Bors</w:t>
      </w:r>
      <w:proofErr w:type="spellEnd"/>
      <w:r w:rsidRPr="00546BAF">
        <w:rPr>
          <w:rFonts w:ascii="Arial" w:eastAsia="Times New Roman" w:hAnsi="Arial" w:cs="Arial"/>
          <w:kern w:val="0"/>
          <w:sz w:val="20"/>
          <w:szCs w:val="20"/>
          <w:lang w:eastAsia="en-IN"/>
        </w:rPr>
        <w:t xml:space="preserve"> L, </w:t>
      </w:r>
      <w:proofErr w:type="spellStart"/>
      <w:r w:rsidRPr="00546BAF">
        <w:rPr>
          <w:rFonts w:ascii="Arial" w:eastAsia="Times New Roman" w:hAnsi="Arial" w:cs="Arial"/>
          <w:kern w:val="0"/>
          <w:sz w:val="20"/>
          <w:szCs w:val="20"/>
          <w:lang w:eastAsia="en-IN"/>
        </w:rPr>
        <w:t>Erdo</w:t>
      </w:r>
      <w:proofErr w:type="spellEnd"/>
      <w:r w:rsidRPr="00546BAF">
        <w:rPr>
          <w:rFonts w:ascii="Arial" w:eastAsia="Times New Roman" w:hAnsi="Arial" w:cs="Arial"/>
          <w:kern w:val="0"/>
          <w:sz w:val="20"/>
          <w:szCs w:val="20"/>
          <w:lang w:eastAsia="en-IN"/>
        </w:rPr>
        <w:t xml:space="preserve"> F. Overcoming the blood–brain barrier: challenges and tricks for CNS drug delivery. </w:t>
      </w:r>
      <w:r w:rsidRPr="00546BAF">
        <w:rPr>
          <w:rFonts w:ascii="Arial" w:eastAsia="Times New Roman" w:hAnsi="Arial" w:cs="Arial"/>
          <w:i/>
          <w:iCs/>
          <w:kern w:val="0"/>
          <w:sz w:val="20"/>
          <w:szCs w:val="20"/>
          <w:lang w:eastAsia="en-IN"/>
        </w:rPr>
        <w:t>Sci Pharm</w:t>
      </w:r>
      <w:r w:rsidRPr="00546BAF">
        <w:rPr>
          <w:rFonts w:ascii="Arial" w:eastAsia="Times New Roman" w:hAnsi="Arial" w:cs="Arial"/>
          <w:kern w:val="0"/>
          <w:sz w:val="20"/>
          <w:szCs w:val="20"/>
          <w:lang w:eastAsia="en-IN"/>
        </w:rPr>
        <w:t xml:space="preserve">. 2019;87(1):6. </w:t>
      </w:r>
      <w:proofErr w:type="spellStart"/>
      <w:r w:rsidRPr="00546BAF">
        <w:rPr>
          <w:rFonts w:ascii="Arial" w:eastAsia="Times New Roman" w:hAnsi="Arial" w:cs="Arial"/>
          <w:kern w:val="0"/>
          <w:sz w:val="20"/>
          <w:szCs w:val="20"/>
          <w:lang w:eastAsia="en-IN"/>
        </w:rPr>
        <w:t>doi:</w:t>
      </w:r>
      <w:hyperlink r:id="rId53" w:history="1">
        <w:r w:rsidR="00DA666A" w:rsidRPr="00546BAF">
          <w:rPr>
            <w:rStyle w:val="Hyperlink"/>
            <w:rFonts w:ascii="Arial" w:eastAsia="Times New Roman" w:hAnsi="Arial" w:cs="Arial"/>
            <w:kern w:val="0"/>
            <w:sz w:val="20"/>
            <w:szCs w:val="20"/>
            <w:lang w:eastAsia="en-IN"/>
          </w:rPr>
          <w:t>https</w:t>
        </w:r>
        <w:proofErr w:type="spellEnd"/>
        <w:r w:rsidR="00DA666A" w:rsidRPr="00546BAF">
          <w:rPr>
            <w:rStyle w:val="Hyperlink"/>
            <w:rFonts w:ascii="Arial" w:eastAsia="Times New Roman" w:hAnsi="Arial" w:cs="Arial"/>
            <w:kern w:val="0"/>
            <w:sz w:val="20"/>
            <w:szCs w:val="20"/>
            <w:lang w:eastAsia="en-IN"/>
          </w:rPr>
          <w:t>://doi.org/10.3390/scipharm87010006</w:t>
        </w:r>
      </w:hyperlink>
    </w:p>
    <w:p w14:paraId="66D6061B" w14:textId="77777777" w:rsidR="00F52F39" w:rsidRPr="00546BAF" w:rsidRDefault="00C22D2C" w:rsidP="00F52F39">
      <w:pPr>
        <w:pStyle w:val="ListParagraph"/>
        <w:numPr>
          <w:ilvl w:val="0"/>
          <w:numId w:val="6"/>
        </w:numPr>
        <w:spacing w:before="100" w:beforeAutospacing="1" w:after="100" w:afterAutospacing="1" w:line="240" w:lineRule="auto"/>
        <w:jc w:val="both"/>
        <w:rPr>
          <w:rFonts w:ascii="Arial" w:hAnsi="Arial" w:cs="Arial"/>
          <w:b/>
          <w:bCs/>
          <w:sz w:val="20"/>
          <w:szCs w:val="20"/>
        </w:rPr>
      </w:pPr>
      <w:r w:rsidRPr="00546BAF">
        <w:rPr>
          <w:rFonts w:ascii="Arial" w:eastAsia="Times New Roman" w:hAnsi="Arial" w:cs="Arial"/>
          <w:kern w:val="0"/>
          <w:sz w:val="20"/>
          <w:szCs w:val="20"/>
          <w:lang w:eastAsia="en-IN"/>
        </w:rPr>
        <w:t>Hasan MM, Khan Z, Chowdhury MS, Khan MA, Moni MA, Rahman MH. In silico molecular docking and ADME/T analysis of quercetin compound with its evaluation of broad</w:t>
      </w:r>
      <w:r w:rsidRPr="00546BAF">
        <w:rPr>
          <w:rFonts w:ascii="Arial" w:eastAsia="Times New Roman" w:hAnsi="Arial" w:cs="Arial"/>
          <w:kern w:val="0"/>
          <w:sz w:val="20"/>
          <w:szCs w:val="20"/>
          <w:lang w:eastAsia="en-IN"/>
        </w:rPr>
        <w:noBreakHyphen/>
        <w:t xml:space="preserve">spectrum therapeutic potential against particular diseases. </w:t>
      </w:r>
      <w:r w:rsidRPr="00546BAF">
        <w:rPr>
          <w:rFonts w:ascii="Arial" w:eastAsia="Times New Roman" w:hAnsi="Arial" w:cs="Arial"/>
          <w:i/>
          <w:iCs/>
          <w:kern w:val="0"/>
          <w:sz w:val="20"/>
          <w:szCs w:val="20"/>
          <w:lang w:eastAsia="en-IN"/>
        </w:rPr>
        <w:t>Sci Rep</w:t>
      </w:r>
      <w:r w:rsidRPr="00546BAF">
        <w:rPr>
          <w:rFonts w:ascii="Arial" w:eastAsia="Times New Roman" w:hAnsi="Arial" w:cs="Arial"/>
          <w:kern w:val="0"/>
          <w:sz w:val="20"/>
          <w:szCs w:val="20"/>
          <w:lang w:eastAsia="en-IN"/>
        </w:rPr>
        <w:t xml:space="preserve">. </w:t>
      </w:r>
      <w:proofErr w:type="gramStart"/>
      <w:r w:rsidRPr="00546BAF">
        <w:rPr>
          <w:rFonts w:ascii="Arial" w:eastAsia="Times New Roman" w:hAnsi="Arial" w:cs="Arial"/>
          <w:kern w:val="0"/>
          <w:sz w:val="20"/>
          <w:szCs w:val="20"/>
          <w:lang w:eastAsia="en-IN"/>
        </w:rPr>
        <w:t>2024;14:22345</w:t>
      </w:r>
      <w:proofErr w:type="gramEnd"/>
      <w:r w:rsidRPr="00546BAF">
        <w:rPr>
          <w:rFonts w:ascii="Arial" w:eastAsia="Times New Roman" w:hAnsi="Arial" w:cs="Arial"/>
          <w:kern w:val="0"/>
          <w:sz w:val="20"/>
          <w:szCs w:val="20"/>
          <w:lang w:eastAsia="en-IN"/>
        </w:rPr>
        <w:t xml:space="preserve">. </w:t>
      </w:r>
      <w:proofErr w:type="spellStart"/>
      <w:r w:rsidRPr="00546BAF">
        <w:rPr>
          <w:rFonts w:ascii="Arial" w:eastAsia="Times New Roman" w:hAnsi="Arial" w:cs="Arial"/>
          <w:kern w:val="0"/>
          <w:sz w:val="20"/>
          <w:szCs w:val="20"/>
          <w:lang w:eastAsia="en-IN"/>
        </w:rPr>
        <w:t>doi:</w:t>
      </w:r>
      <w:hyperlink r:id="rId54" w:history="1">
        <w:r w:rsidR="00DA666A" w:rsidRPr="00546BAF">
          <w:rPr>
            <w:rStyle w:val="Hyperlink"/>
            <w:rFonts w:ascii="Arial" w:eastAsia="Times New Roman" w:hAnsi="Arial" w:cs="Arial"/>
            <w:kern w:val="0"/>
            <w:sz w:val="20"/>
            <w:szCs w:val="20"/>
            <w:lang w:eastAsia="en-IN"/>
          </w:rPr>
          <w:t>https</w:t>
        </w:r>
        <w:proofErr w:type="spellEnd"/>
        <w:r w:rsidR="00DA666A" w:rsidRPr="00546BAF">
          <w:rPr>
            <w:rStyle w:val="Hyperlink"/>
            <w:rFonts w:ascii="Arial" w:eastAsia="Times New Roman" w:hAnsi="Arial" w:cs="Arial"/>
            <w:kern w:val="0"/>
            <w:sz w:val="20"/>
            <w:szCs w:val="20"/>
            <w:lang w:eastAsia="en-IN"/>
          </w:rPr>
          <w:t>://doi.org/10.1038/s41598</w:t>
        </w:r>
        <w:r w:rsidR="00DA666A" w:rsidRPr="00546BAF">
          <w:rPr>
            <w:rStyle w:val="Hyperlink"/>
            <w:rFonts w:ascii="Arial" w:eastAsia="Times New Roman" w:hAnsi="Arial" w:cs="Arial"/>
            <w:kern w:val="0"/>
            <w:sz w:val="20"/>
            <w:szCs w:val="20"/>
            <w:lang w:eastAsia="en-IN"/>
          </w:rPr>
          <w:noBreakHyphen/>
          <w:t>024</w:t>
        </w:r>
        <w:r w:rsidR="00DA666A" w:rsidRPr="00546BAF">
          <w:rPr>
            <w:rStyle w:val="Hyperlink"/>
            <w:rFonts w:ascii="Arial" w:eastAsia="Times New Roman" w:hAnsi="Arial" w:cs="Arial"/>
            <w:kern w:val="0"/>
            <w:sz w:val="20"/>
            <w:szCs w:val="20"/>
            <w:lang w:eastAsia="en-IN"/>
          </w:rPr>
          <w:noBreakHyphen/>
          <w:t>22345</w:t>
        </w:r>
        <w:r w:rsidR="00DA666A" w:rsidRPr="00546BAF">
          <w:rPr>
            <w:rStyle w:val="Hyperlink"/>
            <w:rFonts w:ascii="Arial" w:eastAsia="Times New Roman" w:hAnsi="Arial" w:cs="Arial"/>
            <w:kern w:val="0"/>
            <w:sz w:val="20"/>
            <w:szCs w:val="20"/>
            <w:lang w:eastAsia="en-IN"/>
          </w:rPr>
          <w:noBreakHyphen/>
          <w:t>9</w:t>
        </w:r>
      </w:hyperlink>
      <w:bookmarkEnd w:id="36"/>
      <w:bookmarkEnd w:id="37"/>
    </w:p>
    <w:sectPr w:rsidR="00F52F39" w:rsidRPr="00546BAF" w:rsidSect="003C45AA">
      <w:headerReference w:type="even" r:id="rId55"/>
      <w:headerReference w:type="default" r:id="rId56"/>
      <w:footerReference w:type="even" r:id="rId57"/>
      <w:footerReference w:type="default" r:id="rId58"/>
      <w:headerReference w:type="first" r:id="rId59"/>
      <w:footerReference w:type="first" r:id="rId6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sus" w:date="2026-02-03T18:36:00Z" w:initials="A">
    <w:p w14:paraId="3E738ACE" w14:textId="77777777" w:rsidR="00016298" w:rsidRDefault="00016298">
      <w:pPr>
        <w:pStyle w:val="CommentText"/>
      </w:pPr>
      <w:r>
        <w:rPr>
          <w:rStyle w:val="CommentReference"/>
        </w:rPr>
        <w:annotationRef/>
      </w:r>
      <w:r>
        <w:t>Spelling mistake</w:t>
      </w:r>
      <w:proofErr w:type="gramStart"/>
      <w:r>
        <w:t>-“</w:t>
      </w:r>
      <w:proofErr w:type="spellStart"/>
      <w:proofErr w:type="gramEnd"/>
      <w:r>
        <w:t>Erlotinib</w:t>
      </w:r>
      <w:proofErr w:type="spellEnd"/>
      <w:r>
        <w:t>”</w:t>
      </w:r>
    </w:p>
  </w:comment>
  <w:comment w:id="1" w:author="Asus" w:date="2026-02-03T19:52:00Z" w:initials="A">
    <w:p w14:paraId="2BE30E82" w14:textId="77777777" w:rsidR="00702BD5" w:rsidRDefault="00702BD5" w:rsidP="00702BD5">
      <w:pPr>
        <w:pStyle w:val="CommentText"/>
      </w:pPr>
      <w:r>
        <w:rPr>
          <w:rStyle w:val="CommentReference"/>
        </w:rPr>
        <w:annotationRef/>
      </w:r>
      <w:r>
        <w:t>These four are correct Lipinski parameters:</w:t>
      </w:r>
    </w:p>
    <w:p w14:paraId="4A954205" w14:textId="31C92C74" w:rsidR="00702BD5" w:rsidRDefault="00702BD5" w:rsidP="00702BD5">
      <w:pPr>
        <w:pStyle w:val="CommentText"/>
      </w:pPr>
      <w:r>
        <w:t xml:space="preserve">1. </w:t>
      </w:r>
      <w:r>
        <w:t>MW ≤ 500 g/</w:t>
      </w:r>
      <w:proofErr w:type="spellStart"/>
      <w:r>
        <w:t>mol</w:t>
      </w:r>
      <w:proofErr w:type="spellEnd"/>
    </w:p>
    <w:p w14:paraId="5B129E98" w14:textId="04BDEF6B" w:rsidR="00702BD5" w:rsidRDefault="00702BD5" w:rsidP="00702BD5">
      <w:pPr>
        <w:pStyle w:val="CommentText"/>
      </w:pPr>
      <w:r>
        <w:rPr>
          <w:rFonts w:ascii="Segoe UI Symbol" w:hAnsi="Segoe UI Symbol" w:cs="Segoe UI Symbol"/>
        </w:rPr>
        <w:t xml:space="preserve">2. </w:t>
      </w:r>
      <w:r>
        <w:t xml:space="preserve"> HBD ≤ 5</w:t>
      </w:r>
    </w:p>
    <w:p w14:paraId="745B12D2" w14:textId="24FAF44A" w:rsidR="00702BD5" w:rsidRDefault="00702BD5" w:rsidP="00702BD5">
      <w:pPr>
        <w:pStyle w:val="CommentText"/>
      </w:pPr>
      <w:r>
        <w:rPr>
          <w:rFonts w:ascii="Segoe UI Symbol" w:hAnsi="Segoe UI Symbol" w:cs="Segoe UI Symbol"/>
        </w:rPr>
        <w:t xml:space="preserve">3. </w:t>
      </w:r>
      <w:r>
        <w:t xml:space="preserve"> HBA ≤ 10</w:t>
      </w:r>
    </w:p>
    <w:p w14:paraId="0C45A500" w14:textId="09FF3C7F" w:rsidR="00702BD5" w:rsidRDefault="00702BD5" w:rsidP="00702BD5">
      <w:pPr>
        <w:pStyle w:val="CommentText"/>
      </w:pPr>
      <w:r>
        <w:rPr>
          <w:rFonts w:ascii="Segoe UI Symbol" w:hAnsi="Segoe UI Symbol" w:cs="Segoe UI Symbol"/>
        </w:rPr>
        <w:t xml:space="preserve">4. </w:t>
      </w:r>
      <w:proofErr w:type="spellStart"/>
      <w:r>
        <w:t>LogP</w:t>
      </w:r>
      <w:proofErr w:type="spellEnd"/>
      <w:r>
        <w:t xml:space="preserve"> ≤ 5</w:t>
      </w:r>
    </w:p>
    <w:p w14:paraId="1FC085D1" w14:textId="37DA66D0" w:rsidR="00702BD5" w:rsidRDefault="00702BD5" w:rsidP="00702BD5">
      <w:pPr>
        <w:pStyle w:val="CommentText"/>
      </w:pPr>
    </w:p>
    <w:p w14:paraId="50A702C4" w14:textId="1E9C9354" w:rsidR="00702BD5" w:rsidRDefault="00702BD5" w:rsidP="00702BD5">
      <w:pPr>
        <w:pStyle w:val="CommentText"/>
      </w:pPr>
      <w:r w:rsidRPr="00702BD5">
        <w:t xml:space="preserve">Polar Surface Area (PSA) </w:t>
      </w:r>
      <w:r>
        <w:t xml:space="preserve">and </w:t>
      </w:r>
      <w:r w:rsidRPr="00702BD5">
        <w:t>rotatable bonds</w:t>
      </w:r>
      <w:r w:rsidR="008E74F1">
        <w:t xml:space="preserve"> (RB)</w:t>
      </w:r>
      <w:r w:rsidRPr="00702BD5">
        <w:t xml:space="preserve"> is NOT part of Lipinski’s Rule of Five</w:t>
      </w:r>
    </w:p>
  </w:comment>
  <w:comment w:id="2" w:author="Asus" w:date="2026-02-03T19:11:00Z" w:initials="A">
    <w:p w14:paraId="1F7C76D2" w14:textId="2FDE6553" w:rsidR="00757985" w:rsidRDefault="00757985">
      <w:pPr>
        <w:pStyle w:val="CommentText"/>
      </w:pPr>
      <w:r>
        <w:rPr>
          <w:rStyle w:val="CommentReference"/>
        </w:rPr>
        <w:annotationRef/>
      </w:r>
      <w:r>
        <w:t>It should be CaCO</w:t>
      </w:r>
      <w:r w:rsidRPr="00016298">
        <w:rPr>
          <w:vertAlign w:val="subscript"/>
        </w:rPr>
        <w:t>2</w:t>
      </w:r>
    </w:p>
  </w:comment>
  <w:comment w:id="4" w:author="Asus" w:date="2026-02-03T20:01:00Z" w:initials="A">
    <w:p w14:paraId="630B9998" w14:textId="33612C58" w:rsidR="00481C7F" w:rsidRDefault="00481C7F" w:rsidP="00481C7F">
      <w:pPr>
        <w:pStyle w:val="CommentText"/>
      </w:pPr>
      <w:r>
        <w:rPr>
          <w:rStyle w:val="CommentReference"/>
        </w:rPr>
        <w:annotationRef/>
      </w:r>
      <w:proofErr w:type="spellStart"/>
      <w:r>
        <w:t>Molinspiration</w:t>
      </w:r>
      <w:proofErr w:type="spellEnd"/>
      <w:r>
        <w:t xml:space="preserve"> bioactivity results indicate</w:t>
      </w:r>
      <w:r>
        <w:t>-</w:t>
      </w:r>
    </w:p>
    <w:p w14:paraId="437877AB" w14:textId="77777777" w:rsidR="00481C7F" w:rsidRDefault="00481C7F" w:rsidP="00481C7F">
      <w:pPr>
        <w:pStyle w:val="ListParagraph"/>
        <w:numPr>
          <w:ilvl w:val="0"/>
          <w:numId w:val="12"/>
        </w:numPr>
      </w:pPr>
      <w:r>
        <w:t>GPCR ligands</w:t>
      </w:r>
    </w:p>
    <w:p w14:paraId="7F93B33C" w14:textId="77777777" w:rsidR="00481C7F" w:rsidRDefault="00481C7F" w:rsidP="00481C7F"/>
    <w:p w14:paraId="604FF603" w14:textId="77777777" w:rsidR="00481C7F" w:rsidRDefault="00481C7F" w:rsidP="00481C7F">
      <w:pPr>
        <w:pStyle w:val="ListParagraph"/>
        <w:numPr>
          <w:ilvl w:val="0"/>
          <w:numId w:val="12"/>
        </w:numPr>
      </w:pPr>
      <w:r>
        <w:t>Ion channel modulators</w:t>
      </w:r>
    </w:p>
    <w:p w14:paraId="769DBC9C" w14:textId="77777777" w:rsidR="00481C7F" w:rsidRDefault="00481C7F" w:rsidP="00481C7F"/>
    <w:p w14:paraId="1C599F9D" w14:textId="77777777" w:rsidR="00481C7F" w:rsidRDefault="00481C7F" w:rsidP="00481C7F">
      <w:pPr>
        <w:pStyle w:val="ListParagraph"/>
        <w:numPr>
          <w:ilvl w:val="0"/>
          <w:numId w:val="12"/>
        </w:numPr>
      </w:pPr>
      <w:r>
        <w:t>Kinase inhibitors</w:t>
      </w:r>
    </w:p>
    <w:p w14:paraId="354D1617" w14:textId="77777777" w:rsidR="00481C7F" w:rsidRDefault="00481C7F" w:rsidP="00481C7F"/>
    <w:p w14:paraId="695531D7" w14:textId="77777777" w:rsidR="00481C7F" w:rsidRDefault="00481C7F" w:rsidP="00481C7F">
      <w:pPr>
        <w:pStyle w:val="ListParagraph"/>
        <w:numPr>
          <w:ilvl w:val="0"/>
          <w:numId w:val="12"/>
        </w:numPr>
      </w:pPr>
      <w:r>
        <w:t>Nuclear receptor ligands</w:t>
      </w:r>
    </w:p>
    <w:p w14:paraId="0465FBDF" w14:textId="77777777" w:rsidR="00481C7F" w:rsidRDefault="00481C7F" w:rsidP="00481C7F"/>
    <w:p w14:paraId="577C49AA" w14:textId="77777777" w:rsidR="00481C7F" w:rsidRDefault="00481C7F" w:rsidP="00481C7F">
      <w:pPr>
        <w:pStyle w:val="ListParagraph"/>
        <w:numPr>
          <w:ilvl w:val="0"/>
          <w:numId w:val="12"/>
        </w:numPr>
      </w:pPr>
      <w:r>
        <w:t>Protease inhibitors</w:t>
      </w:r>
    </w:p>
    <w:p w14:paraId="5622ECAD" w14:textId="77777777" w:rsidR="00481C7F" w:rsidRDefault="00481C7F" w:rsidP="00481C7F"/>
    <w:p w14:paraId="31EF0B47" w14:textId="74D26A25" w:rsidR="00481C7F" w:rsidRDefault="00481C7F" w:rsidP="00481C7F">
      <w:pPr>
        <w:pStyle w:val="ListParagraph"/>
        <w:numPr>
          <w:ilvl w:val="0"/>
          <w:numId w:val="12"/>
        </w:numPr>
      </w:pPr>
      <w:r>
        <w:t>Enzyme inhibitors</w:t>
      </w:r>
    </w:p>
    <w:p w14:paraId="473EFE82" w14:textId="642C33EE" w:rsidR="00481C7F" w:rsidRDefault="00481C7F" w:rsidP="00481C7F">
      <w:r>
        <w:t>These results are not given in the manuscript, but in the methodologies it is mentioned</w:t>
      </w:r>
      <w:r w:rsidR="00D01148">
        <w:t xml:space="preserve"> that </w:t>
      </w:r>
      <w:bookmarkStart w:id="5" w:name="_GoBack"/>
      <w:bookmarkEnd w:id="5"/>
      <w:r w:rsidR="00D01148">
        <w:t>it has been carried out</w:t>
      </w:r>
      <w:r>
        <w:t xml:space="preserve">. </w:t>
      </w:r>
    </w:p>
  </w:comment>
  <w:comment w:id="14" w:author="Asus" w:date="2026-02-03T20:07:00Z" w:initials="A">
    <w:p w14:paraId="5A9FC1AE" w14:textId="5FC64061" w:rsidR="00505AEC" w:rsidRDefault="00505AEC">
      <w:pPr>
        <w:pStyle w:val="CommentText"/>
      </w:pPr>
      <w:r>
        <w:rPr>
          <w:rStyle w:val="CommentReference"/>
        </w:rPr>
        <w:annotationRef/>
      </w:r>
      <w:r>
        <w:t>In the manuscript only one docking result is shown with the PDB-ID-6CU6. But in the protein preparation four different types of protein are downloaded.</w:t>
      </w:r>
    </w:p>
  </w:comment>
  <w:comment w:id="23" w:author="Asus" w:date="2026-02-03T18:38:00Z" w:initials="A">
    <w:p w14:paraId="2F5776F8" w14:textId="4BE1047A" w:rsidR="00016298" w:rsidRDefault="00016298">
      <w:pPr>
        <w:pStyle w:val="CommentText"/>
      </w:pPr>
      <w:r>
        <w:rPr>
          <w:rStyle w:val="CommentReference"/>
        </w:rPr>
        <w:annotationRef/>
      </w:r>
      <w:r>
        <w:t>It should be CaCO</w:t>
      </w:r>
      <w:r w:rsidRPr="00016298">
        <w:rPr>
          <w:vertAlign w:val="subscript"/>
        </w:rPr>
        <w:t>2</w:t>
      </w:r>
    </w:p>
  </w:comment>
  <w:comment w:id="33" w:author="Asus" w:date="2026-02-03T19:57:00Z" w:initials="A">
    <w:p w14:paraId="68B7324D" w14:textId="4D1DEC3A" w:rsidR="00481C7F" w:rsidRDefault="00481C7F">
      <w:pPr>
        <w:pStyle w:val="CommentText"/>
      </w:pPr>
      <w:r>
        <w:rPr>
          <w:rStyle w:val="CommentReference"/>
        </w:rPr>
        <w:annotationRef/>
      </w:r>
      <w:r>
        <w:t>favourable</w:t>
      </w:r>
    </w:p>
  </w:comment>
  <w:comment w:id="34" w:author="Asus" w:date="2026-02-03T19:12:00Z" w:initials="A">
    <w:p w14:paraId="01E1DDC6" w14:textId="60CCD2F2" w:rsidR="00757985" w:rsidRDefault="00757985">
      <w:pPr>
        <w:pStyle w:val="CommentText"/>
      </w:pPr>
      <w:r>
        <w:rPr>
          <w:rStyle w:val="CommentReference"/>
        </w:rPr>
        <w:annotationRef/>
      </w:r>
      <w:r>
        <w:t>It should be CaCO</w:t>
      </w:r>
      <w:r w:rsidRPr="00016298">
        <w:rPr>
          <w:vertAlign w:val="subscript"/>
        </w:rPr>
        <w:t>2</w:t>
      </w:r>
    </w:p>
  </w:comment>
  <w:comment w:id="35" w:author="Asus" w:date="2026-02-03T18:37:00Z" w:initials="A">
    <w:p w14:paraId="71A0D5BA" w14:textId="77777777" w:rsidR="00016298" w:rsidRDefault="00016298">
      <w:pPr>
        <w:pStyle w:val="CommentText"/>
      </w:pPr>
      <w:r>
        <w:rPr>
          <w:rStyle w:val="CommentReference"/>
        </w:rPr>
        <w:annotationRef/>
      </w:r>
      <w:r>
        <w:t>Spelling mistake</w:t>
      </w:r>
      <w:proofErr w:type="gramStart"/>
      <w:r>
        <w:t>-“</w:t>
      </w:r>
      <w:proofErr w:type="spellStart"/>
      <w:proofErr w:type="gramEnd"/>
      <w:r>
        <w:t>Erlotinib</w:t>
      </w:r>
      <w:proofErr w:type="spellEnd"/>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E738ACE" w15:done="0"/>
  <w15:commentEx w15:paraId="50A702C4" w15:done="0"/>
  <w15:commentEx w15:paraId="1F7C76D2" w15:done="0"/>
  <w15:commentEx w15:paraId="473EFE82" w15:done="0"/>
  <w15:commentEx w15:paraId="5A9FC1AE" w15:done="0"/>
  <w15:commentEx w15:paraId="2F5776F8" w15:done="0"/>
  <w15:commentEx w15:paraId="68B7324D" w15:done="0"/>
  <w15:commentEx w15:paraId="01E1DDC6" w15:done="0"/>
  <w15:commentEx w15:paraId="71A0D5BA"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9D0E6F" w14:textId="77777777" w:rsidR="00BE178B" w:rsidRDefault="00BE178B" w:rsidP="00450BBE">
      <w:pPr>
        <w:spacing w:after="0" w:line="240" w:lineRule="auto"/>
      </w:pPr>
      <w:r>
        <w:separator/>
      </w:r>
    </w:p>
  </w:endnote>
  <w:endnote w:type="continuationSeparator" w:id="0">
    <w:p w14:paraId="4CFF90A1" w14:textId="77777777" w:rsidR="00BE178B" w:rsidRDefault="00BE178B" w:rsidP="00450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AA99F" w14:textId="77777777" w:rsidR="00016298" w:rsidRDefault="000162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90D1B" w14:textId="77777777" w:rsidR="00016298" w:rsidRDefault="000162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0AEE9" w14:textId="77777777" w:rsidR="00016298" w:rsidRDefault="000162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02E56D" w14:textId="77777777" w:rsidR="00BE178B" w:rsidRDefault="00BE178B" w:rsidP="00450BBE">
      <w:pPr>
        <w:spacing w:after="0" w:line="240" w:lineRule="auto"/>
      </w:pPr>
      <w:r>
        <w:separator/>
      </w:r>
    </w:p>
  </w:footnote>
  <w:footnote w:type="continuationSeparator" w:id="0">
    <w:p w14:paraId="18D7458A" w14:textId="77777777" w:rsidR="00BE178B" w:rsidRDefault="00BE178B" w:rsidP="00450B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A4BDB" w14:textId="77777777" w:rsidR="00016298" w:rsidRDefault="00016298">
    <w:pPr>
      <w:pStyle w:val="Header"/>
    </w:pPr>
    <w:r>
      <w:rPr>
        <w:noProof/>
      </w:rPr>
      <w:pict w14:anchorId="787FBD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65390" w14:textId="77777777" w:rsidR="00016298" w:rsidRDefault="00016298">
    <w:pPr>
      <w:pStyle w:val="Header"/>
    </w:pPr>
    <w:r>
      <w:rPr>
        <w:noProof/>
      </w:rPr>
      <w:pict w14:anchorId="5790BD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E7A61" w14:textId="77777777" w:rsidR="00016298" w:rsidRDefault="00016298">
    <w:pPr>
      <w:pStyle w:val="Header"/>
    </w:pPr>
    <w:r>
      <w:rPr>
        <w:noProof/>
      </w:rPr>
      <w:pict w14:anchorId="66C1D4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D344C"/>
    <w:multiLevelType w:val="hybridMultilevel"/>
    <w:tmpl w:val="89306E20"/>
    <w:lvl w:ilvl="0" w:tplc="63AAF00A">
      <w:start w:val="1"/>
      <w:numFmt w:val="decimal"/>
      <w:lvlText w:val="%1."/>
      <w:lvlJc w:val="left"/>
      <w:pPr>
        <w:ind w:left="502" w:hanging="360"/>
      </w:pPr>
      <w:rPr>
        <w:rFonts w:hint="default"/>
        <w:b w:val="0"/>
        <w:bCs w:val="0"/>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 w15:restartNumberingAfterBreak="0">
    <w:nsid w:val="1F780561"/>
    <w:multiLevelType w:val="multilevel"/>
    <w:tmpl w:val="20AEF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5E66BE"/>
    <w:multiLevelType w:val="hybridMultilevel"/>
    <w:tmpl w:val="B8ECC7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26C0D8C"/>
    <w:multiLevelType w:val="hybridMultilevel"/>
    <w:tmpl w:val="AC4C94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9F66411"/>
    <w:multiLevelType w:val="hybridMultilevel"/>
    <w:tmpl w:val="3FDA1D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58259E5"/>
    <w:multiLevelType w:val="hybridMultilevel"/>
    <w:tmpl w:val="75D6287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 w15:restartNumberingAfterBreak="0">
    <w:nsid w:val="47320B8A"/>
    <w:multiLevelType w:val="hybridMultilevel"/>
    <w:tmpl w:val="75D6287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7" w15:restartNumberingAfterBreak="0">
    <w:nsid w:val="4D0755BE"/>
    <w:multiLevelType w:val="multilevel"/>
    <w:tmpl w:val="2806B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A67494"/>
    <w:multiLevelType w:val="multilevel"/>
    <w:tmpl w:val="56F44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FF240F"/>
    <w:multiLevelType w:val="multilevel"/>
    <w:tmpl w:val="0C461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7766BF"/>
    <w:multiLevelType w:val="hybridMultilevel"/>
    <w:tmpl w:val="AFA4B394"/>
    <w:lvl w:ilvl="0" w:tplc="3BBAA9C6">
      <w:start w:val="1"/>
      <w:numFmt w:val="decimalZero"/>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DFC0B6A"/>
    <w:multiLevelType w:val="hybridMultilevel"/>
    <w:tmpl w:val="1B2021E4"/>
    <w:lvl w:ilvl="0" w:tplc="4009000F">
      <w:start w:val="1"/>
      <w:numFmt w:val="decimal"/>
      <w:lvlText w:val="%1."/>
      <w:lvlJc w:val="left"/>
      <w:pPr>
        <w:ind w:left="644"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9"/>
  </w:num>
  <w:num w:numId="3">
    <w:abstractNumId w:val="1"/>
  </w:num>
  <w:num w:numId="4">
    <w:abstractNumId w:val="11"/>
  </w:num>
  <w:num w:numId="5">
    <w:abstractNumId w:val="10"/>
  </w:num>
  <w:num w:numId="6">
    <w:abstractNumId w:val="0"/>
  </w:num>
  <w:num w:numId="7">
    <w:abstractNumId w:val="5"/>
  </w:num>
  <w:num w:numId="8">
    <w:abstractNumId w:val="7"/>
  </w:num>
  <w:num w:numId="9">
    <w:abstractNumId w:val="6"/>
  </w:num>
  <w:num w:numId="10">
    <w:abstractNumId w:val="2"/>
  </w:num>
  <w:num w:numId="11">
    <w:abstractNumId w:val="4"/>
  </w:num>
  <w:num w:numId="1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D072C"/>
    <w:rsid w:val="0000088C"/>
    <w:rsid w:val="00002A8D"/>
    <w:rsid w:val="00002D83"/>
    <w:rsid w:val="0000588A"/>
    <w:rsid w:val="0000663A"/>
    <w:rsid w:val="00013EB0"/>
    <w:rsid w:val="00016298"/>
    <w:rsid w:val="00033E8E"/>
    <w:rsid w:val="00040C03"/>
    <w:rsid w:val="00042584"/>
    <w:rsid w:val="00047FC2"/>
    <w:rsid w:val="00052E19"/>
    <w:rsid w:val="0005327B"/>
    <w:rsid w:val="00060B0B"/>
    <w:rsid w:val="0006585C"/>
    <w:rsid w:val="00066552"/>
    <w:rsid w:val="0006692F"/>
    <w:rsid w:val="000718DA"/>
    <w:rsid w:val="0007410C"/>
    <w:rsid w:val="00075702"/>
    <w:rsid w:val="00076C77"/>
    <w:rsid w:val="000777E1"/>
    <w:rsid w:val="0008086E"/>
    <w:rsid w:val="0008123B"/>
    <w:rsid w:val="00082753"/>
    <w:rsid w:val="0008542A"/>
    <w:rsid w:val="000878AF"/>
    <w:rsid w:val="000900E4"/>
    <w:rsid w:val="00092ED9"/>
    <w:rsid w:val="00094BE1"/>
    <w:rsid w:val="0009513B"/>
    <w:rsid w:val="0009583F"/>
    <w:rsid w:val="000A3D00"/>
    <w:rsid w:val="000A6825"/>
    <w:rsid w:val="000A6B37"/>
    <w:rsid w:val="000B1341"/>
    <w:rsid w:val="000B4802"/>
    <w:rsid w:val="000B584D"/>
    <w:rsid w:val="000B6399"/>
    <w:rsid w:val="000B70F6"/>
    <w:rsid w:val="000C4821"/>
    <w:rsid w:val="000D275F"/>
    <w:rsid w:val="000D6705"/>
    <w:rsid w:val="000F6C1D"/>
    <w:rsid w:val="000F6F00"/>
    <w:rsid w:val="001010BA"/>
    <w:rsid w:val="00110DC1"/>
    <w:rsid w:val="0011165C"/>
    <w:rsid w:val="0012145A"/>
    <w:rsid w:val="0013667D"/>
    <w:rsid w:val="00137006"/>
    <w:rsid w:val="00140D8B"/>
    <w:rsid w:val="00142FDA"/>
    <w:rsid w:val="001464E6"/>
    <w:rsid w:val="00150923"/>
    <w:rsid w:val="00155889"/>
    <w:rsid w:val="001565DE"/>
    <w:rsid w:val="0016333C"/>
    <w:rsid w:val="00163868"/>
    <w:rsid w:val="00173EF2"/>
    <w:rsid w:val="00176C19"/>
    <w:rsid w:val="00176C7C"/>
    <w:rsid w:val="00177508"/>
    <w:rsid w:val="00177D8C"/>
    <w:rsid w:val="00181B37"/>
    <w:rsid w:val="00181E02"/>
    <w:rsid w:val="00190E63"/>
    <w:rsid w:val="00190FBA"/>
    <w:rsid w:val="00194C45"/>
    <w:rsid w:val="001A0627"/>
    <w:rsid w:val="001A1B3A"/>
    <w:rsid w:val="001A229E"/>
    <w:rsid w:val="001A243C"/>
    <w:rsid w:val="001A277B"/>
    <w:rsid w:val="001A46FD"/>
    <w:rsid w:val="001B14E1"/>
    <w:rsid w:val="001B5201"/>
    <w:rsid w:val="001B62D9"/>
    <w:rsid w:val="001B680E"/>
    <w:rsid w:val="001C11A3"/>
    <w:rsid w:val="001C4826"/>
    <w:rsid w:val="001C6F90"/>
    <w:rsid w:val="001D23C8"/>
    <w:rsid w:val="001D2BD7"/>
    <w:rsid w:val="001D60BB"/>
    <w:rsid w:val="001E55B0"/>
    <w:rsid w:val="001F43F5"/>
    <w:rsid w:val="002018FE"/>
    <w:rsid w:val="0020196B"/>
    <w:rsid w:val="00203524"/>
    <w:rsid w:val="00212C3F"/>
    <w:rsid w:val="00213BA7"/>
    <w:rsid w:val="00216943"/>
    <w:rsid w:val="00217DD3"/>
    <w:rsid w:val="00220E04"/>
    <w:rsid w:val="0022274F"/>
    <w:rsid w:val="00235707"/>
    <w:rsid w:val="002412DB"/>
    <w:rsid w:val="00243B82"/>
    <w:rsid w:val="002467DE"/>
    <w:rsid w:val="00250BFB"/>
    <w:rsid w:val="002533B9"/>
    <w:rsid w:val="00255D6F"/>
    <w:rsid w:val="002617E2"/>
    <w:rsid w:val="002651E8"/>
    <w:rsid w:val="00266A88"/>
    <w:rsid w:val="00270965"/>
    <w:rsid w:val="00271CCB"/>
    <w:rsid w:val="0027211C"/>
    <w:rsid w:val="002730EE"/>
    <w:rsid w:val="00275B3B"/>
    <w:rsid w:val="00277E64"/>
    <w:rsid w:val="00293A84"/>
    <w:rsid w:val="002C4901"/>
    <w:rsid w:val="002D279F"/>
    <w:rsid w:val="002E25AD"/>
    <w:rsid w:val="002E3A0C"/>
    <w:rsid w:val="002E7EE8"/>
    <w:rsid w:val="002F0B62"/>
    <w:rsid w:val="002F512F"/>
    <w:rsid w:val="003037D6"/>
    <w:rsid w:val="00314E94"/>
    <w:rsid w:val="0031747F"/>
    <w:rsid w:val="0032088E"/>
    <w:rsid w:val="00323D57"/>
    <w:rsid w:val="003244DF"/>
    <w:rsid w:val="00330992"/>
    <w:rsid w:val="00333FC0"/>
    <w:rsid w:val="00335843"/>
    <w:rsid w:val="00341D6F"/>
    <w:rsid w:val="0034797E"/>
    <w:rsid w:val="0035376E"/>
    <w:rsid w:val="00354F92"/>
    <w:rsid w:val="0036264C"/>
    <w:rsid w:val="00365DC6"/>
    <w:rsid w:val="003664B6"/>
    <w:rsid w:val="00370FD5"/>
    <w:rsid w:val="003723DB"/>
    <w:rsid w:val="003746CD"/>
    <w:rsid w:val="00375608"/>
    <w:rsid w:val="003756AB"/>
    <w:rsid w:val="00376158"/>
    <w:rsid w:val="003765F2"/>
    <w:rsid w:val="00376BBA"/>
    <w:rsid w:val="00376BD6"/>
    <w:rsid w:val="003874A1"/>
    <w:rsid w:val="00392AE0"/>
    <w:rsid w:val="00397855"/>
    <w:rsid w:val="003A7055"/>
    <w:rsid w:val="003B2F36"/>
    <w:rsid w:val="003C066E"/>
    <w:rsid w:val="003C134F"/>
    <w:rsid w:val="003C45AA"/>
    <w:rsid w:val="003C6A64"/>
    <w:rsid w:val="003D0F3C"/>
    <w:rsid w:val="003D1901"/>
    <w:rsid w:val="003D5931"/>
    <w:rsid w:val="003D69F2"/>
    <w:rsid w:val="003E1923"/>
    <w:rsid w:val="003E7D5C"/>
    <w:rsid w:val="003F123B"/>
    <w:rsid w:val="003F51C6"/>
    <w:rsid w:val="004067D8"/>
    <w:rsid w:val="00407F3F"/>
    <w:rsid w:val="00411D99"/>
    <w:rsid w:val="00414B61"/>
    <w:rsid w:val="004156BA"/>
    <w:rsid w:val="004212E0"/>
    <w:rsid w:val="0042197E"/>
    <w:rsid w:val="00422B1F"/>
    <w:rsid w:val="004320A0"/>
    <w:rsid w:val="00434631"/>
    <w:rsid w:val="0044549A"/>
    <w:rsid w:val="00450B14"/>
    <w:rsid w:val="00450BBE"/>
    <w:rsid w:val="004520C1"/>
    <w:rsid w:val="0045535C"/>
    <w:rsid w:val="00456526"/>
    <w:rsid w:val="00463279"/>
    <w:rsid w:val="004649AF"/>
    <w:rsid w:val="004759CD"/>
    <w:rsid w:val="00476D5B"/>
    <w:rsid w:val="00481C7F"/>
    <w:rsid w:val="004826F5"/>
    <w:rsid w:val="0048594A"/>
    <w:rsid w:val="00487E08"/>
    <w:rsid w:val="00491824"/>
    <w:rsid w:val="00491CC6"/>
    <w:rsid w:val="00494975"/>
    <w:rsid w:val="004973C5"/>
    <w:rsid w:val="004A0810"/>
    <w:rsid w:val="004A196E"/>
    <w:rsid w:val="004A3C87"/>
    <w:rsid w:val="004A4937"/>
    <w:rsid w:val="004A5EA9"/>
    <w:rsid w:val="004B3268"/>
    <w:rsid w:val="004B3C69"/>
    <w:rsid w:val="004B7C29"/>
    <w:rsid w:val="004C4B4A"/>
    <w:rsid w:val="004D0DFA"/>
    <w:rsid w:val="004D118B"/>
    <w:rsid w:val="004D3059"/>
    <w:rsid w:val="004D44A8"/>
    <w:rsid w:val="004D5004"/>
    <w:rsid w:val="004E2915"/>
    <w:rsid w:val="004E3DF8"/>
    <w:rsid w:val="004E49C2"/>
    <w:rsid w:val="004F2086"/>
    <w:rsid w:val="004F43BF"/>
    <w:rsid w:val="00505AEC"/>
    <w:rsid w:val="00513282"/>
    <w:rsid w:val="00514C21"/>
    <w:rsid w:val="00515557"/>
    <w:rsid w:val="00521C30"/>
    <w:rsid w:val="005320B4"/>
    <w:rsid w:val="0053382B"/>
    <w:rsid w:val="00536EBD"/>
    <w:rsid w:val="00545D78"/>
    <w:rsid w:val="00546BAF"/>
    <w:rsid w:val="00547345"/>
    <w:rsid w:val="00547F6F"/>
    <w:rsid w:val="0056010E"/>
    <w:rsid w:val="00564626"/>
    <w:rsid w:val="0057173B"/>
    <w:rsid w:val="00571F8F"/>
    <w:rsid w:val="005732D1"/>
    <w:rsid w:val="00587D06"/>
    <w:rsid w:val="00593D60"/>
    <w:rsid w:val="005A0043"/>
    <w:rsid w:val="005A20B1"/>
    <w:rsid w:val="005B0166"/>
    <w:rsid w:val="005B5B43"/>
    <w:rsid w:val="005B692D"/>
    <w:rsid w:val="005C3494"/>
    <w:rsid w:val="005D072C"/>
    <w:rsid w:val="005D104A"/>
    <w:rsid w:val="005D1316"/>
    <w:rsid w:val="005D71FF"/>
    <w:rsid w:val="005D7EED"/>
    <w:rsid w:val="005E05AB"/>
    <w:rsid w:val="005E201C"/>
    <w:rsid w:val="005E61C7"/>
    <w:rsid w:val="005F66FF"/>
    <w:rsid w:val="006053FC"/>
    <w:rsid w:val="00610A6C"/>
    <w:rsid w:val="00611371"/>
    <w:rsid w:val="00615CAF"/>
    <w:rsid w:val="006205C0"/>
    <w:rsid w:val="00621F17"/>
    <w:rsid w:val="006239AF"/>
    <w:rsid w:val="00632A57"/>
    <w:rsid w:val="00633032"/>
    <w:rsid w:val="00637240"/>
    <w:rsid w:val="00641FF6"/>
    <w:rsid w:val="00642A1E"/>
    <w:rsid w:val="006464CB"/>
    <w:rsid w:val="006510AF"/>
    <w:rsid w:val="00652202"/>
    <w:rsid w:val="0065575D"/>
    <w:rsid w:val="0065614B"/>
    <w:rsid w:val="0066630D"/>
    <w:rsid w:val="00666F0E"/>
    <w:rsid w:val="006709EA"/>
    <w:rsid w:val="00672BCE"/>
    <w:rsid w:val="00673564"/>
    <w:rsid w:val="0068220D"/>
    <w:rsid w:val="00683C2D"/>
    <w:rsid w:val="00685307"/>
    <w:rsid w:val="00686C42"/>
    <w:rsid w:val="00695C20"/>
    <w:rsid w:val="006A4ADB"/>
    <w:rsid w:val="006A7CE1"/>
    <w:rsid w:val="006B1564"/>
    <w:rsid w:val="006B54D1"/>
    <w:rsid w:val="006B5E54"/>
    <w:rsid w:val="006B78FB"/>
    <w:rsid w:val="006C07E6"/>
    <w:rsid w:val="006C20F0"/>
    <w:rsid w:val="006C3095"/>
    <w:rsid w:val="006C4237"/>
    <w:rsid w:val="006C64FC"/>
    <w:rsid w:val="006C702B"/>
    <w:rsid w:val="006D345A"/>
    <w:rsid w:val="006D3ECF"/>
    <w:rsid w:val="006D45CC"/>
    <w:rsid w:val="006D69D7"/>
    <w:rsid w:val="006E33E3"/>
    <w:rsid w:val="006E3DD8"/>
    <w:rsid w:val="006E4638"/>
    <w:rsid w:val="006E4B39"/>
    <w:rsid w:val="006F0764"/>
    <w:rsid w:val="006F7C32"/>
    <w:rsid w:val="0070072B"/>
    <w:rsid w:val="00702BD5"/>
    <w:rsid w:val="0070506B"/>
    <w:rsid w:val="007144FD"/>
    <w:rsid w:val="00723369"/>
    <w:rsid w:val="00724E4F"/>
    <w:rsid w:val="00725725"/>
    <w:rsid w:val="00730414"/>
    <w:rsid w:val="0073118D"/>
    <w:rsid w:val="00740E8F"/>
    <w:rsid w:val="00741C32"/>
    <w:rsid w:val="00751EC9"/>
    <w:rsid w:val="0075233A"/>
    <w:rsid w:val="00754426"/>
    <w:rsid w:val="00755650"/>
    <w:rsid w:val="00757985"/>
    <w:rsid w:val="00761757"/>
    <w:rsid w:val="00763D45"/>
    <w:rsid w:val="00766885"/>
    <w:rsid w:val="00771DD1"/>
    <w:rsid w:val="00775D98"/>
    <w:rsid w:val="00776155"/>
    <w:rsid w:val="00780BDC"/>
    <w:rsid w:val="00784136"/>
    <w:rsid w:val="00791185"/>
    <w:rsid w:val="0079474D"/>
    <w:rsid w:val="007A06AC"/>
    <w:rsid w:val="007A6E7A"/>
    <w:rsid w:val="007C2879"/>
    <w:rsid w:val="007C550A"/>
    <w:rsid w:val="007C720F"/>
    <w:rsid w:val="007D5959"/>
    <w:rsid w:val="007D61FF"/>
    <w:rsid w:val="007D7037"/>
    <w:rsid w:val="007E1122"/>
    <w:rsid w:val="007E5D59"/>
    <w:rsid w:val="007E7670"/>
    <w:rsid w:val="007F455C"/>
    <w:rsid w:val="007F743F"/>
    <w:rsid w:val="007F7BB5"/>
    <w:rsid w:val="00800DF9"/>
    <w:rsid w:val="00802B57"/>
    <w:rsid w:val="00814F55"/>
    <w:rsid w:val="00824089"/>
    <w:rsid w:val="008249BF"/>
    <w:rsid w:val="00830FF7"/>
    <w:rsid w:val="0083619C"/>
    <w:rsid w:val="0083728F"/>
    <w:rsid w:val="00844CC8"/>
    <w:rsid w:val="00856D1A"/>
    <w:rsid w:val="00861A13"/>
    <w:rsid w:val="00862462"/>
    <w:rsid w:val="00864E21"/>
    <w:rsid w:val="00866666"/>
    <w:rsid w:val="008766BD"/>
    <w:rsid w:val="008814D9"/>
    <w:rsid w:val="0088237F"/>
    <w:rsid w:val="00886328"/>
    <w:rsid w:val="008A0C83"/>
    <w:rsid w:val="008A18E9"/>
    <w:rsid w:val="008A249A"/>
    <w:rsid w:val="008A4061"/>
    <w:rsid w:val="008A5796"/>
    <w:rsid w:val="008C1132"/>
    <w:rsid w:val="008C22F5"/>
    <w:rsid w:val="008C6D72"/>
    <w:rsid w:val="008C7EC6"/>
    <w:rsid w:val="008D4713"/>
    <w:rsid w:val="008D4DE3"/>
    <w:rsid w:val="008E0624"/>
    <w:rsid w:val="008E36F4"/>
    <w:rsid w:val="008E74F1"/>
    <w:rsid w:val="008F59BE"/>
    <w:rsid w:val="008F7844"/>
    <w:rsid w:val="00915D3C"/>
    <w:rsid w:val="00922C0B"/>
    <w:rsid w:val="00922CD7"/>
    <w:rsid w:val="00925A78"/>
    <w:rsid w:val="00930BB5"/>
    <w:rsid w:val="0093170A"/>
    <w:rsid w:val="009328AD"/>
    <w:rsid w:val="00941430"/>
    <w:rsid w:val="00943E53"/>
    <w:rsid w:val="00944173"/>
    <w:rsid w:val="00945498"/>
    <w:rsid w:val="00951B57"/>
    <w:rsid w:val="00951E0D"/>
    <w:rsid w:val="00956ACA"/>
    <w:rsid w:val="009602FB"/>
    <w:rsid w:val="00962557"/>
    <w:rsid w:val="00962965"/>
    <w:rsid w:val="00962CC1"/>
    <w:rsid w:val="00964367"/>
    <w:rsid w:val="0096643F"/>
    <w:rsid w:val="00971DB5"/>
    <w:rsid w:val="00972711"/>
    <w:rsid w:val="009770FE"/>
    <w:rsid w:val="009824E5"/>
    <w:rsid w:val="009847DB"/>
    <w:rsid w:val="00987CE4"/>
    <w:rsid w:val="0099043B"/>
    <w:rsid w:val="009909A1"/>
    <w:rsid w:val="00994DE8"/>
    <w:rsid w:val="009A0DD2"/>
    <w:rsid w:val="009A6484"/>
    <w:rsid w:val="009A7A8A"/>
    <w:rsid w:val="009B0ABB"/>
    <w:rsid w:val="009B3584"/>
    <w:rsid w:val="009C5EF0"/>
    <w:rsid w:val="009C6B6C"/>
    <w:rsid w:val="009E4770"/>
    <w:rsid w:val="009E5295"/>
    <w:rsid w:val="009E55F5"/>
    <w:rsid w:val="009F691F"/>
    <w:rsid w:val="00A00AFA"/>
    <w:rsid w:val="00A0396A"/>
    <w:rsid w:val="00A048B7"/>
    <w:rsid w:val="00A122A0"/>
    <w:rsid w:val="00A13BCF"/>
    <w:rsid w:val="00A14BC3"/>
    <w:rsid w:val="00A15BA9"/>
    <w:rsid w:val="00A208B5"/>
    <w:rsid w:val="00A26DC6"/>
    <w:rsid w:val="00A33669"/>
    <w:rsid w:val="00A351B7"/>
    <w:rsid w:val="00A41292"/>
    <w:rsid w:val="00A41FE7"/>
    <w:rsid w:val="00A42A7C"/>
    <w:rsid w:val="00A42BE4"/>
    <w:rsid w:val="00A43C10"/>
    <w:rsid w:val="00A4655C"/>
    <w:rsid w:val="00A47CA7"/>
    <w:rsid w:val="00A50A79"/>
    <w:rsid w:val="00A628B5"/>
    <w:rsid w:val="00A75F06"/>
    <w:rsid w:val="00A81EDA"/>
    <w:rsid w:val="00A87A49"/>
    <w:rsid w:val="00A90FCE"/>
    <w:rsid w:val="00A93A49"/>
    <w:rsid w:val="00A967F3"/>
    <w:rsid w:val="00AA404F"/>
    <w:rsid w:val="00AA5238"/>
    <w:rsid w:val="00AA5DB9"/>
    <w:rsid w:val="00AB77F5"/>
    <w:rsid w:val="00AC3F89"/>
    <w:rsid w:val="00AC4405"/>
    <w:rsid w:val="00AD0E7B"/>
    <w:rsid w:val="00AD12B4"/>
    <w:rsid w:val="00AE4364"/>
    <w:rsid w:val="00AF68F2"/>
    <w:rsid w:val="00B00AF7"/>
    <w:rsid w:val="00B02D0E"/>
    <w:rsid w:val="00B066DE"/>
    <w:rsid w:val="00B12C59"/>
    <w:rsid w:val="00B13938"/>
    <w:rsid w:val="00B16A21"/>
    <w:rsid w:val="00B24005"/>
    <w:rsid w:val="00B2560D"/>
    <w:rsid w:val="00B30D1B"/>
    <w:rsid w:val="00B314CB"/>
    <w:rsid w:val="00B33456"/>
    <w:rsid w:val="00B416E8"/>
    <w:rsid w:val="00B42259"/>
    <w:rsid w:val="00B60EFC"/>
    <w:rsid w:val="00B62E3D"/>
    <w:rsid w:val="00B64423"/>
    <w:rsid w:val="00B666C0"/>
    <w:rsid w:val="00B7695E"/>
    <w:rsid w:val="00B8120D"/>
    <w:rsid w:val="00B960C6"/>
    <w:rsid w:val="00BA191A"/>
    <w:rsid w:val="00BA36BF"/>
    <w:rsid w:val="00BA3B18"/>
    <w:rsid w:val="00BB613C"/>
    <w:rsid w:val="00BC3827"/>
    <w:rsid w:val="00BC6619"/>
    <w:rsid w:val="00BD0AC0"/>
    <w:rsid w:val="00BD31C3"/>
    <w:rsid w:val="00BD325C"/>
    <w:rsid w:val="00BD43BD"/>
    <w:rsid w:val="00BD7955"/>
    <w:rsid w:val="00BE021C"/>
    <w:rsid w:val="00BE055C"/>
    <w:rsid w:val="00BE178B"/>
    <w:rsid w:val="00BE316F"/>
    <w:rsid w:val="00BE4EA3"/>
    <w:rsid w:val="00BE6EB4"/>
    <w:rsid w:val="00C05A82"/>
    <w:rsid w:val="00C06AA7"/>
    <w:rsid w:val="00C134FE"/>
    <w:rsid w:val="00C14C0B"/>
    <w:rsid w:val="00C212F6"/>
    <w:rsid w:val="00C219A6"/>
    <w:rsid w:val="00C22D2C"/>
    <w:rsid w:val="00C259BD"/>
    <w:rsid w:val="00C27307"/>
    <w:rsid w:val="00C329C5"/>
    <w:rsid w:val="00C35A67"/>
    <w:rsid w:val="00C4261C"/>
    <w:rsid w:val="00C4585A"/>
    <w:rsid w:val="00C520ED"/>
    <w:rsid w:val="00C63A2F"/>
    <w:rsid w:val="00C662BD"/>
    <w:rsid w:val="00C7119F"/>
    <w:rsid w:val="00C72CD2"/>
    <w:rsid w:val="00C72CF0"/>
    <w:rsid w:val="00C75007"/>
    <w:rsid w:val="00C865E7"/>
    <w:rsid w:val="00C87F9E"/>
    <w:rsid w:val="00C9004B"/>
    <w:rsid w:val="00C968FF"/>
    <w:rsid w:val="00C974CE"/>
    <w:rsid w:val="00CA68F5"/>
    <w:rsid w:val="00CB0A3E"/>
    <w:rsid w:val="00CB0D3A"/>
    <w:rsid w:val="00CB199E"/>
    <w:rsid w:val="00CB1E99"/>
    <w:rsid w:val="00CB410E"/>
    <w:rsid w:val="00CB45DB"/>
    <w:rsid w:val="00CB532C"/>
    <w:rsid w:val="00CC43D7"/>
    <w:rsid w:val="00CD2298"/>
    <w:rsid w:val="00CD2C5E"/>
    <w:rsid w:val="00CD43F0"/>
    <w:rsid w:val="00CD570D"/>
    <w:rsid w:val="00CD712B"/>
    <w:rsid w:val="00CE1434"/>
    <w:rsid w:val="00CE2244"/>
    <w:rsid w:val="00CF02EB"/>
    <w:rsid w:val="00CF5998"/>
    <w:rsid w:val="00D01148"/>
    <w:rsid w:val="00D04362"/>
    <w:rsid w:val="00D056B0"/>
    <w:rsid w:val="00D10173"/>
    <w:rsid w:val="00D166C8"/>
    <w:rsid w:val="00D20B72"/>
    <w:rsid w:val="00D20CCB"/>
    <w:rsid w:val="00D20D35"/>
    <w:rsid w:val="00D2252B"/>
    <w:rsid w:val="00D26E74"/>
    <w:rsid w:val="00D309D4"/>
    <w:rsid w:val="00D41B3A"/>
    <w:rsid w:val="00D42D69"/>
    <w:rsid w:val="00D52D66"/>
    <w:rsid w:val="00D61F69"/>
    <w:rsid w:val="00D658B3"/>
    <w:rsid w:val="00D7130D"/>
    <w:rsid w:val="00D722F3"/>
    <w:rsid w:val="00D733A5"/>
    <w:rsid w:val="00D80062"/>
    <w:rsid w:val="00D80D8C"/>
    <w:rsid w:val="00D843A3"/>
    <w:rsid w:val="00D8777F"/>
    <w:rsid w:val="00D92788"/>
    <w:rsid w:val="00DA588F"/>
    <w:rsid w:val="00DA666A"/>
    <w:rsid w:val="00DB03A0"/>
    <w:rsid w:val="00DB2384"/>
    <w:rsid w:val="00DB38B2"/>
    <w:rsid w:val="00DC0218"/>
    <w:rsid w:val="00DC3C0D"/>
    <w:rsid w:val="00DC6B29"/>
    <w:rsid w:val="00DD44E8"/>
    <w:rsid w:val="00DE0FD9"/>
    <w:rsid w:val="00DF0214"/>
    <w:rsid w:val="00DF0336"/>
    <w:rsid w:val="00DF123E"/>
    <w:rsid w:val="00DF1DAA"/>
    <w:rsid w:val="00DF6324"/>
    <w:rsid w:val="00E06B51"/>
    <w:rsid w:val="00E11A3B"/>
    <w:rsid w:val="00E11AB8"/>
    <w:rsid w:val="00E125B1"/>
    <w:rsid w:val="00E17B24"/>
    <w:rsid w:val="00E20938"/>
    <w:rsid w:val="00E233F1"/>
    <w:rsid w:val="00E25C5E"/>
    <w:rsid w:val="00E36EFA"/>
    <w:rsid w:val="00E3725B"/>
    <w:rsid w:val="00E40651"/>
    <w:rsid w:val="00E43A8B"/>
    <w:rsid w:val="00E454E7"/>
    <w:rsid w:val="00E50970"/>
    <w:rsid w:val="00E61901"/>
    <w:rsid w:val="00E65BFD"/>
    <w:rsid w:val="00E7298C"/>
    <w:rsid w:val="00E7479A"/>
    <w:rsid w:val="00E747FC"/>
    <w:rsid w:val="00E76926"/>
    <w:rsid w:val="00E81BCD"/>
    <w:rsid w:val="00E86E48"/>
    <w:rsid w:val="00E90E2B"/>
    <w:rsid w:val="00EA61E5"/>
    <w:rsid w:val="00EA76D9"/>
    <w:rsid w:val="00EB7A26"/>
    <w:rsid w:val="00EC0257"/>
    <w:rsid w:val="00ED000B"/>
    <w:rsid w:val="00ED08BD"/>
    <w:rsid w:val="00EE04A9"/>
    <w:rsid w:val="00EF0418"/>
    <w:rsid w:val="00EF3C15"/>
    <w:rsid w:val="00EF5560"/>
    <w:rsid w:val="00F00E73"/>
    <w:rsid w:val="00F01C3E"/>
    <w:rsid w:val="00F04ABB"/>
    <w:rsid w:val="00F07B71"/>
    <w:rsid w:val="00F07C2C"/>
    <w:rsid w:val="00F11320"/>
    <w:rsid w:val="00F13AC1"/>
    <w:rsid w:val="00F14E7C"/>
    <w:rsid w:val="00F177DF"/>
    <w:rsid w:val="00F209EE"/>
    <w:rsid w:val="00F21686"/>
    <w:rsid w:val="00F243BB"/>
    <w:rsid w:val="00F24DF8"/>
    <w:rsid w:val="00F3284A"/>
    <w:rsid w:val="00F44040"/>
    <w:rsid w:val="00F44109"/>
    <w:rsid w:val="00F52F39"/>
    <w:rsid w:val="00F55D8D"/>
    <w:rsid w:val="00F56CB4"/>
    <w:rsid w:val="00F645BC"/>
    <w:rsid w:val="00F65DF0"/>
    <w:rsid w:val="00F71417"/>
    <w:rsid w:val="00F74EA0"/>
    <w:rsid w:val="00F82747"/>
    <w:rsid w:val="00F8728E"/>
    <w:rsid w:val="00F912B6"/>
    <w:rsid w:val="00F937E4"/>
    <w:rsid w:val="00FA66CB"/>
    <w:rsid w:val="00FB4E5E"/>
    <w:rsid w:val="00FB5505"/>
    <w:rsid w:val="00FB6928"/>
    <w:rsid w:val="00FB7811"/>
    <w:rsid w:val="00FC0C99"/>
    <w:rsid w:val="00FC37AA"/>
    <w:rsid w:val="00FE15D2"/>
    <w:rsid w:val="00FE38B6"/>
    <w:rsid w:val="00FE4FBE"/>
    <w:rsid w:val="00FE7252"/>
    <w:rsid w:val="00FE7CC7"/>
    <w:rsid w:val="00FF24D3"/>
    <w:rsid w:val="00FF32FC"/>
    <w:rsid w:val="00FF373E"/>
    <w:rsid w:val="00FF5E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C64713"/>
  <w15:docId w15:val="{16B1C12E-5414-4214-9DF0-9E747F2BD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kern w:val="2"/>
        <w:sz w:val="36"/>
        <w:szCs w:val="22"/>
        <w:lang w:val="en-IN"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C45AA"/>
  </w:style>
  <w:style w:type="paragraph" w:styleId="Heading1">
    <w:name w:val="heading 1"/>
    <w:basedOn w:val="Normal"/>
    <w:next w:val="Normal"/>
    <w:link w:val="Heading1Char"/>
    <w:uiPriority w:val="9"/>
    <w:qFormat/>
    <w:rsid w:val="005D07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D07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072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072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D072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D072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D072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D072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D072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7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07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072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072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D072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D072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D072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D072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D072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D07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07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072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072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D072C"/>
    <w:pPr>
      <w:spacing w:before="160"/>
      <w:jc w:val="center"/>
    </w:pPr>
    <w:rPr>
      <w:i/>
      <w:iCs/>
      <w:color w:val="404040" w:themeColor="text1" w:themeTint="BF"/>
    </w:rPr>
  </w:style>
  <w:style w:type="character" w:customStyle="1" w:styleId="QuoteChar">
    <w:name w:val="Quote Char"/>
    <w:basedOn w:val="DefaultParagraphFont"/>
    <w:link w:val="Quote"/>
    <w:uiPriority w:val="29"/>
    <w:rsid w:val="005D072C"/>
    <w:rPr>
      <w:i/>
      <w:iCs/>
      <w:color w:val="404040" w:themeColor="text1" w:themeTint="BF"/>
    </w:rPr>
  </w:style>
  <w:style w:type="paragraph" w:styleId="ListParagraph">
    <w:name w:val="List Paragraph"/>
    <w:basedOn w:val="Normal"/>
    <w:uiPriority w:val="34"/>
    <w:qFormat/>
    <w:rsid w:val="005D072C"/>
    <w:pPr>
      <w:ind w:left="720"/>
      <w:contextualSpacing/>
    </w:pPr>
  </w:style>
  <w:style w:type="character" w:styleId="IntenseEmphasis">
    <w:name w:val="Intense Emphasis"/>
    <w:basedOn w:val="DefaultParagraphFont"/>
    <w:uiPriority w:val="21"/>
    <w:qFormat/>
    <w:rsid w:val="005D072C"/>
    <w:rPr>
      <w:i/>
      <w:iCs/>
      <w:color w:val="2F5496" w:themeColor="accent1" w:themeShade="BF"/>
    </w:rPr>
  </w:style>
  <w:style w:type="paragraph" w:styleId="IntenseQuote">
    <w:name w:val="Intense Quote"/>
    <w:basedOn w:val="Normal"/>
    <w:next w:val="Normal"/>
    <w:link w:val="IntenseQuoteChar"/>
    <w:uiPriority w:val="30"/>
    <w:qFormat/>
    <w:rsid w:val="005D07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072C"/>
    <w:rPr>
      <w:i/>
      <w:iCs/>
      <w:color w:val="2F5496" w:themeColor="accent1" w:themeShade="BF"/>
    </w:rPr>
  </w:style>
  <w:style w:type="character" w:styleId="IntenseReference">
    <w:name w:val="Intense Reference"/>
    <w:basedOn w:val="DefaultParagraphFont"/>
    <w:uiPriority w:val="32"/>
    <w:qFormat/>
    <w:rsid w:val="005D072C"/>
    <w:rPr>
      <w:b/>
      <w:bCs/>
      <w:smallCaps/>
      <w:color w:val="2F5496" w:themeColor="accent1" w:themeShade="BF"/>
      <w:spacing w:val="5"/>
    </w:rPr>
  </w:style>
  <w:style w:type="character" w:styleId="Hyperlink">
    <w:name w:val="Hyperlink"/>
    <w:basedOn w:val="DefaultParagraphFont"/>
    <w:uiPriority w:val="99"/>
    <w:unhideWhenUsed/>
    <w:rsid w:val="0068220D"/>
    <w:rPr>
      <w:color w:val="0563C1" w:themeColor="hyperlink"/>
      <w:u w:val="single"/>
    </w:rPr>
  </w:style>
  <w:style w:type="character" w:customStyle="1" w:styleId="UnresolvedMention1">
    <w:name w:val="Unresolved Mention1"/>
    <w:basedOn w:val="DefaultParagraphFont"/>
    <w:uiPriority w:val="99"/>
    <w:semiHidden/>
    <w:unhideWhenUsed/>
    <w:rsid w:val="0068220D"/>
    <w:rPr>
      <w:color w:val="605E5C"/>
      <w:shd w:val="clear" w:color="auto" w:fill="E1DFDD"/>
    </w:rPr>
  </w:style>
  <w:style w:type="paragraph" w:styleId="NormalWeb">
    <w:name w:val="Normal (Web)"/>
    <w:basedOn w:val="Normal"/>
    <w:uiPriority w:val="99"/>
    <w:semiHidden/>
    <w:unhideWhenUsed/>
    <w:rsid w:val="0057173B"/>
    <w:rPr>
      <w:rFonts w:ascii="Times New Roman" w:hAnsi="Times New Roman"/>
      <w:sz w:val="24"/>
      <w:szCs w:val="24"/>
    </w:rPr>
  </w:style>
  <w:style w:type="table" w:styleId="TableGrid">
    <w:name w:val="Table Grid"/>
    <w:basedOn w:val="TableNormal"/>
    <w:uiPriority w:val="39"/>
    <w:rsid w:val="00005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847DB"/>
    <w:rPr>
      <w:b/>
      <w:bCs/>
    </w:rPr>
  </w:style>
  <w:style w:type="paragraph" w:styleId="Header">
    <w:name w:val="header"/>
    <w:basedOn w:val="Normal"/>
    <w:link w:val="HeaderChar"/>
    <w:uiPriority w:val="99"/>
    <w:unhideWhenUsed/>
    <w:rsid w:val="00450B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0BBE"/>
  </w:style>
  <w:style w:type="paragraph" w:styleId="Footer">
    <w:name w:val="footer"/>
    <w:basedOn w:val="Normal"/>
    <w:link w:val="FooterChar"/>
    <w:uiPriority w:val="99"/>
    <w:unhideWhenUsed/>
    <w:rsid w:val="00450B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0BBE"/>
  </w:style>
  <w:style w:type="character" w:styleId="Emphasis">
    <w:name w:val="Emphasis"/>
    <w:basedOn w:val="DefaultParagraphFont"/>
    <w:uiPriority w:val="20"/>
    <w:qFormat/>
    <w:rsid w:val="00672BCE"/>
    <w:rPr>
      <w:i/>
      <w:iCs/>
    </w:rPr>
  </w:style>
  <w:style w:type="paragraph" w:styleId="BalloonText">
    <w:name w:val="Balloon Text"/>
    <w:basedOn w:val="Normal"/>
    <w:link w:val="BalloonTextChar"/>
    <w:uiPriority w:val="99"/>
    <w:semiHidden/>
    <w:unhideWhenUsed/>
    <w:rsid w:val="002709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0965"/>
    <w:rPr>
      <w:rFonts w:ascii="Tahoma" w:hAnsi="Tahoma" w:cs="Tahoma"/>
      <w:sz w:val="16"/>
      <w:szCs w:val="16"/>
    </w:rPr>
  </w:style>
  <w:style w:type="character" w:customStyle="1" w:styleId="UnresolvedMention2">
    <w:name w:val="Unresolved Mention2"/>
    <w:basedOn w:val="DefaultParagraphFont"/>
    <w:uiPriority w:val="99"/>
    <w:semiHidden/>
    <w:unhideWhenUsed/>
    <w:rsid w:val="006C07E6"/>
    <w:rPr>
      <w:color w:val="605E5C"/>
      <w:shd w:val="clear" w:color="auto" w:fill="E1DFDD"/>
    </w:rPr>
  </w:style>
  <w:style w:type="character" w:customStyle="1" w:styleId="UnresolvedMention">
    <w:name w:val="Unresolved Mention"/>
    <w:basedOn w:val="DefaultParagraphFont"/>
    <w:uiPriority w:val="99"/>
    <w:semiHidden/>
    <w:unhideWhenUsed/>
    <w:rsid w:val="0008542A"/>
    <w:rPr>
      <w:color w:val="605E5C"/>
      <w:shd w:val="clear" w:color="auto" w:fill="E1DFDD"/>
    </w:rPr>
  </w:style>
  <w:style w:type="character" w:styleId="CommentReference">
    <w:name w:val="annotation reference"/>
    <w:basedOn w:val="DefaultParagraphFont"/>
    <w:uiPriority w:val="99"/>
    <w:semiHidden/>
    <w:unhideWhenUsed/>
    <w:rsid w:val="00683C2D"/>
    <w:rPr>
      <w:sz w:val="16"/>
      <w:szCs w:val="16"/>
    </w:rPr>
  </w:style>
  <w:style w:type="paragraph" w:styleId="CommentText">
    <w:name w:val="annotation text"/>
    <w:basedOn w:val="Normal"/>
    <w:link w:val="CommentTextChar"/>
    <w:uiPriority w:val="99"/>
    <w:semiHidden/>
    <w:unhideWhenUsed/>
    <w:rsid w:val="00683C2D"/>
    <w:pPr>
      <w:spacing w:line="240" w:lineRule="auto"/>
    </w:pPr>
    <w:rPr>
      <w:sz w:val="20"/>
      <w:szCs w:val="20"/>
    </w:rPr>
  </w:style>
  <w:style w:type="character" w:customStyle="1" w:styleId="CommentTextChar">
    <w:name w:val="Comment Text Char"/>
    <w:basedOn w:val="DefaultParagraphFont"/>
    <w:link w:val="CommentText"/>
    <w:uiPriority w:val="99"/>
    <w:semiHidden/>
    <w:rsid w:val="00683C2D"/>
    <w:rPr>
      <w:sz w:val="20"/>
      <w:szCs w:val="20"/>
    </w:rPr>
  </w:style>
  <w:style w:type="paragraph" w:styleId="CommentSubject">
    <w:name w:val="annotation subject"/>
    <w:basedOn w:val="CommentText"/>
    <w:next w:val="CommentText"/>
    <w:link w:val="CommentSubjectChar"/>
    <w:uiPriority w:val="99"/>
    <w:semiHidden/>
    <w:unhideWhenUsed/>
    <w:rsid w:val="00683C2D"/>
    <w:rPr>
      <w:b/>
      <w:bCs/>
    </w:rPr>
  </w:style>
  <w:style w:type="character" w:customStyle="1" w:styleId="CommentSubjectChar">
    <w:name w:val="Comment Subject Char"/>
    <w:basedOn w:val="CommentTextChar"/>
    <w:link w:val="CommentSubject"/>
    <w:uiPriority w:val="99"/>
    <w:semiHidden/>
    <w:rsid w:val="00683C2D"/>
    <w:rPr>
      <w:b/>
      <w:bCs/>
      <w:sz w:val="20"/>
      <w:szCs w:val="20"/>
    </w:rPr>
  </w:style>
  <w:style w:type="paragraph" w:styleId="NoSpacing">
    <w:name w:val="No Spacing"/>
    <w:uiPriority w:val="1"/>
    <w:qFormat/>
    <w:rsid w:val="00481C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750485">
      <w:bodyDiv w:val="1"/>
      <w:marLeft w:val="0"/>
      <w:marRight w:val="0"/>
      <w:marTop w:val="0"/>
      <w:marBottom w:val="0"/>
      <w:divBdr>
        <w:top w:val="none" w:sz="0" w:space="0" w:color="auto"/>
        <w:left w:val="none" w:sz="0" w:space="0" w:color="auto"/>
        <w:bottom w:val="none" w:sz="0" w:space="0" w:color="auto"/>
        <w:right w:val="none" w:sz="0" w:space="0" w:color="auto"/>
      </w:divBdr>
    </w:div>
    <w:div w:id="871041993">
      <w:bodyDiv w:val="1"/>
      <w:marLeft w:val="0"/>
      <w:marRight w:val="0"/>
      <w:marTop w:val="0"/>
      <w:marBottom w:val="0"/>
      <w:divBdr>
        <w:top w:val="none" w:sz="0" w:space="0" w:color="auto"/>
        <w:left w:val="none" w:sz="0" w:space="0" w:color="auto"/>
        <w:bottom w:val="none" w:sz="0" w:space="0" w:color="auto"/>
        <w:right w:val="none" w:sz="0" w:space="0" w:color="auto"/>
      </w:divBdr>
    </w:div>
    <w:div w:id="938102295">
      <w:bodyDiv w:val="1"/>
      <w:marLeft w:val="0"/>
      <w:marRight w:val="0"/>
      <w:marTop w:val="0"/>
      <w:marBottom w:val="0"/>
      <w:divBdr>
        <w:top w:val="none" w:sz="0" w:space="0" w:color="auto"/>
        <w:left w:val="none" w:sz="0" w:space="0" w:color="auto"/>
        <w:bottom w:val="none" w:sz="0" w:space="0" w:color="auto"/>
        <w:right w:val="none" w:sz="0" w:space="0" w:color="auto"/>
      </w:divBdr>
    </w:div>
    <w:div w:id="205943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oleObject" Target="embeddings/oleObject3.bin"/><Relationship Id="rId26" Type="http://schemas.openxmlformats.org/officeDocument/2006/relationships/hyperlink" Target="https://www.sciencedirect.com/science/article/pii/S2468227620303082" TargetMode="External"/><Relationship Id="rId39" Type="http://schemas.openxmlformats.org/officeDocument/2006/relationships/hyperlink" Target="https://doi.org/10.1080/14728214.2025.2508994" TargetMode="External"/><Relationship Id="rId21" Type="http://schemas.openxmlformats.org/officeDocument/2006/relationships/oleObject" Target="embeddings/oleObject4.bin"/><Relationship Id="rId34" Type="http://schemas.openxmlformats.org/officeDocument/2006/relationships/oleObject" Target="embeddings/oleObject6.bin"/><Relationship Id="rId42" Type="http://schemas.openxmlformats.org/officeDocument/2006/relationships/hyperlink" Target="https://doi.org/10.58920/sciphar0304264" TargetMode="External"/><Relationship Id="rId47" Type="http://schemas.openxmlformats.org/officeDocument/2006/relationships/hyperlink" Target="https://doi.org/10.1038/s41598-023-40160-2" TargetMode="External"/><Relationship Id="rId50" Type="http://schemas.openxmlformats.org/officeDocument/2006/relationships/hyperlink" Target="https://doi.org/10.3390/ijms20184574" TargetMode="External"/><Relationship Id="rId55" Type="http://schemas.openxmlformats.org/officeDocument/2006/relationships/header" Target="header1.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1/relationships/commentsExtended" Target="commentsExtended.xml"/><Relationship Id="rId29" Type="http://schemas.openxmlformats.org/officeDocument/2006/relationships/image" Target="media/image9.png"/><Relationship Id="rId11" Type="http://schemas.openxmlformats.org/officeDocument/2006/relationships/image" Target="media/image1.emf"/><Relationship Id="rId24" Type="http://schemas.openxmlformats.org/officeDocument/2006/relationships/oleObject" Target="embeddings/oleObject5.bin"/><Relationship Id="rId32" Type="http://schemas.openxmlformats.org/officeDocument/2006/relationships/image" Target="media/image12.png"/><Relationship Id="rId37" Type="http://schemas.openxmlformats.org/officeDocument/2006/relationships/hyperlink" Target="https://doi.org/10.1016/j.bioorg.2025.108660" TargetMode="External"/><Relationship Id="rId40" Type="http://schemas.openxmlformats.org/officeDocument/2006/relationships/hyperlink" Target="https://doi.org/10.21474/IJAR01/53789" TargetMode="External"/><Relationship Id="rId45" Type="http://schemas.openxmlformats.org/officeDocument/2006/relationships/hyperlink" Target="https://doi.org/10.1016/j.heliyon.2022.e09777" TargetMode="External"/><Relationship Id="rId53" Type="http://schemas.openxmlformats.org/officeDocument/2006/relationships/hyperlink" Target="https://doi.org/10.3390/scipharm87010006" TargetMode="External"/><Relationship Id="rId58"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image" Target="media/image4.png"/><Relationship Id="rId14" Type="http://schemas.openxmlformats.org/officeDocument/2006/relationships/oleObject" Target="embeddings/oleObject2.bin"/><Relationship Id="rId22" Type="http://schemas.openxmlformats.org/officeDocument/2006/relationships/image" Target="media/image6.jpeg"/><Relationship Id="rId27" Type="http://schemas.openxmlformats.org/officeDocument/2006/relationships/hyperlink" Target="https://www.sciencedirect.com/topics/pharmacology-toxicology-and-pharmaceutical-science/lipinskis-rule-of-five" TargetMode="External"/><Relationship Id="rId30" Type="http://schemas.openxmlformats.org/officeDocument/2006/relationships/image" Target="media/image10.png"/><Relationship Id="rId35" Type="http://schemas.openxmlformats.org/officeDocument/2006/relationships/hyperlink" Target="https://doi.org/10.1038/s41598-025-18735-y" TargetMode="External"/><Relationship Id="rId43" Type="http://schemas.openxmlformats.org/officeDocument/2006/relationships/hyperlink" Target="https://doi.org/10.1080/07391102.2025.1234567" TargetMode="External"/><Relationship Id="rId48" Type="http://schemas.openxmlformats.org/officeDocument/2006/relationships/hyperlink" Target="https://doi.org/10.47739/2334-1831/1029" TargetMode="External"/><Relationship Id="rId56" Type="http://schemas.openxmlformats.org/officeDocument/2006/relationships/header" Target="header2.xml"/><Relationship Id="rId8" Type="http://schemas.openxmlformats.org/officeDocument/2006/relationships/hyperlink" Target="https://www.sciencedirect.com/topics/pharmacology-toxicology-and-pharmaceutical-science/tyrosine-kinase-receptor" TargetMode="External"/><Relationship Id="rId51" Type="http://schemas.openxmlformats.org/officeDocument/2006/relationships/hyperlink" Target="https://doi.org/10.3390/ijms2018433" TargetMode="External"/><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3.emf"/><Relationship Id="rId25" Type="http://schemas.openxmlformats.org/officeDocument/2006/relationships/hyperlink" Target="https://scfbio-iitd.res.in/software/drugdesign/lipinski.jsp" TargetMode="External"/><Relationship Id="rId33" Type="http://schemas.openxmlformats.org/officeDocument/2006/relationships/image" Target="media/image13.emf"/><Relationship Id="rId38" Type="http://schemas.openxmlformats.org/officeDocument/2006/relationships/hyperlink" Target="https://doi.org/10.1016/j.cpt.2024.09.005" TargetMode="External"/><Relationship Id="rId46" Type="http://schemas.openxmlformats.org/officeDocument/2006/relationships/hyperlink" Target="https://doi.org/10.5958/0974360X.2025.00008.7" TargetMode="External"/><Relationship Id="rId59" Type="http://schemas.openxmlformats.org/officeDocument/2006/relationships/header" Target="header3.xml"/><Relationship Id="rId20" Type="http://schemas.openxmlformats.org/officeDocument/2006/relationships/image" Target="media/image5.emf"/><Relationship Id="rId41" Type="http://schemas.openxmlformats.org/officeDocument/2006/relationships/hyperlink" Target="https://doi.org/10.5958/0974360X.2020.01052.9" TargetMode="External"/><Relationship Id="rId54" Type="http://schemas.openxmlformats.org/officeDocument/2006/relationships/hyperlink" Target="https://doi.org/10.1038/s41598024223459" TargetMode="Externa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mments" Target="comments.xml"/><Relationship Id="rId23" Type="http://schemas.openxmlformats.org/officeDocument/2006/relationships/image" Target="media/image7.emf"/><Relationship Id="rId28" Type="http://schemas.openxmlformats.org/officeDocument/2006/relationships/image" Target="media/image8.png"/><Relationship Id="rId36" Type="http://schemas.openxmlformats.org/officeDocument/2006/relationships/hyperlink" Target="https://doi.org/10.3322/cFAc.21834" TargetMode="External"/><Relationship Id="rId49" Type="http://schemas.openxmlformats.org/officeDocument/2006/relationships/hyperlink" Target="https://doi.org/10.52711/0974-360X.2024.00131" TargetMode="External"/><Relationship Id="rId57" Type="http://schemas.openxmlformats.org/officeDocument/2006/relationships/footer" Target="footer1.xml"/><Relationship Id="rId10" Type="http://schemas.openxmlformats.org/officeDocument/2006/relationships/hyperlink" Target="https://www.sciencedirect.com/topics/pharmacology-toxicology-and-pharmaceutical-science/tyrosine" TargetMode="External"/><Relationship Id="rId31" Type="http://schemas.openxmlformats.org/officeDocument/2006/relationships/image" Target="media/image11.png"/><Relationship Id="rId44" Type="http://schemas.openxmlformats.org/officeDocument/2006/relationships/hyperlink" Target="https://doi.org/10.52711/2231-5691.2022.00034" TargetMode="External"/><Relationship Id="rId52" Type="http://schemas.openxmlformats.org/officeDocument/2006/relationships/hyperlink" Target="https://doi.org/10.1016/j.jmgm.2025.108119" TargetMode="External"/><Relationship Id="rId6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sciencedirect.com/topics/pharmacology-toxicology-and-pharmaceutical-science/glycoprote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F5329-3749-4435-AB75-4F6B82D94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15</Pages>
  <Words>6450</Words>
  <Characters>36769</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viraj acharya</dc:creator>
  <cp:keywords/>
  <dc:description/>
  <cp:lastModifiedBy>Asus</cp:lastModifiedBy>
  <cp:revision>34</cp:revision>
  <dcterms:created xsi:type="dcterms:W3CDTF">2026-01-28T06:36:00Z</dcterms:created>
  <dcterms:modified xsi:type="dcterms:W3CDTF">2026-02-03T14:55:00Z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3655f2e0-8f6b-4a82-8138-127773d183eb</vt:lpwstr>
  </property>
</Properties>
</file>