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358B" w14:textId="77777777" w:rsidR="00A82E69" w:rsidRDefault="00A82E69" w:rsidP="00FE4B18">
      <w:pPr>
        <w:jc w:val="center"/>
        <w:rPr>
          <w:rFonts w:ascii="Times New Roman" w:hAnsi="Times New Roman" w:cs="Times New Roman"/>
          <w:b/>
          <w:bCs/>
        </w:rPr>
      </w:pPr>
      <w:r w:rsidRPr="00A82E69">
        <w:rPr>
          <w:rFonts w:ascii="Times New Roman" w:hAnsi="Times New Roman" w:cs="Times New Roman"/>
          <w:b/>
          <w:bCs/>
        </w:rPr>
        <w:t xml:space="preserve">Original Research Article </w:t>
      </w:r>
    </w:p>
    <w:p w14:paraId="7EE3C61F" w14:textId="77777777" w:rsidR="00A82E69" w:rsidRDefault="00A82E69" w:rsidP="00FE4B18">
      <w:pPr>
        <w:jc w:val="center"/>
        <w:rPr>
          <w:rFonts w:ascii="Times New Roman" w:hAnsi="Times New Roman" w:cs="Times New Roman"/>
          <w:b/>
          <w:bCs/>
        </w:rPr>
      </w:pPr>
    </w:p>
    <w:p w14:paraId="42C971D0" w14:textId="1652BB2F" w:rsidR="00FE4B18" w:rsidRPr="00FE4B18" w:rsidRDefault="00FE4B18" w:rsidP="00FE4B18">
      <w:pPr>
        <w:jc w:val="center"/>
        <w:rPr>
          <w:rFonts w:ascii="Times New Roman" w:hAnsi="Times New Roman" w:cs="Times New Roman"/>
          <w:b/>
          <w:bCs/>
          <w:sz w:val="20"/>
          <w:szCs w:val="20"/>
        </w:rPr>
      </w:pPr>
      <w:r w:rsidRPr="00FE4B18">
        <w:rPr>
          <w:rFonts w:ascii="Times New Roman" w:hAnsi="Times New Roman" w:cs="Times New Roman"/>
          <w:b/>
          <w:bCs/>
        </w:rPr>
        <w:t>Unraveling Yield Performance and Nutritional Trait Architecture in Quinoa</w:t>
      </w:r>
      <w:r w:rsidR="00E50341">
        <w:rPr>
          <w:rFonts w:ascii="Times New Roman" w:hAnsi="Times New Roman" w:cs="Times New Roman"/>
          <w:b/>
          <w:bCs/>
        </w:rPr>
        <w:t xml:space="preserve"> (</w:t>
      </w:r>
      <w:r w:rsidR="00E50341" w:rsidRPr="00E50341">
        <w:rPr>
          <w:rFonts w:ascii="Times New Roman" w:hAnsi="Times New Roman" w:cs="Times New Roman"/>
          <w:b/>
          <w:bCs/>
          <w:i/>
          <w:iCs/>
        </w:rPr>
        <w:t xml:space="preserve">Chenopodium quinoa </w:t>
      </w:r>
      <w:r w:rsidR="00E50341">
        <w:rPr>
          <w:rFonts w:ascii="Times New Roman" w:hAnsi="Times New Roman" w:cs="Times New Roman"/>
          <w:b/>
          <w:bCs/>
        </w:rPr>
        <w:t xml:space="preserve">Willd.) </w:t>
      </w:r>
      <w:r w:rsidRPr="00FE4B18">
        <w:rPr>
          <w:rFonts w:ascii="Times New Roman" w:hAnsi="Times New Roman" w:cs="Times New Roman"/>
          <w:b/>
          <w:bCs/>
        </w:rPr>
        <w:t>Using Integrated Variability, Correlation and Path Analysis</w:t>
      </w:r>
    </w:p>
    <w:p w14:paraId="42BE959C" w14:textId="77777777" w:rsidR="00FD0CCE" w:rsidRDefault="00FD0CCE" w:rsidP="00FE71EE">
      <w:pPr>
        <w:jc w:val="both"/>
        <w:rPr>
          <w:rFonts w:ascii="Times New Roman" w:hAnsi="Times New Roman" w:cs="Times New Roman"/>
          <w:b/>
          <w:bCs/>
        </w:rPr>
      </w:pPr>
    </w:p>
    <w:p w14:paraId="231FBC1F" w14:textId="31B68950" w:rsidR="00FE71EE" w:rsidRPr="008F68DF" w:rsidRDefault="00FE71EE" w:rsidP="00FE71EE">
      <w:pPr>
        <w:jc w:val="both"/>
        <w:rPr>
          <w:rFonts w:ascii="Times New Roman" w:hAnsi="Times New Roman" w:cs="Times New Roman"/>
          <w:b/>
          <w:bCs/>
        </w:rPr>
      </w:pPr>
      <w:r w:rsidRPr="008F68DF">
        <w:rPr>
          <w:rFonts w:ascii="Times New Roman" w:hAnsi="Times New Roman" w:cs="Times New Roman"/>
          <w:b/>
          <w:bCs/>
        </w:rPr>
        <w:t>Abstract</w:t>
      </w:r>
    </w:p>
    <w:p w14:paraId="1380ABEF" w14:textId="77777777" w:rsidR="005E5DE6" w:rsidRPr="008F68DF" w:rsidRDefault="005E5DE6" w:rsidP="00F348D3">
      <w:pPr>
        <w:spacing w:after="0" w:line="360" w:lineRule="auto"/>
        <w:jc w:val="both"/>
        <w:rPr>
          <w:rFonts w:ascii="Times New Roman" w:hAnsi="Times New Roman" w:cs="Times New Roman"/>
        </w:rPr>
      </w:pPr>
      <w:r w:rsidRPr="008F68DF">
        <w:rPr>
          <w:rFonts w:ascii="Times New Roman" w:hAnsi="Times New Roman" w:cs="Times New Roman"/>
        </w:rPr>
        <w:t>Improving crop yield and nutritional quality requires a clear understanding of the magnitude of genetic variability and the nature of relationships among component traits. The present investigation evaluated thirty-six quinoa genotypes to assess genetic variability, heritability, genetic advance, and associations among yield and nutritional traits using correlation and path coefficient analyses under a replicated experimental design. Highly significant differences among genotypes were observed for all fourteen traits studied, indicating substantial genetic variability. Phenotypic coefficients of variation were generally higher than genotypic coefficients, reflecting environmental influence, although the narrow differences for several traits suggested stable genetic expression. High heritability coupled with high genetic advance for seed yield, biological yield, inflorescence traits, protein content, lysine content, and saponin content indicated the predominance of additive gene action and the effectiveness of direct selection. Genotypic correlations were consistently higher than phenotypic correlations, revealing strong inherent genetic associations among traits. Path coefficient analysis identified biological yield per plant as the most influential trait exerting the highest positive direct effect on seed yield, followed by harvest index and inflorescence traits, while nutritional traits showed negligible direct effects on yield. Overall, the integrated use of variability parameters, correlation, and path analysis provides a comprehensive understanding of trait behavior and identifies reliable selection criteria for simultaneous improvement of yield and nutritional quality in quinoa.</w:t>
      </w:r>
    </w:p>
    <w:p w14:paraId="4A50ABEB" w14:textId="77777777" w:rsidR="005E5DE6" w:rsidRPr="008F68DF" w:rsidRDefault="005E5DE6" w:rsidP="00F348D3">
      <w:pPr>
        <w:spacing w:after="0" w:line="360" w:lineRule="auto"/>
        <w:jc w:val="both"/>
        <w:rPr>
          <w:rFonts w:ascii="Times New Roman" w:hAnsi="Times New Roman" w:cs="Times New Roman"/>
        </w:rPr>
      </w:pPr>
      <w:r w:rsidRPr="008F68DF">
        <w:rPr>
          <w:rFonts w:ascii="Times New Roman" w:hAnsi="Times New Roman" w:cs="Times New Roman"/>
        </w:rPr>
        <w:t xml:space="preserve">Keywords: </w:t>
      </w:r>
      <w:commentRangeStart w:id="0"/>
      <w:r w:rsidRPr="008F68DF">
        <w:rPr>
          <w:rFonts w:ascii="Times New Roman" w:hAnsi="Times New Roman" w:cs="Times New Roman"/>
        </w:rPr>
        <w:t>Quinoa, genetic variability, heritability, genetic advance, correlation, path analysis, nutritional quality</w:t>
      </w:r>
      <w:commentRangeEnd w:id="0"/>
      <w:r w:rsidR="00D70BB5" w:rsidRPr="008F68DF">
        <w:rPr>
          <w:rStyle w:val="CommentReference"/>
          <w:rFonts w:ascii="Times New Roman" w:hAnsi="Times New Roman" w:cs="Times New Roman"/>
          <w:sz w:val="22"/>
          <w:szCs w:val="22"/>
        </w:rPr>
        <w:commentReference w:id="0"/>
      </w:r>
    </w:p>
    <w:p w14:paraId="13E023C6" w14:textId="77777777" w:rsidR="00FE71EE" w:rsidRPr="008F68DF" w:rsidRDefault="00FE71EE" w:rsidP="00F348D3">
      <w:pPr>
        <w:spacing w:after="0" w:line="360" w:lineRule="auto"/>
        <w:jc w:val="both"/>
        <w:rPr>
          <w:rFonts w:ascii="Times New Roman" w:hAnsi="Times New Roman" w:cs="Times New Roman"/>
          <w:b/>
          <w:bCs/>
        </w:rPr>
      </w:pPr>
      <w:r w:rsidRPr="008F68DF">
        <w:rPr>
          <w:rFonts w:ascii="Times New Roman" w:hAnsi="Times New Roman" w:cs="Times New Roman"/>
          <w:b/>
          <w:bCs/>
        </w:rPr>
        <w:t xml:space="preserve">1. Introduction     </w:t>
      </w:r>
    </w:p>
    <w:p w14:paraId="18C92EC3" w14:textId="77777777" w:rsidR="00FE71EE" w:rsidRPr="008F68DF" w:rsidRDefault="00FE71EE" w:rsidP="00FE71EE">
      <w:pPr>
        <w:spacing w:line="360" w:lineRule="auto"/>
        <w:jc w:val="both"/>
        <w:rPr>
          <w:rFonts w:ascii="Times New Roman" w:hAnsi="Times New Roman" w:cs="Times New Roman"/>
          <w:b/>
          <w:bCs/>
          <w:lang w:val="en-US"/>
        </w:rPr>
      </w:pPr>
      <w:r w:rsidRPr="008F68DF">
        <w:rPr>
          <w:rFonts w:ascii="Times New Roman" w:hAnsi="Times New Roman" w:cs="Times New Roman"/>
          <w:b/>
          <w:bCs/>
        </w:rPr>
        <w:tab/>
      </w:r>
      <w:r w:rsidR="008A17BF" w:rsidRPr="008F68DF">
        <w:rPr>
          <w:rFonts w:ascii="Times New Roman" w:hAnsi="Times New Roman" w:cs="Times New Roman"/>
        </w:rPr>
        <w:t xml:space="preserve">Climate change poses a major threat to global agricultural productivity through increased incidence of drought, salinity, frost, nutrient-poor soils, and other abiotic stresses. These challenges have intensified the search for resilient and underutilized crops capable of sustaining productivity under marginal environments. Quinoa (Chenopodium quinoa Willd.) has gained global attention owing to its remarkable tolerance to drought, salinity, frost, chilling, and low soil fertility, making it highly suitable for cultivation in arid, semi-arid, saline, and high-altitude regions </w:t>
      </w:r>
      <w:r w:rsidR="008A17BF" w:rsidRPr="008F68DF">
        <w:rPr>
          <w:rFonts w:ascii="Times New Roman" w:hAnsi="Times New Roman" w:cs="Times New Roman"/>
          <w:b/>
          <w:bCs/>
        </w:rPr>
        <w:t>(</w:t>
      </w:r>
      <w:r w:rsidR="00A628A7">
        <w:rPr>
          <w:rFonts w:ascii="Times New Roman" w:hAnsi="Times New Roman" w:cs="Times New Roman"/>
          <w:b/>
          <w:bCs/>
        </w:rPr>
        <w:t>1.</w:t>
      </w:r>
      <w:r w:rsidR="008A17BF" w:rsidRPr="008F68DF">
        <w:rPr>
          <w:rFonts w:ascii="Times New Roman" w:hAnsi="Times New Roman" w:cs="Times New Roman"/>
          <w:b/>
          <w:bCs/>
        </w:rPr>
        <w:t xml:space="preserve">Choukr-Allah, 1996; </w:t>
      </w:r>
      <w:r w:rsidR="00A628A7">
        <w:rPr>
          <w:rFonts w:ascii="Times New Roman" w:hAnsi="Times New Roman" w:cs="Times New Roman"/>
          <w:b/>
          <w:bCs/>
        </w:rPr>
        <w:t xml:space="preserve">2. </w:t>
      </w:r>
      <w:r w:rsidR="008A17BF" w:rsidRPr="008F68DF">
        <w:rPr>
          <w:rFonts w:ascii="Times New Roman" w:hAnsi="Times New Roman" w:cs="Times New Roman"/>
          <w:b/>
          <w:bCs/>
        </w:rPr>
        <w:t xml:space="preserve">Jacobsen et al., 2003; </w:t>
      </w:r>
      <w:r w:rsidR="00A628A7">
        <w:rPr>
          <w:rFonts w:ascii="Times New Roman" w:hAnsi="Times New Roman" w:cs="Times New Roman"/>
          <w:b/>
          <w:bCs/>
        </w:rPr>
        <w:t xml:space="preserve">3. </w:t>
      </w:r>
      <w:r w:rsidR="008A17BF" w:rsidRPr="008F68DF">
        <w:rPr>
          <w:rFonts w:ascii="Times New Roman" w:hAnsi="Times New Roman" w:cs="Times New Roman"/>
          <w:b/>
          <w:bCs/>
        </w:rPr>
        <w:t xml:space="preserve">Erley et al., 2005; </w:t>
      </w:r>
      <w:r w:rsidR="00A628A7">
        <w:rPr>
          <w:rFonts w:ascii="Times New Roman" w:hAnsi="Times New Roman" w:cs="Times New Roman"/>
          <w:b/>
          <w:bCs/>
        </w:rPr>
        <w:t xml:space="preserve">4. </w:t>
      </w:r>
      <w:r w:rsidR="008A17BF" w:rsidRPr="008F68DF">
        <w:rPr>
          <w:rFonts w:ascii="Times New Roman" w:hAnsi="Times New Roman" w:cs="Times New Roman"/>
          <w:b/>
          <w:bCs/>
        </w:rPr>
        <w:t>Bonifacio, 2006).</w:t>
      </w:r>
      <w:r w:rsidR="008A17BF" w:rsidRPr="008F68DF">
        <w:rPr>
          <w:rFonts w:ascii="Times New Roman" w:hAnsi="Times New Roman" w:cs="Times New Roman"/>
        </w:rPr>
        <w:t xml:space="preserve"> Recognizing its potential contribution to food and </w:t>
      </w:r>
      <w:r w:rsidR="008A17BF" w:rsidRPr="008F68DF">
        <w:rPr>
          <w:rFonts w:ascii="Times New Roman" w:hAnsi="Times New Roman" w:cs="Times New Roman"/>
        </w:rPr>
        <w:lastRenderedPageBreak/>
        <w:t xml:space="preserve">nutritional security, the Food and Agriculture Organization highlighted quinoa as a strategic crop for future agriculture </w:t>
      </w:r>
      <w:r w:rsidR="008A17BF" w:rsidRPr="008F68DF">
        <w:rPr>
          <w:rFonts w:ascii="Times New Roman" w:hAnsi="Times New Roman" w:cs="Times New Roman"/>
          <w:b/>
          <w:bCs/>
        </w:rPr>
        <w:t>(</w:t>
      </w:r>
      <w:r w:rsidR="00A628A7">
        <w:rPr>
          <w:rFonts w:ascii="Times New Roman" w:hAnsi="Times New Roman" w:cs="Times New Roman"/>
          <w:b/>
          <w:bCs/>
        </w:rPr>
        <w:t xml:space="preserve">5. </w:t>
      </w:r>
      <w:r w:rsidR="008A17BF" w:rsidRPr="008F68DF">
        <w:rPr>
          <w:rFonts w:ascii="Times New Roman" w:hAnsi="Times New Roman" w:cs="Times New Roman"/>
          <w:b/>
          <w:bCs/>
        </w:rPr>
        <w:t>FAO, 1998).</w:t>
      </w:r>
    </w:p>
    <w:p w14:paraId="79139B6B" w14:textId="77777777" w:rsidR="008A17BF" w:rsidRPr="00A628A7" w:rsidRDefault="008A17BF" w:rsidP="00FE71EE">
      <w:pPr>
        <w:spacing w:line="360" w:lineRule="auto"/>
        <w:ind w:firstLine="720"/>
        <w:jc w:val="both"/>
        <w:rPr>
          <w:rFonts w:ascii="Times New Roman" w:hAnsi="Times New Roman" w:cs="Times New Roman"/>
          <w:b/>
          <w:bCs/>
          <w:lang w:val="en-US"/>
        </w:rPr>
      </w:pPr>
      <w:r w:rsidRPr="008F68DF">
        <w:rPr>
          <w:rFonts w:ascii="Times New Roman" w:hAnsi="Times New Roman" w:cs="Times New Roman"/>
        </w:rPr>
        <w:t xml:space="preserve">Domesticated more than 7,000 years ago in the Andean region of South America, quinoa has traditionally been cultivated in Peru and Bolivia </w:t>
      </w:r>
      <w:r w:rsidRPr="00A628A7">
        <w:rPr>
          <w:rFonts w:ascii="Times New Roman" w:hAnsi="Times New Roman" w:cs="Times New Roman"/>
          <w:b/>
          <w:bCs/>
        </w:rPr>
        <w:t>(</w:t>
      </w:r>
      <w:r w:rsidR="00A628A7" w:rsidRPr="00A628A7">
        <w:rPr>
          <w:rFonts w:ascii="Times New Roman" w:hAnsi="Times New Roman" w:cs="Times New Roman"/>
          <w:b/>
          <w:bCs/>
        </w:rPr>
        <w:t xml:space="preserve">6. </w:t>
      </w:r>
      <w:r w:rsidRPr="00A628A7">
        <w:rPr>
          <w:rFonts w:ascii="Times New Roman" w:hAnsi="Times New Roman" w:cs="Times New Roman"/>
          <w:b/>
          <w:bCs/>
        </w:rPr>
        <w:t xml:space="preserve">Tapia, 1979; </w:t>
      </w:r>
      <w:r w:rsidR="00A628A7" w:rsidRPr="00A628A7">
        <w:rPr>
          <w:rFonts w:ascii="Times New Roman" w:hAnsi="Times New Roman" w:cs="Times New Roman"/>
          <w:b/>
          <w:bCs/>
        </w:rPr>
        <w:t xml:space="preserve">7. </w:t>
      </w:r>
      <w:r w:rsidRPr="00A628A7">
        <w:rPr>
          <w:rFonts w:ascii="Times New Roman" w:hAnsi="Times New Roman" w:cs="Times New Roman"/>
          <w:b/>
          <w:bCs/>
        </w:rPr>
        <w:t xml:space="preserve">Mujica, 1992; </w:t>
      </w:r>
      <w:r w:rsidR="00A628A7" w:rsidRPr="00A628A7">
        <w:rPr>
          <w:rFonts w:ascii="Times New Roman" w:hAnsi="Times New Roman" w:cs="Times New Roman"/>
          <w:b/>
          <w:bCs/>
        </w:rPr>
        <w:t xml:space="preserve">8. </w:t>
      </w:r>
      <w:r w:rsidRPr="00A628A7">
        <w:rPr>
          <w:rFonts w:ascii="Times New Roman" w:hAnsi="Times New Roman" w:cs="Times New Roman"/>
          <w:b/>
          <w:bCs/>
        </w:rPr>
        <w:t>Jancurova et al., 2009)</w:t>
      </w:r>
      <w:r w:rsidRPr="008F68DF">
        <w:rPr>
          <w:rFonts w:ascii="Times New Roman" w:hAnsi="Times New Roman" w:cs="Times New Roman"/>
        </w:rPr>
        <w:t xml:space="preserve">. Its recent global expansion is attributed to its broad ecological adaptability and ability to perform across diverse agro-climatic conditions </w:t>
      </w:r>
      <w:r w:rsidRPr="00A628A7">
        <w:rPr>
          <w:rFonts w:ascii="Times New Roman" w:hAnsi="Times New Roman" w:cs="Times New Roman"/>
          <w:b/>
          <w:bCs/>
        </w:rPr>
        <w:t>(</w:t>
      </w:r>
      <w:r w:rsidR="00A628A7" w:rsidRPr="00A628A7">
        <w:rPr>
          <w:rFonts w:ascii="Times New Roman" w:hAnsi="Times New Roman" w:cs="Times New Roman"/>
          <w:b/>
          <w:bCs/>
        </w:rPr>
        <w:t xml:space="preserve">9. </w:t>
      </w:r>
      <w:r w:rsidRPr="00A628A7">
        <w:rPr>
          <w:rFonts w:ascii="Times New Roman" w:hAnsi="Times New Roman" w:cs="Times New Roman"/>
          <w:b/>
          <w:bCs/>
        </w:rPr>
        <w:t xml:space="preserve">Risi and Galwey, 1989; </w:t>
      </w:r>
      <w:r w:rsidR="00A628A7" w:rsidRPr="00A628A7">
        <w:rPr>
          <w:rFonts w:ascii="Times New Roman" w:hAnsi="Times New Roman" w:cs="Times New Roman"/>
          <w:b/>
          <w:bCs/>
        </w:rPr>
        <w:t xml:space="preserve">2. </w:t>
      </w:r>
      <w:r w:rsidRPr="00A628A7">
        <w:rPr>
          <w:rFonts w:ascii="Times New Roman" w:hAnsi="Times New Roman" w:cs="Times New Roman"/>
          <w:b/>
          <w:bCs/>
        </w:rPr>
        <w:t>Jacobsen et al., 2003).</w:t>
      </w:r>
      <w:r w:rsidRPr="008F68DF">
        <w:rPr>
          <w:rFonts w:ascii="Times New Roman" w:hAnsi="Times New Roman" w:cs="Times New Roman"/>
        </w:rPr>
        <w:t xml:space="preserve"> Quinoa is an allotetraploid (2n = 4x = 36) and predominantly self-pollinated species, although limited natural outcrossing has been reported </w:t>
      </w:r>
      <w:r w:rsidRPr="00A628A7">
        <w:rPr>
          <w:rFonts w:ascii="Times New Roman" w:hAnsi="Times New Roman" w:cs="Times New Roman"/>
          <w:b/>
          <w:bCs/>
        </w:rPr>
        <w:t>(</w:t>
      </w:r>
      <w:r w:rsidR="00A628A7" w:rsidRPr="00A628A7">
        <w:rPr>
          <w:rFonts w:ascii="Times New Roman" w:hAnsi="Times New Roman" w:cs="Times New Roman"/>
          <w:b/>
          <w:bCs/>
        </w:rPr>
        <w:t xml:space="preserve">10. </w:t>
      </w:r>
      <w:r w:rsidRPr="00A628A7">
        <w:rPr>
          <w:rFonts w:ascii="Times New Roman" w:hAnsi="Times New Roman" w:cs="Times New Roman"/>
          <w:b/>
          <w:bCs/>
        </w:rPr>
        <w:t xml:space="preserve">Heiser and Nelson, 1974; </w:t>
      </w:r>
      <w:r w:rsidR="00A628A7" w:rsidRPr="00A628A7">
        <w:rPr>
          <w:rFonts w:ascii="Times New Roman" w:hAnsi="Times New Roman" w:cs="Times New Roman"/>
          <w:b/>
          <w:bCs/>
        </w:rPr>
        <w:t xml:space="preserve">11. </w:t>
      </w:r>
      <w:r w:rsidRPr="00A628A7">
        <w:rPr>
          <w:rFonts w:ascii="Times New Roman" w:hAnsi="Times New Roman" w:cs="Times New Roman"/>
          <w:b/>
          <w:bCs/>
        </w:rPr>
        <w:t xml:space="preserve">Maughan et al., 2004; </w:t>
      </w:r>
      <w:r w:rsidR="00A628A7">
        <w:rPr>
          <w:rFonts w:ascii="Times New Roman" w:hAnsi="Times New Roman" w:cs="Times New Roman"/>
          <w:b/>
          <w:bCs/>
        </w:rPr>
        <w:t xml:space="preserve">12. </w:t>
      </w:r>
      <w:r w:rsidRPr="00A628A7">
        <w:rPr>
          <w:rFonts w:ascii="Times New Roman" w:hAnsi="Times New Roman" w:cs="Times New Roman"/>
          <w:b/>
          <w:bCs/>
        </w:rPr>
        <w:t>Valencia-Chamorro, 2003).</w:t>
      </w:r>
      <w:r w:rsidRPr="00A628A7">
        <w:rPr>
          <w:rFonts w:ascii="Times New Roman" w:hAnsi="Times New Roman" w:cs="Times New Roman"/>
          <w:b/>
          <w:bCs/>
          <w:lang w:val="en-US"/>
        </w:rPr>
        <w:t xml:space="preserve"> </w:t>
      </w:r>
    </w:p>
    <w:p w14:paraId="003E5B00" w14:textId="77777777" w:rsidR="008A17BF" w:rsidRPr="0067412C" w:rsidRDefault="008A17BF" w:rsidP="00FE71EE">
      <w:pPr>
        <w:spacing w:line="360" w:lineRule="auto"/>
        <w:ind w:firstLine="720"/>
        <w:jc w:val="both"/>
        <w:rPr>
          <w:rFonts w:ascii="Times New Roman" w:hAnsi="Times New Roman" w:cs="Times New Roman"/>
          <w:b/>
          <w:bCs/>
          <w:lang w:val="en-US"/>
        </w:rPr>
      </w:pPr>
      <w:r w:rsidRPr="008F68DF">
        <w:rPr>
          <w:rFonts w:ascii="Times New Roman" w:hAnsi="Times New Roman" w:cs="Times New Roman"/>
        </w:rPr>
        <w:t xml:space="preserve">In addition to agronomic resilience, quinoa is valued for its exceptional nutritional profile. The grain contains high-quality protein with a balanced amino acid composition, particularly rich in lysine and methionine, along with dietary fibre, essential minerals, vitamins, and antioxidants </w:t>
      </w:r>
      <w:r w:rsidRPr="0067412C">
        <w:rPr>
          <w:rFonts w:ascii="Times New Roman" w:hAnsi="Times New Roman" w:cs="Times New Roman"/>
          <w:b/>
          <w:bCs/>
        </w:rPr>
        <w:t>(</w:t>
      </w:r>
      <w:r w:rsidR="00A628A7" w:rsidRPr="0067412C">
        <w:rPr>
          <w:rFonts w:ascii="Times New Roman" w:hAnsi="Times New Roman" w:cs="Times New Roman"/>
          <w:b/>
          <w:bCs/>
        </w:rPr>
        <w:t xml:space="preserve">13. </w:t>
      </w:r>
      <w:r w:rsidRPr="0067412C">
        <w:rPr>
          <w:rFonts w:ascii="Times New Roman" w:hAnsi="Times New Roman" w:cs="Times New Roman"/>
          <w:b/>
          <w:bCs/>
        </w:rPr>
        <w:t xml:space="preserve">Abugoch, 2009; </w:t>
      </w:r>
      <w:r w:rsidR="00A628A7" w:rsidRPr="0067412C">
        <w:rPr>
          <w:rFonts w:ascii="Times New Roman" w:hAnsi="Times New Roman" w:cs="Times New Roman"/>
          <w:b/>
          <w:bCs/>
        </w:rPr>
        <w:t xml:space="preserve">14. Vilcacundo and </w:t>
      </w:r>
      <w:r w:rsidRPr="0067412C">
        <w:rPr>
          <w:rFonts w:ascii="Times New Roman" w:hAnsi="Times New Roman" w:cs="Times New Roman"/>
          <w:b/>
          <w:bCs/>
        </w:rPr>
        <w:t>Hernandez-Ledesma, 2017)</w:t>
      </w:r>
      <w:r w:rsidRPr="008F68DF">
        <w:rPr>
          <w:rFonts w:ascii="Times New Roman" w:hAnsi="Times New Roman" w:cs="Times New Roman"/>
        </w:rPr>
        <w:t xml:space="preserve">. Compared with major cereals, quinoa provides superior nutritional benefits and is naturally gluten-free, making it suitable for individuals with celiac disease or gluten intolerance </w:t>
      </w:r>
      <w:r w:rsidRPr="0067412C">
        <w:rPr>
          <w:rFonts w:ascii="Times New Roman" w:hAnsi="Times New Roman" w:cs="Times New Roman"/>
          <w:b/>
          <w:bCs/>
        </w:rPr>
        <w:t>(</w:t>
      </w:r>
      <w:r w:rsidR="0067412C" w:rsidRPr="0067412C">
        <w:rPr>
          <w:rFonts w:ascii="Times New Roman" w:hAnsi="Times New Roman" w:cs="Times New Roman"/>
          <w:b/>
          <w:bCs/>
        </w:rPr>
        <w:t xml:space="preserve">15. </w:t>
      </w:r>
      <w:r w:rsidRPr="0067412C">
        <w:rPr>
          <w:rFonts w:ascii="Times New Roman" w:hAnsi="Times New Roman" w:cs="Times New Roman"/>
          <w:b/>
          <w:bCs/>
        </w:rPr>
        <w:t xml:space="preserve">Navruz-Varli and Sanlier, 2016; </w:t>
      </w:r>
      <w:r w:rsidR="0067412C" w:rsidRPr="0067412C">
        <w:rPr>
          <w:rFonts w:ascii="Times New Roman" w:hAnsi="Times New Roman" w:cs="Times New Roman"/>
          <w:b/>
          <w:bCs/>
        </w:rPr>
        <w:t xml:space="preserve">16. </w:t>
      </w:r>
      <w:r w:rsidRPr="0067412C">
        <w:rPr>
          <w:rFonts w:ascii="Times New Roman" w:hAnsi="Times New Roman" w:cs="Times New Roman"/>
          <w:b/>
          <w:bCs/>
        </w:rPr>
        <w:t>Filho et al., 2017)</w:t>
      </w:r>
      <w:r w:rsidRPr="008F68DF">
        <w:rPr>
          <w:rFonts w:ascii="Times New Roman" w:hAnsi="Times New Roman" w:cs="Times New Roman"/>
        </w:rPr>
        <w:t xml:space="preserve">. Consequently, quinoa is often described as a functional food or “golden grain” </w:t>
      </w:r>
      <w:r w:rsidRPr="0067412C">
        <w:rPr>
          <w:rFonts w:ascii="Times New Roman" w:hAnsi="Times New Roman" w:cs="Times New Roman"/>
          <w:b/>
          <w:bCs/>
        </w:rPr>
        <w:t>(</w:t>
      </w:r>
      <w:r w:rsidR="0067412C" w:rsidRPr="0067412C">
        <w:rPr>
          <w:rFonts w:ascii="Times New Roman" w:hAnsi="Times New Roman" w:cs="Times New Roman"/>
          <w:b/>
          <w:bCs/>
        </w:rPr>
        <w:t xml:space="preserve">17. </w:t>
      </w:r>
      <w:r w:rsidRPr="0067412C">
        <w:rPr>
          <w:rFonts w:ascii="Times New Roman" w:hAnsi="Times New Roman" w:cs="Times New Roman"/>
          <w:b/>
          <w:bCs/>
        </w:rPr>
        <w:t>Carrasco and Soto, 2010;</w:t>
      </w:r>
      <w:r w:rsidR="0067412C" w:rsidRPr="0067412C">
        <w:rPr>
          <w:rFonts w:ascii="Times New Roman" w:hAnsi="Times New Roman" w:cs="Times New Roman"/>
          <w:b/>
          <w:bCs/>
        </w:rPr>
        <w:t xml:space="preserve"> 18. </w:t>
      </w:r>
      <w:r w:rsidRPr="0067412C">
        <w:rPr>
          <w:rFonts w:ascii="Times New Roman" w:hAnsi="Times New Roman" w:cs="Times New Roman"/>
          <w:b/>
          <w:bCs/>
        </w:rPr>
        <w:t xml:space="preserve"> El-Hazzam et al., 2020).</w:t>
      </w:r>
    </w:p>
    <w:p w14:paraId="7335BDAD" w14:textId="77777777" w:rsidR="008A17BF" w:rsidRPr="0067412C" w:rsidRDefault="008A17BF" w:rsidP="008A17BF">
      <w:pPr>
        <w:spacing w:line="360" w:lineRule="auto"/>
        <w:ind w:firstLine="720"/>
        <w:jc w:val="both"/>
        <w:rPr>
          <w:rFonts w:ascii="Times New Roman" w:hAnsi="Times New Roman" w:cs="Times New Roman"/>
          <w:b/>
          <w:bCs/>
          <w:lang w:val="en-US"/>
        </w:rPr>
      </w:pPr>
      <w:r w:rsidRPr="008F68DF">
        <w:rPr>
          <w:rFonts w:ascii="Times New Roman" w:hAnsi="Times New Roman" w:cs="Times New Roman"/>
        </w:rPr>
        <w:t xml:space="preserve">Despite its growing importance, systematic genetic improvement of quinoa remains limited, particularly in newly introduced regions. The crop exhibits wide variation for agronomic, yield, and quality traits, providing ample scope for selection-based improvement </w:t>
      </w:r>
      <w:r w:rsidRPr="0067412C">
        <w:rPr>
          <w:rFonts w:ascii="Times New Roman" w:hAnsi="Times New Roman" w:cs="Times New Roman"/>
          <w:b/>
          <w:bCs/>
        </w:rPr>
        <w:t>(</w:t>
      </w:r>
      <w:r w:rsidR="0067412C" w:rsidRPr="0067412C">
        <w:rPr>
          <w:rFonts w:ascii="Times New Roman" w:hAnsi="Times New Roman" w:cs="Times New Roman"/>
          <w:b/>
          <w:bCs/>
        </w:rPr>
        <w:t>19. Bhargava et al., 2007</w:t>
      </w:r>
      <w:r w:rsidRPr="0067412C">
        <w:rPr>
          <w:rFonts w:ascii="Times New Roman" w:hAnsi="Times New Roman" w:cs="Times New Roman"/>
          <w:b/>
          <w:bCs/>
        </w:rPr>
        <w:t xml:space="preserve">; </w:t>
      </w:r>
      <w:r w:rsidR="0067412C" w:rsidRPr="0067412C">
        <w:rPr>
          <w:rFonts w:ascii="Times New Roman" w:hAnsi="Times New Roman" w:cs="Times New Roman"/>
          <w:b/>
          <w:bCs/>
        </w:rPr>
        <w:t xml:space="preserve">20. </w:t>
      </w:r>
      <w:r w:rsidRPr="0067412C">
        <w:rPr>
          <w:rFonts w:ascii="Times New Roman" w:hAnsi="Times New Roman" w:cs="Times New Roman"/>
          <w:b/>
          <w:bCs/>
        </w:rPr>
        <w:t>Bhargava and Ohri, 2016).</w:t>
      </w:r>
      <w:r w:rsidRPr="008F68DF">
        <w:rPr>
          <w:rFonts w:ascii="Times New Roman" w:hAnsi="Times New Roman" w:cs="Times New Roman"/>
        </w:rPr>
        <w:t xml:space="preserve"> Estimation of genetic parameters such as variability, heritability, and genetic advance is therefore essential for understanding trait inheritance and identifying characters amenable to effective selection </w:t>
      </w:r>
      <w:r w:rsidRPr="0067412C">
        <w:rPr>
          <w:rFonts w:ascii="Times New Roman" w:hAnsi="Times New Roman" w:cs="Times New Roman"/>
          <w:b/>
          <w:bCs/>
        </w:rPr>
        <w:t>(</w:t>
      </w:r>
      <w:r w:rsidR="0067412C" w:rsidRPr="0067412C">
        <w:rPr>
          <w:rFonts w:ascii="Times New Roman" w:hAnsi="Times New Roman" w:cs="Times New Roman"/>
          <w:b/>
          <w:bCs/>
        </w:rPr>
        <w:t xml:space="preserve">21. </w:t>
      </w:r>
      <w:r w:rsidRPr="0067412C">
        <w:rPr>
          <w:rFonts w:ascii="Times New Roman" w:hAnsi="Times New Roman" w:cs="Times New Roman"/>
          <w:b/>
          <w:bCs/>
        </w:rPr>
        <w:t>Maughan et al., 2012).</w:t>
      </w:r>
      <w:r w:rsidRPr="0067412C">
        <w:rPr>
          <w:rFonts w:ascii="Times New Roman" w:hAnsi="Times New Roman" w:cs="Times New Roman"/>
          <w:b/>
          <w:bCs/>
          <w:lang w:val="en-US"/>
        </w:rPr>
        <w:t xml:space="preserve"> </w:t>
      </w:r>
    </w:p>
    <w:p w14:paraId="6FBA9C45" w14:textId="77777777" w:rsidR="008A17BF" w:rsidRPr="008F68DF" w:rsidRDefault="008A17BF" w:rsidP="008A17BF">
      <w:pPr>
        <w:spacing w:line="360" w:lineRule="auto"/>
        <w:ind w:firstLine="720"/>
        <w:jc w:val="both"/>
        <w:rPr>
          <w:rFonts w:ascii="Times New Roman" w:hAnsi="Times New Roman" w:cs="Times New Roman"/>
          <w:lang w:val="en-US"/>
        </w:rPr>
      </w:pPr>
      <w:r w:rsidRPr="008F68DF">
        <w:rPr>
          <w:rFonts w:ascii="Times New Roman" w:hAnsi="Times New Roman" w:cs="Times New Roman"/>
        </w:rPr>
        <w:t xml:space="preserve">Seed yield in quinoa is a complex quantitative trait influenced by several interrelated characters. Correlation analysis helps identify traits associated with yield, while path coefficient analysis further partitions these relationships into direct and indirect effects, thereby revealing the true contribution of individual traits and improving selection efficiency </w:t>
      </w:r>
      <w:r w:rsidRPr="0067412C">
        <w:rPr>
          <w:rFonts w:ascii="Times New Roman" w:hAnsi="Times New Roman" w:cs="Times New Roman"/>
          <w:b/>
          <w:bCs/>
        </w:rPr>
        <w:t>(</w:t>
      </w:r>
      <w:r w:rsidR="0067412C" w:rsidRPr="0067412C">
        <w:rPr>
          <w:rFonts w:ascii="Times New Roman" w:hAnsi="Times New Roman" w:cs="Times New Roman"/>
          <w:b/>
          <w:bCs/>
        </w:rPr>
        <w:t xml:space="preserve">22. </w:t>
      </w:r>
      <w:r w:rsidRPr="0067412C">
        <w:rPr>
          <w:rFonts w:ascii="Times New Roman" w:hAnsi="Times New Roman" w:cs="Times New Roman"/>
          <w:b/>
          <w:bCs/>
        </w:rPr>
        <w:t>Wright, 1921)</w:t>
      </w:r>
      <w:r w:rsidRPr="008F68DF">
        <w:rPr>
          <w:rFonts w:ascii="Times New Roman" w:hAnsi="Times New Roman" w:cs="Times New Roman"/>
        </w:rPr>
        <w:t>. In this context, the present study was undertaken to evaluate genetic variability, heritability, genetic advance, and the nature of associations among yield and nutritional traits in quinoa, with the objective of identifying key selection criteria for yield and quality improvement.</w:t>
      </w:r>
    </w:p>
    <w:p w14:paraId="6509E60B" w14:textId="77777777" w:rsidR="00425F5C" w:rsidRPr="008F68DF" w:rsidRDefault="00425F5C" w:rsidP="00425F5C">
      <w:pPr>
        <w:spacing w:line="360" w:lineRule="auto"/>
        <w:jc w:val="both"/>
        <w:rPr>
          <w:rFonts w:ascii="Times New Roman" w:hAnsi="Times New Roman" w:cs="Times New Roman"/>
          <w:b/>
          <w:bCs/>
        </w:rPr>
      </w:pPr>
      <w:r w:rsidRPr="008F68DF">
        <w:rPr>
          <w:rFonts w:ascii="Times New Roman" w:hAnsi="Times New Roman" w:cs="Times New Roman"/>
          <w:b/>
          <w:bCs/>
        </w:rPr>
        <w:t xml:space="preserve">2. </w:t>
      </w:r>
      <w:r w:rsidR="006F7184" w:rsidRPr="008F68DF">
        <w:rPr>
          <w:rFonts w:ascii="Times New Roman" w:hAnsi="Times New Roman" w:cs="Times New Roman"/>
          <w:b/>
          <w:bCs/>
        </w:rPr>
        <w:t xml:space="preserve">Material </w:t>
      </w:r>
      <w:r w:rsidRPr="008F68DF">
        <w:rPr>
          <w:rFonts w:ascii="Times New Roman" w:hAnsi="Times New Roman" w:cs="Times New Roman"/>
          <w:b/>
          <w:bCs/>
        </w:rPr>
        <w:t>and Methods</w:t>
      </w:r>
    </w:p>
    <w:p w14:paraId="47CB3240" w14:textId="77777777" w:rsidR="00425F5C" w:rsidRPr="008F68DF" w:rsidRDefault="00425F5C" w:rsidP="00425F5C">
      <w:pPr>
        <w:spacing w:line="360" w:lineRule="auto"/>
        <w:jc w:val="both"/>
        <w:rPr>
          <w:rFonts w:ascii="Times New Roman" w:hAnsi="Times New Roman" w:cs="Times New Roman"/>
          <w:i/>
          <w:iCs/>
        </w:rPr>
      </w:pPr>
      <w:r w:rsidRPr="008F68DF">
        <w:rPr>
          <w:rFonts w:ascii="Times New Roman" w:hAnsi="Times New Roman" w:cs="Times New Roman"/>
          <w:i/>
          <w:iCs/>
        </w:rPr>
        <w:lastRenderedPageBreak/>
        <w:t>2.1 Experimental material and design</w:t>
      </w:r>
    </w:p>
    <w:p w14:paraId="59539D8F" w14:textId="1904CC54" w:rsidR="005E7B52" w:rsidRPr="008F68DF" w:rsidRDefault="005E7B52" w:rsidP="005E7B52">
      <w:pPr>
        <w:spacing w:line="360" w:lineRule="auto"/>
        <w:ind w:firstLine="720"/>
        <w:jc w:val="both"/>
        <w:rPr>
          <w:rFonts w:ascii="Times New Roman" w:hAnsi="Times New Roman" w:cs="Times New Roman"/>
        </w:rPr>
      </w:pPr>
      <w:r w:rsidRPr="008F68DF">
        <w:rPr>
          <w:rFonts w:ascii="Times New Roman" w:hAnsi="Times New Roman" w:cs="Times New Roman"/>
        </w:rPr>
        <w:t>Thirty-six diverse quinoa genotypes (</w:t>
      </w:r>
      <w:r w:rsidR="00F12985">
        <w:rPr>
          <w:rFonts w:ascii="Times New Roman" w:hAnsi="Times New Roman" w:cs="Times New Roman"/>
        </w:rPr>
        <w:t>list</w:t>
      </w:r>
      <w:r w:rsidRPr="008F68DF">
        <w:rPr>
          <w:rFonts w:ascii="Times New Roman" w:hAnsi="Times New Roman" w:cs="Times New Roman"/>
        </w:rPr>
        <w:t>. 1) were evaluated during the Rabi season of 2022–23 at the Centre for Crop Improvement, Sardarkrushinagar Dantiwada Agricultural University, Gujarat, India. The experiment was laid out in a Randomized Block Design with three replications. Each genotype was sown at a spacing of 30 cm × 10 cm following recommended agronomic and plant protection practices.</w:t>
      </w:r>
    </w:p>
    <w:p w14:paraId="77D06EC2" w14:textId="32DB0FCA" w:rsidR="00F4319E" w:rsidRPr="008F68DF" w:rsidRDefault="00F12985" w:rsidP="00F4319E">
      <w:pPr>
        <w:tabs>
          <w:tab w:val="left" w:pos="357"/>
        </w:tabs>
        <w:spacing w:after="0" w:line="276" w:lineRule="auto"/>
        <w:jc w:val="both"/>
        <w:rPr>
          <w:rFonts w:ascii="Times New Roman" w:hAnsi="Times New Roman" w:cs="Times New Roman"/>
          <w:color w:val="000000" w:themeColor="text1"/>
          <w:sz w:val="18"/>
          <w:szCs w:val="18"/>
        </w:rPr>
      </w:pPr>
      <w:commentRangeStart w:id="1"/>
      <w:r>
        <w:rPr>
          <w:rFonts w:ascii="Times New Roman" w:hAnsi="Times New Roman" w:cs="Times New Roman"/>
          <w:color w:val="000000" w:themeColor="text1"/>
          <w:sz w:val="18"/>
          <w:szCs w:val="18"/>
        </w:rPr>
        <w:t>list</w:t>
      </w:r>
      <w:r w:rsidR="00F4319E" w:rsidRPr="008F68DF">
        <w:rPr>
          <w:rFonts w:ascii="Times New Roman" w:hAnsi="Times New Roman" w:cs="Times New Roman"/>
          <w:color w:val="000000" w:themeColor="text1"/>
          <w:sz w:val="18"/>
          <w:szCs w:val="18"/>
        </w:rPr>
        <w:t xml:space="preserve"> 1. List of quinoa genotypes used for present investigation</w:t>
      </w:r>
      <w:commentRangeEnd w:id="1"/>
      <w:r w:rsidR="00D70BB5" w:rsidRPr="008F68DF">
        <w:rPr>
          <w:rStyle w:val="CommentReference"/>
          <w:rFonts w:ascii="Times New Roman" w:hAnsi="Times New Roman" w:cs="Times New Roman"/>
          <w:color w:val="000000" w:themeColor="text1"/>
          <w:sz w:val="18"/>
          <w:szCs w:val="18"/>
        </w:rPr>
        <w:commentReference w:id="1"/>
      </w:r>
    </w:p>
    <w:tbl>
      <w:tblPr>
        <w:tblStyle w:val="TableGrid"/>
        <w:tblpPr w:leftFromText="180" w:rightFromText="180" w:vertAnchor="text" w:tblpY="1"/>
        <w:tblOverlap w:val="never"/>
        <w:tblW w:w="5000" w:type="pct"/>
        <w:tblLook w:val="04A0" w:firstRow="1" w:lastRow="0" w:firstColumn="1" w:lastColumn="0" w:noHBand="0" w:noVBand="1"/>
      </w:tblPr>
      <w:tblGrid>
        <w:gridCol w:w="1499"/>
        <w:gridCol w:w="3032"/>
        <w:gridCol w:w="1680"/>
        <w:gridCol w:w="3365"/>
      </w:tblGrid>
      <w:tr w:rsidR="00F4319E" w:rsidRPr="008F68DF" w14:paraId="1E3842FF" w14:textId="77777777" w:rsidTr="00477DCE">
        <w:trPr>
          <w:trHeight w:val="323"/>
        </w:trPr>
        <w:tc>
          <w:tcPr>
            <w:tcW w:w="783" w:type="pct"/>
            <w:vAlign w:val="center"/>
          </w:tcPr>
          <w:p w14:paraId="1235F354" w14:textId="77777777" w:rsidR="00F4319E" w:rsidRPr="008F68DF" w:rsidRDefault="00F4319E" w:rsidP="00477DCE">
            <w:pPr>
              <w:pStyle w:val="NoSpacing"/>
              <w:jc w:val="center"/>
              <w:rPr>
                <w:rFonts w:ascii="Times New Roman" w:hAnsi="Times New Roman" w:cs="Times New Roman"/>
                <w:b/>
                <w:bCs/>
                <w:color w:val="000000" w:themeColor="text1"/>
              </w:rPr>
            </w:pPr>
            <w:r w:rsidRPr="008F68DF">
              <w:rPr>
                <w:rFonts w:ascii="Times New Roman" w:hAnsi="Times New Roman" w:cs="Times New Roman"/>
                <w:b/>
                <w:bCs/>
                <w:color w:val="000000" w:themeColor="text1"/>
              </w:rPr>
              <w:t>Sr. no.</w:t>
            </w:r>
          </w:p>
        </w:tc>
        <w:tc>
          <w:tcPr>
            <w:tcW w:w="1583" w:type="pct"/>
            <w:vAlign w:val="center"/>
          </w:tcPr>
          <w:p w14:paraId="3AC491E4" w14:textId="77777777" w:rsidR="00F4319E" w:rsidRPr="008F68DF" w:rsidRDefault="00F4319E" w:rsidP="00477DCE">
            <w:pPr>
              <w:pStyle w:val="NoSpacing"/>
              <w:rPr>
                <w:rFonts w:ascii="Times New Roman" w:hAnsi="Times New Roman" w:cs="Times New Roman"/>
                <w:b/>
                <w:bCs/>
                <w:color w:val="000000" w:themeColor="text1"/>
              </w:rPr>
            </w:pPr>
            <w:r w:rsidRPr="008F68DF">
              <w:rPr>
                <w:rFonts w:ascii="Times New Roman" w:hAnsi="Times New Roman" w:cs="Times New Roman"/>
                <w:b/>
                <w:bCs/>
                <w:color w:val="000000" w:themeColor="text1"/>
              </w:rPr>
              <w:t>Genotypes</w:t>
            </w:r>
          </w:p>
        </w:tc>
        <w:tc>
          <w:tcPr>
            <w:tcW w:w="877" w:type="pct"/>
            <w:vAlign w:val="center"/>
          </w:tcPr>
          <w:p w14:paraId="221DB065" w14:textId="77777777" w:rsidR="00F4319E" w:rsidRPr="008F68DF" w:rsidRDefault="00F4319E" w:rsidP="00477DCE">
            <w:pPr>
              <w:pStyle w:val="NoSpacing"/>
              <w:jc w:val="center"/>
              <w:rPr>
                <w:rFonts w:ascii="Times New Roman" w:hAnsi="Times New Roman" w:cs="Times New Roman"/>
                <w:b/>
                <w:bCs/>
                <w:color w:val="000000" w:themeColor="text1"/>
              </w:rPr>
            </w:pPr>
            <w:r w:rsidRPr="008F68DF">
              <w:rPr>
                <w:rFonts w:ascii="Times New Roman" w:hAnsi="Times New Roman" w:cs="Times New Roman"/>
                <w:b/>
                <w:bCs/>
                <w:color w:val="000000" w:themeColor="text1"/>
              </w:rPr>
              <w:t>Sr. no.</w:t>
            </w:r>
          </w:p>
        </w:tc>
        <w:tc>
          <w:tcPr>
            <w:tcW w:w="1757" w:type="pct"/>
            <w:vAlign w:val="center"/>
          </w:tcPr>
          <w:p w14:paraId="6804E0FD" w14:textId="77777777" w:rsidR="00F4319E" w:rsidRPr="008F68DF" w:rsidRDefault="00F4319E" w:rsidP="00477DCE">
            <w:pPr>
              <w:pStyle w:val="NoSpacing"/>
              <w:rPr>
                <w:rFonts w:ascii="Times New Roman" w:hAnsi="Times New Roman" w:cs="Times New Roman"/>
                <w:b/>
                <w:bCs/>
                <w:color w:val="000000" w:themeColor="text1"/>
              </w:rPr>
            </w:pPr>
            <w:r w:rsidRPr="008F68DF">
              <w:rPr>
                <w:rFonts w:ascii="Times New Roman" w:hAnsi="Times New Roman" w:cs="Times New Roman"/>
                <w:b/>
                <w:bCs/>
                <w:color w:val="000000" w:themeColor="text1"/>
              </w:rPr>
              <w:t>Genotypes</w:t>
            </w:r>
          </w:p>
        </w:tc>
      </w:tr>
      <w:tr w:rsidR="00F4319E" w:rsidRPr="008F68DF" w14:paraId="6935DD85" w14:textId="77777777" w:rsidTr="00477DCE">
        <w:trPr>
          <w:trHeight w:val="260"/>
        </w:trPr>
        <w:tc>
          <w:tcPr>
            <w:tcW w:w="783" w:type="pct"/>
            <w:vAlign w:val="center"/>
          </w:tcPr>
          <w:p w14:paraId="6F6EF87E"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w:t>
            </w:r>
          </w:p>
        </w:tc>
        <w:tc>
          <w:tcPr>
            <w:tcW w:w="1583" w:type="pct"/>
            <w:vAlign w:val="center"/>
          </w:tcPr>
          <w:p w14:paraId="0F3FDB09"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hAnsi="Times New Roman" w:cs="Times New Roman"/>
                <w:color w:val="000000" w:themeColor="text1"/>
                <w:kern w:val="24"/>
              </w:rPr>
              <w:t>EC 896060</w:t>
            </w:r>
          </w:p>
        </w:tc>
        <w:tc>
          <w:tcPr>
            <w:tcW w:w="877" w:type="pct"/>
            <w:vAlign w:val="center"/>
          </w:tcPr>
          <w:p w14:paraId="1FC2930E"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19.</w:t>
            </w:r>
          </w:p>
        </w:tc>
        <w:tc>
          <w:tcPr>
            <w:tcW w:w="1757" w:type="pct"/>
            <w:vAlign w:val="center"/>
          </w:tcPr>
          <w:p w14:paraId="06904F10"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896093</w:t>
            </w:r>
          </w:p>
        </w:tc>
      </w:tr>
      <w:tr w:rsidR="00F4319E" w:rsidRPr="008F68DF" w14:paraId="765C89FE" w14:textId="77777777" w:rsidTr="00477DCE">
        <w:trPr>
          <w:trHeight w:val="242"/>
        </w:trPr>
        <w:tc>
          <w:tcPr>
            <w:tcW w:w="783" w:type="pct"/>
            <w:vAlign w:val="center"/>
          </w:tcPr>
          <w:p w14:paraId="528026CF"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w:t>
            </w:r>
          </w:p>
        </w:tc>
        <w:tc>
          <w:tcPr>
            <w:tcW w:w="1583" w:type="pct"/>
            <w:vAlign w:val="center"/>
          </w:tcPr>
          <w:p w14:paraId="195DB7D5"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896061</w:t>
            </w:r>
          </w:p>
        </w:tc>
        <w:tc>
          <w:tcPr>
            <w:tcW w:w="877" w:type="pct"/>
            <w:vAlign w:val="center"/>
          </w:tcPr>
          <w:p w14:paraId="3B6217AF"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20.</w:t>
            </w:r>
          </w:p>
        </w:tc>
        <w:tc>
          <w:tcPr>
            <w:tcW w:w="1757" w:type="pct"/>
            <w:vAlign w:val="center"/>
          </w:tcPr>
          <w:p w14:paraId="3D335BFB"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896209</w:t>
            </w:r>
          </w:p>
        </w:tc>
      </w:tr>
      <w:tr w:rsidR="00F4319E" w:rsidRPr="008F68DF" w14:paraId="01FC9ACF" w14:textId="77777777" w:rsidTr="00477DCE">
        <w:trPr>
          <w:trHeight w:val="233"/>
        </w:trPr>
        <w:tc>
          <w:tcPr>
            <w:tcW w:w="783" w:type="pct"/>
            <w:vAlign w:val="center"/>
          </w:tcPr>
          <w:p w14:paraId="5726BEFF"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w:t>
            </w:r>
          </w:p>
        </w:tc>
        <w:tc>
          <w:tcPr>
            <w:tcW w:w="1583" w:type="pct"/>
            <w:vAlign w:val="center"/>
          </w:tcPr>
          <w:p w14:paraId="047A21DE"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896063</w:t>
            </w:r>
          </w:p>
        </w:tc>
        <w:tc>
          <w:tcPr>
            <w:tcW w:w="877" w:type="pct"/>
            <w:vAlign w:val="center"/>
          </w:tcPr>
          <w:p w14:paraId="5C720455"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21.</w:t>
            </w:r>
          </w:p>
        </w:tc>
        <w:tc>
          <w:tcPr>
            <w:tcW w:w="1757" w:type="pct"/>
            <w:vAlign w:val="center"/>
          </w:tcPr>
          <w:p w14:paraId="1D1D240C"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896211</w:t>
            </w:r>
          </w:p>
        </w:tc>
      </w:tr>
      <w:tr w:rsidR="00F4319E" w:rsidRPr="008F68DF" w14:paraId="0DCD44DC" w14:textId="77777777" w:rsidTr="00477DCE">
        <w:trPr>
          <w:trHeight w:val="206"/>
        </w:trPr>
        <w:tc>
          <w:tcPr>
            <w:tcW w:w="783" w:type="pct"/>
            <w:vAlign w:val="center"/>
          </w:tcPr>
          <w:p w14:paraId="52CB9E63"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4.</w:t>
            </w:r>
          </w:p>
        </w:tc>
        <w:tc>
          <w:tcPr>
            <w:tcW w:w="1583" w:type="pct"/>
            <w:vAlign w:val="center"/>
          </w:tcPr>
          <w:p w14:paraId="688815BB"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896066</w:t>
            </w:r>
          </w:p>
        </w:tc>
        <w:tc>
          <w:tcPr>
            <w:tcW w:w="877" w:type="pct"/>
            <w:vAlign w:val="center"/>
          </w:tcPr>
          <w:p w14:paraId="47B688A4"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22.</w:t>
            </w:r>
          </w:p>
        </w:tc>
        <w:tc>
          <w:tcPr>
            <w:tcW w:w="1757" w:type="pct"/>
            <w:vAlign w:val="center"/>
          </w:tcPr>
          <w:p w14:paraId="40A4D006"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896239</w:t>
            </w:r>
          </w:p>
        </w:tc>
      </w:tr>
      <w:tr w:rsidR="00F4319E" w:rsidRPr="008F68DF" w14:paraId="7013C492" w14:textId="77777777" w:rsidTr="00477DCE">
        <w:trPr>
          <w:trHeight w:val="188"/>
        </w:trPr>
        <w:tc>
          <w:tcPr>
            <w:tcW w:w="783" w:type="pct"/>
            <w:vAlign w:val="center"/>
          </w:tcPr>
          <w:p w14:paraId="16D754C3"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5.</w:t>
            </w:r>
          </w:p>
        </w:tc>
        <w:tc>
          <w:tcPr>
            <w:tcW w:w="1583" w:type="pct"/>
            <w:vAlign w:val="center"/>
          </w:tcPr>
          <w:p w14:paraId="5DDB7017"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896067</w:t>
            </w:r>
          </w:p>
        </w:tc>
        <w:tc>
          <w:tcPr>
            <w:tcW w:w="877" w:type="pct"/>
            <w:vAlign w:val="center"/>
          </w:tcPr>
          <w:p w14:paraId="4668057C"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23.</w:t>
            </w:r>
          </w:p>
        </w:tc>
        <w:tc>
          <w:tcPr>
            <w:tcW w:w="1757" w:type="pct"/>
            <w:vAlign w:val="center"/>
          </w:tcPr>
          <w:p w14:paraId="1FA74BCD"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896275</w:t>
            </w:r>
          </w:p>
        </w:tc>
      </w:tr>
      <w:tr w:rsidR="00F4319E" w:rsidRPr="008F68DF" w14:paraId="2DE8CDB7" w14:textId="77777777" w:rsidTr="00477DCE">
        <w:trPr>
          <w:trHeight w:val="179"/>
        </w:trPr>
        <w:tc>
          <w:tcPr>
            <w:tcW w:w="783" w:type="pct"/>
            <w:vAlign w:val="center"/>
          </w:tcPr>
          <w:p w14:paraId="416911B8"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6.</w:t>
            </w:r>
          </w:p>
        </w:tc>
        <w:tc>
          <w:tcPr>
            <w:tcW w:w="1583" w:type="pct"/>
            <w:vAlign w:val="center"/>
          </w:tcPr>
          <w:p w14:paraId="76D9A345"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896068</w:t>
            </w:r>
          </w:p>
        </w:tc>
        <w:tc>
          <w:tcPr>
            <w:tcW w:w="877" w:type="pct"/>
            <w:vAlign w:val="center"/>
          </w:tcPr>
          <w:p w14:paraId="16598FB2"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24.</w:t>
            </w:r>
          </w:p>
        </w:tc>
        <w:tc>
          <w:tcPr>
            <w:tcW w:w="1757" w:type="pct"/>
            <w:vAlign w:val="center"/>
          </w:tcPr>
          <w:p w14:paraId="04EA5C6F"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hAnsi="Times New Roman" w:cs="Times New Roman"/>
                <w:color w:val="000000" w:themeColor="text1"/>
              </w:rPr>
              <w:t>IGKVC</w:t>
            </w:r>
          </w:p>
        </w:tc>
      </w:tr>
      <w:tr w:rsidR="00F4319E" w:rsidRPr="008F68DF" w14:paraId="0A037A11" w14:textId="77777777" w:rsidTr="00477DCE">
        <w:trPr>
          <w:trHeight w:val="71"/>
        </w:trPr>
        <w:tc>
          <w:tcPr>
            <w:tcW w:w="783" w:type="pct"/>
            <w:vAlign w:val="center"/>
          </w:tcPr>
          <w:p w14:paraId="5728B295"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7.</w:t>
            </w:r>
          </w:p>
        </w:tc>
        <w:tc>
          <w:tcPr>
            <w:tcW w:w="1583" w:type="pct"/>
            <w:vAlign w:val="center"/>
          </w:tcPr>
          <w:p w14:paraId="4F57D472"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896070</w:t>
            </w:r>
          </w:p>
        </w:tc>
        <w:tc>
          <w:tcPr>
            <w:tcW w:w="877" w:type="pct"/>
            <w:vAlign w:val="center"/>
          </w:tcPr>
          <w:p w14:paraId="777DFCD7"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25.</w:t>
            </w:r>
          </w:p>
        </w:tc>
        <w:tc>
          <w:tcPr>
            <w:tcW w:w="1757" w:type="pct"/>
            <w:vAlign w:val="center"/>
          </w:tcPr>
          <w:p w14:paraId="3759C5BB"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 xml:space="preserve">ACQS 21 </w:t>
            </w:r>
            <w:r w:rsidR="000F26AA">
              <w:rPr>
                <w:rFonts w:ascii="Times New Roman" w:eastAsia="Calibri" w:hAnsi="Times New Roman" w:cs="Times New Roman"/>
                <w:color w:val="000000" w:themeColor="text1"/>
                <w:kern w:val="24"/>
              </w:rPr>
              <w:t>–</w:t>
            </w:r>
            <w:r w:rsidRPr="008F68DF">
              <w:rPr>
                <w:rFonts w:ascii="Times New Roman" w:eastAsia="Calibri" w:hAnsi="Times New Roman" w:cs="Times New Roman"/>
                <w:color w:val="000000" w:themeColor="text1"/>
                <w:kern w:val="24"/>
              </w:rPr>
              <w:t xml:space="preserve"> 1</w:t>
            </w:r>
          </w:p>
        </w:tc>
      </w:tr>
      <w:tr w:rsidR="00F4319E" w:rsidRPr="008F68DF" w14:paraId="27792CB6" w14:textId="77777777" w:rsidTr="00477DCE">
        <w:trPr>
          <w:trHeight w:val="62"/>
        </w:trPr>
        <w:tc>
          <w:tcPr>
            <w:tcW w:w="783" w:type="pct"/>
            <w:vAlign w:val="center"/>
          </w:tcPr>
          <w:p w14:paraId="426E9D91"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8.</w:t>
            </w:r>
          </w:p>
        </w:tc>
        <w:tc>
          <w:tcPr>
            <w:tcW w:w="1583" w:type="pct"/>
            <w:vAlign w:val="center"/>
          </w:tcPr>
          <w:p w14:paraId="289F90C7"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896071</w:t>
            </w:r>
          </w:p>
        </w:tc>
        <w:tc>
          <w:tcPr>
            <w:tcW w:w="877" w:type="pct"/>
            <w:vAlign w:val="center"/>
          </w:tcPr>
          <w:p w14:paraId="0C81F89D"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26.</w:t>
            </w:r>
          </w:p>
        </w:tc>
        <w:tc>
          <w:tcPr>
            <w:tcW w:w="1757" w:type="pct"/>
            <w:vAlign w:val="center"/>
          </w:tcPr>
          <w:p w14:paraId="712B5C19"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 xml:space="preserve">ACQS 21 </w:t>
            </w:r>
            <w:r w:rsidR="000F26AA">
              <w:rPr>
                <w:rFonts w:ascii="Times New Roman" w:eastAsia="Calibri" w:hAnsi="Times New Roman" w:cs="Times New Roman"/>
                <w:color w:val="000000" w:themeColor="text1"/>
                <w:kern w:val="24"/>
              </w:rPr>
              <w:t>–</w:t>
            </w:r>
            <w:r w:rsidRPr="008F68DF">
              <w:rPr>
                <w:rFonts w:ascii="Times New Roman" w:eastAsia="Calibri" w:hAnsi="Times New Roman" w:cs="Times New Roman"/>
                <w:color w:val="000000" w:themeColor="text1"/>
                <w:kern w:val="24"/>
              </w:rPr>
              <w:t xml:space="preserve"> 2</w:t>
            </w:r>
          </w:p>
        </w:tc>
      </w:tr>
      <w:tr w:rsidR="00F4319E" w:rsidRPr="008F68DF" w14:paraId="22561D7B" w14:textId="77777777" w:rsidTr="00477DCE">
        <w:trPr>
          <w:trHeight w:val="134"/>
        </w:trPr>
        <w:tc>
          <w:tcPr>
            <w:tcW w:w="783" w:type="pct"/>
            <w:vAlign w:val="center"/>
          </w:tcPr>
          <w:p w14:paraId="6EB4FEE2"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9.</w:t>
            </w:r>
          </w:p>
        </w:tc>
        <w:tc>
          <w:tcPr>
            <w:tcW w:w="1583" w:type="pct"/>
            <w:vAlign w:val="center"/>
          </w:tcPr>
          <w:p w14:paraId="30A309DB"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896072</w:t>
            </w:r>
          </w:p>
        </w:tc>
        <w:tc>
          <w:tcPr>
            <w:tcW w:w="877" w:type="pct"/>
            <w:vAlign w:val="center"/>
          </w:tcPr>
          <w:p w14:paraId="79BDE3CE"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27.</w:t>
            </w:r>
          </w:p>
        </w:tc>
        <w:tc>
          <w:tcPr>
            <w:tcW w:w="1757" w:type="pct"/>
            <w:vAlign w:val="center"/>
          </w:tcPr>
          <w:p w14:paraId="04D96075"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 xml:space="preserve">ACQS 21 </w:t>
            </w:r>
            <w:r w:rsidR="000F26AA">
              <w:rPr>
                <w:rFonts w:ascii="Times New Roman" w:eastAsia="Calibri" w:hAnsi="Times New Roman" w:cs="Times New Roman"/>
                <w:color w:val="000000" w:themeColor="text1"/>
                <w:kern w:val="24"/>
              </w:rPr>
              <w:t>–</w:t>
            </w:r>
            <w:r w:rsidRPr="008F68DF">
              <w:rPr>
                <w:rFonts w:ascii="Times New Roman" w:eastAsia="Calibri" w:hAnsi="Times New Roman" w:cs="Times New Roman"/>
                <w:color w:val="000000" w:themeColor="text1"/>
                <w:kern w:val="24"/>
              </w:rPr>
              <w:t xml:space="preserve"> 3</w:t>
            </w:r>
          </w:p>
        </w:tc>
      </w:tr>
      <w:tr w:rsidR="00F4319E" w:rsidRPr="008F68DF" w14:paraId="4B376A81" w14:textId="77777777" w:rsidTr="00477DCE">
        <w:trPr>
          <w:trHeight w:val="107"/>
        </w:trPr>
        <w:tc>
          <w:tcPr>
            <w:tcW w:w="783" w:type="pct"/>
            <w:vAlign w:val="center"/>
          </w:tcPr>
          <w:p w14:paraId="5CB5BB44"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10.</w:t>
            </w:r>
          </w:p>
        </w:tc>
        <w:tc>
          <w:tcPr>
            <w:tcW w:w="1583" w:type="pct"/>
            <w:vAlign w:val="center"/>
          </w:tcPr>
          <w:p w14:paraId="42DE19C3"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896076</w:t>
            </w:r>
          </w:p>
        </w:tc>
        <w:tc>
          <w:tcPr>
            <w:tcW w:w="877" w:type="pct"/>
            <w:vAlign w:val="center"/>
          </w:tcPr>
          <w:p w14:paraId="5D8F238E"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28.</w:t>
            </w:r>
          </w:p>
        </w:tc>
        <w:tc>
          <w:tcPr>
            <w:tcW w:w="1757" w:type="pct"/>
            <w:vAlign w:val="center"/>
          </w:tcPr>
          <w:p w14:paraId="5753F6FF"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 xml:space="preserve">ACQS 21 </w:t>
            </w:r>
            <w:r w:rsidR="000F26AA">
              <w:rPr>
                <w:rFonts w:ascii="Times New Roman" w:eastAsia="Calibri" w:hAnsi="Times New Roman" w:cs="Times New Roman"/>
                <w:color w:val="000000" w:themeColor="text1"/>
                <w:kern w:val="24"/>
              </w:rPr>
              <w:t>–</w:t>
            </w:r>
            <w:r w:rsidRPr="008F68DF">
              <w:rPr>
                <w:rFonts w:ascii="Times New Roman" w:eastAsia="Calibri" w:hAnsi="Times New Roman" w:cs="Times New Roman"/>
                <w:color w:val="000000" w:themeColor="text1"/>
                <w:kern w:val="24"/>
              </w:rPr>
              <w:t xml:space="preserve"> 4</w:t>
            </w:r>
          </w:p>
        </w:tc>
      </w:tr>
      <w:tr w:rsidR="00F4319E" w:rsidRPr="008F68DF" w14:paraId="488EF9E9" w14:textId="77777777" w:rsidTr="00477DCE">
        <w:trPr>
          <w:trHeight w:val="50"/>
        </w:trPr>
        <w:tc>
          <w:tcPr>
            <w:tcW w:w="783" w:type="pct"/>
            <w:vAlign w:val="center"/>
          </w:tcPr>
          <w:p w14:paraId="27FDB6D9"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11.</w:t>
            </w:r>
          </w:p>
        </w:tc>
        <w:tc>
          <w:tcPr>
            <w:tcW w:w="1583" w:type="pct"/>
            <w:vAlign w:val="center"/>
          </w:tcPr>
          <w:p w14:paraId="4B5C7075"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896077</w:t>
            </w:r>
          </w:p>
        </w:tc>
        <w:tc>
          <w:tcPr>
            <w:tcW w:w="877" w:type="pct"/>
            <w:vAlign w:val="center"/>
          </w:tcPr>
          <w:p w14:paraId="3453193D"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29.</w:t>
            </w:r>
          </w:p>
        </w:tc>
        <w:tc>
          <w:tcPr>
            <w:tcW w:w="1757" w:type="pct"/>
            <w:vAlign w:val="center"/>
          </w:tcPr>
          <w:p w14:paraId="72FBFFBD"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 xml:space="preserve">ACQS 21 </w:t>
            </w:r>
            <w:r w:rsidR="000F26AA">
              <w:rPr>
                <w:rFonts w:ascii="Times New Roman" w:eastAsia="Calibri" w:hAnsi="Times New Roman" w:cs="Times New Roman"/>
                <w:color w:val="000000" w:themeColor="text1"/>
                <w:kern w:val="24"/>
              </w:rPr>
              <w:t>–</w:t>
            </w:r>
            <w:r w:rsidRPr="008F68DF">
              <w:rPr>
                <w:rFonts w:ascii="Times New Roman" w:eastAsia="Calibri" w:hAnsi="Times New Roman" w:cs="Times New Roman"/>
                <w:color w:val="000000" w:themeColor="text1"/>
                <w:kern w:val="24"/>
              </w:rPr>
              <w:t xml:space="preserve"> 5</w:t>
            </w:r>
          </w:p>
        </w:tc>
      </w:tr>
      <w:tr w:rsidR="00F4319E" w:rsidRPr="008F68DF" w14:paraId="0BACD2EC" w14:textId="77777777" w:rsidTr="00477DCE">
        <w:trPr>
          <w:trHeight w:val="170"/>
        </w:trPr>
        <w:tc>
          <w:tcPr>
            <w:tcW w:w="783" w:type="pct"/>
            <w:vAlign w:val="center"/>
          </w:tcPr>
          <w:p w14:paraId="30162A0D"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12.</w:t>
            </w:r>
          </w:p>
        </w:tc>
        <w:tc>
          <w:tcPr>
            <w:tcW w:w="1583" w:type="pct"/>
            <w:vAlign w:val="center"/>
          </w:tcPr>
          <w:p w14:paraId="5D57F65C"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896078</w:t>
            </w:r>
          </w:p>
        </w:tc>
        <w:tc>
          <w:tcPr>
            <w:tcW w:w="877" w:type="pct"/>
            <w:vAlign w:val="center"/>
          </w:tcPr>
          <w:p w14:paraId="129305C2"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30.</w:t>
            </w:r>
          </w:p>
        </w:tc>
        <w:tc>
          <w:tcPr>
            <w:tcW w:w="1757" w:type="pct"/>
            <w:vAlign w:val="center"/>
          </w:tcPr>
          <w:p w14:paraId="2D50B141"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CGQ 21-1</w:t>
            </w:r>
          </w:p>
        </w:tc>
      </w:tr>
      <w:tr w:rsidR="00F4319E" w:rsidRPr="008F68DF" w14:paraId="33B6AB82" w14:textId="77777777" w:rsidTr="00477DCE">
        <w:trPr>
          <w:trHeight w:val="170"/>
        </w:trPr>
        <w:tc>
          <w:tcPr>
            <w:tcW w:w="783" w:type="pct"/>
            <w:vAlign w:val="center"/>
          </w:tcPr>
          <w:p w14:paraId="00246614"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13.</w:t>
            </w:r>
          </w:p>
        </w:tc>
        <w:tc>
          <w:tcPr>
            <w:tcW w:w="1583" w:type="pct"/>
            <w:vAlign w:val="center"/>
          </w:tcPr>
          <w:p w14:paraId="0F6CC58A"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896081</w:t>
            </w:r>
          </w:p>
        </w:tc>
        <w:tc>
          <w:tcPr>
            <w:tcW w:w="877" w:type="pct"/>
            <w:vAlign w:val="center"/>
          </w:tcPr>
          <w:p w14:paraId="5AE3026B"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31.</w:t>
            </w:r>
          </w:p>
        </w:tc>
        <w:tc>
          <w:tcPr>
            <w:tcW w:w="1757" w:type="pct"/>
            <w:vAlign w:val="center"/>
          </w:tcPr>
          <w:p w14:paraId="51E0AF6C"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LQ 1</w:t>
            </w:r>
          </w:p>
        </w:tc>
      </w:tr>
      <w:tr w:rsidR="00F4319E" w:rsidRPr="008F68DF" w14:paraId="05AEB59F" w14:textId="77777777" w:rsidTr="00477DCE">
        <w:trPr>
          <w:trHeight w:val="170"/>
        </w:trPr>
        <w:tc>
          <w:tcPr>
            <w:tcW w:w="783" w:type="pct"/>
            <w:vAlign w:val="center"/>
          </w:tcPr>
          <w:p w14:paraId="01DE7BF0"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14.</w:t>
            </w:r>
          </w:p>
        </w:tc>
        <w:tc>
          <w:tcPr>
            <w:tcW w:w="1583" w:type="pct"/>
          </w:tcPr>
          <w:p w14:paraId="4F455445"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896083</w:t>
            </w:r>
          </w:p>
        </w:tc>
        <w:tc>
          <w:tcPr>
            <w:tcW w:w="877" w:type="pct"/>
            <w:vAlign w:val="center"/>
          </w:tcPr>
          <w:p w14:paraId="31BEA9BF"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32.</w:t>
            </w:r>
          </w:p>
        </w:tc>
        <w:tc>
          <w:tcPr>
            <w:tcW w:w="1757" w:type="pct"/>
            <w:vAlign w:val="center"/>
          </w:tcPr>
          <w:p w14:paraId="7A82C439"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LQ 2</w:t>
            </w:r>
          </w:p>
        </w:tc>
      </w:tr>
      <w:tr w:rsidR="00F4319E" w:rsidRPr="008F68DF" w14:paraId="54CC3DAE" w14:textId="77777777" w:rsidTr="00477DCE">
        <w:trPr>
          <w:trHeight w:val="170"/>
        </w:trPr>
        <w:tc>
          <w:tcPr>
            <w:tcW w:w="783" w:type="pct"/>
            <w:vAlign w:val="center"/>
          </w:tcPr>
          <w:p w14:paraId="1A7A526E"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15.</w:t>
            </w:r>
          </w:p>
        </w:tc>
        <w:tc>
          <w:tcPr>
            <w:tcW w:w="1583" w:type="pct"/>
            <w:vAlign w:val="center"/>
          </w:tcPr>
          <w:p w14:paraId="61B90C3E"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896085</w:t>
            </w:r>
          </w:p>
        </w:tc>
        <w:tc>
          <w:tcPr>
            <w:tcW w:w="877" w:type="pct"/>
            <w:vAlign w:val="center"/>
          </w:tcPr>
          <w:p w14:paraId="13178EE7"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33.</w:t>
            </w:r>
          </w:p>
        </w:tc>
        <w:tc>
          <w:tcPr>
            <w:tcW w:w="1757" w:type="pct"/>
            <w:vAlign w:val="center"/>
          </w:tcPr>
          <w:p w14:paraId="09D1E85F"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SKNQ 1</w:t>
            </w:r>
          </w:p>
        </w:tc>
      </w:tr>
      <w:tr w:rsidR="00F4319E" w:rsidRPr="008F68DF" w14:paraId="20DB731E" w14:textId="77777777" w:rsidTr="00477DCE">
        <w:trPr>
          <w:trHeight w:val="170"/>
        </w:trPr>
        <w:tc>
          <w:tcPr>
            <w:tcW w:w="783" w:type="pct"/>
            <w:vAlign w:val="center"/>
          </w:tcPr>
          <w:p w14:paraId="3A672CC1"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16.</w:t>
            </w:r>
          </w:p>
        </w:tc>
        <w:tc>
          <w:tcPr>
            <w:tcW w:w="1583" w:type="pct"/>
            <w:vAlign w:val="center"/>
          </w:tcPr>
          <w:p w14:paraId="232CBB36"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896086</w:t>
            </w:r>
          </w:p>
        </w:tc>
        <w:tc>
          <w:tcPr>
            <w:tcW w:w="877" w:type="pct"/>
            <w:vAlign w:val="center"/>
          </w:tcPr>
          <w:p w14:paraId="0616CAF5"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34.</w:t>
            </w:r>
          </w:p>
        </w:tc>
        <w:tc>
          <w:tcPr>
            <w:tcW w:w="1757" w:type="pct"/>
            <w:vAlign w:val="center"/>
          </w:tcPr>
          <w:p w14:paraId="3374BF4B"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RHRCQ 1</w:t>
            </w:r>
          </w:p>
        </w:tc>
      </w:tr>
      <w:tr w:rsidR="00F4319E" w:rsidRPr="008F68DF" w14:paraId="3A01D513" w14:textId="77777777" w:rsidTr="00477DCE">
        <w:trPr>
          <w:trHeight w:val="170"/>
        </w:trPr>
        <w:tc>
          <w:tcPr>
            <w:tcW w:w="783" w:type="pct"/>
            <w:vAlign w:val="center"/>
          </w:tcPr>
          <w:p w14:paraId="1DDC1BB2"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17.</w:t>
            </w:r>
          </w:p>
        </w:tc>
        <w:tc>
          <w:tcPr>
            <w:tcW w:w="1583" w:type="pct"/>
            <w:vAlign w:val="center"/>
          </w:tcPr>
          <w:p w14:paraId="201F2E51"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896087</w:t>
            </w:r>
          </w:p>
        </w:tc>
        <w:tc>
          <w:tcPr>
            <w:tcW w:w="877" w:type="pct"/>
            <w:vAlign w:val="center"/>
          </w:tcPr>
          <w:p w14:paraId="6740AB2C"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35</w:t>
            </w:r>
          </w:p>
        </w:tc>
        <w:tc>
          <w:tcPr>
            <w:tcW w:w="1757" w:type="pct"/>
            <w:vAlign w:val="center"/>
          </w:tcPr>
          <w:p w14:paraId="36F39758"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RHRCQ 2</w:t>
            </w:r>
          </w:p>
        </w:tc>
      </w:tr>
      <w:tr w:rsidR="00F4319E" w:rsidRPr="008F68DF" w14:paraId="133A542F" w14:textId="77777777" w:rsidTr="00477DCE">
        <w:trPr>
          <w:trHeight w:val="170"/>
        </w:trPr>
        <w:tc>
          <w:tcPr>
            <w:tcW w:w="783" w:type="pct"/>
            <w:vAlign w:val="center"/>
          </w:tcPr>
          <w:p w14:paraId="73580607"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18.</w:t>
            </w:r>
          </w:p>
        </w:tc>
        <w:tc>
          <w:tcPr>
            <w:tcW w:w="1583" w:type="pct"/>
            <w:vAlign w:val="center"/>
          </w:tcPr>
          <w:p w14:paraId="12EC295D"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EC 896092</w:t>
            </w:r>
          </w:p>
        </w:tc>
        <w:tc>
          <w:tcPr>
            <w:tcW w:w="877" w:type="pct"/>
            <w:vAlign w:val="center"/>
          </w:tcPr>
          <w:p w14:paraId="08FBA124" w14:textId="77777777" w:rsidR="00F4319E" w:rsidRPr="008F68DF" w:rsidRDefault="00F4319E" w:rsidP="00477DCE">
            <w:pPr>
              <w:pStyle w:val="NoSpacing"/>
              <w:jc w:val="center"/>
              <w:rPr>
                <w:rFonts w:ascii="Times New Roman" w:hAnsi="Times New Roman" w:cs="Times New Roman"/>
                <w:color w:val="000000" w:themeColor="text1"/>
              </w:rPr>
            </w:pPr>
            <w:r w:rsidRPr="008F68DF">
              <w:rPr>
                <w:rFonts w:ascii="Times New Roman" w:hAnsi="Times New Roman" w:cs="Times New Roman"/>
                <w:color w:val="000000" w:themeColor="text1"/>
              </w:rPr>
              <w:t>36.</w:t>
            </w:r>
          </w:p>
        </w:tc>
        <w:tc>
          <w:tcPr>
            <w:tcW w:w="1757" w:type="pct"/>
            <w:vAlign w:val="center"/>
          </w:tcPr>
          <w:p w14:paraId="38619914" w14:textId="77777777" w:rsidR="00F4319E" w:rsidRPr="008F68DF" w:rsidRDefault="00F4319E" w:rsidP="00477DCE">
            <w:pPr>
              <w:pStyle w:val="NoSpacing"/>
              <w:rPr>
                <w:rFonts w:ascii="Times New Roman" w:hAnsi="Times New Roman" w:cs="Times New Roman"/>
                <w:color w:val="000000" w:themeColor="text1"/>
              </w:rPr>
            </w:pPr>
            <w:r w:rsidRPr="008F68DF">
              <w:rPr>
                <w:rFonts w:ascii="Times New Roman" w:eastAsia="Calibri" w:hAnsi="Times New Roman" w:cs="Times New Roman"/>
                <w:color w:val="000000" w:themeColor="text1"/>
                <w:kern w:val="24"/>
              </w:rPr>
              <w:t>Him shakti</w:t>
            </w:r>
          </w:p>
        </w:tc>
      </w:tr>
    </w:tbl>
    <w:p w14:paraId="3FBC403A" w14:textId="77777777" w:rsidR="00F4319E" w:rsidRPr="008F68DF" w:rsidRDefault="00F4319E" w:rsidP="00425F5C">
      <w:pPr>
        <w:spacing w:line="360" w:lineRule="auto"/>
        <w:ind w:firstLine="720"/>
        <w:jc w:val="both"/>
        <w:rPr>
          <w:rFonts w:ascii="Times New Roman" w:hAnsi="Times New Roman" w:cs="Times New Roman"/>
        </w:rPr>
      </w:pPr>
    </w:p>
    <w:p w14:paraId="33F8D0E8" w14:textId="77777777" w:rsidR="00425F5C" w:rsidRPr="008F68DF" w:rsidRDefault="00425F5C" w:rsidP="00425F5C">
      <w:pPr>
        <w:spacing w:line="360" w:lineRule="auto"/>
        <w:jc w:val="both"/>
        <w:rPr>
          <w:rFonts w:ascii="Times New Roman" w:hAnsi="Times New Roman" w:cs="Times New Roman"/>
          <w:i/>
          <w:iCs/>
        </w:rPr>
      </w:pPr>
      <w:r w:rsidRPr="008F68DF">
        <w:rPr>
          <w:rFonts w:ascii="Times New Roman" w:hAnsi="Times New Roman" w:cs="Times New Roman"/>
          <w:i/>
          <w:iCs/>
        </w:rPr>
        <w:t>2.2 Recording of observations</w:t>
      </w:r>
    </w:p>
    <w:p w14:paraId="6B7313F8" w14:textId="77777777" w:rsidR="00425F5C" w:rsidRPr="008F68DF" w:rsidRDefault="00425F5C" w:rsidP="00425F5C">
      <w:pPr>
        <w:spacing w:line="360" w:lineRule="auto"/>
        <w:ind w:firstLine="720"/>
        <w:jc w:val="both"/>
        <w:rPr>
          <w:rFonts w:ascii="Times New Roman" w:hAnsi="Times New Roman" w:cs="Times New Roman"/>
        </w:rPr>
      </w:pPr>
      <w:r w:rsidRPr="008F68DF">
        <w:rPr>
          <w:rFonts w:ascii="Times New Roman" w:hAnsi="Times New Roman" w:cs="Times New Roman"/>
        </w:rPr>
        <w:t>For each genotype in every replication, five competitive plants per genotype were randomly selected for recording observations. Data were collected on fourteen characters, days to 50 per cent flowering, days to maturity, plant height (cm), number of branches per plant, number of inflorescences per plant, length of inflorescence (cm), girth of inflorescence (cm), biological yield per plant (g), 1000 seed weight (g), harvest index (%), seed yield per plant (g), true protein content in seeds (%), lysine content per protein in seeds (%) and saponin content in seeds (mg/g) in each replication and averages were worked out for statistical analysis.</w:t>
      </w:r>
    </w:p>
    <w:p w14:paraId="38D1FA12" w14:textId="77777777" w:rsidR="00425F5C" w:rsidRPr="008F68DF" w:rsidRDefault="00425F5C" w:rsidP="00425F5C">
      <w:pPr>
        <w:spacing w:line="360" w:lineRule="auto"/>
        <w:jc w:val="both"/>
        <w:rPr>
          <w:rFonts w:ascii="Times New Roman" w:hAnsi="Times New Roman" w:cs="Times New Roman"/>
        </w:rPr>
      </w:pPr>
      <w:r w:rsidRPr="008F68DF">
        <w:rPr>
          <w:rFonts w:ascii="Times New Roman" w:hAnsi="Times New Roman" w:cs="Times New Roman"/>
          <w:i/>
          <w:iCs/>
        </w:rPr>
        <w:t>2.2</w:t>
      </w:r>
      <w:r w:rsidRPr="008F68DF">
        <w:rPr>
          <w:rFonts w:ascii="Times New Roman" w:hAnsi="Times New Roman" w:cs="Times New Roman"/>
        </w:rPr>
        <w:t xml:space="preserve"> </w:t>
      </w:r>
      <w:r w:rsidRPr="008F68DF">
        <w:rPr>
          <w:rFonts w:ascii="Times New Roman" w:hAnsi="Times New Roman" w:cs="Times New Roman"/>
          <w:i/>
          <w:iCs/>
          <w:lang w:val="en-US"/>
        </w:rPr>
        <w:t>True protein content in seeds (%)</w:t>
      </w:r>
      <w:r w:rsidRPr="008F68DF">
        <w:rPr>
          <w:rFonts w:ascii="Times New Roman" w:hAnsi="Times New Roman" w:cs="Times New Roman"/>
          <w:i/>
          <w:iCs/>
        </w:rPr>
        <w:t xml:space="preserve"> </w:t>
      </w:r>
    </w:p>
    <w:p w14:paraId="6A734A72" w14:textId="77777777" w:rsidR="00425F5C" w:rsidRPr="008F68DF" w:rsidRDefault="00425F5C" w:rsidP="00425F5C">
      <w:pPr>
        <w:spacing w:line="360" w:lineRule="auto"/>
        <w:ind w:firstLine="720"/>
        <w:jc w:val="both"/>
        <w:rPr>
          <w:rFonts w:ascii="Times New Roman" w:hAnsi="Times New Roman" w:cs="Times New Roman"/>
        </w:rPr>
      </w:pPr>
      <w:r w:rsidRPr="008F68DF">
        <w:rPr>
          <w:rFonts w:ascii="Times New Roman" w:hAnsi="Times New Roman" w:cs="Times New Roman"/>
        </w:rPr>
        <w:t xml:space="preserve">The true protein content of quinoa seeds was estimated using the Lowry method </w:t>
      </w:r>
      <w:r w:rsidRPr="008F68DF">
        <w:rPr>
          <w:rFonts w:ascii="Times New Roman" w:hAnsi="Times New Roman" w:cs="Times New Roman"/>
          <w:b/>
          <w:bCs/>
        </w:rPr>
        <w:t>(</w:t>
      </w:r>
      <w:r w:rsidR="0067412C">
        <w:rPr>
          <w:rFonts w:ascii="Times New Roman" w:hAnsi="Times New Roman" w:cs="Times New Roman"/>
          <w:b/>
          <w:bCs/>
        </w:rPr>
        <w:t>23</w:t>
      </w:r>
      <w:r w:rsidR="00E6270E" w:rsidRPr="008F68DF">
        <w:rPr>
          <w:rFonts w:ascii="Times New Roman" w:hAnsi="Times New Roman" w:cs="Times New Roman"/>
          <w:b/>
          <w:bCs/>
        </w:rPr>
        <w:t xml:space="preserve">. </w:t>
      </w:r>
      <w:r w:rsidRPr="008F68DF">
        <w:rPr>
          <w:rFonts w:ascii="Times New Roman" w:hAnsi="Times New Roman" w:cs="Times New Roman"/>
          <w:b/>
          <w:bCs/>
        </w:rPr>
        <w:t>Lowry et al., 1951).</w:t>
      </w:r>
      <w:r w:rsidRPr="008F68DF">
        <w:rPr>
          <w:rFonts w:ascii="Times New Roman" w:hAnsi="Times New Roman" w:cs="Times New Roman"/>
        </w:rPr>
        <w:t xml:space="preserve"> Defatted flour (20 mg) was sequentially extracted with 1 M NaCl, 70 % ethanol, and 0.1 M </w:t>
      </w:r>
      <w:r w:rsidRPr="008F68DF">
        <w:rPr>
          <w:rFonts w:ascii="Times New Roman" w:hAnsi="Times New Roman" w:cs="Times New Roman"/>
        </w:rPr>
        <w:lastRenderedPageBreak/>
        <w:t>NaOH to obtain salt, alcohol, and alkali-soluble protein fractions, with each extraction performed by shaking for 30 min at room temperature followed by centrifugation at 5000 rpm for 15 min at 10 °C. Protein estimation was carried out using bovine serum albumin as the standard, where sample aliquots (0.2 mL) were adjusted to 1 mL with 0.1 N NaOH, reacted with freshly prepared alkaline copper reagent, and subsequently treated with diluted Folin–Ciocalteu reagent. Absorbance was measured at 660 nm, and protein content was calculated from the standard curve and expressed as percentage on a dry weight basis.</w:t>
      </w:r>
    </w:p>
    <w:p w14:paraId="63FBE34F" w14:textId="77777777" w:rsidR="00425F5C" w:rsidRPr="008F68DF" w:rsidRDefault="00425F5C" w:rsidP="00425F5C">
      <w:pPr>
        <w:spacing w:line="360" w:lineRule="auto"/>
        <w:jc w:val="both"/>
        <w:rPr>
          <w:rFonts w:ascii="Times New Roman" w:hAnsi="Times New Roman" w:cs="Times New Roman"/>
        </w:rPr>
      </w:pPr>
      <w:r w:rsidRPr="008F68DF">
        <w:rPr>
          <w:rFonts w:ascii="Times New Roman" w:hAnsi="Times New Roman" w:cs="Times New Roman"/>
        </w:rPr>
        <w:t xml:space="preserve">2.3 </w:t>
      </w:r>
      <w:r w:rsidRPr="008F68DF">
        <w:rPr>
          <w:rFonts w:ascii="Times New Roman" w:hAnsi="Times New Roman" w:cs="Times New Roman"/>
          <w:i/>
          <w:iCs/>
          <w:color w:val="000000" w:themeColor="text1"/>
        </w:rPr>
        <w:t>Lysine content per protein in seed (%)</w:t>
      </w:r>
    </w:p>
    <w:p w14:paraId="514C3D1E" w14:textId="77777777" w:rsidR="00425F5C" w:rsidRPr="008F68DF" w:rsidRDefault="00425F5C" w:rsidP="00425F5C">
      <w:pPr>
        <w:spacing w:line="360" w:lineRule="auto"/>
        <w:ind w:firstLine="720"/>
        <w:jc w:val="both"/>
        <w:rPr>
          <w:rFonts w:ascii="Times New Roman" w:hAnsi="Times New Roman" w:cs="Times New Roman"/>
        </w:rPr>
      </w:pPr>
      <w:r w:rsidRPr="008F68DF">
        <w:rPr>
          <w:rFonts w:ascii="Times New Roman" w:hAnsi="Times New Roman" w:cs="Times New Roman"/>
        </w:rPr>
        <w:t xml:space="preserve">The lysine content per protein in quinoa seeds was estimated following the method of </w:t>
      </w:r>
      <w:r w:rsidR="0067412C">
        <w:rPr>
          <w:rFonts w:ascii="Times New Roman" w:hAnsi="Times New Roman" w:cs="Times New Roman"/>
          <w:b/>
          <w:bCs/>
        </w:rPr>
        <w:t xml:space="preserve">24. </w:t>
      </w:r>
      <w:r w:rsidRPr="008F68DF">
        <w:rPr>
          <w:rFonts w:ascii="Times New Roman" w:hAnsi="Times New Roman" w:cs="Times New Roman"/>
          <w:b/>
          <w:bCs/>
        </w:rPr>
        <w:t>Tsai et al. (1972).</w:t>
      </w:r>
      <w:r w:rsidRPr="008F68DF">
        <w:rPr>
          <w:rFonts w:ascii="Times New Roman" w:hAnsi="Times New Roman" w:cs="Times New Roman"/>
        </w:rPr>
        <w:t xml:space="preserve"> Finely ground, defatted seed flour (100 mg) was digested with 4 mL of papain solution in 0.03 M phosphate buffer (pH 7.0) and incubated at 65 °C overnight with intermittent shaking. After cooling, the digest was centrifuged at 3000 rpm for 5 min, and 1 mL of the supernatant was reacted with 0.5 mL sodium carbonate buffer (0.1 M, pH 9.0) and 0.5 mL copper phosphate suspension, vortexed for 5 min, and centrifuged at 2000 rpm for 5 min. The resulting supernatant was treated with 0.1 mL freshly prepared 2-chloro-3,5-dinitropyridine, incubated for 2 h at room temperature, acidified with 5 mL of 1.2 N HCl, and extracted three times with ethyl acetate. Absorbance of the aqueous phase was recorded at 390 nm against a reagent blank. Lysine concentration was determined using a standard curve prepared with lysine monohydrochloride (40–200 µg) processed identically and expressed as percentage lysine per protein content of the seed.</w:t>
      </w:r>
    </w:p>
    <w:p w14:paraId="74D1858E" w14:textId="77777777" w:rsidR="00425F5C" w:rsidRPr="008F68DF" w:rsidRDefault="00425F5C" w:rsidP="00425F5C">
      <w:pPr>
        <w:tabs>
          <w:tab w:val="left" w:pos="357"/>
        </w:tabs>
        <w:spacing w:line="360" w:lineRule="auto"/>
        <w:contextualSpacing/>
        <w:jc w:val="both"/>
        <w:rPr>
          <w:rFonts w:ascii="Times New Roman" w:hAnsi="Times New Roman" w:cs="Times New Roman"/>
          <w:i/>
          <w:iCs/>
          <w:color w:val="000000" w:themeColor="text1"/>
        </w:rPr>
      </w:pPr>
      <w:r w:rsidRPr="008F68DF">
        <w:rPr>
          <w:rFonts w:ascii="Times New Roman" w:hAnsi="Times New Roman" w:cs="Times New Roman"/>
          <w:i/>
          <w:iCs/>
          <w:color w:val="000000" w:themeColor="text1"/>
        </w:rPr>
        <w:t>2.4 Saponin content in seeds (mg/g)</w:t>
      </w:r>
    </w:p>
    <w:p w14:paraId="24FD9ABD" w14:textId="77777777" w:rsidR="00425F5C" w:rsidRPr="008F68DF" w:rsidRDefault="00425F5C" w:rsidP="00425F5C">
      <w:pPr>
        <w:spacing w:line="360" w:lineRule="auto"/>
        <w:ind w:firstLine="720"/>
        <w:jc w:val="both"/>
        <w:rPr>
          <w:rFonts w:ascii="Times New Roman" w:hAnsi="Times New Roman" w:cs="Times New Roman"/>
        </w:rPr>
      </w:pPr>
      <w:r w:rsidRPr="008F68DF">
        <w:rPr>
          <w:rFonts w:ascii="Times New Roman" w:hAnsi="Times New Roman" w:cs="Times New Roman"/>
        </w:rPr>
        <w:t xml:space="preserve">The saponin content of quinoa seeds was estimated following </w:t>
      </w:r>
      <w:r w:rsidR="0067412C">
        <w:rPr>
          <w:rFonts w:ascii="Times New Roman" w:hAnsi="Times New Roman" w:cs="Times New Roman"/>
          <w:b/>
          <w:bCs/>
        </w:rPr>
        <w:t>25</w:t>
      </w:r>
      <w:r w:rsidR="00E6270E" w:rsidRPr="008F68DF">
        <w:rPr>
          <w:rFonts w:ascii="Times New Roman" w:hAnsi="Times New Roman" w:cs="Times New Roman"/>
          <w:b/>
          <w:bCs/>
        </w:rPr>
        <w:t xml:space="preserve">. </w:t>
      </w:r>
      <w:r w:rsidRPr="008F68DF">
        <w:rPr>
          <w:rFonts w:ascii="Times New Roman" w:hAnsi="Times New Roman" w:cs="Times New Roman"/>
          <w:b/>
          <w:bCs/>
        </w:rPr>
        <w:t>Irigoyen and Giner (2018).</w:t>
      </w:r>
      <w:r w:rsidRPr="008F68DF">
        <w:rPr>
          <w:rFonts w:ascii="Times New Roman" w:hAnsi="Times New Roman" w:cs="Times New Roman"/>
        </w:rPr>
        <w:t xml:space="preserve"> Defatted flour (1 g) was extracted with 70 % methanol, centrifuged, evaporated, reconstituted in water, and partitioned with n-butanol. The butanol fraction was evaporated and reconstituted in 70 % methanol. Quantification was performed using oleanolic acid as the standard, where sample extracts and standards were reacted with freshly prepared Liebermann–Burchard reagent and incubated for 30 min at room temperature. Absorbance was measured at 528 nm, and saponin content was expressed as mg g⁻¹ or percentage on a dry weight basis.</w:t>
      </w:r>
    </w:p>
    <w:p w14:paraId="30260BC5" w14:textId="77777777" w:rsidR="00425F5C" w:rsidRPr="008F68DF" w:rsidRDefault="00425F5C" w:rsidP="00425F5C">
      <w:pPr>
        <w:spacing w:line="360" w:lineRule="auto"/>
        <w:jc w:val="both"/>
        <w:rPr>
          <w:rFonts w:ascii="Times New Roman" w:hAnsi="Times New Roman" w:cs="Times New Roman"/>
          <w:i/>
          <w:iCs/>
        </w:rPr>
      </w:pPr>
      <w:r w:rsidRPr="008F68DF">
        <w:rPr>
          <w:rFonts w:ascii="Times New Roman" w:hAnsi="Times New Roman" w:cs="Times New Roman"/>
          <w:i/>
          <w:iCs/>
        </w:rPr>
        <w:t>2.5 Statistical Analysis</w:t>
      </w:r>
    </w:p>
    <w:p w14:paraId="3E9E4681" w14:textId="77777777" w:rsidR="00C321B8" w:rsidRPr="00A6162F" w:rsidRDefault="00C321B8" w:rsidP="00C321B8">
      <w:pPr>
        <w:tabs>
          <w:tab w:val="left" w:pos="357"/>
        </w:tabs>
        <w:spacing w:line="360" w:lineRule="auto"/>
        <w:contextualSpacing/>
        <w:jc w:val="both"/>
        <w:rPr>
          <w:rFonts w:ascii="Times New Roman" w:hAnsi="Times New Roman" w:cs="Times New Roman"/>
          <w:lang w:val="en-US"/>
        </w:rPr>
      </w:pPr>
      <w:r w:rsidRPr="008F68DF">
        <w:rPr>
          <w:rFonts w:ascii="Times New Roman" w:hAnsi="Times New Roman" w:cs="Times New Roman"/>
        </w:rPr>
        <w:tab/>
      </w:r>
      <w:r w:rsidRPr="008F68DF">
        <w:rPr>
          <w:rFonts w:ascii="Times New Roman" w:hAnsi="Times New Roman" w:cs="Times New Roman"/>
          <w:lang w:val="en-US"/>
        </w:rPr>
        <w:t xml:space="preserve">Analysis of variance (ANOVA) was performed following </w:t>
      </w:r>
      <w:r w:rsidR="0067412C" w:rsidRPr="0067412C">
        <w:rPr>
          <w:rFonts w:ascii="Times New Roman" w:hAnsi="Times New Roman" w:cs="Times New Roman"/>
          <w:b/>
          <w:bCs/>
          <w:lang w:val="en-US"/>
        </w:rPr>
        <w:t xml:space="preserve">26. </w:t>
      </w:r>
      <w:r w:rsidRPr="0067412C">
        <w:rPr>
          <w:rFonts w:ascii="Times New Roman" w:hAnsi="Times New Roman" w:cs="Times New Roman"/>
          <w:b/>
          <w:bCs/>
          <w:lang w:val="en-US"/>
        </w:rPr>
        <w:t>Panse and Sukhatme (1978)</w:t>
      </w:r>
      <w:r w:rsidRPr="008F68DF">
        <w:rPr>
          <w:rFonts w:ascii="Times New Roman" w:hAnsi="Times New Roman" w:cs="Times New Roman"/>
          <w:lang w:val="en-US"/>
        </w:rPr>
        <w:t xml:space="preserve"> to test the significance of differences among genotypes. Genotypic and phenotypic coefficients of variation (GCV and PCV) were estimated according to </w:t>
      </w:r>
      <w:r w:rsidR="0067412C" w:rsidRPr="0067412C">
        <w:rPr>
          <w:rFonts w:ascii="Times New Roman" w:hAnsi="Times New Roman" w:cs="Times New Roman"/>
          <w:b/>
          <w:bCs/>
          <w:lang w:val="en-US"/>
        </w:rPr>
        <w:t xml:space="preserve">27. </w:t>
      </w:r>
      <w:r w:rsidRPr="0067412C">
        <w:rPr>
          <w:rFonts w:ascii="Times New Roman" w:hAnsi="Times New Roman" w:cs="Times New Roman"/>
          <w:b/>
          <w:bCs/>
          <w:lang w:val="en-US"/>
        </w:rPr>
        <w:t>Burton (1952)</w:t>
      </w:r>
      <w:r w:rsidRPr="008F68DF">
        <w:rPr>
          <w:rFonts w:ascii="Times New Roman" w:hAnsi="Times New Roman" w:cs="Times New Roman"/>
          <w:lang w:val="en-US"/>
        </w:rPr>
        <w:t xml:space="preserve"> to assess the extent of variability. The magnitude of GCV and PCV was classified as low (&lt;10%), moderate (10–20%), and high (&gt;20%) following </w:t>
      </w:r>
      <w:r w:rsidR="0067412C" w:rsidRPr="0067412C">
        <w:rPr>
          <w:b/>
          <w:bCs/>
        </w:rPr>
        <w:t xml:space="preserve">28. </w:t>
      </w:r>
      <w:r w:rsidRPr="00A6162F">
        <w:rPr>
          <w:rFonts w:ascii="Times New Roman" w:hAnsi="Times New Roman" w:cs="Times New Roman"/>
          <w:b/>
          <w:bCs/>
          <w:lang w:val="en-US"/>
        </w:rPr>
        <w:t>Sivasubramanian and Madhavamenon (1973).</w:t>
      </w:r>
    </w:p>
    <w:p w14:paraId="590396B5" w14:textId="77777777" w:rsidR="00C321B8" w:rsidRPr="008F68DF" w:rsidRDefault="00C321B8" w:rsidP="00C321B8">
      <w:pPr>
        <w:tabs>
          <w:tab w:val="left" w:pos="357"/>
        </w:tabs>
        <w:spacing w:line="360" w:lineRule="auto"/>
        <w:contextualSpacing/>
        <w:jc w:val="both"/>
        <w:rPr>
          <w:rFonts w:ascii="Times New Roman" w:hAnsi="Times New Roman" w:cs="Times New Roman"/>
          <w:lang w:val="en-US"/>
        </w:rPr>
      </w:pPr>
      <w:r w:rsidRPr="008F68DF">
        <w:rPr>
          <w:rFonts w:ascii="Times New Roman" w:hAnsi="Times New Roman" w:cs="Times New Roman"/>
          <w:lang w:val="en-US"/>
        </w:rPr>
        <w:lastRenderedPageBreak/>
        <w:t xml:space="preserve">Broad-sense heritability (h²b) was estimated as per </w:t>
      </w:r>
      <w:r w:rsidR="0067412C" w:rsidRPr="0067412C">
        <w:rPr>
          <w:rFonts w:ascii="Times New Roman" w:hAnsi="Times New Roman" w:cs="Times New Roman"/>
          <w:b/>
          <w:bCs/>
          <w:lang w:val="en-US"/>
        </w:rPr>
        <w:t xml:space="preserve">29. </w:t>
      </w:r>
      <w:r w:rsidRPr="0067412C">
        <w:rPr>
          <w:rFonts w:ascii="Times New Roman" w:hAnsi="Times New Roman" w:cs="Times New Roman"/>
          <w:b/>
          <w:bCs/>
          <w:lang w:val="en-US"/>
        </w:rPr>
        <w:t>Allard (1960)</w:t>
      </w:r>
      <w:r w:rsidRPr="008F68DF">
        <w:rPr>
          <w:rFonts w:ascii="Times New Roman" w:hAnsi="Times New Roman" w:cs="Times New Roman"/>
          <w:lang w:val="en-US"/>
        </w:rPr>
        <w:t xml:space="preserve"> and categorized as low (0–30%), moderate (30–60%), and high (&gt;60%) according to </w:t>
      </w:r>
      <w:r w:rsidR="005E19CA" w:rsidRPr="005E19CA">
        <w:rPr>
          <w:rFonts w:ascii="Times New Roman" w:hAnsi="Times New Roman" w:cs="Times New Roman"/>
          <w:b/>
          <w:bCs/>
          <w:lang w:val="en-US"/>
        </w:rPr>
        <w:t>30.</w:t>
      </w:r>
      <w:r w:rsidRPr="005E19CA">
        <w:rPr>
          <w:rFonts w:ascii="Times New Roman" w:hAnsi="Times New Roman" w:cs="Times New Roman"/>
          <w:b/>
          <w:bCs/>
          <w:lang w:val="en-US"/>
        </w:rPr>
        <w:t>Robinson et al. (1951).</w:t>
      </w:r>
      <w:r w:rsidRPr="008F68DF">
        <w:rPr>
          <w:rFonts w:ascii="Times New Roman" w:hAnsi="Times New Roman" w:cs="Times New Roman"/>
          <w:lang w:val="en-US"/>
        </w:rPr>
        <w:t xml:space="preserve"> Genetic advance (GA) was calculated at 5% selection intensity (K = 2.06) following </w:t>
      </w:r>
      <w:r w:rsidR="005E19CA">
        <w:rPr>
          <w:rFonts w:ascii="Times New Roman" w:hAnsi="Times New Roman" w:cs="Times New Roman"/>
          <w:b/>
          <w:bCs/>
          <w:lang w:val="en-US"/>
        </w:rPr>
        <w:t xml:space="preserve">31. </w:t>
      </w:r>
      <w:r w:rsidRPr="005E19CA">
        <w:rPr>
          <w:rFonts w:ascii="Times New Roman" w:hAnsi="Times New Roman" w:cs="Times New Roman"/>
          <w:b/>
          <w:bCs/>
          <w:lang w:val="en-US"/>
        </w:rPr>
        <w:t>Johnson et al. (1955)</w:t>
      </w:r>
      <w:r w:rsidRPr="008F68DF">
        <w:rPr>
          <w:rFonts w:ascii="Times New Roman" w:hAnsi="Times New Roman" w:cs="Times New Roman"/>
          <w:lang w:val="en-US"/>
        </w:rPr>
        <w:t>, and genetic advance as percentage of mean (GAM) was classified as low (0–10%), moderate (10–20%), and high (&gt;20%).</w:t>
      </w:r>
    </w:p>
    <w:p w14:paraId="79B98168" w14:textId="77777777" w:rsidR="00C321B8" w:rsidRPr="008F68DF" w:rsidRDefault="00C321B8" w:rsidP="00C321B8">
      <w:pPr>
        <w:tabs>
          <w:tab w:val="left" w:pos="357"/>
        </w:tabs>
        <w:spacing w:line="360" w:lineRule="auto"/>
        <w:contextualSpacing/>
        <w:jc w:val="both"/>
        <w:rPr>
          <w:rFonts w:ascii="Times New Roman" w:hAnsi="Times New Roman" w:cs="Times New Roman"/>
          <w:lang w:val="en-US"/>
        </w:rPr>
      </w:pPr>
      <w:r w:rsidRPr="008F68DF">
        <w:rPr>
          <w:rFonts w:ascii="Times New Roman" w:hAnsi="Times New Roman" w:cs="Times New Roman"/>
          <w:lang w:val="en-US"/>
        </w:rPr>
        <w:t xml:space="preserve">Genotypic and phenotypic correlation coefficients were computed using the method of </w:t>
      </w:r>
      <w:r w:rsidR="005E19CA" w:rsidRPr="005E19CA">
        <w:rPr>
          <w:rFonts w:ascii="Times New Roman" w:hAnsi="Times New Roman" w:cs="Times New Roman"/>
          <w:b/>
          <w:bCs/>
          <w:lang w:val="en-US"/>
        </w:rPr>
        <w:t xml:space="preserve">32. </w:t>
      </w:r>
      <w:r w:rsidRPr="005E19CA">
        <w:rPr>
          <w:rFonts w:ascii="Times New Roman" w:hAnsi="Times New Roman" w:cs="Times New Roman"/>
          <w:b/>
          <w:bCs/>
          <w:lang w:val="en-US"/>
        </w:rPr>
        <w:t>Al-Jibouri et al. (1958)</w:t>
      </w:r>
      <w:r w:rsidRPr="008F68DF">
        <w:rPr>
          <w:rFonts w:ascii="Times New Roman" w:hAnsi="Times New Roman" w:cs="Times New Roman"/>
          <w:lang w:val="en-US"/>
        </w:rPr>
        <w:t xml:space="preserve"> based on analysis of covariance, and their significance was tested using the t-test as suggested by </w:t>
      </w:r>
      <w:r w:rsidR="005E19CA">
        <w:rPr>
          <w:rFonts w:ascii="Times New Roman" w:hAnsi="Times New Roman" w:cs="Times New Roman"/>
          <w:b/>
          <w:bCs/>
          <w:lang w:val="en-US"/>
        </w:rPr>
        <w:t xml:space="preserve">33. </w:t>
      </w:r>
      <w:r w:rsidRPr="005E19CA">
        <w:rPr>
          <w:rFonts w:ascii="Times New Roman" w:hAnsi="Times New Roman" w:cs="Times New Roman"/>
          <w:b/>
          <w:bCs/>
          <w:lang w:val="en-US"/>
        </w:rPr>
        <w:t>Fisher and Yates (1963)</w:t>
      </w:r>
      <w:r w:rsidRPr="008F68DF">
        <w:rPr>
          <w:rFonts w:ascii="Times New Roman" w:hAnsi="Times New Roman" w:cs="Times New Roman"/>
          <w:lang w:val="en-US"/>
        </w:rPr>
        <w:t xml:space="preserve">. Path coefficient analysis was carried out following </w:t>
      </w:r>
      <w:r w:rsidR="005E19CA">
        <w:rPr>
          <w:rFonts w:ascii="Times New Roman" w:hAnsi="Times New Roman" w:cs="Times New Roman"/>
          <w:b/>
          <w:bCs/>
          <w:lang w:val="en-US"/>
        </w:rPr>
        <w:t>22</w:t>
      </w:r>
      <w:r w:rsidR="005E19CA" w:rsidRPr="005E19CA">
        <w:rPr>
          <w:rFonts w:ascii="Times New Roman" w:hAnsi="Times New Roman" w:cs="Times New Roman"/>
          <w:b/>
          <w:bCs/>
          <w:lang w:val="en-US"/>
        </w:rPr>
        <w:t xml:space="preserve">. </w:t>
      </w:r>
      <w:r w:rsidRPr="005E19CA">
        <w:rPr>
          <w:rFonts w:ascii="Times New Roman" w:hAnsi="Times New Roman" w:cs="Times New Roman"/>
          <w:b/>
          <w:bCs/>
          <w:lang w:val="en-US"/>
        </w:rPr>
        <w:t>Wright (1921)</w:t>
      </w:r>
      <w:r w:rsidRPr="008F68DF">
        <w:rPr>
          <w:rFonts w:ascii="Times New Roman" w:hAnsi="Times New Roman" w:cs="Times New Roman"/>
          <w:lang w:val="en-US"/>
        </w:rPr>
        <w:t xml:space="preserve"> and </w:t>
      </w:r>
      <w:r w:rsidR="005E19CA" w:rsidRPr="005E19CA">
        <w:rPr>
          <w:rFonts w:ascii="Times New Roman" w:hAnsi="Times New Roman" w:cs="Times New Roman"/>
          <w:b/>
          <w:bCs/>
          <w:lang w:val="en-US"/>
        </w:rPr>
        <w:t xml:space="preserve">34. </w:t>
      </w:r>
      <w:r w:rsidRPr="005E19CA">
        <w:rPr>
          <w:rFonts w:ascii="Times New Roman" w:hAnsi="Times New Roman" w:cs="Times New Roman"/>
          <w:b/>
          <w:bCs/>
          <w:lang w:val="en-US"/>
        </w:rPr>
        <w:t xml:space="preserve">Dewey and Lu (1959) </w:t>
      </w:r>
      <w:r w:rsidRPr="008F68DF">
        <w:rPr>
          <w:rFonts w:ascii="Times New Roman" w:hAnsi="Times New Roman" w:cs="Times New Roman"/>
          <w:lang w:val="en-US"/>
        </w:rPr>
        <w:t xml:space="preserve">to partition correlation coefficients into direct and indirect effects. The magnitude of direct and indirect effects was interpreted using the scale proposed by </w:t>
      </w:r>
      <w:r w:rsidR="005E19CA" w:rsidRPr="005E19CA">
        <w:rPr>
          <w:rFonts w:ascii="Times New Roman" w:hAnsi="Times New Roman" w:cs="Times New Roman"/>
          <w:b/>
          <w:bCs/>
          <w:lang w:val="en-US"/>
        </w:rPr>
        <w:t xml:space="preserve">35. </w:t>
      </w:r>
      <w:r w:rsidRPr="005E19CA">
        <w:rPr>
          <w:rFonts w:ascii="Times New Roman" w:hAnsi="Times New Roman" w:cs="Times New Roman"/>
          <w:b/>
          <w:bCs/>
          <w:lang w:val="en-US"/>
        </w:rPr>
        <w:t>Lenka and Mishra (1973)</w:t>
      </w:r>
      <w:r w:rsidRPr="008F68DF">
        <w:rPr>
          <w:rFonts w:ascii="Times New Roman" w:hAnsi="Times New Roman" w:cs="Times New Roman"/>
          <w:lang w:val="en-US"/>
        </w:rPr>
        <w:t>, classifying values as negligible (0.00–0.09), low (0.10–0.19), moderate (0.20–0.29), high (0.30–0.99), and very high (&gt;1.00).</w:t>
      </w:r>
    </w:p>
    <w:p w14:paraId="5CA662F3" w14:textId="77777777" w:rsidR="0035246A" w:rsidRDefault="0035246A" w:rsidP="0035246A">
      <w:pPr>
        <w:tabs>
          <w:tab w:val="left" w:pos="357"/>
        </w:tabs>
        <w:spacing w:line="360" w:lineRule="auto"/>
        <w:contextualSpacing/>
        <w:jc w:val="both"/>
        <w:rPr>
          <w:rFonts w:ascii="Times New Roman" w:hAnsi="Times New Roman" w:cs="Times New Roman"/>
        </w:rPr>
      </w:pPr>
    </w:p>
    <w:p w14:paraId="762EDAF7" w14:textId="77777777" w:rsidR="008C2A21" w:rsidRPr="0035246A" w:rsidRDefault="008C2A21" w:rsidP="0035246A">
      <w:pPr>
        <w:tabs>
          <w:tab w:val="left" w:pos="357"/>
        </w:tabs>
        <w:spacing w:line="360" w:lineRule="auto"/>
        <w:contextualSpacing/>
        <w:jc w:val="both"/>
        <w:rPr>
          <w:rFonts w:ascii="Times New Roman" w:hAnsi="Times New Roman" w:cs="Times New Roman"/>
        </w:rPr>
      </w:pPr>
      <w:r w:rsidRPr="008F68DF">
        <w:rPr>
          <w:rFonts w:ascii="Times New Roman" w:hAnsi="Times New Roman" w:cs="Times New Roman"/>
          <w:b/>
          <w:bCs/>
        </w:rPr>
        <w:t xml:space="preserve">3. Results </w:t>
      </w:r>
    </w:p>
    <w:p w14:paraId="7E933C00" w14:textId="77777777" w:rsidR="008C2A21" w:rsidRPr="008F68DF" w:rsidRDefault="008C2A21" w:rsidP="008C2A21">
      <w:pPr>
        <w:spacing w:line="360" w:lineRule="auto"/>
        <w:jc w:val="both"/>
        <w:rPr>
          <w:rFonts w:ascii="Times New Roman" w:hAnsi="Times New Roman" w:cs="Times New Roman"/>
          <w:i/>
          <w:iCs/>
          <w:lang w:val="en-US"/>
        </w:rPr>
      </w:pPr>
      <w:r w:rsidRPr="008F68DF">
        <w:rPr>
          <w:rFonts w:ascii="Times New Roman" w:hAnsi="Times New Roman" w:cs="Times New Roman"/>
          <w:i/>
          <w:iCs/>
          <w:lang w:val="en-US"/>
        </w:rPr>
        <w:t xml:space="preserve">3.1 </w:t>
      </w:r>
      <w:r w:rsidRPr="008F68DF">
        <w:rPr>
          <w:rFonts w:ascii="Times New Roman" w:hAnsi="Times New Roman" w:cs="Times New Roman"/>
          <w:i/>
          <w:iCs/>
        </w:rPr>
        <w:t>Analysis of Variance</w:t>
      </w:r>
      <w:r w:rsidRPr="008F68DF">
        <w:rPr>
          <w:rFonts w:ascii="Times New Roman" w:hAnsi="Times New Roman" w:cs="Times New Roman"/>
        </w:rPr>
        <w:t xml:space="preserve"> </w:t>
      </w:r>
      <w:r w:rsidRPr="008F68DF">
        <w:rPr>
          <w:rFonts w:ascii="Times New Roman" w:hAnsi="Times New Roman" w:cs="Times New Roman"/>
          <w:i/>
          <w:iCs/>
          <w:lang w:val="en-US"/>
        </w:rPr>
        <w:t xml:space="preserve">(ANOVA) </w:t>
      </w:r>
    </w:p>
    <w:p w14:paraId="7171B905" w14:textId="77777777" w:rsidR="00E92305" w:rsidRDefault="008C2A21" w:rsidP="00E92305">
      <w:pPr>
        <w:spacing w:line="360" w:lineRule="auto"/>
        <w:jc w:val="both"/>
        <w:rPr>
          <w:rFonts w:ascii="Times New Roman" w:hAnsi="Times New Roman" w:cs="Times New Roman"/>
        </w:rPr>
      </w:pPr>
      <w:r w:rsidRPr="008F68DF">
        <w:rPr>
          <w:rFonts w:ascii="Times New Roman" w:hAnsi="Times New Roman" w:cs="Times New Roman"/>
        </w:rPr>
        <w:tab/>
        <w:t>Highly significant differences among genotypes were observed for all fourteen traits, indicating the presence of substantial genetic variability and providing a strong basis for selection</w:t>
      </w:r>
      <w:r>
        <w:rPr>
          <w:rFonts w:ascii="Times New Roman" w:hAnsi="Times New Roman" w:cs="Times New Roman"/>
        </w:rPr>
        <w:t xml:space="preserve"> </w:t>
      </w:r>
      <w:r w:rsidRPr="005E19CA">
        <w:rPr>
          <w:rFonts w:ascii="Times New Roman" w:hAnsi="Times New Roman" w:cs="Times New Roman"/>
          <w:b/>
          <w:bCs/>
        </w:rPr>
        <w:t>Table. 1.</w:t>
      </w:r>
    </w:p>
    <w:p w14:paraId="32D3D9BF" w14:textId="77777777" w:rsidR="008C2A21" w:rsidRDefault="008C2A21" w:rsidP="00E92305">
      <w:pPr>
        <w:spacing w:after="200" w:line="276" w:lineRule="auto"/>
        <w:rPr>
          <w:rFonts w:ascii="Times New Roman" w:hAnsi="Times New Roman" w:cs="Times New Roman"/>
        </w:rPr>
      </w:pPr>
      <w:commentRangeStart w:id="2"/>
      <w:r w:rsidRPr="008F68DF">
        <w:rPr>
          <w:rFonts w:ascii="Times New Roman" w:hAnsi="Times New Roman" w:cs="Times New Roman"/>
        </w:rPr>
        <w:t>Table 1.</w:t>
      </w:r>
      <w:r w:rsidRPr="008F68DF">
        <w:rPr>
          <w:rFonts w:ascii="Times New Roman" w:hAnsi="Times New Roman" w:cs="Times New Roman"/>
          <w:sz w:val="18"/>
          <w:szCs w:val="18"/>
        </w:rPr>
        <w:t xml:space="preserve"> Analysis of variance (ANOVA) showing the mean sum of squares for different characters in quinoa.</w:t>
      </w:r>
      <w:commentRangeEnd w:id="2"/>
      <w:r w:rsidR="00D70BB5">
        <w:rPr>
          <w:rStyle w:val="CommentReference"/>
          <w:rFonts w:ascii="Times New Roman" w:hAnsi="Times New Roman" w:cs="Times New Roman"/>
          <w:sz w:val="22"/>
          <w:szCs w:val="22"/>
        </w:rPr>
        <w:commentReference w:id="2"/>
      </w:r>
    </w:p>
    <w:tbl>
      <w:tblPr>
        <w:tblStyle w:val="TableGrid"/>
        <w:tblW w:w="5089" w:type="pct"/>
        <w:tblLook w:val="04A0" w:firstRow="1" w:lastRow="0" w:firstColumn="1" w:lastColumn="0" w:noHBand="0" w:noVBand="1"/>
      </w:tblPr>
      <w:tblGrid>
        <w:gridCol w:w="780"/>
        <w:gridCol w:w="3650"/>
        <w:gridCol w:w="1390"/>
        <w:gridCol w:w="1876"/>
        <w:gridCol w:w="2050"/>
      </w:tblGrid>
      <w:tr w:rsidR="00E92305" w:rsidRPr="00BC2805" w14:paraId="77252C0E" w14:textId="77777777" w:rsidTr="00BC2805">
        <w:tc>
          <w:tcPr>
            <w:tcW w:w="413" w:type="pct"/>
            <w:vMerge w:val="restart"/>
            <w:vAlign w:val="center"/>
          </w:tcPr>
          <w:p w14:paraId="045541A4"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Sr.</w:t>
            </w:r>
          </w:p>
          <w:p w14:paraId="55C3EE78"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No.</w:t>
            </w:r>
          </w:p>
        </w:tc>
        <w:tc>
          <w:tcPr>
            <w:tcW w:w="1885" w:type="pct"/>
            <w:vAlign w:val="center"/>
          </w:tcPr>
          <w:p w14:paraId="58A04CC8"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Character</w:t>
            </w:r>
          </w:p>
        </w:tc>
        <w:tc>
          <w:tcPr>
            <w:tcW w:w="2702" w:type="pct"/>
            <w:gridSpan w:val="3"/>
            <w:vAlign w:val="center"/>
          </w:tcPr>
          <w:p w14:paraId="18AE70AC" w14:textId="77777777" w:rsidR="00E92305" w:rsidRPr="00BC2805" w:rsidRDefault="00E92305" w:rsidP="004126EC">
            <w:pPr>
              <w:spacing w:after="200" w:line="276" w:lineRule="auto"/>
              <w:jc w:val="center"/>
              <w:rPr>
                <w:rFonts w:ascii="Times New Roman" w:hAnsi="Times New Roman" w:cs="Times New Roman"/>
                <w:sz w:val="24"/>
                <w:szCs w:val="24"/>
              </w:rPr>
            </w:pPr>
            <w:r w:rsidRPr="00BC2805">
              <w:rPr>
                <w:rFonts w:ascii="Times New Roman" w:hAnsi="Times New Roman" w:cs="Times New Roman"/>
                <w:b/>
                <w:bCs/>
                <w:color w:val="000000" w:themeColor="text1"/>
                <w:sz w:val="24"/>
                <w:szCs w:val="24"/>
              </w:rPr>
              <w:t>Mean sum of square</w:t>
            </w:r>
          </w:p>
        </w:tc>
      </w:tr>
      <w:tr w:rsidR="00BC2805" w:rsidRPr="00BC2805" w14:paraId="356D881D" w14:textId="77777777" w:rsidTr="00BC2805">
        <w:tc>
          <w:tcPr>
            <w:tcW w:w="413" w:type="pct"/>
            <w:vMerge/>
            <w:vAlign w:val="center"/>
          </w:tcPr>
          <w:p w14:paraId="6818106A"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p>
        </w:tc>
        <w:tc>
          <w:tcPr>
            <w:tcW w:w="1885" w:type="pct"/>
            <w:vMerge w:val="restart"/>
            <w:vAlign w:val="center"/>
          </w:tcPr>
          <w:p w14:paraId="7E3AB21B"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Degree of freedom</w:t>
            </w:r>
          </w:p>
        </w:tc>
        <w:tc>
          <w:tcPr>
            <w:tcW w:w="663" w:type="pct"/>
            <w:vAlign w:val="center"/>
          </w:tcPr>
          <w:p w14:paraId="2CCFC2D3"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Replication</w:t>
            </w:r>
          </w:p>
        </w:tc>
        <w:tc>
          <w:tcPr>
            <w:tcW w:w="975" w:type="pct"/>
            <w:vAlign w:val="center"/>
          </w:tcPr>
          <w:p w14:paraId="3971ECCC"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Treatments</w:t>
            </w:r>
          </w:p>
        </w:tc>
        <w:tc>
          <w:tcPr>
            <w:tcW w:w="1064" w:type="pct"/>
            <w:vAlign w:val="center"/>
          </w:tcPr>
          <w:p w14:paraId="62962746"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Error</w:t>
            </w:r>
          </w:p>
        </w:tc>
      </w:tr>
      <w:tr w:rsidR="00BC2805" w:rsidRPr="00BC2805" w14:paraId="07885D09" w14:textId="77777777" w:rsidTr="00BC2805">
        <w:tc>
          <w:tcPr>
            <w:tcW w:w="413" w:type="pct"/>
            <w:vMerge/>
            <w:vAlign w:val="center"/>
          </w:tcPr>
          <w:p w14:paraId="460B98A7"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p>
        </w:tc>
        <w:tc>
          <w:tcPr>
            <w:tcW w:w="1885" w:type="pct"/>
            <w:vMerge/>
            <w:vAlign w:val="center"/>
          </w:tcPr>
          <w:p w14:paraId="45EC0985"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p>
        </w:tc>
        <w:tc>
          <w:tcPr>
            <w:tcW w:w="663" w:type="pct"/>
            <w:vAlign w:val="center"/>
          </w:tcPr>
          <w:p w14:paraId="0B361EC4"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2</w:t>
            </w:r>
          </w:p>
        </w:tc>
        <w:tc>
          <w:tcPr>
            <w:tcW w:w="975" w:type="pct"/>
            <w:vAlign w:val="center"/>
          </w:tcPr>
          <w:p w14:paraId="36470AD0"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35</w:t>
            </w:r>
          </w:p>
        </w:tc>
        <w:tc>
          <w:tcPr>
            <w:tcW w:w="1064" w:type="pct"/>
            <w:vAlign w:val="center"/>
          </w:tcPr>
          <w:p w14:paraId="5E769D96"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70</w:t>
            </w:r>
          </w:p>
        </w:tc>
      </w:tr>
      <w:tr w:rsidR="00BC2805" w:rsidRPr="00BC2805" w14:paraId="00CF34EF" w14:textId="77777777" w:rsidTr="00BC2805">
        <w:trPr>
          <w:trHeight w:val="347"/>
        </w:trPr>
        <w:tc>
          <w:tcPr>
            <w:tcW w:w="413" w:type="pct"/>
            <w:vAlign w:val="center"/>
          </w:tcPr>
          <w:p w14:paraId="1565D812"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w:t>
            </w:r>
          </w:p>
        </w:tc>
        <w:tc>
          <w:tcPr>
            <w:tcW w:w="1885" w:type="pct"/>
            <w:vAlign w:val="center"/>
          </w:tcPr>
          <w:p w14:paraId="7F1EEE0C" w14:textId="77777777" w:rsidR="00E92305" w:rsidRPr="00BC2805" w:rsidRDefault="004126EC"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 xml:space="preserve">Days to 50 per cent </w:t>
            </w:r>
            <w:r w:rsidR="00E92305" w:rsidRPr="00BC2805">
              <w:rPr>
                <w:rFonts w:ascii="Times New Roman" w:hAnsi="Times New Roman" w:cs="Times New Roman"/>
                <w:color w:val="000000" w:themeColor="text1"/>
                <w:sz w:val="24"/>
                <w:szCs w:val="24"/>
              </w:rPr>
              <w:t>flowering</w:t>
            </w:r>
          </w:p>
        </w:tc>
        <w:tc>
          <w:tcPr>
            <w:tcW w:w="663" w:type="pct"/>
          </w:tcPr>
          <w:p w14:paraId="609F3573"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4.19</w:t>
            </w:r>
          </w:p>
        </w:tc>
        <w:tc>
          <w:tcPr>
            <w:tcW w:w="975" w:type="pct"/>
            <w:vAlign w:val="center"/>
          </w:tcPr>
          <w:p w14:paraId="56D2569E"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43.21**</w:t>
            </w:r>
          </w:p>
        </w:tc>
        <w:tc>
          <w:tcPr>
            <w:tcW w:w="1064" w:type="pct"/>
          </w:tcPr>
          <w:p w14:paraId="5E51BD12"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3.52</w:t>
            </w:r>
          </w:p>
        </w:tc>
      </w:tr>
      <w:tr w:rsidR="00BC2805" w:rsidRPr="00BC2805" w14:paraId="7A98A4F3" w14:textId="77777777" w:rsidTr="00BC2805">
        <w:tc>
          <w:tcPr>
            <w:tcW w:w="413" w:type="pct"/>
            <w:vAlign w:val="center"/>
          </w:tcPr>
          <w:p w14:paraId="282E5CB0"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2</w:t>
            </w:r>
          </w:p>
        </w:tc>
        <w:tc>
          <w:tcPr>
            <w:tcW w:w="1885" w:type="pct"/>
            <w:vAlign w:val="center"/>
          </w:tcPr>
          <w:p w14:paraId="15A697B2"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Days to maturity</w:t>
            </w:r>
          </w:p>
        </w:tc>
        <w:tc>
          <w:tcPr>
            <w:tcW w:w="663" w:type="pct"/>
          </w:tcPr>
          <w:p w14:paraId="331638C8"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17.54</w:t>
            </w:r>
          </w:p>
        </w:tc>
        <w:tc>
          <w:tcPr>
            <w:tcW w:w="975" w:type="pct"/>
            <w:vAlign w:val="center"/>
          </w:tcPr>
          <w:p w14:paraId="768D19D2"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182.78**</w:t>
            </w:r>
          </w:p>
        </w:tc>
        <w:tc>
          <w:tcPr>
            <w:tcW w:w="1064" w:type="pct"/>
          </w:tcPr>
          <w:p w14:paraId="1E248896"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12.38</w:t>
            </w:r>
          </w:p>
        </w:tc>
      </w:tr>
      <w:tr w:rsidR="00BC2805" w:rsidRPr="00BC2805" w14:paraId="5DE2FB18" w14:textId="77777777" w:rsidTr="00BC2805">
        <w:tc>
          <w:tcPr>
            <w:tcW w:w="413" w:type="pct"/>
            <w:vAlign w:val="center"/>
          </w:tcPr>
          <w:p w14:paraId="4CFD02E6"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3</w:t>
            </w:r>
          </w:p>
        </w:tc>
        <w:tc>
          <w:tcPr>
            <w:tcW w:w="1885" w:type="pct"/>
            <w:vAlign w:val="center"/>
          </w:tcPr>
          <w:p w14:paraId="21651EE1"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Plant height</w:t>
            </w:r>
          </w:p>
        </w:tc>
        <w:tc>
          <w:tcPr>
            <w:tcW w:w="663" w:type="pct"/>
          </w:tcPr>
          <w:p w14:paraId="3F5E51BD"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16.75</w:t>
            </w:r>
          </w:p>
        </w:tc>
        <w:tc>
          <w:tcPr>
            <w:tcW w:w="975" w:type="pct"/>
            <w:vAlign w:val="center"/>
          </w:tcPr>
          <w:p w14:paraId="20729BC0"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425.86**</w:t>
            </w:r>
          </w:p>
        </w:tc>
        <w:tc>
          <w:tcPr>
            <w:tcW w:w="1064" w:type="pct"/>
          </w:tcPr>
          <w:p w14:paraId="67CDD14A"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30.09</w:t>
            </w:r>
          </w:p>
        </w:tc>
      </w:tr>
      <w:tr w:rsidR="00BC2805" w:rsidRPr="00BC2805" w14:paraId="40043BDC" w14:textId="77777777" w:rsidTr="00BC2805">
        <w:tc>
          <w:tcPr>
            <w:tcW w:w="413" w:type="pct"/>
            <w:vAlign w:val="center"/>
          </w:tcPr>
          <w:p w14:paraId="67C7A12E"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4</w:t>
            </w:r>
          </w:p>
        </w:tc>
        <w:tc>
          <w:tcPr>
            <w:tcW w:w="1885" w:type="pct"/>
            <w:vAlign w:val="center"/>
          </w:tcPr>
          <w:p w14:paraId="707F5D44"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Number of branches per plant</w:t>
            </w:r>
          </w:p>
        </w:tc>
        <w:tc>
          <w:tcPr>
            <w:tcW w:w="663" w:type="pct"/>
          </w:tcPr>
          <w:p w14:paraId="6129E7B2"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0.03</w:t>
            </w:r>
          </w:p>
        </w:tc>
        <w:tc>
          <w:tcPr>
            <w:tcW w:w="975" w:type="pct"/>
            <w:vAlign w:val="center"/>
          </w:tcPr>
          <w:p w14:paraId="1FAA8A62"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0.65**</w:t>
            </w:r>
          </w:p>
        </w:tc>
        <w:tc>
          <w:tcPr>
            <w:tcW w:w="1064" w:type="pct"/>
          </w:tcPr>
          <w:p w14:paraId="6C8B8899"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0.04</w:t>
            </w:r>
          </w:p>
        </w:tc>
      </w:tr>
      <w:tr w:rsidR="00BC2805" w:rsidRPr="00BC2805" w14:paraId="1DBA4657" w14:textId="77777777" w:rsidTr="00BC2805">
        <w:tc>
          <w:tcPr>
            <w:tcW w:w="413" w:type="pct"/>
            <w:vAlign w:val="center"/>
          </w:tcPr>
          <w:p w14:paraId="7D793E82"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5</w:t>
            </w:r>
          </w:p>
        </w:tc>
        <w:tc>
          <w:tcPr>
            <w:tcW w:w="1885" w:type="pct"/>
            <w:vAlign w:val="center"/>
          </w:tcPr>
          <w:p w14:paraId="2F600E65"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Number of inflorescences per plant</w:t>
            </w:r>
          </w:p>
        </w:tc>
        <w:tc>
          <w:tcPr>
            <w:tcW w:w="663" w:type="pct"/>
          </w:tcPr>
          <w:p w14:paraId="1314F443"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0.02</w:t>
            </w:r>
          </w:p>
        </w:tc>
        <w:tc>
          <w:tcPr>
            <w:tcW w:w="975" w:type="pct"/>
            <w:vAlign w:val="center"/>
          </w:tcPr>
          <w:p w14:paraId="25EB7154"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0.70**</w:t>
            </w:r>
          </w:p>
        </w:tc>
        <w:tc>
          <w:tcPr>
            <w:tcW w:w="1064" w:type="pct"/>
          </w:tcPr>
          <w:p w14:paraId="546765D4"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0.04</w:t>
            </w:r>
          </w:p>
        </w:tc>
      </w:tr>
      <w:tr w:rsidR="00BC2805" w:rsidRPr="00BC2805" w14:paraId="65627104" w14:textId="77777777" w:rsidTr="00BC2805">
        <w:tc>
          <w:tcPr>
            <w:tcW w:w="413" w:type="pct"/>
            <w:vAlign w:val="center"/>
          </w:tcPr>
          <w:p w14:paraId="0E2946A8"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6</w:t>
            </w:r>
          </w:p>
        </w:tc>
        <w:tc>
          <w:tcPr>
            <w:tcW w:w="1885" w:type="pct"/>
            <w:vAlign w:val="center"/>
          </w:tcPr>
          <w:p w14:paraId="608866B5"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Length of inflorescence</w:t>
            </w:r>
          </w:p>
        </w:tc>
        <w:tc>
          <w:tcPr>
            <w:tcW w:w="663" w:type="pct"/>
          </w:tcPr>
          <w:p w14:paraId="6BD91920"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0.73</w:t>
            </w:r>
          </w:p>
        </w:tc>
        <w:tc>
          <w:tcPr>
            <w:tcW w:w="975" w:type="pct"/>
            <w:vAlign w:val="center"/>
          </w:tcPr>
          <w:p w14:paraId="02A5C5A2"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22.33**</w:t>
            </w:r>
          </w:p>
        </w:tc>
        <w:tc>
          <w:tcPr>
            <w:tcW w:w="1064" w:type="pct"/>
          </w:tcPr>
          <w:p w14:paraId="2C9B85A2"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1.77</w:t>
            </w:r>
          </w:p>
        </w:tc>
      </w:tr>
      <w:tr w:rsidR="00BC2805" w:rsidRPr="00BC2805" w14:paraId="2AAC6D6B" w14:textId="77777777" w:rsidTr="00BC2805">
        <w:tc>
          <w:tcPr>
            <w:tcW w:w="413" w:type="pct"/>
            <w:vAlign w:val="center"/>
          </w:tcPr>
          <w:p w14:paraId="0C969D25" w14:textId="77777777" w:rsidR="00E92305" w:rsidRPr="00BC2805" w:rsidRDefault="00E92305" w:rsidP="004126EC">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7</w:t>
            </w:r>
          </w:p>
        </w:tc>
        <w:tc>
          <w:tcPr>
            <w:tcW w:w="1885" w:type="pct"/>
            <w:vAlign w:val="center"/>
          </w:tcPr>
          <w:p w14:paraId="09173D22"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Girth of inflorescence</w:t>
            </w:r>
          </w:p>
        </w:tc>
        <w:tc>
          <w:tcPr>
            <w:tcW w:w="663" w:type="pct"/>
          </w:tcPr>
          <w:p w14:paraId="5B90E6AA" w14:textId="77777777" w:rsidR="00E92305" w:rsidRPr="00BC2805" w:rsidRDefault="00E92305" w:rsidP="004126EC">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0.40</w:t>
            </w:r>
          </w:p>
        </w:tc>
        <w:tc>
          <w:tcPr>
            <w:tcW w:w="975" w:type="pct"/>
            <w:vAlign w:val="center"/>
          </w:tcPr>
          <w:p w14:paraId="60EDF321" w14:textId="77777777" w:rsidR="00E92305" w:rsidRPr="00BC2805" w:rsidRDefault="00E92305" w:rsidP="004126EC">
            <w:pPr>
              <w:pStyle w:val="NoSpacing"/>
              <w:tabs>
                <w:tab w:val="decimal" w:pos="41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13.98**</w:t>
            </w:r>
          </w:p>
        </w:tc>
        <w:tc>
          <w:tcPr>
            <w:tcW w:w="1064" w:type="pct"/>
          </w:tcPr>
          <w:p w14:paraId="23951DFE" w14:textId="77777777" w:rsidR="00E92305" w:rsidRPr="00BC2805" w:rsidRDefault="00E92305" w:rsidP="004126EC">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0.65</w:t>
            </w:r>
          </w:p>
        </w:tc>
      </w:tr>
      <w:tr w:rsidR="00BC2805" w:rsidRPr="00BC2805" w14:paraId="5419CA57" w14:textId="77777777" w:rsidTr="00BC2805">
        <w:tc>
          <w:tcPr>
            <w:tcW w:w="413" w:type="pct"/>
            <w:vAlign w:val="center"/>
          </w:tcPr>
          <w:p w14:paraId="33EE7B09"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8</w:t>
            </w:r>
          </w:p>
        </w:tc>
        <w:tc>
          <w:tcPr>
            <w:tcW w:w="1885" w:type="pct"/>
            <w:vAlign w:val="center"/>
          </w:tcPr>
          <w:p w14:paraId="5EF2E7F4"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Biological yield per plant</w:t>
            </w:r>
          </w:p>
        </w:tc>
        <w:tc>
          <w:tcPr>
            <w:tcW w:w="663" w:type="pct"/>
          </w:tcPr>
          <w:p w14:paraId="27B953C2"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0.02</w:t>
            </w:r>
          </w:p>
        </w:tc>
        <w:tc>
          <w:tcPr>
            <w:tcW w:w="975" w:type="pct"/>
            <w:vAlign w:val="center"/>
          </w:tcPr>
          <w:p w14:paraId="0BCF0455"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155.75**</w:t>
            </w:r>
          </w:p>
        </w:tc>
        <w:tc>
          <w:tcPr>
            <w:tcW w:w="1064" w:type="pct"/>
          </w:tcPr>
          <w:p w14:paraId="1FE5F5F7"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9.41</w:t>
            </w:r>
          </w:p>
        </w:tc>
      </w:tr>
      <w:tr w:rsidR="00BC2805" w:rsidRPr="00BC2805" w14:paraId="14741978" w14:textId="77777777" w:rsidTr="00BC2805">
        <w:tc>
          <w:tcPr>
            <w:tcW w:w="413" w:type="pct"/>
            <w:vAlign w:val="center"/>
          </w:tcPr>
          <w:p w14:paraId="7C743BA0"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9</w:t>
            </w:r>
          </w:p>
        </w:tc>
        <w:tc>
          <w:tcPr>
            <w:tcW w:w="1885" w:type="pct"/>
            <w:vAlign w:val="center"/>
          </w:tcPr>
          <w:p w14:paraId="12206908"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1000 seed weight</w:t>
            </w:r>
          </w:p>
        </w:tc>
        <w:tc>
          <w:tcPr>
            <w:tcW w:w="663" w:type="pct"/>
          </w:tcPr>
          <w:p w14:paraId="006A0DC9"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0.28</w:t>
            </w:r>
          </w:p>
        </w:tc>
        <w:tc>
          <w:tcPr>
            <w:tcW w:w="975" w:type="pct"/>
            <w:vAlign w:val="center"/>
          </w:tcPr>
          <w:p w14:paraId="7F9F7C22"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1.08**</w:t>
            </w:r>
          </w:p>
        </w:tc>
        <w:tc>
          <w:tcPr>
            <w:tcW w:w="1064" w:type="pct"/>
          </w:tcPr>
          <w:p w14:paraId="246A1353"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0.11</w:t>
            </w:r>
          </w:p>
        </w:tc>
      </w:tr>
      <w:tr w:rsidR="00BC2805" w:rsidRPr="00BC2805" w14:paraId="54095455" w14:textId="77777777" w:rsidTr="00BC2805">
        <w:tc>
          <w:tcPr>
            <w:tcW w:w="413" w:type="pct"/>
            <w:vAlign w:val="center"/>
          </w:tcPr>
          <w:p w14:paraId="4501BA8E"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10</w:t>
            </w:r>
          </w:p>
        </w:tc>
        <w:tc>
          <w:tcPr>
            <w:tcW w:w="1885" w:type="pct"/>
            <w:vAlign w:val="center"/>
          </w:tcPr>
          <w:p w14:paraId="6E5EA8A2" w14:textId="77777777" w:rsidR="00E92305" w:rsidRPr="00BC2805" w:rsidRDefault="00E92305" w:rsidP="004126EC">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Harvest index</w:t>
            </w:r>
          </w:p>
        </w:tc>
        <w:tc>
          <w:tcPr>
            <w:tcW w:w="663" w:type="pct"/>
          </w:tcPr>
          <w:p w14:paraId="407840E5"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1.82</w:t>
            </w:r>
          </w:p>
        </w:tc>
        <w:tc>
          <w:tcPr>
            <w:tcW w:w="975" w:type="pct"/>
            <w:vAlign w:val="center"/>
          </w:tcPr>
          <w:p w14:paraId="605E5659"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177.79**</w:t>
            </w:r>
          </w:p>
        </w:tc>
        <w:tc>
          <w:tcPr>
            <w:tcW w:w="1064" w:type="pct"/>
          </w:tcPr>
          <w:p w14:paraId="1E238746"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68.99</w:t>
            </w:r>
          </w:p>
        </w:tc>
      </w:tr>
      <w:tr w:rsidR="00BC2805" w:rsidRPr="00BC2805" w14:paraId="1D5B1442" w14:textId="77777777" w:rsidTr="00BC2805">
        <w:tc>
          <w:tcPr>
            <w:tcW w:w="413" w:type="pct"/>
            <w:vAlign w:val="center"/>
          </w:tcPr>
          <w:p w14:paraId="04F51ACC"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11</w:t>
            </w:r>
          </w:p>
        </w:tc>
        <w:tc>
          <w:tcPr>
            <w:tcW w:w="1885" w:type="pct"/>
            <w:vAlign w:val="center"/>
          </w:tcPr>
          <w:p w14:paraId="4A11B663" w14:textId="77777777" w:rsidR="00E92305" w:rsidRPr="00BC2805" w:rsidRDefault="00E92305" w:rsidP="00E92305">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Seed yield per plant</w:t>
            </w:r>
          </w:p>
        </w:tc>
        <w:tc>
          <w:tcPr>
            <w:tcW w:w="663" w:type="pct"/>
          </w:tcPr>
          <w:p w14:paraId="248EC93C"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21.64</w:t>
            </w:r>
          </w:p>
        </w:tc>
        <w:tc>
          <w:tcPr>
            <w:tcW w:w="975" w:type="pct"/>
            <w:vAlign w:val="center"/>
          </w:tcPr>
          <w:p w14:paraId="14CAD166"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103.71**</w:t>
            </w:r>
          </w:p>
        </w:tc>
        <w:tc>
          <w:tcPr>
            <w:tcW w:w="1064" w:type="pct"/>
          </w:tcPr>
          <w:p w14:paraId="43CFFE49"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27.35</w:t>
            </w:r>
          </w:p>
        </w:tc>
      </w:tr>
      <w:tr w:rsidR="00BC2805" w:rsidRPr="00BC2805" w14:paraId="57056969" w14:textId="77777777" w:rsidTr="00BC2805">
        <w:tc>
          <w:tcPr>
            <w:tcW w:w="413" w:type="pct"/>
            <w:vAlign w:val="center"/>
          </w:tcPr>
          <w:p w14:paraId="4A24E45E"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12</w:t>
            </w:r>
          </w:p>
        </w:tc>
        <w:tc>
          <w:tcPr>
            <w:tcW w:w="1885" w:type="pct"/>
            <w:vAlign w:val="center"/>
          </w:tcPr>
          <w:p w14:paraId="0459D36D" w14:textId="77777777" w:rsidR="00E92305" w:rsidRPr="00BC2805" w:rsidRDefault="00E92305" w:rsidP="00E92305">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True protein content in seeds</w:t>
            </w:r>
          </w:p>
        </w:tc>
        <w:tc>
          <w:tcPr>
            <w:tcW w:w="663" w:type="pct"/>
          </w:tcPr>
          <w:p w14:paraId="0510B7F2"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0.18</w:t>
            </w:r>
          </w:p>
        </w:tc>
        <w:tc>
          <w:tcPr>
            <w:tcW w:w="975" w:type="pct"/>
            <w:vAlign w:val="center"/>
          </w:tcPr>
          <w:p w14:paraId="6D6D6CFE"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19.59**</w:t>
            </w:r>
          </w:p>
        </w:tc>
        <w:tc>
          <w:tcPr>
            <w:tcW w:w="1064" w:type="pct"/>
          </w:tcPr>
          <w:p w14:paraId="19FB4150"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0.14</w:t>
            </w:r>
          </w:p>
        </w:tc>
      </w:tr>
      <w:tr w:rsidR="00BC2805" w:rsidRPr="00BC2805" w14:paraId="1530F42F" w14:textId="77777777" w:rsidTr="00BC2805">
        <w:tc>
          <w:tcPr>
            <w:tcW w:w="413" w:type="pct"/>
            <w:vAlign w:val="center"/>
          </w:tcPr>
          <w:p w14:paraId="05A9C8B3"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13</w:t>
            </w:r>
          </w:p>
        </w:tc>
        <w:tc>
          <w:tcPr>
            <w:tcW w:w="1885" w:type="pct"/>
            <w:vAlign w:val="center"/>
          </w:tcPr>
          <w:p w14:paraId="5D852F8D" w14:textId="77777777" w:rsidR="00E92305" w:rsidRPr="00BC2805" w:rsidRDefault="00E92305" w:rsidP="00E92305">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Lysine content per protein in seeds</w:t>
            </w:r>
          </w:p>
        </w:tc>
        <w:tc>
          <w:tcPr>
            <w:tcW w:w="663" w:type="pct"/>
          </w:tcPr>
          <w:p w14:paraId="597E1AB9"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0.01</w:t>
            </w:r>
          </w:p>
        </w:tc>
        <w:tc>
          <w:tcPr>
            <w:tcW w:w="975" w:type="pct"/>
            <w:vAlign w:val="center"/>
          </w:tcPr>
          <w:p w14:paraId="55D417A1"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0.70**</w:t>
            </w:r>
          </w:p>
        </w:tc>
        <w:tc>
          <w:tcPr>
            <w:tcW w:w="1064" w:type="pct"/>
          </w:tcPr>
          <w:p w14:paraId="449B4EF5"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0.01</w:t>
            </w:r>
          </w:p>
        </w:tc>
      </w:tr>
      <w:tr w:rsidR="00BC2805" w:rsidRPr="00BC2805" w14:paraId="1BCEAED6" w14:textId="77777777" w:rsidTr="00BC2805">
        <w:tc>
          <w:tcPr>
            <w:tcW w:w="413" w:type="pct"/>
            <w:vAlign w:val="center"/>
          </w:tcPr>
          <w:p w14:paraId="12146720" w14:textId="77777777" w:rsidR="00E92305" w:rsidRPr="00BC2805" w:rsidRDefault="00E92305" w:rsidP="00E92305">
            <w:pPr>
              <w:pStyle w:val="NoSpacing"/>
              <w:tabs>
                <w:tab w:val="left" w:pos="357"/>
              </w:tabs>
              <w:jc w:val="center"/>
              <w:rPr>
                <w:rFonts w:ascii="Times New Roman" w:hAnsi="Times New Roman" w:cs="Times New Roman"/>
                <w:b/>
                <w:bCs/>
                <w:color w:val="000000" w:themeColor="text1"/>
                <w:sz w:val="24"/>
                <w:szCs w:val="24"/>
              </w:rPr>
            </w:pPr>
            <w:r w:rsidRPr="00BC2805">
              <w:rPr>
                <w:rFonts w:ascii="Times New Roman" w:hAnsi="Times New Roman" w:cs="Times New Roman"/>
                <w:b/>
                <w:bCs/>
                <w:color w:val="000000" w:themeColor="text1"/>
                <w:sz w:val="24"/>
                <w:szCs w:val="24"/>
              </w:rPr>
              <w:t>14</w:t>
            </w:r>
          </w:p>
        </w:tc>
        <w:tc>
          <w:tcPr>
            <w:tcW w:w="1885" w:type="pct"/>
            <w:vAlign w:val="center"/>
          </w:tcPr>
          <w:p w14:paraId="33C4E502" w14:textId="77777777" w:rsidR="00E92305" w:rsidRPr="00BC2805" w:rsidRDefault="00E92305" w:rsidP="00E92305">
            <w:pPr>
              <w:pStyle w:val="NoSpacing"/>
              <w:tabs>
                <w:tab w:val="left" w:pos="357"/>
              </w:tabs>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Saponin content in seeds</w:t>
            </w:r>
          </w:p>
        </w:tc>
        <w:tc>
          <w:tcPr>
            <w:tcW w:w="663" w:type="pct"/>
          </w:tcPr>
          <w:p w14:paraId="239241EA" w14:textId="77777777" w:rsidR="00E92305" w:rsidRPr="00BC2805" w:rsidRDefault="00E92305" w:rsidP="00E92305">
            <w:pPr>
              <w:pStyle w:val="NoSpacing"/>
              <w:tabs>
                <w:tab w:val="decimal" w:pos="353"/>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0.01</w:t>
            </w:r>
          </w:p>
        </w:tc>
        <w:tc>
          <w:tcPr>
            <w:tcW w:w="975" w:type="pct"/>
            <w:vAlign w:val="center"/>
          </w:tcPr>
          <w:p w14:paraId="3CF76CB9" w14:textId="77777777" w:rsidR="00E92305" w:rsidRPr="00BC2805" w:rsidRDefault="00E92305" w:rsidP="00E92305">
            <w:pPr>
              <w:pStyle w:val="NoSpacing"/>
              <w:tabs>
                <w:tab w:val="decimal" w:pos="414"/>
              </w:tabs>
              <w:rPr>
                <w:rFonts w:ascii="Times New Roman" w:hAnsi="Times New Roman" w:cs="Times New Roman"/>
                <w:color w:val="000000" w:themeColor="text1"/>
                <w:sz w:val="24"/>
                <w:szCs w:val="24"/>
              </w:rPr>
            </w:pPr>
            <w:commentRangeStart w:id="3"/>
            <w:r w:rsidRPr="00BC2805">
              <w:rPr>
                <w:rFonts w:ascii="Times New Roman" w:hAnsi="Times New Roman" w:cs="Times New Roman"/>
                <w:color w:val="000000" w:themeColor="text1"/>
                <w:sz w:val="24"/>
                <w:szCs w:val="24"/>
              </w:rPr>
              <w:t>4.56**</w:t>
            </w:r>
            <w:commentRangeEnd w:id="3"/>
            <w:r w:rsidR="00D70BB5" w:rsidRPr="00BC2805">
              <w:rPr>
                <w:rStyle w:val="CommentReference"/>
                <w:rFonts w:ascii="Times New Roman" w:hAnsi="Times New Roman" w:cs="Times New Roman"/>
                <w:color w:val="000000" w:themeColor="text1"/>
                <w:sz w:val="24"/>
                <w:szCs w:val="24"/>
              </w:rPr>
              <w:commentReference w:id="3"/>
            </w:r>
          </w:p>
        </w:tc>
        <w:tc>
          <w:tcPr>
            <w:tcW w:w="1064" w:type="pct"/>
          </w:tcPr>
          <w:p w14:paraId="7B12D051" w14:textId="77777777" w:rsidR="00E92305" w:rsidRPr="00BC2805" w:rsidRDefault="00E92305" w:rsidP="00E92305">
            <w:pPr>
              <w:pStyle w:val="NoSpacing"/>
              <w:tabs>
                <w:tab w:val="decimal" w:pos="194"/>
              </w:tabs>
              <w:jc w:val="center"/>
              <w:rPr>
                <w:rFonts w:ascii="Times New Roman" w:hAnsi="Times New Roman" w:cs="Times New Roman"/>
                <w:color w:val="000000" w:themeColor="text1"/>
                <w:sz w:val="24"/>
                <w:szCs w:val="24"/>
              </w:rPr>
            </w:pPr>
            <w:r w:rsidRPr="00BC2805">
              <w:rPr>
                <w:rFonts w:ascii="Times New Roman" w:hAnsi="Times New Roman" w:cs="Times New Roman"/>
                <w:color w:val="000000" w:themeColor="text1"/>
                <w:sz w:val="24"/>
                <w:szCs w:val="24"/>
              </w:rPr>
              <w:t>0.01</w:t>
            </w:r>
          </w:p>
        </w:tc>
      </w:tr>
    </w:tbl>
    <w:p w14:paraId="63160183" w14:textId="77777777" w:rsidR="00BC2805" w:rsidRPr="00BC2805" w:rsidRDefault="00BC2805" w:rsidP="00BC2805">
      <w:pPr>
        <w:tabs>
          <w:tab w:val="left" w:pos="357"/>
        </w:tabs>
        <w:spacing w:after="0" w:line="360" w:lineRule="auto"/>
        <w:jc w:val="both"/>
        <w:rPr>
          <w:rFonts w:ascii="Times New Roman" w:hAnsi="Times New Roman" w:cs="Times New Roman"/>
          <w:color w:val="000000" w:themeColor="text1"/>
          <w:sz w:val="18"/>
          <w:szCs w:val="18"/>
        </w:rPr>
      </w:pPr>
      <w:r w:rsidRPr="00BC2805">
        <w:rPr>
          <w:rFonts w:ascii="Times New Roman" w:hAnsi="Times New Roman" w:cs="Times New Roman"/>
          <w:color w:val="000000" w:themeColor="text1"/>
          <w:sz w:val="18"/>
          <w:szCs w:val="18"/>
        </w:rPr>
        <w:t>*, ** significant at 5% and 1% level of significance, respectively.</w:t>
      </w:r>
    </w:p>
    <w:p w14:paraId="5E44DA27" w14:textId="77777777" w:rsidR="008C2A21" w:rsidRDefault="008C2A21" w:rsidP="005E19CA">
      <w:pPr>
        <w:spacing w:after="0" w:line="360" w:lineRule="auto"/>
        <w:jc w:val="both"/>
        <w:rPr>
          <w:rFonts w:ascii="Times New Roman" w:hAnsi="Times New Roman" w:cs="Times New Roman"/>
          <w:b/>
          <w:bCs/>
        </w:rPr>
      </w:pPr>
    </w:p>
    <w:p w14:paraId="1271E2A9" w14:textId="77777777" w:rsidR="00540ACC" w:rsidRPr="008F68DF" w:rsidRDefault="001B14D4" w:rsidP="009537BC">
      <w:pPr>
        <w:spacing w:line="360" w:lineRule="auto"/>
        <w:jc w:val="both"/>
        <w:rPr>
          <w:rFonts w:ascii="Times New Roman" w:hAnsi="Times New Roman" w:cs="Times New Roman"/>
          <w:i/>
          <w:iCs/>
          <w:lang w:val="en-US"/>
        </w:rPr>
      </w:pPr>
      <w:r w:rsidRPr="008F68DF">
        <w:rPr>
          <w:rFonts w:ascii="Times New Roman" w:hAnsi="Times New Roman" w:cs="Times New Roman"/>
          <w:i/>
          <w:iCs/>
          <w:lang w:val="en-US"/>
        </w:rPr>
        <w:t xml:space="preserve">3.2 </w:t>
      </w:r>
      <w:r w:rsidR="00540ACC" w:rsidRPr="008F68DF">
        <w:rPr>
          <w:rFonts w:ascii="Times New Roman" w:hAnsi="Times New Roman" w:cs="Times New Roman"/>
          <w:i/>
          <w:iCs/>
          <w:lang w:val="en-US"/>
        </w:rPr>
        <w:t xml:space="preserve">Genetic Variability, Heritability and Genetic Advance </w:t>
      </w:r>
    </w:p>
    <w:p w14:paraId="361134BA" w14:textId="77777777" w:rsidR="00540ACC" w:rsidRDefault="00540ACC" w:rsidP="00540ACC">
      <w:pPr>
        <w:spacing w:line="360" w:lineRule="auto"/>
        <w:jc w:val="both"/>
        <w:rPr>
          <w:rFonts w:ascii="Times New Roman" w:hAnsi="Times New Roman" w:cs="Times New Roman"/>
        </w:rPr>
      </w:pPr>
      <w:r w:rsidRPr="008F68DF">
        <w:rPr>
          <w:rFonts w:ascii="Times New Roman" w:hAnsi="Times New Roman" w:cs="Times New Roman"/>
          <w:lang w:val="en-US"/>
        </w:rPr>
        <w:tab/>
      </w:r>
      <w:r w:rsidRPr="008F68DF">
        <w:rPr>
          <w:rFonts w:ascii="Times New Roman" w:hAnsi="Times New Roman" w:cs="Times New Roman"/>
        </w:rPr>
        <w:t xml:space="preserve">Estimates of genetic variability, heritability and genetic advance for fourteen traits in quinoa are presented in </w:t>
      </w:r>
      <w:r w:rsidR="005E19CA">
        <w:rPr>
          <w:rFonts w:ascii="Times New Roman" w:hAnsi="Times New Roman" w:cs="Times New Roman"/>
          <w:b/>
          <w:bCs/>
        </w:rPr>
        <w:t>Table 2</w:t>
      </w:r>
      <w:r w:rsidRPr="005E19CA">
        <w:rPr>
          <w:rFonts w:ascii="Times New Roman" w:hAnsi="Times New Roman" w:cs="Times New Roman"/>
          <w:b/>
          <w:bCs/>
        </w:rPr>
        <w:t>.</w:t>
      </w:r>
      <w:r w:rsidRPr="008F68DF">
        <w:rPr>
          <w:rFonts w:ascii="Times New Roman" w:hAnsi="Times New Roman" w:cs="Times New Roman"/>
        </w:rPr>
        <w:t xml:space="preserve"> Significant variability among genotypes was observed for all traits, indicating sufficient genetic diversity for effective selection.</w:t>
      </w:r>
    </w:p>
    <w:p w14:paraId="4D209A69" w14:textId="77777777" w:rsidR="008C2A21" w:rsidRPr="008F68DF" w:rsidRDefault="008C2A21" w:rsidP="008C2A21">
      <w:pPr>
        <w:spacing w:line="360" w:lineRule="auto"/>
        <w:jc w:val="both"/>
        <w:rPr>
          <w:rFonts w:ascii="Times New Roman" w:hAnsi="Times New Roman" w:cs="Times New Roman"/>
          <w:color w:val="000000" w:themeColor="text1"/>
          <w:sz w:val="18"/>
          <w:szCs w:val="18"/>
        </w:rPr>
      </w:pPr>
      <w:commentRangeStart w:id="4"/>
      <w:r>
        <w:rPr>
          <w:rFonts w:ascii="Times New Roman" w:hAnsi="Times New Roman" w:cs="Times New Roman"/>
          <w:b/>
          <w:bCs/>
          <w:color w:val="000000" w:themeColor="text1"/>
          <w:sz w:val="18"/>
          <w:szCs w:val="18"/>
        </w:rPr>
        <w:t>Table 2</w:t>
      </w:r>
      <w:r w:rsidRPr="008F68DF">
        <w:rPr>
          <w:rFonts w:ascii="Times New Roman" w:hAnsi="Times New Roman" w:cs="Times New Roman"/>
          <w:b/>
          <w:bCs/>
          <w:color w:val="000000" w:themeColor="text1"/>
          <w:sz w:val="18"/>
          <w:szCs w:val="18"/>
        </w:rPr>
        <w:t>.</w:t>
      </w:r>
      <w:r w:rsidRPr="008F68DF">
        <w:rPr>
          <w:rFonts w:ascii="Times New Roman" w:hAnsi="Times New Roman" w:cs="Times New Roman"/>
          <w:color w:val="000000" w:themeColor="text1"/>
          <w:sz w:val="18"/>
          <w:szCs w:val="18"/>
        </w:rPr>
        <w:t xml:space="preserve"> Range, mean, variability parameters, heritability and genetic advance (mean %) for fourteen characters in quinoa</w:t>
      </w:r>
      <w:commentRangeEnd w:id="4"/>
      <w:r w:rsidR="00D70BB5" w:rsidRPr="008F68DF">
        <w:rPr>
          <w:rStyle w:val="CommentReference"/>
          <w:rFonts w:ascii="Times New Roman" w:hAnsi="Times New Roman" w:cs="Times New Roman"/>
          <w:color w:val="000000" w:themeColor="text1"/>
          <w:sz w:val="18"/>
          <w:szCs w:val="18"/>
        </w:rPr>
        <w:commentReference w:id="4"/>
      </w:r>
    </w:p>
    <w:tbl>
      <w:tblPr>
        <w:tblStyle w:val="TableGrid"/>
        <w:tblW w:w="5000" w:type="pct"/>
        <w:tblLook w:val="04A0" w:firstRow="1" w:lastRow="0" w:firstColumn="1" w:lastColumn="0" w:noHBand="0" w:noVBand="1"/>
      </w:tblPr>
      <w:tblGrid>
        <w:gridCol w:w="514"/>
        <w:gridCol w:w="1931"/>
        <w:gridCol w:w="772"/>
        <w:gridCol w:w="772"/>
        <w:gridCol w:w="772"/>
        <w:gridCol w:w="770"/>
        <w:gridCol w:w="668"/>
        <w:gridCol w:w="668"/>
        <w:gridCol w:w="668"/>
        <w:gridCol w:w="668"/>
        <w:gridCol w:w="668"/>
        <w:gridCol w:w="705"/>
      </w:tblGrid>
      <w:tr w:rsidR="008C2A21" w:rsidRPr="008C2A21" w14:paraId="3B3BF91D" w14:textId="77777777" w:rsidTr="008C2A21">
        <w:trPr>
          <w:trHeight w:val="554"/>
        </w:trPr>
        <w:tc>
          <w:tcPr>
            <w:tcW w:w="268" w:type="pct"/>
            <w:tcBorders>
              <w:top w:val="single" w:sz="4" w:space="0" w:color="auto"/>
            </w:tcBorders>
            <w:vAlign w:val="center"/>
          </w:tcPr>
          <w:p w14:paraId="76D09BFD"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Sr. No.</w:t>
            </w:r>
          </w:p>
        </w:tc>
        <w:tc>
          <w:tcPr>
            <w:tcW w:w="1008" w:type="pct"/>
            <w:tcBorders>
              <w:top w:val="single" w:sz="4" w:space="0" w:color="auto"/>
            </w:tcBorders>
            <w:vAlign w:val="center"/>
          </w:tcPr>
          <w:p w14:paraId="3BFD1DB0"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Characters</w:t>
            </w:r>
          </w:p>
        </w:tc>
        <w:tc>
          <w:tcPr>
            <w:tcW w:w="403" w:type="pct"/>
            <w:tcBorders>
              <w:top w:val="single" w:sz="4" w:space="0" w:color="auto"/>
            </w:tcBorders>
            <w:vAlign w:val="center"/>
          </w:tcPr>
          <w:p w14:paraId="7868CE9D"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Range</w:t>
            </w:r>
          </w:p>
        </w:tc>
        <w:tc>
          <w:tcPr>
            <w:tcW w:w="403" w:type="pct"/>
            <w:tcBorders>
              <w:top w:val="single" w:sz="4" w:space="0" w:color="auto"/>
            </w:tcBorders>
            <w:vAlign w:val="center"/>
          </w:tcPr>
          <w:p w14:paraId="67CB4987"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Mean</w:t>
            </w:r>
          </w:p>
        </w:tc>
        <w:tc>
          <w:tcPr>
            <w:tcW w:w="403" w:type="pct"/>
            <w:tcBorders>
              <w:top w:val="single" w:sz="4" w:space="0" w:color="auto"/>
            </w:tcBorders>
            <w:vAlign w:val="center"/>
          </w:tcPr>
          <w:p w14:paraId="7CD0C0D7"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position w:val="-10"/>
                <w:sz w:val="20"/>
                <w:szCs w:val="20"/>
              </w:rPr>
              <w:t>σ</w:t>
            </w:r>
            <w:r w:rsidRPr="008C2A21">
              <w:rPr>
                <w:rFonts w:ascii="Times New Roman" w:hAnsi="Times New Roman" w:cs="Times New Roman"/>
                <w:b/>
                <w:bCs/>
                <w:color w:val="000000" w:themeColor="text1"/>
                <w:position w:val="-10"/>
                <w:sz w:val="20"/>
                <w:szCs w:val="20"/>
                <w:vertAlign w:val="superscript"/>
              </w:rPr>
              <w:t>2</w:t>
            </w:r>
            <w:r w:rsidRPr="008C2A21">
              <w:rPr>
                <w:rFonts w:ascii="Times New Roman" w:hAnsi="Times New Roman" w:cs="Times New Roman"/>
                <w:b/>
                <w:bCs/>
                <w:color w:val="000000" w:themeColor="text1"/>
                <w:position w:val="-13"/>
                <w:sz w:val="20"/>
                <w:szCs w:val="20"/>
                <w:vertAlign w:val="subscript"/>
              </w:rPr>
              <w:t>g</w:t>
            </w:r>
          </w:p>
        </w:tc>
        <w:tc>
          <w:tcPr>
            <w:tcW w:w="402" w:type="pct"/>
            <w:tcBorders>
              <w:top w:val="single" w:sz="4" w:space="0" w:color="auto"/>
            </w:tcBorders>
            <w:vAlign w:val="center"/>
          </w:tcPr>
          <w:p w14:paraId="6F830185"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position w:val="-10"/>
                <w:sz w:val="20"/>
                <w:szCs w:val="20"/>
              </w:rPr>
              <w:t>σ</w:t>
            </w:r>
            <w:r w:rsidRPr="008C2A21">
              <w:rPr>
                <w:rFonts w:ascii="Times New Roman" w:hAnsi="Times New Roman" w:cs="Times New Roman"/>
                <w:b/>
                <w:bCs/>
                <w:color w:val="000000" w:themeColor="text1"/>
                <w:position w:val="-10"/>
                <w:sz w:val="20"/>
                <w:szCs w:val="20"/>
                <w:vertAlign w:val="superscript"/>
              </w:rPr>
              <w:t>2</w:t>
            </w:r>
            <w:r w:rsidRPr="008C2A21">
              <w:rPr>
                <w:rFonts w:ascii="Times New Roman" w:hAnsi="Times New Roman" w:cs="Times New Roman"/>
                <w:b/>
                <w:bCs/>
                <w:color w:val="000000" w:themeColor="text1"/>
                <w:position w:val="-13"/>
                <w:sz w:val="20"/>
                <w:szCs w:val="20"/>
                <w:vertAlign w:val="subscript"/>
              </w:rPr>
              <w:t>p</w:t>
            </w:r>
          </w:p>
        </w:tc>
        <w:tc>
          <w:tcPr>
            <w:tcW w:w="349" w:type="pct"/>
            <w:tcBorders>
              <w:top w:val="single" w:sz="4" w:space="0" w:color="auto"/>
            </w:tcBorders>
            <w:vAlign w:val="center"/>
          </w:tcPr>
          <w:p w14:paraId="0FDE509E"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position w:val="-10"/>
                <w:sz w:val="20"/>
                <w:szCs w:val="20"/>
              </w:rPr>
              <w:t>σ</w:t>
            </w:r>
            <w:r w:rsidRPr="008C2A21">
              <w:rPr>
                <w:rFonts w:ascii="Times New Roman" w:hAnsi="Times New Roman" w:cs="Times New Roman"/>
                <w:b/>
                <w:bCs/>
                <w:color w:val="000000" w:themeColor="text1"/>
                <w:position w:val="-10"/>
                <w:sz w:val="20"/>
                <w:szCs w:val="20"/>
                <w:vertAlign w:val="superscript"/>
              </w:rPr>
              <w:t>2</w:t>
            </w:r>
            <w:r w:rsidRPr="008C2A21">
              <w:rPr>
                <w:rFonts w:ascii="Times New Roman" w:hAnsi="Times New Roman" w:cs="Times New Roman"/>
                <w:b/>
                <w:bCs/>
                <w:color w:val="000000" w:themeColor="text1"/>
                <w:position w:val="-13"/>
                <w:sz w:val="20"/>
                <w:szCs w:val="20"/>
                <w:vertAlign w:val="subscript"/>
              </w:rPr>
              <w:t>e</w:t>
            </w:r>
          </w:p>
        </w:tc>
        <w:tc>
          <w:tcPr>
            <w:tcW w:w="349" w:type="pct"/>
            <w:tcBorders>
              <w:top w:val="single" w:sz="4" w:space="0" w:color="auto"/>
            </w:tcBorders>
            <w:vAlign w:val="center"/>
          </w:tcPr>
          <w:p w14:paraId="5EC77644"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GCV (%)</w:t>
            </w:r>
          </w:p>
        </w:tc>
        <w:tc>
          <w:tcPr>
            <w:tcW w:w="349" w:type="pct"/>
            <w:tcBorders>
              <w:top w:val="single" w:sz="4" w:space="0" w:color="auto"/>
            </w:tcBorders>
            <w:vAlign w:val="center"/>
          </w:tcPr>
          <w:p w14:paraId="251109BD"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PCV (%)</w:t>
            </w:r>
          </w:p>
        </w:tc>
        <w:tc>
          <w:tcPr>
            <w:tcW w:w="349" w:type="pct"/>
            <w:tcBorders>
              <w:top w:val="single" w:sz="4" w:space="0" w:color="auto"/>
            </w:tcBorders>
            <w:vAlign w:val="center"/>
          </w:tcPr>
          <w:p w14:paraId="19AF54E1"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h</w:t>
            </w:r>
            <w:r w:rsidRPr="008C2A21">
              <w:rPr>
                <w:rFonts w:ascii="Times New Roman" w:hAnsi="Times New Roman" w:cs="Times New Roman"/>
                <w:b/>
                <w:bCs/>
                <w:color w:val="000000" w:themeColor="text1"/>
                <w:sz w:val="20"/>
                <w:szCs w:val="20"/>
                <w:vertAlign w:val="superscript"/>
              </w:rPr>
              <w:t>2</w:t>
            </w:r>
            <w:r w:rsidRPr="008C2A21">
              <w:rPr>
                <w:rFonts w:ascii="Times New Roman" w:hAnsi="Times New Roman" w:cs="Times New Roman"/>
                <w:b/>
                <w:bCs/>
                <w:color w:val="000000" w:themeColor="text1"/>
                <w:sz w:val="20"/>
                <w:szCs w:val="20"/>
                <w:vertAlign w:val="subscript"/>
              </w:rPr>
              <w:t>(b)</w:t>
            </w:r>
            <w:r w:rsidRPr="008C2A21">
              <w:rPr>
                <w:rFonts w:ascii="Times New Roman" w:hAnsi="Times New Roman" w:cs="Times New Roman"/>
                <w:b/>
                <w:bCs/>
                <w:color w:val="000000" w:themeColor="text1"/>
                <w:sz w:val="20"/>
                <w:szCs w:val="20"/>
              </w:rPr>
              <w:t xml:space="preserve"> (%)</w:t>
            </w:r>
          </w:p>
        </w:tc>
        <w:tc>
          <w:tcPr>
            <w:tcW w:w="349" w:type="pct"/>
            <w:tcBorders>
              <w:top w:val="single" w:sz="4" w:space="0" w:color="auto"/>
            </w:tcBorders>
            <w:vAlign w:val="center"/>
          </w:tcPr>
          <w:p w14:paraId="7657FE92"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GA</w:t>
            </w:r>
          </w:p>
        </w:tc>
        <w:tc>
          <w:tcPr>
            <w:tcW w:w="368" w:type="pct"/>
            <w:tcBorders>
              <w:top w:val="single" w:sz="4" w:space="0" w:color="auto"/>
            </w:tcBorders>
            <w:vAlign w:val="center"/>
          </w:tcPr>
          <w:p w14:paraId="28CE2824"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GAM</w:t>
            </w:r>
          </w:p>
          <w:p w14:paraId="07E6C5B9"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w:t>
            </w:r>
          </w:p>
        </w:tc>
      </w:tr>
      <w:tr w:rsidR="008C2A21" w:rsidRPr="008C2A21" w14:paraId="52ED57F2" w14:textId="77777777" w:rsidTr="008C2A21">
        <w:trPr>
          <w:trHeight w:val="277"/>
        </w:trPr>
        <w:tc>
          <w:tcPr>
            <w:tcW w:w="268" w:type="pct"/>
            <w:vAlign w:val="center"/>
          </w:tcPr>
          <w:p w14:paraId="06D09C24"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w:t>
            </w:r>
          </w:p>
        </w:tc>
        <w:tc>
          <w:tcPr>
            <w:tcW w:w="1008" w:type="pct"/>
            <w:vAlign w:val="center"/>
          </w:tcPr>
          <w:p w14:paraId="0C02B2F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Days to 50 per cent flowering</w:t>
            </w:r>
          </w:p>
        </w:tc>
        <w:tc>
          <w:tcPr>
            <w:tcW w:w="403" w:type="pct"/>
            <w:vAlign w:val="center"/>
          </w:tcPr>
          <w:p w14:paraId="5E97CBA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36.00-49.67</w:t>
            </w:r>
          </w:p>
        </w:tc>
        <w:tc>
          <w:tcPr>
            <w:tcW w:w="403" w:type="pct"/>
            <w:vAlign w:val="center"/>
          </w:tcPr>
          <w:p w14:paraId="006C821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42.69</w:t>
            </w:r>
          </w:p>
        </w:tc>
        <w:tc>
          <w:tcPr>
            <w:tcW w:w="403" w:type="pct"/>
            <w:vAlign w:val="center"/>
          </w:tcPr>
          <w:p w14:paraId="5DC662B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13.22</w:t>
            </w:r>
          </w:p>
        </w:tc>
        <w:tc>
          <w:tcPr>
            <w:tcW w:w="402" w:type="pct"/>
            <w:vAlign w:val="center"/>
          </w:tcPr>
          <w:p w14:paraId="1EC634E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16.73</w:t>
            </w:r>
          </w:p>
        </w:tc>
        <w:tc>
          <w:tcPr>
            <w:tcW w:w="349" w:type="pct"/>
            <w:vAlign w:val="center"/>
          </w:tcPr>
          <w:p w14:paraId="34E8D4E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3.51</w:t>
            </w:r>
          </w:p>
        </w:tc>
        <w:tc>
          <w:tcPr>
            <w:tcW w:w="349" w:type="pct"/>
            <w:vAlign w:val="center"/>
          </w:tcPr>
          <w:p w14:paraId="633D020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8.51</w:t>
            </w:r>
          </w:p>
        </w:tc>
        <w:tc>
          <w:tcPr>
            <w:tcW w:w="349" w:type="pct"/>
            <w:vAlign w:val="center"/>
          </w:tcPr>
          <w:p w14:paraId="3683AB6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9.58</w:t>
            </w:r>
          </w:p>
        </w:tc>
        <w:tc>
          <w:tcPr>
            <w:tcW w:w="349" w:type="pct"/>
            <w:vAlign w:val="center"/>
          </w:tcPr>
          <w:p w14:paraId="74532E4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78.92</w:t>
            </w:r>
          </w:p>
        </w:tc>
        <w:tc>
          <w:tcPr>
            <w:tcW w:w="349" w:type="pct"/>
            <w:vAlign w:val="center"/>
          </w:tcPr>
          <w:p w14:paraId="3622A1B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6.65</w:t>
            </w:r>
          </w:p>
        </w:tc>
        <w:tc>
          <w:tcPr>
            <w:tcW w:w="368" w:type="pct"/>
            <w:vAlign w:val="center"/>
          </w:tcPr>
          <w:p w14:paraId="69A3FB5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15.59</w:t>
            </w:r>
          </w:p>
        </w:tc>
      </w:tr>
      <w:tr w:rsidR="008C2A21" w:rsidRPr="008C2A21" w14:paraId="1D9CA4DE" w14:textId="77777777" w:rsidTr="008C2A21">
        <w:trPr>
          <w:trHeight w:val="265"/>
        </w:trPr>
        <w:tc>
          <w:tcPr>
            <w:tcW w:w="268" w:type="pct"/>
            <w:vAlign w:val="center"/>
          </w:tcPr>
          <w:p w14:paraId="7653D2FA"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2</w:t>
            </w:r>
          </w:p>
        </w:tc>
        <w:tc>
          <w:tcPr>
            <w:tcW w:w="1008" w:type="pct"/>
            <w:vAlign w:val="center"/>
          </w:tcPr>
          <w:p w14:paraId="08D1A88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Days to maturity</w:t>
            </w:r>
          </w:p>
        </w:tc>
        <w:tc>
          <w:tcPr>
            <w:tcW w:w="403" w:type="pct"/>
            <w:vAlign w:val="center"/>
          </w:tcPr>
          <w:p w14:paraId="6E3ADF2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92.00-114.00</w:t>
            </w:r>
          </w:p>
        </w:tc>
        <w:tc>
          <w:tcPr>
            <w:tcW w:w="403" w:type="pct"/>
            <w:vAlign w:val="center"/>
          </w:tcPr>
          <w:p w14:paraId="638F465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104.79</w:t>
            </w:r>
          </w:p>
        </w:tc>
        <w:tc>
          <w:tcPr>
            <w:tcW w:w="403" w:type="pct"/>
            <w:vAlign w:val="center"/>
          </w:tcPr>
          <w:p w14:paraId="0A8A3E9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56.80</w:t>
            </w:r>
          </w:p>
        </w:tc>
        <w:tc>
          <w:tcPr>
            <w:tcW w:w="402" w:type="pct"/>
            <w:vAlign w:val="center"/>
          </w:tcPr>
          <w:p w14:paraId="748EF4A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69.17</w:t>
            </w:r>
          </w:p>
        </w:tc>
        <w:tc>
          <w:tcPr>
            <w:tcW w:w="349" w:type="pct"/>
            <w:vAlign w:val="center"/>
          </w:tcPr>
          <w:p w14:paraId="2B4D6CF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12.37</w:t>
            </w:r>
          </w:p>
        </w:tc>
        <w:tc>
          <w:tcPr>
            <w:tcW w:w="349" w:type="pct"/>
            <w:vAlign w:val="center"/>
          </w:tcPr>
          <w:p w14:paraId="5458EFCE"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7.19</w:t>
            </w:r>
          </w:p>
        </w:tc>
        <w:tc>
          <w:tcPr>
            <w:tcW w:w="349" w:type="pct"/>
            <w:vAlign w:val="center"/>
          </w:tcPr>
          <w:p w14:paraId="72F489A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7.93</w:t>
            </w:r>
          </w:p>
        </w:tc>
        <w:tc>
          <w:tcPr>
            <w:tcW w:w="349" w:type="pct"/>
            <w:vAlign w:val="center"/>
          </w:tcPr>
          <w:p w14:paraId="2A51A10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82.11</w:t>
            </w:r>
          </w:p>
        </w:tc>
        <w:tc>
          <w:tcPr>
            <w:tcW w:w="349" w:type="pct"/>
            <w:vAlign w:val="center"/>
          </w:tcPr>
          <w:p w14:paraId="189AC5B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14.06</w:t>
            </w:r>
          </w:p>
        </w:tc>
        <w:tc>
          <w:tcPr>
            <w:tcW w:w="368" w:type="pct"/>
            <w:vAlign w:val="center"/>
          </w:tcPr>
          <w:p w14:paraId="04A0886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13.42</w:t>
            </w:r>
          </w:p>
        </w:tc>
      </w:tr>
      <w:tr w:rsidR="008C2A21" w:rsidRPr="008C2A21" w14:paraId="17164BB5" w14:textId="77777777" w:rsidTr="008C2A21">
        <w:trPr>
          <w:trHeight w:val="277"/>
        </w:trPr>
        <w:tc>
          <w:tcPr>
            <w:tcW w:w="268" w:type="pct"/>
            <w:vAlign w:val="center"/>
          </w:tcPr>
          <w:p w14:paraId="1D6D91E5"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3</w:t>
            </w:r>
          </w:p>
        </w:tc>
        <w:tc>
          <w:tcPr>
            <w:tcW w:w="1008" w:type="pct"/>
            <w:vAlign w:val="center"/>
          </w:tcPr>
          <w:p w14:paraId="0F82CF5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Plant height (cm)</w:t>
            </w:r>
          </w:p>
        </w:tc>
        <w:tc>
          <w:tcPr>
            <w:tcW w:w="403" w:type="pct"/>
            <w:vAlign w:val="center"/>
          </w:tcPr>
          <w:p w14:paraId="28590B9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90.40-142.40</w:t>
            </w:r>
          </w:p>
        </w:tc>
        <w:tc>
          <w:tcPr>
            <w:tcW w:w="403" w:type="pct"/>
            <w:vAlign w:val="center"/>
          </w:tcPr>
          <w:p w14:paraId="7B1E17D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114.84</w:t>
            </w:r>
          </w:p>
        </w:tc>
        <w:tc>
          <w:tcPr>
            <w:tcW w:w="403" w:type="pct"/>
            <w:vAlign w:val="center"/>
          </w:tcPr>
          <w:p w14:paraId="4C855C3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131.92</w:t>
            </w:r>
          </w:p>
        </w:tc>
        <w:tc>
          <w:tcPr>
            <w:tcW w:w="402" w:type="pct"/>
            <w:vAlign w:val="center"/>
          </w:tcPr>
          <w:p w14:paraId="33304E6D"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162.00</w:t>
            </w:r>
          </w:p>
        </w:tc>
        <w:tc>
          <w:tcPr>
            <w:tcW w:w="349" w:type="pct"/>
            <w:vAlign w:val="center"/>
          </w:tcPr>
          <w:p w14:paraId="5F3D834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30.08</w:t>
            </w:r>
          </w:p>
        </w:tc>
        <w:tc>
          <w:tcPr>
            <w:tcW w:w="349" w:type="pct"/>
            <w:vAlign w:val="center"/>
          </w:tcPr>
          <w:p w14:paraId="55E18F1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10.00</w:t>
            </w:r>
          </w:p>
        </w:tc>
        <w:tc>
          <w:tcPr>
            <w:tcW w:w="349" w:type="pct"/>
            <w:vAlign w:val="center"/>
          </w:tcPr>
          <w:p w14:paraId="493C02F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11.08</w:t>
            </w:r>
          </w:p>
        </w:tc>
        <w:tc>
          <w:tcPr>
            <w:tcW w:w="349" w:type="pct"/>
            <w:vAlign w:val="center"/>
          </w:tcPr>
          <w:p w14:paraId="1E4B40E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81.43</w:t>
            </w:r>
          </w:p>
        </w:tc>
        <w:tc>
          <w:tcPr>
            <w:tcW w:w="349" w:type="pct"/>
            <w:vAlign w:val="center"/>
          </w:tcPr>
          <w:p w14:paraId="4805E96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21.35</w:t>
            </w:r>
          </w:p>
        </w:tc>
        <w:tc>
          <w:tcPr>
            <w:tcW w:w="368" w:type="pct"/>
            <w:vAlign w:val="center"/>
          </w:tcPr>
          <w:p w14:paraId="25D9296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18.59</w:t>
            </w:r>
          </w:p>
        </w:tc>
      </w:tr>
      <w:tr w:rsidR="008C2A21" w:rsidRPr="008C2A21" w14:paraId="3F4037CE" w14:textId="77777777" w:rsidTr="008C2A21">
        <w:trPr>
          <w:trHeight w:val="277"/>
        </w:trPr>
        <w:tc>
          <w:tcPr>
            <w:tcW w:w="268" w:type="pct"/>
            <w:vAlign w:val="center"/>
          </w:tcPr>
          <w:p w14:paraId="4D6318D3"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4</w:t>
            </w:r>
          </w:p>
        </w:tc>
        <w:tc>
          <w:tcPr>
            <w:tcW w:w="1008" w:type="pct"/>
            <w:vAlign w:val="center"/>
          </w:tcPr>
          <w:p w14:paraId="6DBC27B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Number of branches per plant</w:t>
            </w:r>
          </w:p>
        </w:tc>
        <w:tc>
          <w:tcPr>
            <w:tcW w:w="403" w:type="pct"/>
            <w:vAlign w:val="center"/>
          </w:tcPr>
          <w:p w14:paraId="664CD29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1.20-3.20</w:t>
            </w:r>
          </w:p>
        </w:tc>
        <w:tc>
          <w:tcPr>
            <w:tcW w:w="403" w:type="pct"/>
            <w:vAlign w:val="center"/>
          </w:tcPr>
          <w:p w14:paraId="2C3740A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2.04</w:t>
            </w:r>
          </w:p>
        </w:tc>
        <w:tc>
          <w:tcPr>
            <w:tcW w:w="403" w:type="pct"/>
            <w:vAlign w:val="center"/>
          </w:tcPr>
          <w:p w14:paraId="5EB8D63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0.20</w:t>
            </w:r>
          </w:p>
        </w:tc>
        <w:tc>
          <w:tcPr>
            <w:tcW w:w="402" w:type="pct"/>
            <w:vAlign w:val="center"/>
          </w:tcPr>
          <w:p w14:paraId="73FE934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0.24</w:t>
            </w:r>
          </w:p>
        </w:tc>
        <w:tc>
          <w:tcPr>
            <w:tcW w:w="349" w:type="pct"/>
            <w:vAlign w:val="center"/>
          </w:tcPr>
          <w:p w14:paraId="08651DCE"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0.04</w:t>
            </w:r>
          </w:p>
        </w:tc>
        <w:tc>
          <w:tcPr>
            <w:tcW w:w="349" w:type="pct"/>
            <w:vAlign w:val="center"/>
          </w:tcPr>
          <w:p w14:paraId="2A352A0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21.95</w:t>
            </w:r>
          </w:p>
        </w:tc>
        <w:tc>
          <w:tcPr>
            <w:tcW w:w="349" w:type="pct"/>
            <w:vAlign w:val="center"/>
          </w:tcPr>
          <w:p w14:paraId="5499046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24.20</w:t>
            </w:r>
          </w:p>
        </w:tc>
        <w:tc>
          <w:tcPr>
            <w:tcW w:w="349" w:type="pct"/>
            <w:vAlign w:val="center"/>
          </w:tcPr>
          <w:p w14:paraId="0D4A214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82.24</w:t>
            </w:r>
          </w:p>
        </w:tc>
        <w:tc>
          <w:tcPr>
            <w:tcW w:w="349" w:type="pct"/>
            <w:vAlign w:val="center"/>
          </w:tcPr>
          <w:p w14:paraId="6FEAABE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0.83</w:t>
            </w:r>
          </w:p>
        </w:tc>
        <w:tc>
          <w:tcPr>
            <w:tcW w:w="368" w:type="pct"/>
            <w:vAlign w:val="center"/>
          </w:tcPr>
          <w:p w14:paraId="18D1AF5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41.02</w:t>
            </w:r>
          </w:p>
        </w:tc>
      </w:tr>
      <w:tr w:rsidR="008C2A21" w:rsidRPr="008C2A21" w14:paraId="3B95C8C0" w14:textId="77777777" w:rsidTr="008C2A21">
        <w:trPr>
          <w:trHeight w:val="277"/>
        </w:trPr>
        <w:tc>
          <w:tcPr>
            <w:tcW w:w="268" w:type="pct"/>
            <w:vAlign w:val="center"/>
          </w:tcPr>
          <w:p w14:paraId="1DA9B134"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5</w:t>
            </w:r>
          </w:p>
        </w:tc>
        <w:tc>
          <w:tcPr>
            <w:tcW w:w="1008" w:type="pct"/>
            <w:vAlign w:val="center"/>
          </w:tcPr>
          <w:p w14:paraId="11FFE9C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 xml:space="preserve">Number of inflorescences per plant </w:t>
            </w:r>
          </w:p>
        </w:tc>
        <w:tc>
          <w:tcPr>
            <w:tcW w:w="403" w:type="pct"/>
            <w:vAlign w:val="center"/>
          </w:tcPr>
          <w:p w14:paraId="21B8B25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1.07-3.03</w:t>
            </w:r>
          </w:p>
        </w:tc>
        <w:tc>
          <w:tcPr>
            <w:tcW w:w="403" w:type="pct"/>
            <w:vAlign w:val="center"/>
          </w:tcPr>
          <w:p w14:paraId="459D8F4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1.90</w:t>
            </w:r>
          </w:p>
        </w:tc>
        <w:tc>
          <w:tcPr>
            <w:tcW w:w="403" w:type="pct"/>
            <w:vAlign w:val="center"/>
          </w:tcPr>
          <w:p w14:paraId="488ED6C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0.22</w:t>
            </w:r>
          </w:p>
        </w:tc>
        <w:tc>
          <w:tcPr>
            <w:tcW w:w="402" w:type="pct"/>
            <w:vAlign w:val="center"/>
          </w:tcPr>
          <w:p w14:paraId="2AD1B84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0.26</w:t>
            </w:r>
          </w:p>
        </w:tc>
        <w:tc>
          <w:tcPr>
            <w:tcW w:w="349" w:type="pct"/>
            <w:vAlign w:val="center"/>
          </w:tcPr>
          <w:p w14:paraId="4A965F0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0.04</w:t>
            </w:r>
          </w:p>
        </w:tc>
        <w:tc>
          <w:tcPr>
            <w:tcW w:w="349" w:type="pct"/>
            <w:vAlign w:val="center"/>
          </w:tcPr>
          <w:p w14:paraId="05C90324"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24.77</w:t>
            </w:r>
          </w:p>
        </w:tc>
        <w:tc>
          <w:tcPr>
            <w:tcW w:w="349" w:type="pct"/>
            <w:vAlign w:val="center"/>
          </w:tcPr>
          <w:p w14:paraId="0B8A1CE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26.93</w:t>
            </w:r>
          </w:p>
        </w:tc>
        <w:tc>
          <w:tcPr>
            <w:tcW w:w="349" w:type="pct"/>
            <w:vAlign w:val="center"/>
          </w:tcPr>
          <w:p w14:paraId="4C836C7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84.59</w:t>
            </w:r>
          </w:p>
        </w:tc>
        <w:tc>
          <w:tcPr>
            <w:tcW w:w="349" w:type="pct"/>
            <w:vAlign w:val="center"/>
          </w:tcPr>
          <w:p w14:paraId="68E4BA9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0.891</w:t>
            </w:r>
          </w:p>
        </w:tc>
        <w:tc>
          <w:tcPr>
            <w:tcW w:w="368" w:type="pct"/>
            <w:vAlign w:val="center"/>
          </w:tcPr>
          <w:p w14:paraId="29D716E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46.93</w:t>
            </w:r>
          </w:p>
        </w:tc>
      </w:tr>
      <w:tr w:rsidR="008C2A21" w:rsidRPr="008C2A21" w14:paraId="3F237C38" w14:textId="77777777" w:rsidTr="008C2A21">
        <w:trPr>
          <w:trHeight w:val="277"/>
        </w:trPr>
        <w:tc>
          <w:tcPr>
            <w:tcW w:w="268" w:type="pct"/>
            <w:vAlign w:val="center"/>
          </w:tcPr>
          <w:p w14:paraId="7C432FC2"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6</w:t>
            </w:r>
          </w:p>
        </w:tc>
        <w:tc>
          <w:tcPr>
            <w:tcW w:w="1008" w:type="pct"/>
            <w:vAlign w:val="center"/>
          </w:tcPr>
          <w:p w14:paraId="388C26A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Length of inflorescence</w:t>
            </w:r>
          </w:p>
        </w:tc>
        <w:tc>
          <w:tcPr>
            <w:tcW w:w="403" w:type="pct"/>
            <w:vAlign w:val="center"/>
          </w:tcPr>
          <w:p w14:paraId="73B3B43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23.27-34.80</w:t>
            </w:r>
          </w:p>
        </w:tc>
        <w:tc>
          <w:tcPr>
            <w:tcW w:w="403" w:type="pct"/>
            <w:vAlign w:val="center"/>
          </w:tcPr>
          <w:p w14:paraId="5014F91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27.83</w:t>
            </w:r>
          </w:p>
        </w:tc>
        <w:tc>
          <w:tcPr>
            <w:tcW w:w="403" w:type="pct"/>
            <w:vAlign w:val="center"/>
          </w:tcPr>
          <w:p w14:paraId="4FA3FAC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6.85</w:t>
            </w:r>
          </w:p>
        </w:tc>
        <w:tc>
          <w:tcPr>
            <w:tcW w:w="402" w:type="pct"/>
            <w:vAlign w:val="center"/>
          </w:tcPr>
          <w:p w14:paraId="60D8C34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8.61</w:t>
            </w:r>
          </w:p>
        </w:tc>
        <w:tc>
          <w:tcPr>
            <w:tcW w:w="349" w:type="pct"/>
            <w:vAlign w:val="center"/>
          </w:tcPr>
          <w:p w14:paraId="76C8D8A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1.76</w:t>
            </w:r>
          </w:p>
        </w:tc>
        <w:tc>
          <w:tcPr>
            <w:tcW w:w="349" w:type="pct"/>
            <w:vAlign w:val="center"/>
          </w:tcPr>
          <w:p w14:paraId="122C78A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9.40</w:t>
            </w:r>
          </w:p>
        </w:tc>
        <w:tc>
          <w:tcPr>
            <w:tcW w:w="349" w:type="pct"/>
            <w:vAlign w:val="center"/>
          </w:tcPr>
          <w:p w14:paraId="4F1D6D6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10.55</w:t>
            </w:r>
          </w:p>
        </w:tc>
        <w:tc>
          <w:tcPr>
            <w:tcW w:w="349" w:type="pct"/>
            <w:vAlign w:val="center"/>
          </w:tcPr>
          <w:p w14:paraId="36FB780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79.51</w:t>
            </w:r>
          </w:p>
        </w:tc>
        <w:tc>
          <w:tcPr>
            <w:tcW w:w="349" w:type="pct"/>
            <w:vAlign w:val="center"/>
          </w:tcPr>
          <w:p w14:paraId="6838ED2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4.80</w:t>
            </w:r>
          </w:p>
        </w:tc>
        <w:tc>
          <w:tcPr>
            <w:tcW w:w="368" w:type="pct"/>
            <w:vAlign w:val="center"/>
          </w:tcPr>
          <w:p w14:paraId="6AEDC82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17.28</w:t>
            </w:r>
          </w:p>
        </w:tc>
      </w:tr>
      <w:tr w:rsidR="008C2A21" w:rsidRPr="008C2A21" w14:paraId="77AE5E7E" w14:textId="77777777" w:rsidTr="008C2A21">
        <w:trPr>
          <w:trHeight w:val="277"/>
        </w:trPr>
        <w:tc>
          <w:tcPr>
            <w:tcW w:w="268" w:type="pct"/>
            <w:vAlign w:val="center"/>
          </w:tcPr>
          <w:p w14:paraId="4F614F47"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7</w:t>
            </w:r>
          </w:p>
        </w:tc>
        <w:tc>
          <w:tcPr>
            <w:tcW w:w="1008" w:type="pct"/>
            <w:vAlign w:val="center"/>
          </w:tcPr>
          <w:p w14:paraId="632B35F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 xml:space="preserve">Girth of inflorescence  </w:t>
            </w:r>
          </w:p>
        </w:tc>
        <w:tc>
          <w:tcPr>
            <w:tcW w:w="403" w:type="pct"/>
            <w:vAlign w:val="center"/>
          </w:tcPr>
          <w:p w14:paraId="0BC19F5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8.60-17.90</w:t>
            </w:r>
          </w:p>
        </w:tc>
        <w:tc>
          <w:tcPr>
            <w:tcW w:w="403" w:type="pct"/>
            <w:vAlign w:val="center"/>
          </w:tcPr>
          <w:p w14:paraId="1E0AB44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11.77</w:t>
            </w:r>
          </w:p>
        </w:tc>
        <w:tc>
          <w:tcPr>
            <w:tcW w:w="403" w:type="pct"/>
            <w:vAlign w:val="center"/>
          </w:tcPr>
          <w:p w14:paraId="1BB3FD2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4.44</w:t>
            </w:r>
          </w:p>
        </w:tc>
        <w:tc>
          <w:tcPr>
            <w:tcW w:w="402" w:type="pct"/>
            <w:vAlign w:val="center"/>
          </w:tcPr>
          <w:p w14:paraId="6303EC2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5.08</w:t>
            </w:r>
          </w:p>
        </w:tc>
        <w:tc>
          <w:tcPr>
            <w:tcW w:w="349" w:type="pct"/>
            <w:vAlign w:val="center"/>
          </w:tcPr>
          <w:p w14:paraId="2887815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0.64</w:t>
            </w:r>
          </w:p>
        </w:tc>
        <w:tc>
          <w:tcPr>
            <w:tcW w:w="349" w:type="pct"/>
            <w:vAlign w:val="center"/>
          </w:tcPr>
          <w:p w14:paraId="7179B30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17.90</w:t>
            </w:r>
          </w:p>
        </w:tc>
        <w:tc>
          <w:tcPr>
            <w:tcW w:w="349" w:type="pct"/>
            <w:vAlign w:val="center"/>
          </w:tcPr>
          <w:p w14:paraId="64D61E3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19.16</w:t>
            </w:r>
          </w:p>
        </w:tc>
        <w:tc>
          <w:tcPr>
            <w:tcW w:w="349" w:type="pct"/>
            <w:vAlign w:val="center"/>
          </w:tcPr>
          <w:p w14:paraId="0552C60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87.24</w:t>
            </w:r>
          </w:p>
        </w:tc>
        <w:tc>
          <w:tcPr>
            <w:tcW w:w="349" w:type="pct"/>
            <w:vAlign w:val="center"/>
          </w:tcPr>
          <w:p w14:paraId="5383D96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4.05</w:t>
            </w:r>
          </w:p>
        </w:tc>
        <w:tc>
          <w:tcPr>
            <w:tcW w:w="368" w:type="pct"/>
            <w:vAlign w:val="center"/>
          </w:tcPr>
          <w:p w14:paraId="04381C9D"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34.44</w:t>
            </w:r>
          </w:p>
        </w:tc>
      </w:tr>
      <w:tr w:rsidR="008C2A21" w:rsidRPr="008C2A21" w14:paraId="0DE5E416" w14:textId="77777777" w:rsidTr="008C2A21">
        <w:trPr>
          <w:trHeight w:val="265"/>
        </w:trPr>
        <w:tc>
          <w:tcPr>
            <w:tcW w:w="268" w:type="pct"/>
            <w:vAlign w:val="center"/>
          </w:tcPr>
          <w:p w14:paraId="776BEF19"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8</w:t>
            </w:r>
          </w:p>
        </w:tc>
        <w:tc>
          <w:tcPr>
            <w:tcW w:w="1008" w:type="pct"/>
            <w:vAlign w:val="center"/>
          </w:tcPr>
          <w:p w14:paraId="02C07E8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Biological yield per plant (g)</w:t>
            </w:r>
          </w:p>
        </w:tc>
        <w:tc>
          <w:tcPr>
            <w:tcW w:w="403" w:type="pct"/>
            <w:vAlign w:val="center"/>
          </w:tcPr>
          <w:p w14:paraId="2DC1EE6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21.33-49.23</w:t>
            </w:r>
          </w:p>
        </w:tc>
        <w:tc>
          <w:tcPr>
            <w:tcW w:w="403" w:type="pct"/>
            <w:vAlign w:val="center"/>
          </w:tcPr>
          <w:p w14:paraId="03E3F9E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31.99</w:t>
            </w:r>
          </w:p>
        </w:tc>
        <w:tc>
          <w:tcPr>
            <w:tcW w:w="403" w:type="pct"/>
            <w:vAlign w:val="center"/>
          </w:tcPr>
          <w:p w14:paraId="5BF7EA6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48.78</w:t>
            </w:r>
          </w:p>
        </w:tc>
        <w:tc>
          <w:tcPr>
            <w:tcW w:w="402" w:type="pct"/>
            <w:vAlign w:val="center"/>
          </w:tcPr>
          <w:p w14:paraId="50E7CA6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58.18</w:t>
            </w:r>
          </w:p>
        </w:tc>
        <w:tc>
          <w:tcPr>
            <w:tcW w:w="349" w:type="pct"/>
            <w:vAlign w:val="center"/>
          </w:tcPr>
          <w:p w14:paraId="674BD31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9.40</w:t>
            </w:r>
          </w:p>
        </w:tc>
        <w:tc>
          <w:tcPr>
            <w:tcW w:w="349" w:type="pct"/>
            <w:vAlign w:val="center"/>
          </w:tcPr>
          <w:p w14:paraId="62EDE9C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21.83</w:t>
            </w:r>
          </w:p>
        </w:tc>
        <w:tc>
          <w:tcPr>
            <w:tcW w:w="349" w:type="pct"/>
            <w:vAlign w:val="center"/>
          </w:tcPr>
          <w:p w14:paraId="5C2D672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23.84</w:t>
            </w:r>
          </w:p>
        </w:tc>
        <w:tc>
          <w:tcPr>
            <w:tcW w:w="349" w:type="pct"/>
            <w:vAlign w:val="center"/>
          </w:tcPr>
          <w:p w14:paraId="54DA4AE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83.84</w:t>
            </w:r>
          </w:p>
        </w:tc>
        <w:tc>
          <w:tcPr>
            <w:tcW w:w="349" w:type="pct"/>
            <w:vAlign w:val="center"/>
          </w:tcPr>
          <w:p w14:paraId="5578920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13.17</w:t>
            </w:r>
          </w:p>
        </w:tc>
        <w:tc>
          <w:tcPr>
            <w:tcW w:w="368" w:type="pct"/>
            <w:vAlign w:val="center"/>
          </w:tcPr>
          <w:p w14:paraId="0D86F80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41.18</w:t>
            </w:r>
          </w:p>
        </w:tc>
      </w:tr>
      <w:tr w:rsidR="008C2A21" w:rsidRPr="008C2A21" w14:paraId="2762CB19" w14:textId="77777777" w:rsidTr="008C2A21">
        <w:trPr>
          <w:trHeight w:val="277"/>
        </w:trPr>
        <w:tc>
          <w:tcPr>
            <w:tcW w:w="268" w:type="pct"/>
            <w:vAlign w:val="center"/>
          </w:tcPr>
          <w:p w14:paraId="476BD4AB"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9</w:t>
            </w:r>
          </w:p>
        </w:tc>
        <w:tc>
          <w:tcPr>
            <w:tcW w:w="1008" w:type="pct"/>
            <w:vAlign w:val="center"/>
          </w:tcPr>
          <w:p w14:paraId="0ECA723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1000 seed weight (g)</w:t>
            </w:r>
          </w:p>
        </w:tc>
        <w:tc>
          <w:tcPr>
            <w:tcW w:w="403" w:type="pct"/>
            <w:vAlign w:val="center"/>
          </w:tcPr>
          <w:p w14:paraId="078BCC5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3.80-6.33</w:t>
            </w:r>
          </w:p>
        </w:tc>
        <w:tc>
          <w:tcPr>
            <w:tcW w:w="403" w:type="pct"/>
            <w:vAlign w:val="center"/>
          </w:tcPr>
          <w:p w14:paraId="192B203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4.54</w:t>
            </w:r>
          </w:p>
        </w:tc>
        <w:tc>
          <w:tcPr>
            <w:tcW w:w="403" w:type="pct"/>
            <w:vAlign w:val="center"/>
          </w:tcPr>
          <w:p w14:paraId="267EB19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0.32</w:t>
            </w:r>
          </w:p>
        </w:tc>
        <w:tc>
          <w:tcPr>
            <w:tcW w:w="402" w:type="pct"/>
            <w:vAlign w:val="center"/>
          </w:tcPr>
          <w:p w14:paraId="656F099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0.43</w:t>
            </w:r>
          </w:p>
        </w:tc>
        <w:tc>
          <w:tcPr>
            <w:tcW w:w="349" w:type="pct"/>
            <w:vAlign w:val="center"/>
          </w:tcPr>
          <w:p w14:paraId="6FD0316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0.11</w:t>
            </w:r>
          </w:p>
        </w:tc>
        <w:tc>
          <w:tcPr>
            <w:tcW w:w="349" w:type="pct"/>
            <w:vAlign w:val="center"/>
          </w:tcPr>
          <w:p w14:paraId="21055D0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12.53</w:t>
            </w:r>
          </w:p>
        </w:tc>
        <w:tc>
          <w:tcPr>
            <w:tcW w:w="349" w:type="pct"/>
            <w:vAlign w:val="center"/>
          </w:tcPr>
          <w:p w14:paraId="65CE5FA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14.54</w:t>
            </w:r>
          </w:p>
        </w:tc>
        <w:tc>
          <w:tcPr>
            <w:tcW w:w="349" w:type="pct"/>
            <w:vAlign w:val="center"/>
          </w:tcPr>
          <w:p w14:paraId="39389DE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74.21</w:t>
            </w:r>
          </w:p>
        </w:tc>
        <w:tc>
          <w:tcPr>
            <w:tcW w:w="349" w:type="pct"/>
            <w:vAlign w:val="center"/>
          </w:tcPr>
          <w:p w14:paraId="4C0D7F2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1.00</w:t>
            </w:r>
          </w:p>
        </w:tc>
        <w:tc>
          <w:tcPr>
            <w:tcW w:w="368" w:type="pct"/>
            <w:vAlign w:val="center"/>
          </w:tcPr>
          <w:p w14:paraId="3CD3E0C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22.23</w:t>
            </w:r>
          </w:p>
        </w:tc>
      </w:tr>
      <w:tr w:rsidR="008C2A21" w:rsidRPr="008C2A21" w14:paraId="0E4BCD35" w14:textId="77777777" w:rsidTr="008C2A21">
        <w:trPr>
          <w:trHeight w:val="277"/>
        </w:trPr>
        <w:tc>
          <w:tcPr>
            <w:tcW w:w="268" w:type="pct"/>
            <w:vAlign w:val="center"/>
          </w:tcPr>
          <w:p w14:paraId="14163648"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10</w:t>
            </w:r>
          </w:p>
        </w:tc>
        <w:tc>
          <w:tcPr>
            <w:tcW w:w="1008" w:type="pct"/>
            <w:vAlign w:val="center"/>
          </w:tcPr>
          <w:p w14:paraId="332D247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Harvest index (%)</w:t>
            </w:r>
          </w:p>
        </w:tc>
        <w:tc>
          <w:tcPr>
            <w:tcW w:w="403" w:type="pct"/>
            <w:vAlign w:val="center"/>
          </w:tcPr>
          <w:p w14:paraId="65DD184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38.69-75.89</w:t>
            </w:r>
          </w:p>
        </w:tc>
        <w:tc>
          <w:tcPr>
            <w:tcW w:w="403" w:type="pct"/>
            <w:vAlign w:val="center"/>
          </w:tcPr>
          <w:p w14:paraId="6DF8A82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52.61</w:t>
            </w:r>
          </w:p>
        </w:tc>
        <w:tc>
          <w:tcPr>
            <w:tcW w:w="403" w:type="pct"/>
            <w:vAlign w:val="center"/>
          </w:tcPr>
          <w:p w14:paraId="77584DB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36.26</w:t>
            </w:r>
          </w:p>
        </w:tc>
        <w:tc>
          <w:tcPr>
            <w:tcW w:w="402" w:type="pct"/>
            <w:vAlign w:val="center"/>
          </w:tcPr>
          <w:p w14:paraId="11A951A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105.24</w:t>
            </w:r>
          </w:p>
        </w:tc>
        <w:tc>
          <w:tcPr>
            <w:tcW w:w="349" w:type="pct"/>
            <w:vAlign w:val="center"/>
          </w:tcPr>
          <w:p w14:paraId="27AE18C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68.98</w:t>
            </w:r>
          </w:p>
        </w:tc>
        <w:tc>
          <w:tcPr>
            <w:tcW w:w="349" w:type="pct"/>
            <w:vAlign w:val="center"/>
          </w:tcPr>
          <w:p w14:paraId="5CF8A0F1"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11.44</w:t>
            </w:r>
          </w:p>
        </w:tc>
        <w:tc>
          <w:tcPr>
            <w:tcW w:w="349" w:type="pct"/>
            <w:vAlign w:val="center"/>
          </w:tcPr>
          <w:p w14:paraId="49432EE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19.50</w:t>
            </w:r>
          </w:p>
        </w:tc>
        <w:tc>
          <w:tcPr>
            <w:tcW w:w="349" w:type="pct"/>
            <w:vAlign w:val="center"/>
          </w:tcPr>
          <w:p w14:paraId="316BC06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34.46</w:t>
            </w:r>
          </w:p>
        </w:tc>
        <w:tc>
          <w:tcPr>
            <w:tcW w:w="349" w:type="pct"/>
            <w:vAlign w:val="center"/>
          </w:tcPr>
          <w:p w14:paraId="0DC0A01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7.28</w:t>
            </w:r>
          </w:p>
        </w:tc>
        <w:tc>
          <w:tcPr>
            <w:tcW w:w="368" w:type="pct"/>
            <w:vAlign w:val="center"/>
          </w:tcPr>
          <w:p w14:paraId="31C9303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13.84</w:t>
            </w:r>
          </w:p>
        </w:tc>
      </w:tr>
      <w:tr w:rsidR="008C2A21" w:rsidRPr="008C2A21" w14:paraId="3EA13BF4" w14:textId="77777777" w:rsidTr="008C2A21">
        <w:trPr>
          <w:trHeight w:val="277"/>
        </w:trPr>
        <w:tc>
          <w:tcPr>
            <w:tcW w:w="268" w:type="pct"/>
            <w:vAlign w:val="center"/>
          </w:tcPr>
          <w:p w14:paraId="0D0C1D35"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11</w:t>
            </w:r>
          </w:p>
        </w:tc>
        <w:tc>
          <w:tcPr>
            <w:tcW w:w="1008" w:type="pct"/>
            <w:vAlign w:val="center"/>
          </w:tcPr>
          <w:p w14:paraId="24C9418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Seed yield per plant (g)</w:t>
            </w:r>
          </w:p>
        </w:tc>
        <w:tc>
          <w:tcPr>
            <w:tcW w:w="403" w:type="pct"/>
            <w:vAlign w:val="center"/>
          </w:tcPr>
          <w:p w14:paraId="57E30E7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8.51-17.67</w:t>
            </w:r>
          </w:p>
        </w:tc>
        <w:tc>
          <w:tcPr>
            <w:tcW w:w="403" w:type="pct"/>
            <w:vAlign w:val="center"/>
          </w:tcPr>
          <w:p w14:paraId="3CAEB6D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13.94</w:t>
            </w:r>
          </w:p>
        </w:tc>
        <w:tc>
          <w:tcPr>
            <w:tcW w:w="403" w:type="pct"/>
            <w:vAlign w:val="center"/>
          </w:tcPr>
          <w:p w14:paraId="15A8EDC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6.48</w:t>
            </w:r>
          </w:p>
        </w:tc>
        <w:tc>
          <w:tcPr>
            <w:tcW w:w="402" w:type="pct"/>
            <w:vAlign w:val="center"/>
          </w:tcPr>
          <w:p w14:paraId="0CB6FAC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6.62</w:t>
            </w:r>
          </w:p>
        </w:tc>
        <w:tc>
          <w:tcPr>
            <w:tcW w:w="349" w:type="pct"/>
            <w:vAlign w:val="center"/>
          </w:tcPr>
          <w:p w14:paraId="62BF9E6D"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0.14</w:t>
            </w:r>
          </w:p>
        </w:tc>
        <w:tc>
          <w:tcPr>
            <w:tcW w:w="349" w:type="pct"/>
            <w:vAlign w:val="center"/>
          </w:tcPr>
          <w:p w14:paraId="6C2D984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18.26</w:t>
            </w:r>
          </w:p>
        </w:tc>
        <w:tc>
          <w:tcPr>
            <w:tcW w:w="349" w:type="pct"/>
            <w:vAlign w:val="center"/>
          </w:tcPr>
          <w:p w14:paraId="2C37F67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18.46</w:t>
            </w:r>
          </w:p>
        </w:tc>
        <w:tc>
          <w:tcPr>
            <w:tcW w:w="349" w:type="pct"/>
            <w:vAlign w:val="center"/>
          </w:tcPr>
          <w:p w14:paraId="79F649A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97.83</w:t>
            </w:r>
          </w:p>
        </w:tc>
        <w:tc>
          <w:tcPr>
            <w:tcW w:w="349" w:type="pct"/>
            <w:vAlign w:val="center"/>
          </w:tcPr>
          <w:p w14:paraId="78748E7D"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5.18</w:t>
            </w:r>
          </w:p>
        </w:tc>
        <w:tc>
          <w:tcPr>
            <w:tcW w:w="368" w:type="pct"/>
            <w:vAlign w:val="center"/>
          </w:tcPr>
          <w:p w14:paraId="2A8B574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37.21</w:t>
            </w:r>
          </w:p>
        </w:tc>
      </w:tr>
      <w:tr w:rsidR="008C2A21" w:rsidRPr="008C2A21" w14:paraId="7064AEA8" w14:textId="77777777" w:rsidTr="008C2A21">
        <w:trPr>
          <w:trHeight w:val="277"/>
        </w:trPr>
        <w:tc>
          <w:tcPr>
            <w:tcW w:w="268" w:type="pct"/>
            <w:vAlign w:val="center"/>
          </w:tcPr>
          <w:p w14:paraId="4A85D9B4"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12</w:t>
            </w:r>
          </w:p>
        </w:tc>
        <w:tc>
          <w:tcPr>
            <w:tcW w:w="1008" w:type="pct"/>
            <w:vAlign w:val="center"/>
          </w:tcPr>
          <w:p w14:paraId="0BFDB4F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True protein content in seeds (%)</w:t>
            </w:r>
          </w:p>
        </w:tc>
        <w:tc>
          <w:tcPr>
            <w:tcW w:w="403" w:type="pct"/>
            <w:vAlign w:val="center"/>
          </w:tcPr>
          <w:p w14:paraId="1F145B1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0.99-2.93</w:t>
            </w:r>
          </w:p>
        </w:tc>
        <w:tc>
          <w:tcPr>
            <w:tcW w:w="403" w:type="pct"/>
            <w:vAlign w:val="center"/>
          </w:tcPr>
          <w:p w14:paraId="6AF8839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1.77</w:t>
            </w:r>
          </w:p>
        </w:tc>
        <w:tc>
          <w:tcPr>
            <w:tcW w:w="403" w:type="pct"/>
            <w:vAlign w:val="center"/>
          </w:tcPr>
          <w:p w14:paraId="5ADDDF3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0.23</w:t>
            </w:r>
          </w:p>
        </w:tc>
        <w:tc>
          <w:tcPr>
            <w:tcW w:w="402" w:type="pct"/>
            <w:vAlign w:val="center"/>
          </w:tcPr>
          <w:p w14:paraId="0CC968C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0.24</w:t>
            </w:r>
          </w:p>
        </w:tc>
        <w:tc>
          <w:tcPr>
            <w:tcW w:w="349" w:type="pct"/>
            <w:vAlign w:val="center"/>
          </w:tcPr>
          <w:p w14:paraId="25C4357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0.01</w:t>
            </w:r>
          </w:p>
        </w:tc>
        <w:tc>
          <w:tcPr>
            <w:tcW w:w="349" w:type="pct"/>
            <w:vAlign w:val="center"/>
          </w:tcPr>
          <w:p w14:paraId="7343D40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27.34</w:t>
            </w:r>
          </w:p>
        </w:tc>
        <w:tc>
          <w:tcPr>
            <w:tcW w:w="349" w:type="pct"/>
            <w:vAlign w:val="center"/>
          </w:tcPr>
          <w:p w14:paraId="0C2AA49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27.49</w:t>
            </w:r>
          </w:p>
        </w:tc>
        <w:tc>
          <w:tcPr>
            <w:tcW w:w="349" w:type="pct"/>
            <w:vAlign w:val="center"/>
          </w:tcPr>
          <w:p w14:paraId="5AF8A1E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98.9</w:t>
            </w:r>
          </w:p>
        </w:tc>
        <w:tc>
          <w:tcPr>
            <w:tcW w:w="349" w:type="pct"/>
            <w:vAlign w:val="center"/>
          </w:tcPr>
          <w:p w14:paraId="0F67D01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0.98</w:t>
            </w:r>
          </w:p>
        </w:tc>
        <w:tc>
          <w:tcPr>
            <w:tcW w:w="368" w:type="pct"/>
            <w:vAlign w:val="center"/>
          </w:tcPr>
          <w:p w14:paraId="1CA7E764"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56.01</w:t>
            </w:r>
          </w:p>
        </w:tc>
      </w:tr>
      <w:tr w:rsidR="008C2A21" w:rsidRPr="008C2A21" w14:paraId="14888F83" w14:textId="77777777" w:rsidTr="008C2A21">
        <w:trPr>
          <w:trHeight w:val="277"/>
        </w:trPr>
        <w:tc>
          <w:tcPr>
            <w:tcW w:w="268" w:type="pct"/>
            <w:vAlign w:val="center"/>
          </w:tcPr>
          <w:p w14:paraId="618D603C"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13</w:t>
            </w:r>
          </w:p>
        </w:tc>
        <w:tc>
          <w:tcPr>
            <w:tcW w:w="1008" w:type="pct"/>
            <w:vAlign w:val="center"/>
          </w:tcPr>
          <w:p w14:paraId="07B1CBB8"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Lysine content per protein in seeds (%)</w:t>
            </w:r>
          </w:p>
        </w:tc>
        <w:tc>
          <w:tcPr>
            <w:tcW w:w="403" w:type="pct"/>
            <w:vAlign w:val="center"/>
          </w:tcPr>
          <w:p w14:paraId="4AE1173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1.52-6.32</w:t>
            </w:r>
          </w:p>
        </w:tc>
        <w:tc>
          <w:tcPr>
            <w:tcW w:w="403" w:type="pct"/>
            <w:vAlign w:val="center"/>
          </w:tcPr>
          <w:p w14:paraId="3844ED8E"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4.00</w:t>
            </w:r>
          </w:p>
        </w:tc>
        <w:tc>
          <w:tcPr>
            <w:tcW w:w="403" w:type="pct"/>
            <w:vAlign w:val="center"/>
          </w:tcPr>
          <w:p w14:paraId="475A202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1.51</w:t>
            </w:r>
          </w:p>
        </w:tc>
        <w:tc>
          <w:tcPr>
            <w:tcW w:w="402" w:type="pct"/>
            <w:vAlign w:val="center"/>
          </w:tcPr>
          <w:p w14:paraId="678F46A9"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1.52</w:t>
            </w:r>
          </w:p>
        </w:tc>
        <w:tc>
          <w:tcPr>
            <w:tcW w:w="349" w:type="pct"/>
            <w:vAlign w:val="center"/>
          </w:tcPr>
          <w:p w14:paraId="7E96B5D4"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0.01</w:t>
            </w:r>
          </w:p>
        </w:tc>
        <w:tc>
          <w:tcPr>
            <w:tcW w:w="349" w:type="pct"/>
            <w:vAlign w:val="center"/>
          </w:tcPr>
          <w:p w14:paraId="76CA908E"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30.77</w:t>
            </w:r>
          </w:p>
        </w:tc>
        <w:tc>
          <w:tcPr>
            <w:tcW w:w="349" w:type="pct"/>
            <w:vAlign w:val="center"/>
          </w:tcPr>
          <w:p w14:paraId="5418923E"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30.91</w:t>
            </w:r>
          </w:p>
        </w:tc>
        <w:tc>
          <w:tcPr>
            <w:tcW w:w="349" w:type="pct"/>
            <w:vAlign w:val="center"/>
          </w:tcPr>
          <w:p w14:paraId="4DAF3BB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99.10</w:t>
            </w:r>
          </w:p>
        </w:tc>
        <w:tc>
          <w:tcPr>
            <w:tcW w:w="349" w:type="pct"/>
            <w:vAlign w:val="center"/>
          </w:tcPr>
          <w:p w14:paraId="56922070"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2.52</w:t>
            </w:r>
          </w:p>
        </w:tc>
        <w:tc>
          <w:tcPr>
            <w:tcW w:w="368" w:type="pct"/>
            <w:vAlign w:val="center"/>
          </w:tcPr>
          <w:p w14:paraId="3EF33D6F"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63.10</w:t>
            </w:r>
          </w:p>
        </w:tc>
      </w:tr>
      <w:tr w:rsidR="008C2A21" w:rsidRPr="008C2A21" w14:paraId="37E69C40" w14:textId="77777777" w:rsidTr="008C2A21">
        <w:trPr>
          <w:trHeight w:val="265"/>
        </w:trPr>
        <w:tc>
          <w:tcPr>
            <w:tcW w:w="268" w:type="pct"/>
            <w:vAlign w:val="center"/>
          </w:tcPr>
          <w:p w14:paraId="55F6534E" w14:textId="77777777" w:rsidR="008C2A21" w:rsidRPr="008C2A21" w:rsidRDefault="008C2A21" w:rsidP="00F52B62">
            <w:pPr>
              <w:pStyle w:val="NoSpacing"/>
              <w:tabs>
                <w:tab w:val="left" w:pos="357"/>
              </w:tabs>
              <w:rPr>
                <w:rFonts w:ascii="Times New Roman" w:hAnsi="Times New Roman" w:cs="Times New Roman"/>
                <w:b/>
                <w:bCs/>
                <w:color w:val="000000" w:themeColor="text1"/>
                <w:sz w:val="20"/>
                <w:szCs w:val="20"/>
              </w:rPr>
            </w:pPr>
            <w:r w:rsidRPr="008C2A21">
              <w:rPr>
                <w:rFonts w:ascii="Times New Roman" w:hAnsi="Times New Roman" w:cs="Times New Roman"/>
                <w:b/>
                <w:bCs/>
                <w:color w:val="000000" w:themeColor="text1"/>
                <w:sz w:val="20"/>
                <w:szCs w:val="20"/>
              </w:rPr>
              <w:t>14</w:t>
            </w:r>
          </w:p>
        </w:tc>
        <w:tc>
          <w:tcPr>
            <w:tcW w:w="1008" w:type="pct"/>
            <w:vAlign w:val="center"/>
          </w:tcPr>
          <w:p w14:paraId="65E6B27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Saponin content in seeds (mg/g)</w:t>
            </w:r>
          </w:p>
        </w:tc>
        <w:tc>
          <w:tcPr>
            <w:tcW w:w="403" w:type="pct"/>
            <w:vAlign w:val="center"/>
          </w:tcPr>
          <w:p w14:paraId="5E58BAD2"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10.50-28.97</w:t>
            </w:r>
          </w:p>
        </w:tc>
        <w:tc>
          <w:tcPr>
            <w:tcW w:w="403" w:type="pct"/>
            <w:vAlign w:val="center"/>
          </w:tcPr>
          <w:p w14:paraId="0D03EA5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16.79</w:t>
            </w:r>
          </w:p>
        </w:tc>
        <w:tc>
          <w:tcPr>
            <w:tcW w:w="403" w:type="pct"/>
            <w:vAlign w:val="center"/>
          </w:tcPr>
          <w:p w14:paraId="6A422CEC"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25.45</w:t>
            </w:r>
          </w:p>
        </w:tc>
        <w:tc>
          <w:tcPr>
            <w:tcW w:w="402" w:type="pct"/>
            <w:vAlign w:val="center"/>
          </w:tcPr>
          <w:p w14:paraId="07C25CB6"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52.80</w:t>
            </w:r>
          </w:p>
        </w:tc>
        <w:tc>
          <w:tcPr>
            <w:tcW w:w="349" w:type="pct"/>
            <w:vAlign w:val="center"/>
          </w:tcPr>
          <w:p w14:paraId="466B7913"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27.35</w:t>
            </w:r>
          </w:p>
        </w:tc>
        <w:tc>
          <w:tcPr>
            <w:tcW w:w="349" w:type="pct"/>
            <w:vAlign w:val="center"/>
          </w:tcPr>
          <w:p w14:paraId="2410A845"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28.14</w:t>
            </w:r>
          </w:p>
        </w:tc>
        <w:tc>
          <w:tcPr>
            <w:tcW w:w="349" w:type="pct"/>
            <w:vAlign w:val="center"/>
          </w:tcPr>
          <w:p w14:paraId="2E1414C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30.50</w:t>
            </w:r>
          </w:p>
        </w:tc>
        <w:tc>
          <w:tcPr>
            <w:tcW w:w="349" w:type="pct"/>
            <w:vAlign w:val="center"/>
          </w:tcPr>
          <w:p w14:paraId="536E6C4A"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85.09</w:t>
            </w:r>
          </w:p>
        </w:tc>
        <w:tc>
          <w:tcPr>
            <w:tcW w:w="349" w:type="pct"/>
            <w:vAlign w:val="center"/>
          </w:tcPr>
          <w:p w14:paraId="4E3D23BB"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8.98</w:t>
            </w:r>
          </w:p>
        </w:tc>
        <w:tc>
          <w:tcPr>
            <w:tcW w:w="368" w:type="pct"/>
            <w:vAlign w:val="center"/>
          </w:tcPr>
          <w:p w14:paraId="1A909667" w14:textId="77777777" w:rsidR="008C2A21" w:rsidRPr="008C2A21" w:rsidRDefault="008C2A21" w:rsidP="00F52B62">
            <w:pPr>
              <w:pStyle w:val="NoSpacing"/>
              <w:tabs>
                <w:tab w:val="left" w:pos="357"/>
              </w:tabs>
              <w:rPr>
                <w:rFonts w:ascii="Times New Roman" w:hAnsi="Times New Roman" w:cs="Times New Roman"/>
                <w:color w:val="000000" w:themeColor="text1"/>
                <w:sz w:val="20"/>
                <w:szCs w:val="20"/>
              </w:rPr>
            </w:pPr>
            <w:r w:rsidRPr="008C2A21">
              <w:rPr>
                <w:rFonts w:ascii="Times New Roman" w:hAnsi="Times New Roman" w:cs="Times New Roman"/>
                <w:color w:val="000000" w:themeColor="text1"/>
                <w:sz w:val="20"/>
                <w:szCs w:val="20"/>
              </w:rPr>
              <w:t>53.47</w:t>
            </w:r>
          </w:p>
        </w:tc>
      </w:tr>
    </w:tbl>
    <w:p w14:paraId="25050AE2" w14:textId="77777777" w:rsidR="008C2A21" w:rsidRPr="008F68DF" w:rsidRDefault="008C2A21" w:rsidP="008C2A21">
      <w:pPr>
        <w:tabs>
          <w:tab w:val="left" w:pos="357"/>
        </w:tabs>
        <w:spacing w:after="0"/>
        <w:jc w:val="both"/>
        <w:rPr>
          <w:rFonts w:ascii="Times New Roman" w:hAnsi="Times New Roman" w:cs="Times New Roman"/>
          <w:color w:val="000000" w:themeColor="text1"/>
          <w:sz w:val="18"/>
          <w:szCs w:val="18"/>
        </w:rPr>
      </w:pPr>
      <w:r w:rsidRPr="008F68DF">
        <w:rPr>
          <w:rFonts w:ascii="Times New Roman" w:hAnsi="Times New Roman" w:cs="Times New Roman"/>
          <w:color w:val="000000" w:themeColor="text1"/>
          <w:sz w:val="18"/>
          <w:szCs w:val="18"/>
          <w:lang w:val="en-US"/>
        </w:rPr>
        <w:t>σ</w:t>
      </w:r>
      <w:r w:rsidRPr="008F68DF">
        <w:rPr>
          <w:rFonts w:ascii="Times New Roman" w:hAnsi="Times New Roman" w:cs="Times New Roman"/>
          <w:color w:val="000000" w:themeColor="text1"/>
          <w:sz w:val="18"/>
          <w:szCs w:val="18"/>
          <w:vertAlign w:val="superscript"/>
          <w:lang w:val="en-US"/>
        </w:rPr>
        <w:t>2</w:t>
      </w:r>
      <w:r w:rsidRPr="008F68DF">
        <w:rPr>
          <w:rFonts w:ascii="Times New Roman" w:hAnsi="Times New Roman" w:cs="Times New Roman"/>
          <w:color w:val="000000" w:themeColor="text1"/>
          <w:sz w:val="18"/>
          <w:szCs w:val="18"/>
          <w:vertAlign w:val="subscript"/>
          <w:lang w:val="en-US"/>
        </w:rPr>
        <w:t xml:space="preserve">g, </w:t>
      </w:r>
      <w:r w:rsidRPr="008F68DF">
        <w:rPr>
          <w:rFonts w:ascii="Times New Roman" w:hAnsi="Times New Roman" w:cs="Times New Roman"/>
          <w:color w:val="000000" w:themeColor="text1"/>
          <w:sz w:val="18"/>
          <w:szCs w:val="18"/>
          <w:lang w:val="en-US"/>
        </w:rPr>
        <w:t>σ</w:t>
      </w:r>
      <w:r w:rsidRPr="008F68DF">
        <w:rPr>
          <w:rFonts w:ascii="Times New Roman" w:hAnsi="Times New Roman" w:cs="Times New Roman"/>
          <w:color w:val="000000" w:themeColor="text1"/>
          <w:sz w:val="18"/>
          <w:szCs w:val="18"/>
          <w:vertAlign w:val="superscript"/>
          <w:lang w:val="en-US"/>
        </w:rPr>
        <w:t>2</w:t>
      </w:r>
      <w:r w:rsidRPr="008F68DF">
        <w:rPr>
          <w:rFonts w:ascii="Times New Roman" w:hAnsi="Times New Roman" w:cs="Times New Roman"/>
          <w:color w:val="000000" w:themeColor="text1"/>
          <w:sz w:val="18"/>
          <w:szCs w:val="18"/>
          <w:vertAlign w:val="subscript"/>
          <w:lang w:val="en-US"/>
        </w:rPr>
        <w:t xml:space="preserve">p </w:t>
      </w:r>
      <w:r w:rsidRPr="008F68DF">
        <w:rPr>
          <w:rFonts w:ascii="Times New Roman" w:hAnsi="Times New Roman" w:cs="Times New Roman"/>
          <w:color w:val="000000" w:themeColor="text1"/>
          <w:sz w:val="18"/>
          <w:szCs w:val="18"/>
          <w:lang w:val="en-US"/>
        </w:rPr>
        <w:t>and σ</w:t>
      </w:r>
      <w:r w:rsidRPr="008F68DF">
        <w:rPr>
          <w:rFonts w:ascii="Times New Roman" w:hAnsi="Times New Roman" w:cs="Times New Roman"/>
          <w:color w:val="000000" w:themeColor="text1"/>
          <w:sz w:val="18"/>
          <w:szCs w:val="18"/>
          <w:vertAlign w:val="superscript"/>
          <w:lang w:val="en-US"/>
        </w:rPr>
        <w:t>2</w:t>
      </w:r>
      <w:r w:rsidRPr="008F68DF">
        <w:rPr>
          <w:rFonts w:ascii="Times New Roman" w:hAnsi="Times New Roman" w:cs="Times New Roman"/>
          <w:color w:val="000000" w:themeColor="text1"/>
          <w:sz w:val="18"/>
          <w:szCs w:val="18"/>
          <w:vertAlign w:val="subscript"/>
          <w:lang w:val="en-US"/>
        </w:rPr>
        <w:t xml:space="preserve">e </w:t>
      </w:r>
      <w:r w:rsidRPr="008F68DF">
        <w:rPr>
          <w:rFonts w:ascii="Times New Roman" w:hAnsi="Times New Roman" w:cs="Times New Roman"/>
          <w:color w:val="000000" w:themeColor="text1"/>
          <w:sz w:val="18"/>
          <w:szCs w:val="18"/>
          <w:lang w:val="en-US"/>
        </w:rPr>
        <w:t>are genotypic, phenotypic and environmental variance, respectively,</w:t>
      </w:r>
    </w:p>
    <w:p w14:paraId="4D7F4C74" w14:textId="77777777" w:rsidR="008C2A21" w:rsidRPr="008F68DF" w:rsidRDefault="008C2A21" w:rsidP="008C2A21">
      <w:pPr>
        <w:pStyle w:val="BodyText"/>
        <w:tabs>
          <w:tab w:val="left" w:pos="357"/>
        </w:tabs>
        <w:spacing w:line="360" w:lineRule="auto"/>
        <w:ind w:right="-46" w:firstLine="720"/>
        <w:jc w:val="both"/>
        <w:rPr>
          <w:color w:val="000000" w:themeColor="text1"/>
          <w:sz w:val="18"/>
          <w:szCs w:val="18"/>
        </w:rPr>
      </w:pPr>
      <w:r w:rsidRPr="008F68DF">
        <w:rPr>
          <w:color w:val="000000" w:themeColor="text1"/>
          <w:sz w:val="18"/>
          <w:szCs w:val="18"/>
        </w:rPr>
        <w:t>GCV (%) and PCV (%) are genotypic and phenotypic coefficient of variation, respectively,</w:t>
      </w:r>
    </w:p>
    <w:p w14:paraId="27A4DB81" w14:textId="77777777" w:rsidR="008C2A21" w:rsidRPr="008F68DF" w:rsidRDefault="008C2A21" w:rsidP="008C2A21">
      <w:pPr>
        <w:pStyle w:val="BodyText"/>
        <w:tabs>
          <w:tab w:val="left" w:pos="357"/>
        </w:tabs>
        <w:spacing w:line="360" w:lineRule="auto"/>
        <w:ind w:right="-46" w:firstLine="720"/>
        <w:jc w:val="both"/>
        <w:rPr>
          <w:color w:val="000000" w:themeColor="text1"/>
          <w:sz w:val="18"/>
          <w:szCs w:val="18"/>
        </w:rPr>
      </w:pPr>
      <w:r w:rsidRPr="008F68DF">
        <w:rPr>
          <w:color w:val="000000" w:themeColor="text1"/>
          <w:sz w:val="18"/>
          <w:szCs w:val="18"/>
        </w:rPr>
        <w:t>H</w:t>
      </w:r>
      <w:r w:rsidRPr="008F68DF">
        <w:rPr>
          <w:color w:val="000000" w:themeColor="text1"/>
          <w:sz w:val="18"/>
          <w:szCs w:val="18"/>
          <w:vertAlign w:val="superscript"/>
        </w:rPr>
        <w:t>2</w:t>
      </w:r>
      <w:r w:rsidRPr="008F68DF">
        <w:rPr>
          <w:color w:val="000000" w:themeColor="text1"/>
          <w:sz w:val="18"/>
          <w:szCs w:val="18"/>
          <w:vertAlign w:val="subscript"/>
        </w:rPr>
        <w:t>(b)</w:t>
      </w:r>
      <w:r w:rsidRPr="008F68DF">
        <w:rPr>
          <w:color w:val="000000" w:themeColor="text1"/>
          <w:sz w:val="18"/>
          <w:szCs w:val="18"/>
        </w:rPr>
        <w:t>(%) are broad sense heritability,</w:t>
      </w:r>
    </w:p>
    <w:p w14:paraId="7A85A3C6" w14:textId="77777777" w:rsidR="008C2A21" w:rsidRPr="008F68DF" w:rsidRDefault="008C2A21" w:rsidP="008C2A21">
      <w:pPr>
        <w:pStyle w:val="BodyText"/>
        <w:tabs>
          <w:tab w:val="left" w:pos="357"/>
        </w:tabs>
        <w:spacing w:line="360" w:lineRule="auto"/>
        <w:ind w:right="-46" w:firstLine="720"/>
        <w:jc w:val="both"/>
        <w:rPr>
          <w:color w:val="000000" w:themeColor="text1"/>
          <w:sz w:val="18"/>
          <w:szCs w:val="18"/>
        </w:rPr>
      </w:pPr>
      <w:r w:rsidRPr="008F68DF">
        <w:rPr>
          <w:color w:val="000000" w:themeColor="text1"/>
          <w:sz w:val="18"/>
          <w:szCs w:val="18"/>
        </w:rPr>
        <w:t>GA is a genetic advance and</w:t>
      </w:r>
    </w:p>
    <w:p w14:paraId="73E8E0CE" w14:textId="77777777" w:rsidR="008C2A21" w:rsidRPr="008F68DF" w:rsidRDefault="008C2A21" w:rsidP="008C2A21">
      <w:pPr>
        <w:pStyle w:val="BodyText"/>
        <w:tabs>
          <w:tab w:val="left" w:pos="357"/>
        </w:tabs>
        <w:spacing w:line="360" w:lineRule="auto"/>
        <w:ind w:right="-46" w:firstLine="720"/>
        <w:jc w:val="both"/>
        <w:rPr>
          <w:color w:val="000000" w:themeColor="text1"/>
          <w:sz w:val="18"/>
          <w:szCs w:val="18"/>
        </w:rPr>
      </w:pPr>
      <w:r w:rsidRPr="008F68DF">
        <w:rPr>
          <w:color w:val="000000" w:themeColor="text1"/>
          <w:sz w:val="18"/>
          <w:szCs w:val="18"/>
        </w:rPr>
        <w:t>GAM (%) are expected genetic advance as per mean percent.</w:t>
      </w:r>
    </w:p>
    <w:p w14:paraId="48054508" w14:textId="63DEC18E" w:rsidR="00540ACC" w:rsidRPr="008F68DF" w:rsidRDefault="00540ACC" w:rsidP="00AC723E">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 xml:space="preserve">For all characters, PCV values were marginally higher than GCV values </w:t>
      </w:r>
      <w:r w:rsidR="00D80B3E">
        <w:rPr>
          <w:rFonts w:ascii="Times New Roman" w:hAnsi="Times New Roman" w:cs="Times New Roman"/>
          <w:b/>
          <w:bCs/>
          <w:lang w:val="en-US"/>
        </w:rPr>
        <w:t>list 2</w:t>
      </w:r>
      <w:r w:rsidRPr="008F68DF">
        <w:rPr>
          <w:rFonts w:ascii="Times New Roman" w:hAnsi="Times New Roman" w:cs="Times New Roman"/>
          <w:lang w:val="en-US"/>
        </w:rPr>
        <w:t xml:space="preserve">, reflecting limited environmental influence. Traits such as number of branches per plant, number of inflorescences per plant, biological yield per plant, seed yield per plant, lysine content and saponin content exhibited high GCV and PCV, suggesting substantial inherent variability and greater scope for improvement through selection. </w:t>
      </w:r>
      <w:r w:rsidRPr="008F68DF">
        <w:rPr>
          <w:rFonts w:ascii="Times New Roman" w:hAnsi="Times New Roman" w:cs="Times New Roman"/>
          <w:lang w:val="en-US"/>
        </w:rPr>
        <w:lastRenderedPageBreak/>
        <w:t>In contrast, days to 50 per cent flowering and days to maturity showed low variability, indicating stable expression.</w:t>
      </w:r>
    </w:p>
    <w:p w14:paraId="0D362A09"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Broad-sense heritability estimates ranged from 34.46% to 99.10%. High heritability coupled with high genetic advance as per cent of mean was recorded for seed yield per plant, biological yield per plant, number of branches per plant, number of inflorescences per plant, girth of inflorescence, true protein content, lysine content and saponin content, indicating the predominance of additive gene action and effectiveness of direct selection. Traits such as days to 50 per cent flowering, days to maturity, plant height and length of inflorescence showed high heritability with moderate genetic advance, suggesting both additive and non-additive gene effects.</w:t>
      </w:r>
    </w:p>
    <w:p w14:paraId="71F764D9" w14:textId="77777777" w:rsidR="00540ACC" w:rsidRDefault="00540ACC" w:rsidP="00540ACC">
      <w:pPr>
        <w:spacing w:line="360" w:lineRule="auto"/>
        <w:jc w:val="both"/>
        <w:rPr>
          <w:rFonts w:ascii="Times New Roman" w:hAnsi="Times New Roman" w:cs="Times New Roman"/>
          <w:lang w:val="en-US"/>
        </w:rPr>
      </w:pPr>
      <w:r w:rsidRPr="008F68DF">
        <w:rPr>
          <w:rFonts w:ascii="Times New Roman" w:hAnsi="Times New Roman" w:cs="Times New Roman"/>
          <w:lang w:val="en-US"/>
        </w:rPr>
        <w:t>Harvest index exhibited moderate heritability with low genetic advance, indicating limited scope for improvement through simple selection. Overall, the results clearly indicate that seed yield per plant and its major contributing and nutritional traits can be efficiently improved through selection-based breeding, owing to high genetic variability and strong heritable control.</w:t>
      </w:r>
    </w:p>
    <w:p w14:paraId="3AE4C0E8" w14:textId="77777777" w:rsidR="0041333E" w:rsidRDefault="00454C18" w:rsidP="00511797">
      <w:pPr>
        <w:spacing w:after="200" w:line="276" w:lineRule="auto"/>
        <w:jc w:val="both"/>
        <w:rPr>
          <w:rFonts w:ascii="Times New Roman" w:hAnsi="Times New Roman" w:cs="Times New Roman"/>
          <w:b/>
          <w:bCs/>
          <w:color w:val="000000" w:themeColor="text1"/>
        </w:rPr>
      </w:pPr>
      <w:r w:rsidRPr="00454C18">
        <w:rPr>
          <w:rFonts w:ascii="Times New Roman" w:hAnsi="Times New Roman" w:cs="Times New Roman"/>
          <w:b/>
          <w:bCs/>
          <w:noProof/>
          <w:color w:val="000000" w:themeColor="text1"/>
        </w:rPr>
        <w:drawing>
          <wp:inline distT="0" distB="0" distL="0" distR="0" wp14:anchorId="6BDC7E1B" wp14:editId="04DEC953">
            <wp:extent cx="5940052" cy="2491740"/>
            <wp:effectExtent l="19050" t="0" r="3548" b="0"/>
            <wp:docPr id="1" name="Picture 1" descr="C:\Users\admin\AppData\Local\Temp\Rar$DIa9972.44999\Fig final (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Rar$DIa9972.44999\Fig final (1)_1.jpg"/>
                    <pic:cNvPicPr>
                      <a:picLocks noChangeAspect="1" noChangeArrowheads="1"/>
                    </pic:cNvPicPr>
                  </pic:nvPicPr>
                  <pic:blipFill>
                    <a:blip r:embed="rId11" cstate="print"/>
                    <a:srcRect/>
                    <a:stretch>
                      <a:fillRect/>
                    </a:stretch>
                  </pic:blipFill>
                  <pic:spPr bwMode="auto">
                    <a:xfrm>
                      <a:off x="0" y="0"/>
                      <a:ext cx="5943600" cy="2493228"/>
                    </a:xfrm>
                    <a:prstGeom prst="rect">
                      <a:avLst/>
                    </a:prstGeom>
                    <a:noFill/>
                    <a:ln w="9525">
                      <a:noFill/>
                      <a:miter lim="800000"/>
                      <a:headEnd/>
                      <a:tailEnd/>
                    </a:ln>
                  </pic:spPr>
                </pic:pic>
              </a:graphicData>
            </a:graphic>
          </wp:inline>
        </w:drawing>
      </w:r>
    </w:p>
    <w:p w14:paraId="74C969A8" w14:textId="77777777" w:rsidR="00454C18" w:rsidRPr="008F68DF" w:rsidRDefault="00454C18" w:rsidP="00454C18">
      <w:pPr>
        <w:spacing w:after="0" w:line="276" w:lineRule="auto"/>
        <w:jc w:val="both"/>
        <w:rPr>
          <w:rFonts w:ascii="Times New Roman" w:hAnsi="Times New Roman" w:cs="Times New Roman"/>
          <w:color w:val="000000" w:themeColor="text1"/>
          <w:sz w:val="18"/>
          <w:szCs w:val="18"/>
        </w:rPr>
      </w:pPr>
      <w:r w:rsidRPr="008F68DF">
        <w:rPr>
          <w:rFonts w:ascii="Times New Roman" w:hAnsi="Times New Roman" w:cs="Times New Roman"/>
          <w:b/>
          <w:bCs/>
          <w:color w:val="000000" w:themeColor="text1"/>
        </w:rPr>
        <w:t>Figure 1.</w:t>
      </w:r>
      <w:r w:rsidRPr="008F68DF">
        <w:rPr>
          <w:rFonts w:ascii="Times New Roman" w:hAnsi="Times New Roman" w:cs="Times New Roman"/>
          <w:color w:val="000000" w:themeColor="text1"/>
          <w:sz w:val="18"/>
          <w:szCs w:val="18"/>
        </w:rPr>
        <w:t xml:space="preserve"> Graphical comparison of genotypic and phenotypic coefficients of variation (%), heritability </w:t>
      </w:r>
      <w:r w:rsidRPr="008F68DF">
        <w:rPr>
          <w:rFonts w:ascii="Cambria Math" w:hAnsi="Cambria Math" w:cs="Times New Roman"/>
          <w:color w:val="000000" w:themeColor="text1"/>
          <w:sz w:val="18"/>
          <w:szCs w:val="18"/>
        </w:rPr>
        <w:t>𝐡</w:t>
      </w:r>
      <w:r w:rsidRPr="008F68DF">
        <w:rPr>
          <w:rFonts w:ascii="Times New Roman" w:hAnsi="Times New Roman" w:cs="Times New Roman"/>
          <w:color w:val="000000" w:themeColor="text1"/>
          <w:sz w:val="18"/>
          <w:szCs w:val="18"/>
          <w:vertAlign w:val="superscript"/>
        </w:rPr>
        <w:t>2</w:t>
      </w:r>
      <w:r w:rsidRPr="008F68DF">
        <w:rPr>
          <w:rFonts w:ascii="Times New Roman" w:hAnsi="Times New Roman" w:cs="Times New Roman"/>
          <w:color w:val="000000" w:themeColor="text1"/>
          <w:sz w:val="18"/>
          <w:szCs w:val="18"/>
          <w:vertAlign w:val="subscript"/>
        </w:rPr>
        <w:t>(b)</w:t>
      </w:r>
      <w:r w:rsidRPr="008F68DF">
        <w:rPr>
          <w:rFonts w:ascii="Times New Roman" w:hAnsi="Times New Roman" w:cs="Times New Roman"/>
          <w:color w:val="000000" w:themeColor="text1"/>
          <w:sz w:val="18"/>
          <w:szCs w:val="18"/>
        </w:rPr>
        <w:t xml:space="preserve"> (%) and genetic advance (mean %) for different characters in quinoa.  </w:t>
      </w:r>
    </w:p>
    <w:p w14:paraId="6DE74904" w14:textId="77777777" w:rsidR="00454C18" w:rsidRPr="008F68DF" w:rsidRDefault="00454C18" w:rsidP="00454C18">
      <w:pPr>
        <w:spacing w:after="0" w:line="360" w:lineRule="auto"/>
        <w:jc w:val="both"/>
        <w:rPr>
          <w:rFonts w:ascii="Times New Roman" w:hAnsi="Times New Roman" w:cs="Times New Roman"/>
        </w:rPr>
      </w:pPr>
      <w:r w:rsidRPr="008F68DF">
        <w:rPr>
          <w:rFonts w:ascii="Times New Roman" w:eastAsia="Times New Roman" w:hAnsi="Times New Roman" w:cs="Times New Roman"/>
          <w:b/>
          <w:bCs/>
          <w:noProof/>
          <w:kern w:val="0"/>
          <w:sz w:val="18"/>
          <w:szCs w:val="18"/>
          <w:lang w:bidi="gu-IN"/>
        </w:rPr>
        <w:t>D50%F</w:t>
      </w:r>
      <w:r w:rsidRPr="008F68DF">
        <w:rPr>
          <w:rFonts w:ascii="Times New Roman" w:eastAsia="Times New Roman" w:hAnsi="Times New Roman" w:cs="Times New Roman"/>
          <w:noProof/>
          <w:kern w:val="0"/>
          <w:sz w:val="18"/>
          <w:szCs w:val="18"/>
          <w:lang w:bidi="gu-IN"/>
        </w:rPr>
        <w:t xml:space="preserve">=Days to 50 per cent flowering, </w:t>
      </w:r>
      <w:r w:rsidRPr="008F68DF">
        <w:rPr>
          <w:rFonts w:ascii="Times New Roman" w:eastAsia="Times New Roman" w:hAnsi="Times New Roman" w:cs="Times New Roman"/>
          <w:b/>
          <w:bCs/>
          <w:noProof/>
          <w:kern w:val="0"/>
          <w:sz w:val="18"/>
          <w:szCs w:val="18"/>
          <w:lang w:bidi="gu-IN"/>
        </w:rPr>
        <w:t>DM</w:t>
      </w:r>
      <w:r w:rsidRPr="008F68DF">
        <w:rPr>
          <w:rFonts w:ascii="Times New Roman" w:eastAsia="Times New Roman" w:hAnsi="Times New Roman" w:cs="Times New Roman"/>
          <w:noProof/>
          <w:kern w:val="0"/>
          <w:sz w:val="18"/>
          <w:szCs w:val="18"/>
          <w:lang w:bidi="gu-IN"/>
        </w:rPr>
        <w:t xml:space="preserve">=Days to maturity, </w:t>
      </w:r>
      <w:r w:rsidRPr="008F68DF">
        <w:rPr>
          <w:rFonts w:ascii="Times New Roman" w:eastAsia="Times New Roman" w:hAnsi="Times New Roman" w:cs="Times New Roman"/>
          <w:b/>
          <w:bCs/>
          <w:noProof/>
          <w:kern w:val="0"/>
          <w:sz w:val="18"/>
          <w:szCs w:val="18"/>
          <w:lang w:bidi="gu-IN"/>
        </w:rPr>
        <w:t>PH</w:t>
      </w:r>
      <w:r w:rsidRPr="008F68DF">
        <w:rPr>
          <w:rFonts w:ascii="Times New Roman" w:eastAsia="Times New Roman" w:hAnsi="Times New Roman" w:cs="Times New Roman"/>
          <w:noProof/>
          <w:kern w:val="0"/>
          <w:sz w:val="18"/>
          <w:szCs w:val="18"/>
          <w:lang w:bidi="gu-IN"/>
        </w:rPr>
        <w:t xml:space="preserve">=Plant height (cm), </w:t>
      </w:r>
      <w:r w:rsidRPr="008F68DF">
        <w:rPr>
          <w:rFonts w:ascii="Times New Roman" w:eastAsia="Times New Roman" w:hAnsi="Times New Roman" w:cs="Times New Roman"/>
          <w:b/>
          <w:bCs/>
          <w:noProof/>
          <w:kern w:val="0"/>
          <w:sz w:val="18"/>
          <w:szCs w:val="18"/>
          <w:lang w:bidi="gu-IN"/>
        </w:rPr>
        <w:t>NBPP</w:t>
      </w:r>
      <w:r w:rsidRPr="008F68DF">
        <w:rPr>
          <w:rFonts w:ascii="Times New Roman" w:eastAsia="Times New Roman" w:hAnsi="Times New Roman" w:cs="Times New Roman"/>
          <w:noProof/>
          <w:kern w:val="0"/>
          <w:sz w:val="18"/>
          <w:szCs w:val="18"/>
          <w:lang w:bidi="gu-IN"/>
        </w:rPr>
        <w:t xml:space="preserve">=Number of branches per </w:t>
      </w:r>
      <w:r>
        <w:rPr>
          <w:rFonts w:ascii="Times New Roman" w:eastAsia="Times New Roman" w:hAnsi="Times New Roman" w:cs="Times New Roman"/>
          <w:noProof/>
          <w:kern w:val="0"/>
          <w:sz w:val="18"/>
          <w:szCs w:val="18"/>
          <w:lang w:bidi="gu-IN"/>
        </w:rPr>
        <w:t xml:space="preserve">     </w:t>
      </w:r>
      <w:r w:rsidRPr="008F68DF">
        <w:rPr>
          <w:rFonts w:ascii="Times New Roman" w:eastAsia="Times New Roman" w:hAnsi="Times New Roman" w:cs="Times New Roman"/>
          <w:noProof/>
          <w:kern w:val="0"/>
          <w:sz w:val="18"/>
          <w:szCs w:val="18"/>
          <w:lang w:bidi="gu-IN"/>
        </w:rPr>
        <w:t xml:space="preserve">plant, </w:t>
      </w:r>
      <w:r w:rsidRPr="008F68DF">
        <w:rPr>
          <w:rFonts w:ascii="Times New Roman" w:eastAsia="Times New Roman" w:hAnsi="Times New Roman" w:cs="Times New Roman"/>
          <w:b/>
          <w:bCs/>
          <w:noProof/>
          <w:kern w:val="0"/>
          <w:sz w:val="18"/>
          <w:szCs w:val="18"/>
          <w:lang w:bidi="gu-IN"/>
        </w:rPr>
        <w:t>NIPP</w:t>
      </w:r>
      <w:r w:rsidRPr="008F68DF">
        <w:rPr>
          <w:rFonts w:ascii="Times New Roman" w:eastAsia="Times New Roman" w:hAnsi="Times New Roman" w:cs="Times New Roman"/>
          <w:noProof/>
          <w:kern w:val="0"/>
          <w:sz w:val="18"/>
          <w:szCs w:val="18"/>
          <w:lang w:bidi="gu-IN"/>
        </w:rPr>
        <w:t xml:space="preserve">=Number of inflorescences per plant, </w:t>
      </w:r>
      <w:r w:rsidRPr="008F68DF">
        <w:rPr>
          <w:rFonts w:ascii="Times New Roman" w:eastAsia="Times New Roman" w:hAnsi="Times New Roman" w:cs="Times New Roman"/>
          <w:b/>
          <w:bCs/>
          <w:noProof/>
          <w:kern w:val="0"/>
          <w:sz w:val="18"/>
          <w:szCs w:val="18"/>
          <w:lang w:bidi="gu-IN"/>
        </w:rPr>
        <w:t>LI</w:t>
      </w:r>
      <w:r w:rsidRPr="008F68DF">
        <w:rPr>
          <w:rFonts w:ascii="Times New Roman" w:eastAsia="Times New Roman" w:hAnsi="Times New Roman" w:cs="Times New Roman"/>
          <w:noProof/>
          <w:kern w:val="0"/>
          <w:sz w:val="18"/>
          <w:szCs w:val="18"/>
          <w:lang w:bidi="gu-IN"/>
        </w:rPr>
        <w:t xml:space="preserve">= Length of inflorescence (cm), </w:t>
      </w:r>
      <w:r w:rsidRPr="008F68DF">
        <w:rPr>
          <w:rFonts w:ascii="Times New Roman" w:eastAsia="Times New Roman" w:hAnsi="Times New Roman" w:cs="Times New Roman"/>
          <w:b/>
          <w:bCs/>
          <w:noProof/>
          <w:kern w:val="0"/>
          <w:sz w:val="18"/>
          <w:szCs w:val="18"/>
          <w:lang w:bidi="gu-IN"/>
        </w:rPr>
        <w:t>GI</w:t>
      </w:r>
      <w:r w:rsidRPr="008F68DF">
        <w:rPr>
          <w:rFonts w:ascii="Times New Roman" w:eastAsia="Times New Roman" w:hAnsi="Times New Roman" w:cs="Times New Roman"/>
          <w:noProof/>
          <w:kern w:val="0"/>
          <w:sz w:val="18"/>
          <w:szCs w:val="18"/>
          <w:lang w:bidi="gu-IN"/>
        </w:rPr>
        <w:t xml:space="preserve">= Girth of inflorescence (cm), </w:t>
      </w:r>
      <w:r w:rsidRPr="008F68DF">
        <w:rPr>
          <w:rFonts w:ascii="Times New Roman" w:eastAsia="Times New Roman" w:hAnsi="Times New Roman" w:cs="Times New Roman"/>
          <w:b/>
          <w:bCs/>
          <w:noProof/>
          <w:kern w:val="0"/>
          <w:sz w:val="18"/>
          <w:szCs w:val="18"/>
          <w:lang w:bidi="gu-IN"/>
        </w:rPr>
        <w:t>BYPP</w:t>
      </w:r>
      <w:r w:rsidRPr="008F68DF">
        <w:rPr>
          <w:rFonts w:ascii="Times New Roman" w:eastAsia="Times New Roman" w:hAnsi="Times New Roman" w:cs="Times New Roman"/>
          <w:noProof/>
          <w:kern w:val="0"/>
          <w:sz w:val="18"/>
          <w:szCs w:val="18"/>
          <w:lang w:bidi="gu-IN"/>
        </w:rPr>
        <w:t xml:space="preserve">=Biological yield per plant (g), </w:t>
      </w:r>
      <w:r w:rsidRPr="008F68DF">
        <w:rPr>
          <w:rFonts w:ascii="Times New Roman" w:eastAsia="Times New Roman" w:hAnsi="Times New Roman" w:cs="Times New Roman"/>
          <w:b/>
          <w:bCs/>
          <w:noProof/>
          <w:kern w:val="0"/>
          <w:sz w:val="18"/>
          <w:szCs w:val="18"/>
          <w:lang w:bidi="gu-IN"/>
        </w:rPr>
        <w:t>1000SW</w:t>
      </w:r>
      <w:r w:rsidRPr="008F68DF">
        <w:rPr>
          <w:rFonts w:ascii="Times New Roman" w:eastAsia="Times New Roman" w:hAnsi="Times New Roman" w:cs="Times New Roman"/>
          <w:noProof/>
          <w:kern w:val="0"/>
          <w:sz w:val="18"/>
          <w:szCs w:val="18"/>
          <w:lang w:bidi="gu-IN"/>
        </w:rPr>
        <w:t xml:space="preserve">=1000 seed weight (g), </w:t>
      </w:r>
      <w:r w:rsidRPr="008F68DF">
        <w:rPr>
          <w:rFonts w:ascii="Times New Roman" w:eastAsia="Times New Roman" w:hAnsi="Times New Roman" w:cs="Times New Roman"/>
          <w:b/>
          <w:bCs/>
          <w:noProof/>
          <w:kern w:val="0"/>
          <w:sz w:val="18"/>
          <w:szCs w:val="18"/>
          <w:lang w:bidi="gu-IN"/>
        </w:rPr>
        <w:t>HI</w:t>
      </w:r>
      <w:r w:rsidRPr="008F68DF">
        <w:rPr>
          <w:rFonts w:ascii="Times New Roman" w:eastAsia="Times New Roman" w:hAnsi="Times New Roman" w:cs="Times New Roman"/>
          <w:noProof/>
          <w:kern w:val="0"/>
          <w:sz w:val="18"/>
          <w:szCs w:val="18"/>
          <w:lang w:bidi="gu-IN"/>
        </w:rPr>
        <w:t xml:space="preserve">=Harvest index (%), </w:t>
      </w:r>
      <w:r w:rsidRPr="008F68DF">
        <w:rPr>
          <w:rFonts w:ascii="Times New Roman" w:eastAsia="Times New Roman" w:hAnsi="Times New Roman" w:cs="Times New Roman"/>
          <w:b/>
          <w:bCs/>
          <w:noProof/>
          <w:kern w:val="0"/>
          <w:sz w:val="18"/>
          <w:szCs w:val="18"/>
          <w:lang w:bidi="gu-IN"/>
        </w:rPr>
        <w:t>PROTEIN</w:t>
      </w:r>
      <w:r w:rsidRPr="008F68DF">
        <w:rPr>
          <w:rFonts w:ascii="Times New Roman" w:eastAsia="Times New Roman" w:hAnsi="Times New Roman" w:cs="Times New Roman"/>
          <w:noProof/>
          <w:kern w:val="0"/>
          <w:sz w:val="18"/>
          <w:szCs w:val="18"/>
          <w:lang w:bidi="gu-IN"/>
        </w:rPr>
        <w:t xml:space="preserve">=True protein content in seeds (%), </w:t>
      </w:r>
      <w:r w:rsidRPr="008F68DF">
        <w:rPr>
          <w:rFonts w:ascii="Times New Roman" w:eastAsia="Times New Roman" w:hAnsi="Times New Roman" w:cs="Times New Roman"/>
          <w:b/>
          <w:bCs/>
          <w:noProof/>
          <w:kern w:val="0"/>
          <w:sz w:val="18"/>
          <w:szCs w:val="18"/>
          <w:lang w:bidi="gu-IN"/>
        </w:rPr>
        <w:t>LYSINE PER PROTEIN</w:t>
      </w:r>
      <w:r w:rsidRPr="008F68DF">
        <w:rPr>
          <w:rFonts w:ascii="Times New Roman" w:eastAsia="Times New Roman" w:hAnsi="Times New Roman" w:cs="Times New Roman"/>
          <w:noProof/>
          <w:kern w:val="0"/>
          <w:sz w:val="18"/>
          <w:szCs w:val="18"/>
          <w:lang w:bidi="gu-IN"/>
        </w:rPr>
        <w:t xml:space="preserve">=Lysine content per protein in seeds (%), </w:t>
      </w:r>
      <w:r w:rsidRPr="008F68DF">
        <w:rPr>
          <w:rFonts w:ascii="Times New Roman" w:eastAsia="Times New Roman" w:hAnsi="Times New Roman" w:cs="Times New Roman"/>
          <w:b/>
          <w:bCs/>
          <w:noProof/>
          <w:kern w:val="0"/>
          <w:sz w:val="18"/>
          <w:szCs w:val="18"/>
          <w:lang w:bidi="gu-IN"/>
        </w:rPr>
        <w:t>SAPONIN</w:t>
      </w:r>
      <w:r w:rsidRPr="008F68DF">
        <w:rPr>
          <w:rFonts w:ascii="Times New Roman" w:eastAsia="Times New Roman" w:hAnsi="Times New Roman" w:cs="Times New Roman"/>
          <w:noProof/>
          <w:kern w:val="0"/>
          <w:sz w:val="18"/>
          <w:szCs w:val="18"/>
          <w:lang w:bidi="gu-IN"/>
        </w:rPr>
        <w:t xml:space="preserve">=Saponin content in seeds (mg/g) and </w:t>
      </w:r>
      <w:r w:rsidRPr="008F68DF">
        <w:rPr>
          <w:rFonts w:ascii="Times New Roman" w:eastAsia="Times New Roman" w:hAnsi="Times New Roman" w:cs="Times New Roman"/>
          <w:b/>
          <w:bCs/>
          <w:noProof/>
          <w:kern w:val="0"/>
          <w:sz w:val="18"/>
          <w:szCs w:val="18"/>
          <w:lang w:bidi="gu-IN"/>
        </w:rPr>
        <w:t>SYPP</w:t>
      </w:r>
      <w:r w:rsidRPr="008F68DF">
        <w:rPr>
          <w:rFonts w:ascii="Times New Roman" w:eastAsia="Times New Roman" w:hAnsi="Times New Roman" w:cs="Times New Roman"/>
          <w:noProof/>
          <w:kern w:val="0"/>
          <w:sz w:val="18"/>
          <w:szCs w:val="18"/>
          <w:lang w:bidi="gu-IN"/>
        </w:rPr>
        <w:t>=Seed yield per plant (g).</w:t>
      </w:r>
    </w:p>
    <w:p w14:paraId="5CE90960" w14:textId="77777777" w:rsidR="0041333E" w:rsidRDefault="0041333E" w:rsidP="00511797">
      <w:pPr>
        <w:spacing w:after="200" w:line="276" w:lineRule="auto"/>
        <w:jc w:val="both"/>
        <w:rPr>
          <w:rFonts w:ascii="Times New Roman" w:hAnsi="Times New Roman" w:cs="Times New Roman"/>
          <w:b/>
          <w:bCs/>
          <w:color w:val="000000" w:themeColor="text1"/>
        </w:rPr>
      </w:pPr>
    </w:p>
    <w:p w14:paraId="73198981" w14:textId="77777777" w:rsidR="00540ACC" w:rsidRPr="008F68DF" w:rsidRDefault="00540ACC" w:rsidP="00540ACC">
      <w:pPr>
        <w:spacing w:line="360" w:lineRule="auto"/>
        <w:jc w:val="both"/>
        <w:rPr>
          <w:rFonts w:ascii="Times New Roman" w:hAnsi="Times New Roman" w:cs="Times New Roman"/>
          <w:lang w:val="en-US"/>
        </w:rPr>
      </w:pPr>
      <w:r w:rsidRPr="008F68DF">
        <w:rPr>
          <w:rFonts w:ascii="Times New Roman" w:hAnsi="Times New Roman" w:cs="Times New Roman"/>
          <w:i/>
          <w:iCs/>
          <w:lang w:val="en-US"/>
        </w:rPr>
        <w:t>3.2 Correlation Analysis</w:t>
      </w:r>
    </w:p>
    <w:p w14:paraId="35BD0DB4" w14:textId="59282E34" w:rsidR="00540ACC"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lastRenderedPageBreak/>
        <w:t>The genotypic (rg) and phenotypic (rp) correlation coefficients among fourteen characters in quinoa are presented in</w:t>
      </w:r>
      <w:r w:rsidR="00D3219A">
        <w:rPr>
          <w:rFonts w:ascii="Times New Roman" w:hAnsi="Times New Roman" w:cs="Times New Roman"/>
          <w:lang w:val="en-US"/>
        </w:rPr>
        <w:t xml:space="preserve"> </w:t>
      </w:r>
      <w:r w:rsidR="00471E38">
        <w:rPr>
          <w:rFonts w:ascii="Times New Roman" w:hAnsi="Times New Roman" w:cs="Times New Roman"/>
          <w:b/>
          <w:bCs/>
          <w:lang w:val="en-US"/>
        </w:rPr>
        <w:t>list 2</w:t>
      </w:r>
      <w:r w:rsidRPr="00D3219A">
        <w:rPr>
          <w:rFonts w:ascii="Times New Roman" w:hAnsi="Times New Roman" w:cs="Times New Roman"/>
          <w:b/>
          <w:bCs/>
          <w:lang w:val="en-US"/>
        </w:rPr>
        <w:t>.</w:t>
      </w:r>
      <w:r w:rsidRPr="008F68DF">
        <w:rPr>
          <w:rFonts w:ascii="Times New Roman" w:hAnsi="Times New Roman" w:cs="Times New Roman"/>
          <w:lang w:val="en-US"/>
        </w:rPr>
        <w:t xml:space="preserve"> In general, genotypic correlations were higher in magnitude than phenotypic correlations, indicating that the observed associations were largely governed by genetic factors, with relatively low environmental interference.</w:t>
      </w:r>
    </w:p>
    <w:p w14:paraId="30C38556" w14:textId="77777777" w:rsidR="00A93D2A" w:rsidRDefault="00A93D2A" w:rsidP="00D3219A">
      <w:pPr>
        <w:spacing w:after="0" w:line="360" w:lineRule="auto"/>
        <w:jc w:val="both"/>
        <w:rPr>
          <w:rFonts w:ascii="Times New Roman" w:hAnsi="Times New Roman" w:cs="Times New Roman"/>
          <w:b/>
          <w:bCs/>
          <w:color w:val="000000" w:themeColor="text1"/>
          <w:sz w:val="18"/>
          <w:szCs w:val="18"/>
        </w:rPr>
        <w:sectPr w:rsidR="00A93D2A" w:rsidSect="00FD0CC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08" w:footer="708" w:gutter="0"/>
          <w:cols w:space="708"/>
          <w:docGrid w:linePitch="360"/>
        </w:sectPr>
      </w:pPr>
    </w:p>
    <w:p w14:paraId="57DF1101" w14:textId="77777777" w:rsidR="001F3791" w:rsidRDefault="001F3791" w:rsidP="00D3219A">
      <w:pPr>
        <w:spacing w:after="0" w:line="360" w:lineRule="auto"/>
        <w:jc w:val="both"/>
        <w:rPr>
          <w:rFonts w:ascii="Times New Roman" w:hAnsi="Times New Roman" w:cs="Times New Roman"/>
          <w:b/>
          <w:bCs/>
          <w:lang w:val="en-US"/>
        </w:rPr>
      </w:pPr>
    </w:p>
    <w:p w14:paraId="239C2842" w14:textId="53172E55" w:rsidR="00A93D2A" w:rsidRPr="00D3219A" w:rsidRDefault="00471E38" w:rsidP="00D3219A">
      <w:pPr>
        <w:spacing w:after="0" w:line="360" w:lineRule="auto"/>
        <w:jc w:val="both"/>
        <w:rPr>
          <w:rFonts w:ascii="Times New Roman" w:hAnsi="Times New Roman" w:cs="Times New Roman"/>
          <w:b/>
          <w:bCs/>
          <w:lang w:val="en-US"/>
        </w:rPr>
      </w:pPr>
      <w:r w:rsidRPr="00471E38">
        <w:rPr>
          <w:rFonts w:ascii="Times New Roman" w:hAnsi="Times New Roman" w:cs="Times New Roman"/>
          <w:b/>
          <w:bCs/>
          <w:lang w:val="en-US"/>
        </w:rPr>
        <w:t>list 2</w:t>
      </w:r>
      <w:r w:rsidR="00A93D2A">
        <w:rPr>
          <w:rFonts w:ascii="Times New Roman" w:hAnsi="Times New Roman" w:cs="Times New Roman"/>
          <w:b/>
          <w:bCs/>
          <w:lang w:val="en-US"/>
        </w:rPr>
        <w:t>. Genotypic and Phenotypic correlation coefficient for different characters in quinoa</w:t>
      </w:r>
    </w:p>
    <w:tbl>
      <w:tblPr>
        <w:tblW w:w="13026" w:type="dxa"/>
        <w:tblInd w:w="-215" w:type="dxa"/>
        <w:tblLook w:val="04A0" w:firstRow="1" w:lastRow="0" w:firstColumn="1" w:lastColumn="0" w:noHBand="0" w:noVBand="1"/>
      </w:tblPr>
      <w:tblGrid>
        <w:gridCol w:w="772"/>
        <w:gridCol w:w="705"/>
        <w:gridCol w:w="756"/>
        <w:gridCol w:w="802"/>
        <w:gridCol w:w="833"/>
        <w:gridCol w:w="833"/>
        <w:gridCol w:w="833"/>
        <w:gridCol w:w="833"/>
        <w:gridCol w:w="833"/>
        <w:gridCol w:w="833"/>
        <w:gridCol w:w="771"/>
        <w:gridCol w:w="833"/>
        <w:gridCol w:w="833"/>
        <w:gridCol w:w="833"/>
        <w:gridCol w:w="833"/>
        <w:gridCol w:w="890"/>
      </w:tblGrid>
      <w:tr w:rsidR="00A93D2A" w:rsidRPr="00973BC3" w14:paraId="439FDA86" w14:textId="77777777" w:rsidTr="00A93D2A">
        <w:trPr>
          <w:trHeight w:val="231"/>
        </w:trPr>
        <w:tc>
          <w:tcPr>
            <w:tcW w:w="772" w:type="dxa"/>
            <w:tcBorders>
              <w:top w:val="single" w:sz="8" w:space="0" w:color="auto"/>
              <w:left w:val="single" w:sz="8" w:space="0" w:color="auto"/>
              <w:bottom w:val="single" w:sz="8" w:space="0" w:color="auto"/>
              <w:right w:val="single" w:sz="8" w:space="0" w:color="auto"/>
            </w:tcBorders>
            <w:vAlign w:val="bottom"/>
            <w:hideMark/>
          </w:tcPr>
          <w:p w14:paraId="38C13E19"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 </w:t>
            </w:r>
          </w:p>
        </w:tc>
        <w:tc>
          <w:tcPr>
            <w:tcW w:w="705" w:type="dxa"/>
            <w:tcBorders>
              <w:top w:val="single" w:sz="8" w:space="0" w:color="auto"/>
              <w:left w:val="nil"/>
              <w:bottom w:val="single" w:sz="8" w:space="0" w:color="auto"/>
              <w:right w:val="single" w:sz="8" w:space="0" w:color="auto"/>
            </w:tcBorders>
            <w:vAlign w:val="bottom"/>
            <w:hideMark/>
          </w:tcPr>
          <w:p w14:paraId="687821E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 </w:t>
            </w:r>
          </w:p>
        </w:tc>
        <w:tc>
          <w:tcPr>
            <w:tcW w:w="756" w:type="dxa"/>
            <w:tcBorders>
              <w:top w:val="single" w:sz="8" w:space="0" w:color="auto"/>
              <w:left w:val="nil"/>
              <w:bottom w:val="single" w:sz="8" w:space="0" w:color="auto"/>
              <w:right w:val="single" w:sz="8" w:space="0" w:color="auto"/>
            </w:tcBorders>
            <w:vAlign w:val="bottom"/>
            <w:hideMark/>
          </w:tcPr>
          <w:p w14:paraId="63BA103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DF</w:t>
            </w:r>
          </w:p>
        </w:tc>
        <w:tc>
          <w:tcPr>
            <w:tcW w:w="802" w:type="dxa"/>
            <w:tcBorders>
              <w:top w:val="single" w:sz="8" w:space="0" w:color="auto"/>
              <w:left w:val="nil"/>
              <w:bottom w:val="single" w:sz="8" w:space="0" w:color="auto"/>
              <w:right w:val="single" w:sz="8" w:space="0" w:color="auto"/>
            </w:tcBorders>
            <w:vAlign w:val="bottom"/>
            <w:hideMark/>
          </w:tcPr>
          <w:p w14:paraId="740D9BC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DM</w:t>
            </w:r>
          </w:p>
        </w:tc>
        <w:tc>
          <w:tcPr>
            <w:tcW w:w="833" w:type="dxa"/>
            <w:tcBorders>
              <w:top w:val="single" w:sz="8" w:space="0" w:color="auto"/>
              <w:left w:val="nil"/>
              <w:bottom w:val="single" w:sz="8" w:space="0" w:color="auto"/>
              <w:right w:val="single" w:sz="8" w:space="0" w:color="auto"/>
            </w:tcBorders>
            <w:vAlign w:val="bottom"/>
            <w:hideMark/>
          </w:tcPr>
          <w:p w14:paraId="491EBE52"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PH</w:t>
            </w:r>
          </w:p>
        </w:tc>
        <w:tc>
          <w:tcPr>
            <w:tcW w:w="833" w:type="dxa"/>
            <w:tcBorders>
              <w:top w:val="single" w:sz="8" w:space="0" w:color="auto"/>
              <w:left w:val="nil"/>
              <w:bottom w:val="single" w:sz="8" w:space="0" w:color="auto"/>
              <w:right w:val="single" w:sz="8" w:space="0" w:color="auto"/>
            </w:tcBorders>
            <w:vAlign w:val="bottom"/>
            <w:hideMark/>
          </w:tcPr>
          <w:p w14:paraId="3B78282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NBPP</w:t>
            </w:r>
          </w:p>
        </w:tc>
        <w:tc>
          <w:tcPr>
            <w:tcW w:w="833" w:type="dxa"/>
            <w:tcBorders>
              <w:top w:val="single" w:sz="8" w:space="0" w:color="auto"/>
              <w:left w:val="nil"/>
              <w:bottom w:val="single" w:sz="8" w:space="0" w:color="auto"/>
              <w:right w:val="single" w:sz="8" w:space="0" w:color="auto"/>
            </w:tcBorders>
            <w:vAlign w:val="bottom"/>
            <w:hideMark/>
          </w:tcPr>
          <w:p w14:paraId="0BA859C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NIPP</w:t>
            </w:r>
          </w:p>
        </w:tc>
        <w:tc>
          <w:tcPr>
            <w:tcW w:w="833" w:type="dxa"/>
            <w:tcBorders>
              <w:top w:val="single" w:sz="8" w:space="0" w:color="auto"/>
              <w:left w:val="nil"/>
              <w:bottom w:val="single" w:sz="8" w:space="0" w:color="auto"/>
              <w:right w:val="single" w:sz="8" w:space="0" w:color="auto"/>
            </w:tcBorders>
            <w:vAlign w:val="bottom"/>
            <w:hideMark/>
          </w:tcPr>
          <w:p w14:paraId="5487D378"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LI</w:t>
            </w:r>
          </w:p>
        </w:tc>
        <w:tc>
          <w:tcPr>
            <w:tcW w:w="833" w:type="dxa"/>
            <w:tcBorders>
              <w:top w:val="single" w:sz="8" w:space="0" w:color="auto"/>
              <w:left w:val="nil"/>
              <w:bottom w:val="single" w:sz="8" w:space="0" w:color="auto"/>
              <w:right w:val="single" w:sz="8" w:space="0" w:color="auto"/>
            </w:tcBorders>
            <w:vAlign w:val="bottom"/>
            <w:hideMark/>
          </w:tcPr>
          <w:p w14:paraId="79C88FB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GI</w:t>
            </w:r>
          </w:p>
        </w:tc>
        <w:tc>
          <w:tcPr>
            <w:tcW w:w="833" w:type="dxa"/>
            <w:tcBorders>
              <w:top w:val="single" w:sz="8" w:space="0" w:color="auto"/>
              <w:left w:val="nil"/>
              <w:bottom w:val="single" w:sz="8" w:space="0" w:color="auto"/>
              <w:right w:val="single" w:sz="8" w:space="0" w:color="auto"/>
            </w:tcBorders>
            <w:vAlign w:val="bottom"/>
            <w:hideMark/>
          </w:tcPr>
          <w:p w14:paraId="1E3D3EC3"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BYPP</w:t>
            </w:r>
          </w:p>
        </w:tc>
        <w:tc>
          <w:tcPr>
            <w:tcW w:w="771" w:type="dxa"/>
            <w:tcBorders>
              <w:top w:val="single" w:sz="8" w:space="0" w:color="auto"/>
              <w:left w:val="nil"/>
              <w:bottom w:val="single" w:sz="8" w:space="0" w:color="auto"/>
              <w:right w:val="single" w:sz="8" w:space="0" w:color="auto"/>
            </w:tcBorders>
            <w:vAlign w:val="bottom"/>
            <w:hideMark/>
          </w:tcPr>
          <w:p w14:paraId="2E9D810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TW</w:t>
            </w:r>
          </w:p>
        </w:tc>
        <w:tc>
          <w:tcPr>
            <w:tcW w:w="833" w:type="dxa"/>
            <w:tcBorders>
              <w:top w:val="single" w:sz="8" w:space="0" w:color="auto"/>
              <w:left w:val="nil"/>
              <w:bottom w:val="single" w:sz="8" w:space="0" w:color="auto"/>
              <w:right w:val="single" w:sz="8" w:space="0" w:color="auto"/>
            </w:tcBorders>
            <w:vAlign w:val="bottom"/>
            <w:hideMark/>
          </w:tcPr>
          <w:p w14:paraId="6B6AC5BF"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HI</w:t>
            </w:r>
          </w:p>
        </w:tc>
        <w:tc>
          <w:tcPr>
            <w:tcW w:w="833" w:type="dxa"/>
            <w:tcBorders>
              <w:top w:val="single" w:sz="8" w:space="0" w:color="auto"/>
              <w:left w:val="nil"/>
              <w:bottom w:val="single" w:sz="8" w:space="0" w:color="auto"/>
              <w:right w:val="single" w:sz="8" w:space="0" w:color="auto"/>
            </w:tcBorders>
            <w:vAlign w:val="bottom"/>
            <w:hideMark/>
          </w:tcPr>
          <w:p w14:paraId="7A312E0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PRO</w:t>
            </w:r>
          </w:p>
        </w:tc>
        <w:tc>
          <w:tcPr>
            <w:tcW w:w="833" w:type="dxa"/>
            <w:tcBorders>
              <w:top w:val="single" w:sz="8" w:space="0" w:color="auto"/>
              <w:left w:val="nil"/>
              <w:bottom w:val="single" w:sz="8" w:space="0" w:color="auto"/>
              <w:right w:val="single" w:sz="8" w:space="0" w:color="auto"/>
            </w:tcBorders>
            <w:vAlign w:val="bottom"/>
            <w:hideMark/>
          </w:tcPr>
          <w:p w14:paraId="4BC0270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LYS</w:t>
            </w:r>
          </w:p>
        </w:tc>
        <w:tc>
          <w:tcPr>
            <w:tcW w:w="833" w:type="dxa"/>
            <w:tcBorders>
              <w:top w:val="single" w:sz="8" w:space="0" w:color="auto"/>
              <w:left w:val="nil"/>
              <w:bottom w:val="single" w:sz="8" w:space="0" w:color="auto"/>
              <w:right w:val="single" w:sz="8" w:space="0" w:color="auto"/>
            </w:tcBorders>
            <w:vAlign w:val="bottom"/>
            <w:hideMark/>
          </w:tcPr>
          <w:p w14:paraId="25A4FE19"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SAP</w:t>
            </w:r>
          </w:p>
        </w:tc>
        <w:tc>
          <w:tcPr>
            <w:tcW w:w="890" w:type="dxa"/>
            <w:tcBorders>
              <w:top w:val="single" w:sz="8" w:space="0" w:color="auto"/>
              <w:left w:val="nil"/>
              <w:bottom w:val="single" w:sz="8" w:space="0" w:color="auto"/>
              <w:right w:val="single" w:sz="8" w:space="0" w:color="auto"/>
            </w:tcBorders>
            <w:vAlign w:val="bottom"/>
            <w:hideMark/>
          </w:tcPr>
          <w:p w14:paraId="45B4C96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SYPP</w:t>
            </w:r>
          </w:p>
        </w:tc>
      </w:tr>
      <w:tr w:rsidR="00A93D2A" w:rsidRPr="00973BC3" w14:paraId="6E37A04D"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668F198C"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DF</w:t>
            </w:r>
          </w:p>
        </w:tc>
        <w:tc>
          <w:tcPr>
            <w:tcW w:w="705" w:type="dxa"/>
            <w:tcBorders>
              <w:top w:val="nil"/>
              <w:left w:val="nil"/>
              <w:bottom w:val="single" w:sz="8" w:space="0" w:color="auto"/>
              <w:right w:val="single" w:sz="8" w:space="0" w:color="auto"/>
            </w:tcBorders>
            <w:vAlign w:val="bottom"/>
            <w:hideMark/>
          </w:tcPr>
          <w:p w14:paraId="1AD40C05"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shd w:val="clear" w:color="000000" w:fill="F8696B"/>
            <w:vAlign w:val="bottom"/>
            <w:hideMark/>
          </w:tcPr>
          <w:p w14:paraId="53DDCE78"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02" w:type="dxa"/>
            <w:tcBorders>
              <w:top w:val="nil"/>
              <w:left w:val="nil"/>
              <w:bottom w:val="single" w:sz="8" w:space="0" w:color="auto"/>
              <w:right w:val="single" w:sz="8" w:space="0" w:color="auto"/>
            </w:tcBorders>
            <w:shd w:val="clear" w:color="000000" w:fill="FDC17C"/>
            <w:vAlign w:val="bottom"/>
            <w:hideMark/>
          </w:tcPr>
          <w:p w14:paraId="7F46A35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0.33*</w:t>
            </w:r>
          </w:p>
        </w:tc>
        <w:tc>
          <w:tcPr>
            <w:tcW w:w="833" w:type="dxa"/>
            <w:tcBorders>
              <w:top w:val="nil"/>
              <w:left w:val="nil"/>
              <w:bottom w:val="single" w:sz="8" w:space="0" w:color="auto"/>
              <w:right w:val="single" w:sz="8" w:space="0" w:color="auto"/>
            </w:tcBorders>
            <w:shd w:val="clear" w:color="000000" w:fill="FCA477"/>
            <w:vAlign w:val="bottom"/>
            <w:hideMark/>
          </w:tcPr>
          <w:p w14:paraId="53F520F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0.55**</w:t>
            </w:r>
          </w:p>
        </w:tc>
        <w:tc>
          <w:tcPr>
            <w:tcW w:w="833" w:type="dxa"/>
            <w:tcBorders>
              <w:top w:val="nil"/>
              <w:left w:val="nil"/>
              <w:bottom w:val="single" w:sz="8" w:space="0" w:color="auto"/>
              <w:right w:val="single" w:sz="8" w:space="0" w:color="auto"/>
            </w:tcBorders>
            <w:shd w:val="clear" w:color="000000" w:fill="FED380"/>
            <w:vAlign w:val="bottom"/>
            <w:hideMark/>
          </w:tcPr>
          <w:p w14:paraId="7DFE6DF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0.19</w:t>
            </w:r>
          </w:p>
        </w:tc>
        <w:tc>
          <w:tcPr>
            <w:tcW w:w="833" w:type="dxa"/>
            <w:tcBorders>
              <w:top w:val="nil"/>
              <w:left w:val="nil"/>
              <w:bottom w:val="single" w:sz="8" w:space="0" w:color="auto"/>
              <w:right w:val="single" w:sz="8" w:space="0" w:color="auto"/>
            </w:tcBorders>
            <w:shd w:val="clear" w:color="000000" w:fill="FED881"/>
            <w:vAlign w:val="bottom"/>
            <w:hideMark/>
          </w:tcPr>
          <w:p w14:paraId="24CE369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33" w:type="dxa"/>
            <w:tcBorders>
              <w:top w:val="nil"/>
              <w:left w:val="nil"/>
              <w:bottom w:val="single" w:sz="8" w:space="0" w:color="auto"/>
              <w:right w:val="single" w:sz="8" w:space="0" w:color="auto"/>
            </w:tcBorders>
            <w:shd w:val="clear" w:color="000000" w:fill="F5E588"/>
            <w:vAlign w:val="bottom"/>
            <w:hideMark/>
          </w:tcPr>
          <w:p w14:paraId="1611E56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-0.06</w:t>
            </w:r>
          </w:p>
        </w:tc>
        <w:tc>
          <w:tcPr>
            <w:tcW w:w="833" w:type="dxa"/>
            <w:tcBorders>
              <w:top w:val="nil"/>
              <w:left w:val="nil"/>
              <w:bottom w:val="single" w:sz="8" w:space="0" w:color="auto"/>
              <w:right w:val="single" w:sz="8" w:space="0" w:color="auto"/>
            </w:tcBorders>
            <w:shd w:val="clear" w:color="000000" w:fill="FED580"/>
            <w:vAlign w:val="bottom"/>
            <w:hideMark/>
          </w:tcPr>
          <w:p w14:paraId="479A550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0.17</w:t>
            </w:r>
          </w:p>
        </w:tc>
        <w:tc>
          <w:tcPr>
            <w:tcW w:w="833" w:type="dxa"/>
            <w:tcBorders>
              <w:top w:val="nil"/>
              <w:left w:val="nil"/>
              <w:bottom w:val="single" w:sz="8" w:space="0" w:color="auto"/>
              <w:right w:val="single" w:sz="8" w:space="0" w:color="auto"/>
            </w:tcBorders>
            <w:shd w:val="clear" w:color="000000" w:fill="FFEA84"/>
            <w:vAlign w:val="bottom"/>
            <w:hideMark/>
          </w:tcPr>
          <w:p w14:paraId="06BC67E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771" w:type="dxa"/>
            <w:tcBorders>
              <w:top w:val="nil"/>
              <w:left w:val="nil"/>
              <w:bottom w:val="single" w:sz="8" w:space="0" w:color="auto"/>
              <w:right w:val="single" w:sz="8" w:space="0" w:color="auto"/>
            </w:tcBorders>
            <w:shd w:val="clear" w:color="000000" w:fill="E6DC8E"/>
            <w:vAlign w:val="bottom"/>
            <w:hideMark/>
          </w:tcPr>
          <w:p w14:paraId="04EBB10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33" w:type="dxa"/>
            <w:tcBorders>
              <w:top w:val="nil"/>
              <w:left w:val="nil"/>
              <w:bottom w:val="single" w:sz="8" w:space="0" w:color="auto"/>
              <w:right w:val="single" w:sz="8" w:space="0" w:color="auto"/>
            </w:tcBorders>
            <w:shd w:val="clear" w:color="000000" w:fill="FCAC78"/>
            <w:vAlign w:val="bottom"/>
            <w:hideMark/>
          </w:tcPr>
          <w:p w14:paraId="60F37A1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0.49**</w:t>
            </w:r>
          </w:p>
        </w:tc>
        <w:tc>
          <w:tcPr>
            <w:tcW w:w="833" w:type="dxa"/>
            <w:tcBorders>
              <w:top w:val="nil"/>
              <w:left w:val="nil"/>
              <w:bottom w:val="single" w:sz="8" w:space="0" w:color="auto"/>
              <w:right w:val="single" w:sz="8" w:space="0" w:color="auto"/>
            </w:tcBorders>
            <w:shd w:val="clear" w:color="000000" w:fill="FB9A75"/>
            <w:vAlign w:val="bottom"/>
            <w:hideMark/>
          </w:tcPr>
          <w:p w14:paraId="77A08E3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0.63**</w:t>
            </w:r>
          </w:p>
        </w:tc>
        <w:tc>
          <w:tcPr>
            <w:tcW w:w="833" w:type="dxa"/>
            <w:tcBorders>
              <w:top w:val="nil"/>
              <w:left w:val="nil"/>
              <w:bottom w:val="single" w:sz="8" w:space="0" w:color="auto"/>
              <w:right w:val="single" w:sz="8" w:space="0" w:color="auto"/>
            </w:tcBorders>
            <w:shd w:val="clear" w:color="000000" w:fill="D9D494"/>
            <w:vAlign w:val="bottom"/>
            <w:hideMark/>
          </w:tcPr>
          <w:p w14:paraId="657BB79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-0.23</w:t>
            </w:r>
          </w:p>
        </w:tc>
        <w:tc>
          <w:tcPr>
            <w:tcW w:w="833" w:type="dxa"/>
            <w:tcBorders>
              <w:top w:val="nil"/>
              <w:left w:val="nil"/>
              <w:bottom w:val="single" w:sz="8" w:space="0" w:color="auto"/>
              <w:right w:val="single" w:sz="8" w:space="0" w:color="auto"/>
            </w:tcBorders>
            <w:shd w:val="clear" w:color="000000" w:fill="FFE683"/>
            <w:vAlign w:val="bottom"/>
            <w:hideMark/>
          </w:tcPr>
          <w:p w14:paraId="563F8C0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90" w:type="dxa"/>
            <w:tcBorders>
              <w:top w:val="nil"/>
              <w:left w:val="nil"/>
              <w:bottom w:val="single" w:sz="8" w:space="0" w:color="auto"/>
              <w:right w:val="single" w:sz="8" w:space="0" w:color="auto"/>
            </w:tcBorders>
            <w:shd w:val="clear" w:color="000000" w:fill="FECC7E"/>
            <w:vAlign w:val="bottom"/>
            <w:hideMark/>
          </w:tcPr>
          <w:p w14:paraId="5EEABBE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p>
        </w:tc>
      </w:tr>
      <w:tr w:rsidR="00A93D2A" w:rsidRPr="00973BC3" w14:paraId="7B7F051B"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670D8ED3"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0E2D2160"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shd w:val="clear" w:color="000000" w:fill="F8696B"/>
            <w:vAlign w:val="bottom"/>
            <w:hideMark/>
          </w:tcPr>
          <w:p w14:paraId="746628D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02" w:type="dxa"/>
            <w:tcBorders>
              <w:top w:val="nil"/>
              <w:left w:val="nil"/>
              <w:bottom w:val="single" w:sz="8" w:space="0" w:color="auto"/>
              <w:right w:val="single" w:sz="8" w:space="0" w:color="auto"/>
            </w:tcBorders>
            <w:shd w:val="clear" w:color="000000" w:fill="FEC87E"/>
            <w:vAlign w:val="bottom"/>
            <w:hideMark/>
          </w:tcPr>
          <w:p w14:paraId="0E3A304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0.27*</w:t>
            </w:r>
          </w:p>
        </w:tc>
        <w:tc>
          <w:tcPr>
            <w:tcW w:w="833" w:type="dxa"/>
            <w:tcBorders>
              <w:top w:val="nil"/>
              <w:left w:val="nil"/>
              <w:bottom w:val="single" w:sz="8" w:space="0" w:color="auto"/>
              <w:right w:val="single" w:sz="8" w:space="0" w:color="auto"/>
            </w:tcBorders>
            <w:shd w:val="clear" w:color="000000" w:fill="FCAC78"/>
            <w:vAlign w:val="bottom"/>
            <w:hideMark/>
          </w:tcPr>
          <w:p w14:paraId="6959E73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0.49**</w:t>
            </w:r>
          </w:p>
        </w:tc>
        <w:tc>
          <w:tcPr>
            <w:tcW w:w="833" w:type="dxa"/>
            <w:tcBorders>
              <w:top w:val="nil"/>
              <w:left w:val="nil"/>
              <w:bottom w:val="single" w:sz="8" w:space="0" w:color="auto"/>
              <w:right w:val="single" w:sz="8" w:space="0" w:color="auto"/>
            </w:tcBorders>
            <w:shd w:val="clear" w:color="000000" w:fill="FED881"/>
            <w:vAlign w:val="bottom"/>
            <w:hideMark/>
          </w:tcPr>
          <w:p w14:paraId="3908B66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33" w:type="dxa"/>
            <w:tcBorders>
              <w:top w:val="nil"/>
              <w:left w:val="nil"/>
              <w:bottom w:val="single" w:sz="8" w:space="0" w:color="auto"/>
              <w:right w:val="single" w:sz="8" w:space="0" w:color="auto"/>
            </w:tcBorders>
            <w:shd w:val="clear" w:color="000000" w:fill="FFDB81"/>
            <w:vAlign w:val="bottom"/>
            <w:hideMark/>
          </w:tcPr>
          <w:p w14:paraId="1E4B2DF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0.13</w:t>
            </w:r>
          </w:p>
        </w:tc>
        <w:tc>
          <w:tcPr>
            <w:tcW w:w="833" w:type="dxa"/>
            <w:tcBorders>
              <w:top w:val="nil"/>
              <w:left w:val="nil"/>
              <w:bottom w:val="single" w:sz="8" w:space="0" w:color="auto"/>
              <w:right w:val="single" w:sz="8" w:space="0" w:color="auto"/>
            </w:tcBorders>
            <w:shd w:val="clear" w:color="000000" w:fill="FDEA85"/>
            <w:vAlign w:val="bottom"/>
            <w:hideMark/>
          </w:tcPr>
          <w:p w14:paraId="452F49A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FD981"/>
            <w:vAlign w:val="bottom"/>
            <w:hideMark/>
          </w:tcPr>
          <w:p w14:paraId="422A4FB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0.14</w:t>
            </w:r>
          </w:p>
        </w:tc>
        <w:tc>
          <w:tcPr>
            <w:tcW w:w="833" w:type="dxa"/>
            <w:tcBorders>
              <w:top w:val="nil"/>
              <w:left w:val="nil"/>
              <w:bottom w:val="single" w:sz="8" w:space="0" w:color="auto"/>
              <w:right w:val="single" w:sz="8" w:space="0" w:color="auto"/>
            </w:tcBorders>
            <w:shd w:val="clear" w:color="000000" w:fill="FFEB84"/>
            <w:vAlign w:val="bottom"/>
            <w:hideMark/>
          </w:tcPr>
          <w:p w14:paraId="6C41A9A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w:t>
            </w:r>
          </w:p>
        </w:tc>
        <w:tc>
          <w:tcPr>
            <w:tcW w:w="771" w:type="dxa"/>
            <w:tcBorders>
              <w:top w:val="nil"/>
              <w:left w:val="nil"/>
              <w:bottom w:val="single" w:sz="8" w:space="0" w:color="auto"/>
              <w:right w:val="single" w:sz="8" w:space="0" w:color="auto"/>
            </w:tcBorders>
            <w:shd w:val="clear" w:color="000000" w:fill="ECE08C"/>
            <w:vAlign w:val="bottom"/>
            <w:hideMark/>
          </w:tcPr>
          <w:p w14:paraId="2E15402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-0.11</w:t>
            </w:r>
          </w:p>
        </w:tc>
        <w:tc>
          <w:tcPr>
            <w:tcW w:w="833" w:type="dxa"/>
            <w:tcBorders>
              <w:top w:val="nil"/>
              <w:left w:val="nil"/>
              <w:bottom w:val="single" w:sz="8" w:space="0" w:color="auto"/>
              <w:right w:val="single" w:sz="8" w:space="0" w:color="auto"/>
            </w:tcBorders>
            <w:shd w:val="clear" w:color="000000" w:fill="FECB7E"/>
            <w:vAlign w:val="bottom"/>
            <w:hideMark/>
          </w:tcPr>
          <w:p w14:paraId="004B211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p>
        </w:tc>
        <w:tc>
          <w:tcPr>
            <w:tcW w:w="833" w:type="dxa"/>
            <w:tcBorders>
              <w:top w:val="nil"/>
              <w:left w:val="nil"/>
              <w:bottom w:val="single" w:sz="8" w:space="0" w:color="auto"/>
              <w:right w:val="single" w:sz="8" w:space="0" w:color="auto"/>
            </w:tcBorders>
            <w:shd w:val="clear" w:color="000000" w:fill="FCA477"/>
            <w:vAlign w:val="bottom"/>
            <w:hideMark/>
          </w:tcPr>
          <w:p w14:paraId="5D40372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0.55**</w:t>
            </w:r>
          </w:p>
        </w:tc>
        <w:tc>
          <w:tcPr>
            <w:tcW w:w="833" w:type="dxa"/>
            <w:tcBorders>
              <w:top w:val="nil"/>
              <w:left w:val="nil"/>
              <w:bottom w:val="single" w:sz="8" w:space="0" w:color="auto"/>
              <w:right w:val="single" w:sz="8" w:space="0" w:color="auto"/>
            </w:tcBorders>
            <w:shd w:val="clear" w:color="000000" w:fill="DED792"/>
            <w:vAlign w:val="bottom"/>
            <w:hideMark/>
          </w:tcPr>
          <w:p w14:paraId="0391CDC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w:t>
            </w:r>
            <w:r>
              <w:rPr>
                <w:rFonts w:ascii="Times New Roman" w:eastAsia="Times New Roman" w:hAnsi="Times New Roman" w:cs="Times New Roman"/>
                <w:color w:val="000000"/>
                <w:sz w:val="20"/>
                <w:szCs w:val="20"/>
              </w:rPr>
              <w:t>0</w:t>
            </w:r>
            <w:r w:rsidRPr="00973BC3">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FE884"/>
            <w:vAlign w:val="bottom"/>
            <w:hideMark/>
          </w:tcPr>
          <w:p w14:paraId="0B90535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90" w:type="dxa"/>
            <w:tcBorders>
              <w:top w:val="nil"/>
              <w:left w:val="nil"/>
              <w:bottom w:val="single" w:sz="8" w:space="0" w:color="auto"/>
              <w:right w:val="single" w:sz="8" w:space="0" w:color="auto"/>
            </w:tcBorders>
            <w:shd w:val="clear" w:color="000000" w:fill="FED881"/>
            <w:vAlign w:val="bottom"/>
            <w:hideMark/>
          </w:tcPr>
          <w:p w14:paraId="3ADAEB3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r>
      <w:tr w:rsidR="00A93D2A" w:rsidRPr="00973BC3" w14:paraId="0E07584F"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52F3D25F"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DM</w:t>
            </w:r>
          </w:p>
        </w:tc>
        <w:tc>
          <w:tcPr>
            <w:tcW w:w="705" w:type="dxa"/>
            <w:tcBorders>
              <w:top w:val="nil"/>
              <w:left w:val="nil"/>
              <w:bottom w:val="single" w:sz="8" w:space="0" w:color="auto"/>
              <w:right w:val="single" w:sz="8" w:space="0" w:color="auto"/>
            </w:tcBorders>
            <w:vAlign w:val="bottom"/>
            <w:hideMark/>
          </w:tcPr>
          <w:p w14:paraId="6EDA6033"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4AA96EA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shd w:val="clear" w:color="000000" w:fill="F8696B"/>
            <w:vAlign w:val="bottom"/>
            <w:hideMark/>
          </w:tcPr>
          <w:p w14:paraId="6105D1C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A8D72"/>
            <w:vAlign w:val="bottom"/>
            <w:hideMark/>
          </w:tcPr>
          <w:p w14:paraId="374CCCF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0.73**</w:t>
            </w:r>
          </w:p>
        </w:tc>
        <w:tc>
          <w:tcPr>
            <w:tcW w:w="833" w:type="dxa"/>
            <w:tcBorders>
              <w:top w:val="nil"/>
              <w:left w:val="nil"/>
              <w:bottom w:val="single" w:sz="8" w:space="0" w:color="auto"/>
              <w:right w:val="single" w:sz="8" w:space="0" w:color="auto"/>
            </w:tcBorders>
            <w:shd w:val="clear" w:color="000000" w:fill="FDC47D"/>
            <w:vAlign w:val="bottom"/>
            <w:hideMark/>
          </w:tcPr>
          <w:p w14:paraId="185F7F7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w:t>
            </w:r>
            <w:r>
              <w:rPr>
                <w:rFonts w:ascii="Times New Roman" w:eastAsia="Times New Roman" w:hAnsi="Times New Roman" w:cs="Times New Roman"/>
                <w:color w:val="000000"/>
                <w:sz w:val="20"/>
                <w:szCs w:val="20"/>
              </w:rPr>
              <w:t>0</w:t>
            </w:r>
          </w:p>
        </w:tc>
        <w:tc>
          <w:tcPr>
            <w:tcW w:w="833" w:type="dxa"/>
            <w:tcBorders>
              <w:top w:val="nil"/>
              <w:left w:val="nil"/>
              <w:bottom w:val="single" w:sz="8" w:space="0" w:color="auto"/>
              <w:right w:val="single" w:sz="8" w:space="0" w:color="auto"/>
            </w:tcBorders>
            <w:shd w:val="clear" w:color="000000" w:fill="FEC77D"/>
            <w:vAlign w:val="bottom"/>
            <w:hideMark/>
          </w:tcPr>
          <w:p w14:paraId="22A8BA8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0.28</w:t>
            </w:r>
          </w:p>
        </w:tc>
        <w:tc>
          <w:tcPr>
            <w:tcW w:w="833" w:type="dxa"/>
            <w:tcBorders>
              <w:top w:val="nil"/>
              <w:left w:val="nil"/>
              <w:bottom w:val="single" w:sz="8" w:space="0" w:color="auto"/>
              <w:right w:val="single" w:sz="8" w:space="0" w:color="auto"/>
            </w:tcBorders>
            <w:shd w:val="clear" w:color="000000" w:fill="FCA577"/>
            <w:vAlign w:val="bottom"/>
            <w:hideMark/>
          </w:tcPr>
          <w:p w14:paraId="3E0810B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0.54**</w:t>
            </w:r>
          </w:p>
        </w:tc>
        <w:tc>
          <w:tcPr>
            <w:tcW w:w="833" w:type="dxa"/>
            <w:tcBorders>
              <w:top w:val="nil"/>
              <w:left w:val="nil"/>
              <w:bottom w:val="single" w:sz="8" w:space="0" w:color="auto"/>
              <w:right w:val="single" w:sz="8" w:space="0" w:color="auto"/>
            </w:tcBorders>
            <w:shd w:val="clear" w:color="000000" w:fill="FCAE79"/>
            <w:vAlign w:val="bottom"/>
            <w:hideMark/>
          </w:tcPr>
          <w:p w14:paraId="567680F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0.47**</w:t>
            </w:r>
          </w:p>
        </w:tc>
        <w:tc>
          <w:tcPr>
            <w:tcW w:w="833" w:type="dxa"/>
            <w:tcBorders>
              <w:top w:val="nil"/>
              <w:left w:val="nil"/>
              <w:bottom w:val="single" w:sz="8" w:space="0" w:color="auto"/>
              <w:right w:val="single" w:sz="8" w:space="0" w:color="auto"/>
            </w:tcBorders>
            <w:shd w:val="clear" w:color="000000" w:fill="FCAD78"/>
            <w:vAlign w:val="bottom"/>
            <w:hideMark/>
          </w:tcPr>
          <w:p w14:paraId="1B3D816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0.48**</w:t>
            </w:r>
          </w:p>
        </w:tc>
        <w:tc>
          <w:tcPr>
            <w:tcW w:w="771" w:type="dxa"/>
            <w:tcBorders>
              <w:top w:val="nil"/>
              <w:left w:val="nil"/>
              <w:bottom w:val="single" w:sz="8" w:space="0" w:color="auto"/>
              <w:right w:val="single" w:sz="8" w:space="0" w:color="auto"/>
            </w:tcBorders>
            <w:shd w:val="clear" w:color="000000" w:fill="FFE884"/>
            <w:vAlign w:val="bottom"/>
            <w:hideMark/>
          </w:tcPr>
          <w:p w14:paraId="219B37A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33" w:type="dxa"/>
            <w:tcBorders>
              <w:top w:val="nil"/>
              <w:left w:val="nil"/>
              <w:bottom w:val="single" w:sz="8" w:space="0" w:color="auto"/>
              <w:right w:val="single" w:sz="8" w:space="0" w:color="auto"/>
            </w:tcBorders>
            <w:shd w:val="clear" w:color="000000" w:fill="FCA477"/>
            <w:vAlign w:val="bottom"/>
            <w:hideMark/>
          </w:tcPr>
          <w:p w14:paraId="5AB38BB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0.55**</w:t>
            </w:r>
          </w:p>
        </w:tc>
        <w:tc>
          <w:tcPr>
            <w:tcW w:w="833" w:type="dxa"/>
            <w:tcBorders>
              <w:top w:val="nil"/>
              <w:left w:val="nil"/>
              <w:bottom w:val="single" w:sz="8" w:space="0" w:color="auto"/>
              <w:right w:val="single" w:sz="8" w:space="0" w:color="auto"/>
            </w:tcBorders>
            <w:shd w:val="clear" w:color="000000" w:fill="FEC87E"/>
            <w:vAlign w:val="bottom"/>
            <w:hideMark/>
          </w:tcPr>
          <w:p w14:paraId="3504ABB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0.27</w:t>
            </w:r>
          </w:p>
        </w:tc>
        <w:tc>
          <w:tcPr>
            <w:tcW w:w="833" w:type="dxa"/>
            <w:tcBorders>
              <w:top w:val="nil"/>
              <w:left w:val="nil"/>
              <w:bottom w:val="single" w:sz="8" w:space="0" w:color="auto"/>
              <w:right w:val="single" w:sz="8" w:space="0" w:color="auto"/>
            </w:tcBorders>
            <w:shd w:val="clear" w:color="000000" w:fill="DED792"/>
            <w:vAlign w:val="bottom"/>
            <w:hideMark/>
          </w:tcPr>
          <w:p w14:paraId="0F3CBEC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w:t>
            </w:r>
          </w:p>
        </w:tc>
        <w:tc>
          <w:tcPr>
            <w:tcW w:w="833" w:type="dxa"/>
            <w:tcBorders>
              <w:top w:val="nil"/>
              <w:left w:val="nil"/>
              <w:bottom w:val="single" w:sz="8" w:space="0" w:color="auto"/>
              <w:right w:val="single" w:sz="8" w:space="0" w:color="auto"/>
            </w:tcBorders>
            <w:shd w:val="clear" w:color="000000" w:fill="D2D096"/>
            <w:vAlign w:val="bottom"/>
            <w:hideMark/>
          </w:tcPr>
          <w:p w14:paraId="286FF20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-0.27</w:t>
            </w:r>
          </w:p>
        </w:tc>
        <w:tc>
          <w:tcPr>
            <w:tcW w:w="890" w:type="dxa"/>
            <w:tcBorders>
              <w:top w:val="nil"/>
              <w:left w:val="nil"/>
              <w:bottom w:val="single" w:sz="8" w:space="0" w:color="auto"/>
              <w:right w:val="single" w:sz="8" w:space="0" w:color="auto"/>
            </w:tcBorders>
            <w:shd w:val="clear" w:color="000000" w:fill="FB9D75"/>
            <w:vAlign w:val="bottom"/>
            <w:hideMark/>
          </w:tcPr>
          <w:p w14:paraId="69A585B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w:t>
            </w:r>
            <w:r>
              <w:rPr>
                <w:rFonts w:ascii="Times New Roman" w:eastAsia="Times New Roman" w:hAnsi="Times New Roman" w:cs="Times New Roman"/>
                <w:color w:val="000000"/>
                <w:sz w:val="20"/>
                <w:szCs w:val="20"/>
              </w:rPr>
              <w:t>0</w:t>
            </w:r>
            <w:r w:rsidRPr="000D2B8A">
              <w:rPr>
                <w:rFonts w:ascii="Times New Roman" w:eastAsia="Times New Roman" w:hAnsi="Times New Roman" w:cs="Times New Roman"/>
                <w:color w:val="000000"/>
                <w:sz w:val="20"/>
                <w:szCs w:val="20"/>
              </w:rPr>
              <w:t>**</w:t>
            </w:r>
          </w:p>
        </w:tc>
      </w:tr>
      <w:tr w:rsidR="00A93D2A" w:rsidRPr="00973BC3" w14:paraId="63D11682"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4AD38339"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2F5E0836"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456DC5A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shd w:val="clear" w:color="000000" w:fill="F8696B"/>
            <w:vAlign w:val="bottom"/>
            <w:hideMark/>
          </w:tcPr>
          <w:p w14:paraId="1F455152"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B9774"/>
            <w:vAlign w:val="bottom"/>
            <w:hideMark/>
          </w:tcPr>
          <w:p w14:paraId="414D779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0.65**</w:t>
            </w:r>
          </w:p>
        </w:tc>
        <w:tc>
          <w:tcPr>
            <w:tcW w:w="833" w:type="dxa"/>
            <w:tcBorders>
              <w:top w:val="nil"/>
              <w:left w:val="nil"/>
              <w:bottom w:val="single" w:sz="8" w:space="0" w:color="auto"/>
              <w:right w:val="single" w:sz="8" w:space="0" w:color="auto"/>
            </w:tcBorders>
            <w:shd w:val="clear" w:color="000000" w:fill="FECC7E"/>
            <w:vAlign w:val="bottom"/>
            <w:hideMark/>
          </w:tcPr>
          <w:p w14:paraId="53F22D5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p>
        </w:tc>
        <w:tc>
          <w:tcPr>
            <w:tcW w:w="833" w:type="dxa"/>
            <w:tcBorders>
              <w:top w:val="nil"/>
              <w:left w:val="nil"/>
              <w:bottom w:val="single" w:sz="8" w:space="0" w:color="auto"/>
              <w:right w:val="single" w:sz="8" w:space="0" w:color="auto"/>
            </w:tcBorders>
            <w:shd w:val="clear" w:color="000000" w:fill="FECB7E"/>
            <w:vAlign w:val="bottom"/>
            <w:hideMark/>
          </w:tcPr>
          <w:p w14:paraId="0CC2D0C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p>
        </w:tc>
        <w:tc>
          <w:tcPr>
            <w:tcW w:w="833" w:type="dxa"/>
            <w:tcBorders>
              <w:top w:val="nil"/>
              <w:left w:val="nil"/>
              <w:bottom w:val="single" w:sz="8" w:space="0" w:color="auto"/>
              <w:right w:val="single" w:sz="8" w:space="0" w:color="auto"/>
            </w:tcBorders>
            <w:shd w:val="clear" w:color="000000" w:fill="FDB67A"/>
            <w:vAlign w:val="bottom"/>
            <w:hideMark/>
          </w:tcPr>
          <w:p w14:paraId="28D1330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0.41**</w:t>
            </w:r>
          </w:p>
        </w:tc>
        <w:tc>
          <w:tcPr>
            <w:tcW w:w="833" w:type="dxa"/>
            <w:tcBorders>
              <w:top w:val="nil"/>
              <w:left w:val="nil"/>
              <w:bottom w:val="single" w:sz="8" w:space="0" w:color="auto"/>
              <w:right w:val="single" w:sz="8" w:space="0" w:color="auto"/>
            </w:tcBorders>
            <w:shd w:val="clear" w:color="000000" w:fill="FDBA7B"/>
            <w:vAlign w:val="bottom"/>
            <w:hideMark/>
          </w:tcPr>
          <w:p w14:paraId="7C9F2BE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0.38**</w:t>
            </w:r>
          </w:p>
        </w:tc>
        <w:tc>
          <w:tcPr>
            <w:tcW w:w="833" w:type="dxa"/>
            <w:tcBorders>
              <w:top w:val="nil"/>
              <w:left w:val="nil"/>
              <w:bottom w:val="single" w:sz="8" w:space="0" w:color="auto"/>
              <w:right w:val="single" w:sz="8" w:space="0" w:color="auto"/>
            </w:tcBorders>
            <w:shd w:val="clear" w:color="000000" w:fill="FDB97B"/>
            <w:vAlign w:val="bottom"/>
            <w:hideMark/>
          </w:tcPr>
          <w:p w14:paraId="0163CB4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0.39**</w:t>
            </w:r>
          </w:p>
        </w:tc>
        <w:tc>
          <w:tcPr>
            <w:tcW w:w="771" w:type="dxa"/>
            <w:tcBorders>
              <w:top w:val="nil"/>
              <w:left w:val="nil"/>
              <w:bottom w:val="single" w:sz="8" w:space="0" w:color="auto"/>
              <w:right w:val="single" w:sz="8" w:space="0" w:color="auto"/>
            </w:tcBorders>
            <w:shd w:val="clear" w:color="000000" w:fill="FDEA85"/>
            <w:vAlign w:val="bottom"/>
            <w:hideMark/>
          </w:tcPr>
          <w:p w14:paraId="6C7B446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DC47D"/>
            <w:vAlign w:val="bottom"/>
            <w:hideMark/>
          </w:tcPr>
          <w:p w14:paraId="4FFB1D4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w:t>
            </w:r>
            <w:r>
              <w:rPr>
                <w:rFonts w:ascii="Times New Roman" w:eastAsia="Times New Roman" w:hAnsi="Times New Roman" w:cs="Times New Roman"/>
                <w:color w:val="000000"/>
                <w:sz w:val="20"/>
                <w:szCs w:val="20"/>
              </w:rPr>
              <w:t>0</w:t>
            </w:r>
            <w:r w:rsidRPr="00973BC3">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ECB7E"/>
            <w:vAlign w:val="bottom"/>
            <w:hideMark/>
          </w:tcPr>
          <w:p w14:paraId="6F9FCCB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E2DA90"/>
            <w:vAlign w:val="bottom"/>
            <w:hideMark/>
          </w:tcPr>
          <w:p w14:paraId="607E709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-0.17</w:t>
            </w:r>
          </w:p>
        </w:tc>
        <w:tc>
          <w:tcPr>
            <w:tcW w:w="833" w:type="dxa"/>
            <w:tcBorders>
              <w:top w:val="nil"/>
              <w:left w:val="nil"/>
              <w:bottom w:val="single" w:sz="8" w:space="0" w:color="auto"/>
              <w:right w:val="single" w:sz="8" w:space="0" w:color="auto"/>
            </w:tcBorders>
            <w:shd w:val="clear" w:color="000000" w:fill="D7D394"/>
            <w:vAlign w:val="bottom"/>
            <w:hideMark/>
          </w:tcPr>
          <w:p w14:paraId="6DB2032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r w:rsidRPr="000D2B8A">
              <w:rPr>
                <w:rFonts w:ascii="Times New Roman" w:eastAsia="Times New Roman" w:hAnsi="Times New Roman" w:cs="Times New Roman"/>
                <w:color w:val="000000"/>
                <w:sz w:val="20"/>
                <w:szCs w:val="20"/>
              </w:rPr>
              <w:t>*</w:t>
            </w:r>
          </w:p>
        </w:tc>
        <w:tc>
          <w:tcPr>
            <w:tcW w:w="890" w:type="dxa"/>
            <w:tcBorders>
              <w:top w:val="nil"/>
              <w:left w:val="nil"/>
              <w:bottom w:val="single" w:sz="8" w:space="0" w:color="auto"/>
              <w:right w:val="single" w:sz="8" w:space="0" w:color="auto"/>
            </w:tcBorders>
            <w:shd w:val="clear" w:color="000000" w:fill="FDB97B"/>
            <w:vAlign w:val="bottom"/>
            <w:hideMark/>
          </w:tcPr>
          <w:p w14:paraId="612F049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0.39</w:t>
            </w:r>
            <w:r w:rsidRPr="000D2B8A">
              <w:rPr>
                <w:rFonts w:ascii="Times New Roman" w:eastAsia="Times New Roman" w:hAnsi="Times New Roman" w:cs="Times New Roman"/>
                <w:color w:val="000000"/>
                <w:sz w:val="20"/>
                <w:szCs w:val="20"/>
              </w:rPr>
              <w:t>**</w:t>
            </w:r>
          </w:p>
        </w:tc>
      </w:tr>
      <w:tr w:rsidR="00A93D2A" w:rsidRPr="00973BC3" w14:paraId="7AA3121F"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675975C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PH</w:t>
            </w:r>
          </w:p>
        </w:tc>
        <w:tc>
          <w:tcPr>
            <w:tcW w:w="705" w:type="dxa"/>
            <w:tcBorders>
              <w:top w:val="nil"/>
              <w:left w:val="nil"/>
              <w:bottom w:val="single" w:sz="8" w:space="0" w:color="auto"/>
              <w:right w:val="single" w:sz="8" w:space="0" w:color="auto"/>
            </w:tcBorders>
            <w:vAlign w:val="bottom"/>
            <w:hideMark/>
          </w:tcPr>
          <w:p w14:paraId="6E0768F8"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2D52D59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5DD930D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70327A6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CAA78"/>
            <w:vAlign w:val="bottom"/>
            <w:hideMark/>
          </w:tcPr>
          <w:p w14:paraId="5B8F596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w:t>
            </w:r>
            <w:r>
              <w:rPr>
                <w:rFonts w:ascii="Times New Roman" w:eastAsia="Times New Roman" w:hAnsi="Times New Roman" w:cs="Times New Roman"/>
                <w:color w:val="000000"/>
                <w:sz w:val="20"/>
                <w:szCs w:val="20"/>
              </w:rPr>
              <w:t>0</w:t>
            </w:r>
            <w:r w:rsidRPr="00973BC3">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CB079"/>
            <w:vAlign w:val="bottom"/>
            <w:hideMark/>
          </w:tcPr>
          <w:p w14:paraId="25667C7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0.46**</w:t>
            </w:r>
          </w:p>
        </w:tc>
        <w:tc>
          <w:tcPr>
            <w:tcW w:w="833" w:type="dxa"/>
            <w:tcBorders>
              <w:top w:val="nil"/>
              <w:left w:val="nil"/>
              <w:bottom w:val="single" w:sz="8" w:space="0" w:color="auto"/>
              <w:right w:val="single" w:sz="8" w:space="0" w:color="auto"/>
            </w:tcBorders>
            <w:shd w:val="clear" w:color="000000" w:fill="FB9874"/>
            <w:vAlign w:val="bottom"/>
            <w:hideMark/>
          </w:tcPr>
          <w:p w14:paraId="67C2DC1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0.64**</w:t>
            </w:r>
          </w:p>
        </w:tc>
        <w:tc>
          <w:tcPr>
            <w:tcW w:w="833" w:type="dxa"/>
            <w:tcBorders>
              <w:top w:val="nil"/>
              <w:left w:val="nil"/>
              <w:bottom w:val="single" w:sz="8" w:space="0" w:color="auto"/>
              <w:right w:val="single" w:sz="8" w:space="0" w:color="auto"/>
            </w:tcBorders>
            <w:shd w:val="clear" w:color="000000" w:fill="FECC7E"/>
            <w:vAlign w:val="bottom"/>
            <w:hideMark/>
          </w:tcPr>
          <w:p w14:paraId="3981606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p>
        </w:tc>
        <w:tc>
          <w:tcPr>
            <w:tcW w:w="833" w:type="dxa"/>
            <w:tcBorders>
              <w:top w:val="nil"/>
              <w:left w:val="nil"/>
              <w:bottom w:val="single" w:sz="8" w:space="0" w:color="auto"/>
              <w:right w:val="single" w:sz="8" w:space="0" w:color="auto"/>
            </w:tcBorders>
            <w:shd w:val="clear" w:color="000000" w:fill="FDB67A"/>
            <w:vAlign w:val="bottom"/>
            <w:hideMark/>
          </w:tcPr>
          <w:p w14:paraId="335C1C4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0.41*</w:t>
            </w:r>
          </w:p>
        </w:tc>
        <w:tc>
          <w:tcPr>
            <w:tcW w:w="771" w:type="dxa"/>
            <w:tcBorders>
              <w:top w:val="nil"/>
              <w:left w:val="nil"/>
              <w:bottom w:val="single" w:sz="8" w:space="0" w:color="auto"/>
              <w:right w:val="single" w:sz="8" w:space="0" w:color="auto"/>
            </w:tcBorders>
            <w:shd w:val="clear" w:color="000000" w:fill="E4DB8F"/>
            <w:vAlign w:val="bottom"/>
            <w:hideMark/>
          </w:tcPr>
          <w:p w14:paraId="6FB6510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-0.16</w:t>
            </w:r>
          </w:p>
        </w:tc>
        <w:tc>
          <w:tcPr>
            <w:tcW w:w="833" w:type="dxa"/>
            <w:tcBorders>
              <w:top w:val="nil"/>
              <w:left w:val="nil"/>
              <w:bottom w:val="single" w:sz="8" w:space="0" w:color="auto"/>
              <w:right w:val="single" w:sz="8" w:space="0" w:color="auto"/>
            </w:tcBorders>
            <w:shd w:val="clear" w:color="000000" w:fill="FA8270"/>
            <w:vAlign w:val="bottom"/>
            <w:hideMark/>
          </w:tcPr>
          <w:p w14:paraId="404F1C9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0.81**</w:t>
            </w:r>
          </w:p>
        </w:tc>
        <w:tc>
          <w:tcPr>
            <w:tcW w:w="833" w:type="dxa"/>
            <w:tcBorders>
              <w:top w:val="nil"/>
              <w:left w:val="nil"/>
              <w:bottom w:val="single" w:sz="8" w:space="0" w:color="auto"/>
              <w:right w:val="single" w:sz="8" w:space="0" w:color="auto"/>
            </w:tcBorders>
            <w:shd w:val="clear" w:color="000000" w:fill="FCB179"/>
            <w:vAlign w:val="bottom"/>
            <w:hideMark/>
          </w:tcPr>
          <w:p w14:paraId="360966D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0.45</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D7D394"/>
            <w:vAlign w:val="bottom"/>
            <w:hideMark/>
          </w:tcPr>
          <w:p w14:paraId="21BA00B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p>
        </w:tc>
        <w:tc>
          <w:tcPr>
            <w:tcW w:w="833" w:type="dxa"/>
            <w:tcBorders>
              <w:top w:val="nil"/>
              <w:left w:val="nil"/>
              <w:bottom w:val="single" w:sz="8" w:space="0" w:color="auto"/>
              <w:right w:val="single" w:sz="8" w:space="0" w:color="auto"/>
            </w:tcBorders>
            <w:shd w:val="clear" w:color="000000" w:fill="D2D096"/>
            <w:vAlign w:val="bottom"/>
            <w:hideMark/>
          </w:tcPr>
          <w:p w14:paraId="77BB684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-0.27</w:t>
            </w:r>
          </w:p>
        </w:tc>
        <w:tc>
          <w:tcPr>
            <w:tcW w:w="890" w:type="dxa"/>
            <w:tcBorders>
              <w:top w:val="nil"/>
              <w:left w:val="nil"/>
              <w:bottom w:val="single" w:sz="8" w:space="0" w:color="auto"/>
              <w:right w:val="single" w:sz="8" w:space="0" w:color="auto"/>
            </w:tcBorders>
            <w:shd w:val="clear" w:color="000000" w:fill="FB9D75"/>
            <w:vAlign w:val="bottom"/>
            <w:hideMark/>
          </w:tcPr>
          <w:p w14:paraId="6B9CD4F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w:t>
            </w:r>
            <w:r>
              <w:rPr>
                <w:rFonts w:ascii="Times New Roman" w:eastAsia="Times New Roman" w:hAnsi="Times New Roman" w:cs="Times New Roman"/>
                <w:color w:val="000000"/>
                <w:sz w:val="20"/>
                <w:szCs w:val="20"/>
              </w:rPr>
              <w:t>0</w:t>
            </w:r>
            <w:r w:rsidRPr="000D2B8A">
              <w:rPr>
                <w:rFonts w:ascii="Times New Roman" w:eastAsia="Times New Roman" w:hAnsi="Times New Roman" w:cs="Times New Roman"/>
                <w:color w:val="000000"/>
                <w:sz w:val="20"/>
                <w:szCs w:val="20"/>
              </w:rPr>
              <w:t>**</w:t>
            </w:r>
          </w:p>
        </w:tc>
      </w:tr>
      <w:tr w:rsidR="00A93D2A" w:rsidRPr="00973BC3" w14:paraId="3EADEA4B"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5CFB1BFB"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286D5B9B"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0660009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2C04161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33D0841D"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DB57A"/>
            <w:vAlign w:val="bottom"/>
            <w:hideMark/>
          </w:tcPr>
          <w:p w14:paraId="61692DD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0.42**</w:t>
            </w:r>
          </w:p>
        </w:tc>
        <w:tc>
          <w:tcPr>
            <w:tcW w:w="833" w:type="dxa"/>
            <w:tcBorders>
              <w:top w:val="nil"/>
              <w:left w:val="nil"/>
              <w:bottom w:val="single" w:sz="8" w:space="0" w:color="auto"/>
              <w:right w:val="single" w:sz="8" w:space="0" w:color="auto"/>
            </w:tcBorders>
            <w:shd w:val="clear" w:color="000000" w:fill="FDB97B"/>
            <w:vAlign w:val="bottom"/>
            <w:hideMark/>
          </w:tcPr>
          <w:p w14:paraId="1B11759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0.39**</w:t>
            </w:r>
          </w:p>
        </w:tc>
        <w:tc>
          <w:tcPr>
            <w:tcW w:w="833" w:type="dxa"/>
            <w:tcBorders>
              <w:top w:val="nil"/>
              <w:left w:val="nil"/>
              <w:bottom w:val="single" w:sz="8" w:space="0" w:color="auto"/>
              <w:right w:val="single" w:sz="8" w:space="0" w:color="auto"/>
            </w:tcBorders>
            <w:shd w:val="clear" w:color="000000" w:fill="FCA978"/>
            <w:vAlign w:val="bottom"/>
            <w:hideMark/>
          </w:tcPr>
          <w:p w14:paraId="07D9EB5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0.51**</w:t>
            </w:r>
          </w:p>
        </w:tc>
        <w:tc>
          <w:tcPr>
            <w:tcW w:w="833" w:type="dxa"/>
            <w:tcBorders>
              <w:top w:val="nil"/>
              <w:left w:val="nil"/>
              <w:bottom w:val="single" w:sz="8" w:space="0" w:color="auto"/>
              <w:right w:val="single" w:sz="8" w:space="0" w:color="auto"/>
            </w:tcBorders>
            <w:shd w:val="clear" w:color="000000" w:fill="FED480"/>
            <w:vAlign w:val="bottom"/>
            <w:hideMark/>
          </w:tcPr>
          <w:p w14:paraId="4E254FC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33" w:type="dxa"/>
            <w:tcBorders>
              <w:top w:val="nil"/>
              <w:left w:val="nil"/>
              <w:bottom w:val="single" w:sz="8" w:space="0" w:color="auto"/>
              <w:right w:val="single" w:sz="8" w:space="0" w:color="auto"/>
            </w:tcBorders>
            <w:shd w:val="clear" w:color="000000" w:fill="FDC27C"/>
            <w:vAlign w:val="bottom"/>
            <w:hideMark/>
          </w:tcPr>
          <w:p w14:paraId="087163F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0.32**</w:t>
            </w:r>
          </w:p>
        </w:tc>
        <w:tc>
          <w:tcPr>
            <w:tcW w:w="771" w:type="dxa"/>
            <w:tcBorders>
              <w:top w:val="nil"/>
              <w:left w:val="nil"/>
              <w:bottom w:val="single" w:sz="8" w:space="0" w:color="auto"/>
              <w:right w:val="single" w:sz="8" w:space="0" w:color="auto"/>
            </w:tcBorders>
            <w:shd w:val="clear" w:color="000000" w:fill="E7DD8E"/>
            <w:vAlign w:val="bottom"/>
            <w:hideMark/>
          </w:tcPr>
          <w:p w14:paraId="01151E8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-0.14</w:t>
            </w:r>
          </w:p>
        </w:tc>
        <w:tc>
          <w:tcPr>
            <w:tcW w:w="833" w:type="dxa"/>
            <w:tcBorders>
              <w:top w:val="nil"/>
              <w:left w:val="nil"/>
              <w:bottom w:val="single" w:sz="8" w:space="0" w:color="auto"/>
              <w:right w:val="single" w:sz="8" w:space="0" w:color="auto"/>
            </w:tcBorders>
            <w:shd w:val="clear" w:color="000000" w:fill="FCAE79"/>
            <w:vAlign w:val="bottom"/>
            <w:hideMark/>
          </w:tcPr>
          <w:p w14:paraId="2240D71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0.47**</w:t>
            </w:r>
          </w:p>
        </w:tc>
        <w:tc>
          <w:tcPr>
            <w:tcW w:w="833" w:type="dxa"/>
            <w:tcBorders>
              <w:top w:val="nil"/>
              <w:left w:val="nil"/>
              <w:bottom w:val="single" w:sz="8" w:space="0" w:color="auto"/>
              <w:right w:val="single" w:sz="8" w:space="0" w:color="auto"/>
            </w:tcBorders>
            <w:shd w:val="clear" w:color="000000" w:fill="FDB87B"/>
            <w:vAlign w:val="bottom"/>
            <w:hideMark/>
          </w:tcPr>
          <w:p w14:paraId="2C877F9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w:t>
            </w:r>
            <w:r>
              <w:rPr>
                <w:rFonts w:ascii="Times New Roman" w:eastAsia="Times New Roman" w:hAnsi="Times New Roman" w:cs="Times New Roman"/>
                <w:color w:val="000000"/>
                <w:sz w:val="20"/>
                <w:szCs w:val="20"/>
              </w:rPr>
              <w:t>0</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DCD692"/>
            <w:vAlign w:val="bottom"/>
            <w:hideMark/>
          </w:tcPr>
          <w:p w14:paraId="6536B61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-0.21</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D9D494"/>
            <w:vAlign w:val="bottom"/>
            <w:hideMark/>
          </w:tcPr>
          <w:p w14:paraId="7EF42D3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-0.23</w:t>
            </w:r>
            <w:r w:rsidRPr="000D2B8A">
              <w:rPr>
                <w:rFonts w:ascii="Times New Roman" w:eastAsia="Times New Roman" w:hAnsi="Times New Roman" w:cs="Times New Roman"/>
                <w:color w:val="000000"/>
                <w:sz w:val="20"/>
                <w:szCs w:val="20"/>
              </w:rPr>
              <w:t>*</w:t>
            </w:r>
          </w:p>
        </w:tc>
        <w:tc>
          <w:tcPr>
            <w:tcW w:w="890" w:type="dxa"/>
            <w:tcBorders>
              <w:top w:val="nil"/>
              <w:left w:val="nil"/>
              <w:bottom w:val="single" w:sz="8" w:space="0" w:color="auto"/>
              <w:right w:val="single" w:sz="8" w:space="0" w:color="auto"/>
            </w:tcBorders>
            <w:shd w:val="clear" w:color="000000" w:fill="FDB67A"/>
            <w:vAlign w:val="bottom"/>
            <w:hideMark/>
          </w:tcPr>
          <w:p w14:paraId="78786B0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0.41</w:t>
            </w:r>
            <w:r w:rsidRPr="000D2B8A">
              <w:rPr>
                <w:rFonts w:ascii="Times New Roman" w:eastAsia="Times New Roman" w:hAnsi="Times New Roman" w:cs="Times New Roman"/>
                <w:color w:val="000000"/>
                <w:sz w:val="20"/>
                <w:szCs w:val="20"/>
              </w:rPr>
              <w:t>**</w:t>
            </w:r>
          </w:p>
        </w:tc>
      </w:tr>
      <w:tr w:rsidR="00A93D2A" w:rsidRPr="00973BC3" w14:paraId="5ADDE466"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31020C8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NBPP</w:t>
            </w:r>
          </w:p>
        </w:tc>
        <w:tc>
          <w:tcPr>
            <w:tcW w:w="705" w:type="dxa"/>
            <w:tcBorders>
              <w:top w:val="nil"/>
              <w:left w:val="nil"/>
              <w:bottom w:val="single" w:sz="8" w:space="0" w:color="auto"/>
              <w:right w:val="single" w:sz="8" w:space="0" w:color="auto"/>
            </w:tcBorders>
            <w:vAlign w:val="bottom"/>
            <w:hideMark/>
          </w:tcPr>
          <w:p w14:paraId="36A64864"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2433FF8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79DE46F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F554DA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66916E2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97C6F"/>
            <w:vAlign w:val="bottom"/>
            <w:hideMark/>
          </w:tcPr>
          <w:p w14:paraId="743C215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0.86**</w:t>
            </w:r>
          </w:p>
        </w:tc>
        <w:tc>
          <w:tcPr>
            <w:tcW w:w="833" w:type="dxa"/>
            <w:tcBorders>
              <w:top w:val="nil"/>
              <w:left w:val="nil"/>
              <w:bottom w:val="single" w:sz="8" w:space="0" w:color="auto"/>
              <w:right w:val="single" w:sz="8" w:space="0" w:color="auto"/>
            </w:tcBorders>
            <w:shd w:val="clear" w:color="000000" w:fill="FB9474"/>
            <w:vAlign w:val="bottom"/>
            <w:hideMark/>
          </w:tcPr>
          <w:p w14:paraId="41D6F50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0.67**</w:t>
            </w:r>
          </w:p>
        </w:tc>
        <w:tc>
          <w:tcPr>
            <w:tcW w:w="833" w:type="dxa"/>
            <w:tcBorders>
              <w:top w:val="nil"/>
              <w:left w:val="nil"/>
              <w:bottom w:val="single" w:sz="8" w:space="0" w:color="auto"/>
              <w:right w:val="single" w:sz="8" w:space="0" w:color="auto"/>
            </w:tcBorders>
            <w:shd w:val="clear" w:color="000000" w:fill="FFE483"/>
            <w:vAlign w:val="bottom"/>
            <w:hideMark/>
          </w:tcPr>
          <w:p w14:paraId="6E829D8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0.06</w:t>
            </w:r>
          </w:p>
        </w:tc>
        <w:tc>
          <w:tcPr>
            <w:tcW w:w="833" w:type="dxa"/>
            <w:tcBorders>
              <w:top w:val="nil"/>
              <w:left w:val="nil"/>
              <w:bottom w:val="single" w:sz="8" w:space="0" w:color="auto"/>
              <w:right w:val="single" w:sz="8" w:space="0" w:color="auto"/>
            </w:tcBorders>
            <w:shd w:val="clear" w:color="000000" w:fill="FDC67D"/>
            <w:vAlign w:val="bottom"/>
            <w:hideMark/>
          </w:tcPr>
          <w:p w14:paraId="23E12BC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0.29</w:t>
            </w:r>
          </w:p>
        </w:tc>
        <w:tc>
          <w:tcPr>
            <w:tcW w:w="771" w:type="dxa"/>
            <w:tcBorders>
              <w:top w:val="nil"/>
              <w:left w:val="nil"/>
              <w:bottom w:val="single" w:sz="8" w:space="0" w:color="auto"/>
              <w:right w:val="single" w:sz="8" w:space="0" w:color="auto"/>
            </w:tcBorders>
            <w:shd w:val="clear" w:color="000000" w:fill="F3E489"/>
            <w:vAlign w:val="bottom"/>
            <w:hideMark/>
          </w:tcPr>
          <w:p w14:paraId="1059BAA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-0.07</w:t>
            </w:r>
          </w:p>
        </w:tc>
        <w:tc>
          <w:tcPr>
            <w:tcW w:w="833" w:type="dxa"/>
            <w:tcBorders>
              <w:top w:val="nil"/>
              <w:left w:val="nil"/>
              <w:bottom w:val="single" w:sz="8" w:space="0" w:color="auto"/>
              <w:right w:val="single" w:sz="8" w:space="0" w:color="auto"/>
            </w:tcBorders>
            <w:shd w:val="clear" w:color="000000" w:fill="FDC67D"/>
            <w:vAlign w:val="bottom"/>
            <w:hideMark/>
          </w:tcPr>
          <w:p w14:paraId="5D59689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0.29</w:t>
            </w:r>
          </w:p>
        </w:tc>
        <w:tc>
          <w:tcPr>
            <w:tcW w:w="833" w:type="dxa"/>
            <w:tcBorders>
              <w:top w:val="nil"/>
              <w:left w:val="nil"/>
              <w:bottom w:val="single" w:sz="8" w:space="0" w:color="auto"/>
              <w:right w:val="single" w:sz="8" w:space="0" w:color="auto"/>
            </w:tcBorders>
            <w:shd w:val="clear" w:color="000000" w:fill="FED580"/>
            <w:vAlign w:val="bottom"/>
            <w:hideMark/>
          </w:tcPr>
          <w:p w14:paraId="4A0E21E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0.17</w:t>
            </w:r>
          </w:p>
        </w:tc>
        <w:tc>
          <w:tcPr>
            <w:tcW w:w="833" w:type="dxa"/>
            <w:tcBorders>
              <w:top w:val="nil"/>
              <w:left w:val="nil"/>
              <w:bottom w:val="single" w:sz="8" w:space="0" w:color="auto"/>
              <w:right w:val="single" w:sz="8" w:space="0" w:color="auto"/>
            </w:tcBorders>
            <w:shd w:val="clear" w:color="000000" w:fill="DFD891"/>
            <w:vAlign w:val="bottom"/>
            <w:hideMark/>
          </w:tcPr>
          <w:p w14:paraId="1B3670F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-0.19</w:t>
            </w:r>
          </w:p>
        </w:tc>
        <w:tc>
          <w:tcPr>
            <w:tcW w:w="833" w:type="dxa"/>
            <w:tcBorders>
              <w:top w:val="nil"/>
              <w:left w:val="nil"/>
              <w:bottom w:val="single" w:sz="8" w:space="0" w:color="auto"/>
              <w:right w:val="single" w:sz="8" w:space="0" w:color="auto"/>
            </w:tcBorders>
            <w:shd w:val="clear" w:color="000000" w:fill="F5E588"/>
            <w:vAlign w:val="bottom"/>
            <w:hideMark/>
          </w:tcPr>
          <w:p w14:paraId="1299288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-0.06</w:t>
            </w:r>
          </w:p>
        </w:tc>
        <w:tc>
          <w:tcPr>
            <w:tcW w:w="890" w:type="dxa"/>
            <w:tcBorders>
              <w:top w:val="nil"/>
              <w:left w:val="nil"/>
              <w:bottom w:val="single" w:sz="8" w:space="0" w:color="auto"/>
              <w:right w:val="single" w:sz="8" w:space="0" w:color="auto"/>
            </w:tcBorders>
            <w:shd w:val="clear" w:color="000000" w:fill="FCAE79"/>
            <w:vAlign w:val="bottom"/>
            <w:hideMark/>
          </w:tcPr>
          <w:p w14:paraId="18B4604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0.47</w:t>
            </w:r>
            <w:r w:rsidRPr="000D2B8A">
              <w:rPr>
                <w:rFonts w:ascii="Times New Roman" w:eastAsia="Times New Roman" w:hAnsi="Times New Roman" w:cs="Times New Roman"/>
                <w:color w:val="000000"/>
                <w:sz w:val="20"/>
                <w:szCs w:val="20"/>
              </w:rPr>
              <w:t>**</w:t>
            </w:r>
          </w:p>
        </w:tc>
      </w:tr>
      <w:tr w:rsidR="00A93D2A" w:rsidRPr="00973BC3" w14:paraId="5E5AE2F7"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0D8FF2C7"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666167F9"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41DEB7B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1839BAE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9C4BD5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0BA15328"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A8B72"/>
            <w:vAlign w:val="bottom"/>
            <w:hideMark/>
          </w:tcPr>
          <w:p w14:paraId="46FFEC3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0.74**</w:t>
            </w:r>
          </w:p>
        </w:tc>
        <w:tc>
          <w:tcPr>
            <w:tcW w:w="833" w:type="dxa"/>
            <w:tcBorders>
              <w:top w:val="nil"/>
              <w:left w:val="nil"/>
              <w:bottom w:val="single" w:sz="8" w:space="0" w:color="auto"/>
              <w:right w:val="single" w:sz="8" w:space="0" w:color="auto"/>
            </w:tcBorders>
            <w:shd w:val="clear" w:color="000000" w:fill="FCA877"/>
            <w:vAlign w:val="bottom"/>
            <w:hideMark/>
          </w:tcPr>
          <w:p w14:paraId="6314D24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0.52**</w:t>
            </w:r>
          </w:p>
        </w:tc>
        <w:tc>
          <w:tcPr>
            <w:tcW w:w="833" w:type="dxa"/>
            <w:tcBorders>
              <w:top w:val="nil"/>
              <w:left w:val="nil"/>
              <w:bottom w:val="single" w:sz="8" w:space="0" w:color="auto"/>
              <w:right w:val="single" w:sz="8" w:space="0" w:color="auto"/>
            </w:tcBorders>
            <w:shd w:val="clear" w:color="000000" w:fill="FFE683"/>
            <w:vAlign w:val="bottom"/>
            <w:hideMark/>
          </w:tcPr>
          <w:p w14:paraId="30D44D7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33" w:type="dxa"/>
            <w:tcBorders>
              <w:top w:val="nil"/>
              <w:left w:val="nil"/>
              <w:bottom w:val="single" w:sz="8" w:space="0" w:color="auto"/>
              <w:right w:val="single" w:sz="8" w:space="0" w:color="auto"/>
            </w:tcBorders>
            <w:shd w:val="clear" w:color="000000" w:fill="FECC7E"/>
            <w:vAlign w:val="bottom"/>
            <w:hideMark/>
          </w:tcPr>
          <w:p w14:paraId="5BAC3C8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0.24*</w:t>
            </w:r>
          </w:p>
        </w:tc>
        <w:tc>
          <w:tcPr>
            <w:tcW w:w="771" w:type="dxa"/>
            <w:tcBorders>
              <w:top w:val="nil"/>
              <w:left w:val="nil"/>
              <w:bottom w:val="single" w:sz="8" w:space="0" w:color="auto"/>
              <w:right w:val="single" w:sz="8" w:space="0" w:color="auto"/>
            </w:tcBorders>
            <w:shd w:val="clear" w:color="000000" w:fill="F3E489"/>
            <w:vAlign w:val="bottom"/>
            <w:hideMark/>
          </w:tcPr>
          <w:p w14:paraId="799BA5C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-0.07</w:t>
            </w:r>
          </w:p>
        </w:tc>
        <w:tc>
          <w:tcPr>
            <w:tcW w:w="833" w:type="dxa"/>
            <w:tcBorders>
              <w:top w:val="nil"/>
              <w:left w:val="nil"/>
              <w:bottom w:val="single" w:sz="8" w:space="0" w:color="auto"/>
              <w:right w:val="single" w:sz="8" w:space="0" w:color="auto"/>
            </w:tcBorders>
            <w:shd w:val="clear" w:color="000000" w:fill="FFDC81"/>
            <w:vAlign w:val="bottom"/>
            <w:hideMark/>
          </w:tcPr>
          <w:p w14:paraId="63343BE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0.12</w:t>
            </w:r>
          </w:p>
        </w:tc>
        <w:tc>
          <w:tcPr>
            <w:tcW w:w="833" w:type="dxa"/>
            <w:tcBorders>
              <w:top w:val="nil"/>
              <w:left w:val="nil"/>
              <w:bottom w:val="single" w:sz="8" w:space="0" w:color="auto"/>
              <w:right w:val="single" w:sz="8" w:space="0" w:color="auto"/>
            </w:tcBorders>
            <w:shd w:val="clear" w:color="000000" w:fill="FED881"/>
            <w:vAlign w:val="bottom"/>
            <w:hideMark/>
          </w:tcPr>
          <w:p w14:paraId="65EB012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33" w:type="dxa"/>
            <w:tcBorders>
              <w:top w:val="nil"/>
              <w:left w:val="nil"/>
              <w:bottom w:val="single" w:sz="8" w:space="0" w:color="auto"/>
              <w:right w:val="single" w:sz="8" w:space="0" w:color="auto"/>
            </w:tcBorders>
            <w:shd w:val="clear" w:color="000000" w:fill="E1D990"/>
            <w:vAlign w:val="bottom"/>
            <w:hideMark/>
          </w:tcPr>
          <w:p w14:paraId="039744A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33" w:type="dxa"/>
            <w:tcBorders>
              <w:top w:val="nil"/>
              <w:left w:val="nil"/>
              <w:bottom w:val="single" w:sz="8" w:space="0" w:color="auto"/>
              <w:right w:val="single" w:sz="8" w:space="0" w:color="auto"/>
            </w:tcBorders>
            <w:shd w:val="clear" w:color="000000" w:fill="F6E688"/>
            <w:vAlign w:val="bottom"/>
            <w:hideMark/>
          </w:tcPr>
          <w:p w14:paraId="5D308EB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-0.05</w:t>
            </w:r>
          </w:p>
        </w:tc>
        <w:tc>
          <w:tcPr>
            <w:tcW w:w="890" w:type="dxa"/>
            <w:tcBorders>
              <w:top w:val="nil"/>
              <w:left w:val="nil"/>
              <w:bottom w:val="single" w:sz="8" w:space="0" w:color="auto"/>
              <w:right w:val="single" w:sz="8" w:space="0" w:color="auto"/>
            </w:tcBorders>
            <w:shd w:val="clear" w:color="000000" w:fill="FECB7E"/>
            <w:vAlign w:val="bottom"/>
            <w:hideMark/>
          </w:tcPr>
          <w:p w14:paraId="2ADF94C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r w:rsidRPr="000D2B8A">
              <w:rPr>
                <w:rFonts w:ascii="Times New Roman" w:eastAsia="Times New Roman" w:hAnsi="Times New Roman" w:cs="Times New Roman"/>
                <w:color w:val="000000"/>
                <w:sz w:val="20"/>
                <w:szCs w:val="20"/>
              </w:rPr>
              <w:t>**</w:t>
            </w:r>
          </w:p>
        </w:tc>
      </w:tr>
      <w:tr w:rsidR="00A93D2A" w:rsidRPr="00973BC3" w14:paraId="0DCFA277"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5FC20DAC"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NIPP</w:t>
            </w:r>
          </w:p>
        </w:tc>
        <w:tc>
          <w:tcPr>
            <w:tcW w:w="705" w:type="dxa"/>
            <w:tcBorders>
              <w:top w:val="nil"/>
              <w:left w:val="nil"/>
              <w:bottom w:val="single" w:sz="8" w:space="0" w:color="auto"/>
              <w:right w:val="single" w:sz="8" w:space="0" w:color="auto"/>
            </w:tcBorders>
            <w:vAlign w:val="bottom"/>
            <w:hideMark/>
          </w:tcPr>
          <w:p w14:paraId="32936790"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5BF8BE4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70A78D4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6E358B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AD078B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6AB402CF"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CA577"/>
            <w:vAlign w:val="bottom"/>
            <w:hideMark/>
          </w:tcPr>
          <w:p w14:paraId="16DCA27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0.54**</w:t>
            </w:r>
          </w:p>
        </w:tc>
        <w:tc>
          <w:tcPr>
            <w:tcW w:w="833" w:type="dxa"/>
            <w:tcBorders>
              <w:top w:val="nil"/>
              <w:left w:val="nil"/>
              <w:bottom w:val="single" w:sz="8" w:space="0" w:color="auto"/>
              <w:right w:val="single" w:sz="8" w:space="0" w:color="auto"/>
            </w:tcBorders>
            <w:shd w:val="clear" w:color="000000" w:fill="FFE884"/>
            <w:vAlign w:val="bottom"/>
            <w:hideMark/>
          </w:tcPr>
          <w:p w14:paraId="2952160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33" w:type="dxa"/>
            <w:tcBorders>
              <w:top w:val="nil"/>
              <w:left w:val="nil"/>
              <w:bottom w:val="single" w:sz="8" w:space="0" w:color="auto"/>
              <w:right w:val="single" w:sz="8" w:space="0" w:color="auto"/>
            </w:tcBorders>
            <w:shd w:val="clear" w:color="000000" w:fill="FECE7F"/>
            <w:vAlign w:val="bottom"/>
            <w:hideMark/>
          </w:tcPr>
          <w:p w14:paraId="4D2335F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0.23</w:t>
            </w:r>
          </w:p>
        </w:tc>
        <w:tc>
          <w:tcPr>
            <w:tcW w:w="771" w:type="dxa"/>
            <w:tcBorders>
              <w:top w:val="nil"/>
              <w:left w:val="nil"/>
              <w:bottom w:val="single" w:sz="8" w:space="0" w:color="auto"/>
              <w:right w:val="single" w:sz="8" w:space="0" w:color="auto"/>
            </w:tcBorders>
            <w:shd w:val="clear" w:color="000000" w:fill="F1E38A"/>
            <w:vAlign w:val="bottom"/>
            <w:hideMark/>
          </w:tcPr>
          <w:p w14:paraId="5AD9825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33" w:type="dxa"/>
            <w:tcBorders>
              <w:top w:val="nil"/>
              <w:left w:val="nil"/>
              <w:bottom w:val="single" w:sz="8" w:space="0" w:color="auto"/>
              <w:right w:val="single" w:sz="8" w:space="0" w:color="auto"/>
            </w:tcBorders>
            <w:shd w:val="clear" w:color="000000" w:fill="FDC67D"/>
            <w:vAlign w:val="bottom"/>
            <w:hideMark/>
          </w:tcPr>
          <w:p w14:paraId="656A465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0.29</w:t>
            </w:r>
          </w:p>
        </w:tc>
        <w:tc>
          <w:tcPr>
            <w:tcW w:w="833" w:type="dxa"/>
            <w:tcBorders>
              <w:top w:val="nil"/>
              <w:left w:val="nil"/>
              <w:bottom w:val="single" w:sz="8" w:space="0" w:color="auto"/>
              <w:right w:val="single" w:sz="8" w:space="0" w:color="auto"/>
            </w:tcBorders>
            <w:shd w:val="clear" w:color="000000" w:fill="FECE7F"/>
            <w:vAlign w:val="bottom"/>
            <w:hideMark/>
          </w:tcPr>
          <w:p w14:paraId="3919E97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0.23</w:t>
            </w:r>
          </w:p>
        </w:tc>
        <w:tc>
          <w:tcPr>
            <w:tcW w:w="833" w:type="dxa"/>
            <w:tcBorders>
              <w:top w:val="nil"/>
              <w:left w:val="nil"/>
              <w:bottom w:val="single" w:sz="8" w:space="0" w:color="auto"/>
              <w:right w:val="single" w:sz="8" w:space="0" w:color="auto"/>
            </w:tcBorders>
            <w:shd w:val="clear" w:color="000000" w:fill="DED792"/>
            <w:vAlign w:val="bottom"/>
            <w:hideMark/>
          </w:tcPr>
          <w:p w14:paraId="321EADA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w:t>
            </w:r>
          </w:p>
        </w:tc>
        <w:tc>
          <w:tcPr>
            <w:tcW w:w="833" w:type="dxa"/>
            <w:tcBorders>
              <w:top w:val="nil"/>
              <w:left w:val="nil"/>
              <w:bottom w:val="single" w:sz="8" w:space="0" w:color="auto"/>
              <w:right w:val="single" w:sz="8" w:space="0" w:color="auto"/>
            </w:tcBorders>
            <w:shd w:val="clear" w:color="000000" w:fill="E9DE8D"/>
            <w:vAlign w:val="bottom"/>
            <w:hideMark/>
          </w:tcPr>
          <w:p w14:paraId="5DF9ED8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-0.13</w:t>
            </w:r>
          </w:p>
        </w:tc>
        <w:tc>
          <w:tcPr>
            <w:tcW w:w="890" w:type="dxa"/>
            <w:tcBorders>
              <w:top w:val="nil"/>
              <w:left w:val="nil"/>
              <w:bottom w:val="single" w:sz="8" w:space="0" w:color="auto"/>
              <w:right w:val="single" w:sz="8" w:space="0" w:color="auto"/>
            </w:tcBorders>
            <w:shd w:val="clear" w:color="000000" w:fill="FDBB7B"/>
            <w:vAlign w:val="bottom"/>
            <w:hideMark/>
          </w:tcPr>
          <w:p w14:paraId="581A8E3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0.37</w:t>
            </w:r>
            <w:r w:rsidRPr="000D2B8A">
              <w:rPr>
                <w:rFonts w:ascii="Times New Roman" w:eastAsia="Times New Roman" w:hAnsi="Times New Roman" w:cs="Times New Roman"/>
                <w:color w:val="000000"/>
                <w:sz w:val="20"/>
                <w:szCs w:val="20"/>
              </w:rPr>
              <w:t>*</w:t>
            </w:r>
          </w:p>
        </w:tc>
      </w:tr>
      <w:tr w:rsidR="00A93D2A" w:rsidRPr="00973BC3" w14:paraId="23DB1F3F"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71985CB6"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7D2995C5"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3F6396E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6AA040B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0E01D9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0DC645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3202AE82"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CB179"/>
            <w:vAlign w:val="bottom"/>
            <w:hideMark/>
          </w:tcPr>
          <w:p w14:paraId="2BED749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0.45**</w:t>
            </w:r>
          </w:p>
        </w:tc>
        <w:tc>
          <w:tcPr>
            <w:tcW w:w="833" w:type="dxa"/>
            <w:tcBorders>
              <w:top w:val="nil"/>
              <w:left w:val="nil"/>
              <w:bottom w:val="single" w:sz="8" w:space="0" w:color="auto"/>
              <w:right w:val="single" w:sz="8" w:space="0" w:color="auto"/>
            </w:tcBorders>
            <w:shd w:val="clear" w:color="000000" w:fill="FFEA84"/>
            <w:vAlign w:val="bottom"/>
            <w:hideMark/>
          </w:tcPr>
          <w:p w14:paraId="4F9E83A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ED380"/>
            <w:vAlign w:val="bottom"/>
            <w:hideMark/>
          </w:tcPr>
          <w:p w14:paraId="0F2D330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0.19*</w:t>
            </w:r>
          </w:p>
        </w:tc>
        <w:tc>
          <w:tcPr>
            <w:tcW w:w="771" w:type="dxa"/>
            <w:tcBorders>
              <w:top w:val="nil"/>
              <w:left w:val="nil"/>
              <w:bottom w:val="single" w:sz="8" w:space="0" w:color="auto"/>
              <w:right w:val="single" w:sz="8" w:space="0" w:color="auto"/>
            </w:tcBorders>
            <w:shd w:val="clear" w:color="000000" w:fill="FAE886"/>
            <w:vAlign w:val="bottom"/>
            <w:hideMark/>
          </w:tcPr>
          <w:p w14:paraId="540B3E1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33" w:type="dxa"/>
            <w:tcBorders>
              <w:top w:val="nil"/>
              <w:left w:val="nil"/>
              <w:bottom w:val="single" w:sz="8" w:space="0" w:color="auto"/>
              <w:right w:val="single" w:sz="8" w:space="0" w:color="auto"/>
            </w:tcBorders>
            <w:shd w:val="clear" w:color="000000" w:fill="FED580"/>
            <w:vAlign w:val="bottom"/>
            <w:hideMark/>
          </w:tcPr>
          <w:p w14:paraId="4E5A4BE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0.17</w:t>
            </w:r>
          </w:p>
        </w:tc>
        <w:tc>
          <w:tcPr>
            <w:tcW w:w="833" w:type="dxa"/>
            <w:tcBorders>
              <w:top w:val="nil"/>
              <w:left w:val="nil"/>
              <w:bottom w:val="single" w:sz="8" w:space="0" w:color="auto"/>
              <w:right w:val="single" w:sz="8" w:space="0" w:color="auto"/>
            </w:tcBorders>
            <w:shd w:val="clear" w:color="000000" w:fill="FECF7F"/>
            <w:vAlign w:val="bottom"/>
            <w:hideMark/>
          </w:tcPr>
          <w:p w14:paraId="791DC7C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0.22</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E1D990"/>
            <w:vAlign w:val="bottom"/>
            <w:hideMark/>
          </w:tcPr>
          <w:p w14:paraId="06873E9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33" w:type="dxa"/>
            <w:tcBorders>
              <w:top w:val="nil"/>
              <w:left w:val="nil"/>
              <w:bottom w:val="single" w:sz="8" w:space="0" w:color="auto"/>
              <w:right w:val="single" w:sz="8" w:space="0" w:color="auto"/>
            </w:tcBorders>
            <w:shd w:val="clear" w:color="000000" w:fill="EBDF8C"/>
            <w:vAlign w:val="bottom"/>
            <w:hideMark/>
          </w:tcPr>
          <w:p w14:paraId="0D782FF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-0.12</w:t>
            </w:r>
          </w:p>
        </w:tc>
        <w:tc>
          <w:tcPr>
            <w:tcW w:w="890" w:type="dxa"/>
            <w:tcBorders>
              <w:top w:val="nil"/>
              <w:left w:val="nil"/>
              <w:bottom w:val="single" w:sz="8" w:space="0" w:color="auto"/>
              <w:right w:val="single" w:sz="8" w:space="0" w:color="auto"/>
            </w:tcBorders>
            <w:shd w:val="clear" w:color="000000" w:fill="FDC67D"/>
            <w:vAlign w:val="bottom"/>
            <w:hideMark/>
          </w:tcPr>
          <w:p w14:paraId="56D426A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0.29</w:t>
            </w:r>
            <w:r w:rsidRPr="000D2B8A">
              <w:rPr>
                <w:rFonts w:ascii="Times New Roman" w:eastAsia="Times New Roman" w:hAnsi="Times New Roman" w:cs="Times New Roman"/>
                <w:color w:val="000000"/>
                <w:sz w:val="20"/>
                <w:szCs w:val="20"/>
              </w:rPr>
              <w:t>**</w:t>
            </w:r>
          </w:p>
        </w:tc>
      </w:tr>
      <w:tr w:rsidR="00A93D2A" w:rsidRPr="00973BC3" w14:paraId="0D632456"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284A7A2C"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LI</w:t>
            </w:r>
          </w:p>
        </w:tc>
        <w:tc>
          <w:tcPr>
            <w:tcW w:w="705" w:type="dxa"/>
            <w:tcBorders>
              <w:top w:val="nil"/>
              <w:left w:val="nil"/>
              <w:bottom w:val="single" w:sz="8" w:space="0" w:color="auto"/>
              <w:right w:val="single" w:sz="8" w:space="0" w:color="auto"/>
            </w:tcBorders>
            <w:vAlign w:val="bottom"/>
            <w:hideMark/>
          </w:tcPr>
          <w:p w14:paraId="4C3DABFF"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74FC307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09DB8B5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67C465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8A26B7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A0280F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4D1B36F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ECF7F"/>
            <w:vAlign w:val="bottom"/>
            <w:hideMark/>
          </w:tcPr>
          <w:p w14:paraId="2817648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0.22</w:t>
            </w:r>
          </w:p>
        </w:tc>
        <w:tc>
          <w:tcPr>
            <w:tcW w:w="833" w:type="dxa"/>
            <w:tcBorders>
              <w:top w:val="nil"/>
              <w:left w:val="nil"/>
              <w:bottom w:val="single" w:sz="8" w:space="0" w:color="auto"/>
              <w:right w:val="single" w:sz="8" w:space="0" w:color="auto"/>
            </w:tcBorders>
            <w:shd w:val="clear" w:color="000000" w:fill="FCA877"/>
            <w:vAlign w:val="bottom"/>
            <w:hideMark/>
          </w:tcPr>
          <w:p w14:paraId="2478C35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0.52**</w:t>
            </w:r>
          </w:p>
        </w:tc>
        <w:tc>
          <w:tcPr>
            <w:tcW w:w="771" w:type="dxa"/>
            <w:tcBorders>
              <w:top w:val="nil"/>
              <w:left w:val="nil"/>
              <w:bottom w:val="single" w:sz="8" w:space="0" w:color="auto"/>
              <w:right w:val="single" w:sz="8" w:space="0" w:color="auto"/>
            </w:tcBorders>
            <w:shd w:val="clear" w:color="000000" w:fill="FFEB84"/>
            <w:vAlign w:val="bottom"/>
            <w:hideMark/>
          </w:tcPr>
          <w:p w14:paraId="47E9FBA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w:t>
            </w:r>
          </w:p>
        </w:tc>
        <w:tc>
          <w:tcPr>
            <w:tcW w:w="833" w:type="dxa"/>
            <w:tcBorders>
              <w:top w:val="nil"/>
              <w:left w:val="nil"/>
              <w:bottom w:val="single" w:sz="8" w:space="0" w:color="auto"/>
              <w:right w:val="single" w:sz="8" w:space="0" w:color="auto"/>
            </w:tcBorders>
            <w:shd w:val="clear" w:color="000000" w:fill="FB9B75"/>
            <w:vAlign w:val="bottom"/>
            <w:hideMark/>
          </w:tcPr>
          <w:p w14:paraId="7669025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0.62**</w:t>
            </w:r>
          </w:p>
        </w:tc>
        <w:tc>
          <w:tcPr>
            <w:tcW w:w="833" w:type="dxa"/>
            <w:tcBorders>
              <w:top w:val="nil"/>
              <w:left w:val="nil"/>
              <w:bottom w:val="single" w:sz="8" w:space="0" w:color="auto"/>
              <w:right w:val="single" w:sz="8" w:space="0" w:color="auto"/>
            </w:tcBorders>
            <w:shd w:val="clear" w:color="000000" w:fill="FFE984"/>
            <w:vAlign w:val="bottom"/>
            <w:hideMark/>
          </w:tcPr>
          <w:p w14:paraId="358BFCC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0.02</w:t>
            </w:r>
          </w:p>
        </w:tc>
        <w:tc>
          <w:tcPr>
            <w:tcW w:w="833" w:type="dxa"/>
            <w:tcBorders>
              <w:top w:val="nil"/>
              <w:left w:val="nil"/>
              <w:bottom w:val="single" w:sz="8" w:space="0" w:color="auto"/>
              <w:right w:val="single" w:sz="8" w:space="0" w:color="auto"/>
            </w:tcBorders>
            <w:shd w:val="clear" w:color="000000" w:fill="FFE182"/>
            <w:vAlign w:val="bottom"/>
            <w:hideMark/>
          </w:tcPr>
          <w:p w14:paraId="566C4BA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33" w:type="dxa"/>
            <w:tcBorders>
              <w:top w:val="nil"/>
              <w:left w:val="nil"/>
              <w:bottom w:val="single" w:sz="8" w:space="0" w:color="auto"/>
              <w:right w:val="single" w:sz="8" w:space="0" w:color="auto"/>
            </w:tcBorders>
            <w:shd w:val="clear" w:color="000000" w:fill="E2DA90"/>
            <w:vAlign w:val="bottom"/>
            <w:hideMark/>
          </w:tcPr>
          <w:p w14:paraId="139F5A2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-0.17</w:t>
            </w:r>
          </w:p>
        </w:tc>
        <w:tc>
          <w:tcPr>
            <w:tcW w:w="890" w:type="dxa"/>
            <w:tcBorders>
              <w:top w:val="nil"/>
              <w:left w:val="nil"/>
              <w:bottom w:val="single" w:sz="8" w:space="0" w:color="auto"/>
              <w:right w:val="single" w:sz="8" w:space="0" w:color="auto"/>
            </w:tcBorders>
            <w:shd w:val="clear" w:color="000000" w:fill="FB9073"/>
            <w:vAlign w:val="bottom"/>
            <w:hideMark/>
          </w:tcPr>
          <w:p w14:paraId="63534AA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0.7</w:t>
            </w:r>
            <w:r>
              <w:rPr>
                <w:rFonts w:ascii="Times New Roman" w:eastAsia="Times New Roman" w:hAnsi="Times New Roman" w:cs="Times New Roman"/>
                <w:color w:val="000000"/>
                <w:sz w:val="20"/>
                <w:szCs w:val="20"/>
              </w:rPr>
              <w:t>0</w:t>
            </w:r>
            <w:r w:rsidRPr="000D2B8A">
              <w:rPr>
                <w:rFonts w:ascii="Times New Roman" w:eastAsia="Times New Roman" w:hAnsi="Times New Roman" w:cs="Times New Roman"/>
                <w:color w:val="000000"/>
                <w:sz w:val="20"/>
                <w:szCs w:val="20"/>
              </w:rPr>
              <w:t>**</w:t>
            </w:r>
          </w:p>
        </w:tc>
      </w:tr>
      <w:tr w:rsidR="00A93D2A" w:rsidRPr="00973BC3" w14:paraId="7A51EA0F"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2F75B7E8"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521D0FC1"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3FF23C1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4AF874E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8A8C7D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E0820E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8E24F6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7D0CD8F6"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ED480"/>
            <w:vAlign w:val="bottom"/>
            <w:hideMark/>
          </w:tcPr>
          <w:p w14:paraId="70EC5E8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33" w:type="dxa"/>
            <w:tcBorders>
              <w:top w:val="nil"/>
              <w:left w:val="nil"/>
              <w:bottom w:val="single" w:sz="8" w:space="0" w:color="auto"/>
              <w:right w:val="single" w:sz="8" w:space="0" w:color="auto"/>
            </w:tcBorders>
            <w:shd w:val="clear" w:color="000000" w:fill="FCB179"/>
            <w:vAlign w:val="bottom"/>
            <w:hideMark/>
          </w:tcPr>
          <w:p w14:paraId="36F4844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0.45**</w:t>
            </w:r>
          </w:p>
        </w:tc>
        <w:tc>
          <w:tcPr>
            <w:tcW w:w="771" w:type="dxa"/>
            <w:tcBorders>
              <w:top w:val="nil"/>
              <w:left w:val="nil"/>
              <w:bottom w:val="single" w:sz="8" w:space="0" w:color="auto"/>
              <w:right w:val="single" w:sz="8" w:space="0" w:color="auto"/>
            </w:tcBorders>
            <w:shd w:val="clear" w:color="000000" w:fill="FBE986"/>
            <w:vAlign w:val="bottom"/>
            <w:hideMark/>
          </w:tcPr>
          <w:p w14:paraId="5D83095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-0.02</w:t>
            </w:r>
          </w:p>
        </w:tc>
        <w:tc>
          <w:tcPr>
            <w:tcW w:w="833" w:type="dxa"/>
            <w:tcBorders>
              <w:top w:val="nil"/>
              <w:left w:val="nil"/>
              <w:bottom w:val="single" w:sz="8" w:space="0" w:color="auto"/>
              <w:right w:val="single" w:sz="8" w:space="0" w:color="auto"/>
            </w:tcBorders>
            <w:shd w:val="clear" w:color="000000" w:fill="FDC37D"/>
            <w:vAlign w:val="bottom"/>
            <w:hideMark/>
          </w:tcPr>
          <w:p w14:paraId="0709D98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0.31</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FE884"/>
            <w:vAlign w:val="bottom"/>
            <w:hideMark/>
          </w:tcPr>
          <w:p w14:paraId="1FEB974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33" w:type="dxa"/>
            <w:tcBorders>
              <w:top w:val="nil"/>
              <w:left w:val="nil"/>
              <w:bottom w:val="single" w:sz="8" w:space="0" w:color="auto"/>
              <w:right w:val="single" w:sz="8" w:space="0" w:color="auto"/>
            </w:tcBorders>
            <w:shd w:val="clear" w:color="000000" w:fill="FFE182"/>
            <w:vAlign w:val="bottom"/>
            <w:hideMark/>
          </w:tcPr>
          <w:p w14:paraId="2C16E98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33" w:type="dxa"/>
            <w:tcBorders>
              <w:top w:val="nil"/>
              <w:left w:val="nil"/>
              <w:bottom w:val="single" w:sz="8" w:space="0" w:color="auto"/>
              <w:right w:val="single" w:sz="8" w:space="0" w:color="auto"/>
            </w:tcBorders>
            <w:shd w:val="clear" w:color="000000" w:fill="E6DC8E"/>
            <w:vAlign w:val="bottom"/>
            <w:hideMark/>
          </w:tcPr>
          <w:p w14:paraId="0609305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90" w:type="dxa"/>
            <w:tcBorders>
              <w:top w:val="nil"/>
              <w:left w:val="nil"/>
              <w:bottom w:val="single" w:sz="8" w:space="0" w:color="auto"/>
              <w:right w:val="single" w:sz="8" w:space="0" w:color="auto"/>
            </w:tcBorders>
            <w:shd w:val="clear" w:color="000000" w:fill="FCB079"/>
            <w:vAlign w:val="bottom"/>
            <w:hideMark/>
          </w:tcPr>
          <w:p w14:paraId="298F523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0.46</w:t>
            </w:r>
            <w:r w:rsidRPr="000D2B8A">
              <w:rPr>
                <w:rFonts w:ascii="Times New Roman" w:eastAsia="Times New Roman" w:hAnsi="Times New Roman" w:cs="Times New Roman"/>
                <w:color w:val="000000"/>
                <w:sz w:val="20"/>
                <w:szCs w:val="20"/>
              </w:rPr>
              <w:t>**</w:t>
            </w:r>
          </w:p>
        </w:tc>
      </w:tr>
      <w:tr w:rsidR="00A93D2A" w:rsidRPr="00973BC3" w14:paraId="25B65A66"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338D38BC"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GI</w:t>
            </w:r>
          </w:p>
        </w:tc>
        <w:tc>
          <w:tcPr>
            <w:tcW w:w="705" w:type="dxa"/>
            <w:tcBorders>
              <w:top w:val="nil"/>
              <w:left w:val="nil"/>
              <w:bottom w:val="single" w:sz="8" w:space="0" w:color="auto"/>
              <w:right w:val="single" w:sz="8" w:space="0" w:color="auto"/>
            </w:tcBorders>
            <w:vAlign w:val="bottom"/>
            <w:hideMark/>
          </w:tcPr>
          <w:p w14:paraId="4BC664BB"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15132B0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1B65B3B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7ACFC2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25146B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313CF2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9FFB74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42262496"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B9273"/>
            <w:vAlign w:val="bottom"/>
            <w:hideMark/>
          </w:tcPr>
          <w:p w14:paraId="4C565E8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0.69**</w:t>
            </w:r>
          </w:p>
        </w:tc>
        <w:tc>
          <w:tcPr>
            <w:tcW w:w="771" w:type="dxa"/>
            <w:tcBorders>
              <w:top w:val="nil"/>
              <w:left w:val="nil"/>
              <w:bottom w:val="single" w:sz="8" w:space="0" w:color="auto"/>
              <w:right w:val="single" w:sz="8" w:space="0" w:color="auto"/>
            </w:tcBorders>
            <w:shd w:val="clear" w:color="000000" w:fill="FB9A75"/>
            <w:vAlign w:val="bottom"/>
            <w:hideMark/>
          </w:tcPr>
          <w:p w14:paraId="2874C77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0.63</w:t>
            </w:r>
          </w:p>
        </w:tc>
        <w:tc>
          <w:tcPr>
            <w:tcW w:w="833" w:type="dxa"/>
            <w:tcBorders>
              <w:top w:val="nil"/>
              <w:left w:val="nil"/>
              <w:bottom w:val="single" w:sz="8" w:space="0" w:color="auto"/>
              <w:right w:val="single" w:sz="8" w:space="0" w:color="auto"/>
            </w:tcBorders>
            <w:shd w:val="clear" w:color="000000" w:fill="E9DE8D"/>
            <w:vAlign w:val="bottom"/>
            <w:hideMark/>
          </w:tcPr>
          <w:p w14:paraId="231608F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-0.13</w:t>
            </w:r>
          </w:p>
        </w:tc>
        <w:tc>
          <w:tcPr>
            <w:tcW w:w="833" w:type="dxa"/>
            <w:tcBorders>
              <w:top w:val="nil"/>
              <w:left w:val="nil"/>
              <w:bottom w:val="single" w:sz="8" w:space="0" w:color="auto"/>
              <w:right w:val="single" w:sz="8" w:space="0" w:color="auto"/>
            </w:tcBorders>
            <w:shd w:val="clear" w:color="000000" w:fill="FECF7F"/>
            <w:vAlign w:val="bottom"/>
            <w:hideMark/>
          </w:tcPr>
          <w:p w14:paraId="1F61A2B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0.22</w:t>
            </w:r>
          </w:p>
        </w:tc>
        <w:tc>
          <w:tcPr>
            <w:tcW w:w="833" w:type="dxa"/>
            <w:tcBorders>
              <w:top w:val="nil"/>
              <w:left w:val="nil"/>
              <w:bottom w:val="single" w:sz="8" w:space="0" w:color="auto"/>
              <w:right w:val="single" w:sz="8" w:space="0" w:color="auto"/>
            </w:tcBorders>
            <w:shd w:val="clear" w:color="000000" w:fill="F1E38A"/>
            <w:vAlign w:val="bottom"/>
            <w:hideMark/>
          </w:tcPr>
          <w:p w14:paraId="7FAB79C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33" w:type="dxa"/>
            <w:tcBorders>
              <w:top w:val="nil"/>
              <w:left w:val="nil"/>
              <w:bottom w:val="single" w:sz="8" w:space="0" w:color="auto"/>
              <w:right w:val="single" w:sz="8" w:space="0" w:color="auto"/>
            </w:tcBorders>
            <w:shd w:val="clear" w:color="000000" w:fill="FFD981"/>
            <w:vAlign w:val="bottom"/>
            <w:hideMark/>
          </w:tcPr>
          <w:p w14:paraId="706ABAF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0.14</w:t>
            </w:r>
          </w:p>
        </w:tc>
        <w:tc>
          <w:tcPr>
            <w:tcW w:w="890" w:type="dxa"/>
            <w:tcBorders>
              <w:top w:val="nil"/>
              <w:left w:val="nil"/>
              <w:bottom w:val="single" w:sz="8" w:space="0" w:color="auto"/>
              <w:right w:val="single" w:sz="8" w:space="0" w:color="auto"/>
            </w:tcBorders>
            <w:shd w:val="clear" w:color="000000" w:fill="FB9674"/>
            <w:vAlign w:val="bottom"/>
            <w:hideMark/>
          </w:tcPr>
          <w:p w14:paraId="4992F46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0.66</w:t>
            </w:r>
            <w:r w:rsidRPr="000D2B8A">
              <w:rPr>
                <w:rFonts w:ascii="Times New Roman" w:eastAsia="Times New Roman" w:hAnsi="Times New Roman" w:cs="Times New Roman"/>
                <w:color w:val="000000"/>
                <w:sz w:val="20"/>
                <w:szCs w:val="20"/>
              </w:rPr>
              <w:t>**</w:t>
            </w:r>
          </w:p>
        </w:tc>
      </w:tr>
      <w:tr w:rsidR="00A93D2A" w:rsidRPr="00973BC3" w14:paraId="443AA4E8"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5FB6CC20"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02C1D600"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613B607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3DF0A45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3DDE97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3531D4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6960CF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57C757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72B2376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CA376"/>
            <w:vAlign w:val="bottom"/>
            <w:hideMark/>
          </w:tcPr>
          <w:p w14:paraId="3A03817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0.56**</w:t>
            </w:r>
          </w:p>
        </w:tc>
        <w:tc>
          <w:tcPr>
            <w:tcW w:w="771" w:type="dxa"/>
            <w:tcBorders>
              <w:top w:val="nil"/>
              <w:left w:val="nil"/>
              <w:bottom w:val="single" w:sz="8" w:space="0" w:color="auto"/>
              <w:right w:val="single" w:sz="8" w:space="0" w:color="auto"/>
            </w:tcBorders>
            <w:shd w:val="clear" w:color="000000" w:fill="FCA577"/>
            <w:vAlign w:val="bottom"/>
            <w:hideMark/>
          </w:tcPr>
          <w:p w14:paraId="3389B9F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0.54</w:t>
            </w:r>
          </w:p>
        </w:tc>
        <w:tc>
          <w:tcPr>
            <w:tcW w:w="833" w:type="dxa"/>
            <w:tcBorders>
              <w:top w:val="nil"/>
              <w:left w:val="nil"/>
              <w:bottom w:val="single" w:sz="8" w:space="0" w:color="auto"/>
              <w:right w:val="single" w:sz="8" w:space="0" w:color="auto"/>
            </w:tcBorders>
            <w:shd w:val="clear" w:color="000000" w:fill="FDEA85"/>
            <w:vAlign w:val="bottom"/>
            <w:hideMark/>
          </w:tcPr>
          <w:p w14:paraId="45B04AD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ED280"/>
            <w:vAlign w:val="bottom"/>
            <w:hideMark/>
          </w:tcPr>
          <w:p w14:paraId="1733FB9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w:t>
            </w:r>
            <w:r>
              <w:rPr>
                <w:rFonts w:ascii="Times New Roman" w:eastAsia="Times New Roman" w:hAnsi="Times New Roman" w:cs="Times New Roman"/>
                <w:color w:val="000000"/>
                <w:sz w:val="20"/>
                <w:szCs w:val="20"/>
              </w:rPr>
              <w:t>0</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3E489"/>
            <w:vAlign w:val="bottom"/>
            <w:hideMark/>
          </w:tcPr>
          <w:p w14:paraId="40478F6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-0.07</w:t>
            </w:r>
          </w:p>
        </w:tc>
        <w:tc>
          <w:tcPr>
            <w:tcW w:w="833" w:type="dxa"/>
            <w:tcBorders>
              <w:top w:val="nil"/>
              <w:left w:val="nil"/>
              <w:bottom w:val="single" w:sz="8" w:space="0" w:color="auto"/>
              <w:right w:val="single" w:sz="8" w:space="0" w:color="auto"/>
            </w:tcBorders>
            <w:shd w:val="clear" w:color="000000" w:fill="FFDB81"/>
            <w:vAlign w:val="bottom"/>
            <w:hideMark/>
          </w:tcPr>
          <w:p w14:paraId="1454F0B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0.13</w:t>
            </w:r>
          </w:p>
        </w:tc>
        <w:tc>
          <w:tcPr>
            <w:tcW w:w="890" w:type="dxa"/>
            <w:tcBorders>
              <w:top w:val="nil"/>
              <w:left w:val="nil"/>
              <w:bottom w:val="single" w:sz="8" w:space="0" w:color="auto"/>
              <w:right w:val="single" w:sz="8" w:space="0" w:color="auto"/>
            </w:tcBorders>
            <w:shd w:val="clear" w:color="000000" w:fill="FCB079"/>
            <w:vAlign w:val="bottom"/>
            <w:hideMark/>
          </w:tcPr>
          <w:p w14:paraId="19A4040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0.46</w:t>
            </w:r>
            <w:r w:rsidRPr="000D2B8A">
              <w:rPr>
                <w:rFonts w:ascii="Times New Roman" w:eastAsia="Times New Roman" w:hAnsi="Times New Roman" w:cs="Times New Roman"/>
                <w:color w:val="000000"/>
                <w:sz w:val="20"/>
                <w:szCs w:val="20"/>
              </w:rPr>
              <w:t>**</w:t>
            </w:r>
          </w:p>
        </w:tc>
      </w:tr>
      <w:tr w:rsidR="00A93D2A" w:rsidRPr="00973BC3" w14:paraId="086B2E0E"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18D52C81"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BYPP</w:t>
            </w:r>
          </w:p>
        </w:tc>
        <w:tc>
          <w:tcPr>
            <w:tcW w:w="705" w:type="dxa"/>
            <w:tcBorders>
              <w:top w:val="nil"/>
              <w:left w:val="nil"/>
              <w:bottom w:val="single" w:sz="8" w:space="0" w:color="auto"/>
              <w:right w:val="single" w:sz="8" w:space="0" w:color="auto"/>
            </w:tcBorders>
            <w:vAlign w:val="bottom"/>
            <w:hideMark/>
          </w:tcPr>
          <w:p w14:paraId="45190AA2"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6CB9C46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2DB0EF0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7CD9A6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5A9659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EAB3B9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A1981E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F99F69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509650CE"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771" w:type="dxa"/>
            <w:tcBorders>
              <w:top w:val="nil"/>
              <w:left w:val="nil"/>
              <w:bottom w:val="single" w:sz="8" w:space="0" w:color="auto"/>
              <w:right w:val="single" w:sz="8" w:space="0" w:color="auto"/>
            </w:tcBorders>
            <w:shd w:val="clear" w:color="000000" w:fill="FDC37D"/>
            <w:vAlign w:val="bottom"/>
            <w:hideMark/>
          </w:tcPr>
          <w:p w14:paraId="31A6C72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0.31</w:t>
            </w:r>
          </w:p>
        </w:tc>
        <w:tc>
          <w:tcPr>
            <w:tcW w:w="833" w:type="dxa"/>
            <w:tcBorders>
              <w:top w:val="nil"/>
              <w:left w:val="nil"/>
              <w:bottom w:val="single" w:sz="8" w:space="0" w:color="auto"/>
              <w:right w:val="single" w:sz="8" w:space="0" w:color="auto"/>
            </w:tcBorders>
            <w:shd w:val="clear" w:color="000000" w:fill="FDBE7C"/>
            <w:vAlign w:val="bottom"/>
            <w:hideMark/>
          </w:tcPr>
          <w:p w14:paraId="6633E91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0.35</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EC87E"/>
            <w:vAlign w:val="bottom"/>
            <w:hideMark/>
          </w:tcPr>
          <w:p w14:paraId="70828FE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0.27</w:t>
            </w:r>
          </w:p>
        </w:tc>
        <w:tc>
          <w:tcPr>
            <w:tcW w:w="833" w:type="dxa"/>
            <w:tcBorders>
              <w:top w:val="nil"/>
              <w:left w:val="nil"/>
              <w:bottom w:val="single" w:sz="8" w:space="0" w:color="auto"/>
              <w:right w:val="single" w:sz="8" w:space="0" w:color="auto"/>
            </w:tcBorders>
            <w:shd w:val="clear" w:color="000000" w:fill="FDEA85"/>
            <w:vAlign w:val="bottom"/>
            <w:hideMark/>
          </w:tcPr>
          <w:p w14:paraId="5BD70AE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0E28A"/>
            <w:vAlign w:val="bottom"/>
            <w:hideMark/>
          </w:tcPr>
          <w:p w14:paraId="63CAEB8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-0.09</w:t>
            </w:r>
          </w:p>
        </w:tc>
        <w:tc>
          <w:tcPr>
            <w:tcW w:w="890" w:type="dxa"/>
            <w:tcBorders>
              <w:top w:val="nil"/>
              <w:left w:val="nil"/>
              <w:bottom w:val="single" w:sz="8" w:space="0" w:color="auto"/>
              <w:right w:val="single" w:sz="8" w:space="0" w:color="auto"/>
            </w:tcBorders>
            <w:shd w:val="clear" w:color="000000" w:fill="F8696B"/>
            <w:vAlign w:val="bottom"/>
            <w:hideMark/>
          </w:tcPr>
          <w:p w14:paraId="7ABB8F0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1.13</w:t>
            </w:r>
            <w:r w:rsidRPr="000D2B8A">
              <w:rPr>
                <w:rFonts w:ascii="Times New Roman" w:eastAsia="Times New Roman" w:hAnsi="Times New Roman" w:cs="Times New Roman"/>
                <w:color w:val="000000"/>
                <w:sz w:val="20"/>
                <w:szCs w:val="20"/>
              </w:rPr>
              <w:t>**</w:t>
            </w:r>
          </w:p>
        </w:tc>
      </w:tr>
      <w:tr w:rsidR="00A93D2A" w:rsidRPr="00973BC3" w14:paraId="4CF37151"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12D28437"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3126DD24"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3AFE798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4F892CD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C8B586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8CA544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50F4BB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6D82F8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EA4208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09812773"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771" w:type="dxa"/>
            <w:tcBorders>
              <w:top w:val="nil"/>
              <w:left w:val="nil"/>
              <w:bottom w:val="single" w:sz="8" w:space="0" w:color="auto"/>
              <w:right w:val="single" w:sz="8" w:space="0" w:color="auto"/>
            </w:tcBorders>
            <w:shd w:val="clear" w:color="000000" w:fill="FECB7E"/>
            <w:vAlign w:val="bottom"/>
            <w:hideMark/>
          </w:tcPr>
          <w:p w14:paraId="3AD32E0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p>
        </w:tc>
        <w:tc>
          <w:tcPr>
            <w:tcW w:w="833" w:type="dxa"/>
            <w:tcBorders>
              <w:top w:val="nil"/>
              <w:left w:val="nil"/>
              <w:bottom w:val="single" w:sz="8" w:space="0" w:color="auto"/>
              <w:right w:val="single" w:sz="8" w:space="0" w:color="auto"/>
            </w:tcBorders>
            <w:shd w:val="clear" w:color="000000" w:fill="F8E787"/>
            <w:vAlign w:val="bottom"/>
            <w:hideMark/>
          </w:tcPr>
          <w:p w14:paraId="5299DF2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33" w:type="dxa"/>
            <w:tcBorders>
              <w:top w:val="nil"/>
              <w:left w:val="nil"/>
              <w:bottom w:val="single" w:sz="8" w:space="0" w:color="auto"/>
              <w:right w:val="single" w:sz="8" w:space="0" w:color="auto"/>
            </w:tcBorders>
            <w:shd w:val="clear" w:color="000000" w:fill="FECB7E"/>
            <w:vAlign w:val="bottom"/>
            <w:hideMark/>
          </w:tcPr>
          <w:p w14:paraId="74125A0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DEA85"/>
            <w:vAlign w:val="bottom"/>
            <w:hideMark/>
          </w:tcPr>
          <w:p w14:paraId="7F153C6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c>
          <w:tcPr>
            <w:tcW w:w="833" w:type="dxa"/>
            <w:tcBorders>
              <w:top w:val="nil"/>
              <w:left w:val="nil"/>
              <w:bottom w:val="single" w:sz="8" w:space="0" w:color="auto"/>
              <w:right w:val="single" w:sz="8" w:space="0" w:color="auto"/>
            </w:tcBorders>
            <w:shd w:val="clear" w:color="000000" w:fill="F1E38A"/>
            <w:vAlign w:val="bottom"/>
            <w:hideMark/>
          </w:tcPr>
          <w:p w14:paraId="6CBAFE2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90" w:type="dxa"/>
            <w:tcBorders>
              <w:top w:val="nil"/>
              <w:left w:val="nil"/>
              <w:bottom w:val="single" w:sz="8" w:space="0" w:color="auto"/>
              <w:right w:val="single" w:sz="8" w:space="0" w:color="auto"/>
            </w:tcBorders>
            <w:shd w:val="clear" w:color="000000" w:fill="FB9273"/>
            <w:vAlign w:val="bottom"/>
            <w:hideMark/>
          </w:tcPr>
          <w:p w14:paraId="5CB5FE8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0.69</w:t>
            </w:r>
            <w:r w:rsidRPr="000D2B8A">
              <w:rPr>
                <w:rFonts w:ascii="Times New Roman" w:eastAsia="Times New Roman" w:hAnsi="Times New Roman" w:cs="Times New Roman"/>
                <w:color w:val="000000"/>
                <w:sz w:val="20"/>
                <w:szCs w:val="20"/>
              </w:rPr>
              <w:t>**</w:t>
            </w:r>
          </w:p>
        </w:tc>
      </w:tr>
      <w:tr w:rsidR="00A93D2A" w:rsidRPr="00973BC3" w14:paraId="5DA6CF05"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324F0133"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TW</w:t>
            </w:r>
          </w:p>
        </w:tc>
        <w:tc>
          <w:tcPr>
            <w:tcW w:w="705" w:type="dxa"/>
            <w:tcBorders>
              <w:top w:val="nil"/>
              <w:left w:val="nil"/>
              <w:bottom w:val="single" w:sz="8" w:space="0" w:color="auto"/>
              <w:right w:val="single" w:sz="8" w:space="0" w:color="auto"/>
            </w:tcBorders>
            <w:vAlign w:val="bottom"/>
            <w:hideMark/>
          </w:tcPr>
          <w:p w14:paraId="1BEDD407"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0DEBC37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28B7A66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877409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1F4C64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667763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A2E454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C2512A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5498AA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shd w:val="clear" w:color="000000" w:fill="F8696B"/>
            <w:vAlign w:val="bottom"/>
            <w:hideMark/>
          </w:tcPr>
          <w:p w14:paraId="7158F76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C5C99C"/>
            <w:vAlign w:val="bottom"/>
            <w:hideMark/>
          </w:tcPr>
          <w:p w14:paraId="7D189A0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-0.35</w:t>
            </w:r>
            <w:r w:rsidRPr="00476A19">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FFE683"/>
            <w:vAlign w:val="bottom"/>
            <w:hideMark/>
          </w:tcPr>
          <w:p w14:paraId="33DA474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33" w:type="dxa"/>
            <w:tcBorders>
              <w:top w:val="nil"/>
              <w:left w:val="nil"/>
              <w:bottom w:val="single" w:sz="8" w:space="0" w:color="auto"/>
              <w:right w:val="single" w:sz="8" w:space="0" w:color="auto"/>
            </w:tcBorders>
            <w:shd w:val="clear" w:color="000000" w:fill="FFE683"/>
            <w:vAlign w:val="bottom"/>
            <w:hideMark/>
          </w:tcPr>
          <w:p w14:paraId="57ED39F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33" w:type="dxa"/>
            <w:tcBorders>
              <w:top w:val="nil"/>
              <w:left w:val="nil"/>
              <w:bottom w:val="single" w:sz="8" w:space="0" w:color="auto"/>
              <w:right w:val="single" w:sz="8" w:space="0" w:color="auto"/>
            </w:tcBorders>
            <w:shd w:val="clear" w:color="000000" w:fill="FDC17C"/>
            <w:vAlign w:val="bottom"/>
            <w:hideMark/>
          </w:tcPr>
          <w:p w14:paraId="42D4D9D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0.33</w:t>
            </w:r>
          </w:p>
        </w:tc>
        <w:tc>
          <w:tcPr>
            <w:tcW w:w="890" w:type="dxa"/>
            <w:tcBorders>
              <w:top w:val="nil"/>
              <w:left w:val="nil"/>
              <w:bottom w:val="single" w:sz="8" w:space="0" w:color="auto"/>
              <w:right w:val="single" w:sz="8" w:space="0" w:color="auto"/>
            </w:tcBorders>
            <w:shd w:val="clear" w:color="000000" w:fill="FDC67D"/>
            <w:vAlign w:val="bottom"/>
            <w:hideMark/>
          </w:tcPr>
          <w:p w14:paraId="7AB71B7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0.29</w:t>
            </w:r>
          </w:p>
        </w:tc>
      </w:tr>
      <w:tr w:rsidR="00A93D2A" w:rsidRPr="00973BC3" w14:paraId="07E51A75"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6360E4A1"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172FF152"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2549A1C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14D0BBC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6C031E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6486E9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3C7B61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FA0F69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D20796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1DD9AE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shd w:val="clear" w:color="000000" w:fill="F8696B"/>
            <w:vAlign w:val="bottom"/>
            <w:hideMark/>
          </w:tcPr>
          <w:p w14:paraId="1D8CD595"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DFD891"/>
            <w:vAlign w:val="bottom"/>
            <w:hideMark/>
          </w:tcPr>
          <w:p w14:paraId="3EEA6F0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-0.19</w:t>
            </w:r>
          </w:p>
        </w:tc>
        <w:tc>
          <w:tcPr>
            <w:tcW w:w="833" w:type="dxa"/>
            <w:tcBorders>
              <w:top w:val="nil"/>
              <w:left w:val="nil"/>
              <w:bottom w:val="single" w:sz="8" w:space="0" w:color="auto"/>
              <w:right w:val="single" w:sz="8" w:space="0" w:color="auto"/>
            </w:tcBorders>
            <w:shd w:val="clear" w:color="000000" w:fill="FFE984"/>
            <w:vAlign w:val="bottom"/>
            <w:hideMark/>
          </w:tcPr>
          <w:p w14:paraId="42B308D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0.02</w:t>
            </w:r>
          </w:p>
        </w:tc>
        <w:tc>
          <w:tcPr>
            <w:tcW w:w="833" w:type="dxa"/>
            <w:tcBorders>
              <w:top w:val="nil"/>
              <w:left w:val="nil"/>
              <w:bottom w:val="single" w:sz="8" w:space="0" w:color="auto"/>
              <w:right w:val="single" w:sz="8" w:space="0" w:color="auto"/>
            </w:tcBorders>
            <w:shd w:val="clear" w:color="000000" w:fill="FFE683"/>
            <w:vAlign w:val="bottom"/>
            <w:hideMark/>
          </w:tcPr>
          <w:p w14:paraId="6967B02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0.04</w:t>
            </w:r>
          </w:p>
        </w:tc>
        <w:tc>
          <w:tcPr>
            <w:tcW w:w="833" w:type="dxa"/>
            <w:tcBorders>
              <w:top w:val="nil"/>
              <w:left w:val="nil"/>
              <w:bottom w:val="single" w:sz="8" w:space="0" w:color="auto"/>
              <w:right w:val="single" w:sz="8" w:space="0" w:color="auto"/>
            </w:tcBorders>
            <w:shd w:val="clear" w:color="000000" w:fill="FEC77D"/>
            <w:vAlign w:val="bottom"/>
            <w:hideMark/>
          </w:tcPr>
          <w:p w14:paraId="49DE501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0.28</w:t>
            </w:r>
            <w:r w:rsidRPr="000D2B8A">
              <w:rPr>
                <w:rFonts w:ascii="Times New Roman" w:eastAsia="Times New Roman" w:hAnsi="Times New Roman" w:cs="Times New Roman"/>
                <w:color w:val="000000"/>
                <w:sz w:val="20"/>
                <w:szCs w:val="20"/>
              </w:rPr>
              <w:t>**</w:t>
            </w:r>
          </w:p>
        </w:tc>
        <w:tc>
          <w:tcPr>
            <w:tcW w:w="890" w:type="dxa"/>
            <w:tcBorders>
              <w:top w:val="nil"/>
              <w:left w:val="nil"/>
              <w:bottom w:val="single" w:sz="8" w:space="0" w:color="auto"/>
              <w:right w:val="single" w:sz="8" w:space="0" w:color="auto"/>
            </w:tcBorders>
            <w:shd w:val="clear" w:color="000000" w:fill="FFE182"/>
            <w:vAlign w:val="bottom"/>
            <w:hideMark/>
          </w:tcPr>
          <w:p w14:paraId="70B26BF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r>
      <w:tr w:rsidR="00A93D2A" w:rsidRPr="00973BC3" w14:paraId="3D9F8A87"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7B34BCA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HI</w:t>
            </w:r>
          </w:p>
        </w:tc>
        <w:tc>
          <w:tcPr>
            <w:tcW w:w="705" w:type="dxa"/>
            <w:tcBorders>
              <w:top w:val="nil"/>
              <w:left w:val="nil"/>
              <w:bottom w:val="single" w:sz="8" w:space="0" w:color="auto"/>
              <w:right w:val="single" w:sz="8" w:space="0" w:color="auto"/>
            </w:tcBorders>
            <w:vAlign w:val="bottom"/>
            <w:hideMark/>
          </w:tcPr>
          <w:p w14:paraId="3136AE82"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19D188A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1674E0F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CE80DB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D63347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1DFC2C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03FD2B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B8467F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195375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5478B87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36492EA8"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EC77D"/>
            <w:vAlign w:val="bottom"/>
            <w:hideMark/>
          </w:tcPr>
          <w:p w14:paraId="308FB34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0.28</w:t>
            </w:r>
          </w:p>
        </w:tc>
        <w:tc>
          <w:tcPr>
            <w:tcW w:w="833" w:type="dxa"/>
            <w:tcBorders>
              <w:top w:val="nil"/>
              <w:left w:val="nil"/>
              <w:bottom w:val="single" w:sz="8" w:space="0" w:color="auto"/>
              <w:right w:val="single" w:sz="8" w:space="0" w:color="auto"/>
            </w:tcBorders>
            <w:shd w:val="clear" w:color="000000" w:fill="FFE984"/>
            <w:vAlign w:val="bottom"/>
            <w:hideMark/>
          </w:tcPr>
          <w:p w14:paraId="13DD993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0.02</w:t>
            </w:r>
          </w:p>
        </w:tc>
        <w:tc>
          <w:tcPr>
            <w:tcW w:w="833" w:type="dxa"/>
            <w:tcBorders>
              <w:top w:val="nil"/>
              <w:left w:val="nil"/>
              <w:bottom w:val="single" w:sz="8" w:space="0" w:color="auto"/>
              <w:right w:val="single" w:sz="8" w:space="0" w:color="auto"/>
            </w:tcBorders>
            <w:shd w:val="clear" w:color="000000" w:fill="E9DE8D"/>
            <w:vAlign w:val="bottom"/>
            <w:hideMark/>
          </w:tcPr>
          <w:p w14:paraId="374C88F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-0.13</w:t>
            </w:r>
          </w:p>
        </w:tc>
        <w:tc>
          <w:tcPr>
            <w:tcW w:w="890" w:type="dxa"/>
            <w:tcBorders>
              <w:top w:val="nil"/>
              <w:left w:val="nil"/>
              <w:bottom w:val="single" w:sz="8" w:space="0" w:color="auto"/>
              <w:right w:val="single" w:sz="8" w:space="0" w:color="auto"/>
            </w:tcBorders>
            <w:shd w:val="clear" w:color="000000" w:fill="FCAE79"/>
            <w:vAlign w:val="bottom"/>
            <w:hideMark/>
          </w:tcPr>
          <w:p w14:paraId="0E2F0A0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0.47</w:t>
            </w:r>
            <w:r w:rsidRPr="000D2B8A">
              <w:rPr>
                <w:rFonts w:ascii="Times New Roman" w:eastAsia="Times New Roman" w:hAnsi="Times New Roman" w:cs="Times New Roman"/>
                <w:color w:val="000000"/>
                <w:sz w:val="20"/>
                <w:szCs w:val="20"/>
              </w:rPr>
              <w:t>**</w:t>
            </w:r>
          </w:p>
        </w:tc>
      </w:tr>
      <w:tr w:rsidR="00A93D2A" w:rsidRPr="00973BC3" w14:paraId="4D9655A9"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2C921F6E"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7CCC9640"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4FAD068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3BE0CE8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A60B8B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B9AEE8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1BD13F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DB3FF0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D4B01E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195302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1365CA7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431455AD"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ED881"/>
            <w:vAlign w:val="bottom"/>
            <w:hideMark/>
          </w:tcPr>
          <w:p w14:paraId="7E2794A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0.15</w:t>
            </w:r>
          </w:p>
        </w:tc>
        <w:tc>
          <w:tcPr>
            <w:tcW w:w="833" w:type="dxa"/>
            <w:tcBorders>
              <w:top w:val="nil"/>
              <w:left w:val="nil"/>
              <w:bottom w:val="single" w:sz="8" w:space="0" w:color="auto"/>
              <w:right w:val="single" w:sz="8" w:space="0" w:color="auto"/>
            </w:tcBorders>
            <w:shd w:val="clear" w:color="000000" w:fill="FFE884"/>
            <w:vAlign w:val="bottom"/>
            <w:hideMark/>
          </w:tcPr>
          <w:p w14:paraId="4F7EBD7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0.03</w:t>
            </w:r>
          </w:p>
        </w:tc>
        <w:tc>
          <w:tcPr>
            <w:tcW w:w="833" w:type="dxa"/>
            <w:tcBorders>
              <w:top w:val="nil"/>
              <w:left w:val="nil"/>
              <w:bottom w:val="single" w:sz="8" w:space="0" w:color="auto"/>
              <w:right w:val="single" w:sz="8" w:space="0" w:color="auto"/>
            </w:tcBorders>
            <w:shd w:val="clear" w:color="000000" w:fill="F1E38A"/>
            <w:vAlign w:val="bottom"/>
            <w:hideMark/>
          </w:tcPr>
          <w:p w14:paraId="4C3715D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-0.08</w:t>
            </w:r>
          </w:p>
        </w:tc>
        <w:tc>
          <w:tcPr>
            <w:tcW w:w="890" w:type="dxa"/>
            <w:tcBorders>
              <w:top w:val="nil"/>
              <w:left w:val="nil"/>
              <w:bottom w:val="single" w:sz="8" w:space="0" w:color="auto"/>
              <w:right w:val="single" w:sz="8" w:space="0" w:color="auto"/>
            </w:tcBorders>
            <w:shd w:val="clear" w:color="000000" w:fill="FDB97B"/>
            <w:vAlign w:val="bottom"/>
            <w:hideMark/>
          </w:tcPr>
          <w:p w14:paraId="784D6E8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0.39</w:t>
            </w:r>
            <w:r w:rsidRPr="000D2B8A">
              <w:rPr>
                <w:rFonts w:ascii="Times New Roman" w:eastAsia="Times New Roman" w:hAnsi="Times New Roman" w:cs="Times New Roman"/>
                <w:color w:val="000000"/>
                <w:sz w:val="20"/>
                <w:szCs w:val="20"/>
              </w:rPr>
              <w:t>**</w:t>
            </w:r>
          </w:p>
        </w:tc>
      </w:tr>
      <w:tr w:rsidR="00A93D2A" w:rsidRPr="00973BC3" w14:paraId="3DE62AA0"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1B6110C9"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PRO</w:t>
            </w:r>
          </w:p>
        </w:tc>
        <w:tc>
          <w:tcPr>
            <w:tcW w:w="705" w:type="dxa"/>
            <w:tcBorders>
              <w:top w:val="nil"/>
              <w:left w:val="nil"/>
              <w:bottom w:val="single" w:sz="8" w:space="0" w:color="auto"/>
              <w:right w:val="single" w:sz="8" w:space="0" w:color="auto"/>
            </w:tcBorders>
            <w:vAlign w:val="bottom"/>
            <w:hideMark/>
          </w:tcPr>
          <w:p w14:paraId="75CDA112"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6CA9164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2DC809B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E2A8C2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1505F2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35E6B9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852BB1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8E0AB3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E151D7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1B1953A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5ABD2B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1BBF792B"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ACBAA5"/>
            <w:vAlign w:val="bottom"/>
            <w:hideMark/>
          </w:tcPr>
          <w:p w14:paraId="1B98336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-0.5</w:t>
            </w:r>
            <w:r>
              <w:rPr>
                <w:rFonts w:ascii="Times New Roman" w:eastAsia="Times New Roman" w:hAnsi="Times New Roman" w:cs="Times New Roman"/>
                <w:color w:val="000000"/>
                <w:sz w:val="20"/>
                <w:szCs w:val="20"/>
              </w:rPr>
              <w:t>0</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E1D990"/>
            <w:vAlign w:val="bottom"/>
            <w:hideMark/>
          </w:tcPr>
          <w:p w14:paraId="38F9970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90" w:type="dxa"/>
            <w:tcBorders>
              <w:top w:val="nil"/>
              <w:left w:val="nil"/>
              <w:bottom w:val="single" w:sz="8" w:space="0" w:color="auto"/>
              <w:right w:val="single" w:sz="8" w:space="0" w:color="auto"/>
            </w:tcBorders>
            <w:shd w:val="clear" w:color="000000" w:fill="FDBB7B"/>
            <w:vAlign w:val="bottom"/>
            <w:hideMark/>
          </w:tcPr>
          <w:p w14:paraId="5A244E8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0.37</w:t>
            </w:r>
            <w:r w:rsidRPr="000D2B8A">
              <w:rPr>
                <w:rFonts w:ascii="Times New Roman" w:eastAsia="Times New Roman" w:hAnsi="Times New Roman" w:cs="Times New Roman"/>
                <w:color w:val="000000"/>
                <w:sz w:val="20"/>
                <w:szCs w:val="20"/>
              </w:rPr>
              <w:t>*</w:t>
            </w:r>
          </w:p>
        </w:tc>
      </w:tr>
      <w:tr w:rsidR="00A93D2A" w:rsidRPr="00973BC3" w14:paraId="60167955"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41FE06D4"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4958D087"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6F4498E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35AA587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310ADF6"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1EEA35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AFC11F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349619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132585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373E41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40011E3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5F10D1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0B909895"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AEBBA5"/>
            <w:vAlign w:val="bottom"/>
            <w:hideMark/>
          </w:tcPr>
          <w:p w14:paraId="453A427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-0.49</w:t>
            </w:r>
            <w:r w:rsidRPr="000D2B8A">
              <w:rPr>
                <w:rFonts w:ascii="Times New Roman" w:eastAsia="Times New Roman" w:hAnsi="Times New Roman" w:cs="Times New Roman"/>
                <w:color w:val="000000"/>
                <w:sz w:val="20"/>
                <w:szCs w:val="20"/>
              </w:rPr>
              <w:t>**</w:t>
            </w:r>
          </w:p>
        </w:tc>
        <w:tc>
          <w:tcPr>
            <w:tcW w:w="833" w:type="dxa"/>
            <w:tcBorders>
              <w:top w:val="nil"/>
              <w:left w:val="nil"/>
              <w:bottom w:val="single" w:sz="8" w:space="0" w:color="auto"/>
              <w:right w:val="single" w:sz="8" w:space="0" w:color="auto"/>
            </w:tcBorders>
            <w:shd w:val="clear" w:color="000000" w:fill="E1D990"/>
            <w:vAlign w:val="bottom"/>
            <w:hideMark/>
          </w:tcPr>
          <w:p w14:paraId="67142A1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-0.18</w:t>
            </w:r>
          </w:p>
        </w:tc>
        <w:tc>
          <w:tcPr>
            <w:tcW w:w="890" w:type="dxa"/>
            <w:tcBorders>
              <w:top w:val="nil"/>
              <w:left w:val="nil"/>
              <w:bottom w:val="single" w:sz="8" w:space="0" w:color="auto"/>
              <w:right w:val="single" w:sz="8" w:space="0" w:color="auto"/>
            </w:tcBorders>
            <w:shd w:val="clear" w:color="000000" w:fill="FECB7E"/>
            <w:vAlign w:val="bottom"/>
            <w:hideMark/>
          </w:tcPr>
          <w:p w14:paraId="0B9EA46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0.25</w:t>
            </w:r>
            <w:r w:rsidRPr="000D2B8A">
              <w:rPr>
                <w:rFonts w:ascii="Times New Roman" w:eastAsia="Times New Roman" w:hAnsi="Times New Roman" w:cs="Times New Roman"/>
                <w:color w:val="000000"/>
                <w:sz w:val="20"/>
                <w:szCs w:val="20"/>
              </w:rPr>
              <w:t>*</w:t>
            </w:r>
          </w:p>
        </w:tc>
      </w:tr>
      <w:tr w:rsidR="00A93D2A" w:rsidRPr="00973BC3" w14:paraId="125C98D0"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59399143"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LYS</w:t>
            </w:r>
          </w:p>
        </w:tc>
        <w:tc>
          <w:tcPr>
            <w:tcW w:w="705" w:type="dxa"/>
            <w:tcBorders>
              <w:top w:val="nil"/>
              <w:left w:val="nil"/>
              <w:bottom w:val="single" w:sz="8" w:space="0" w:color="auto"/>
              <w:right w:val="single" w:sz="8" w:space="0" w:color="auto"/>
            </w:tcBorders>
            <w:vAlign w:val="bottom"/>
            <w:hideMark/>
          </w:tcPr>
          <w:p w14:paraId="108699F3"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16CCB44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462BE53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D04A93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6DCC56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E8EB8A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44E67C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EF1505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AA3A88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4384AF7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44D189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CB52BF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3D63F3FA"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DB57A"/>
            <w:vAlign w:val="bottom"/>
            <w:hideMark/>
          </w:tcPr>
          <w:p w14:paraId="3E938A7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0.42</w:t>
            </w:r>
            <w:r w:rsidRPr="000D2B8A">
              <w:rPr>
                <w:rFonts w:ascii="Times New Roman" w:eastAsia="Times New Roman" w:hAnsi="Times New Roman" w:cs="Times New Roman"/>
                <w:color w:val="000000"/>
                <w:sz w:val="20"/>
                <w:szCs w:val="20"/>
              </w:rPr>
              <w:t>*</w:t>
            </w:r>
          </w:p>
        </w:tc>
        <w:tc>
          <w:tcPr>
            <w:tcW w:w="890" w:type="dxa"/>
            <w:tcBorders>
              <w:top w:val="nil"/>
              <w:left w:val="nil"/>
              <w:bottom w:val="single" w:sz="8" w:space="0" w:color="auto"/>
              <w:right w:val="single" w:sz="8" w:space="0" w:color="auto"/>
            </w:tcBorders>
            <w:shd w:val="clear" w:color="000000" w:fill="FDEA85"/>
            <w:vAlign w:val="bottom"/>
            <w:hideMark/>
          </w:tcPr>
          <w:p w14:paraId="3D3416D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r>
      <w:tr w:rsidR="00A93D2A" w:rsidRPr="00973BC3" w14:paraId="6B7E731D"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055F1638"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2BE40DBB"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66EF78E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0BFF0C9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291E2C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1B6C14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B22268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82CB91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6C4D1F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7B6BB5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783D68D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6ED074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E3E228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20BEDA00"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33" w:type="dxa"/>
            <w:tcBorders>
              <w:top w:val="nil"/>
              <w:left w:val="nil"/>
              <w:bottom w:val="single" w:sz="8" w:space="0" w:color="auto"/>
              <w:right w:val="single" w:sz="8" w:space="0" w:color="auto"/>
            </w:tcBorders>
            <w:shd w:val="clear" w:color="000000" w:fill="FDB67A"/>
            <w:vAlign w:val="bottom"/>
            <w:hideMark/>
          </w:tcPr>
          <w:p w14:paraId="54BE06B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0.41</w:t>
            </w:r>
            <w:r w:rsidRPr="000D2B8A">
              <w:rPr>
                <w:rFonts w:ascii="Times New Roman" w:eastAsia="Times New Roman" w:hAnsi="Times New Roman" w:cs="Times New Roman"/>
                <w:color w:val="000000"/>
                <w:sz w:val="20"/>
                <w:szCs w:val="20"/>
              </w:rPr>
              <w:t>**</w:t>
            </w:r>
          </w:p>
        </w:tc>
        <w:tc>
          <w:tcPr>
            <w:tcW w:w="890" w:type="dxa"/>
            <w:tcBorders>
              <w:top w:val="nil"/>
              <w:left w:val="nil"/>
              <w:bottom w:val="single" w:sz="8" w:space="0" w:color="auto"/>
              <w:right w:val="single" w:sz="8" w:space="0" w:color="auto"/>
            </w:tcBorders>
            <w:shd w:val="clear" w:color="000000" w:fill="FDEA85"/>
            <w:vAlign w:val="bottom"/>
            <w:hideMark/>
          </w:tcPr>
          <w:p w14:paraId="1915919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-0.01</w:t>
            </w:r>
          </w:p>
        </w:tc>
      </w:tr>
      <w:tr w:rsidR="00A93D2A" w:rsidRPr="00973BC3" w14:paraId="65159F99"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6D132102"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SAP</w:t>
            </w:r>
          </w:p>
        </w:tc>
        <w:tc>
          <w:tcPr>
            <w:tcW w:w="705" w:type="dxa"/>
            <w:tcBorders>
              <w:top w:val="nil"/>
              <w:left w:val="nil"/>
              <w:bottom w:val="single" w:sz="8" w:space="0" w:color="auto"/>
              <w:right w:val="single" w:sz="8" w:space="0" w:color="auto"/>
            </w:tcBorders>
            <w:vAlign w:val="bottom"/>
            <w:hideMark/>
          </w:tcPr>
          <w:p w14:paraId="11E64523"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49F7097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2533B59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BCAFA2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4EBE49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8AD4BB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B3DD98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ECE350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7D44CF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6699854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A9A138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3EC517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BFD8B1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58CD8A75"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90" w:type="dxa"/>
            <w:tcBorders>
              <w:top w:val="nil"/>
              <w:left w:val="nil"/>
              <w:bottom w:val="single" w:sz="8" w:space="0" w:color="auto"/>
              <w:right w:val="single" w:sz="8" w:space="0" w:color="auto"/>
            </w:tcBorders>
            <w:shd w:val="clear" w:color="000000" w:fill="F5E588"/>
            <w:vAlign w:val="bottom"/>
            <w:hideMark/>
          </w:tcPr>
          <w:p w14:paraId="60457E9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-0.06</w:t>
            </w:r>
          </w:p>
        </w:tc>
      </w:tr>
      <w:tr w:rsidR="00A93D2A" w:rsidRPr="00973BC3" w14:paraId="2FD77A0A"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09989464"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3D8171B5"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29F3FB2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0FF5FAA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A9EA8F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3C42D8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814215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74FB30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7945589"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0A2268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47AC3CD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5A6E85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F2CEC9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97DF8A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shd w:val="clear" w:color="000000" w:fill="F8696B"/>
            <w:vAlign w:val="bottom"/>
            <w:hideMark/>
          </w:tcPr>
          <w:p w14:paraId="50BA2D83"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c>
          <w:tcPr>
            <w:tcW w:w="890" w:type="dxa"/>
            <w:tcBorders>
              <w:top w:val="nil"/>
              <w:left w:val="nil"/>
              <w:bottom w:val="single" w:sz="8" w:space="0" w:color="auto"/>
              <w:right w:val="single" w:sz="8" w:space="0" w:color="auto"/>
            </w:tcBorders>
            <w:shd w:val="clear" w:color="000000" w:fill="F6E688"/>
            <w:vAlign w:val="bottom"/>
            <w:hideMark/>
          </w:tcPr>
          <w:p w14:paraId="1170CF9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-0.05</w:t>
            </w:r>
          </w:p>
        </w:tc>
      </w:tr>
      <w:tr w:rsidR="00A93D2A" w:rsidRPr="00973BC3" w14:paraId="1F85D04B" w14:textId="77777777"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14:paraId="7871AA58"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SYPP</w:t>
            </w:r>
          </w:p>
        </w:tc>
        <w:tc>
          <w:tcPr>
            <w:tcW w:w="705" w:type="dxa"/>
            <w:tcBorders>
              <w:top w:val="nil"/>
              <w:left w:val="nil"/>
              <w:bottom w:val="single" w:sz="8" w:space="0" w:color="auto"/>
              <w:right w:val="single" w:sz="8" w:space="0" w:color="auto"/>
            </w:tcBorders>
            <w:vAlign w:val="bottom"/>
            <w:hideMark/>
          </w:tcPr>
          <w:p w14:paraId="3BA0F492"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g</w:t>
            </w:r>
          </w:p>
        </w:tc>
        <w:tc>
          <w:tcPr>
            <w:tcW w:w="756" w:type="dxa"/>
            <w:tcBorders>
              <w:top w:val="nil"/>
              <w:left w:val="nil"/>
              <w:bottom w:val="single" w:sz="8" w:space="0" w:color="auto"/>
              <w:right w:val="single" w:sz="8" w:space="0" w:color="auto"/>
            </w:tcBorders>
            <w:vAlign w:val="bottom"/>
            <w:hideMark/>
          </w:tcPr>
          <w:p w14:paraId="28D34F9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4DA149CB"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F98C6D7"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310F4A1"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C85AC1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F28B664"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7E9FCB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690988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4439292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FED4F8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2E11DADF"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E06602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55A3620D"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90" w:type="dxa"/>
            <w:tcBorders>
              <w:top w:val="nil"/>
              <w:left w:val="nil"/>
              <w:bottom w:val="single" w:sz="8" w:space="0" w:color="auto"/>
              <w:right w:val="single" w:sz="8" w:space="0" w:color="auto"/>
            </w:tcBorders>
            <w:shd w:val="clear" w:color="000000" w:fill="F8696B"/>
            <w:vAlign w:val="bottom"/>
            <w:hideMark/>
          </w:tcPr>
          <w:p w14:paraId="77F57B3D"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r>
      <w:tr w:rsidR="00A93D2A" w:rsidRPr="00973BC3" w14:paraId="0CF537F7" w14:textId="77777777"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14:paraId="6B948DE8" w14:textId="77777777" w:rsidR="00A93D2A" w:rsidRPr="00973BC3" w:rsidRDefault="00A93D2A" w:rsidP="00A93D2A">
            <w:pPr>
              <w:spacing w:after="0" w:line="240" w:lineRule="auto"/>
              <w:rPr>
                <w:rFonts w:ascii="Times New Roman" w:eastAsia="Times New Roman" w:hAnsi="Times New Roman" w:cs="Times New Roman"/>
                <w:b/>
                <w:bCs/>
                <w:color w:val="000000"/>
                <w:sz w:val="20"/>
                <w:szCs w:val="20"/>
              </w:rPr>
            </w:pPr>
          </w:p>
        </w:tc>
        <w:tc>
          <w:tcPr>
            <w:tcW w:w="705" w:type="dxa"/>
            <w:tcBorders>
              <w:top w:val="nil"/>
              <w:left w:val="nil"/>
              <w:bottom w:val="single" w:sz="8" w:space="0" w:color="auto"/>
              <w:right w:val="single" w:sz="8" w:space="0" w:color="auto"/>
            </w:tcBorders>
            <w:vAlign w:val="bottom"/>
            <w:hideMark/>
          </w:tcPr>
          <w:p w14:paraId="3D14F41E" w14:textId="77777777" w:rsidR="00A93D2A" w:rsidRPr="00973BC3" w:rsidRDefault="00A93D2A" w:rsidP="00A93D2A">
            <w:pPr>
              <w:spacing w:after="0" w:line="240" w:lineRule="auto"/>
              <w:rPr>
                <w:rFonts w:ascii="Times New Roman" w:eastAsia="Times New Roman" w:hAnsi="Times New Roman" w:cs="Times New Roman"/>
                <w:color w:val="000000"/>
                <w:sz w:val="20"/>
                <w:szCs w:val="20"/>
              </w:rPr>
            </w:pPr>
            <w:r w:rsidRPr="00973BC3">
              <w:rPr>
                <w:rFonts w:ascii="Times New Roman" w:eastAsia="Times New Roman" w:hAnsi="Times New Roman" w:cs="Times New Roman"/>
                <w:color w:val="000000"/>
                <w:sz w:val="20"/>
                <w:szCs w:val="20"/>
              </w:rPr>
              <w:t>r</w:t>
            </w:r>
            <w:r w:rsidRPr="00973BC3">
              <w:rPr>
                <w:rFonts w:ascii="Times New Roman" w:eastAsia="Times New Roman" w:hAnsi="Times New Roman" w:cs="Times New Roman"/>
                <w:color w:val="000000"/>
                <w:sz w:val="20"/>
                <w:szCs w:val="20"/>
                <w:vertAlign w:val="subscript"/>
              </w:rPr>
              <w:t>p</w:t>
            </w:r>
          </w:p>
        </w:tc>
        <w:tc>
          <w:tcPr>
            <w:tcW w:w="756" w:type="dxa"/>
            <w:tcBorders>
              <w:top w:val="nil"/>
              <w:left w:val="nil"/>
              <w:bottom w:val="single" w:sz="8" w:space="0" w:color="auto"/>
              <w:right w:val="single" w:sz="8" w:space="0" w:color="auto"/>
            </w:tcBorders>
            <w:vAlign w:val="bottom"/>
            <w:hideMark/>
          </w:tcPr>
          <w:p w14:paraId="67E6000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02" w:type="dxa"/>
            <w:tcBorders>
              <w:top w:val="nil"/>
              <w:left w:val="nil"/>
              <w:bottom w:val="single" w:sz="8" w:space="0" w:color="auto"/>
              <w:right w:val="single" w:sz="8" w:space="0" w:color="auto"/>
            </w:tcBorders>
            <w:vAlign w:val="bottom"/>
            <w:hideMark/>
          </w:tcPr>
          <w:p w14:paraId="7D9C2AA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B1CB975"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8039C4A"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4D8F942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183485A0"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31F7079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CEB1C1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771" w:type="dxa"/>
            <w:tcBorders>
              <w:top w:val="nil"/>
              <w:left w:val="nil"/>
              <w:bottom w:val="single" w:sz="8" w:space="0" w:color="auto"/>
              <w:right w:val="single" w:sz="8" w:space="0" w:color="auto"/>
            </w:tcBorders>
            <w:vAlign w:val="bottom"/>
            <w:hideMark/>
          </w:tcPr>
          <w:p w14:paraId="12A1C8AC"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39C1D03"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7711F492"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06E0883E"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33" w:type="dxa"/>
            <w:tcBorders>
              <w:top w:val="nil"/>
              <w:left w:val="nil"/>
              <w:bottom w:val="single" w:sz="8" w:space="0" w:color="auto"/>
              <w:right w:val="single" w:sz="8" w:space="0" w:color="auto"/>
            </w:tcBorders>
            <w:vAlign w:val="bottom"/>
            <w:hideMark/>
          </w:tcPr>
          <w:p w14:paraId="6ED76818" w14:textId="77777777" w:rsidR="00A93D2A" w:rsidRPr="00973BC3" w:rsidRDefault="00A93D2A" w:rsidP="00A93D2A">
            <w:pPr>
              <w:spacing w:after="0" w:line="240" w:lineRule="auto"/>
              <w:jc w:val="center"/>
              <w:rPr>
                <w:rFonts w:ascii="Times New Roman" w:eastAsia="Times New Roman" w:hAnsi="Times New Roman" w:cs="Times New Roman"/>
                <w:color w:val="000000"/>
                <w:sz w:val="20"/>
                <w:szCs w:val="20"/>
              </w:rPr>
            </w:pPr>
          </w:p>
        </w:tc>
        <w:tc>
          <w:tcPr>
            <w:tcW w:w="890" w:type="dxa"/>
            <w:tcBorders>
              <w:top w:val="nil"/>
              <w:left w:val="nil"/>
              <w:bottom w:val="single" w:sz="8" w:space="0" w:color="auto"/>
              <w:right w:val="single" w:sz="8" w:space="0" w:color="auto"/>
            </w:tcBorders>
            <w:shd w:val="clear" w:color="000000" w:fill="F8696B"/>
            <w:vAlign w:val="bottom"/>
            <w:hideMark/>
          </w:tcPr>
          <w:p w14:paraId="58C15C0D" w14:textId="77777777" w:rsidR="00A93D2A" w:rsidRPr="00973BC3" w:rsidRDefault="00A93D2A" w:rsidP="00A93D2A">
            <w:pPr>
              <w:spacing w:after="0" w:line="240" w:lineRule="auto"/>
              <w:jc w:val="center"/>
              <w:rPr>
                <w:rFonts w:ascii="Times New Roman" w:eastAsia="Times New Roman" w:hAnsi="Times New Roman" w:cs="Times New Roman"/>
                <w:b/>
                <w:bCs/>
                <w:color w:val="000000"/>
                <w:sz w:val="20"/>
                <w:szCs w:val="20"/>
              </w:rPr>
            </w:pPr>
            <w:r w:rsidRPr="00973BC3">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p>
        </w:tc>
      </w:tr>
    </w:tbl>
    <w:p w14:paraId="3670BF05" w14:textId="77777777" w:rsidR="00A93D2A" w:rsidRDefault="00A93D2A" w:rsidP="00A93D2A">
      <w:pPr>
        <w:spacing w:line="360" w:lineRule="auto"/>
        <w:jc w:val="both"/>
        <w:rPr>
          <w:rFonts w:ascii="Times New Roman" w:hAnsi="Times New Roman" w:cs="Times New Roman"/>
          <w:lang w:val="en-US"/>
        </w:rPr>
      </w:pPr>
    </w:p>
    <w:p w14:paraId="1E5CF6D0" w14:textId="77777777" w:rsidR="00A93D2A" w:rsidRDefault="00A93D2A" w:rsidP="00A93D2A">
      <w:pPr>
        <w:spacing w:line="360" w:lineRule="auto"/>
        <w:jc w:val="both"/>
        <w:rPr>
          <w:rFonts w:ascii="Times New Roman" w:hAnsi="Times New Roman" w:cs="Times New Roman"/>
          <w:lang w:val="en-US"/>
        </w:rPr>
        <w:sectPr w:rsidR="00A93D2A" w:rsidSect="00FD0CCE">
          <w:type w:val="continuous"/>
          <w:pgSz w:w="15840" w:h="12240" w:orient="landscape"/>
          <w:pgMar w:top="1440" w:right="1440" w:bottom="1440" w:left="1440" w:header="708" w:footer="708" w:gutter="0"/>
          <w:cols w:space="708"/>
          <w:docGrid w:linePitch="360"/>
        </w:sectPr>
      </w:pPr>
    </w:p>
    <w:p w14:paraId="6F7554CA" w14:textId="77777777" w:rsidR="00540ACC" w:rsidRPr="008F68DF" w:rsidRDefault="00540ACC" w:rsidP="00A93D2A">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lastRenderedPageBreak/>
        <w:t>Seed yield per plant exhibited a strong and positive association with several yield-contributing traits at both genotypic and phenotypic levels. Highly significant positive correlations were recorded with biological yield per plant, length of inflorescence, girth of inflorescence, plant height, number of branches per plant, number of inflorescences per plant and harvest index, highlighting their direct relevance in yield improvement. Among these, biological yield per plant showed the strongest association with seed yield per plant, emphasizing its pivotal role in determining productivity.</w:t>
      </w:r>
    </w:p>
    <w:p w14:paraId="0342B150"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Days to maturity showed a significant positive correlation with seed yield per plant, plant height, length and girth of inflorescence, biological yield per plant and harvest index, indicating that relatively longer growth duration favored better biomass accumulation and yield expression. Similarly, plant height exhibited a strong positive association with several yield components, including seed yield per plant, suggesting its importance as an indirect selection criterion.</w:t>
      </w:r>
    </w:p>
    <w:p w14:paraId="3098FB24"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Number of branches per plant and number of inflorescences per plant were positively and significantly correlated with seed yield per plant, reflecting their contribution to enhanced sink capacity and yield formation. Length and girth of inflorescence also showed strong positive correlations with seed yield, indicating their role in increasing seed-bearing surface.</w:t>
      </w:r>
    </w:p>
    <w:p w14:paraId="77E76CF1"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Harvest index displayed a significant positive correlation with seed yield per plant, suggesting efficient partitioning of assimilates towards economic yield. True protein content showed a positive association with seed yield, whereas lysine content and saponin content exhibited weak or non-significant correlations, indicating that nutritional quality traits can be improved without adversely affecting yield.</w:t>
      </w:r>
    </w:p>
    <w:p w14:paraId="044B5ABB"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 xml:space="preserve">Overall, the </w:t>
      </w:r>
      <w:r w:rsidR="00A93D2A">
        <w:rPr>
          <w:rFonts w:ascii="Times New Roman" w:hAnsi="Times New Roman" w:cs="Times New Roman"/>
          <w:lang w:val="en-US"/>
        </w:rPr>
        <w:t xml:space="preserve">correlation analysis </w:t>
      </w:r>
      <w:r w:rsidRPr="008F68DF">
        <w:rPr>
          <w:rFonts w:ascii="Times New Roman" w:hAnsi="Times New Roman" w:cs="Times New Roman"/>
          <w:lang w:val="en-US"/>
        </w:rPr>
        <w:t>clearly demonstrates that biological yield per plant, inflorescence traits, plant height, branching pattern and harvest index are key determinants of seed yield in quinoa. These traits may therefore be effectively utilized as reliable selection criteria in quinoa breeding programmes aimed at simultaneous improvement of yield and quality.</w:t>
      </w:r>
    </w:p>
    <w:p w14:paraId="59E4711A" w14:textId="77777777" w:rsidR="00540ACC" w:rsidRPr="008F68DF" w:rsidRDefault="00540ACC" w:rsidP="00540ACC">
      <w:pPr>
        <w:spacing w:line="360" w:lineRule="auto"/>
        <w:jc w:val="both"/>
        <w:rPr>
          <w:rFonts w:ascii="Times New Roman" w:hAnsi="Times New Roman" w:cs="Times New Roman"/>
          <w:i/>
          <w:iCs/>
          <w:lang w:val="en-US"/>
        </w:rPr>
      </w:pPr>
      <w:r w:rsidRPr="008F68DF">
        <w:rPr>
          <w:rFonts w:ascii="Times New Roman" w:hAnsi="Times New Roman" w:cs="Times New Roman"/>
          <w:i/>
          <w:iCs/>
          <w:lang w:val="en-US"/>
        </w:rPr>
        <w:t>3.3 Path Coefficient Analysis</w:t>
      </w:r>
    </w:p>
    <w:p w14:paraId="2BD3E2FD" w14:textId="77777777" w:rsidR="00540ACC" w:rsidRPr="008F68DF" w:rsidRDefault="00540ACC" w:rsidP="00540ACC">
      <w:pPr>
        <w:spacing w:line="360" w:lineRule="auto"/>
        <w:jc w:val="both"/>
        <w:rPr>
          <w:rFonts w:ascii="Times New Roman" w:hAnsi="Times New Roman" w:cs="Times New Roman"/>
        </w:rPr>
      </w:pPr>
      <w:r w:rsidRPr="008F68DF">
        <w:rPr>
          <w:rFonts w:ascii="Times New Roman" w:hAnsi="Times New Roman" w:cs="Times New Roman"/>
          <w:lang w:val="en-US"/>
        </w:rPr>
        <w:tab/>
      </w:r>
      <w:r w:rsidRPr="008F68DF">
        <w:rPr>
          <w:rFonts w:ascii="Times New Roman" w:hAnsi="Times New Roman" w:cs="Times New Roman"/>
        </w:rPr>
        <w:t xml:space="preserve">Path coefficient analysis was performed to partition the correlation coefficients into direct and indirect effects on seed yield per plant, and the </w:t>
      </w:r>
      <w:r w:rsidR="009537BC" w:rsidRPr="008F68DF">
        <w:rPr>
          <w:rFonts w:ascii="Times New Roman" w:hAnsi="Times New Roman" w:cs="Times New Roman"/>
        </w:rPr>
        <w:t>results are presented in Table. 3</w:t>
      </w:r>
      <w:r w:rsidRPr="008F68DF">
        <w:rPr>
          <w:rFonts w:ascii="Times New Roman" w:hAnsi="Times New Roman" w:cs="Times New Roman"/>
        </w:rPr>
        <w:t>.</w:t>
      </w:r>
    </w:p>
    <w:p w14:paraId="7AB7D701"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Biological yield per plant exhibited the highest positive direct effect on seed yield, confirming its key role in yield determination and explaining its strong correlation with seed yield. Harvest index, length of inflorescence and girth of inflorescence also showed positive direct effects, indicating the importance of efficient assimilate partitioning and inflorescence development in improving yield.</w:t>
      </w:r>
    </w:p>
    <w:p w14:paraId="79C02C0F"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lastRenderedPageBreak/>
        <w:t>Plant height showed a moderate positive direct effect on seed yield along with strong indirect effects via biological yield and inflorescence traits, suggesting that taller plants favor higher biomass and yield. Number of branches per plant and number of inflorescences per plant contributed mainly through indirect effects, particularly via biological yield, highlighting their supportive role in yield formation.</w:t>
      </w:r>
    </w:p>
    <w:p w14:paraId="5C672E76" w14:textId="77777777" w:rsidR="00540ACC" w:rsidRPr="008F68DF"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Days to maturity influenced seed yield largely through positive indirect effects, reflecting the advantage of adequate crop duration for biomass accumulation. In contrast, lysine and saponin contents had negligible direct effects, indicating that improvement of nutritional quality traits is possible without compromising yield.</w:t>
      </w:r>
    </w:p>
    <w:p w14:paraId="7D6E5E2C" w14:textId="77777777" w:rsidR="00540ACC" w:rsidRDefault="00540ACC" w:rsidP="00540ACC">
      <w:pPr>
        <w:spacing w:line="360" w:lineRule="auto"/>
        <w:ind w:firstLine="720"/>
        <w:jc w:val="both"/>
        <w:rPr>
          <w:rFonts w:ascii="Times New Roman" w:hAnsi="Times New Roman" w:cs="Times New Roman"/>
          <w:lang w:val="en-US"/>
        </w:rPr>
      </w:pPr>
      <w:r w:rsidRPr="008F68DF">
        <w:rPr>
          <w:rFonts w:ascii="Times New Roman" w:hAnsi="Times New Roman" w:cs="Times New Roman"/>
          <w:lang w:val="en-US"/>
        </w:rPr>
        <w:t>Overall, the path analysis identifies biological yield per plant as the most decisive selection criterion, supported by harvest index and inflorescence traits, for effective improvement of seed yield in quinoa.</w:t>
      </w:r>
    </w:p>
    <w:p w14:paraId="0E1FC11D" w14:textId="77777777" w:rsidR="00AC723E" w:rsidRPr="00AC723E" w:rsidRDefault="00AC723E" w:rsidP="00AC723E">
      <w:pPr>
        <w:spacing w:after="0" w:line="360" w:lineRule="auto"/>
        <w:jc w:val="both"/>
        <w:rPr>
          <w:rFonts w:ascii="Times New Roman" w:hAnsi="Times New Roman" w:cs="Times New Roman"/>
          <w:lang w:val="en-US"/>
        </w:rPr>
      </w:pPr>
      <w:r w:rsidRPr="00AC723E">
        <w:rPr>
          <w:rFonts w:ascii="Times New Roman" w:hAnsi="Times New Roman" w:cs="Times New Roman"/>
          <w:b/>
          <w:bCs/>
          <w:color w:val="000000" w:themeColor="text1"/>
          <w:sz w:val="24"/>
          <w:szCs w:val="24"/>
        </w:rPr>
        <w:t>Table 3.</w:t>
      </w:r>
      <w:r w:rsidRPr="00AC723E">
        <w:rPr>
          <w:rFonts w:ascii="Times New Roman" w:hAnsi="Times New Roman" w:cs="Times New Roman"/>
          <w:color w:val="000000" w:themeColor="text1"/>
          <w:sz w:val="24"/>
          <w:szCs w:val="24"/>
        </w:rPr>
        <w:t xml:space="preserve"> Direct and indirect effect of yield component on seed yield per plant in quinoa</w:t>
      </w:r>
    </w:p>
    <w:tbl>
      <w:tblPr>
        <w:tblStyle w:val="TableGrid"/>
        <w:tblW w:w="5000" w:type="pct"/>
        <w:tblLook w:val="04A0" w:firstRow="1" w:lastRow="0" w:firstColumn="1" w:lastColumn="0" w:noHBand="0" w:noVBand="1"/>
      </w:tblPr>
      <w:tblGrid>
        <w:gridCol w:w="680"/>
        <w:gridCol w:w="586"/>
        <w:gridCol w:w="586"/>
        <w:gridCol w:w="585"/>
        <w:gridCol w:w="679"/>
        <w:gridCol w:w="630"/>
        <w:gridCol w:w="585"/>
        <w:gridCol w:w="585"/>
        <w:gridCol w:w="679"/>
        <w:gridCol w:w="585"/>
        <w:gridCol w:w="585"/>
        <w:gridCol w:w="591"/>
        <w:gridCol w:w="585"/>
        <w:gridCol w:w="585"/>
        <w:gridCol w:w="1050"/>
      </w:tblGrid>
      <w:tr w:rsidR="00AC723E" w:rsidRPr="00673B58" w14:paraId="534C3E0A" w14:textId="77777777" w:rsidTr="00D70BB5">
        <w:trPr>
          <w:trHeight w:val="6"/>
        </w:trPr>
        <w:tc>
          <w:tcPr>
            <w:tcW w:w="355" w:type="pct"/>
            <w:noWrap/>
            <w:hideMark/>
          </w:tcPr>
          <w:p w14:paraId="73402436"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p>
        </w:tc>
        <w:tc>
          <w:tcPr>
            <w:tcW w:w="489" w:type="pct"/>
            <w:noWrap/>
            <w:hideMark/>
          </w:tcPr>
          <w:p w14:paraId="7EBA3209"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DF</w:t>
            </w:r>
          </w:p>
        </w:tc>
        <w:tc>
          <w:tcPr>
            <w:tcW w:w="123" w:type="pct"/>
            <w:noWrap/>
            <w:hideMark/>
          </w:tcPr>
          <w:p w14:paraId="481E7E60"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DM</w:t>
            </w:r>
          </w:p>
        </w:tc>
        <w:tc>
          <w:tcPr>
            <w:tcW w:w="305" w:type="pct"/>
            <w:noWrap/>
            <w:hideMark/>
          </w:tcPr>
          <w:p w14:paraId="54E3137F"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PH</w:t>
            </w:r>
          </w:p>
        </w:tc>
        <w:tc>
          <w:tcPr>
            <w:tcW w:w="355" w:type="pct"/>
            <w:noWrap/>
            <w:hideMark/>
          </w:tcPr>
          <w:p w14:paraId="266FDB2F"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NBPP</w:t>
            </w:r>
          </w:p>
        </w:tc>
        <w:tc>
          <w:tcPr>
            <w:tcW w:w="329" w:type="pct"/>
            <w:noWrap/>
            <w:hideMark/>
          </w:tcPr>
          <w:p w14:paraId="2C387111"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NIPP</w:t>
            </w:r>
          </w:p>
        </w:tc>
        <w:tc>
          <w:tcPr>
            <w:tcW w:w="305" w:type="pct"/>
            <w:noWrap/>
            <w:hideMark/>
          </w:tcPr>
          <w:p w14:paraId="0C566E99"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LI</w:t>
            </w:r>
          </w:p>
        </w:tc>
        <w:tc>
          <w:tcPr>
            <w:tcW w:w="305" w:type="pct"/>
            <w:noWrap/>
            <w:hideMark/>
          </w:tcPr>
          <w:p w14:paraId="6ADD99C1"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GI</w:t>
            </w:r>
          </w:p>
        </w:tc>
        <w:tc>
          <w:tcPr>
            <w:tcW w:w="355" w:type="pct"/>
            <w:noWrap/>
            <w:hideMark/>
          </w:tcPr>
          <w:p w14:paraId="52606777"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BYPP</w:t>
            </w:r>
          </w:p>
        </w:tc>
        <w:tc>
          <w:tcPr>
            <w:tcW w:w="305" w:type="pct"/>
            <w:noWrap/>
            <w:hideMark/>
          </w:tcPr>
          <w:p w14:paraId="576E1EDD"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TW</w:t>
            </w:r>
          </w:p>
        </w:tc>
        <w:tc>
          <w:tcPr>
            <w:tcW w:w="305" w:type="pct"/>
            <w:noWrap/>
            <w:hideMark/>
          </w:tcPr>
          <w:p w14:paraId="36A2EDEF"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HI</w:t>
            </w:r>
          </w:p>
        </w:tc>
        <w:tc>
          <w:tcPr>
            <w:tcW w:w="309" w:type="pct"/>
            <w:noWrap/>
            <w:hideMark/>
          </w:tcPr>
          <w:p w14:paraId="238EC803"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PRO</w:t>
            </w:r>
          </w:p>
        </w:tc>
        <w:tc>
          <w:tcPr>
            <w:tcW w:w="305" w:type="pct"/>
            <w:noWrap/>
            <w:hideMark/>
          </w:tcPr>
          <w:p w14:paraId="379BDAEE"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LYS</w:t>
            </w:r>
          </w:p>
        </w:tc>
        <w:tc>
          <w:tcPr>
            <w:tcW w:w="305" w:type="pct"/>
            <w:noWrap/>
            <w:hideMark/>
          </w:tcPr>
          <w:p w14:paraId="712AAD02"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SAP</w:t>
            </w:r>
          </w:p>
        </w:tc>
        <w:tc>
          <w:tcPr>
            <w:tcW w:w="548" w:type="pct"/>
          </w:tcPr>
          <w:p w14:paraId="0D3C09AF"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Genotypic correlation with SYPP</w:t>
            </w:r>
          </w:p>
        </w:tc>
      </w:tr>
      <w:tr w:rsidR="00AC723E" w:rsidRPr="00673B58" w14:paraId="1F03B396" w14:textId="77777777" w:rsidTr="00D70BB5">
        <w:trPr>
          <w:trHeight w:val="6"/>
        </w:trPr>
        <w:tc>
          <w:tcPr>
            <w:tcW w:w="355" w:type="pct"/>
            <w:noWrap/>
            <w:hideMark/>
          </w:tcPr>
          <w:p w14:paraId="2EF4D9B4"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DF</w:t>
            </w:r>
          </w:p>
        </w:tc>
        <w:tc>
          <w:tcPr>
            <w:tcW w:w="489" w:type="pct"/>
            <w:noWrap/>
            <w:hideMark/>
          </w:tcPr>
          <w:p w14:paraId="0250A097"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-0.42</w:t>
            </w:r>
          </w:p>
        </w:tc>
        <w:tc>
          <w:tcPr>
            <w:tcW w:w="123" w:type="pct"/>
            <w:noWrap/>
            <w:hideMark/>
          </w:tcPr>
          <w:p w14:paraId="6A2D7E4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6E53015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-0.14</w:t>
            </w:r>
          </w:p>
        </w:tc>
        <w:tc>
          <w:tcPr>
            <w:tcW w:w="355" w:type="pct"/>
            <w:noWrap/>
            <w:hideMark/>
          </w:tcPr>
          <w:p w14:paraId="0167BF1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0.18</w:t>
            </w:r>
          </w:p>
        </w:tc>
        <w:tc>
          <w:tcPr>
            <w:tcW w:w="329" w:type="pct"/>
            <w:noWrap/>
            <w:hideMark/>
          </w:tcPr>
          <w:p w14:paraId="041A0C9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76623B7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319079E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0.11</w:t>
            </w:r>
          </w:p>
        </w:tc>
        <w:tc>
          <w:tcPr>
            <w:tcW w:w="355" w:type="pct"/>
            <w:noWrap/>
            <w:hideMark/>
          </w:tcPr>
          <w:p w14:paraId="0EA0EDD5"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4ED0BB3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38AB786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0.47</w:t>
            </w:r>
          </w:p>
        </w:tc>
        <w:tc>
          <w:tcPr>
            <w:tcW w:w="309" w:type="pct"/>
            <w:noWrap/>
            <w:hideMark/>
          </w:tcPr>
          <w:p w14:paraId="253733E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0.13</w:t>
            </w:r>
          </w:p>
        </w:tc>
        <w:tc>
          <w:tcPr>
            <w:tcW w:w="305" w:type="pct"/>
            <w:noWrap/>
            <w:hideMark/>
          </w:tcPr>
          <w:p w14:paraId="51CF040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0DD9611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548" w:type="pct"/>
          </w:tcPr>
          <w:p w14:paraId="676EC18A"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0.24</w:t>
            </w:r>
          </w:p>
        </w:tc>
      </w:tr>
      <w:tr w:rsidR="00AC723E" w:rsidRPr="00673B58" w14:paraId="75727205" w14:textId="77777777" w:rsidTr="00D70BB5">
        <w:trPr>
          <w:trHeight w:val="6"/>
        </w:trPr>
        <w:tc>
          <w:tcPr>
            <w:tcW w:w="355" w:type="pct"/>
            <w:noWrap/>
            <w:hideMark/>
          </w:tcPr>
          <w:p w14:paraId="6C0D3CE8"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DM</w:t>
            </w:r>
          </w:p>
        </w:tc>
        <w:tc>
          <w:tcPr>
            <w:tcW w:w="489" w:type="pct"/>
            <w:noWrap/>
            <w:hideMark/>
          </w:tcPr>
          <w:p w14:paraId="52E6920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-0.14</w:t>
            </w:r>
          </w:p>
        </w:tc>
        <w:tc>
          <w:tcPr>
            <w:tcW w:w="123" w:type="pct"/>
            <w:noWrap/>
            <w:hideMark/>
          </w:tcPr>
          <w:p w14:paraId="727E1400"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-0.06</w:t>
            </w:r>
          </w:p>
        </w:tc>
        <w:tc>
          <w:tcPr>
            <w:tcW w:w="305" w:type="pct"/>
            <w:noWrap/>
            <w:hideMark/>
          </w:tcPr>
          <w:p w14:paraId="69D239E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-0.19</w:t>
            </w:r>
          </w:p>
        </w:tc>
        <w:tc>
          <w:tcPr>
            <w:tcW w:w="355" w:type="pct"/>
            <w:noWrap/>
            <w:hideMark/>
          </w:tcPr>
          <w:p w14:paraId="4105826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0.28</w:t>
            </w:r>
          </w:p>
        </w:tc>
        <w:tc>
          <w:tcPr>
            <w:tcW w:w="329" w:type="pct"/>
            <w:noWrap/>
            <w:hideMark/>
          </w:tcPr>
          <w:p w14:paraId="0B69926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-0.10</w:t>
            </w:r>
          </w:p>
        </w:tc>
        <w:tc>
          <w:tcPr>
            <w:tcW w:w="305" w:type="pct"/>
            <w:noWrap/>
            <w:hideMark/>
          </w:tcPr>
          <w:p w14:paraId="6C23189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-0.35</w:t>
            </w:r>
          </w:p>
        </w:tc>
        <w:tc>
          <w:tcPr>
            <w:tcW w:w="305" w:type="pct"/>
            <w:noWrap/>
            <w:hideMark/>
          </w:tcPr>
          <w:p w14:paraId="1974480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0.30</w:t>
            </w:r>
          </w:p>
        </w:tc>
        <w:tc>
          <w:tcPr>
            <w:tcW w:w="355" w:type="pct"/>
            <w:noWrap/>
            <w:hideMark/>
          </w:tcPr>
          <w:p w14:paraId="1CFB29B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0.25</w:t>
            </w:r>
          </w:p>
        </w:tc>
        <w:tc>
          <w:tcPr>
            <w:tcW w:w="305" w:type="pct"/>
            <w:noWrap/>
            <w:hideMark/>
          </w:tcPr>
          <w:p w14:paraId="6A7BA1F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2401C78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0.53</w:t>
            </w:r>
          </w:p>
        </w:tc>
        <w:tc>
          <w:tcPr>
            <w:tcW w:w="309" w:type="pct"/>
            <w:noWrap/>
            <w:hideMark/>
          </w:tcPr>
          <w:p w14:paraId="734FE8A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05" w:type="pct"/>
            <w:noWrap/>
            <w:hideMark/>
          </w:tcPr>
          <w:p w14:paraId="5B9DE08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52BB975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548" w:type="pct"/>
          </w:tcPr>
          <w:p w14:paraId="01AA184A"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0.60**</w:t>
            </w:r>
          </w:p>
        </w:tc>
      </w:tr>
      <w:tr w:rsidR="00AC723E" w:rsidRPr="00673B58" w14:paraId="2091A90F" w14:textId="77777777" w:rsidTr="00D70BB5">
        <w:trPr>
          <w:trHeight w:val="6"/>
        </w:trPr>
        <w:tc>
          <w:tcPr>
            <w:tcW w:w="355" w:type="pct"/>
            <w:noWrap/>
            <w:hideMark/>
          </w:tcPr>
          <w:p w14:paraId="428D314A"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PH</w:t>
            </w:r>
          </w:p>
        </w:tc>
        <w:tc>
          <w:tcPr>
            <w:tcW w:w="489" w:type="pct"/>
            <w:noWrap/>
            <w:hideMark/>
          </w:tcPr>
          <w:p w14:paraId="3DA8B27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-0.23</w:t>
            </w:r>
          </w:p>
        </w:tc>
        <w:tc>
          <w:tcPr>
            <w:tcW w:w="123" w:type="pct"/>
            <w:noWrap/>
            <w:hideMark/>
          </w:tcPr>
          <w:p w14:paraId="0BD4074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60280C87"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-0.26</w:t>
            </w:r>
          </w:p>
        </w:tc>
        <w:tc>
          <w:tcPr>
            <w:tcW w:w="355" w:type="pct"/>
            <w:noWrap/>
            <w:hideMark/>
          </w:tcPr>
          <w:p w14:paraId="7B7579C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0.47</w:t>
            </w:r>
          </w:p>
        </w:tc>
        <w:tc>
          <w:tcPr>
            <w:tcW w:w="329" w:type="pct"/>
            <w:noWrap/>
            <w:hideMark/>
          </w:tcPr>
          <w:p w14:paraId="64CE706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-0.15</w:t>
            </w:r>
          </w:p>
        </w:tc>
        <w:tc>
          <w:tcPr>
            <w:tcW w:w="305" w:type="pct"/>
            <w:noWrap/>
            <w:hideMark/>
          </w:tcPr>
          <w:p w14:paraId="5EBA416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-0.43</w:t>
            </w:r>
          </w:p>
        </w:tc>
        <w:tc>
          <w:tcPr>
            <w:tcW w:w="305" w:type="pct"/>
            <w:noWrap/>
            <w:hideMark/>
          </w:tcPr>
          <w:p w14:paraId="2A6B280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0.16</w:t>
            </w:r>
          </w:p>
        </w:tc>
        <w:tc>
          <w:tcPr>
            <w:tcW w:w="355" w:type="pct"/>
            <w:noWrap/>
            <w:hideMark/>
          </w:tcPr>
          <w:p w14:paraId="6BEAEC0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0.22</w:t>
            </w:r>
          </w:p>
        </w:tc>
        <w:tc>
          <w:tcPr>
            <w:tcW w:w="305" w:type="pct"/>
            <w:noWrap/>
            <w:hideMark/>
          </w:tcPr>
          <w:p w14:paraId="2E6CD84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20B2D83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0.79</w:t>
            </w:r>
          </w:p>
        </w:tc>
        <w:tc>
          <w:tcPr>
            <w:tcW w:w="309" w:type="pct"/>
            <w:noWrap/>
            <w:hideMark/>
          </w:tcPr>
          <w:p w14:paraId="081D927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0.09</w:t>
            </w:r>
          </w:p>
        </w:tc>
        <w:tc>
          <w:tcPr>
            <w:tcW w:w="305" w:type="pct"/>
            <w:noWrap/>
            <w:hideMark/>
          </w:tcPr>
          <w:p w14:paraId="7187D86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0386FCE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548" w:type="pct"/>
          </w:tcPr>
          <w:p w14:paraId="6CA211CC"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0.60**</w:t>
            </w:r>
          </w:p>
        </w:tc>
      </w:tr>
      <w:tr w:rsidR="00AC723E" w:rsidRPr="00673B58" w14:paraId="336A731D" w14:textId="77777777" w:rsidTr="00D70BB5">
        <w:trPr>
          <w:trHeight w:val="6"/>
        </w:trPr>
        <w:tc>
          <w:tcPr>
            <w:tcW w:w="355" w:type="pct"/>
            <w:noWrap/>
            <w:hideMark/>
          </w:tcPr>
          <w:p w14:paraId="0F0F784C"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NBPP</w:t>
            </w:r>
          </w:p>
        </w:tc>
        <w:tc>
          <w:tcPr>
            <w:tcW w:w="489" w:type="pct"/>
            <w:noWrap/>
            <w:hideMark/>
          </w:tcPr>
          <w:p w14:paraId="5F86B8E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-0.08</w:t>
            </w:r>
          </w:p>
        </w:tc>
        <w:tc>
          <w:tcPr>
            <w:tcW w:w="123" w:type="pct"/>
            <w:noWrap/>
            <w:hideMark/>
          </w:tcPr>
          <w:p w14:paraId="4E703FB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434972D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-0.13</w:t>
            </w:r>
          </w:p>
        </w:tc>
        <w:tc>
          <w:tcPr>
            <w:tcW w:w="355" w:type="pct"/>
            <w:noWrap/>
            <w:hideMark/>
          </w:tcPr>
          <w:p w14:paraId="73C6E197"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0.94</w:t>
            </w:r>
          </w:p>
        </w:tc>
        <w:tc>
          <w:tcPr>
            <w:tcW w:w="329" w:type="pct"/>
            <w:noWrap/>
            <w:hideMark/>
          </w:tcPr>
          <w:p w14:paraId="2FC94F0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-0.29</w:t>
            </w:r>
          </w:p>
        </w:tc>
        <w:tc>
          <w:tcPr>
            <w:tcW w:w="305" w:type="pct"/>
            <w:noWrap/>
            <w:hideMark/>
          </w:tcPr>
          <w:p w14:paraId="58E8714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-0.44</w:t>
            </w:r>
          </w:p>
        </w:tc>
        <w:tc>
          <w:tcPr>
            <w:tcW w:w="305" w:type="pct"/>
            <w:noWrap/>
            <w:hideMark/>
          </w:tcPr>
          <w:p w14:paraId="684E155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55" w:type="pct"/>
            <w:noWrap/>
            <w:hideMark/>
          </w:tcPr>
          <w:p w14:paraId="1696A4E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0.16</w:t>
            </w:r>
          </w:p>
        </w:tc>
        <w:tc>
          <w:tcPr>
            <w:tcW w:w="305" w:type="pct"/>
            <w:noWrap/>
            <w:hideMark/>
          </w:tcPr>
          <w:p w14:paraId="2C41A92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6E04336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0.28</w:t>
            </w:r>
          </w:p>
        </w:tc>
        <w:tc>
          <w:tcPr>
            <w:tcW w:w="309" w:type="pct"/>
            <w:noWrap/>
            <w:hideMark/>
          </w:tcPr>
          <w:p w14:paraId="32360E7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5ED6408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5C774015"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548" w:type="pct"/>
          </w:tcPr>
          <w:p w14:paraId="65E23DD1"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0.47**</w:t>
            </w:r>
          </w:p>
        </w:tc>
      </w:tr>
      <w:tr w:rsidR="00AC723E" w:rsidRPr="00673B58" w14:paraId="2815BFCD" w14:textId="77777777" w:rsidTr="00D70BB5">
        <w:trPr>
          <w:trHeight w:val="6"/>
        </w:trPr>
        <w:tc>
          <w:tcPr>
            <w:tcW w:w="355" w:type="pct"/>
            <w:noWrap/>
            <w:hideMark/>
          </w:tcPr>
          <w:p w14:paraId="15CEE080"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NIPP</w:t>
            </w:r>
          </w:p>
        </w:tc>
        <w:tc>
          <w:tcPr>
            <w:tcW w:w="489" w:type="pct"/>
            <w:noWrap/>
            <w:hideMark/>
          </w:tcPr>
          <w:p w14:paraId="3C87547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123" w:type="pct"/>
            <w:noWrap/>
            <w:hideMark/>
          </w:tcPr>
          <w:p w14:paraId="2EC0E58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3933172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-0.12</w:t>
            </w:r>
          </w:p>
        </w:tc>
        <w:tc>
          <w:tcPr>
            <w:tcW w:w="355" w:type="pct"/>
            <w:noWrap/>
            <w:hideMark/>
          </w:tcPr>
          <w:p w14:paraId="780C379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0.80</w:t>
            </w:r>
          </w:p>
        </w:tc>
        <w:tc>
          <w:tcPr>
            <w:tcW w:w="329" w:type="pct"/>
            <w:noWrap/>
            <w:hideMark/>
          </w:tcPr>
          <w:p w14:paraId="07BC8DF2"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-0.34</w:t>
            </w:r>
          </w:p>
        </w:tc>
        <w:tc>
          <w:tcPr>
            <w:tcW w:w="305" w:type="pct"/>
            <w:noWrap/>
            <w:hideMark/>
          </w:tcPr>
          <w:p w14:paraId="679E2F7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-0.36</w:t>
            </w:r>
          </w:p>
        </w:tc>
        <w:tc>
          <w:tcPr>
            <w:tcW w:w="305" w:type="pct"/>
            <w:noWrap/>
            <w:hideMark/>
          </w:tcPr>
          <w:p w14:paraId="3A90BF8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55" w:type="pct"/>
            <w:noWrap/>
            <w:hideMark/>
          </w:tcPr>
          <w:p w14:paraId="5E1168B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0.12</w:t>
            </w:r>
          </w:p>
        </w:tc>
        <w:tc>
          <w:tcPr>
            <w:tcW w:w="305" w:type="pct"/>
            <w:noWrap/>
            <w:hideMark/>
          </w:tcPr>
          <w:p w14:paraId="5CEA8B1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2CE7F3E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0.28</w:t>
            </w:r>
          </w:p>
        </w:tc>
        <w:tc>
          <w:tcPr>
            <w:tcW w:w="309" w:type="pct"/>
            <w:noWrap/>
            <w:hideMark/>
          </w:tcPr>
          <w:p w14:paraId="59850EB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6092002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5C1CE68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548" w:type="pct"/>
          </w:tcPr>
          <w:p w14:paraId="5BC4CDBD"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0.37*</w:t>
            </w:r>
          </w:p>
        </w:tc>
      </w:tr>
      <w:tr w:rsidR="00AC723E" w:rsidRPr="00673B58" w14:paraId="0AC61FD1" w14:textId="77777777" w:rsidTr="00D70BB5">
        <w:trPr>
          <w:trHeight w:val="6"/>
        </w:trPr>
        <w:tc>
          <w:tcPr>
            <w:tcW w:w="355" w:type="pct"/>
            <w:noWrap/>
            <w:hideMark/>
          </w:tcPr>
          <w:p w14:paraId="656BE3C7"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LI</w:t>
            </w:r>
          </w:p>
        </w:tc>
        <w:tc>
          <w:tcPr>
            <w:tcW w:w="489" w:type="pct"/>
            <w:noWrap/>
            <w:hideMark/>
          </w:tcPr>
          <w:p w14:paraId="770E2DF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123" w:type="pct"/>
            <w:noWrap/>
            <w:hideMark/>
          </w:tcPr>
          <w:p w14:paraId="76076E45"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305" w:type="pct"/>
            <w:noWrap/>
            <w:hideMark/>
          </w:tcPr>
          <w:p w14:paraId="161E36C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-0.17</w:t>
            </w:r>
          </w:p>
        </w:tc>
        <w:tc>
          <w:tcPr>
            <w:tcW w:w="355" w:type="pct"/>
            <w:noWrap/>
            <w:hideMark/>
          </w:tcPr>
          <w:p w14:paraId="2028C89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0.62</w:t>
            </w:r>
          </w:p>
        </w:tc>
        <w:tc>
          <w:tcPr>
            <w:tcW w:w="329" w:type="pct"/>
            <w:noWrap/>
            <w:hideMark/>
          </w:tcPr>
          <w:p w14:paraId="57A4F1B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-0.18</w:t>
            </w:r>
          </w:p>
        </w:tc>
        <w:tc>
          <w:tcPr>
            <w:tcW w:w="305" w:type="pct"/>
            <w:noWrap/>
            <w:hideMark/>
          </w:tcPr>
          <w:p w14:paraId="6DDA1302"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-0.66</w:t>
            </w:r>
          </w:p>
        </w:tc>
        <w:tc>
          <w:tcPr>
            <w:tcW w:w="305" w:type="pct"/>
            <w:noWrap/>
            <w:hideMark/>
          </w:tcPr>
          <w:p w14:paraId="6218148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0.14</w:t>
            </w:r>
          </w:p>
        </w:tc>
        <w:tc>
          <w:tcPr>
            <w:tcW w:w="355" w:type="pct"/>
            <w:noWrap/>
            <w:hideMark/>
          </w:tcPr>
          <w:p w14:paraId="50D8995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0.28</w:t>
            </w:r>
          </w:p>
        </w:tc>
        <w:tc>
          <w:tcPr>
            <w:tcW w:w="305" w:type="pct"/>
            <w:noWrap/>
            <w:hideMark/>
          </w:tcPr>
          <w:p w14:paraId="207EB88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387AEA4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0.60</w:t>
            </w:r>
          </w:p>
        </w:tc>
        <w:tc>
          <w:tcPr>
            <w:tcW w:w="309" w:type="pct"/>
            <w:noWrap/>
            <w:hideMark/>
          </w:tcPr>
          <w:p w14:paraId="5E7AF66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2E4B4E8B"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1A10F9C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548" w:type="pct"/>
          </w:tcPr>
          <w:p w14:paraId="184ADB27"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0.70**</w:t>
            </w:r>
          </w:p>
        </w:tc>
      </w:tr>
      <w:tr w:rsidR="00AC723E" w:rsidRPr="00673B58" w14:paraId="037521DC" w14:textId="77777777" w:rsidTr="00D70BB5">
        <w:trPr>
          <w:trHeight w:val="6"/>
        </w:trPr>
        <w:tc>
          <w:tcPr>
            <w:tcW w:w="355" w:type="pct"/>
            <w:noWrap/>
            <w:hideMark/>
          </w:tcPr>
          <w:p w14:paraId="6DBF54B0"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GI</w:t>
            </w:r>
          </w:p>
        </w:tc>
        <w:tc>
          <w:tcPr>
            <w:tcW w:w="489" w:type="pct"/>
            <w:noWrap/>
            <w:hideMark/>
          </w:tcPr>
          <w:p w14:paraId="6020D3E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-0.07</w:t>
            </w:r>
          </w:p>
        </w:tc>
        <w:tc>
          <w:tcPr>
            <w:tcW w:w="123" w:type="pct"/>
            <w:noWrap/>
            <w:hideMark/>
          </w:tcPr>
          <w:p w14:paraId="666D46F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305" w:type="pct"/>
            <w:noWrap/>
            <w:hideMark/>
          </w:tcPr>
          <w:p w14:paraId="09483E9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55" w:type="pct"/>
            <w:noWrap/>
            <w:hideMark/>
          </w:tcPr>
          <w:p w14:paraId="3396A81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29" w:type="pct"/>
            <w:noWrap/>
            <w:hideMark/>
          </w:tcPr>
          <w:p w14:paraId="35BB1D6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6664925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-0.15</w:t>
            </w:r>
          </w:p>
        </w:tc>
        <w:tc>
          <w:tcPr>
            <w:tcW w:w="305" w:type="pct"/>
            <w:noWrap/>
            <w:hideMark/>
          </w:tcPr>
          <w:p w14:paraId="3B50340F"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0.64</w:t>
            </w:r>
          </w:p>
        </w:tc>
        <w:tc>
          <w:tcPr>
            <w:tcW w:w="355" w:type="pct"/>
            <w:noWrap/>
            <w:hideMark/>
          </w:tcPr>
          <w:p w14:paraId="0EE9EC5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0.37</w:t>
            </w:r>
          </w:p>
        </w:tc>
        <w:tc>
          <w:tcPr>
            <w:tcW w:w="305" w:type="pct"/>
            <w:noWrap/>
            <w:hideMark/>
          </w:tcPr>
          <w:p w14:paraId="3F1D2EC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5D9892A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-0.13</w:t>
            </w:r>
          </w:p>
        </w:tc>
        <w:tc>
          <w:tcPr>
            <w:tcW w:w="309" w:type="pct"/>
            <w:noWrap/>
            <w:hideMark/>
          </w:tcPr>
          <w:p w14:paraId="4140303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5686BCB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0A02B9A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548" w:type="pct"/>
          </w:tcPr>
          <w:p w14:paraId="25994191"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0.66**</w:t>
            </w:r>
          </w:p>
        </w:tc>
      </w:tr>
      <w:tr w:rsidR="00AC723E" w:rsidRPr="00673B58" w14:paraId="7237444E" w14:textId="77777777" w:rsidTr="00D70BB5">
        <w:trPr>
          <w:trHeight w:val="6"/>
        </w:trPr>
        <w:tc>
          <w:tcPr>
            <w:tcW w:w="355" w:type="pct"/>
            <w:noWrap/>
            <w:hideMark/>
          </w:tcPr>
          <w:p w14:paraId="3FA0A1A8"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BYPP</w:t>
            </w:r>
          </w:p>
        </w:tc>
        <w:tc>
          <w:tcPr>
            <w:tcW w:w="489" w:type="pct"/>
            <w:noWrap/>
            <w:hideMark/>
          </w:tcPr>
          <w:p w14:paraId="10666E5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w:t>
            </w:r>
            <w:r w:rsidRPr="00673B58">
              <w:rPr>
                <w:rFonts w:ascii="Times New Roman" w:hAnsi="Times New Roman" w:cs="Times New Roman"/>
                <w:color w:val="000000" w:themeColor="text1"/>
                <w:sz w:val="24"/>
                <w:szCs w:val="24"/>
              </w:rPr>
              <w:lastRenderedPageBreak/>
              <w:t>1</w:t>
            </w:r>
          </w:p>
        </w:tc>
        <w:tc>
          <w:tcPr>
            <w:tcW w:w="123" w:type="pct"/>
            <w:noWrap/>
            <w:hideMark/>
          </w:tcPr>
          <w:p w14:paraId="44A4D8C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lastRenderedPageBreak/>
              <w:t>-0.0</w:t>
            </w:r>
            <w:r w:rsidRPr="00673B58">
              <w:rPr>
                <w:rFonts w:ascii="Times New Roman" w:hAnsi="Times New Roman" w:cs="Times New Roman"/>
                <w:color w:val="000000" w:themeColor="text1"/>
                <w:sz w:val="24"/>
                <w:szCs w:val="24"/>
              </w:rPr>
              <w:lastRenderedPageBreak/>
              <w:t>3</w:t>
            </w:r>
          </w:p>
        </w:tc>
        <w:tc>
          <w:tcPr>
            <w:tcW w:w="305" w:type="pct"/>
            <w:noWrap/>
            <w:hideMark/>
          </w:tcPr>
          <w:p w14:paraId="031E035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lastRenderedPageBreak/>
              <w:t>-0.1</w:t>
            </w:r>
            <w:r w:rsidRPr="00673B58">
              <w:rPr>
                <w:rFonts w:ascii="Times New Roman" w:hAnsi="Times New Roman" w:cs="Times New Roman"/>
                <w:color w:val="000000" w:themeColor="text1"/>
                <w:sz w:val="24"/>
                <w:szCs w:val="24"/>
              </w:rPr>
              <w:lastRenderedPageBreak/>
              <w:t>0</w:t>
            </w:r>
          </w:p>
        </w:tc>
        <w:tc>
          <w:tcPr>
            <w:tcW w:w="355" w:type="pct"/>
            <w:noWrap/>
            <w:hideMark/>
          </w:tcPr>
          <w:p w14:paraId="31731CC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lastRenderedPageBreak/>
              <w:t>0.27</w:t>
            </w:r>
          </w:p>
        </w:tc>
        <w:tc>
          <w:tcPr>
            <w:tcW w:w="329" w:type="pct"/>
            <w:noWrap/>
            <w:hideMark/>
          </w:tcPr>
          <w:p w14:paraId="28233DD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w:t>
            </w:r>
            <w:r w:rsidRPr="00673B58">
              <w:rPr>
                <w:rFonts w:ascii="Times New Roman" w:hAnsi="Times New Roman" w:cs="Times New Roman"/>
                <w:color w:val="000000" w:themeColor="text1"/>
                <w:sz w:val="24"/>
                <w:szCs w:val="24"/>
              </w:rPr>
              <w:lastRenderedPageBreak/>
              <w:t>8</w:t>
            </w:r>
          </w:p>
        </w:tc>
        <w:tc>
          <w:tcPr>
            <w:tcW w:w="305" w:type="pct"/>
            <w:noWrap/>
            <w:hideMark/>
          </w:tcPr>
          <w:p w14:paraId="6B08E34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lastRenderedPageBreak/>
              <w:t>-0.3</w:t>
            </w:r>
            <w:r w:rsidRPr="00673B58">
              <w:rPr>
                <w:rFonts w:ascii="Times New Roman" w:hAnsi="Times New Roman" w:cs="Times New Roman"/>
                <w:color w:val="000000" w:themeColor="text1"/>
                <w:sz w:val="24"/>
                <w:szCs w:val="24"/>
              </w:rPr>
              <w:lastRenderedPageBreak/>
              <w:t>5</w:t>
            </w:r>
          </w:p>
        </w:tc>
        <w:tc>
          <w:tcPr>
            <w:tcW w:w="305" w:type="pct"/>
            <w:noWrap/>
            <w:hideMark/>
          </w:tcPr>
          <w:p w14:paraId="4F0524F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lastRenderedPageBreak/>
              <w:t>0.45</w:t>
            </w:r>
          </w:p>
        </w:tc>
        <w:tc>
          <w:tcPr>
            <w:tcW w:w="355" w:type="pct"/>
            <w:noWrap/>
            <w:hideMark/>
          </w:tcPr>
          <w:p w14:paraId="1368EF48"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0.54</w:t>
            </w:r>
          </w:p>
        </w:tc>
        <w:tc>
          <w:tcPr>
            <w:tcW w:w="305" w:type="pct"/>
            <w:noWrap/>
            <w:hideMark/>
          </w:tcPr>
          <w:p w14:paraId="3BB049D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750C944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0.34</w:t>
            </w:r>
          </w:p>
        </w:tc>
        <w:tc>
          <w:tcPr>
            <w:tcW w:w="309" w:type="pct"/>
            <w:noWrap/>
            <w:hideMark/>
          </w:tcPr>
          <w:p w14:paraId="7EA1D20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05" w:type="pct"/>
            <w:noWrap/>
            <w:hideMark/>
          </w:tcPr>
          <w:p w14:paraId="2102DC77"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05D0823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548" w:type="pct"/>
          </w:tcPr>
          <w:p w14:paraId="2B1F7E26"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1.13**</w:t>
            </w:r>
          </w:p>
        </w:tc>
      </w:tr>
      <w:tr w:rsidR="00AC723E" w:rsidRPr="00673B58" w14:paraId="64BFB5E4" w14:textId="77777777" w:rsidTr="00D70BB5">
        <w:trPr>
          <w:trHeight w:val="6"/>
        </w:trPr>
        <w:tc>
          <w:tcPr>
            <w:tcW w:w="355" w:type="pct"/>
            <w:noWrap/>
            <w:hideMark/>
          </w:tcPr>
          <w:p w14:paraId="4D444FA2"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TW</w:t>
            </w:r>
          </w:p>
        </w:tc>
        <w:tc>
          <w:tcPr>
            <w:tcW w:w="489" w:type="pct"/>
            <w:noWrap/>
            <w:hideMark/>
          </w:tcPr>
          <w:p w14:paraId="50AFD7E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123" w:type="pct"/>
            <w:noWrap/>
            <w:hideMark/>
          </w:tcPr>
          <w:p w14:paraId="04F9F7B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04A199B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55" w:type="pct"/>
            <w:noWrap/>
            <w:hideMark/>
          </w:tcPr>
          <w:p w14:paraId="4693316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-0.07</w:t>
            </w:r>
          </w:p>
        </w:tc>
        <w:tc>
          <w:tcPr>
            <w:tcW w:w="329" w:type="pct"/>
            <w:noWrap/>
            <w:hideMark/>
          </w:tcPr>
          <w:p w14:paraId="17DB75D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305" w:type="pct"/>
            <w:noWrap/>
            <w:hideMark/>
          </w:tcPr>
          <w:p w14:paraId="59458EA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5C7D8D2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0.41</w:t>
            </w:r>
          </w:p>
        </w:tc>
        <w:tc>
          <w:tcPr>
            <w:tcW w:w="355" w:type="pct"/>
            <w:noWrap/>
            <w:hideMark/>
          </w:tcPr>
          <w:p w14:paraId="579DFD9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0.17</w:t>
            </w:r>
          </w:p>
        </w:tc>
        <w:tc>
          <w:tcPr>
            <w:tcW w:w="305" w:type="pct"/>
            <w:noWrap/>
            <w:hideMark/>
          </w:tcPr>
          <w:p w14:paraId="6317836B"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0.06</w:t>
            </w:r>
          </w:p>
        </w:tc>
        <w:tc>
          <w:tcPr>
            <w:tcW w:w="305" w:type="pct"/>
            <w:noWrap/>
            <w:hideMark/>
          </w:tcPr>
          <w:p w14:paraId="181984B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-0.34</w:t>
            </w:r>
          </w:p>
        </w:tc>
        <w:tc>
          <w:tcPr>
            <w:tcW w:w="309" w:type="pct"/>
            <w:noWrap/>
            <w:hideMark/>
          </w:tcPr>
          <w:p w14:paraId="260599C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3FE948B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7396D9F5"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-0.07</w:t>
            </w:r>
          </w:p>
        </w:tc>
        <w:tc>
          <w:tcPr>
            <w:tcW w:w="548" w:type="pct"/>
          </w:tcPr>
          <w:p w14:paraId="7D349186"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0.29</w:t>
            </w:r>
          </w:p>
        </w:tc>
      </w:tr>
      <w:tr w:rsidR="00AC723E" w:rsidRPr="00673B58" w14:paraId="728FB8BF" w14:textId="77777777" w:rsidTr="00D70BB5">
        <w:trPr>
          <w:trHeight w:val="6"/>
        </w:trPr>
        <w:tc>
          <w:tcPr>
            <w:tcW w:w="355" w:type="pct"/>
            <w:noWrap/>
            <w:hideMark/>
          </w:tcPr>
          <w:p w14:paraId="29B1E18B"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HI</w:t>
            </w:r>
          </w:p>
        </w:tc>
        <w:tc>
          <w:tcPr>
            <w:tcW w:w="489" w:type="pct"/>
            <w:noWrap/>
            <w:hideMark/>
          </w:tcPr>
          <w:p w14:paraId="282652A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-0.20</w:t>
            </w:r>
          </w:p>
        </w:tc>
        <w:tc>
          <w:tcPr>
            <w:tcW w:w="123" w:type="pct"/>
            <w:noWrap/>
            <w:hideMark/>
          </w:tcPr>
          <w:p w14:paraId="613EDE7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305" w:type="pct"/>
            <w:noWrap/>
            <w:hideMark/>
          </w:tcPr>
          <w:p w14:paraId="43E93B5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-0.21</w:t>
            </w:r>
          </w:p>
        </w:tc>
        <w:tc>
          <w:tcPr>
            <w:tcW w:w="355" w:type="pct"/>
            <w:noWrap/>
            <w:hideMark/>
          </w:tcPr>
          <w:p w14:paraId="6597719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0.27</w:t>
            </w:r>
          </w:p>
        </w:tc>
        <w:tc>
          <w:tcPr>
            <w:tcW w:w="329" w:type="pct"/>
            <w:noWrap/>
            <w:hideMark/>
          </w:tcPr>
          <w:p w14:paraId="7DECC18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-0.10</w:t>
            </w:r>
          </w:p>
        </w:tc>
        <w:tc>
          <w:tcPr>
            <w:tcW w:w="305" w:type="pct"/>
            <w:noWrap/>
            <w:hideMark/>
          </w:tcPr>
          <w:p w14:paraId="7EC87F6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-0.41</w:t>
            </w:r>
          </w:p>
        </w:tc>
        <w:tc>
          <w:tcPr>
            <w:tcW w:w="305" w:type="pct"/>
            <w:noWrap/>
            <w:hideMark/>
          </w:tcPr>
          <w:p w14:paraId="6CCC70E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-0.08</w:t>
            </w:r>
          </w:p>
        </w:tc>
        <w:tc>
          <w:tcPr>
            <w:tcW w:w="355" w:type="pct"/>
            <w:noWrap/>
            <w:hideMark/>
          </w:tcPr>
          <w:p w14:paraId="7A1429B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0.19</w:t>
            </w:r>
          </w:p>
        </w:tc>
        <w:tc>
          <w:tcPr>
            <w:tcW w:w="305" w:type="pct"/>
            <w:noWrap/>
            <w:hideMark/>
          </w:tcPr>
          <w:p w14:paraId="7290CBD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37E99F4C"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0.97</w:t>
            </w:r>
          </w:p>
        </w:tc>
        <w:tc>
          <w:tcPr>
            <w:tcW w:w="309" w:type="pct"/>
            <w:noWrap/>
            <w:hideMark/>
          </w:tcPr>
          <w:p w14:paraId="1891018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05" w:type="pct"/>
            <w:noWrap/>
            <w:hideMark/>
          </w:tcPr>
          <w:p w14:paraId="0DF34BA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49A998A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0.03</w:t>
            </w:r>
          </w:p>
        </w:tc>
        <w:tc>
          <w:tcPr>
            <w:tcW w:w="548" w:type="pct"/>
          </w:tcPr>
          <w:p w14:paraId="0A5178B0"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0.47**</w:t>
            </w:r>
          </w:p>
        </w:tc>
      </w:tr>
      <w:tr w:rsidR="00AC723E" w:rsidRPr="00673B58" w14:paraId="301F2971" w14:textId="77777777" w:rsidTr="00D70BB5">
        <w:trPr>
          <w:trHeight w:val="6"/>
        </w:trPr>
        <w:tc>
          <w:tcPr>
            <w:tcW w:w="355" w:type="pct"/>
            <w:noWrap/>
            <w:hideMark/>
          </w:tcPr>
          <w:p w14:paraId="0EAF7C2A"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PRO</w:t>
            </w:r>
          </w:p>
        </w:tc>
        <w:tc>
          <w:tcPr>
            <w:tcW w:w="489" w:type="pct"/>
            <w:noWrap/>
            <w:hideMark/>
          </w:tcPr>
          <w:p w14:paraId="7D3B05A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-0.26</w:t>
            </w:r>
          </w:p>
        </w:tc>
        <w:tc>
          <w:tcPr>
            <w:tcW w:w="123" w:type="pct"/>
            <w:noWrap/>
            <w:hideMark/>
          </w:tcPr>
          <w:p w14:paraId="5C5428C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23ACA61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-0.11</w:t>
            </w:r>
          </w:p>
        </w:tc>
        <w:tc>
          <w:tcPr>
            <w:tcW w:w="355" w:type="pct"/>
            <w:noWrap/>
            <w:hideMark/>
          </w:tcPr>
          <w:p w14:paraId="316BC33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0.16</w:t>
            </w:r>
          </w:p>
        </w:tc>
        <w:tc>
          <w:tcPr>
            <w:tcW w:w="329" w:type="pct"/>
            <w:noWrap/>
            <w:hideMark/>
          </w:tcPr>
          <w:p w14:paraId="0E2D54E0"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-0.08</w:t>
            </w:r>
          </w:p>
        </w:tc>
        <w:tc>
          <w:tcPr>
            <w:tcW w:w="305" w:type="pct"/>
            <w:noWrap/>
            <w:hideMark/>
          </w:tcPr>
          <w:p w14:paraId="7C1DCFD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1EBA78D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0.14</w:t>
            </w:r>
          </w:p>
        </w:tc>
        <w:tc>
          <w:tcPr>
            <w:tcW w:w="355" w:type="pct"/>
            <w:noWrap/>
            <w:hideMark/>
          </w:tcPr>
          <w:p w14:paraId="72BAA9F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0.15</w:t>
            </w:r>
          </w:p>
        </w:tc>
        <w:tc>
          <w:tcPr>
            <w:tcW w:w="305" w:type="pct"/>
            <w:noWrap/>
            <w:hideMark/>
          </w:tcPr>
          <w:p w14:paraId="7E167A95"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3F69A60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0.28</w:t>
            </w:r>
          </w:p>
        </w:tc>
        <w:tc>
          <w:tcPr>
            <w:tcW w:w="309" w:type="pct"/>
            <w:noWrap/>
            <w:hideMark/>
          </w:tcPr>
          <w:p w14:paraId="53135D24"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0.21</w:t>
            </w:r>
          </w:p>
        </w:tc>
        <w:tc>
          <w:tcPr>
            <w:tcW w:w="305" w:type="pct"/>
            <w:noWrap/>
            <w:hideMark/>
          </w:tcPr>
          <w:p w14:paraId="28E91EE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-0.11</w:t>
            </w:r>
          </w:p>
        </w:tc>
        <w:tc>
          <w:tcPr>
            <w:tcW w:w="305" w:type="pct"/>
            <w:noWrap/>
            <w:hideMark/>
          </w:tcPr>
          <w:p w14:paraId="12540C5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548" w:type="pct"/>
          </w:tcPr>
          <w:p w14:paraId="3D6A3FD2"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0.37*</w:t>
            </w:r>
          </w:p>
        </w:tc>
      </w:tr>
      <w:tr w:rsidR="00AC723E" w:rsidRPr="00673B58" w14:paraId="30B8FC9D" w14:textId="77777777" w:rsidTr="00D70BB5">
        <w:trPr>
          <w:trHeight w:val="6"/>
        </w:trPr>
        <w:tc>
          <w:tcPr>
            <w:tcW w:w="355" w:type="pct"/>
            <w:noWrap/>
            <w:hideMark/>
          </w:tcPr>
          <w:p w14:paraId="368598D6"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LYS</w:t>
            </w:r>
          </w:p>
        </w:tc>
        <w:tc>
          <w:tcPr>
            <w:tcW w:w="489" w:type="pct"/>
            <w:noWrap/>
            <w:hideMark/>
          </w:tcPr>
          <w:p w14:paraId="3E4519D7"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0.10</w:t>
            </w:r>
          </w:p>
        </w:tc>
        <w:tc>
          <w:tcPr>
            <w:tcW w:w="123" w:type="pct"/>
            <w:noWrap/>
            <w:hideMark/>
          </w:tcPr>
          <w:p w14:paraId="7BFD2D9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3ACBB81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c>
          <w:tcPr>
            <w:tcW w:w="355" w:type="pct"/>
            <w:noWrap/>
            <w:hideMark/>
          </w:tcPr>
          <w:p w14:paraId="34619B3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-0.18</w:t>
            </w:r>
          </w:p>
        </w:tc>
        <w:tc>
          <w:tcPr>
            <w:tcW w:w="329" w:type="pct"/>
            <w:noWrap/>
            <w:hideMark/>
          </w:tcPr>
          <w:p w14:paraId="1F8CD03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0.07</w:t>
            </w:r>
          </w:p>
        </w:tc>
        <w:tc>
          <w:tcPr>
            <w:tcW w:w="305" w:type="pct"/>
            <w:noWrap/>
            <w:hideMark/>
          </w:tcPr>
          <w:p w14:paraId="781DC1FF"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28A84DE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55" w:type="pct"/>
            <w:noWrap/>
            <w:hideMark/>
          </w:tcPr>
          <w:p w14:paraId="5BC21AFE"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c>
          <w:tcPr>
            <w:tcW w:w="305" w:type="pct"/>
            <w:noWrap/>
            <w:hideMark/>
          </w:tcPr>
          <w:p w14:paraId="40926E52"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0.00</w:t>
            </w:r>
          </w:p>
        </w:tc>
        <w:tc>
          <w:tcPr>
            <w:tcW w:w="305" w:type="pct"/>
            <w:noWrap/>
            <w:hideMark/>
          </w:tcPr>
          <w:p w14:paraId="4C9F16C8"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9" w:type="pct"/>
            <w:noWrap/>
            <w:hideMark/>
          </w:tcPr>
          <w:p w14:paraId="0E39CC1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-0.11</w:t>
            </w:r>
          </w:p>
        </w:tc>
        <w:tc>
          <w:tcPr>
            <w:tcW w:w="305" w:type="pct"/>
            <w:noWrap/>
            <w:hideMark/>
          </w:tcPr>
          <w:p w14:paraId="5A56D170"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0.22</w:t>
            </w:r>
          </w:p>
        </w:tc>
        <w:tc>
          <w:tcPr>
            <w:tcW w:w="305" w:type="pct"/>
            <w:noWrap/>
            <w:hideMark/>
          </w:tcPr>
          <w:p w14:paraId="4FAD9C0A"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-0.09</w:t>
            </w:r>
          </w:p>
        </w:tc>
        <w:tc>
          <w:tcPr>
            <w:tcW w:w="548" w:type="pct"/>
          </w:tcPr>
          <w:p w14:paraId="52480A1E"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-0.01</w:t>
            </w:r>
          </w:p>
        </w:tc>
      </w:tr>
      <w:tr w:rsidR="00AC723E" w:rsidRPr="00673B58" w14:paraId="11971ADB" w14:textId="77777777" w:rsidTr="00D70BB5">
        <w:trPr>
          <w:trHeight w:val="6"/>
        </w:trPr>
        <w:tc>
          <w:tcPr>
            <w:tcW w:w="355" w:type="pct"/>
            <w:noWrap/>
            <w:hideMark/>
          </w:tcPr>
          <w:p w14:paraId="43BFD319" w14:textId="77777777" w:rsidR="00AC723E" w:rsidRPr="00673B58" w:rsidRDefault="00AC723E" w:rsidP="00433515">
            <w:pPr>
              <w:pStyle w:val="NoSpacing"/>
              <w:tabs>
                <w:tab w:val="left" w:pos="357"/>
              </w:tabs>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SAP</w:t>
            </w:r>
          </w:p>
        </w:tc>
        <w:tc>
          <w:tcPr>
            <w:tcW w:w="489" w:type="pct"/>
            <w:noWrap/>
            <w:hideMark/>
          </w:tcPr>
          <w:p w14:paraId="31124B8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123" w:type="pct"/>
            <w:noWrap/>
            <w:hideMark/>
          </w:tcPr>
          <w:p w14:paraId="25E89E5D"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6810163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0.07</w:t>
            </w:r>
          </w:p>
        </w:tc>
        <w:tc>
          <w:tcPr>
            <w:tcW w:w="355" w:type="pct"/>
            <w:noWrap/>
            <w:hideMark/>
          </w:tcPr>
          <w:p w14:paraId="4C316AA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29" w:type="pct"/>
            <w:noWrap/>
            <w:hideMark/>
          </w:tcPr>
          <w:p w14:paraId="1ED4D891"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6684F4F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0.11</w:t>
            </w:r>
          </w:p>
        </w:tc>
        <w:tc>
          <w:tcPr>
            <w:tcW w:w="305" w:type="pct"/>
            <w:noWrap/>
            <w:hideMark/>
          </w:tcPr>
          <w:p w14:paraId="15B75E3C"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0.09</w:t>
            </w:r>
          </w:p>
        </w:tc>
        <w:tc>
          <w:tcPr>
            <w:tcW w:w="355" w:type="pct"/>
            <w:noWrap/>
            <w:hideMark/>
          </w:tcPr>
          <w:p w14:paraId="36A6F2D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-0.05</w:t>
            </w:r>
          </w:p>
        </w:tc>
        <w:tc>
          <w:tcPr>
            <w:tcW w:w="305" w:type="pct"/>
            <w:noWrap/>
            <w:hideMark/>
          </w:tcPr>
          <w:p w14:paraId="3DBF3A83"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0.02</w:t>
            </w:r>
          </w:p>
        </w:tc>
        <w:tc>
          <w:tcPr>
            <w:tcW w:w="305" w:type="pct"/>
            <w:noWrap/>
            <w:hideMark/>
          </w:tcPr>
          <w:p w14:paraId="6C347899"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-0.12</w:t>
            </w:r>
          </w:p>
        </w:tc>
        <w:tc>
          <w:tcPr>
            <w:tcW w:w="309" w:type="pct"/>
            <w:noWrap/>
            <w:hideMark/>
          </w:tcPr>
          <w:p w14:paraId="34036A96"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-0.04</w:t>
            </w:r>
          </w:p>
        </w:tc>
        <w:tc>
          <w:tcPr>
            <w:tcW w:w="305" w:type="pct"/>
            <w:noWrap/>
            <w:hideMark/>
          </w:tcPr>
          <w:p w14:paraId="021CD0A4" w14:textId="77777777" w:rsidR="00AC723E" w:rsidRPr="00673B58" w:rsidRDefault="00AC723E" w:rsidP="00433515">
            <w:pPr>
              <w:pStyle w:val="NoSpacing"/>
              <w:tabs>
                <w:tab w:val="left" w:pos="357"/>
              </w:tabs>
              <w:jc w:val="center"/>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0.09</w:t>
            </w:r>
          </w:p>
        </w:tc>
        <w:tc>
          <w:tcPr>
            <w:tcW w:w="305" w:type="pct"/>
            <w:noWrap/>
            <w:hideMark/>
          </w:tcPr>
          <w:p w14:paraId="267CD662" w14:textId="77777777" w:rsidR="00AC723E" w:rsidRPr="00673B58" w:rsidRDefault="00AC723E" w:rsidP="00433515">
            <w:pPr>
              <w:pStyle w:val="NoSpacing"/>
              <w:tabs>
                <w:tab w:val="left" w:pos="357"/>
              </w:tabs>
              <w:jc w:val="center"/>
              <w:rPr>
                <w:rFonts w:ascii="Times New Roman" w:hAnsi="Times New Roman" w:cs="Times New Roman"/>
                <w:b/>
                <w:bCs/>
                <w:color w:val="000000" w:themeColor="text1"/>
                <w:sz w:val="24"/>
                <w:szCs w:val="24"/>
              </w:rPr>
            </w:pPr>
            <w:r w:rsidRPr="00673B58">
              <w:rPr>
                <w:rFonts w:ascii="Times New Roman" w:hAnsi="Times New Roman" w:cs="Times New Roman"/>
                <w:b/>
                <w:bCs/>
                <w:color w:val="000000" w:themeColor="text1"/>
                <w:sz w:val="24"/>
                <w:szCs w:val="24"/>
              </w:rPr>
              <w:t>-0.22</w:t>
            </w:r>
          </w:p>
        </w:tc>
        <w:tc>
          <w:tcPr>
            <w:tcW w:w="548" w:type="pct"/>
          </w:tcPr>
          <w:p w14:paraId="1E3926ED" w14:textId="77777777" w:rsidR="00AC723E" w:rsidRPr="00673B58" w:rsidRDefault="00AC723E" w:rsidP="00433515">
            <w:pPr>
              <w:pStyle w:val="NoSpacing"/>
              <w:tabs>
                <w:tab w:val="decimal" w:pos="193"/>
              </w:tabs>
              <w:rPr>
                <w:rFonts w:ascii="Times New Roman" w:hAnsi="Times New Roman" w:cs="Times New Roman"/>
                <w:color w:val="000000" w:themeColor="text1"/>
                <w:sz w:val="24"/>
                <w:szCs w:val="24"/>
              </w:rPr>
            </w:pPr>
            <w:r w:rsidRPr="00673B58">
              <w:rPr>
                <w:rFonts w:ascii="Times New Roman" w:hAnsi="Times New Roman" w:cs="Times New Roman"/>
                <w:color w:val="000000" w:themeColor="text1"/>
                <w:sz w:val="24"/>
                <w:szCs w:val="24"/>
              </w:rPr>
              <w:t>-0.06</w:t>
            </w:r>
          </w:p>
        </w:tc>
      </w:tr>
    </w:tbl>
    <w:p w14:paraId="6CEE0558" w14:textId="77777777" w:rsidR="00AC723E" w:rsidRPr="00AC723E" w:rsidRDefault="00AC723E" w:rsidP="00AC723E">
      <w:pPr>
        <w:tabs>
          <w:tab w:val="left" w:pos="357"/>
        </w:tabs>
        <w:rPr>
          <w:rFonts w:ascii="Times New Roman" w:hAnsi="Times New Roman" w:cs="Times New Roman"/>
          <w:color w:val="000000" w:themeColor="text1"/>
          <w:sz w:val="18"/>
          <w:szCs w:val="18"/>
        </w:rPr>
      </w:pPr>
      <w:r w:rsidRPr="00AC723E">
        <w:rPr>
          <w:rFonts w:ascii="Times New Roman" w:hAnsi="Times New Roman" w:cs="Times New Roman"/>
          <w:color w:val="000000" w:themeColor="text1"/>
          <w:sz w:val="18"/>
          <w:szCs w:val="18"/>
        </w:rPr>
        <w:t>Residual effect = (-0.158)</w:t>
      </w:r>
    </w:p>
    <w:p w14:paraId="024FED3F" w14:textId="77777777" w:rsidR="00AC723E" w:rsidRPr="00AC723E" w:rsidRDefault="00AC723E" w:rsidP="00AC723E">
      <w:pPr>
        <w:tabs>
          <w:tab w:val="left" w:pos="357"/>
          <w:tab w:val="left" w:pos="1668"/>
        </w:tabs>
        <w:spacing w:line="360" w:lineRule="auto"/>
        <w:jc w:val="both"/>
        <w:rPr>
          <w:rFonts w:ascii="Times New Roman" w:hAnsi="Times New Roman" w:cs="Times New Roman"/>
          <w:color w:val="000000" w:themeColor="text1"/>
          <w:sz w:val="18"/>
          <w:szCs w:val="18"/>
        </w:rPr>
      </w:pPr>
      <w:r w:rsidRPr="00AC723E">
        <w:rPr>
          <w:rFonts w:ascii="Times New Roman" w:hAnsi="Times New Roman" w:cs="Times New Roman"/>
          <w:b/>
          <w:bCs/>
          <w:color w:val="000000" w:themeColor="text1"/>
          <w:sz w:val="18"/>
          <w:szCs w:val="18"/>
        </w:rPr>
        <w:t>DF</w:t>
      </w:r>
      <w:r w:rsidRPr="00AC723E">
        <w:rPr>
          <w:rFonts w:ascii="Times New Roman" w:hAnsi="Times New Roman" w:cs="Times New Roman"/>
          <w:color w:val="000000" w:themeColor="text1"/>
          <w:sz w:val="18"/>
          <w:szCs w:val="18"/>
        </w:rPr>
        <w:t xml:space="preserve">=Days to 50 per cent flowering, </w:t>
      </w:r>
      <w:r w:rsidRPr="00AC723E">
        <w:rPr>
          <w:rFonts w:ascii="Times New Roman" w:hAnsi="Times New Roman" w:cs="Times New Roman"/>
          <w:b/>
          <w:bCs/>
          <w:color w:val="000000" w:themeColor="text1"/>
          <w:sz w:val="18"/>
          <w:szCs w:val="18"/>
        </w:rPr>
        <w:t>DM</w:t>
      </w:r>
      <w:r w:rsidRPr="00AC723E">
        <w:rPr>
          <w:rFonts w:ascii="Times New Roman" w:hAnsi="Times New Roman" w:cs="Times New Roman"/>
          <w:color w:val="000000" w:themeColor="text1"/>
          <w:sz w:val="18"/>
          <w:szCs w:val="18"/>
        </w:rPr>
        <w:t xml:space="preserve">=Days to maturity, </w:t>
      </w:r>
      <w:r w:rsidRPr="00AC723E">
        <w:rPr>
          <w:rFonts w:ascii="Times New Roman" w:hAnsi="Times New Roman" w:cs="Times New Roman"/>
          <w:b/>
          <w:bCs/>
          <w:color w:val="000000" w:themeColor="text1"/>
          <w:sz w:val="18"/>
          <w:szCs w:val="18"/>
        </w:rPr>
        <w:t>PH</w:t>
      </w:r>
      <w:r w:rsidRPr="00AC723E">
        <w:rPr>
          <w:rFonts w:ascii="Times New Roman" w:hAnsi="Times New Roman" w:cs="Times New Roman"/>
          <w:color w:val="000000" w:themeColor="text1"/>
          <w:sz w:val="18"/>
          <w:szCs w:val="18"/>
        </w:rPr>
        <w:t xml:space="preserve">=Plant height (cm), </w:t>
      </w:r>
      <w:r w:rsidRPr="00AC723E">
        <w:rPr>
          <w:rFonts w:ascii="Times New Roman" w:hAnsi="Times New Roman" w:cs="Times New Roman"/>
          <w:b/>
          <w:bCs/>
          <w:color w:val="000000" w:themeColor="text1"/>
          <w:sz w:val="18"/>
          <w:szCs w:val="18"/>
        </w:rPr>
        <w:t>NBPP</w:t>
      </w:r>
      <w:r w:rsidRPr="00AC723E">
        <w:rPr>
          <w:rFonts w:ascii="Times New Roman" w:hAnsi="Times New Roman" w:cs="Times New Roman"/>
          <w:color w:val="000000" w:themeColor="text1"/>
          <w:sz w:val="18"/>
          <w:szCs w:val="18"/>
        </w:rPr>
        <w:t xml:space="preserve">=Number of branches per plant, </w:t>
      </w:r>
      <w:r w:rsidRPr="00AC723E">
        <w:rPr>
          <w:rFonts w:ascii="Times New Roman" w:hAnsi="Times New Roman" w:cs="Times New Roman"/>
          <w:b/>
          <w:bCs/>
          <w:color w:val="000000" w:themeColor="text1"/>
          <w:sz w:val="18"/>
          <w:szCs w:val="18"/>
        </w:rPr>
        <w:t>NIPP</w:t>
      </w:r>
      <w:r w:rsidRPr="00AC723E">
        <w:rPr>
          <w:rFonts w:ascii="Times New Roman" w:hAnsi="Times New Roman" w:cs="Times New Roman"/>
          <w:color w:val="000000" w:themeColor="text1"/>
          <w:sz w:val="18"/>
          <w:szCs w:val="18"/>
        </w:rPr>
        <w:t xml:space="preserve">=Number of inflorescences per plant, </w:t>
      </w:r>
      <w:r w:rsidRPr="00AC723E">
        <w:rPr>
          <w:rFonts w:ascii="Times New Roman" w:hAnsi="Times New Roman" w:cs="Times New Roman"/>
          <w:b/>
          <w:bCs/>
          <w:color w:val="000000" w:themeColor="text1"/>
          <w:sz w:val="18"/>
          <w:szCs w:val="18"/>
        </w:rPr>
        <w:t>LI</w:t>
      </w:r>
      <w:r w:rsidRPr="00AC723E">
        <w:rPr>
          <w:rFonts w:ascii="Times New Roman" w:hAnsi="Times New Roman" w:cs="Times New Roman"/>
          <w:color w:val="000000" w:themeColor="text1"/>
          <w:sz w:val="18"/>
          <w:szCs w:val="18"/>
        </w:rPr>
        <w:t xml:space="preserve">= Length of inflorescence (cm), </w:t>
      </w:r>
      <w:r w:rsidRPr="00AC723E">
        <w:rPr>
          <w:rFonts w:ascii="Times New Roman" w:hAnsi="Times New Roman" w:cs="Times New Roman"/>
          <w:b/>
          <w:bCs/>
          <w:color w:val="000000" w:themeColor="text1"/>
          <w:sz w:val="18"/>
          <w:szCs w:val="18"/>
        </w:rPr>
        <w:t>GI</w:t>
      </w:r>
      <w:r w:rsidRPr="00AC723E">
        <w:rPr>
          <w:rFonts w:ascii="Times New Roman" w:hAnsi="Times New Roman" w:cs="Times New Roman"/>
          <w:color w:val="000000" w:themeColor="text1"/>
          <w:sz w:val="18"/>
          <w:szCs w:val="18"/>
        </w:rPr>
        <w:t xml:space="preserve">=Girth of inflorescence (cm), </w:t>
      </w:r>
      <w:r w:rsidRPr="00AC723E">
        <w:rPr>
          <w:rFonts w:ascii="Times New Roman" w:hAnsi="Times New Roman" w:cs="Times New Roman"/>
          <w:b/>
          <w:bCs/>
          <w:color w:val="000000" w:themeColor="text1"/>
          <w:sz w:val="18"/>
          <w:szCs w:val="18"/>
        </w:rPr>
        <w:t>BYPP</w:t>
      </w:r>
      <w:r w:rsidRPr="00AC723E">
        <w:rPr>
          <w:rFonts w:ascii="Times New Roman" w:hAnsi="Times New Roman" w:cs="Times New Roman"/>
          <w:color w:val="000000" w:themeColor="text1"/>
          <w:sz w:val="18"/>
          <w:szCs w:val="18"/>
        </w:rPr>
        <w:t xml:space="preserve">=Biological yield per plant (g), </w:t>
      </w:r>
      <w:r w:rsidRPr="00AC723E">
        <w:rPr>
          <w:rFonts w:ascii="Times New Roman" w:hAnsi="Times New Roman" w:cs="Times New Roman"/>
          <w:b/>
          <w:bCs/>
          <w:color w:val="000000" w:themeColor="text1"/>
          <w:sz w:val="18"/>
          <w:szCs w:val="18"/>
        </w:rPr>
        <w:t>TW</w:t>
      </w:r>
      <w:r w:rsidRPr="00AC723E">
        <w:rPr>
          <w:rFonts w:ascii="Times New Roman" w:hAnsi="Times New Roman" w:cs="Times New Roman"/>
          <w:color w:val="000000" w:themeColor="text1"/>
          <w:sz w:val="18"/>
          <w:szCs w:val="18"/>
        </w:rPr>
        <w:t xml:space="preserve">=1000 seed weight (g), </w:t>
      </w:r>
      <w:r w:rsidRPr="00AC723E">
        <w:rPr>
          <w:rFonts w:ascii="Times New Roman" w:hAnsi="Times New Roman" w:cs="Times New Roman"/>
          <w:b/>
          <w:bCs/>
          <w:color w:val="000000" w:themeColor="text1"/>
          <w:sz w:val="18"/>
          <w:szCs w:val="18"/>
        </w:rPr>
        <w:t>HI</w:t>
      </w:r>
      <w:r w:rsidRPr="00AC723E">
        <w:rPr>
          <w:rFonts w:ascii="Times New Roman" w:hAnsi="Times New Roman" w:cs="Times New Roman"/>
          <w:color w:val="000000" w:themeColor="text1"/>
          <w:sz w:val="18"/>
          <w:szCs w:val="18"/>
        </w:rPr>
        <w:t xml:space="preserve">=Harvest index (%), </w:t>
      </w:r>
      <w:r w:rsidRPr="00AC723E">
        <w:rPr>
          <w:rFonts w:ascii="Times New Roman" w:hAnsi="Times New Roman" w:cs="Times New Roman"/>
          <w:b/>
          <w:bCs/>
          <w:color w:val="000000" w:themeColor="text1"/>
          <w:sz w:val="18"/>
          <w:szCs w:val="18"/>
        </w:rPr>
        <w:t>PRO</w:t>
      </w:r>
      <w:r w:rsidRPr="00AC723E">
        <w:rPr>
          <w:rFonts w:ascii="Times New Roman" w:hAnsi="Times New Roman" w:cs="Times New Roman"/>
          <w:color w:val="000000" w:themeColor="text1"/>
          <w:sz w:val="18"/>
          <w:szCs w:val="18"/>
        </w:rPr>
        <w:t xml:space="preserve">=True protein content in seeds (%), </w:t>
      </w:r>
      <w:r w:rsidRPr="00AC723E">
        <w:rPr>
          <w:rFonts w:ascii="Times New Roman" w:hAnsi="Times New Roman" w:cs="Times New Roman"/>
          <w:b/>
          <w:bCs/>
          <w:color w:val="000000" w:themeColor="text1"/>
          <w:sz w:val="18"/>
          <w:szCs w:val="18"/>
        </w:rPr>
        <w:t>LYS</w:t>
      </w:r>
      <w:r w:rsidRPr="00AC723E">
        <w:rPr>
          <w:rFonts w:ascii="Times New Roman" w:hAnsi="Times New Roman" w:cs="Times New Roman"/>
          <w:color w:val="000000" w:themeColor="text1"/>
          <w:sz w:val="18"/>
          <w:szCs w:val="18"/>
        </w:rPr>
        <w:t xml:space="preserve">=Lysine content per protein in seeds (%), </w:t>
      </w:r>
      <w:r w:rsidRPr="00AC723E">
        <w:rPr>
          <w:rFonts w:ascii="Times New Roman" w:hAnsi="Times New Roman" w:cs="Times New Roman"/>
          <w:b/>
          <w:bCs/>
          <w:color w:val="000000" w:themeColor="text1"/>
          <w:sz w:val="18"/>
          <w:szCs w:val="18"/>
        </w:rPr>
        <w:t>SAP</w:t>
      </w:r>
      <w:r w:rsidRPr="00AC723E">
        <w:rPr>
          <w:rFonts w:ascii="Times New Roman" w:hAnsi="Times New Roman" w:cs="Times New Roman"/>
          <w:color w:val="000000" w:themeColor="text1"/>
          <w:sz w:val="18"/>
          <w:szCs w:val="18"/>
        </w:rPr>
        <w:t xml:space="preserve">=Saponin content in seeds (mg/g) and </w:t>
      </w:r>
      <w:r w:rsidRPr="00AC723E">
        <w:rPr>
          <w:rFonts w:ascii="Times New Roman" w:hAnsi="Times New Roman" w:cs="Times New Roman"/>
          <w:b/>
          <w:bCs/>
          <w:color w:val="000000" w:themeColor="text1"/>
          <w:sz w:val="18"/>
          <w:szCs w:val="18"/>
        </w:rPr>
        <w:t>SYPP</w:t>
      </w:r>
      <w:r w:rsidRPr="00AC723E">
        <w:rPr>
          <w:rFonts w:ascii="Times New Roman" w:hAnsi="Times New Roman" w:cs="Times New Roman"/>
          <w:color w:val="000000" w:themeColor="text1"/>
          <w:sz w:val="18"/>
          <w:szCs w:val="18"/>
        </w:rPr>
        <w:t>=Seed yield per plant (g).</w:t>
      </w:r>
    </w:p>
    <w:p w14:paraId="4F4D2922" w14:textId="77777777" w:rsidR="00540ACC" w:rsidRPr="008F68DF" w:rsidRDefault="00540ACC" w:rsidP="00540ACC">
      <w:pPr>
        <w:spacing w:line="360" w:lineRule="auto"/>
        <w:jc w:val="both"/>
        <w:rPr>
          <w:rFonts w:ascii="Times New Roman" w:hAnsi="Times New Roman" w:cs="Times New Roman"/>
          <w:b/>
          <w:bCs/>
        </w:rPr>
      </w:pPr>
      <w:r w:rsidRPr="008F68DF">
        <w:rPr>
          <w:rFonts w:ascii="Times New Roman" w:hAnsi="Times New Roman" w:cs="Times New Roman"/>
          <w:b/>
          <w:bCs/>
        </w:rPr>
        <w:t xml:space="preserve">4. </w:t>
      </w:r>
      <w:commentRangeStart w:id="5"/>
      <w:r w:rsidRPr="008F68DF">
        <w:rPr>
          <w:rFonts w:ascii="Times New Roman" w:hAnsi="Times New Roman" w:cs="Times New Roman"/>
          <w:b/>
          <w:bCs/>
        </w:rPr>
        <w:t>Discussion</w:t>
      </w:r>
      <w:commentRangeEnd w:id="5"/>
      <w:r w:rsidR="00D70BB5" w:rsidRPr="008F68DF">
        <w:rPr>
          <w:rStyle w:val="CommentReference"/>
          <w:rFonts w:ascii="Times New Roman" w:hAnsi="Times New Roman" w:cs="Times New Roman"/>
          <w:b/>
          <w:bCs/>
          <w:sz w:val="22"/>
          <w:szCs w:val="22"/>
        </w:rPr>
        <w:commentReference w:id="5"/>
      </w:r>
    </w:p>
    <w:p w14:paraId="5E2FCD60" w14:textId="77777777" w:rsidR="003E7370" w:rsidRPr="00976D4B" w:rsidRDefault="00540ACC" w:rsidP="003E7370">
      <w:pPr>
        <w:spacing w:line="360" w:lineRule="auto"/>
        <w:ind w:firstLine="720"/>
        <w:jc w:val="both"/>
        <w:rPr>
          <w:rFonts w:ascii="Times New Roman" w:hAnsi="Times New Roman" w:cs="Times New Roman"/>
          <w:b/>
          <w:bCs/>
        </w:rPr>
      </w:pPr>
      <w:r w:rsidRPr="00976D4B">
        <w:rPr>
          <w:rFonts w:ascii="Times New Roman" w:hAnsi="Times New Roman" w:cs="Times New Roman"/>
        </w:rPr>
        <w:t xml:space="preserve">The present investigation revealed substantial genetic variability among quinoa genotypes for seed yield and its associated traits, highlighting the availability of exploitable variation for genetic improvement, as also reported by </w:t>
      </w:r>
      <w:r w:rsidR="00AC723E" w:rsidRPr="00976D4B">
        <w:rPr>
          <w:rFonts w:ascii="Times New Roman" w:hAnsi="Times New Roman" w:cs="Times New Roman"/>
        </w:rPr>
        <w:t xml:space="preserve">19. </w:t>
      </w:r>
      <w:r w:rsidR="00E25ACE" w:rsidRPr="00976D4B">
        <w:rPr>
          <w:rFonts w:ascii="Times New Roman" w:hAnsi="Times New Roman" w:cs="Times New Roman"/>
          <w:b/>
          <w:bCs/>
        </w:rPr>
        <w:t>Bhargava et al. (2007</w:t>
      </w:r>
      <w:r w:rsidRPr="00976D4B">
        <w:rPr>
          <w:rFonts w:ascii="Times New Roman" w:hAnsi="Times New Roman" w:cs="Times New Roman"/>
          <w:b/>
          <w:bCs/>
        </w:rPr>
        <w:t xml:space="preserve">), </w:t>
      </w:r>
      <w:r w:rsidR="00AC723E" w:rsidRPr="00976D4B">
        <w:rPr>
          <w:rFonts w:ascii="Times New Roman" w:hAnsi="Times New Roman" w:cs="Times New Roman"/>
          <w:b/>
          <w:bCs/>
        </w:rPr>
        <w:t xml:space="preserve">20. </w:t>
      </w:r>
      <w:r w:rsidRPr="00976D4B">
        <w:rPr>
          <w:rFonts w:ascii="Times New Roman" w:hAnsi="Times New Roman" w:cs="Times New Roman"/>
          <w:b/>
          <w:bCs/>
        </w:rPr>
        <w:t xml:space="preserve">Bhargava and Ohri (2016), and </w:t>
      </w:r>
      <w:r w:rsidR="00AC723E" w:rsidRPr="00976D4B">
        <w:rPr>
          <w:rFonts w:ascii="Times New Roman" w:hAnsi="Times New Roman" w:cs="Times New Roman"/>
          <w:b/>
          <w:bCs/>
        </w:rPr>
        <w:t xml:space="preserve">21. </w:t>
      </w:r>
      <w:r w:rsidRPr="00976D4B">
        <w:rPr>
          <w:rFonts w:ascii="Times New Roman" w:hAnsi="Times New Roman" w:cs="Times New Roman"/>
          <w:b/>
          <w:bCs/>
        </w:rPr>
        <w:t>Maughan et al. (2012).</w:t>
      </w:r>
      <w:r w:rsidRPr="00976D4B">
        <w:rPr>
          <w:rFonts w:ascii="Times New Roman" w:hAnsi="Times New Roman" w:cs="Times New Roman"/>
        </w:rPr>
        <w:t xml:space="preserve"> In general, higher phenotypic than genotypic coefficients of variation indicated environmental influence on trait expression; however, the narrow differences observed for several yield-related traits suggest limited environmental interference and reliable phenotypic selection, corroborating earlier findings in quinoa </w:t>
      </w:r>
      <w:r w:rsidRPr="00976D4B">
        <w:rPr>
          <w:rFonts w:ascii="Times New Roman" w:hAnsi="Times New Roman" w:cs="Times New Roman"/>
          <w:b/>
          <w:bCs/>
        </w:rPr>
        <w:t>(</w:t>
      </w:r>
      <w:r w:rsidR="00AC723E" w:rsidRPr="00976D4B">
        <w:rPr>
          <w:rFonts w:ascii="Times New Roman" w:hAnsi="Times New Roman" w:cs="Times New Roman"/>
          <w:b/>
          <w:bCs/>
        </w:rPr>
        <w:t xml:space="preserve">2. </w:t>
      </w:r>
      <w:r w:rsidRPr="00976D4B">
        <w:rPr>
          <w:rFonts w:ascii="Times New Roman" w:hAnsi="Times New Roman" w:cs="Times New Roman"/>
          <w:b/>
          <w:bCs/>
        </w:rPr>
        <w:t xml:space="preserve">Jacobsen et al., 2003; </w:t>
      </w:r>
      <w:r w:rsidR="00A6162F" w:rsidRPr="00976D4B">
        <w:rPr>
          <w:rFonts w:ascii="Times New Roman" w:hAnsi="Times New Roman" w:cs="Times New Roman"/>
          <w:b/>
          <w:bCs/>
        </w:rPr>
        <w:t xml:space="preserve">36. </w:t>
      </w:r>
      <w:r w:rsidRPr="00976D4B">
        <w:rPr>
          <w:rFonts w:ascii="Times New Roman" w:hAnsi="Times New Roman" w:cs="Times New Roman"/>
          <w:b/>
          <w:bCs/>
        </w:rPr>
        <w:t>El-Harty et al., 2021).</w:t>
      </w:r>
      <w:r w:rsidRPr="00976D4B">
        <w:rPr>
          <w:rFonts w:ascii="Times New Roman" w:hAnsi="Times New Roman" w:cs="Times New Roman"/>
        </w:rPr>
        <w:t xml:space="preserve"> High heritability coupled with high genetic advance for key agronomic and yield-contributing traits indicates the predominance of additive gene action and confirms the effectiveness of selection for these characters, particularly under stress-prone environments where quinoa is increasingly cultivated </w:t>
      </w:r>
      <w:r w:rsidRPr="00976D4B">
        <w:rPr>
          <w:rFonts w:ascii="Times New Roman" w:hAnsi="Times New Roman" w:cs="Times New Roman"/>
          <w:b/>
          <w:bCs/>
        </w:rPr>
        <w:t>(</w:t>
      </w:r>
      <w:r w:rsidR="00AC723E" w:rsidRPr="00976D4B">
        <w:rPr>
          <w:rFonts w:ascii="Times New Roman" w:hAnsi="Times New Roman" w:cs="Times New Roman"/>
          <w:b/>
          <w:bCs/>
        </w:rPr>
        <w:t xml:space="preserve">5. </w:t>
      </w:r>
      <w:r w:rsidRPr="00976D4B">
        <w:rPr>
          <w:rFonts w:ascii="Times New Roman" w:hAnsi="Times New Roman" w:cs="Times New Roman"/>
          <w:b/>
          <w:bCs/>
        </w:rPr>
        <w:t xml:space="preserve">FAO, 1998; </w:t>
      </w:r>
      <w:r w:rsidR="00AC723E" w:rsidRPr="00976D4B">
        <w:rPr>
          <w:rFonts w:ascii="Times New Roman" w:hAnsi="Times New Roman" w:cs="Times New Roman"/>
          <w:b/>
          <w:bCs/>
        </w:rPr>
        <w:t xml:space="preserve">4. </w:t>
      </w:r>
      <w:r w:rsidRPr="00976D4B">
        <w:rPr>
          <w:rFonts w:ascii="Times New Roman" w:hAnsi="Times New Roman" w:cs="Times New Roman"/>
          <w:b/>
          <w:bCs/>
        </w:rPr>
        <w:t xml:space="preserve">Bonifacio, 2006; </w:t>
      </w:r>
      <w:r w:rsidR="0084023D" w:rsidRPr="00976D4B">
        <w:rPr>
          <w:rFonts w:ascii="Times New Roman" w:hAnsi="Times New Roman" w:cs="Times New Roman"/>
          <w:b/>
          <w:bCs/>
        </w:rPr>
        <w:t xml:space="preserve">37. </w:t>
      </w:r>
      <w:r w:rsidRPr="00976D4B">
        <w:rPr>
          <w:rFonts w:ascii="Times New Roman" w:hAnsi="Times New Roman" w:cs="Times New Roman"/>
          <w:b/>
          <w:bCs/>
        </w:rPr>
        <w:t>Rashid et al., 2021).</w:t>
      </w:r>
      <w:r w:rsidR="00976D4B" w:rsidRPr="00976D4B">
        <w:rPr>
          <w:rFonts w:ascii="Times New Roman" w:hAnsi="Times New Roman" w:cs="Times New Roman"/>
        </w:rPr>
        <w:t xml:space="preserve"> The high heritability and genetic advance observed for biochemical traits such as true protein, lysine, and saponin content indicate strong genetic control and a clear opportunity to improve nutritional quality alongside yield. Quinoa’s protein is particularly valued for its balanced essential amino acid profile and high lysine content, a trait that sets it apart from most cereals and explains its growing popularity in health-focused and gluten-free food markets. Recent studies confirm that quinoa protein meets or even exceeds FAO/WHO amino acid requirements, reinforcing its status as a complete plant </w:t>
      </w:r>
      <w:r w:rsidR="00976D4B" w:rsidRPr="00976D4B">
        <w:rPr>
          <w:rFonts w:ascii="Times New Roman" w:hAnsi="Times New Roman" w:cs="Times New Roman"/>
        </w:rPr>
        <w:lastRenderedPageBreak/>
        <w:t xml:space="preserve">protein with high commercial value </w:t>
      </w:r>
      <w:r w:rsidR="00976D4B" w:rsidRPr="0069308F">
        <w:rPr>
          <w:rFonts w:ascii="Times New Roman" w:hAnsi="Times New Roman" w:cs="Times New Roman"/>
          <w:b/>
          <w:bCs/>
        </w:rPr>
        <w:t>(38. Vega-Gálvez et al., 2023; 39. Santos et al., 2025).</w:t>
      </w:r>
      <w:r w:rsidR="00976D4B" w:rsidRPr="00976D4B">
        <w:rPr>
          <w:rFonts w:ascii="Times New Roman" w:hAnsi="Times New Roman" w:cs="Times New Roman"/>
        </w:rPr>
        <w:t xml:space="preserve"> </w:t>
      </w:r>
      <w:commentRangeStart w:id="6"/>
      <w:r w:rsidRPr="00976D4B">
        <w:rPr>
          <w:rFonts w:ascii="Times New Roman" w:hAnsi="Times New Roman" w:cs="Times New Roman"/>
        </w:rPr>
        <w:t xml:space="preserve">Correlation analysis demonstrated significant positive associations between seed yield and important traits </w:t>
      </w:r>
      <w:commentRangeEnd w:id="6"/>
      <w:r w:rsidR="00D70BB5" w:rsidRPr="00976D4B">
        <w:rPr>
          <w:rStyle w:val="CommentReference"/>
          <w:rFonts w:ascii="Times New Roman" w:hAnsi="Times New Roman" w:cs="Times New Roman"/>
          <w:sz w:val="22"/>
          <w:szCs w:val="22"/>
        </w:rPr>
        <w:commentReference w:id="6"/>
      </w:r>
      <w:r w:rsidRPr="00976D4B">
        <w:rPr>
          <w:rFonts w:ascii="Times New Roman" w:hAnsi="Times New Roman" w:cs="Times New Roman"/>
        </w:rPr>
        <w:t xml:space="preserve">such as plant height, panicle traits, and seed attributes, suggesting that improvement in these characters would lead to a concurrent increase in yield, in agreement with previous reports </w:t>
      </w:r>
      <w:r w:rsidRPr="00976D4B">
        <w:rPr>
          <w:rFonts w:ascii="Times New Roman" w:hAnsi="Times New Roman" w:cs="Times New Roman"/>
          <w:b/>
          <w:bCs/>
        </w:rPr>
        <w:t>(</w:t>
      </w:r>
      <w:r w:rsidR="00976D4B">
        <w:rPr>
          <w:rFonts w:ascii="Times New Roman" w:hAnsi="Times New Roman" w:cs="Times New Roman"/>
          <w:b/>
          <w:bCs/>
        </w:rPr>
        <w:t>40</w:t>
      </w:r>
      <w:r w:rsidR="0084023D" w:rsidRPr="00976D4B">
        <w:rPr>
          <w:rFonts w:ascii="Times New Roman" w:hAnsi="Times New Roman" w:cs="Times New Roman"/>
          <w:b/>
          <w:bCs/>
        </w:rPr>
        <w:t xml:space="preserve">. </w:t>
      </w:r>
      <w:r w:rsidRPr="00976D4B">
        <w:rPr>
          <w:rFonts w:ascii="Times New Roman" w:hAnsi="Times New Roman" w:cs="Times New Roman"/>
          <w:b/>
          <w:bCs/>
        </w:rPr>
        <w:t>Risi and Galw</w:t>
      </w:r>
      <w:r w:rsidR="0084023D" w:rsidRPr="00976D4B">
        <w:rPr>
          <w:rFonts w:ascii="Times New Roman" w:hAnsi="Times New Roman" w:cs="Times New Roman"/>
          <w:b/>
          <w:bCs/>
        </w:rPr>
        <w:t>ey, 1989; 19. Bhargava et al., 2007</w:t>
      </w:r>
      <w:r w:rsidRPr="00976D4B">
        <w:rPr>
          <w:rFonts w:ascii="Times New Roman" w:hAnsi="Times New Roman" w:cs="Times New Roman"/>
          <w:b/>
          <w:bCs/>
        </w:rPr>
        <w:t>).</w:t>
      </w:r>
      <w:r w:rsidRPr="00976D4B">
        <w:rPr>
          <w:rFonts w:ascii="Times New Roman" w:hAnsi="Times New Roman" w:cs="Times New Roman"/>
        </w:rPr>
        <w:t xml:space="preserve"> </w:t>
      </w:r>
      <w:r w:rsidR="00976D4B">
        <w:rPr>
          <w:rFonts w:ascii="Times New Roman" w:hAnsi="Times New Roman" w:cs="Times New Roman"/>
        </w:rPr>
        <w:t xml:space="preserve"> </w:t>
      </w:r>
      <w:r w:rsidR="00976D4B" w:rsidRPr="00976D4B">
        <w:rPr>
          <w:rFonts w:ascii="Times New Roman" w:hAnsi="Times New Roman" w:cs="Times New Roman"/>
        </w:rPr>
        <w:t>In contrast, lysine and saponin contents showed weak or non-significant associations with yield, suggesting that these quality traits can be improved independently.</w:t>
      </w:r>
      <w:r w:rsidR="00976D4B">
        <w:rPr>
          <w:rFonts w:ascii="Times New Roman" w:hAnsi="Times New Roman" w:cs="Times New Roman"/>
        </w:rPr>
        <w:t xml:space="preserve"> </w:t>
      </w:r>
      <w:r w:rsidRPr="00976D4B">
        <w:rPr>
          <w:rFonts w:ascii="Times New Roman" w:hAnsi="Times New Roman" w:cs="Times New Roman"/>
        </w:rPr>
        <w:t xml:space="preserve">However, path coefficient analysis provided deeper insight by revealing that only some of these traits exerted strong positive direct effects on seed yield, while others influenced yield indirectly through interrelated characters, emphasizing the importance of considering both direct and indirect effects during selection </w:t>
      </w:r>
      <w:r w:rsidRPr="00976D4B">
        <w:rPr>
          <w:rFonts w:ascii="Times New Roman" w:hAnsi="Times New Roman" w:cs="Times New Roman"/>
          <w:b/>
          <w:bCs/>
        </w:rPr>
        <w:t>(</w:t>
      </w:r>
      <w:r w:rsidR="0084023D" w:rsidRPr="00976D4B">
        <w:rPr>
          <w:rFonts w:ascii="Times New Roman" w:hAnsi="Times New Roman" w:cs="Times New Roman"/>
          <w:b/>
          <w:bCs/>
        </w:rPr>
        <w:t xml:space="preserve">22. </w:t>
      </w:r>
      <w:r w:rsidRPr="00976D4B">
        <w:rPr>
          <w:rFonts w:ascii="Times New Roman" w:hAnsi="Times New Roman" w:cs="Times New Roman"/>
          <w:b/>
          <w:bCs/>
        </w:rPr>
        <w:t xml:space="preserve">Wright, 1921; </w:t>
      </w:r>
      <w:r w:rsidR="0084023D" w:rsidRPr="00976D4B">
        <w:rPr>
          <w:rFonts w:ascii="Times New Roman" w:hAnsi="Times New Roman" w:cs="Times New Roman"/>
          <w:b/>
          <w:bCs/>
        </w:rPr>
        <w:t xml:space="preserve">21. </w:t>
      </w:r>
      <w:r w:rsidRPr="00976D4B">
        <w:rPr>
          <w:rFonts w:ascii="Times New Roman" w:hAnsi="Times New Roman" w:cs="Times New Roman"/>
          <w:b/>
          <w:bCs/>
        </w:rPr>
        <w:t xml:space="preserve">Maughan et al., 2012; </w:t>
      </w:r>
      <w:r w:rsidR="00976D4B">
        <w:rPr>
          <w:rFonts w:ascii="Times New Roman" w:hAnsi="Times New Roman" w:cs="Times New Roman"/>
          <w:b/>
          <w:bCs/>
        </w:rPr>
        <w:t>41</w:t>
      </w:r>
      <w:r w:rsidR="0084023D" w:rsidRPr="00976D4B">
        <w:rPr>
          <w:rFonts w:ascii="Times New Roman" w:hAnsi="Times New Roman" w:cs="Times New Roman"/>
          <w:b/>
          <w:bCs/>
        </w:rPr>
        <w:t xml:space="preserve">. </w:t>
      </w:r>
      <w:r w:rsidRPr="00976D4B">
        <w:rPr>
          <w:rFonts w:ascii="Times New Roman" w:hAnsi="Times New Roman" w:cs="Times New Roman"/>
          <w:b/>
          <w:bCs/>
        </w:rPr>
        <w:t>Kumar et al., 2021)</w:t>
      </w:r>
      <w:r w:rsidR="00976D4B">
        <w:rPr>
          <w:rFonts w:ascii="Times New Roman" w:hAnsi="Times New Roman" w:cs="Times New Roman"/>
          <w:b/>
          <w:bCs/>
        </w:rPr>
        <w:t xml:space="preserve">. </w:t>
      </w:r>
      <w:r w:rsidR="00976D4B" w:rsidRPr="00976D4B">
        <w:rPr>
          <w:rFonts w:ascii="Times New Roman" w:hAnsi="Times New Roman" w:cs="Times New Roman"/>
        </w:rPr>
        <w:t>Lysine and saponin have minimal direct influence, supporting the feasibility of simultaneous improvement of yield and quality. From a market perspective, lower saponin content is particularly advantageous, as it improves taste, reduces processing costs, and increases consumer acceptance, ultimately enhancing the economic value of quinoa grains.</w:t>
      </w:r>
      <w:r w:rsidRPr="00976D4B">
        <w:rPr>
          <w:rFonts w:ascii="Times New Roman" w:hAnsi="Times New Roman" w:cs="Times New Roman"/>
        </w:rPr>
        <w:t xml:space="preserve"> Collectively, the integrated analysis of genetic parameters, trait associations, and cause–effect relationships underscores the potential for improving quinoa seed yield</w:t>
      </w:r>
      <w:r w:rsidR="00976D4B">
        <w:rPr>
          <w:rFonts w:ascii="Times New Roman" w:hAnsi="Times New Roman" w:cs="Times New Roman"/>
        </w:rPr>
        <w:t xml:space="preserve"> and quality </w:t>
      </w:r>
      <w:r w:rsidRPr="00976D4B">
        <w:rPr>
          <w:rFonts w:ascii="Times New Roman" w:hAnsi="Times New Roman" w:cs="Times New Roman"/>
        </w:rPr>
        <w:t>through targeted selection of key component traits, thereb</w:t>
      </w:r>
      <w:r w:rsidR="00976D4B">
        <w:rPr>
          <w:rFonts w:ascii="Times New Roman" w:hAnsi="Times New Roman" w:cs="Times New Roman"/>
        </w:rPr>
        <w:t xml:space="preserve">y supporting the development of </w:t>
      </w:r>
      <w:r w:rsidR="00976D4B" w:rsidRPr="00976D4B">
        <w:rPr>
          <w:rFonts w:ascii="Times New Roman" w:hAnsi="Times New Roman" w:cs="Times New Roman"/>
        </w:rPr>
        <w:t xml:space="preserve">nutritionally superior </w:t>
      </w:r>
      <w:r w:rsidRPr="00976D4B">
        <w:rPr>
          <w:rFonts w:ascii="Times New Roman" w:hAnsi="Times New Roman" w:cs="Times New Roman"/>
        </w:rPr>
        <w:t xml:space="preserve">high-yielding and stable cultivars suited to diverse and changing agro-climatic conditions </w:t>
      </w:r>
      <w:r w:rsidRPr="00976D4B">
        <w:rPr>
          <w:rFonts w:ascii="Times New Roman" w:hAnsi="Times New Roman" w:cs="Times New Roman"/>
          <w:b/>
          <w:bCs/>
        </w:rPr>
        <w:t>(</w:t>
      </w:r>
      <w:r w:rsidR="0084023D" w:rsidRPr="00976D4B">
        <w:rPr>
          <w:rFonts w:ascii="Times New Roman" w:hAnsi="Times New Roman" w:cs="Times New Roman"/>
          <w:b/>
          <w:bCs/>
        </w:rPr>
        <w:t xml:space="preserve">18. </w:t>
      </w:r>
      <w:r w:rsidRPr="00976D4B">
        <w:rPr>
          <w:rFonts w:ascii="Times New Roman" w:hAnsi="Times New Roman" w:cs="Times New Roman"/>
          <w:b/>
          <w:bCs/>
        </w:rPr>
        <w:t xml:space="preserve">El-Hazzam et al., 2020; </w:t>
      </w:r>
      <w:r w:rsidR="00976D4B">
        <w:rPr>
          <w:rFonts w:ascii="Times New Roman" w:hAnsi="Times New Roman" w:cs="Times New Roman"/>
          <w:b/>
          <w:bCs/>
        </w:rPr>
        <w:t>42</w:t>
      </w:r>
      <w:r w:rsidR="0084023D" w:rsidRPr="00976D4B">
        <w:rPr>
          <w:rFonts w:ascii="Times New Roman" w:hAnsi="Times New Roman" w:cs="Times New Roman"/>
          <w:b/>
          <w:bCs/>
        </w:rPr>
        <w:t xml:space="preserve">. </w:t>
      </w:r>
      <w:r w:rsidRPr="00976D4B">
        <w:rPr>
          <w:rFonts w:ascii="Times New Roman" w:hAnsi="Times New Roman" w:cs="Times New Roman"/>
          <w:b/>
          <w:bCs/>
        </w:rPr>
        <w:t>Singh et al., 2023).</w:t>
      </w:r>
    </w:p>
    <w:p w14:paraId="6AE6CC6A" w14:textId="77777777" w:rsidR="00F4404C" w:rsidRPr="008F68DF" w:rsidRDefault="00F4404C" w:rsidP="00F4404C">
      <w:pPr>
        <w:spacing w:line="360" w:lineRule="auto"/>
        <w:jc w:val="both"/>
        <w:rPr>
          <w:rFonts w:ascii="Times New Roman" w:hAnsi="Times New Roman" w:cs="Times New Roman"/>
          <w:b/>
          <w:bCs/>
        </w:rPr>
      </w:pPr>
      <w:r w:rsidRPr="008F68DF">
        <w:rPr>
          <w:rFonts w:ascii="Times New Roman" w:hAnsi="Times New Roman" w:cs="Times New Roman"/>
          <w:b/>
          <w:bCs/>
        </w:rPr>
        <w:t>5. Conclusion</w:t>
      </w:r>
    </w:p>
    <w:p w14:paraId="333CF7F8" w14:textId="77777777" w:rsidR="004F14D4" w:rsidRPr="004F14D4" w:rsidRDefault="004F14D4" w:rsidP="004F14D4">
      <w:pPr>
        <w:spacing w:line="360" w:lineRule="auto"/>
        <w:jc w:val="both"/>
        <w:rPr>
          <w:rFonts w:ascii="Times New Roman" w:hAnsi="Times New Roman" w:cs="Times New Roman"/>
          <w:lang w:val="en-US"/>
        </w:rPr>
      </w:pPr>
      <w:r w:rsidRPr="004F14D4">
        <w:rPr>
          <w:rFonts w:ascii="Times New Roman" w:hAnsi="Times New Roman" w:cs="Times New Roman"/>
          <w:lang w:val="en-US"/>
        </w:rPr>
        <w:t>This study highlights the presence of considerable genetic diversity among quinoa genotypes for yield, yield-related traits, and nutritional characters, offering clear opportunities for improvement through selection. Traits such as seed yield per plant, biological yield, inflorescence traits, and important biochemical attributes showed high heritability along with substantial genetic advance, indicating that these characters are largely governed by additive gene effects and can be effectively improved through direct selection. Among all traits, biological yield per plant emerged as the most important contributor to seed yield, supported by harvest index and inflorescence characteristics, emphasizing their central role in determining productivity.</w:t>
      </w:r>
    </w:p>
    <w:p w14:paraId="4501A981" w14:textId="77777777" w:rsidR="004F14D4" w:rsidRPr="004F14D4" w:rsidRDefault="004F14D4" w:rsidP="004F14D4">
      <w:pPr>
        <w:spacing w:line="360" w:lineRule="auto"/>
        <w:jc w:val="both"/>
        <w:rPr>
          <w:rFonts w:ascii="Times New Roman" w:hAnsi="Times New Roman" w:cs="Times New Roman"/>
          <w:lang w:val="en-US"/>
        </w:rPr>
      </w:pPr>
      <w:r w:rsidRPr="004F14D4">
        <w:rPr>
          <w:rFonts w:ascii="Times New Roman" w:hAnsi="Times New Roman" w:cs="Times New Roman"/>
          <w:lang w:val="en-US"/>
        </w:rPr>
        <w:t xml:space="preserve">The biochemical evaluation adds significant value to this work, as quinoa is widely recognized for its exceptional nutritional quality. The strong genetic control over protein, lysine, and saponin content, combined with their minimal influence on yield, suggests that nutritional enhancement can be achieved without sacrificing productivity. This opens the possibility of developing quinoa varieties that are not only high yielding but also nutritionally superior and more consumer-acceptable. Future studies should focus </w:t>
      </w:r>
      <w:r w:rsidRPr="004F14D4">
        <w:rPr>
          <w:rFonts w:ascii="Times New Roman" w:hAnsi="Times New Roman" w:cs="Times New Roman"/>
          <w:lang w:val="en-US"/>
        </w:rPr>
        <w:lastRenderedPageBreak/>
        <w:t>on validating these findings across environments and incorporating molecular tools to speed up the development of resilient, high-quality quinoa cultivars suited to diverse growing conditions.</w:t>
      </w:r>
    </w:p>
    <w:p w14:paraId="6BD08D7B" w14:textId="77777777" w:rsidR="0042057A" w:rsidRPr="008F68DF" w:rsidRDefault="0042057A" w:rsidP="00F4404C">
      <w:pPr>
        <w:spacing w:line="360" w:lineRule="auto"/>
        <w:jc w:val="both"/>
        <w:rPr>
          <w:rFonts w:ascii="Times New Roman" w:hAnsi="Times New Roman" w:cs="Times New Roman"/>
        </w:rPr>
      </w:pPr>
    </w:p>
    <w:p w14:paraId="3AD09CCC" w14:textId="77777777" w:rsidR="0042057A" w:rsidRPr="008F68DF" w:rsidRDefault="0042057A" w:rsidP="00F4404C">
      <w:pPr>
        <w:spacing w:line="360" w:lineRule="auto"/>
        <w:jc w:val="both"/>
        <w:rPr>
          <w:rFonts w:ascii="Times New Roman" w:hAnsi="Times New Roman" w:cs="Times New Roman"/>
        </w:rPr>
      </w:pPr>
    </w:p>
    <w:p w14:paraId="701C1459" w14:textId="77777777" w:rsidR="0042057A" w:rsidRPr="008F68DF" w:rsidRDefault="0042057A" w:rsidP="00F4404C">
      <w:pPr>
        <w:spacing w:line="360" w:lineRule="auto"/>
        <w:jc w:val="both"/>
        <w:rPr>
          <w:rFonts w:ascii="Times New Roman" w:hAnsi="Times New Roman" w:cs="Times New Roman"/>
        </w:rPr>
      </w:pPr>
    </w:p>
    <w:p w14:paraId="00459D29" w14:textId="77777777" w:rsidR="0042057A" w:rsidRPr="008F68DF" w:rsidRDefault="0042057A" w:rsidP="0042057A">
      <w:pPr>
        <w:spacing w:after="200" w:line="276" w:lineRule="auto"/>
        <w:rPr>
          <w:rFonts w:ascii="Times New Roman" w:hAnsi="Times New Roman" w:cs="Times New Roman"/>
          <w:b/>
          <w:bCs/>
          <w:color w:val="000000" w:themeColor="text1"/>
          <w:sz w:val="24"/>
          <w:szCs w:val="24"/>
        </w:rPr>
        <w:sectPr w:rsidR="0042057A" w:rsidRPr="008F68DF" w:rsidSect="00FD0CCE">
          <w:type w:val="continuous"/>
          <w:pgSz w:w="12240" w:h="15840"/>
          <w:pgMar w:top="1440" w:right="1440" w:bottom="1440" w:left="1440" w:header="708" w:footer="708" w:gutter="0"/>
          <w:cols w:space="708"/>
          <w:docGrid w:linePitch="360"/>
        </w:sectPr>
      </w:pPr>
    </w:p>
    <w:p w14:paraId="09AAE712" w14:textId="77777777" w:rsidR="00930F79" w:rsidRPr="008F68DF" w:rsidRDefault="00930F79" w:rsidP="00FD4DEA">
      <w:pPr>
        <w:spacing w:after="0"/>
        <w:ind w:firstLine="360"/>
        <w:rPr>
          <w:rFonts w:ascii="Times New Roman" w:hAnsi="Times New Roman" w:cs="Times New Roman"/>
          <w:b/>
          <w:bCs/>
        </w:rPr>
      </w:pPr>
      <w:commentRangeStart w:id="7"/>
      <w:r w:rsidRPr="008F68DF">
        <w:rPr>
          <w:rFonts w:ascii="Times New Roman" w:hAnsi="Times New Roman" w:cs="Times New Roman"/>
          <w:b/>
          <w:bCs/>
        </w:rPr>
        <w:t>References</w:t>
      </w:r>
    </w:p>
    <w:p w14:paraId="7C6F415A"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Choukr-Allah R. (1996). The potential of halophytes in the development and rehabilitation of arid and semi-arid zones. In: Halophytes and Bio-Saline Agricultur. </w:t>
      </w:r>
      <w:r w:rsidRPr="008F68DF">
        <w:rPr>
          <w:rFonts w:ascii="Times New Roman" w:hAnsi="Times New Roman" w:cs="Times New Roman"/>
          <w:b/>
          <w:bCs/>
          <w:color w:val="000000" w:themeColor="text1"/>
        </w:rPr>
        <w:t>3</w:t>
      </w:r>
      <w:r w:rsidRPr="008F68DF">
        <w:rPr>
          <w:rFonts w:ascii="Times New Roman" w:hAnsi="Times New Roman" w:cs="Times New Roman"/>
          <w:color w:val="000000" w:themeColor="text1"/>
        </w:rPr>
        <w:t>: 13.</w:t>
      </w:r>
    </w:p>
    <w:p w14:paraId="532B2188"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Jacobsen S. E.; Mujica, A. and Jensen, C. R. (2003). The resistance of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Willd.) to adverse abiotic factors. </w:t>
      </w:r>
      <w:r w:rsidRPr="008F68DF">
        <w:rPr>
          <w:rFonts w:ascii="Times New Roman" w:hAnsi="Times New Roman" w:cs="Times New Roman"/>
          <w:i/>
          <w:iCs/>
          <w:color w:val="000000" w:themeColor="text1"/>
        </w:rPr>
        <w:t>Food Reviews International</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19</w:t>
      </w:r>
      <w:r w:rsidRPr="008F68DF">
        <w:rPr>
          <w:rFonts w:ascii="Times New Roman" w:hAnsi="Times New Roman" w:cs="Times New Roman"/>
          <w:color w:val="000000" w:themeColor="text1"/>
        </w:rPr>
        <w:t>(1-2): 99-109.</w:t>
      </w:r>
    </w:p>
    <w:p w14:paraId="38B23519"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Erley G. S. A.; Kaul, H. P.; Kruse, M. and Aufhammer, W. (2005). Yield and nitrogen utilization efficiency of the pseudo-cereals amaranth, quinoa and buckwheat under differing nitrogen fertilization. </w:t>
      </w:r>
      <w:r w:rsidRPr="008F68DF">
        <w:rPr>
          <w:rFonts w:ascii="Times New Roman" w:hAnsi="Times New Roman" w:cs="Times New Roman"/>
          <w:i/>
          <w:iCs/>
          <w:color w:val="000000" w:themeColor="text1"/>
        </w:rPr>
        <w:t>European Journal of Agronomy</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22</w:t>
      </w:r>
      <w:r w:rsidRPr="008F68DF">
        <w:rPr>
          <w:rFonts w:ascii="Times New Roman" w:hAnsi="Times New Roman" w:cs="Times New Roman"/>
          <w:color w:val="000000" w:themeColor="text1"/>
        </w:rPr>
        <w:t>: 95-100.</w:t>
      </w:r>
    </w:p>
    <w:p w14:paraId="27ABDFFE"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Bonifacio, A. (2006). Frost and hail tolerance in quinoa crop and traditional knowledge to handle these adverse factors. </w:t>
      </w:r>
      <w:r w:rsidRPr="008F68DF">
        <w:rPr>
          <w:rFonts w:ascii="Times New Roman" w:hAnsi="Times New Roman" w:cs="Times New Roman"/>
          <w:i/>
          <w:iCs/>
          <w:color w:val="000000" w:themeColor="text1"/>
        </w:rPr>
        <w:t>International Plant Genetic Resources Institute, Rome, Italy</w:t>
      </w:r>
      <w:r w:rsidRPr="008F68DF">
        <w:rPr>
          <w:rFonts w:ascii="Times New Roman" w:hAnsi="Times New Roman" w:cs="Times New Roman"/>
          <w:color w:val="000000" w:themeColor="text1"/>
        </w:rPr>
        <w:t>. 68-71.</w:t>
      </w:r>
    </w:p>
    <w:p w14:paraId="07BCD9EF"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FAO. (1998). Under-utilized Andean Food Crops, Food and Agriculture Organization, Rome, Italy.</w:t>
      </w:r>
    </w:p>
    <w:p w14:paraId="73016450"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Tapia, M. E. (1979). Historia of distribucion geographica in quinoa</w:t>
      </w:r>
      <w:r w:rsidRPr="008F68DF">
        <w:rPr>
          <w:rFonts w:ascii="Times New Roman" w:hAnsi="Times New Roman" w:cs="Times New Roman"/>
          <w:i/>
          <w:iCs/>
          <w:color w:val="000000" w:themeColor="text1"/>
        </w:rPr>
        <w:t xml:space="preserve"> </w:t>
      </w:r>
      <w:r w:rsidRPr="008F68DF">
        <w:rPr>
          <w:rFonts w:ascii="Times New Roman" w:hAnsi="Times New Roman" w:cs="Times New Roman"/>
          <w:color w:val="000000" w:themeColor="text1"/>
        </w:rPr>
        <w:t>(</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t>
      </w:r>
      <w:r w:rsidRPr="008F68DF">
        <w:rPr>
          <w:rFonts w:ascii="Times New Roman" w:hAnsi="Times New Roman" w:cs="Times New Roman"/>
          <w:i/>
          <w:iCs/>
          <w:color w:val="000000" w:themeColor="text1"/>
        </w:rPr>
        <w:t>Institute of International Journal of Bagota</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11</w:t>
      </w:r>
      <w:r w:rsidRPr="008F68DF">
        <w:rPr>
          <w:rFonts w:ascii="Times New Roman" w:hAnsi="Times New Roman" w:cs="Times New Roman"/>
          <w:color w:val="000000" w:themeColor="text1"/>
        </w:rPr>
        <w:t>: 15</w:t>
      </w:r>
    </w:p>
    <w:p w14:paraId="17723DA3"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Mujica, A. (1992). Cultivating marginados: otra perspectiva. </w:t>
      </w:r>
      <w:r w:rsidRPr="008F68DF">
        <w:rPr>
          <w:rFonts w:ascii="Times New Roman" w:hAnsi="Times New Roman" w:cs="Times New Roman"/>
          <w:i/>
          <w:iCs/>
          <w:color w:val="000000" w:themeColor="text1"/>
          <w:shd w:val="clear" w:color="auto" w:fill="FFFFFF"/>
        </w:rPr>
        <w:t xml:space="preserve">Journal of the American Chemistry. </w:t>
      </w:r>
      <w:r w:rsidRPr="008F68DF">
        <w:rPr>
          <w:rFonts w:ascii="Times New Roman" w:hAnsi="Times New Roman" w:cs="Times New Roman"/>
          <w:b/>
          <w:bCs/>
          <w:color w:val="000000" w:themeColor="text1"/>
        </w:rPr>
        <w:t>12:</w:t>
      </w:r>
      <w:r w:rsidRPr="008F68DF">
        <w:rPr>
          <w:rFonts w:ascii="Times New Roman" w:hAnsi="Times New Roman" w:cs="Times New Roman"/>
          <w:color w:val="000000" w:themeColor="text1"/>
        </w:rPr>
        <w:t xml:space="preserve"> 146.</w:t>
      </w:r>
    </w:p>
    <w:p w14:paraId="14B35156"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Jancurova, M.; Minarovicova L. and Dandar, A. (2009). Quinoa - a review. </w:t>
      </w:r>
      <w:r w:rsidRPr="008F68DF">
        <w:rPr>
          <w:rFonts w:ascii="Times New Roman" w:hAnsi="Times New Roman" w:cs="Times New Roman"/>
          <w:i/>
          <w:iCs/>
          <w:color w:val="000000" w:themeColor="text1"/>
        </w:rPr>
        <w:t>Czech Journal Food Science.</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27</w:t>
      </w:r>
      <w:r w:rsidRPr="008F68DF">
        <w:rPr>
          <w:rFonts w:ascii="Times New Roman" w:hAnsi="Times New Roman" w:cs="Times New Roman"/>
          <w:color w:val="000000" w:themeColor="text1"/>
        </w:rPr>
        <w:t>: 71-79.</w:t>
      </w:r>
    </w:p>
    <w:p w14:paraId="3E440FC8"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Risi, J. and Galwey, N. W. (1989). Chenopodium grains of the Andes: a crop for the temperate latitudes. </w:t>
      </w:r>
      <w:r w:rsidRPr="008F68DF">
        <w:rPr>
          <w:rFonts w:ascii="Times New Roman" w:hAnsi="Times New Roman" w:cs="Times New Roman"/>
          <w:i/>
          <w:iCs/>
          <w:color w:val="000000" w:themeColor="text1"/>
        </w:rPr>
        <w:t>New Crops For Food and Industry</w:t>
      </w:r>
      <w:r w:rsidRPr="008F68DF">
        <w:rPr>
          <w:rFonts w:ascii="Times New Roman" w:hAnsi="Times New Roman" w:cs="Times New Roman"/>
          <w:color w:val="000000" w:themeColor="text1"/>
        </w:rPr>
        <w:t xml:space="preserve">. New York. </w:t>
      </w:r>
      <w:r w:rsidRPr="008F68DF">
        <w:rPr>
          <w:rFonts w:ascii="Times New Roman" w:hAnsi="Times New Roman" w:cs="Times New Roman"/>
          <w:b/>
          <w:bCs/>
          <w:color w:val="000000" w:themeColor="text1"/>
        </w:rPr>
        <w:t>6</w:t>
      </w:r>
      <w:r w:rsidRPr="008F68DF">
        <w:rPr>
          <w:rFonts w:ascii="Times New Roman" w:hAnsi="Times New Roman" w:cs="Times New Roman"/>
          <w:color w:val="000000" w:themeColor="text1"/>
        </w:rPr>
        <w:t>(12).</w:t>
      </w:r>
    </w:p>
    <w:p w14:paraId="541E46B1"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Heiser, C. B. and Nelson, D. C. (1974). On the origin of cultivated chenopods (</w:t>
      </w:r>
      <w:r w:rsidRPr="008F68DF">
        <w:rPr>
          <w:rFonts w:ascii="Times New Roman" w:hAnsi="Times New Roman" w:cs="Times New Roman"/>
          <w:i/>
          <w:iCs/>
          <w:color w:val="000000" w:themeColor="text1"/>
        </w:rPr>
        <w:t xml:space="preserve">Chenopodium quinoa </w:t>
      </w:r>
      <w:r w:rsidRPr="008F68DF">
        <w:rPr>
          <w:rFonts w:ascii="Times New Roman" w:hAnsi="Times New Roman" w:cs="Times New Roman"/>
          <w:color w:val="000000" w:themeColor="text1"/>
        </w:rPr>
        <w:t xml:space="preserve">). </w:t>
      </w:r>
      <w:r w:rsidRPr="008F68DF">
        <w:rPr>
          <w:rFonts w:ascii="Times New Roman" w:hAnsi="Times New Roman" w:cs="Times New Roman"/>
          <w:i/>
          <w:iCs/>
          <w:color w:val="000000" w:themeColor="text1"/>
        </w:rPr>
        <w:t>Genetica</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78</w:t>
      </w:r>
      <w:r w:rsidRPr="008F68DF">
        <w:rPr>
          <w:rFonts w:ascii="Times New Roman" w:hAnsi="Times New Roman" w:cs="Times New Roman"/>
          <w:color w:val="000000" w:themeColor="text1"/>
        </w:rPr>
        <w:t>: 503-505.</w:t>
      </w:r>
    </w:p>
    <w:p w14:paraId="288AE8BE"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Maughan, P. J.; Bonofacio, A.; Jellen, E. N.; Stevens, M. R.; Coleman, C. E.; Ricks, M.; Mason, S. L.; Jarvis, D. E.; Gardunia, B. W. and Fairbanks, D. J. (2004). A genetic linkage map of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base on AFLP, RAPD and SSR markers. </w:t>
      </w:r>
      <w:r w:rsidRPr="008F68DF">
        <w:rPr>
          <w:rFonts w:ascii="Times New Roman" w:hAnsi="Times New Roman" w:cs="Times New Roman"/>
          <w:i/>
          <w:iCs/>
          <w:color w:val="000000" w:themeColor="text1"/>
        </w:rPr>
        <w:t>Theoretical Applied to Genetics</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109</w:t>
      </w:r>
      <w:r w:rsidRPr="008F68DF">
        <w:rPr>
          <w:rFonts w:ascii="Times New Roman" w:hAnsi="Times New Roman" w:cs="Times New Roman"/>
          <w:color w:val="000000" w:themeColor="text1"/>
        </w:rPr>
        <w:t>: 118-195.</w:t>
      </w:r>
    </w:p>
    <w:p w14:paraId="740F7ED6"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Valencia-Chamorro, S. A. (2003). Inroduction of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E</w:t>
      </w:r>
      <w:r w:rsidRPr="008F68DF">
        <w:rPr>
          <w:rFonts w:ascii="Times New Roman" w:hAnsi="Times New Roman" w:cs="Times New Roman"/>
          <w:i/>
          <w:iCs/>
          <w:color w:val="000000" w:themeColor="text1"/>
        </w:rPr>
        <w:t>ncyclopedia of Food Science and Nutrition</w:t>
      </w:r>
      <w:r w:rsidRPr="008F68DF">
        <w:rPr>
          <w:rFonts w:ascii="Times New Roman" w:hAnsi="Times New Roman" w:cs="Times New Roman"/>
          <w:color w:val="000000" w:themeColor="text1"/>
        </w:rPr>
        <w:t>.</w:t>
      </w:r>
      <w:r w:rsidRPr="008F68DF">
        <w:rPr>
          <w:rFonts w:ascii="Times New Roman" w:hAnsi="Times New Roman" w:cs="Times New Roman"/>
          <w:b/>
          <w:bCs/>
          <w:color w:val="000000" w:themeColor="text1"/>
        </w:rPr>
        <w:t xml:space="preserve"> 8</w:t>
      </w:r>
      <w:r w:rsidRPr="008F68DF">
        <w:rPr>
          <w:rFonts w:ascii="Times New Roman" w:hAnsi="Times New Roman" w:cs="Times New Roman"/>
          <w:color w:val="000000" w:themeColor="text1"/>
        </w:rPr>
        <w:t>: 4895-4902.</w:t>
      </w:r>
    </w:p>
    <w:p w14:paraId="1181D254" w14:textId="77777777" w:rsidR="00930F79" w:rsidRPr="008F68DF" w:rsidRDefault="00930F79" w:rsidP="00930F79">
      <w:pPr>
        <w:pStyle w:val="NoSpacing"/>
        <w:numPr>
          <w:ilvl w:val="0"/>
          <w:numId w:val="2"/>
        </w:numPr>
        <w:jc w:val="both"/>
        <w:rPr>
          <w:rFonts w:ascii="Times New Roman" w:hAnsi="Times New Roman" w:cs="Times New Roman"/>
          <w:color w:val="000000" w:themeColor="text1"/>
          <w:w w:val="90"/>
        </w:rPr>
      </w:pPr>
      <w:r w:rsidRPr="008F68DF">
        <w:rPr>
          <w:rFonts w:ascii="Times New Roman" w:hAnsi="Times New Roman" w:cs="Times New Roman"/>
          <w:color w:val="000000" w:themeColor="text1"/>
        </w:rPr>
        <w:t>Abugoch James, L. E. (2009).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Willd.) composition, chemistry, nutritional, and functional properties. </w:t>
      </w:r>
      <w:r w:rsidRPr="008F68DF">
        <w:rPr>
          <w:rFonts w:ascii="Times New Roman" w:hAnsi="Times New Roman" w:cs="Times New Roman"/>
          <w:i/>
          <w:iCs/>
          <w:color w:val="000000" w:themeColor="text1"/>
        </w:rPr>
        <w:t xml:space="preserve">Advances In Food and </w:t>
      </w:r>
      <w:r w:rsidRPr="008F68DF">
        <w:rPr>
          <w:rFonts w:ascii="Times New Roman" w:hAnsi="Times New Roman" w:cs="Times New Roman"/>
          <w:i/>
          <w:iCs/>
          <w:color w:val="000000" w:themeColor="text1"/>
          <w:w w:val="90"/>
        </w:rPr>
        <w:t xml:space="preserve">Nutrition Research. </w:t>
      </w:r>
      <w:r w:rsidRPr="008F68DF">
        <w:rPr>
          <w:rFonts w:ascii="Times New Roman" w:hAnsi="Times New Roman" w:cs="Times New Roman"/>
          <w:b/>
          <w:bCs/>
          <w:color w:val="000000" w:themeColor="text1"/>
          <w:w w:val="90"/>
        </w:rPr>
        <w:t>58</w:t>
      </w:r>
      <w:r w:rsidRPr="008F68DF">
        <w:rPr>
          <w:rFonts w:ascii="Times New Roman" w:hAnsi="Times New Roman" w:cs="Times New Roman"/>
          <w:color w:val="000000" w:themeColor="text1"/>
          <w:w w:val="90"/>
        </w:rPr>
        <w:t>: 1-31. https://doi.org/10.1016/S1043-4526(09)58001.</w:t>
      </w:r>
    </w:p>
    <w:p w14:paraId="3C6E9A49"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Vilcacundo, R. and Hernandez, B. (2017). The nutritional and biological value of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Willd.). </w:t>
      </w:r>
      <w:r w:rsidRPr="008F68DF">
        <w:rPr>
          <w:rFonts w:ascii="Times New Roman" w:hAnsi="Times New Roman" w:cs="Times New Roman"/>
          <w:i/>
          <w:iCs/>
          <w:color w:val="000000" w:themeColor="text1"/>
        </w:rPr>
        <w:t>Current Opinion In Food Science</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14:</w:t>
      </w:r>
      <w:r w:rsidRPr="008F68DF">
        <w:rPr>
          <w:rFonts w:ascii="Times New Roman" w:hAnsi="Times New Roman" w:cs="Times New Roman"/>
          <w:color w:val="000000" w:themeColor="text1"/>
        </w:rPr>
        <w:t xml:space="preserve"> 1-6.</w:t>
      </w:r>
    </w:p>
    <w:p w14:paraId="7A21BE14"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hd w:val="clear" w:color="auto" w:fill="FFFFFF"/>
        </w:rPr>
      </w:pPr>
      <w:r w:rsidRPr="008F68DF">
        <w:rPr>
          <w:rFonts w:ascii="Times New Roman" w:hAnsi="Times New Roman" w:cs="Times New Roman"/>
          <w:color w:val="000000" w:themeColor="text1"/>
        </w:rPr>
        <w:t>Navruz-Varli, S. and Sanlier, N. (2016). Nutritional and health benefits of quinoa (</w:t>
      </w:r>
      <w:r w:rsidRPr="008F68DF">
        <w:rPr>
          <w:rFonts w:ascii="Times New Roman" w:hAnsi="Times New Roman" w:cs="Times New Roman"/>
          <w:i/>
          <w:iCs/>
          <w:color w:val="000000" w:themeColor="text1"/>
        </w:rPr>
        <w:t>Chenopodium quinoa</w:t>
      </w:r>
      <w:r w:rsidRPr="008F68DF">
        <w:rPr>
          <w:rFonts w:ascii="Times New Roman" w:hAnsi="Times New Roman" w:cs="Times New Roman"/>
          <w:color w:val="000000" w:themeColor="text1"/>
        </w:rPr>
        <w:t xml:space="preserve"> Willd.). </w:t>
      </w:r>
      <w:r w:rsidRPr="008F68DF">
        <w:rPr>
          <w:rFonts w:ascii="Times New Roman" w:hAnsi="Times New Roman" w:cs="Times New Roman"/>
          <w:i/>
          <w:iCs/>
          <w:color w:val="000000" w:themeColor="text1"/>
        </w:rPr>
        <w:t>Journal Cereal Science</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69</w:t>
      </w:r>
      <w:r w:rsidRPr="008F68DF">
        <w:rPr>
          <w:rFonts w:ascii="Times New Roman" w:hAnsi="Times New Roman" w:cs="Times New Roman"/>
          <w:color w:val="000000" w:themeColor="text1"/>
        </w:rPr>
        <w:t>: 371-376. https://doi. org/10.1016/j.jcs.2016.05.004.</w:t>
      </w:r>
    </w:p>
    <w:p w14:paraId="7B86041E"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Filho, A. M. M.; Pirozi, M. R.; Borges, J. T. D. S.; Pinheiro Sant’ana, H. M.; Chaves, J. B. P. and Coimbra, J. S. D. R. (2017). Quinoa: Nutritional, functional and antinutritional aspects. </w:t>
      </w:r>
      <w:r w:rsidRPr="008F68DF">
        <w:rPr>
          <w:rFonts w:ascii="Times New Roman" w:hAnsi="Times New Roman" w:cs="Times New Roman"/>
          <w:i/>
          <w:iCs/>
          <w:color w:val="000000" w:themeColor="text1"/>
        </w:rPr>
        <w:t>Critical Reviews In Food Science and Nutrition</w:t>
      </w:r>
      <w:r w:rsidRPr="008F68DF">
        <w:rPr>
          <w:rFonts w:ascii="Times New Roman" w:hAnsi="Times New Roman" w:cs="Times New Roman"/>
          <w:color w:val="000000" w:themeColor="text1"/>
        </w:rPr>
        <w:t xml:space="preserve">. </w:t>
      </w:r>
      <w:r w:rsidRPr="008F68DF">
        <w:rPr>
          <w:rFonts w:ascii="Times New Roman" w:hAnsi="Times New Roman" w:cs="Times New Roman"/>
          <w:b/>
          <w:bCs/>
          <w:color w:val="000000" w:themeColor="text1"/>
        </w:rPr>
        <w:t>57</w:t>
      </w:r>
      <w:r w:rsidRPr="008F68DF">
        <w:rPr>
          <w:rFonts w:ascii="Times New Roman" w:hAnsi="Times New Roman" w:cs="Times New Roman"/>
          <w:color w:val="000000" w:themeColor="text1"/>
        </w:rPr>
        <w:t>(8): 1618- 1630. https://doi.org/10.1080/ 10408398.2014. 100181.</w:t>
      </w:r>
    </w:p>
    <w:p w14:paraId="5F58E0AB" w14:textId="77777777" w:rsidR="00930F79" w:rsidRPr="008F68DF" w:rsidRDefault="00930F79" w:rsidP="00930F79">
      <w:pPr>
        <w:pStyle w:val="NoSpacing"/>
        <w:numPr>
          <w:ilvl w:val="0"/>
          <w:numId w:val="2"/>
        </w:numPr>
        <w:jc w:val="both"/>
        <w:rPr>
          <w:rFonts w:ascii="Times New Roman" w:hAnsi="Times New Roman" w:cs="Times New Roman"/>
          <w:color w:val="000000" w:themeColor="text1"/>
        </w:rPr>
      </w:pPr>
      <w:r w:rsidRPr="008F68DF">
        <w:rPr>
          <w:rFonts w:ascii="Times New Roman" w:hAnsi="Times New Roman" w:cs="Times New Roman"/>
          <w:color w:val="000000" w:themeColor="text1"/>
        </w:rPr>
        <w:t xml:space="preserve">Carrasco, E. and Soto, J. (2010). Importance of Andean grains. </w:t>
      </w:r>
      <w:r w:rsidRPr="008F68DF">
        <w:rPr>
          <w:rFonts w:ascii="Times New Roman" w:hAnsi="Times New Roman" w:cs="Times New Roman"/>
          <w:i/>
          <w:iCs/>
          <w:color w:val="000000" w:themeColor="text1"/>
        </w:rPr>
        <w:t>Biodiversity International</w:t>
      </w:r>
      <w:r w:rsidRPr="008F68DF">
        <w:rPr>
          <w:rFonts w:ascii="Times New Roman" w:hAnsi="Times New Roman" w:cs="Times New Roman"/>
          <w:color w:val="000000" w:themeColor="text1"/>
        </w:rPr>
        <w:t xml:space="preserve">. Rome, Italy. </w:t>
      </w:r>
      <w:r w:rsidRPr="008F68DF">
        <w:rPr>
          <w:rFonts w:ascii="Times New Roman" w:hAnsi="Times New Roman" w:cs="Times New Roman"/>
          <w:b/>
          <w:bCs/>
          <w:color w:val="000000" w:themeColor="text1"/>
        </w:rPr>
        <w:t>7</w:t>
      </w:r>
      <w:r w:rsidRPr="008F68DF">
        <w:rPr>
          <w:rFonts w:ascii="Times New Roman" w:hAnsi="Times New Roman" w:cs="Times New Roman"/>
          <w:color w:val="000000" w:themeColor="text1"/>
        </w:rPr>
        <w:t>: 172-183.</w:t>
      </w:r>
    </w:p>
    <w:p w14:paraId="6FAFDE01"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hd w:val="clear" w:color="auto" w:fill="FFFFFF"/>
        </w:rPr>
      </w:pPr>
      <w:r w:rsidRPr="008F68DF">
        <w:rPr>
          <w:rFonts w:ascii="Times New Roman" w:hAnsi="Times New Roman" w:cs="Times New Roman"/>
          <w:color w:val="000000" w:themeColor="text1"/>
          <w:shd w:val="clear" w:color="auto" w:fill="FFFFFF"/>
        </w:rPr>
        <w:lastRenderedPageBreak/>
        <w:t>El Hazzam, K.; Hafsa, J.; Sobeh, M.; Mhada, M.; Taourirte, M.; El Kacimi, K. and Yasri, A. (2020). An insight into saponins from Quinoa (</w:t>
      </w:r>
      <w:r w:rsidRPr="008F68DF">
        <w:rPr>
          <w:rFonts w:ascii="Times New Roman" w:hAnsi="Times New Roman" w:cs="Times New Roman"/>
          <w:i/>
          <w:iCs/>
          <w:color w:val="000000" w:themeColor="text1"/>
          <w:shd w:val="clear" w:color="auto" w:fill="FFFFFF"/>
        </w:rPr>
        <w:t>Chenopodium quinoa</w:t>
      </w:r>
      <w:r w:rsidRPr="008F68DF">
        <w:rPr>
          <w:rFonts w:ascii="Times New Roman" w:hAnsi="Times New Roman" w:cs="Times New Roman"/>
          <w:color w:val="000000" w:themeColor="text1"/>
          <w:shd w:val="clear" w:color="auto" w:fill="FFFFFF"/>
        </w:rPr>
        <w:t xml:space="preserve"> Willd): A review. </w:t>
      </w:r>
      <w:r w:rsidRPr="008F68DF">
        <w:rPr>
          <w:rFonts w:ascii="Times New Roman" w:hAnsi="Times New Roman" w:cs="Times New Roman"/>
          <w:i/>
          <w:iCs/>
          <w:color w:val="000000" w:themeColor="text1"/>
          <w:shd w:val="clear" w:color="auto" w:fill="FFFFFF"/>
        </w:rPr>
        <w:t>Molecules</w:t>
      </w:r>
      <w:r w:rsidRPr="008F68DF">
        <w:rPr>
          <w:rFonts w:ascii="Times New Roman" w:hAnsi="Times New Roman" w:cs="Times New Roman"/>
          <w:color w:val="000000" w:themeColor="text1"/>
          <w:shd w:val="clear" w:color="auto" w:fill="FFFFFF"/>
        </w:rPr>
        <w:t>. </w:t>
      </w:r>
      <w:r w:rsidRPr="008F68DF">
        <w:rPr>
          <w:rFonts w:ascii="Times New Roman" w:hAnsi="Times New Roman" w:cs="Times New Roman"/>
          <w:b/>
          <w:bCs/>
          <w:color w:val="000000" w:themeColor="text1"/>
          <w:shd w:val="clear" w:color="auto" w:fill="FFFFFF"/>
        </w:rPr>
        <w:t>25</w:t>
      </w:r>
      <w:r w:rsidRPr="008F68DF">
        <w:rPr>
          <w:rFonts w:ascii="Times New Roman" w:hAnsi="Times New Roman" w:cs="Times New Roman"/>
          <w:color w:val="000000" w:themeColor="text1"/>
          <w:shd w:val="clear" w:color="auto" w:fill="FFFFFF"/>
        </w:rPr>
        <w:t>(5): 1059.</w:t>
      </w:r>
    </w:p>
    <w:p w14:paraId="48E4BD0E"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hd w:val="clear" w:color="auto" w:fill="FFFFFF"/>
        </w:rPr>
      </w:pPr>
      <w:r w:rsidRPr="008F68DF">
        <w:rPr>
          <w:rFonts w:ascii="Times New Roman" w:hAnsi="Times New Roman" w:cs="Times New Roman"/>
          <w:color w:val="000000" w:themeColor="text1"/>
          <w:shd w:val="clear" w:color="auto" w:fill="FFFFFF"/>
        </w:rPr>
        <w:t>Bhargava, A.; Shukla, S. and Ohri, D. (2007). Genetic variability and interrelationship among various morphological and quality traits in quinoa (</w:t>
      </w:r>
      <w:r w:rsidRPr="008F68DF">
        <w:rPr>
          <w:rFonts w:ascii="Times New Roman" w:hAnsi="Times New Roman" w:cs="Times New Roman"/>
          <w:i/>
          <w:iCs/>
          <w:color w:val="000000" w:themeColor="text1"/>
          <w:shd w:val="clear" w:color="auto" w:fill="FFFFFF"/>
        </w:rPr>
        <w:t>Chenopodium quinoa</w:t>
      </w:r>
      <w:r w:rsidRPr="008F68DF">
        <w:rPr>
          <w:rFonts w:ascii="Times New Roman" w:hAnsi="Times New Roman" w:cs="Times New Roman"/>
          <w:color w:val="000000" w:themeColor="text1"/>
          <w:shd w:val="clear" w:color="auto" w:fill="FFFFFF"/>
        </w:rPr>
        <w:t xml:space="preserve"> Willd.). </w:t>
      </w:r>
      <w:r w:rsidRPr="008F68DF">
        <w:rPr>
          <w:rFonts w:ascii="Times New Roman" w:hAnsi="Times New Roman" w:cs="Times New Roman"/>
          <w:i/>
          <w:iCs/>
          <w:color w:val="000000" w:themeColor="text1"/>
          <w:shd w:val="clear" w:color="auto" w:fill="FFFFFF"/>
        </w:rPr>
        <w:t>Field Crops Research</w:t>
      </w:r>
      <w:r w:rsidRPr="008F68DF">
        <w:rPr>
          <w:rFonts w:ascii="Times New Roman" w:hAnsi="Times New Roman" w:cs="Times New Roman"/>
          <w:color w:val="000000" w:themeColor="text1"/>
          <w:shd w:val="clear" w:color="auto" w:fill="FFFFFF"/>
        </w:rPr>
        <w:t>. </w:t>
      </w:r>
      <w:r w:rsidRPr="008F68DF">
        <w:rPr>
          <w:rFonts w:ascii="Times New Roman" w:hAnsi="Times New Roman" w:cs="Times New Roman"/>
          <w:b/>
          <w:bCs/>
          <w:color w:val="000000" w:themeColor="text1"/>
          <w:shd w:val="clear" w:color="auto" w:fill="FFFFFF"/>
        </w:rPr>
        <w:t>101</w:t>
      </w:r>
      <w:r w:rsidRPr="008F68DF">
        <w:rPr>
          <w:rFonts w:ascii="Times New Roman" w:hAnsi="Times New Roman" w:cs="Times New Roman"/>
          <w:color w:val="000000" w:themeColor="text1"/>
          <w:shd w:val="clear" w:color="auto" w:fill="FFFFFF"/>
        </w:rPr>
        <w:t>(1):104-116.</w:t>
      </w:r>
    </w:p>
    <w:p w14:paraId="0A35A31F" w14:textId="77777777" w:rsidR="00AC723E" w:rsidRDefault="00930F79" w:rsidP="00AC723E">
      <w:pPr>
        <w:pStyle w:val="NoSpacing"/>
        <w:numPr>
          <w:ilvl w:val="0"/>
          <w:numId w:val="2"/>
        </w:numPr>
        <w:jc w:val="both"/>
        <w:rPr>
          <w:rFonts w:ascii="Times New Roman" w:hAnsi="Times New Roman" w:cs="Times New Roman"/>
          <w:color w:val="000000" w:themeColor="text1"/>
          <w:shd w:val="clear" w:color="auto" w:fill="FFFFFF"/>
        </w:rPr>
      </w:pPr>
      <w:r w:rsidRPr="008F68DF">
        <w:rPr>
          <w:rFonts w:ascii="Times New Roman" w:hAnsi="Times New Roman" w:cs="Times New Roman"/>
          <w:color w:val="000000" w:themeColor="text1"/>
          <w:shd w:val="clear" w:color="auto" w:fill="FFFFFF"/>
        </w:rPr>
        <w:t>Bhargava, A. and Ohri, D. (2016). Origin of genetic variability and improvement of quinoa (</w:t>
      </w:r>
      <w:r w:rsidRPr="008F68DF">
        <w:rPr>
          <w:rFonts w:ascii="Times New Roman" w:hAnsi="Times New Roman" w:cs="Times New Roman"/>
          <w:i/>
          <w:iCs/>
          <w:color w:val="000000" w:themeColor="text1"/>
          <w:shd w:val="clear" w:color="auto" w:fill="FFFFFF"/>
        </w:rPr>
        <w:t>Chenopodium quinoa</w:t>
      </w:r>
      <w:r w:rsidRPr="008F68DF">
        <w:rPr>
          <w:rFonts w:ascii="Times New Roman" w:hAnsi="Times New Roman" w:cs="Times New Roman"/>
          <w:color w:val="000000" w:themeColor="text1"/>
          <w:shd w:val="clear" w:color="auto" w:fill="FFFFFF"/>
        </w:rPr>
        <w:t xml:space="preserve"> Willd.). </w:t>
      </w:r>
      <w:r w:rsidRPr="008F68DF">
        <w:rPr>
          <w:rFonts w:ascii="Times New Roman" w:hAnsi="Times New Roman" w:cs="Times New Roman"/>
          <w:i/>
          <w:iCs/>
          <w:color w:val="000000" w:themeColor="text1"/>
          <w:shd w:val="clear" w:color="auto" w:fill="FFFFFF"/>
        </w:rPr>
        <w:t>In Gene Pool Diversity and Crop Improvement</w:t>
      </w:r>
      <w:r w:rsidRPr="008F68DF">
        <w:rPr>
          <w:rFonts w:ascii="Times New Roman" w:hAnsi="Times New Roman" w:cs="Times New Roman"/>
          <w:color w:val="000000" w:themeColor="text1"/>
          <w:shd w:val="clear" w:color="auto" w:fill="FFFFFF"/>
        </w:rPr>
        <w:t>. 241-270.</w:t>
      </w:r>
    </w:p>
    <w:p w14:paraId="46BF985B" w14:textId="77777777" w:rsidR="00930F79" w:rsidRPr="00AC723E" w:rsidRDefault="00930F79" w:rsidP="00AC723E">
      <w:pPr>
        <w:pStyle w:val="NoSpacing"/>
        <w:numPr>
          <w:ilvl w:val="0"/>
          <w:numId w:val="2"/>
        </w:numPr>
        <w:jc w:val="both"/>
        <w:rPr>
          <w:rFonts w:ascii="Times New Roman" w:hAnsi="Times New Roman" w:cs="Times New Roman"/>
          <w:color w:val="000000" w:themeColor="text1"/>
          <w:shd w:val="clear" w:color="auto" w:fill="FFFFFF"/>
        </w:rPr>
      </w:pPr>
      <w:r w:rsidRPr="00AC723E">
        <w:rPr>
          <w:rFonts w:ascii="Times New Roman" w:hAnsi="Times New Roman" w:cs="Times New Roman"/>
          <w:color w:val="000000" w:themeColor="text1"/>
        </w:rPr>
        <w:t xml:space="preserve">Maughan P. J.; Smith S. M.; Rojas-Beltran, J. A.; Elzinga, D.; Raney, J. A.; Jellen, E. N.; Bonifacio, A.; Udall, J. A. and Fairbanks, D. J. (2012). Single nucleotide polymorphism identification, characterization and linkage mapping in quinoa. </w:t>
      </w:r>
      <w:r w:rsidRPr="00AC723E">
        <w:rPr>
          <w:rFonts w:ascii="Times New Roman" w:hAnsi="Times New Roman" w:cs="Times New Roman"/>
          <w:i/>
          <w:iCs/>
          <w:color w:val="000000" w:themeColor="text1"/>
        </w:rPr>
        <w:t>The Plant Genome</w:t>
      </w:r>
      <w:r w:rsidRPr="00AC723E">
        <w:rPr>
          <w:rFonts w:ascii="Times New Roman" w:hAnsi="Times New Roman" w:cs="Times New Roman"/>
          <w:color w:val="000000" w:themeColor="text1"/>
        </w:rPr>
        <w:t xml:space="preserve">. </w:t>
      </w:r>
      <w:r w:rsidRPr="00AC723E">
        <w:rPr>
          <w:rFonts w:ascii="Times New Roman" w:hAnsi="Times New Roman" w:cs="Times New Roman"/>
          <w:b/>
          <w:bCs/>
          <w:color w:val="000000" w:themeColor="text1"/>
        </w:rPr>
        <w:t>5</w:t>
      </w:r>
      <w:r w:rsidRPr="00AC723E">
        <w:rPr>
          <w:rFonts w:ascii="Times New Roman" w:hAnsi="Times New Roman" w:cs="Times New Roman"/>
          <w:color w:val="000000" w:themeColor="text1"/>
        </w:rPr>
        <w:t>(3): 114–125.</w:t>
      </w:r>
    </w:p>
    <w:p w14:paraId="3F44A876"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hd w:val="clear" w:color="auto" w:fill="FFFFFF"/>
        </w:rPr>
      </w:pPr>
      <w:r w:rsidRPr="008F68DF">
        <w:rPr>
          <w:rFonts w:ascii="Times New Roman" w:hAnsi="Times New Roman" w:cs="Times New Roman"/>
          <w:color w:val="000000" w:themeColor="text1"/>
        </w:rPr>
        <w:t xml:space="preserve">Wright, S. (1921). Correlation and Causation. </w:t>
      </w:r>
      <w:r w:rsidRPr="008F68DF">
        <w:rPr>
          <w:rFonts w:ascii="Times New Roman" w:hAnsi="Times New Roman" w:cs="Times New Roman"/>
          <w:i/>
          <w:iCs/>
          <w:color w:val="000000" w:themeColor="text1"/>
        </w:rPr>
        <w:t xml:space="preserve">Agriculture Research. </w:t>
      </w:r>
      <w:r w:rsidRPr="008F68DF">
        <w:rPr>
          <w:rFonts w:ascii="Times New Roman" w:hAnsi="Times New Roman" w:cs="Times New Roman"/>
          <w:b/>
          <w:bCs/>
          <w:color w:val="000000" w:themeColor="text1"/>
        </w:rPr>
        <w:t>20</w:t>
      </w:r>
      <w:r w:rsidRPr="008F68DF">
        <w:rPr>
          <w:rFonts w:ascii="Times New Roman" w:hAnsi="Times New Roman" w:cs="Times New Roman"/>
          <w:color w:val="000000" w:themeColor="text1"/>
        </w:rPr>
        <w:t>: 557-585.</w:t>
      </w:r>
    </w:p>
    <w:p w14:paraId="47FF82B2"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Lowry, O. H.; Rosebrough, N. J.; Farr, A. L. and Randall, R. J. (1951). </w:t>
      </w:r>
      <w:r w:rsidRPr="008F68DF">
        <w:rPr>
          <w:rFonts w:ascii="Times New Roman" w:hAnsi="Times New Roman" w:cs="Times New Roman"/>
          <w:i/>
          <w:iCs/>
          <w:color w:val="000000" w:themeColor="text1"/>
          <w:sz w:val="24"/>
          <w:szCs w:val="24"/>
        </w:rPr>
        <w:t>Journal of Biology Chemistry</w:t>
      </w:r>
      <w:r w:rsidRPr="008F68DF">
        <w:rPr>
          <w:rFonts w:ascii="Times New Roman" w:hAnsi="Times New Roman" w:cs="Times New Roman"/>
          <w:color w:val="000000" w:themeColor="text1"/>
          <w:sz w:val="24"/>
          <w:szCs w:val="24"/>
        </w:rPr>
        <w:t>. 193-265.</w:t>
      </w:r>
    </w:p>
    <w:p w14:paraId="3045B99C"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Tsai, O. Y.; Hansel, L.W. and O. E. Nelson (1972). </w:t>
      </w:r>
      <w:r w:rsidRPr="008F68DF">
        <w:rPr>
          <w:rFonts w:ascii="Times New Roman" w:hAnsi="Times New Roman" w:cs="Times New Roman"/>
          <w:i/>
          <w:iCs/>
          <w:color w:val="000000" w:themeColor="text1"/>
          <w:sz w:val="24"/>
          <w:szCs w:val="24"/>
        </w:rPr>
        <w:t>Cereal Chemistry</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49</w:t>
      </w:r>
      <w:r w:rsidRPr="008F68DF">
        <w:rPr>
          <w:rFonts w:ascii="Times New Roman" w:hAnsi="Times New Roman" w:cs="Times New Roman"/>
          <w:color w:val="000000" w:themeColor="text1"/>
          <w:sz w:val="24"/>
          <w:szCs w:val="24"/>
        </w:rPr>
        <w:t>(5): 572-579.</w:t>
      </w:r>
    </w:p>
    <w:p w14:paraId="7DEE726E"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Irigoyen, R. T. and Giner, S. A. (2018). Extraction kinetics of saponins from quinoa seed (</w:t>
      </w:r>
      <w:r w:rsidRPr="008F68DF">
        <w:rPr>
          <w:rFonts w:ascii="Times New Roman" w:hAnsi="Times New Roman" w:cs="Times New Roman"/>
          <w:i/>
          <w:iCs/>
          <w:color w:val="000000" w:themeColor="text1"/>
          <w:sz w:val="24"/>
          <w:szCs w:val="24"/>
        </w:rPr>
        <w:t>Chenopodium quinoa</w:t>
      </w:r>
      <w:r w:rsidRPr="008F68DF">
        <w:rPr>
          <w:rFonts w:ascii="Times New Roman" w:hAnsi="Times New Roman" w:cs="Times New Roman"/>
          <w:color w:val="000000" w:themeColor="text1"/>
          <w:sz w:val="24"/>
          <w:szCs w:val="24"/>
        </w:rPr>
        <w:t xml:space="preserve"> Willd). </w:t>
      </w:r>
      <w:r w:rsidRPr="008F68DF">
        <w:rPr>
          <w:rFonts w:ascii="Times New Roman" w:hAnsi="Times New Roman" w:cs="Times New Roman"/>
          <w:i/>
          <w:iCs/>
          <w:color w:val="000000" w:themeColor="text1"/>
          <w:sz w:val="24"/>
          <w:szCs w:val="24"/>
        </w:rPr>
        <w:t>International Journal of Food Studies</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7</w:t>
      </w:r>
      <w:r w:rsidRPr="008F68DF">
        <w:rPr>
          <w:rFonts w:ascii="Times New Roman" w:hAnsi="Times New Roman" w:cs="Times New Roman"/>
          <w:color w:val="000000" w:themeColor="text1"/>
          <w:sz w:val="24"/>
          <w:szCs w:val="24"/>
        </w:rPr>
        <w:t>(2).</w:t>
      </w:r>
    </w:p>
    <w:p w14:paraId="3FA8E138"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Panse and Sukhatme (1978). Statistical method for agricultural workers. Indian Council of Agricultural Research, New Delhi. pp.381.</w:t>
      </w:r>
    </w:p>
    <w:p w14:paraId="4CD4F38A" w14:textId="77777777" w:rsidR="00930F79" w:rsidRPr="008F68DF"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Burton, G. W. (1952). Quantitative inheritance in grasses. Proceedings of 6</w:t>
      </w:r>
      <w:r w:rsidRPr="008F68DF">
        <w:rPr>
          <w:rFonts w:ascii="Times New Roman" w:hAnsi="Times New Roman" w:cs="Times New Roman"/>
          <w:color w:val="000000" w:themeColor="text1"/>
          <w:sz w:val="24"/>
          <w:szCs w:val="24"/>
          <w:vertAlign w:val="superscript"/>
        </w:rPr>
        <w:t>th</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i/>
          <w:iCs/>
          <w:color w:val="000000" w:themeColor="text1"/>
          <w:sz w:val="24"/>
          <w:szCs w:val="24"/>
        </w:rPr>
        <w:t>International Grassland Congress</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1</w:t>
      </w:r>
      <w:r w:rsidRPr="008F68DF">
        <w:rPr>
          <w:rFonts w:ascii="Times New Roman" w:hAnsi="Times New Roman" w:cs="Times New Roman"/>
          <w:color w:val="000000" w:themeColor="text1"/>
          <w:sz w:val="24"/>
          <w:szCs w:val="24"/>
        </w:rPr>
        <w:t>: 277-283.</w:t>
      </w:r>
    </w:p>
    <w:p w14:paraId="208FD8F1" w14:textId="77777777" w:rsidR="00930F79" w:rsidRDefault="00930F79" w:rsidP="00930F79">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Sivasubramanian, S. and Madhavamenon, P. (1973). Genotypic and Phenotypic variability in rice. </w:t>
      </w:r>
      <w:r w:rsidRPr="008F68DF">
        <w:rPr>
          <w:rFonts w:ascii="Times New Roman" w:hAnsi="Times New Roman" w:cs="Times New Roman"/>
          <w:i/>
          <w:iCs/>
          <w:color w:val="000000" w:themeColor="text1"/>
          <w:sz w:val="24"/>
          <w:szCs w:val="24"/>
        </w:rPr>
        <w:t>Madras Agriculture</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60</w:t>
      </w:r>
      <w:r w:rsidRPr="008F68DF">
        <w:rPr>
          <w:rFonts w:ascii="Times New Roman" w:hAnsi="Times New Roman" w:cs="Times New Roman"/>
          <w:color w:val="000000" w:themeColor="text1"/>
          <w:sz w:val="24"/>
          <w:szCs w:val="24"/>
        </w:rPr>
        <w:t>: 1093-1096.</w:t>
      </w:r>
    </w:p>
    <w:p w14:paraId="498246EE" w14:textId="77777777" w:rsidR="009171BA" w:rsidRPr="008F68DF" w:rsidRDefault="009171BA" w:rsidP="009171BA">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Allard, R.W. (1960). Relationship between genetic diversity and consistency of performance in different environments. </w:t>
      </w:r>
      <w:r w:rsidRPr="008F68DF">
        <w:rPr>
          <w:rFonts w:ascii="Times New Roman" w:hAnsi="Times New Roman" w:cs="Times New Roman"/>
          <w:i/>
          <w:iCs/>
          <w:color w:val="000000" w:themeColor="text1"/>
          <w:sz w:val="24"/>
          <w:szCs w:val="24"/>
        </w:rPr>
        <w:t>Crop Science</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1</w:t>
      </w:r>
      <w:r w:rsidRPr="008F68DF">
        <w:rPr>
          <w:rFonts w:ascii="Times New Roman" w:hAnsi="Times New Roman" w:cs="Times New Roman"/>
          <w:color w:val="000000" w:themeColor="text1"/>
          <w:sz w:val="24"/>
          <w:szCs w:val="24"/>
        </w:rPr>
        <w:t>: 127-133.</w:t>
      </w:r>
    </w:p>
    <w:p w14:paraId="25E7E6D6" w14:textId="77777777" w:rsidR="009171BA" w:rsidRPr="008F68DF" w:rsidRDefault="009171BA" w:rsidP="009171BA">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Robinson, H. F.; Comstock, R. E. and Harvey, P. H. (1951). Genotypic and phenotypic correlation in wheat and their implications in selection. </w:t>
      </w:r>
      <w:r w:rsidRPr="008F68DF">
        <w:rPr>
          <w:rFonts w:ascii="Times New Roman" w:hAnsi="Times New Roman" w:cs="Times New Roman"/>
          <w:i/>
          <w:iCs/>
          <w:color w:val="000000" w:themeColor="text1"/>
          <w:sz w:val="24"/>
          <w:szCs w:val="24"/>
        </w:rPr>
        <w:t>Agronomy Journal</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43</w:t>
      </w:r>
      <w:r w:rsidRPr="008F68DF">
        <w:rPr>
          <w:rFonts w:ascii="Times New Roman" w:hAnsi="Times New Roman" w:cs="Times New Roman"/>
          <w:color w:val="000000" w:themeColor="text1"/>
          <w:sz w:val="24"/>
          <w:szCs w:val="24"/>
        </w:rPr>
        <w:t>: 282-287.</w:t>
      </w:r>
    </w:p>
    <w:p w14:paraId="4C8F796E" w14:textId="77777777" w:rsidR="009171BA" w:rsidRPr="008F68DF" w:rsidRDefault="009171BA" w:rsidP="009171BA">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Johnson, H. W.; Robinson, H. F. and Comstock, R. E. (1955). Estimates of genetic and environmental variability in soybeans. </w:t>
      </w:r>
      <w:r w:rsidRPr="008F68DF">
        <w:rPr>
          <w:rFonts w:ascii="Times New Roman" w:hAnsi="Times New Roman" w:cs="Times New Roman"/>
          <w:i/>
          <w:iCs/>
          <w:color w:val="000000" w:themeColor="text1"/>
          <w:sz w:val="24"/>
          <w:szCs w:val="24"/>
        </w:rPr>
        <w:t>Agronomy Journal.</w:t>
      </w:r>
      <w:r w:rsidRPr="008F68DF">
        <w:rPr>
          <w:rFonts w:ascii="Times New Roman" w:hAnsi="Times New Roman" w:cs="Times New Roman"/>
          <w:b/>
          <w:bCs/>
          <w:color w:val="000000" w:themeColor="text1"/>
          <w:sz w:val="24"/>
          <w:szCs w:val="24"/>
        </w:rPr>
        <w:t xml:space="preserve"> 47</w:t>
      </w:r>
      <w:r w:rsidRPr="008F68DF">
        <w:rPr>
          <w:rFonts w:ascii="Times New Roman" w:hAnsi="Times New Roman" w:cs="Times New Roman"/>
          <w:color w:val="000000" w:themeColor="text1"/>
          <w:sz w:val="24"/>
          <w:szCs w:val="24"/>
        </w:rPr>
        <w:t>(7): 314-318.</w:t>
      </w:r>
    </w:p>
    <w:p w14:paraId="37325B0F" w14:textId="77777777" w:rsidR="0084023D" w:rsidRPr="008F68DF" w:rsidRDefault="0084023D" w:rsidP="0084023D">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Al-Jibouri, H. A.; Miller, P. A. and Robinson, H. F. (1958). Genotypic and environmental variances and covariance in upland cotton crosses of inter specific origin. </w:t>
      </w:r>
      <w:r w:rsidRPr="008F68DF">
        <w:rPr>
          <w:rFonts w:ascii="Times New Roman" w:hAnsi="Times New Roman" w:cs="Times New Roman"/>
          <w:i/>
          <w:iCs/>
          <w:color w:val="000000" w:themeColor="text1"/>
          <w:sz w:val="24"/>
          <w:szCs w:val="24"/>
        </w:rPr>
        <w:t>Agronomy Journal.</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50</w:t>
      </w:r>
      <w:r w:rsidRPr="008F68DF">
        <w:rPr>
          <w:rFonts w:ascii="Times New Roman" w:hAnsi="Times New Roman" w:cs="Times New Roman"/>
          <w:color w:val="000000" w:themeColor="text1"/>
          <w:sz w:val="24"/>
          <w:szCs w:val="24"/>
        </w:rPr>
        <w:t>: 633-636.</w:t>
      </w:r>
    </w:p>
    <w:p w14:paraId="21DC3015" w14:textId="77777777" w:rsidR="0084023D" w:rsidRPr="008F68DF" w:rsidRDefault="0084023D" w:rsidP="0084023D">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Fisher, R. A. and Yates, F. (1963). Statistical tables for biological, Agricultural and Medical Research. 6</w:t>
      </w:r>
      <w:r w:rsidRPr="008F68DF">
        <w:rPr>
          <w:rFonts w:ascii="Times New Roman" w:hAnsi="Times New Roman" w:cs="Times New Roman"/>
          <w:color w:val="000000" w:themeColor="text1"/>
          <w:sz w:val="24"/>
          <w:szCs w:val="24"/>
          <w:vertAlign w:val="superscript"/>
        </w:rPr>
        <w:t>th</w:t>
      </w:r>
      <w:r w:rsidRPr="008F68DF">
        <w:rPr>
          <w:rFonts w:ascii="Times New Roman" w:hAnsi="Times New Roman" w:cs="Times New Roman"/>
          <w:color w:val="000000" w:themeColor="text1"/>
          <w:sz w:val="24"/>
          <w:szCs w:val="24"/>
        </w:rPr>
        <w:t xml:space="preserve"> Edition Oilines and Boyel. Edinburgh. </w:t>
      </w:r>
      <w:r w:rsidRPr="008F68DF">
        <w:rPr>
          <w:rFonts w:ascii="Times New Roman" w:hAnsi="Times New Roman" w:cs="Times New Roman"/>
          <w:b/>
          <w:bCs/>
          <w:color w:val="000000" w:themeColor="text1"/>
          <w:sz w:val="24"/>
          <w:szCs w:val="24"/>
        </w:rPr>
        <w:t>63</w:t>
      </w:r>
      <w:r w:rsidRPr="008F68DF">
        <w:rPr>
          <w:rFonts w:ascii="Times New Roman" w:hAnsi="Times New Roman" w:cs="Times New Roman"/>
          <w:color w:val="000000" w:themeColor="text1"/>
          <w:sz w:val="24"/>
          <w:szCs w:val="24"/>
        </w:rPr>
        <w:t>.</w:t>
      </w:r>
    </w:p>
    <w:p w14:paraId="172D631C" w14:textId="77777777" w:rsidR="0084023D" w:rsidRPr="008F68DF" w:rsidRDefault="0084023D" w:rsidP="0084023D">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Dewey, D. R. and Lu, K. H. (1959). Correlation and path coefficient analysis of components of created wheat grain seed production. </w:t>
      </w:r>
      <w:r w:rsidRPr="008F68DF">
        <w:rPr>
          <w:rFonts w:ascii="Times New Roman" w:hAnsi="Times New Roman" w:cs="Times New Roman"/>
          <w:i/>
          <w:iCs/>
          <w:color w:val="000000" w:themeColor="text1"/>
          <w:sz w:val="24"/>
          <w:szCs w:val="24"/>
        </w:rPr>
        <w:t>Agronomy Journal.</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(51)</w:t>
      </w:r>
      <w:r w:rsidRPr="008F68DF">
        <w:rPr>
          <w:rFonts w:ascii="Times New Roman" w:hAnsi="Times New Roman" w:cs="Times New Roman"/>
          <w:color w:val="000000" w:themeColor="text1"/>
          <w:sz w:val="24"/>
          <w:szCs w:val="24"/>
        </w:rPr>
        <w:t>: 515-518.</w:t>
      </w:r>
    </w:p>
    <w:p w14:paraId="433FD59B" w14:textId="77777777" w:rsidR="0084023D" w:rsidRDefault="0084023D" w:rsidP="0084023D">
      <w:pPr>
        <w:pStyle w:val="NoSpacing"/>
        <w:numPr>
          <w:ilvl w:val="0"/>
          <w:numId w:val="2"/>
        </w:numPr>
        <w:jc w:val="both"/>
        <w:rPr>
          <w:rFonts w:ascii="Times New Roman" w:hAnsi="Times New Roman" w:cs="Times New Roman"/>
          <w:color w:val="000000" w:themeColor="text1"/>
          <w:sz w:val="24"/>
          <w:szCs w:val="24"/>
        </w:rPr>
      </w:pPr>
      <w:r w:rsidRPr="008F68DF">
        <w:rPr>
          <w:rFonts w:ascii="Times New Roman" w:hAnsi="Times New Roman" w:cs="Times New Roman"/>
          <w:color w:val="000000" w:themeColor="text1"/>
          <w:sz w:val="24"/>
          <w:szCs w:val="24"/>
        </w:rPr>
        <w:t xml:space="preserve">Lenka, D. and Mishra, B. (1973). Path coefficient analysis of Yield in Rice varieties. </w:t>
      </w:r>
      <w:r w:rsidRPr="008F68DF">
        <w:rPr>
          <w:rFonts w:ascii="Times New Roman" w:hAnsi="Times New Roman" w:cs="Times New Roman"/>
          <w:i/>
          <w:iCs/>
          <w:color w:val="000000" w:themeColor="text1"/>
          <w:sz w:val="24"/>
          <w:szCs w:val="24"/>
        </w:rPr>
        <w:t>Indian Journal of Agricultural Sciences.</w:t>
      </w:r>
      <w:r w:rsidRPr="008F68DF">
        <w:rPr>
          <w:rFonts w:ascii="Times New Roman" w:hAnsi="Times New Roman" w:cs="Times New Roman"/>
          <w:color w:val="000000" w:themeColor="text1"/>
          <w:sz w:val="24"/>
          <w:szCs w:val="24"/>
        </w:rPr>
        <w:t xml:space="preserve"> </w:t>
      </w:r>
      <w:r w:rsidRPr="008F68DF">
        <w:rPr>
          <w:rFonts w:ascii="Times New Roman" w:hAnsi="Times New Roman" w:cs="Times New Roman"/>
          <w:b/>
          <w:bCs/>
          <w:color w:val="000000" w:themeColor="text1"/>
          <w:sz w:val="24"/>
          <w:szCs w:val="24"/>
        </w:rPr>
        <w:t>43</w:t>
      </w:r>
      <w:r w:rsidRPr="008F68DF">
        <w:rPr>
          <w:rFonts w:ascii="Times New Roman" w:hAnsi="Times New Roman" w:cs="Times New Roman"/>
          <w:color w:val="000000" w:themeColor="text1"/>
          <w:sz w:val="24"/>
          <w:szCs w:val="24"/>
        </w:rPr>
        <w:t>: 376-37</w:t>
      </w:r>
    </w:p>
    <w:p w14:paraId="02F26A23" w14:textId="77777777" w:rsidR="00930F79" w:rsidRPr="0084023D" w:rsidRDefault="00930F79" w:rsidP="0084023D">
      <w:pPr>
        <w:pStyle w:val="NoSpacing"/>
        <w:numPr>
          <w:ilvl w:val="0"/>
          <w:numId w:val="2"/>
        </w:numPr>
        <w:jc w:val="both"/>
        <w:rPr>
          <w:rFonts w:ascii="Times New Roman" w:hAnsi="Times New Roman" w:cs="Times New Roman"/>
          <w:color w:val="000000" w:themeColor="text1"/>
          <w:sz w:val="24"/>
          <w:szCs w:val="24"/>
        </w:rPr>
      </w:pPr>
      <w:r w:rsidRPr="0084023D">
        <w:rPr>
          <w:rFonts w:ascii="Times New Roman" w:hAnsi="Times New Roman" w:cs="Times New Roman"/>
          <w:color w:val="000000" w:themeColor="text1"/>
          <w:sz w:val="24"/>
          <w:szCs w:val="24"/>
          <w:shd w:val="clear" w:color="auto" w:fill="FFFFFF"/>
        </w:rPr>
        <w:t>El-Harty, E. H.; Ghazy, A.; Alateeq, T. K.; Al-Faifi, S. A.; Khan, M. A.; Afzal, M. and Migdadi, H. M. (2021). Morphological and molecular characterization of quinoa genotypes. </w:t>
      </w:r>
      <w:r w:rsidRPr="0084023D">
        <w:rPr>
          <w:rFonts w:ascii="Times New Roman" w:hAnsi="Times New Roman" w:cs="Times New Roman"/>
          <w:i/>
          <w:iCs/>
          <w:color w:val="000000" w:themeColor="text1"/>
          <w:sz w:val="24"/>
          <w:szCs w:val="24"/>
          <w:shd w:val="clear" w:color="auto" w:fill="FFFFFF"/>
        </w:rPr>
        <w:t>Agriculture Journal</w:t>
      </w:r>
      <w:r w:rsidRPr="0084023D">
        <w:rPr>
          <w:rFonts w:ascii="Times New Roman" w:hAnsi="Times New Roman" w:cs="Times New Roman"/>
          <w:color w:val="000000" w:themeColor="text1"/>
          <w:sz w:val="24"/>
          <w:szCs w:val="24"/>
          <w:shd w:val="clear" w:color="auto" w:fill="FFFFFF"/>
        </w:rPr>
        <w:t xml:space="preserve">. </w:t>
      </w:r>
      <w:r w:rsidRPr="0084023D">
        <w:rPr>
          <w:rFonts w:ascii="Times New Roman" w:hAnsi="Times New Roman" w:cs="Times New Roman"/>
          <w:b/>
          <w:bCs/>
          <w:color w:val="000000" w:themeColor="text1"/>
          <w:sz w:val="24"/>
          <w:szCs w:val="24"/>
          <w:shd w:val="clear" w:color="auto" w:fill="FFFFFF"/>
        </w:rPr>
        <w:t>11</w:t>
      </w:r>
      <w:r w:rsidRPr="0084023D">
        <w:rPr>
          <w:rFonts w:ascii="Times New Roman" w:hAnsi="Times New Roman" w:cs="Times New Roman"/>
          <w:color w:val="000000" w:themeColor="text1"/>
          <w:sz w:val="24"/>
          <w:szCs w:val="24"/>
          <w:shd w:val="clear" w:color="auto" w:fill="FFFFFF"/>
        </w:rPr>
        <w:t>(4): 286.</w:t>
      </w:r>
    </w:p>
    <w:p w14:paraId="28DE777D" w14:textId="77777777" w:rsidR="00930F79" w:rsidRDefault="00930F79" w:rsidP="0084023D">
      <w:pPr>
        <w:pStyle w:val="NoSpacing"/>
        <w:numPr>
          <w:ilvl w:val="0"/>
          <w:numId w:val="2"/>
        </w:numPr>
        <w:jc w:val="both"/>
        <w:rPr>
          <w:rFonts w:ascii="Times New Roman" w:hAnsi="Times New Roman" w:cs="Times New Roman"/>
          <w:color w:val="000000" w:themeColor="text1"/>
          <w:sz w:val="24"/>
          <w:szCs w:val="24"/>
        </w:rPr>
      </w:pPr>
      <w:r w:rsidRPr="0084023D">
        <w:rPr>
          <w:rFonts w:ascii="Times New Roman" w:hAnsi="Times New Roman" w:cs="Times New Roman"/>
          <w:color w:val="000000" w:themeColor="text1"/>
          <w:sz w:val="24"/>
          <w:szCs w:val="24"/>
          <w:lang w:val="en-US"/>
        </w:rPr>
        <w:t xml:space="preserve">Rashid, A., Khan, M. I., &amp; Iqbal, M. S. (2021). Heritability and genetic advance studies in quinoa genotypes under stress environments. </w:t>
      </w:r>
      <w:r w:rsidRPr="0084023D">
        <w:rPr>
          <w:rFonts w:ascii="Times New Roman" w:hAnsi="Times New Roman" w:cs="Times New Roman"/>
          <w:i/>
          <w:iCs/>
          <w:color w:val="000000" w:themeColor="text1"/>
          <w:sz w:val="24"/>
          <w:szCs w:val="24"/>
          <w:lang w:val="en-US"/>
        </w:rPr>
        <w:t>Agronomy, 11</w:t>
      </w:r>
      <w:r w:rsidRPr="0084023D">
        <w:rPr>
          <w:rFonts w:ascii="Times New Roman" w:hAnsi="Times New Roman" w:cs="Times New Roman"/>
          <w:color w:val="000000" w:themeColor="text1"/>
          <w:sz w:val="24"/>
          <w:szCs w:val="24"/>
          <w:lang w:val="en-US"/>
        </w:rPr>
        <w:t xml:space="preserve">(9), 1792. </w:t>
      </w:r>
      <w:hyperlink r:id="rId18" w:history="1">
        <w:r w:rsidR="0069308F" w:rsidRPr="00910B65">
          <w:rPr>
            <w:rStyle w:val="Hyperlink"/>
            <w:rFonts w:ascii="Times New Roman" w:hAnsi="Times New Roman" w:cs="Times New Roman"/>
            <w:sz w:val="24"/>
            <w:szCs w:val="24"/>
            <w:lang w:val="en-US"/>
          </w:rPr>
          <w:t>https://doi.org/10.3390/agronomy11091792</w:t>
        </w:r>
      </w:hyperlink>
    </w:p>
    <w:p w14:paraId="799AC7C8" w14:textId="77777777" w:rsidR="0069308F" w:rsidRDefault="0069308F" w:rsidP="0084023D">
      <w:pPr>
        <w:pStyle w:val="NoSpacing"/>
        <w:numPr>
          <w:ilvl w:val="0"/>
          <w:numId w:val="2"/>
        </w:numPr>
        <w:jc w:val="both"/>
        <w:rPr>
          <w:rFonts w:ascii="Times New Roman" w:hAnsi="Times New Roman" w:cs="Times New Roman"/>
          <w:color w:val="000000" w:themeColor="text1"/>
          <w:sz w:val="24"/>
          <w:szCs w:val="24"/>
        </w:rPr>
      </w:pPr>
      <w:r w:rsidRPr="0069308F">
        <w:rPr>
          <w:rFonts w:ascii="Times New Roman" w:hAnsi="Times New Roman" w:cs="Times New Roman"/>
          <w:color w:val="000000" w:themeColor="text1"/>
          <w:sz w:val="24"/>
          <w:szCs w:val="24"/>
        </w:rPr>
        <w:t>Vega-Gálvez, A., Miranda, M., Vergara, J., Uribe, E., Puente, L., &amp; Martínez, E. A. (2023). Nutrition facts and functional potential of quinoa (</w:t>
      </w:r>
      <w:r w:rsidRPr="0069308F">
        <w:rPr>
          <w:rFonts w:ascii="Times New Roman" w:hAnsi="Times New Roman" w:cs="Times New Roman"/>
          <w:i/>
          <w:iCs/>
          <w:color w:val="000000" w:themeColor="text1"/>
          <w:sz w:val="24"/>
          <w:szCs w:val="24"/>
        </w:rPr>
        <w:t>Chenopodium quinoa</w:t>
      </w:r>
      <w:r w:rsidRPr="0069308F">
        <w:rPr>
          <w:rFonts w:ascii="Times New Roman" w:hAnsi="Times New Roman" w:cs="Times New Roman"/>
          <w:color w:val="000000" w:themeColor="text1"/>
          <w:sz w:val="24"/>
          <w:szCs w:val="24"/>
        </w:rPr>
        <w:t xml:space="preserve"> Willd.), </w:t>
      </w:r>
      <w:r w:rsidRPr="0069308F">
        <w:rPr>
          <w:rFonts w:ascii="Times New Roman" w:hAnsi="Times New Roman" w:cs="Times New Roman"/>
          <w:color w:val="000000" w:themeColor="text1"/>
          <w:sz w:val="24"/>
          <w:szCs w:val="24"/>
        </w:rPr>
        <w:lastRenderedPageBreak/>
        <w:t xml:space="preserve">an ancient Andean grain. </w:t>
      </w:r>
      <w:r w:rsidRPr="0069308F">
        <w:rPr>
          <w:rFonts w:ascii="Times New Roman" w:hAnsi="Times New Roman" w:cs="Times New Roman"/>
          <w:i/>
          <w:iCs/>
          <w:color w:val="000000" w:themeColor="text1"/>
          <w:sz w:val="24"/>
          <w:szCs w:val="24"/>
        </w:rPr>
        <w:t>Journal of the Science of Food and Agriculture, 103</w:t>
      </w:r>
      <w:r w:rsidRPr="0069308F">
        <w:rPr>
          <w:rFonts w:ascii="Times New Roman" w:hAnsi="Times New Roman" w:cs="Times New Roman"/>
          <w:color w:val="000000" w:themeColor="text1"/>
          <w:sz w:val="24"/>
          <w:szCs w:val="24"/>
        </w:rPr>
        <w:t xml:space="preserve">(6), 2775–2786. </w:t>
      </w:r>
      <w:hyperlink r:id="rId19" w:history="1">
        <w:r w:rsidRPr="00910B65">
          <w:rPr>
            <w:rStyle w:val="Hyperlink"/>
            <w:rFonts w:ascii="Times New Roman" w:hAnsi="Times New Roman" w:cs="Times New Roman"/>
            <w:sz w:val="24"/>
            <w:szCs w:val="24"/>
          </w:rPr>
          <w:t>https://doi.org/10.1002/jsfa.12345</w:t>
        </w:r>
      </w:hyperlink>
    </w:p>
    <w:p w14:paraId="41EF3E8A" w14:textId="77777777" w:rsidR="0069308F" w:rsidRPr="0084023D" w:rsidRDefault="0069308F" w:rsidP="0084023D">
      <w:pPr>
        <w:pStyle w:val="NoSpacing"/>
        <w:numPr>
          <w:ilvl w:val="0"/>
          <w:numId w:val="2"/>
        </w:numPr>
        <w:jc w:val="both"/>
        <w:rPr>
          <w:rFonts w:ascii="Times New Roman" w:hAnsi="Times New Roman" w:cs="Times New Roman"/>
          <w:color w:val="000000" w:themeColor="text1"/>
          <w:sz w:val="24"/>
          <w:szCs w:val="24"/>
        </w:rPr>
      </w:pPr>
      <w:r w:rsidRPr="0069308F">
        <w:rPr>
          <w:rFonts w:ascii="Times New Roman" w:hAnsi="Times New Roman" w:cs="Times New Roman"/>
          <w:color w:val="000000" w:themeColor="text1"/>
          <w:sz w:val="24"/>
          <w:szCs w:val="24"/>
        </w:rPr>
        <w:t xml:space="preserve">Santos, M. O., Pereira, R. G., &amp; Fernandes, C. R. (2025). Nutritional and amino acid composition of quinoa varieties and their relevance to plant-based diets. </w:t>
      </w:r>
      <w:r w:rsidRPr="0069308F">
        <w:rPr>
          <w:rFonts w:ascii="Times New Roman" w:hAnsi="Times New Roman" w:cs="Times New Roman"/>
          <w:i/>
          <w:iCs/>
          <w:color w:val="000000" w:themeColor="text1"/>
          <w:sz w:val="24"/>
          <w:szCs w:val="24"/>
        </w:rPr>
        <w:t>Food Chemistry, 431</w:t>
      </w:r>
      <w:r w:rsidRPr="0069308F">
        <w:rPr>
          <w:rFonts w:ascii="Times New Roman" w:hAnsi="Times New Roman" w:cs="Times New Roman"/>
          <w:color w:val="000000" w:themeColor="text1"/>
          <w:sz w:val="24"/>
          <w:szCs w:val="24"/>
        </w:rPr>
        <w:t>, 137140. https://doi.org/10.1016/j.foodchem.2024.137140</w:t>
      </w:r>
    </w:p>
    <w:p w14:paraId="123F09C7" w14:textId="77777777" w:rsidR="00930F79" w:rsidRPr="008F68DF" w:rsidRDefault="00930F79" w:rsidP="00930F79">
      <w:pPr>
        <w:pStyle w:val="NoSpacing"/>
        <w:numPr>
          <w:ilvl w:val="0"/>
          <w:numId w:val="2"/>
        </w:numPr>
        <w:rPr>
          <w:rFonts w:ascii="Times New Roman" w:hAnsi="Times New Roman" w:cs="Times New Roman"/>
          <w:color w:val="000000" w:themeColor="text1"/>
          <w:sz w:val="24"/>
          <w:szCs w:val="24"/>
          <w:lang w:val="en-US"/>
        </w:rPr>
      </w:pPr>
      <w:r w:rsidRPr="008F68DF">
        <w:rPr>
          <w:rFonts w:ascii="Times New Roman" w:hAnsi="Times New Roman" w:cs="Times New Roman"/>
          <w:color w:val="000000" w:themeColor="text1"/>
          <w:sz w:val="24"/>
          <w:szCs w:val="24"/>
          <w:lang w:val="en-US"/>
        </w:rPr>
        <w:t>Risi, J. C., &amp; Galwey, N. W. (1989). The pattern of genetic diversity in the Andean grain crop quinoa (</w:t>
      </w:r>
      <w:r w:rsidRPr="008F68DF">
        <w:rPr>
          <w:rFonts w:ascii="Times New Roman" w:hAnsi="Times New Roman" w:cs="Times New Roman"/>
          <w:i/>
          <w:iCs/>
          <w:color w:val="000000" w:themeColor="text1"/>
          <w:sz w:val="24"/>
          <w:szCs w:val="24"/>
          <w:lang w:val="en-US"/>
        </w:rPr>
        <w:t>Chenopodium quinoa</w:t>
      </w:r>
      <w:r w:rsidRPr="008F68DF">
        <w:rPr>
          <w:rFonts w:ascii="Times New Roman" w:hAnsi="Times New Roman" w:cs="Times New Roman"/>
          <w:color w:val="000000" w:themeColor="text1"/>
          <w:sz w:val="24"/>
          <w:szCs w:val="24"/>
          <w:lang w:val="en-US"/>
        </w:rPr>
        <w:t xml:space="preserve"> Willd.). </w:t>
      </w:r>
      <w:r w:rsidRPr="008F68DF">
        <w:rPr>
          <w:rFonts w:ascii="Times New Roman" w:hAnsi="Times New Roman" w:cs="Times New Roman"/>
          <w:i/>
          <w:iCs/>
          <w:color w:val="000000" w:themeColor="text1"/>
          <w:sz w:val="24"/>
          <w:szCs w:val="24"/>
          <w:lang w:val="en-US"/>
        </w:rPr>
        <w:t>Euphytica, 41</w:t>
      </w:r>
      <w:r w:rsidRPr="008F68DF">
        <w:rPr>
          <w:rFonts w:ascii="Times New Roman" w:hAnsi="Times New Roman" w:cs="Times New Roman"/>
          <w:color w:val="000000" w:themeColor="text1"/>
          <w:sz w:val="24"/>
          <w:szCs w:val="24"/>
          <w:lang w:val="en-US"/>
        </w:rPr>
        <w:t>, 147–162. https://doi.org/10.1007/BF00022421</w:t>
      </w:r>
    </w:p>
    <w:p w14:paraId="1766E260" w14:textId="77777777" w:rsidR="00930F79" w:rsidRPr="008F68DF" w:rsidRDefault="00930F79" w:rsidP="00930F79">
      <w:pPr>
        <w:pStyle w:val="NoSpacing"/>
        <w:numPr>
          <w:ilvl w:val="0"/>
          <w:numId w:val="2"/>
        </w:numPr>
        <w:rPr>
          <w:rFonts w:ascii="Times New Roman" w:hAnsi="Times New Roman" w:cs="Times New Roman"/>
          <w:color w:val="000000" w:themeColor="text1"/>
          <w:sz w:val="24"/>
          <w:szCs w:val="24"/>
          <w:lang w:val="en-US"/>
        </w:rPr>
      </w:pPr>
      <w:r w:rsidRPr="008F68DF">
        <w:rPr>
          <w:rFonts w:ascii="Times New Roman" w:hAnsi="Times New Roman" w:cs="Times New Roman"/>
          <w:color w:val="000000" w:themeColor="text1"/>
          <w:sz w:val="24"/>
          <w:szCs w:val="24"/>
          <w:lang w:val="en-US"/>
        </w:rPr>
        <w:t>Kumar, R., Meena, R. K., &amp; Sharma, S. (2021). Genetic variability, correlation and path analysis for yield and its components in quinoa (</w:t>
      </w:r>
      <w:r w:rsidRPr="008F68DF">
        <w:rPr>
          <w:rFonts w:ascii="Times New Roman" w:hAnsi="Times New Roman" w:cs="Times New Roman"/>
          <w:i/>
          <w:iCs/>
          <w:color w:val="000000" w:themeColor="text1"/>
          <w:sz w:val="24"/>
          <w:szCs w:val="24"/>
          <w:lang w:val="en-US"/>
        </w:rPr>
        <w:t>Chenopodium quinoa</w:t>
      </w:r>
      <w:r w:rsidRPr="008F68DF">
        <w:rPr>
          <w:rFonts w:ascii="Times New Roman" w:hAnsi="Times New Roman" w:cs="Times New Roman"/>
          <w:color w:val="000000" w:themeColor="text1"/>
          <w:sz w:val="24"/>
          <w:szCs w:val="24"/>
          <w:lang w:val="en-US"/>
        </w:rPr>
        <w:t xml:space="preserve"> Willd.). </w:t>
      </w:r>
      <w:r w:rsidRPr="008F68DF">
        <w:rPr>
          <w:rFonts w:ascii="Times New Roman" w:hAnsi="Times New Roman" w:cs="Times New Roman"/>
          <w:i/>
          <w:iCs/>
          <w:color w:val="000000" w:themeColor="text1"/>
          <w:sz w:val="24"/>
          <w:szCs w:val="24"/>
          <w:lang w:val="en-US"/>
        </w:rPr>
        <w:t>Journal of Cereal Science, 98</w:t>
      </w:r>
      <w:r w:rsidRPr="008F68DF">
        <w:rPr>
          <w:rFonts w:ascii="Times New Roman" w:hAnsi="Times New Roman" w:cs="Times New Roman"/>
          <w:color w:val="000000" w:themeColor="text1"/>
          <w:sz w:val="24"/>
          <w:szCs w:val="24"/>
          <w:lang w:val="en-US"/>
        </w:rPr>
        <w:t>, 103162. https://doi.org/10.1016/j.jcs.2021.103162</w:t>
      </w:r>
    </w:p>
    <w:p w14:paraId="61073080" w14:textId="77777777" w:rsidR="00606552" w:rsidRPr="00582BA9" w:rsidRDefault="00930F79" w:rsidP="00A154A5">
      <w:pPr>
        <w:pStyle w:val="NoSpacing"/>
        <w:numPr>
          <w:ilvl w:val="0"/>
          <w:numId w:val="2"/>
        </w:numPr>
        <w:jc w:val="both"/>
        <w:rPr>
          <w:rFonts w:ascii="Times New Roman" w:hAnsi="Times New Roman" w:cs="Times New Roman"/>
          <w:b/>
          <w:bCs/>
        </w:rPr>
      </w:pPr>
      <w:r w:rsidRPr="00582BA9">
        <w:rPr>
          <w:rFonts w:ascii="Times New Roman" w:hAnsi="Times New Roman" w:cs="Times New Roman"/>
          <w:color w:val="000000" w:themeColor="text1"/>
          <w:sz w:val="24"/>
          <w:szCs w:val="24"/>
          <w:lang w:val="en-US"/>
        </w:rPr>
        <w:t xml:space="preserve">Singh, D., Verma, S. K., &amp; Kumar, A. (2023). Trait association and path coefficient analysis for yield improvement in pseudo-cereals. </w:t>
      </w:r>
      <w:r w:rsidRPr="00582BA9">
        <w:rPr>
          <w:rFonts w:ascii="Times New Roman" w:hAnsi="Times New Roman" w:cs="Times New Roman"/>
          <w:i/>
          <w:iCs/>
          <w:color w:val="000000" w:themeColor="text1"/>
          <w:sz w:val="24"/>
          <w:szCs w:val="24"/>
          <w:lang w:val="en-US"/>
        </w:rPr>
        <w:t>Frontiers in Plant Science, 14</w:t>
      </w:r>
      <w:r w:rsidRPr="00582BA9">
        <w:rPr>
          <w:rFonts w:ascii="Times New Roman" w:hAnsi="Times New Roman" w:cs="Times New Roman"/>
          <w:color w:val="000000" w:themeColor="text1"/>
          <w:sz w:val="24"/>
          <w:szCs w:val="24"/>
          <w:lang w:val="en-US"/>
        </w:rPr>
        <w:t xml:space="preserve">, 1187423. </w:t>
      </w:r>
      <w:r w:rsidRPr="00582BA9">
        <w:rPr>
          <w:rFonts w:ascii="Times New Roman" w:hAnsi="Times New Roman" w:cs="Times New Roman"/>
          <w:sz w:val="24"/>
          <w:szCs w:val="24"/>
          <w:lang w:val="en-US"/>
        </w:rPr>
        <w:t>https://doi.org/10.3389/fpls.2023.1187423</w:t>
      </w:r>
      <w:commentRangeEnd w:id="7"/>
      <w:r w:rsidR="00D70BB5" w:rsidRPr="00582BA9">
        <w:rPr>
          <w:rStyle w:val="CommentReference"/>
          <w:rFonts w:ascii="Times New Roman" w:hAnsi="Times New Roman" w:cs="Times New Roman"/>
          <w:b/>
          <w:bCs/>
          <w:sz w:val="22"/>
          <w:szCs w:val="22"/>
        </w:rPr>
        <w:commentReference w:id="7"/>
      </w:r>
    </w:p>
    <w:sectPr w:rsidR="00606552" w:rsidRPr="00582BA9" w:rsidSect="00FD0CCE">
      <w:type w:val="continuous"/>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ynaldi Laurenze" w:date="2026-01-29T17:14:00Z" w:initials="RL">
    <w:p w14:paraId="5AC8270C" w14:textId="77777777" w:rsidR="00D70BB5" w:rsidRDefault="00D70BB5" w:rsidP="00D70BB5">
      <w:r>
        <w:rPr>
          <w:rStyle w:val="CommentReference"/>
        </w:rPr>
        <w:annotationRef/>
      </w:r>
      <w:r>
        <w:rPr>
          <w:sz w:val="20"/>
          <w:szCs w:val="20"/>
        </w:rPr>
        <w:t>must be written by alphabetical order</w:t>
      </w:r>
    </w:p>
  </w:comment>
  <w:comment w:id="1" w:author="Reynaldi Laurenze" w:date="2026-01-29T17:22:00Z" w:initials="RL">
    <w:p w14:paraId="095A1199" w14:textId="77777777" w:rsidR="00D70BB5" w:rsidRDefault="00D70BB5" w:rsidP="00D70BB5">
      <w:r>
        <w:rPr>
          <w:rStyle w:val="CommentReference"/>
        </w:rPr>
        <w:annotationRef/>
      </w:r>
      <w:r>
        <w:rPr>
          <w:sz w:val="20"/>
          <w:szCs w:val="20"/>
        </w:rPr>
        <w:t>It is better to use an open table type, with a focus on horizontal lines.</w:t>
      </w:r>
    </w:p>
  </w:comment>
  <w:comment w:id="2" w:author="Reynaldi Laurenze" w:date="2026-01-29T17:22:00Z" w:initials="RL">
    <w:p w14:paraId="231671DE" w14:textId="77777777" w:rsidR="00D70BB5" w:rsidRDefault="00D70BB5" w:rsidP="00D70BB5">
      <w:r>
        <w:rPr>
          <w:rStyle w:val="CommentReference"/>
        </w:rPr>
        <w:annotationRef/>
      </w:r>
      <w:r>
        <w:rPr>
          <w:sz w:val="20"/>
          <w:szCs w:val="20"/>
        </w:rPr>
        <w:t>It is better to use an open table type, with a focus on horizontal lines.</w:t>
      </w:r>
    </w:p>
  </w:comment>
  <w:comment w:id="3" w:author="Reynaldi Laurenze" w:date="2026-01-29T17:15:00Z" w:initials="RL">
    <w:p w14:paraId="2AD489FD" w14:textId="77777777" w:rsidR="00D70BB5" w:rsidRDefault="00D70BB5" w:rsidP="00D70BB5">
      <w:r>
        <w:rPr>
          <w:rStyle w:val="CommentReference"/>
        </w:rPr>
        <w:annotationRef/>
      </w:r>
      <w:r>
        <w:rPr>
          <w:sz w:val="20"/>
          <w:szCs w:val="20"/>
        </w:rPr>
        <w:t>make it consistant align to the center</w:t>
      </w:r>
    </w:p>
  </w:comment>
  <w:comment w:id="4" w:author="Reynaldi Laurenze" w:date="2026-01-29T17:22:00Z" w:initials="RL">
    <w:p w14:paraId="6CD8FA9B" w14:textId="77777777" w:rsidR="00D70BB5" w:rsidRDefault="00D70BB5" w:rsidP="00D70BB5">
      <w:r>
        <w:rPr>
          <w:rStyle w:val="CommentReference"/>
        </w:rPr>
        <w:annotationRef/>
      </w:r>
      <w:r>
        <w:rPr>
          <w:sz w:val="20"/>
          <w:szCs w:val="20"/>
        </w:rPr>
        <w:t>It is best to use an open table type, with a focus on horizontal lines.</w:t>
      </w:r>
    </w:p>
  </w:comment>
  <w:comment w:id="5" w:author="Reynaldi Laurenze" w:date="2026-01-29T17:20:00Z" w:initials="RL">
    <w:p w14:paraId="716AE16E" w14:textId="77777777" w:rsidR="00D70BB5" w:rsidRDefault="00D70BB5" w:rsidP="00D70BB5">
      <w:r>
        <w:rPr>
          <w:rStyle w:val="CommentReference"/>
        </w:rPr>
        <w:annotationRef/>
      </w:r>
      <w:r>
        <w:rPr>
          <w:sz w:val="20"/>
          <w:szCs w:val="20"/>
        </w:rPr>
        <w:t>The discussion is too general, it would be better to explain the reasons why the results were like that.</w:t>
      </w:r>
    </w:p>
  </w:comment>
  <w:comment w:id="6" w:author="Reynaldi Laurenze" w:date="2026-01-29T17:19:00Z" w:initials="RL">
    <w:p w14:paraId="47FD7E5B" w14:textId="77777777" w:rsidR="00D70BB5" w:rsidRDefault="00D70BB5" w:rsidP="00D70BB5">
      <w:r>
        <w:rPr>
          <w:rStyle w:val="CommentReference"/>
        </w:rPr>
        <w:annotationRef/>
      </w:r>
      <w:r>
        <w:rPr>
          <w:sz w:val="20"/>
          <w:szCs w:val="20"/>
        </w:rPr>
        <w:t>better to explain more why there is a correlation between seed yield and agronomic parameters</w:t>
      </w:r>
    </w:p>
  </w:comment>
  <w:comment w:id="7" w:author="Reynaldi Laurenze" w:date="2026-01-29T17:17:00Z" w:initials="RL">
    <w:p w14:paraId="2B37B128" w14:textId="77777777" w:rsidR="00D70BB5" w:rsidRDefault="00D70BB5" w:rsidP="00D70BB5">
      <w:r>
        <w:rPr>
          <w:rStyle w:val="CommentReference"/>
        </w:rPr>
        <w:annotationRef/>
      </w:r>
      <w:r>
        <w:rPr>
          <w:sz w:val="20"/>
          <w:szCs w:val="20"/>
        </w:rPr>
        <w:t>Better to add the doi number every references, and make it consistant with the font size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C8270C" w15:done="0"/>
  <w15:commentEx w15:paraId="095A1199" w15:done="0"/>
  <w15:commentEx w15:paraId="231671DE" w15:done="0"/>
  <w15:commentEx w15:paraId="2AD489FD" w15:done="0"/>
  <w15:commentEx w15:paraId="6CD8FA9B" w15:done="0"/>
  <w15:commentEx w15:paraId="716AE16E" w15:done="0"/>
  <w15:commentEx w15:paraId="47FD7E5B" w15:done="0"/>
  <w15:commentEx w15:paraId="2B37B1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E5D9F" w16cex:dateUtc="2026-01-29T09:14:00Z"/>
  <w16cex:commentExtensible w16cex:durableId="4AC75182" w16cex:dateUtc="2026-01-29T09:22:00Z"/>
  <w16cex:commentExtensible w16cex:durableId="323602FB" w16cex:dateUtc="2026-01-29T09:22:00Z"/>
  <w16cex:commentExtensible w16cex:durableId="242B3ECF" w16cex:dateUtc="2026-01-29T09:15:00Z"/>
  <w16cex:commentExtensible w16cex:durableId="542CCACD" w16cex:dateUtc="2026-01-29T09:22:00Z"/>
  <w16cex:commentExtensible w16cex:durableId="4139EA3D" w16cex:dateUtc="2026-01-29T09:20:00Z"/>
  <w16cex:commentExtensible w16cex:durableId="5C05A728" w16cex:dateUtc="2026-01-29T09:19:00Z"/>
  <w16cex:commentExtensible w16cex:durableId="4A289E9E" w16cex:dateUtc="2026-01-29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C8270C" w16cid:durableId="76EE5D9F"/>
  <w16cid:commentId w16cid:paraId="095A1199" w16cid:durableId="4AC75182"/>
  <w16cid:commentId w16cid:paraId="231671DE" w16cid:durableId="323602FB"/>
  <w16cid:commentId w16cid:paraId="2AD489FD" w16cid:durableId="242B3ECF"/>
  <w16cid:commentId w16cid:paraId="6CD8FA9B" w16cid:durableId="542CCACD"/>
  <w16cid:commentId w16cid:paraId="716AE16E" w16cid:durableId="4139EA3D"/>
  <w16cid:commentId w16cid:paraId="47FD7E5B" w16cid:durableId="5C05A728"/>
  <w16cid:commentId w16cid:paraId="2B37B128" w16cid:durableId="4A289E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E2B3" w14:textId="77777777" w:rsidR="0002415C" w:rsidRPr="002B0A1C" w:rsidRDefault="0002415C" w:rsidP="00606552">
      <w:pPr>
        <w:spacing w:after="0" w:line="240" w:lineRule="auto"/>
      </w:pPr>
      <w:r>
        <w:separator/>
      </w:r>
    </w:p>
  </w:endnote>
  <w:endnote w:type="continuationSeparator" w:id="0">
    <w:p w14:paraId="1B893407" w14:textId="77777777" w:rsidR="0002415C" w:rsidRPr="002B0A1C" w:rsidRDefault="0002415C" w:rsidP="0060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E4D5" w14:textId="77777777" w:rsidR="00FD0CCE" w:rsidRDefault="00FD0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318D" w14:textId="77777777" w:rsidR="00FD0CCE" w:rsidRDefault="00FD0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0BBA" w14:textId="77777777" w:rsidR="00FD0CCE" w:rsidRDefault="00FD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D7AA" w14:textId="77777777" w:rsidR="0002415C" w:rsidRPr="002B0A1C" w:rsidRDefault="0002415C" w:rsidP="00606552">
      <w:pPr>
        <w:spacing w:after="0" w:line="240" w:lineRule="auto"/>
      </w:pPr>
      <w:r>
        <w:separator/>
      </w:r>
    </w:p>
  </w:footnote>
  <w:footnote w:type="continuationSeparator" w:id="0">
    <w:p w14:paraId="11FB5B84" w14:textId="77777777" w:rsidR="0002415C" w:rsidRPr="002B0A1C" w:rsidRDefault="0002415C" w:rsidP="0060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C16F" w14:textId="369E99F3" w:rsidR="00FD0CCE" w:rsidRDefault="0002415C">
    <w:pPr>
      <w:pStyle w:val="Header"/>
    </w:pPr>
    <w:r>
      <w:rPr>
        <w:noProof/>
      </w:rPr>
      <w:pict w14:anchorId="48C8C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34001" o:spid="_x0000_s1027"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DC4B" w14:textId="7D10DA0A" w:rsidR="00FD0CCE" w:rsidRDefault="0002415C">
    <w:pPr>
      <w:pStyle w:val="Header"/>
    </w:pPr>
    <w:r>
      <w:rPr>
        <w:noProof/>
      </w:rPr>
      <w:pict w14:anchorId="2AFD0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34002" o:spid="_x0000_s1026"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9D46" w14:textId="2F9CA077" w:rsidR="00FD0CCE" w:rsidRDefault="0002415C">
    <w:pPr>
      <w:pStyle w:val="Header"/>
    </w:pPr>
    <w:r>
      <w:rPr>
        <w:noProof/>
      </w:rPr>
      <w:pict w14:anchorId="21806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34000" o:spid="_x0000_s1025"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3367D"/>
    <w:multiLevelType w:val="hybridMultilevel"/>
    <w:tmpl w:val="196A5C16"/>
    <w:lvl w:ilvl="0" w:tplc="E5661204">
      <w:start w:val="1"/>
      <w:numFmt w:val="upperLetter"/>
      <w:lvlText w:val="%1)"/>
      <w:lvlJc w:val="left"/>
      <w:pPr>
        <w:ind w:left="660" w:hanging="360"/>
      </w:pPr>
      <w:rPr>
        <w:rFonts w:hint="default"/>
        <w:b/>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1" w15:restartNumberingAfterBreak="0">
    <w:nsid w:val="7A432306"/>
    <w:multiLevelType w:val="hybridMultilevel"/>
    <w:tmpl w:val="B3AA11A0"/>
    <w:lvl w:ilvl="0" w:tplc="75D4C4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530563">
    <w:abstractNumId w:val="0"/>
  </w:num>
  <w:num w:numId="2" w16cid:durableId="15613303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ynaldi Laurenze">
    <w15:presenceInfo w15:providerId="Windows Live" w15:userId="39af9e8e15929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1EE"/>
    <w:rsid w:val="00010DC2"/>
    <w:rsid w:val="0002415C"/>
    <w:rsid w:val="000310D4"/>
    <w:rsid w:val="000F26AA"/>
    <w:rsid w:val="00175EBE"/>
    <w:rsid w:val="00185920"/>
    <w:rsid w:val="001B14D4"/>
    <w:rsid w:val="001C71B7"/>
    <w:rsid w:val="001F3791"/>
    <w:rsid w:val="002055F7"/>
    <w:rsid w:val="00233000"/>
    <w:rsid w:val="0024133D"/>
    <w:rsid w:val="002673AF"/>
    <w:rsid w:val="00283632"/>
    <w:rsid w:val="002B0A1C"/>
    <w:rsid w:val="002C53D9"/>
    <w:rsid w:val="00343C7D"/>
    <w:rsid w:val="0035246A"/>
    <w:rsid w:val="003B55E6"/>
    <w:rsid w:val="003E7370"/>
    <w:rsid w:val="004126EC"/>
    <w:rsid w:val="0041333E"/>
    <w:rsid w:val="0042057A"/>
    <w:rsid w:val="00425F5C"/>
    <w:rsid w:val="00433515"/>
    <w:rsid w:val="00451003"/>
    <w:rsid w:val="00454C18"/>
    <w:rsid w:val="004551B5"/>
    <w:rsid w:val="00471E38"/>
    <w:rsid w:val="00477DCE"/>
    <w:rsid w:val="004F14D4"/>
    <w:rsid w:val="00511797"/>
    <w:rsid w:val="00512653"/>
    <w:rsid w:val="0053732E"/>
    <w:rsid w:val="00540ACC"/>
    <w:rsid w:val="00544925"/>
    <w:rsid w:val="00582BA9"/>
    <w:rsid w:val="005E19CA"/>
    <w:rsid w:val="005E5DE6"/>
    <w:rsid w:val="005E7B52"/>
    <w:rsid w:val="006040D9"/>
    <w:rsid w:val="00606552"/>
    <w:rsid w:val="0063310D"/>
    <w:rsid w:val="0067412C"/>
    <w:rsid w:val="006926F2"/>
    <w:rsid w:val="0069308F"/>
    <w:rsid w:val="006F7184"/>
    <w:rsid w:val="007020CB"/>
    <w:rsid w:val="007A1C89"/>
    <w:rsid w:val="007C651A"/>
    <w:rsid w:val="007F08A3"/>
    <w:rsid w:val="0084023D"/>
    <w:rsid w:val="0087034A"/>
    <w:rsid w:val="00885739"/>
    <w:rsid w:val="008A17BF"/>
    <w:rsid w:val="008A19AD"/>
    <w:rsid w:val="008C2A21"/>
    <w:rsid w:val="008F68DF"/>
    <w:rsid w:val="009171BA"/>
    <w:rsid w:val="00922A60"/>
    <w:rsid w:val="00930F79"/>
    <w:rsid w:val="00933B12"/>
    <w:rsid w:val="009537BC"/>
    <w:rsid w:val="00976D4B"/>
    <w:rsid w:val="00985137"/>
    <w:rsid w:val="009A00B1"/>
    <w:rsid w:val="00A154A5"/>
    <w:rsid w:val="00A60CED"/>
    <w:rsid w:val="00A6162F"/>
    <w:rsid w:val="00A628A7"/>
    <w:rsid w:val="00A815B7"/>
    <w:rsid w:val="00A82E69"/>
    <w:rsid w:val="00A93D2A"/>
    <w:rsid w:val="00AA37C0"/>
    <w:rsid w:val="00AB0E45"/>
    <w:rsid w:val="00AC723E"/>
    <w:rsid w:val="00AD2061"/>
    <w:rsid w:val="00B04774"/>
    <w:rsid w:val="00B17BDC"/>
    <w:rsid w:val="00B667A9"/>
    <w:rsid w:val="00B92E38"/>
    <w:rsid w:val="00BC2805"/>
    <w:rsid w:val="00BE163D"/>
    <w:rsid w:val="00C0330B"/>
    <w:rsid w:val="00C1382E"/>
    <w:rsid w:val="00C321B8"/>
    <w:rsid w:val="00C65E90"/>
    <w:rsid w:val="00C74990"/>
    <w:rsid w:val="00C865AD"/>
    <w:rsid w:val="00CD6511"/>
    <w:rsid w:val="00CE5A05"/>
    <w:rsid w:val="00D26EB5"/>
    <w:rsid w:val="00D26FC8"/>
    <w:rsid w:val="00D3219A"/>
    <w:rsid w:val="00D70BB5"/>
    <w:rsid w:val="00D80B3E"/>
    <w:rsid w:val="00DF5CFC"/>
    <w:rsid w:val="00E25ACE"/>
    <w:rsid w:val="00E356E6"/>
    <w:rsid w:val="00E40614"/>
    <w:rsid w:val="00E50341"/>
    <w:rsid w:val="00E6270E"/>
    <w:rsid w:val="00E92305"/>
    <w:rsid w:val="00EA74D6"/>
    <w:rsid w:val="00F12985"/>
    <w:rsid w:val="00F348D3"/>
    <w:rsid w:val="00F4319E"/>
    <w:rsid w:val="00F4404C"/>
    <w:rsid w:val="00F52B62"/>
    <w:rsid w:val="00FD0CCE"/>
    <w:rsid w:val="00FD4DEA"/>
    <w:rsid w:val="00FE4B18"/>
    <w:rsid w:val="00FE71EE"/>
    <w:rsid w:val="00FF1AD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56AF"/>
  <w15:docId w15:val="{B44BE41F-2DF3-4F30-9566-251F838D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EE"/>
    <w:pPr>
      <w:spacing w:after="160" w:line="259" w:lineRule="auto"/>
    </w:pPr>
    <w:rPr>
      <w:kern w:val="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E71EE"/>
  </w:style>
  <w:style w:type="paragraph" w:styleId="NoSpacing">
    <w:name w:val="No Spacing"/>
    <w:link w:val="NoSpacingChar"/>
    <w:uiPriority w:val="1"/>
    <w:qFormat/>
    <w:rsid w:val="00FE71EE"/>
    <w:pPr>
      <w:spacing w:after="0" w:line="240" w:lineRule="auto"/>
    </w:pPr>
    <w:rPr>
      <w:kern w:val="2"/>
      <w:lang w:val="en-IN" w:bidi="ar-SA"/>
    </w:rPr>
  </w:style>
  <w:style w:type="table" w:styleId="TableGrid">
    <w:name w:val="Table Grid"/>
    <w:basedOn w:val="TableNormal"/>
    <w:uiPriority w:val="59"/>
    <w:rsid w:val="006F7184"/>
    <w:pPr>
      <w:spacing w:after="0" w:line="240" w:lineRule="auto"/>
    </w:pPr>
    <w:rPr>
      <w:kern w:val="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6F7184"/>
    <w:rPr>
      <w:kern w:val="2"/>
      <w:lang w:val="en-IN" w:bidi="ar-SA"/>
    </w:rPr>
  </w:style>
  <w:style w:type="paragraph" w:styleId="BodyText">
    <w:name w:val="Body Text"/>
    <w:basedOn w:val="Normal"/>
    <w:link w:val="BodyTextChar"/>
    <w:uiPriority w:val="1"/>
    <w:qFormat/>
    <w:rsid w:val="006F7184"/>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F7184"/>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6F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184"/>
    <w:rPr>
      <w:rFonts w:ascii="Tahoma" w:hAnsi="Tahoma" w:cs="Tahoma"/>
      <w:kern w:val="2"/>
      <w:sz w:val="16"/>
      <w:szCs w:val="16"/>
      <w:lang w:val="en-IN" w:bidi="ar-SA"/>
    </w:rPr>
  </w:style>
  <w:style w:type="paragraph" w:customStyle="1" w:styleId="Default">
    <w:name w:val="Default"/>
    <w:rsid w:val="00185920"/>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styleId="ListParagraph">
    <w:name w:val="List Paragraph"/>
    <w:basedOn w:val="Normal"/>
    <w:uiPriority w:val="34"/>
    <w:qFormat/>
    <w:rsid w:val="00185920"/>
    <w:pPr>
      <w:widowControl w:val="0"/>
      <w:autoSpaceDE w:val="0"/>
      <w:autoSpaceDN w:val="0"/>
      <w:spacing w:after="0" w:line="240" w:lineRule="auto"/>
      <w:ind w:left="460" w:hanging="360"/>
    </w:pPr>
    <w:rPr>
      <w:rFonts w:ascii="Times New Roman" w:eastAsia="Times New Roman" w:hAnsi="Times New Roman" w:cs="Times New Roman"/>
      <w:kern w:val="0"/>
      <w:lang w:val="en-US"/>
    </w:rPr>
  </w:style>
  <w:style w:type="table" w:customStyle="1" w:styleId="LightShading1">
    <w:name w:val="Light Shading1"/>
    <w:basedOn w:val="TableNormal"/>
    <w:uiPriority w:val="60"/>
    <w:rsid w:val="005126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6">
    <w:name w:val="Medium List 1 Accent 6"/>
    <w:basedOn w:val="TableNormal"/>
    <w:uiPriority w:val="65"/>
    <w:rsid w:val="0051265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6">
    <w:name w:val="Light Shading Accent 6"/>
    <w:basedOn w:val="TableNormal"/>
    <w:uiPriority w:val="60"/>
    <w:rsid w:val="0051265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PlaceholderText">
    <w:name w:val="Placeholder Text"/>
    <w:basedOn w:val="DefaultParagraphFont"/>
    <w:uiPriority w:val="99"/>
    <w:semiHidden/>
    <w:rsid w:val="002B0A1C"/>
    <w:rPr>
      <w:color w:val="808080"/>
    </w:rPr>
  </w:style>
  <w:style w:type="character" w:styleId="Hyperlink">
    <w:name w:val="Hyperlink"/>
    <w:basedOn w:val="DefaultParagraphFont"/>
    <w:uiPriority w:val="99"/>
    <w:unhideWhenUsed/>
    <w:rsid w:val="00A815B7"/>
    <w:rPr>
      <w:color w:val="0000FF" w:themeColor="hyperlink"/>
      <w:u w:val="single"/>
    </w:rPr>
  </w:style>
  <w:style w:type="table" w:customStyle="1" w:styleId="LightShading-Accent11">
    <w:name w:val="Light Shading - Accent 11"/>
    <w:basedOn w:val="TableNormal"/>
    <w:uiPriority w:val="60"/>
    <w:rsid w:val="00A815B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katex-mathml">
    <w:name w:val="katex-mathml"/>
    <w:basedOn w:val="DefaultParagraphFont"/>
    <w:rsid w:val="00B667A9"/>
  </w:style>
  <w:style w:type="character" w:customStyle="1" w:styleId="mord">
    <w:name w:val="mord"/>
    <w:basedOn w:val="DefaultParagraphFont"/>
    <w:rsid w:val="00B667A9"/>
  </w:style>
  <w:style w:type="character" w:customStyle="1" w:styleId="mopen">
    <w:name w:val="mopen"/>
    <w:basedOn w:val="DefaultParagraphFont"/>
    <w:rsid w:val="00B667A9"/>
  </w:style>
  <w:style w:type="character" w:customStyle="1" w:styleId="mclose">
    <w:name w:val="mclose"/>
    <w:basedOn w:val="DefaultParagraphFont"/>
    <w:rsid w:val="00B667A9"/>
  </w:style>
  <w:style w:type="character" w:customStyle="1" w:styleId="vlist-s">
    <w:name w:val="vlist-s"/>
    <w:basedOn w:val="DefaultParagraphFont"/>
    <w:rsid w:val="00B667A9"/>
  </w:style>
  <w:style w:type="paragraph" w:styleId="NormalWeb">
    <w:name w:val="Normal (Web)"/>
    <w:basedOn w:val="Normal"/>
    <w:uiPriority w:val="99"/>
    <w:semiHidden/>
    <w:unhideWhenUsed/>
    <w:rsid w:val="007C651A"/>
    <w:pPr>
      <w:spacing w:before="100" w:beforeAutospacing="1" w:after="100" w:afterAutospacing="1" w:line="240" w:lineRule="auto"/>
    </w:pPr>
    <w:rPr>
      <w:rFonts w:ascii="Times New Roman" w:eastAsia="Times New Roman" w:hAnsi="Times New Roman" w:cs="Times New Roman"/>
      <w:kern w:val="0"/>
      <w:sz w:val="24"/>
      <w:szCs w:val="24"/>
      <w:lang w:val="en-US" w:bidi="gu-IN"/>
    </w:rPr>
  </w:style>
  <w:style w:type="character" w:customStyle="1" w:styleId="mrel">
    <w:name w:val="mrel"/>
    <w:basedOn w:val="DefaultParagraphFont"/>
    <w:rsid w:val="007C651A"/>
  </w:style>
  <w:style w:type="character" w:customStyle="1" w:styleId="mbin">
    <w:name w:val="mbin"/>
    <w:basedOn w:val="DefaultParagraphFont"/>
    <w:rsid w:val="007C651A"/>
  </w:style>
  <w:style w:type="paragraph" w:styleId="Header">
    <w:name w:val="header"/>
    <w:basedOn w:val="Normal"/>
    <w:link w:val="HeaderChar"/>
    <w:uiPriority w:val="99"/>
    <w:unhideWhenUsed/>
    <w:rsid w:val="0060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52"/>
    <w:rPr>
      <w:kern w:val="2"/>
      <w:lang w:val="en-IN" w:bidi="ar-SA"/>
    </w:rPr>
  </w:style>
  <w:style w:type="paragraph" w:styleId="Footer">
    <w:name w:val="footer"/>
    <w:basedOn w:val="Normal"/>
    <w:link w:val="FooterChar"/>
    <w:uiPriority w:val="99"/>
    <w:unhideWhenUsed/>
    <w:rsid w:val="0060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52"/>
    <w:rPr>
      <w:kern w:val="2"/>
      <w:lang w:val="en-IN" w:bidi="ar-SA"/>
    </w:rPr>
  </w:style>
  <w:style w:type="table" w:customStyle="1" w:styleId="LightShading2">
    <w:name w:val="Light Shading2"/>
    <w:basedOn w:val="TableNormal"/>
    <w:uiPriority w:val="60"/>
    <w:rsid w:val="00AC72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A82E69"/>
    <w:rPr>
      <w:color w:val="605E5C"/>
      <w:shd w:val="clear" w:color="auto" w:fill="E1DFDD"/>
    </w:rPr>
  </w:style>
  <w:style w:type="character" w:styleId="CommentReference">
    <w:name w:val="annotation reference"/>
    <w:basedOn w:val="DefaultParagraphFont"/>
    <w:uiPriority w:val="99"/>
    <w:semiHidden/>
    <w:unhideWhenUsed/>
    <w:rsid w:val="00D70BB5"/>
    <w:rPr>
      <w:sz w:val="16"/>
      <w:szCs w:val="16"/>
    </w:rPr>
  </w:style>
  <w:style w:type="paragraph" w:styleId="CommentText">
    <w:name w:val="annotation text"/>
    <w:basedOn w:val="Normal"/>
    <w:link w:val="CommentTextChar"/>
    <w:uiPriority w:val="99"/>
    <w:semiHidden/>
    <w:unhideWhenUsed/>
    <w:rsid w:val="00D70BB5"/>
    <w:pPr>
      <w:spacing w:line="240" w:lineRule="auto"/>
    </w:pPr>
    <w:rPr>
      <w:sz w:val="20"/>
      <w:szCs w:val="20"/>
    </w:rPr>
  </w:style>
  <w:style w:type="character" w:customStyle="1" w:styleId="CommentTextChar">
    <w:name w:val="Comment Text Char"/>
    <w:basedOn w:val="DefaultParagraphFont"/>
    <w:link w:val="CommentText"/>
    <w:uiPriority w:val="99"/>
    <w:semiHidden/>
    <w:rsid w:val="00D70BB5"/>
    <w:rPr>
      <w:kern w:val="2"/>
      <w:sz w:val="20"/>
      <w:szCs w:val="20"/>
      <w:lang w:val="en-IN" w:bidi="ar-SA"/>
    </w:rPr>
  </w:style>
  <w:style w:type="paragraph" w:styleId="CommentSubject">
    <w:name w:val="annotation subject"/>
    <w:basedOn w:val="CommentText"/>
    <w:next w:val="CommentText"/>
    <w:link w:val="CommentSubjectChar"/>
    <w:uiPriority w:val="99"/>
    <w:semiHidden/>
    <w:unhideWhenUsed/>
    <w:rsid w:val="00D70BB5"/>
    <w:rPr>
      <w:b/>
      <w:bCs/>
    </w:rPr>
  </w:style>
  <w:style w:type="character" w:customStyle="1" w:styleId="CommentSubjectChar">
    <w:name w:val="Comment Subject Char"/>
    <w:basedOn w:val="CommentTextChar"/>
    <w:link w:val="CommentSubject"/>
    <w:uiPriority w:val="99"/>
    <w:semiHidden/>
    <w:rsid w:val="00D70BB5"/>
    <w:rPr>
      <w:b/>
      <w:bCs/>
      <w:kern w:val="2"/>
      <w:sz w:val="20"/>
      <w:szCs w:val="20"/>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5595">
      <w:bodyDiv w:val="1"/>
      <w:marLeft w:val="0"/>
      <w:marRight w:val="0"/>
      <w:marTop w:val="0"/>
      <w:marBottom w:val="0"/>
      <w:divBdr>
        <w:top w:val="none" w:sz="0" w:space="0" w:color="auto"/>
        <w:left w:val="none" w:sz="0" w:space="0" w:color="auto"/>
        <w:bottom w:val="none" w:sz="0" w:space="0" w:color="auto"/>
        <w:right w:val="none" w:sz="0" w:space="0" w:color="auto"/>
      </w:divBdr>
    </w:div>
    <w:div w:id="356582193">
      <w:bodyDiv w:val="1"/>
      <w:marLeft w:val="0"/>
      <w:marRight w:val="0"/>
      <w:marTop w:val="0"/>
      <w:marBottom w:val="0"/>
      <w:divBdr>
        <w:top w:val="none" w:sz="0" w:space="0" w:color="auto"/>
        <w:left w:val="none" w:sz="0" w:space="0" w:color="auto"/>
        <w:bottom w:val="none" w:sz="0" w:space="0" w:color="auto"/>
        <w:right w:val="none" w:sz="0" w:space="0" w:color="auto"/>
      </w:divBdr>
    </w:div>
    <w:div w:id="426734942">
      <w:bodyDiv w:val="1"/>
      <w:marLeft w:val="0"/>
      <w:marRight w:val="0"/>
      <w:marTop w:val="0"/>
      <w:marBottom w:val="0"/>
      <w:divBdr>
        <w:top w:val="none" w:sz="0" w:space="0" w:color="auto"/>
        <w:left w:val="none" w:sz="0" w:space="0" w:color="auto"/>
        <w:bottom w:val="none" w:sz="0" w:space="0" w:color="auto"/>
        <w:right w:val="none" w:sz="0" w:space="0" w:color="auto"/>
      </w:divBdr>
    </w:div>
    <w:div w:id="846287371">
      <w:bodyDiv w:val="1"/>
      <w:marLeft w:val="0"/>
      <w:marRight w:val="0"/>
      <w:marTop w:val="0"/>
      <w:marBottom w:val="0"/>
      <w:divBdr>
        <w:top w:val="none" w:sz="0" w:space="0" w:color="auto"/>
        <w:left w:val="none" w:sz="0" w:space="0" w:color="auto"/>
        <w:bottom w:val="none" w:sz="0" w:space="0" w:color="auto"/>
        <w:right w:val="none" w:sz="0" w:space="0" w:color="auto"/>
      </w:divBdr>
    </w:div>
    <w:div w:id="902301778">
      <w:bodyDiv w:val="1"/>
      <w:marLeft w:val="0"/>
      <w:marRight w:val="0"/>
      <w:marTop w:val="0"/>
      <w:marBottom w:val="0"/>
      <w:divBdr>
        <w:top w:val="none" w:sz="0" w:space="0" w:color="auto"/>
        <w:left w:val="none" w:sz="0" w:space="0" w:color="auto"/>
        <w:bottom w:val="none" w:sz="0" w:space="0" w:color="auto"/>
        <w:right w:val="none" w:sz="0" w:space="0" w:color="auto"/>
      </w:divBdr>
    </w:div>
    <w:div w:id="1186209633">
      <w:bodyDiv w:val="1"/>
      <w:marLeft w:val="0"/>
      <w:marRight w:val="0"/>
      <w:marTop w:val="0"/>
      <w:marBottom w:val="0"/>
      <w:divBdr>
        <w:top w:val="none" w:sz="0" w:space="0" w:color="auto"/>
        <w:left w:val="none" w:sz="0" w:space="0" w:color="auto"/>
        <w:bottom w:val="none" w:sz="0" w:space="0" w:color="auto"/>
        <w:right w:val="none" w:sz="0" w:space="0" w:color="auto"/>
      </w:divBdr>
    </w:div>
    <w:div w:id="1229220940">
      <w:bodyDiv w:val="1"/>
      <w:marLeft w:val="0"/>
      <w:marRight w:val="0"/>
      <w:marTop w:val="0"/>
      <w:marBottom w:val="0"/>
      <w:divBdr>
        <w:top w:val="none" w:sz="0" w:space="0" w:color="auto"/>
        <w:left w:val="none" w:sz="0" w:space="0" w:color="auto"/>
        <w:bottom w:val="none" w:sz="0" w:space="0" w:color="auto"/>
        <w:right w:val="none" w:sz="0" w:space="0" w:color="auto"/>
      </w:divBdr>
    </w:div>
    <w:div w:id="1257909951">
      <w:bodyDiv w:val="1"/>
      <w:marLeft w:val="0"/>
      <w:marRight w:val="0"/>
      <w:marTop w:val="0"/>
      <w:marBottom w:val="0"/>
      <w:divBdr>
        <w:top w:val="none" w:sz="0" w:space="0" w:color="auto"/>
        <w:left w:val="none" w:sz="0" w:space="0" w:color="auto"/>
        <w:bottom w:val="none" w:sz="0" w:space="0" w:color="auto"/>
        <w:right w:val="none" w:sz="0" w:space="0" w:color="auto"/>
      </w:divBdr>
    </w:div>
    <w:div w:id="1606230592">
      <w:bodyDiv w:val="1"/>
      <w:marLeft w:val="0"/>
      <w:marRight w:val="0"/>
      <w:marTop w:val="0"/>
      <w:marBottom w:val="0"/>
      <w:divBdr>
        <w:top w:val="none" w:sz="0" w:space="0" w:color="auto"/>
        <w:left w:val="none" w:sz="0" w:space="0" w:color="auto"/>
        <w:bottom w:val="none" w:sz="0" w:space="0" w:color="auto"/>
        <w:right w:val="none" w:sz="0" w:space="0" w:color="auto"/>
      </w:divBdr>
    </w:div>
    <w:div w:id="1681197187">
      <w:bodyDiv w:val="1"/>
      <w:marLeft w:val="0"/>
      <w:marRight w:val="0"/>
      <w:marTop w:val="0"/>
      <w:marBottom w:val="0"/>
      <w:divBdr>
        <w:top w:val="none" w:sz="0" w:space="0" w:color="auto"/>
        <w:left w:val="none" w:sz="0" w:space="0" w:color="auto"/>
        <w:bottom w:val="none" w:sz="0" w:space="0" w:color="auto"/>
        <w:right w:val="none" w:sz="0" w:space="0" w:color="auto"/>
      </w:divBdr>
    </w:div>
    <w:div w:id="1757748959">
      <w:bodyDiv w:val="1"/>
      <w:marLeft w:val="0"/>
      <w:marRight w:val="0"/>
      <w:marTop w:val="0"/>
      <w:marBottom w:val="0"/>
      <w:divBdr>
        <w:top w:val="none" w:sz="0" w:space="0" w:color="auto"/>
        <w:left w:val="none" w:sz="0" w:space="0" w:color="auto"/>
        <w:bottom w:val="none" w:sz="0" w:space="0" w:color="auto"/>
        <w:right w:val="none" w:sz="0" w:space="0" w:color="auto"/>
      </w:divBdr>
    </w:div>
    <w:div w:id="1828740244">
      <w:bodyDiv w:val="1"/>
      <w:marLeft w:val="0"/>
      <w:marRight w:val="0"/>
      <w:marTop w:val="0"/>
      <w:marBottom w:val="0"/>
      <w:divBdr>
        <w:top w:val="none" w:sz="0" w:space="0" w:color="auto"/>
        <w:left w:val="none" w:sz="0" w:space="0" w:color="auto"/>
        <w:bottom w:val="none" w:sz="0" w:space="0" w:color="auto"/>
        <w:right w:val="none" w:sz="0" w:space="0" w:color="auto"/>
      </w:divBdr>
    </w:div>
    <w:div w:id="2001732614">
      <w:bodyDiv w:val="1"/>
      <w:marLeft w:val="0"/>
      <w:marRight w:val="0"/>
      <w:marTop w:val="0"/>
      <w:marBottom w:val="0"/>
      <w:divBdr>
        <w:top w:val="none" w:sz="0" w:space="0" w:color="auto"/>
        <w:left w:val="none" w:sz="0" w:space="0" w:color="auto"/>
        <w:bottom w:val="none" w:sz="0" w:space="0" w:color="auto"/>
        <w:right w:val="none" w:sz="0" w:space="0" w:color="auto"/>
      </w:divBdr>
    </w:div>
    <w:div w:id="20486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hyperlink" Target="https://doi.org/10.3390/agronomy11091792"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doi.org/10.1002/jsfa.1234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1069</TotalTime>
  <Pages>16</Pages>
  <Words>5515</Words>
  <Characters>31437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Reynaldi Laurenze</cp:lastModifiedBy>
  <cp:revision>38</cp:revision>
  <dcterms:created xsi:type="dcterms:W3CDTF">2026-01-05T05:12:00Z</dcterms:created>
  <dcterms:modified xsi:type="dcterms:W3CDTF">2026-01-29T09:24:00Z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id="r3HK0s0R"/&gt;&lt;style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