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9618" w14:textId="06ACBF3A" w:rsidR="00533D2F" w:rsidRPr="001E1936" w:rsidRDefault="00BC41D8" w:rsidP="008D054E">
      <w:pPr>
        <w:spacing w:after="0" w:line="360" w:lineRule="auto"/>
        <w:ind w:left="-180"/>
        <w:jc w:val="center"/>
        <w:rPr>
          <w:rFonts w:cs="Times New Roman"/>
          <w:b/>
          <w:bCs/>
          <w:i/>
          <w:iCs/>
          <w:color w:val="C00000"/>
          <w:sz w:val="32"/>
          <w:szCs w:val="32"/>
        </w:rPr>
      </w:pPr>
      <w:r w:rsidRPr="001E1936">
        <w:rPr>
          <w:rFonts w:cs="Times New Roman"/>
          <w:b/>
          <w:bCs/>
          <w:color w:val="C00000"/>
          <w:sz w:val="32"/>
          <w:szCs w:val="32"/>
        </w:rPr>
        <w:t xml:space="preserve">Impact of Sublethal Chlorpyrifos Concentrations on Growth Performance of the Indian Major Carp: </w:t>
      </w:r>
      <w:commentRangeStart w:id="0"/>
      <w:proofErr w:type="spellStart"/>
      <w:r w:rsidRPr="001E1936">
        <w:rPr>
          <w:rFonts w:cs="Times New Roman"/>
          <w:b/>
          <w:bCs/>
          <w:i/>
          <w:iCs/>
          <w:color w:val="C00000"/>
          <w:sz w:val="32"/>
          <w:szCs w:val="32"/>
        </w:rPr>
        <w:t>Catla</w:t>
      </w:r>
      <w:commentRangeEnd w:id="0"/>
      <w:proofErr w:type="spellEnd"/>
      <w:r w:rsidR="00B31B83">
        <w:rPr>
          <w:rStyle w:val="CommentReference"/>
        </w:rPr>
        <w:commentReference w:id="0"/>
      </w:r>
      <w:r w:rsidRPr="001E1936">
        <w:rPr>
          <w:rFonts w:cs="Times New Roman"/>
          <w:b/>
          <w:bCs/>
          <w:i/>
          <w:iCs/>
          <w:color w:val="C00000"/>
          <w:sz w:val="32"/>
          <w:szCs w:val="32"/>
        </w:rPr>
        <w:t xml:space="preserve"> </w:t>
      </w:r>
      <w:proofErr w:type="spellStart"/>
      <w:r w:rsidRPr="001E1936">
        <w:rPr>
          <w:rFonts w:cs="Times New Roman"/>
          <w:b/>
          <w:bCs/>
          <w:i/>
          <w:iCs/>
          <w:color w:val="C00000"/>
          <w:sz w:val="32"/>
          <w:szCs w:val="32"/>
        </w:rPr>
        <w:t>catla</w:t>
      </w:r>
      <w:proofErr w:type="spellEnd"/>
    </w:p>
    <w:p w14:paraId="224A1BF4" w14:textId="41CEB35D" w:rsidR="008524A2" w:rsidRDefault="008524A2" w:rsidP="008D054E">
      <w:pPr>
        <w:spacing w:line="360" w:lineRule="auto"/>
        <w:jc w:val="both"/>
        <w:rPr>
          <w:rFonts w:cs="Times New Roman"/>
          <w:b/>
          <w:bCs/>
          <w:color w:val="7030A0"/>
          <w:szCs w:val="24"/>
        </w:rPr>
      </w:pPr>
    </w:p>
    <w:p w14:paraId="31C3C704" w14:textId="77777777" w:rsidR="003F1582" w:rsidRDefault="003F1582" w:rsidP="008D054E">
      <w:pPr>
        <w:spacing w:line="360" w:lineRule="auto"/>
        <w:jc w:val="both"/>
        <w:rPr>
          <w:rFonts w:cs="Times New Roman"/>
          <w:sz w:val="22"/>
        </w:rPr>
      </w:pPr>
    </w:p>
    <w:p w14:paraId="3A2E2E6A" w14:textId="445C4183" w:rsidR="00354F35" w:rsidRPr="008D054E" w:rsidRDefault="00487A18" w:rsidP="008D054E">
      <w:pPr>
        <w:spacing w:line="360" w:lineRule="auto"/>
        <w:jc w:val="both"/>
        <w:rPr>
          <w:rFonts w:cs="Times New Roman"/>
          <w:b/>
          <w:bCs/>
          <w:szCs w:val="24"/>
        </w:rPr>
      </w:pPr>
      <w:r w:rsidRPr="008D054E">
        <w:rPr>
          <w:rFonts w:cs="Times New Roman"/>
          <w:b/>
          <w:bCs/>
          <w:szCs w:val="24"/>
        </w:rPr>
        <w:t>ABSTRACT</w:t>
      </w:r>
    </w:p>
    <w:p w14:paraId="710AD7E7" w14:textId="6B55179D" w:rsidR="009D3B61" w:rsidRPr="009D3B61" w:rsidRDefault="009D3B61" w:rsidP="003C63BB">
      <w:pPr>
        <w:spacing w:line="360" w:lineRule="auto"/>
        <w:ind w:firstLine="720"/>
        <w:jc w:val="both"/>
      </w:pPr>
      <w:r w:rsidRPr="009D3B61">
        <w:rPr>
          <w:rFonts w:cs="Times New Roman"/>
          <w:szCs w:val="24"/>
        </w:rPr>
        <w:t>The present investigation was conducted during 2024</w:t>
      </w:r>
      <w:r w:rsidR="00606EC7">
        <w:rPr>
          <w:rFonts w:cs="Times New Roman"/>
          <w:szCs w:val="24"/>
        </w:rPr>
        <w:t>-</w:t>
      </w:r>
      <w:r w:rsidRPr="009D3B61">
        <w:rPr>
          <w:rFonts w:cs="Times New Roman"/>
          <w:szCs w:val="24"/>
        </w:rPr>
        <w:t xml:space="preserve">25 under controlled laboratory conditions at Bilaspur, Chhattisgarh, to evaluate the effects of sublethal exposure to the organophosphate pesticide chlorpyrifos on the growth performance of </w:t>
      </w:r>
      <w:commentRangeStart w:id="1"/>
      <w:proofErr w:type="spellStart"/>
      <w:r w:rsidRPr="009D3B61">
        <w:rPr>
          <w:rFonts w:cs="Times New Roman"/>
          <w:i/>
          <w:iCs/>
          <w:szCs w:val="24"/>
        </w:rPr>
        <w:t>Catla</w:t>
      </w:r>
      <w:commentRangeEnd w:id="1"/>
      <w:proofErr w:type="spellEnd"/>
      <w:r w:rsidR="00B31B83">
        <w:rPr>
          <w:rStyle w:val="CommentReference"/>
        </w:rPr>
        <w:commentReference w:id="1"/>
      </w:r>
      <w:r w:rsidRPr="009D3B61">
        <w:rPr>
          <w:rFonts w:cs="Times New Roman"/>
          <w:i/>
          <w:iCs/>
          <w:szCs w:val="24"/>
        </w:rPr>
        <w:t xml:space="preserve"> </w:t>
      </w:r>
      <w:proofErr w:type="spellStart"/>
      <w:r w:rsidRPr="009D3B61">
        <w:rPr>
          <w:rFonts w:cs="Times New Roman"/>
          <w:i/>
          <w:iCs/>
          <w:szCs w:val="24"/>
        </w:rPr>
        <w:t>catla</w:t>
      </w:r>
      <w:proofErr w:type="spellEnd"/>
      <w:r w:rsidRPr="009D3B61">
        <w:rPr>
          <w:rFonts w:cs="Times New Roman"/>
          <w:szCs w:val="24"/>
        </w:rPr>
        <w:t>. Healthy juvenile fish of uniform size and weight were acclimatized and exposed to graded sublethal concentrations of chlorpyrifos (4.0, 8.0, 16.0, 32.0 and 64.0 ppb) along with a control for a period of 60 days, following a static-renewal bioassay under a Completely Randomized Design. Growth parameters including initial and final length and weight, length and weight gain, percentage gain</w:t>
      </w:r>
      <w:r w:rsidR="0034163E">
        <w:rPr>
          <w:rFonts w:cs="Times New Roman"/>
          <w:szCs w:val="24"/>
        </w:rPr>
        <w:t xml:space="preserve"> and</w:t>
      </w:r>
      <w:r w:rsidRPr="009D3B61">
        <w:rPr>
          <w:rFonts w:cs="Times New Roman"/>
          <w:szCs w:val="24"/>
        </w:rPr>
        <w:t xml:space="preserve"> specific growth rate (SGR) on both length and weight basis were recorded and statistically analyzed.</w:t>
      </w:r>
      <w:r>
        <w:rPr>
          <w:rFonts w:cs="Times New Roman"/>
          <w:szCs w:val="24"/>
        </w:rPr>
        <w:t xml:space="preserve"> </w:t>
      </w:r>
      <w:r w:rsidRPr="009D3B61">
        <w:t xml:space="preserve">Results revealed a clear concentration-dependent suppression of growth in </w:t>
      </w:r>
      <w:proofErr w:type="spellStart"/>
      <w:r w:rsidRPr="009D3B61">
        <w:rPr>
          <w:i/>
          <w:iCs/>
        </w:rPr>
        <w:t>Catla</w:t>
      </w:r>
      <w:proofErr w:type="spellEnd"/>
      <w:r w:rsidRPr="009D3B61">
        <w:rPr>
          <w:i/>
          <w:iCs/>
        </w:rPr>
        <w:t xml:space="preserve"> </w:t>
      </w:r>
      <w:proofErr w:type="spellStart"/>
      <w:r w:rsidRPr="009D3B61">
        <w:rPr>
          <w:i/>
          <w:iCs/>
        </w:rPr>
        <w:t>catla</w:t>
      </w:r>
      <w:proofErr w:type="spellEnd"/>
      <w:r w:rsidRPr="009D3B61">
        <w:t>. Final length declined from 12.01 ± 0.25 cm in the control to 9.95 ± 0.07 cm at 64.0 ppb, while length gain decreased sharply from 2.12 ± 0.24 cm (17.58 ± 1.66%) in the control to only 0.12 ± 0.07 cm (1.20 ± 0.67%) at the highest concentration. Correspondingly, length-based SGR dropped from 3.53 ± 0.40 % day⁻¹ in the control to 0.20 ± 0.11 % day⁻¹ at 64.0 ppb. A similar trend was observed in weight parameters, with final body weight decreasing from 18.65 ± 0.73 g in the control to 11.98 ± 0.15 g at 64.0 ppb. Weight gain declined from 6.87 ± 0.74 g (36.64 ± 2.52%) in the control to 0.27 ± 0.15 g (2.22 ± 1.25%) at the highest exposure level, while weight-based SGR decreased from 11.45 ± 1.23 to 0.45 ± 0.26 % day⁻¹.</w:t>
      </w:r>
      <w:r>
        <w:t xml:space="preserve"> </w:t>
      </w:r>
      <w:r w:rsidRPr="009D3B61">
        <w:rPr>
          <w:rFonts w:cs="Times New Roman"/>
          <w:szCs w:val="24"/>
        </w:rPr>
        <w:t xml:space="preserve">The pronounced reduction in growth indices at higher chlorpyrifos concentrations indicates severe impairment of feeding efficiency, nutrient assimilation and metabolic performance, likely due to pesticide-induced physiological stress and energy diversion towards detoxification processes. The study conclusively demonstrates that even sublethal concentrations of chlorpyrifos can significantly inhibit growth performance of </w:t>
      </w:r>
      <w:proofErr w:type="spellStart"/>
      <w:r w:rsidRPr="009D3B61">
        <w:rPr>
          <w:rFonts w:cs="Times New Roman"/>
          <w:i/>
          <w:iCs/>
          <w:szCs w:val="24"/>
        </w:rPr>
        <w:t>Catla</w:t>
      </w:r>
      <w:proofErr w:type="spellEnd"/>
      <w:r w:rsidRPr="009D3B61">
        <w:rPr>
          <w:rFonts w:cs="Times New Roman"/>
          <w:i/>
          <w:iCs/>
          <w:szCs w:val="24"/>
        </w:rPr>
        <w:t xml:space="preserve"> </w:t>
      </w:r>
      <w:proofErr w:type="spellStart"/>
      <w:r w:rsidRPr="009D3B61">
        <w:rPr>
          <w:rFonts w:cs="Times New Roman"/>
          <w:i/>
          <w:iCs/>
          <w:szCs w:val="24"/>
        </w:rPr>
        <w:t>catla</w:t>
      </w:r>
      <w:proofErr w:type="spellEnd"/>
      <w:r w:rsidRPr="009D3B61">
        <w:rPr>
          <w:rFonts w:cs="Times New Roman"/>
          <w:szCs w:val="24"/>
        </w:rPr>
        <w:t>, highlighting the potential ecological and aquaculture risks associated with chlorpyrifos contamination in freshwater ecosystems.</w:t>
      </w:r>
    </w:p>
    <w:p w14:paraId="57A45EE8" w14:textId="6C1291FE" w:rsidR="009D3B61" w:rsidRPr="009D3B61" w:rsidRDefault="009D3B61" w:rsidP="009D3B61">
      <w:pPr>
        <w:spacing w:line="360" w:lineRule="auto"/>
        <w:jc w:val="both"/>
        <w:rPr>
          <w:rFonts w:cs="Times New Roman"/>
          <w:szCs w:val="24"/>
        </w:rPr>
      </w:pPr>
      <w:r w:rsidRPr="009D3B61">
        <w:rPr>
          <w:rFonts w:cs="Times New Roman"/>
          <w:b/>
          <w:bCs/>
          <w:szCs w:val="24"/>
        </w:rPr>
        <w:lastRenderedPageBreak/>
        <w:t>Keywords</w:t>
      </w:r>
      <w:r>
        <w:rPr>
          <w:rFonts w:cs="Times New Roman"/>
          <w:b/>
          <w:bCs/>
          <w:szCs w:val="24"/>
        </w:rPr>
        <w:t xml:space="preserve">: </w:t>
      </w:r>
      <w:r w:rsidRPr="009D3B61">
        <w:rPr>
          <w:rFonts w:cs="Times New Roman"/>
          <w:szCs w:val="24"/>
        </w:rPr>
        <w:t xml:space="preserve">Chlorpyrifos; </w:t>
      </w:r>
      <w:proofErr w:type="spellStart"/>
      <w:r w:rsidRPr="009D3B61">
        <w:rPr>
          <w:rFonts w:cs="Times New Roman"/>
          <w:i/>
          <w:iCs/>
          <w:szCs w:val="24"/>
        </w:rPr>
        <w:t>Catla</w:t>
      </w:r>
      <w:proofErr w:type="spellEnd"/>
      <w:r w:rsidRPr="009D3B61">
        <w:rPr>
          <w:rFonts w:cs="Times New Roman"/>
          <w:i/>
          <w:iCs/>
          <w:szCs w:val="24"/>
        </w:rPr>
        <w:t xml:space="preserve"> </w:t>
      </w:r>
      <w:proofErr w:type="spellStart"/>
      <w:r w:rsidRPr="009D3B61">
        <w:rPr>
          <w:rFonts w:cs="Times New Roman"/>
          <w:i/>
          <w:iCs/>
          <w:szCs w:val="24"/>
        </w:rPr>
        <w:t>catla</w:t>
      </w:r>
      <w:proofErr w:type="spellEnd"/>
      <w:r w:rsidRPr="009D3B61">
        <w:rPr>
          <w:rFonts w:cs="Times New Roman"/>
          <w:szCs w:val="24"/>
        </w:rPr>
        <w:t>; growth performance; sublethal toxicity; specific growth rate; freshwater fish; organophosphate pesticide; aquatic pollution</w:t>
      </w:r>
    </w:p>
    <w:p w14:paraId="4AB67560" w14:textId="29AB9450" w:rsidR="003B53EC" w:rsidRPr="003B53EC" w:rsidRDefault="00CA1451" w:rsidP="008D054E">
      <w:pPr>
        <w:spacing w:line="360" w:lineRule="auto"/>
        <w:jc w:val="both"/>
        <w:rPr>
          <w:rFonts w:cs="Times New Roman"/>
          <w:b/>
          <w:bCs/>
          <w:szCs w:val="24"/>
        </w:rPr>
      </w:pPr>
      <w:r>
        <w:rPr>
          <w:rFonts w:cs="Times New Roman"/>
          <w:b/>
          <w:bCs/>
          <w:szCs w:val="24"/>
        </w:rPr>
        <w:t xml:space="preserve">1. </w:t>
      </w:r>
      <w:r w:rsidRPr="003B53EC">
        <w:rPr>
          <w:rFonts w:cs="Times New Roman"/>
          <w:b/>
          <w:bCs/>
          <w:szCs w:val="24"/>
        </w:rPr>
        <w:t>INTRODUCTION</w:t>
      </w:r>
    </w:p>
    <w:p w14:paraId="0A6E386E" w14:textId="3BE4618A" w:rsidR="009D3B61" w:rsidRPr="009D3B61" w:rsidRDefault="009D3B61" w:rsidP="009D3B61">
      <w:pPr>
        <w:spacing w:line="360" w:lineRule="auto"/>
        <w:ind w:firstLine="720"/>
        <w:jc w:val="both"/>
        <w:rPr>
          <w:rFonts w:cs="Times New Roman"/>
          <w:color w:val="000000" w:themeColor="text1"/>
          <w:szCs w:val="24"/>
        </w:rPr>
      </w:pPr>
      <w:r w:rsidRPr="009D3B61">
        <w:rPr>
          <w:rFonts w:cs="Times New Roman"/>
          <w:color w:val="000000" w:themeColor="text1"/>
          <w:szCs w:val="24"/>
        </w:rPr>
        <w:t xml:space="preserve">The rapid intensification of agriculture to meet rising food demands has led to an extensive and sustained use of pesticides, many of which inevitably enter adjacent aquatic ecosystems through surface runoff, leaching, spray drift and irrigation return flows. Among these agrochemicals, organophosphate insecticides continue to be of major environmental concern because of their widespread application, high biological activity and proven toxicity to non-target organisms, particularly freshwater fish. Chlorpyrifos is one of the most commonly used broad-spectrum organophosphate insecticides, valued for its effectiveness against a wide range of agricultural pests but increasingly recognized for its adverse ecological impacts when transported into rivers, reservoirs and ponds (Deb &amp; Das, 2013; Hossain </w:t>
      </w:r>
      <w:r w:rsidR="0034163E" w:rsidRPr="0034163E">
        <w:rPr>
          <w:rFonts w:cs="Times New Roman"/>
          <w:i/>
          <w:iCs/>
          <w:color w:val="000000" w:themeColor="text1"/>
          <w:szCs w:val="24"/>
        </w:rPr>
        <w:t>et al.</w:t>
      </w:r>
      <w:r w:rsidRPr="009D3B61">
        <w:rPr>
          <w:rFonts w:cs="Times New Roman"/>
          <w:color w:val="000000" w:themeColor="text1"/>
          <w:szCs w:val="24"/>
        </w:rPr>
        <w:t>, 2022)</w:t>
      </w:r>
      <w:r w:rsidR="00D6239C">
        <w:rPr>
          <w:rFonts w:cs="Times New Roman"/>
          <w:color w:val="000000" w:themeColor="text1"/>
          <w:szCs w:val="24"/>
        </w:rPr>
        <w:t>.</w:t>
      </w:r>
    </w:p>
    <w:p w14:paraId="41779347" w14:textId="4285B5A9" w:rsidR="009D3B61" w:rsidRPr="009D3B61" w:rsidRDefault="009D3B61" w:rsidP="009D3B61">
      <w:pPr>
        <w:spacing w:line="360" w:lineRule="auto"/>
        <w:ind w:firstLine="720"/>
        <w:jc w:val="both"/>
        <w:rPr>
          <w:rFonts w:cs="Times New Roman"/>
          <w:color w:val="000000" w:themeColor="text1"/>
          <w:szCs w:val="24"/>
        </w:rPr>
      </w:pPr>
      <w:r w:rsidRPr="009D3B61">
        <w:rPr>
          <w:rFonts w:cs="Times New Roman"/>
          <w:color w:val="000000" w:themeColor="text1"/>
          <w:szCs w:val="24"/>
        </w:rPr>
        <w:t>Once present in aquatic environments, chlorpyrifos can persist long enough to cause chronic, sublethal exposure in fish populations. Its primary toxic mode of action involves inhibition of acetylcholinesterase, leading to neurotoxicity, behavioral impairment and metabolic disturbances. However, beyond acute toxicity, sublethal concentrations of chlorpyrifos have been shown to interfere with feeding behavior, energy metabolism and nutrient assimilation, ultimately resulting in suppressed growth and poor physiological condition (</w:t>
      </w:r>
      <w:commentRangeStart w:id="2"/>
      <w:r w:rsidRPr="009D3B61">
        <w:rPr>
          <w:rFonts w:cs="Times New Roman"/>
          <w:color w:val="000000" w:themeColor="text1"/>
          <w:szCs w:val="24"/>
        </w:rPr>
        <w:t>Majumder &amp; Kaviraj, 2019; Barton, 2002</w:t>
      </w:r>
      <w:commentRangeEnd w:id="2"/>
      <w:r w:rsidR="00A26EA9">
        <w:rPr>
          <w:rStyle w:val="CommentReference"/>
        </w:rPr>
        <w:commentReference w:id="2"/>
      </w:r>
      <w:r w:rsidRPr="009D3B61">
        <w:rPr>
          <w:rFonts w:cs="Times New Roman"/>
          <w:color w:val="000000" w:themeColor="text1"/>
          <w:szCs w:val="24"/>
        </w:rPr>
        <w:t>). Growth performance is therefore considered a highly integrative and ecologically relevant endpoint, as it reflects the cumulative effects of stress on feeding efficiency, metabolism, endocrine regulation and energy allocation</w:t>
      </w:r>
      <w:r w:rsidR="0034163E">
        <w:rPr>
          <w:rFonts w:cs="Times New Roman"/>
          <w:color w:val="000000" w:themeColor="text1"/>
          <w:szCs w:val="24"/>
        </w:rPr>
        <w:t xml:space="preserve"> and</w:t>
      </w:r>
      <w:r w:rsidRPr="009D3B61">
        <w:rPr>
          <w:rFonts w:cs="Times New Roman"/>
          <w:color w:val="000000" w:themeColor="text1"/>
          <w:szCs w:val="24"/>
        </w:rPr>
        <w:t xml:space="preserve"> directly influences survival, reproduction and population sustainability in fish.</w:t>
      </w:r>
    </w:p>
    <w:p w14:paraId="2359D0EE" w14:textId="422DF75E" w:rsidR="009D3B61" w:rsidRPr="009D3B61" w:rsidRDefault="009D3B61" w:rsidP="009D3B61">
      <w:pPr>
        <w:spacing w:line="360" w:lineRule="auto"/>
        <w:ind w:firstLine="720"/>
        <w:jc w:val="both"/>
        <w:rPr>
          <w:rFonts w:cs="Times New Roman"/>
          <w:color w:val="000000" w:themeColor="text1"/>
          <w:szCs w:val="24"/>
        </w:rPr>
      </w:pPr>
      <w:r w:rsidRPr="009D3B61">
        <w:rPr>
          <w:rFonts w:cs="Times New Roman"/>
          <w:color w:val="000000" w:themeColor="text1"/>
          <w:szCs w:val="24"/>
        </w:rPr>
        <w:t xml:space="preserve">Indian major carps constitute the backbone of inland fisheries and aquaculture in South Asia, contributing significantly to food security and rural livelihoods. Among them,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is a fast-growing, surface-feeding species widely cultured in reservoirs, ponds and rivers across India. Its ecological importance, economic value and documented sensitivity to chemical pollutants make it a suitable model organism for evaluating pesticide-induced stress under laboratory and semi-natural conditions (</w:t>
      </w:r>
      <w:commentRangeStart w:id="3"/>
      <w:r w:rsidRPr="009D3B61">
        <w:rPr>
          <w:rFonts w:cs="Times New Roman"/>
          <w:color w:val="000000" w:themeColor="text1"/>
          <w:szCs w:val="24"/>
        </w:rPr>
        <w:t xml:space="preserve">Abhijith </w:t>
      </w:r>
      <w:r w:rsidR="0034163E" w:rsidRPr="0034163E">
        <w:rPr>
          <w:rFonts w:cs="Times New Roman"/>
          <w:i/>
          <w:iCs/>
          <w:color w:val="000000" w:themeColor="text1"/>
          <w:szCs w:val="24"/>
        </w:rPr>
        <w:t>et al.</w:t>
      </w:r>
      <w:r w:rsidRPr="009D3B61">
        <w:rPr>
          <w:rFonts w:cs="Times New Roman"/>
          <w:color w:val="000000" w:themeColor="text1"/>
          <w:szCs w:val="24"/>
        </w:rPr>
        <w:t xml:space="preserve">, 2012; Kavitha </w:t>
      </w:r>
      <w:r w:rsidR="0034163E" w:rsidRPr="0034163E">
        <w:rPr>
          <w:rFonts w:cs="Times New Roman"/>
          <w:i/>
          <w:iCs/>
          <w:color w:val="000000" w:themeColor="text1"/>
          <w:szCs w:val="24"/>
        </w:rPr>
        <w:t>et al.</w:t>
      </w:r>
      <w:r w:rsidRPr="009D3B61">
        <w:rPr>
          <w:rFonts w:cs="Times New Roman"/>
          <w:color w:val="000000" w:themeColor="text1"/>
          <w:szCs w:val="24"/>
        </w:rPr>
        <w:t>, 2010</w:t>
      </w:r>
      <w:commentRangeEnd w:id="3"/>
      <w:r w:rsidR="00B31B83">
        <w:rPr>
          <w:rStyle w:val="CommentReference"/>
        </w:rPr>
        <w:commentReference w:id="3"/>
      </w:r>
      <w:r w:rsidRPr="009D3B61">
        <w:rPr>
          <w:rFonts w:cs="Times New Roman"/>
          <w:color w:val="000000" w:themeColor="text1"/>
          <w:szCs w:val="24"/>
        </w:rPr>
        <w:t xml:space="preserve">). Previous studies have reported reduced growth rates, altered feed conversion and metabolic imbalance in carps exposed to organophosphate pesticides, </w:t>
      </w:r>
      <w:r w:rsidRPr="009D3B61">
        <w:rPr>
          <w:rFonts w:cs="Times New Roman"/>
          <w:color w:val="000000" w:themeColor="text1"/>
          <w:szCs w:val="24"/>
        </w:rPr>
        <w:lastRenderedPageBreak/>
        <w:t xml:space="preserve">indicating that chronic exposure, even at low concentrations, may have serious implications for fish health and aquaculture productivity (Tripathi </w:t>
      </w:r>
      <w:r w:rsidR="0034163E" w:rsidRPr="0034163E">
        <w:rPr>
          <w:rFonts w:cs="Times New Roman"/>
          <w:i/>
          <w:iCs/>
          <w:color w:val="000000" w:themeColor="text1"/>
          <w:szCs w:val="24"/>
        </w:rPr>
        <w:t>et al.</w:t>
      </w:r>
      <w:r w:rsidRPr="009D3B61">
        <w:rPr>
          <w:rFonts w:cs="Times New Roman"/>
          <w:color w:val="000000" w:themeColor="text1"/>
          <w:szCs w:val="24"/>
        </w:rPr>
        <w:t xml:space="preserve">, 2003; Hossain </w:t>
      </w:r>
      <w:r w:rsidR="0034163E" w:rsidRPr="0034163E">
        <w:rPr>
          <w:rFonts w:cs="Times New Roman"/>
          <w:i/>
          <w:iCs/>
          <w:color w:val="000000" w:themeColor="text1"/>
          <w:szCs w:val="24"/>
        </w:rPr>
        <w:t>et al.</w:t>
      </w:r>
      <w:r w:rsidRPr="009D3B61">
        <w:rPr>
          <w:rFonts w:cs="Times New Roman"/>
          <w:color w:val="000000" w:themeColor="text1"/>
          <w:szCs w:val="24"/>
        </w:rPr>
        <w:t>, 2022).</w:t>
      </w:r>
    </w:p>
    <w:p w14:paraId="47B0EE89" w14:textId="353F3B32" w:rsidR="009D3B61" w:rsidRPr="009D3B61" w:rsidRDefault="009D3B61" w:rsidP="00D9214E">
      <w:pPr>
        <w:spacing w:line="360" w:lineRule="auto"/>
        <w:ind w:firstLine="720"/>
        <w:jc w:val="both"/>
        <w:rPr>
          <w:rFonts w:cs="Times New Roman"/>
          <w:color w:val="000000" w:themeColor="text1"/>
          <w:szCs w:val="24"/>
        </w:rPr>
      </w:pPr>
      <w:r w:rsidRPr="009D3B61">
        <w:rPr>
          <w:rFonts w:cs="Times New Roman"/>
          <w:color w:val="000000" w:themeColor="text1"/>
          <w:szCs w:val="24"/>
        </w:rPr>
        <w:t xml:space="preserve">Despite the growing body of toxicological evidence, region-specific data on the long-term effects of sublethal chlorpyrifos exposure on growth performance of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remain limited, particularly under controlled experimental conditions relevant to reservoir ecosystems. In this context, the present study was undertaken to evaluate the growth performance of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exposed to graded sublethal concentrations of chlorpyrifos for 60 days. By assessing changes in length, weight, percentage gain and specific growth rate, the study aims to elucidate the concentration-dependent impact of chlorpyrifos on somatic growth and to provide baseline information useful for ecological risk assessment, fisheries management and sustainable pesticide regulation in freshwater </w:t>
      </w:r>
      <w:r w:rsidR="002B2865" w:rsidRPr="009D3B61">
        <w:rPr>
          <w:rFonts w:cs="Times New Roman"/>
          <w:color w:val="000000" w:themeColor="text1"/>
          <w:szCs w:val="24"/>
        </w:rPr>
        <w:t>environments.</w:t>
      </w:r>
    </w:p>
    <w:p w14:paraId="7B99DFEE" w14:textId="50F16A46" w:rsidR="00313617" w:rsidRPr="00313617" w:rsidRDefault="00CA1451" w:rsidP="008D054E">
      <w:pPr>
        <w:spacing w:line="360" w:lineRule="auto"/>
        <w:jc w:val="both"/>
        <w:rPr>
          <w:rFonts w:cs="Times New Roman"/>
          <w:b/>
          <w:bCs/>
          <w:color w:val="000000" w:themeColor="text1"/>
          <w:szCs w:val="24"/>
        </w:rPr>
      </w:pPr>
      <w:r>
        <w:rPr>
          <w:rFonts w:cs="Times New Roman"/>
          <w:b/>
          <w:bCs/>
          <w:color w:val="000000" w:themeColor="text1"/>
          <w:szCs w:val="24"/>
        </w:rPr>
        <w:t xml:space="preserve">2. </w:t>
      </w:r>
      <w:r w:rsidRPr="00313617">
        <w:rPr>
          <w:rFonts w:cs="Times New Roman"/>
          <w:b/>
          <w:bCs/>
          <w:color w:val="000000" w:themeColor="text1"/>
          <w:szCs w:val="24"/>
        </w:rPr>
        <w:t>METHODOLOGY</w:t>
      </w:r>
    </w:p>
    <w:p w14:paraId="073AA9C8" w14:textId="5E5DDC53" w:rsidR="00E74F00" w:rsidRPr="00E74F00" w:rsidRDefault="00E74F00" w:rsidP="00E74F00">
      <w:pPr>
        <w:spacing w:line="360" w:lineRule="auto"/>
        <w:ind w:firstLine="720"/>
        <w:jc w:val="both"/>
        <w:rPr>
          <w:rFonts w:cs="Times New Roman"/>
          <w:color w:val="000000" w:themeColor="text1"/>
          <w:szCs w:val="24"/>
        </w:rPr>
      </w:pPr>
      <w:r w:rsidRPr="00E74F00">
        <w:rPr>
          <w:rFonts w:cs="Times New Roman"/>
          <w:color w:val="000000" w:themeColor="text1"/>
          <w:szCs w:val="24"/>
        </w:rPr>
        <w:t>The present investigation was carried out during the year 2024</w:t>
      </w:r>
      <w:r w:rsidR="00606EC7">
        <w:rPr>
          <w:rFonts w:cs="Times New Roman"/>
          <w:color w:val="000000" w:themeColor="text1"/>
          <w:szCs w:val="24"/>
        </w:rPr>
        <w:t>-</w:t>
      </w:r>
      <w:r w:rsidRPr="00E74F00">
        <w:rPr>
          <w:rFonts w:cs="Times New Roman"/>
          <w:color w:val="000000" w:themeColor="text1"/>
          <w:szCs w:val="24"/>
        </w:rPr>
        <w:t xml:space="preserve">25 in a controlled laboratory facility at Bilaspur, Chhattisgarh, under the supervision of the School of Sciences, MATS University, Raipur, adopting a Completely Randomized Design (CRD). The study was undertaken to evaluate the growth performance of </w:t>
      </w:r>
      <w:proofErr w:type="spellStart"/>
      <w:r w:rsidRPr="00E74F00">
        <w:rPr>
          <w:rFonts w:cs="Times New Roman"/>
          <w:i/>
          <w:iCs/>
          <w:color w:val="000000" w:themeColor="text1"/>
          <w:szCs w:val="24"/>
        </w:rPr>
        <w:t>Catla</w:t>
      </w:r>
      <w:proofErr w:type="spellEnd"/>
      <w:r w:rsidRPr="00E74F00">
        <w:rPr>
          <w:rFonts w:cs="Times New Roman"/>
          <w:i/>
          <w:iCs/>
          <w:color w:val="000000" w:themeColor="text1"/>
          <w:szCs w:val="24"/>
        </w:rPr>
        <w:t xml:space="preserve"> </w:t>
      </w:r>
      <w:proofErr w:type="spellStart"/>
      <w:r w:rsidRPr="00E74F00">
        <w:rPr>
          <w:rFonts w:cs="Times New Roman"/>
          <w:i/>
          <w:iCs/>
          <w:color w:val="000000" w:themeColor="text1"/>
          <w:szCs w:val="24"/>
        </w:rPr>
        <w:t>catla</w:t>
      </w:r>
      <w:proofErr w:type="spellEnd"/>
      <w:r w:rsidRPr="00E74F00">
        <w:rPr>
          <w:rFonts w:cs="Times New Roman"/>
          <w:color w:val="000000" w:themeColor="text1"/>
          <w:szCs w:val="24"/>
        </w:rPr>
        <w:t xml:space="preserve"> following exposure to sublethal concentrations of chlorpyrifos for a period of 60 days. Chlorpyrifos (technical grade, approximately 95% purity) was obtained from a certified supplier</w:t>
      </w:r>
      <w:r w:rsidR="0034163E">
        <w:rPr>
          <w:rFonts w:cs="Times New Roman"/>
          <w:color w:val="000000" w:themeColor="text1"/>
          <w:szCs w:val="24"/>
        </w:rPr>
        <w:t xml:space="preserve"> and</w:t>
      </w:r>
      <w:r w:rsidRPr="00E74F00">
        <w:rPr>
          <w:rFonts w:cs="Times New Roman"/>
          <w:color w:val="000000" w:themeColor="text1"/>
          <w:szCs w:val="24"/>
        </w:rPr>
        <w:t xml:space="preserve"> stock solutions were prepared using analytical-grade methanol.</w:t>
      </w:r>
    </w:p>
    <w:p w14:paraId="713C985E" w14:textId="5AF82882" w:rsidR="007623F2" w:rsidRPr="007623F2" w:rsidRDefault="007623F2" w:rsidP="007623F2">
      <w:pPr>
        <w:spacing w:line="360" w:lineRule="auto"/>
        <w:ind w:firstLine="720"/>
        <w:jc w:val="both"/>
        <w:rPr>
          <w:color w:val="000000" w:themeColor="text1"/>
        </w:rPr>
      </w:pPr>
      <w:r w:rsidRPr="007623F2">
        <w:rPr>
          <w:color w:val="000000" w:themeColor="text1"/>
        </w:rPr>
        <w:t xml:space="preserve">Healthy juvenile </w:t>
      </w:r>
      <w:proofErr w:type="spellStart"/>
      <w:r w:rsidRPr="007623F2">
        <w:rPr>
          <w:i/>
          <w:iCs/>
          <w:color w:val="000000" w:themeColor="text1"/>
        </w:rPr>
        <w:t>Catla</w:t>
      </w:r>
      <w:proofErr w:type="spellEnd"/>
      <w:r w:rsidRPr="007623F2">
        <w:rPr>
          <w:i/>
          <w:iCs/>
          <w:color w:val="000000" w:themeColor="text1"/>
        </w:rPr>
        <w:t xml:space="preserve"> </w:t>
      </w:r>
      <w:proofErr w:type="spellStart"/>
      <w:r w:rsidRPr="007623F2">
        <w:rPr>
          <w:i/>
          <w:iCs/>
          <w:color w:val="000000" w:themeColor="text1"/>
        </w:rPr>
        <w:t>catla</w:t>
      </w:r>
      <w:proofErr w:type="spellEnd"/>
      <w:r w:rsidRPr="007623F2">
        <w:rPr>
          <w:color w:val="000000" w:themeColor="text1"/>
        </w:rPr>
        <w:t xml:space="preserve"> of uniform size and weight were procured and acclimatized for 15 days under laboratory conditions prior to experimentation. Fish were maintained in fiberglass-reinforced plastic (FRP) tanks containing dechlorinated tap water under controlled environmental conditions, including temperature of 26 ± 2 °C, pH ranging from 7.2 to 7.6, dissolved oxygen above 6 mg L⁻¹ and a photoperiod of 12 h light and 12 h dark. During acclimatization and throughout the experimental period, fish were fed a commercial pelleted diet containing approximately 30% crude protein at a feeding rate of 3% of their body weight per day. Only healthy and actively swimming individuals were selected for the growth performance study to ensure experimental uniformity.</w:t>
      </w:r>
    </w:p>
    <w:p w14:paraId="3CAE3BD8" w14:textId="24423C53" w:rsidR="007623F2" w:rsidRPr="007623F2" w:rsidRDefault="007623F2" w:rsidP="007623F2">
      <w:pPr>
        <w:spacing w:line="360" w:lineRule="auto"/>
        <w:ind w:firstLine="720"/>
        <w:jc w:val="both"/>
        <w:rPr>
          <w:rFonts w:cs="Times New Roman"/>
          <w:color w:val="000000" w:themeColor="text1"/>
          <w:szCs w:val="24"/>
        </w:rPr>
      </w:pPr>
      <w:r w:rsidRPr="007623F2">
        <w:rPr>
          <w:rFonts w:cs="Times New Roman"/>
          <w:color w:val="000000" w:themeColor="text1"/>
          <w:szCs w:val="24"/>
        </w:rPr>
        <w:t xml:space="preserve">Following acclimatization, fish were randomly distributed into different treatment groups and exposed to sublethal concentrations of chlorpyrifos (4.0, 8.0, 16.0, 32.0 and 64.0 ppb) along with a control for a period of 60 days, following a static-renewal bioassay </w:t>
      </w:r>
      <w:r w:rsidRPr="007623F2">
        <w:rPr>
          <w:rFonts w:cs="Times New Roman"/>
          <w:color w:val="000000" w:themeColor="text1"/>
          <w:szCs w:val="24"/>
        </w:rPr>
        <w:lastRenderedPageBreak/>
        <w:t>design. Each treatment was maintained in triplicate</w:t>
      </w:r>
      <w:r w:rsidR="0034163E">
        <w:rPr>
          <w:rFonts w:cs="Times New Roman"/>
          <w:color w:val="000000" w:themeColor="text1"/>
          <w:szCs w:val="24"/>
        </w:rPr>
        <w:t xml:space="preserve"> and</w:t>
      </w:r>
      <w:r w:rsidRPr="007623F2">
        <w:rPr>
          <w:rFonts w:cs="Times New Roman"/>
          <w:color w:val="000000" w:themeColor="text1"/>
          <w:szCs w:val="24"/>
        </w:rPr>
        <w:t xml:space="preserve"> the test solutions were renewed daily to maintain consistent pesticide concentrations and optimal water quality. </w:t>
      </w:r>
      <w:proofErr w:type="spellStart"/>
      <w:r w:rsidRPr="007623F2">
        <w:rPr>
          <w:rFonts w:cs="Times New Roman"/>
          <w:color w:val="000000" w:themeColor="text1"/>
          <w:szCs w:val="24"/>
        </w:rPr>
        <w:t>Physico</w:t>
      </w:r>
      <w:proofErr w:type="spellEnd"/>
      <w:r w:rsidRPr="007623F2">
        <w:rPr>
          <w:rFonts w:cs="Times New Roman"/>
          <w:color w:val="000000" w:themeColor="text1"/>
          <w:szCs w:val="24"/>
        </w:rPr>
        <w:t>-chemical parameters such as temperature, pH, dissolved oxygen, free CO₂ and total dissolved solids were monitored regularly throughout the exposure period to avoid additional environmental stress and to ensure that observed effects were attributable solely to chlorpyrifos exposure.</w:t>
      </w:r>
    </w:p>
    <w:p w14:paraId="033AA451" w14:textId="512D4081" w:rsidR="007623F2" w:rsidRPr="007623F2" w:rsidRDefault="007623F2" w:rsidP="007623F2">
      <w:pPr>
        <w:spacing w:line="360" w:lineRule="auto"/>
        <w:ind w:firstLine="720"/>
        <w:jc w:val="both"/>
        <w:rPr>
          <w:rFonts w:cs="Times New Roman"/>
          <w:color w:val="000000" w:themeColor="text1"/>
          <w:szCs w:val="24"/>
        </w:rPr>
      </w:pPr>
      <w:r w:rsidRPr="007623F2">
        <w:rPr>
          <w:rFonts w:cs="Times New Roman"/>
          <w:color w:val="000000" w:themeColor="text1"/>
          <w:szCs w:val="24"/>
        </w:rPr>
        <w:t>Initial length and body weight of individual fish were recorded at the commencement of the experiment to ensure uniformity among treatment groups. At the end of the 60-day exposure period, final length and weight measurements were taken using standard measuring boards and electronic balances. Growth parameters including length gain, weight gain, percentage increase in length and weight</w:t>
      </w:r>
      <w:r w:rsidR="0034163E">
        <w:rPr>
          <w:rFonts w:cs="Times New Roman"/>
          <w:color w:val="000000" w:themeColor="text1"/>
          <w:szCs w:val="24"/>
        </w:rPr>
        <w:t xml:space="preserve"> and</w:t>
      </w:r>
      <w:r w:rsidRPr="007623F2">
        <w:rPr>
          <w:rFonts w:cs="Times New Roman"/>
          <w:color w:val="000000" w:themeColor="text1"/>
          <w:szCs w:val="24"/>
        </w:rPr>
        <w:t xml:space="preserve"> specific growth rate (SGR) on both length and weight basis were calculated using established formulae. All data were expressed as mean ± SD and subjected to statistical analysis using one-way analysis of variance (ANOVA) under a Completely Randomized Design, followed by </w:t>
      </w:r>
      <w:r w:rsidR="00E74F00">
        <w:rPr>
          <w:rFonts w:cs="Times New Roman"/>
          <w:color w:val="000000" w:themeColor="text1"/>
          <w:szCs w:val="24"/>
        </w:rPr>
        <w:t xml:space="preserve">standard error </w:t>
      </w:r>
      <w:r w:rsidRPr="007623F2">
        <w:rPr>
          <w:rFonts w:cs="Times New Roman"/>
          <w:color w:val="000000" w:themeColor="text1"/>
          <w:szCs w:val="24"/>
        </w:rPr>
        <w:t>at a significance level of p ≤ 0.05 to determine significant differences among treatments.</w:t>
      </w:r>
    </w:p>
    <w:p w14:paraId="597AB0C6" w14:textId="7BBE588A" w:rsidR="00CD0811" w:rsidRPr="008D054E" w:rsidRDefault="001A59E5" w:rsidP="00E74F00">
      <w:pPr>
        <w:spacing w:line="360" w:lineRule="auto"/>
        <w:jc w:val="both"/>
        <w:rPr>
          <w:rFonts w:cs="Times New Roman"/>
          <w:b/>
          <w:bCs/>
          <w:color w:val="000000" w:themeColor="text1"/>
          <w:szCs w:val="24"/>
        </w:rPr>
      </w:pPr>
      <w:r>
        <w:rPr>
          <w:rFonts w:cs="Times New Roman"/>
          <w:b/>
          <w:bCs/>
          <w:color w:val="000000" w:themeColor="text1"/>
          <w:szCs w:val="24"/>
        </w:rPr>
        <w:t>3. RESULT</w:t>
      </w:r>
      <w:r w:rsidRPr="008D054E">
        <w:rPr>
          <w:rFonts w:cs="Times New Roman"/>
          <w:b/>
          <w:bCs/>
          <w:color w:val="000000" w:themeColor="text1"/>
          <w:szCs w:val="24"/>
        </w:rPr>
        <w:t xml:space="preserve"> </w:t>
      </w:r>
    </w:p>
    <w:p w14:paraId="7D317269" w14:textId="3E24C29D" w:rsidR="00FF3295" w:rsidRPr="00FA7D1A" w:rsidRDefault="00FF3295" w:rsidP="00FF3295">
      <w:pPr>
        <w:spacing w:line="360" w:lineRule="auto"/>
        <w:ind w:firstLine="720"/>
        <w:jc w:val="both"/>
      </w:pPr>
      <w:r w:rsidRPr="00FA7D1A">
        <w:t xml:space="preserve">The growth performance of </w:t>
      </w:r>
      <w:proofErr w:type="spellStart"/>
      <w:r w:rsidRPr="00FA7D1A">
        <w:rPr>
          <w:i/>
          <w:iCs/>
        </w:rPr>
        <w:t>Catla</w:t>
      </w:r>
      <w:proofErr w:type="spellEnd"/>
      <w:r w:rsidRPr="00FA7D1A">
        <w:rPr>
          <w:i/>
          <w:iCs/>
        </w:rPr>
        <w:t xml:space="preserve"> </w:t>
      </w:r>
      <w:proofErr w:type="spellStart"/>
      <w:r w:rsidRPr="00FA7D1A">
        <w:rPr>
          <w:i/>
          <w:iCs/>
        </w:rPr>
        <w:t>catla</w:t>
      </w:r>
      <w:proofErr w:type="spellEnd"/>
      <w:r w:rsidRPr="00FA7D1A">
        <w:t xml:space="preserve"> exposed to sublethal concentrations of chlorpyrifos (4.0</w:t>
      </w:r>
      <w:r w:rsidR="00606EC7">
        <w:t>-</w:t>
      </w:r>
      <w:r w:rsidRPr="00FA7D1A">
        <w:t xml:space="preserve">64.0 ppb) for 60 days is presented in Table </w:t>
      </w:r>
      <w:r w:rsidR="001E1936">
        <w:t>1 and Fig 1-8</w:t>
      </w:r>
      <w:r w:rsidRPr="00FA7D1A">
        <w:t>. A gradual decrease in all growth indices was observed with increasing pesticide concentration, reflecting a clear inhibitory effect on overall growth performance.</w:t>
      </w:r>
    </w:p>
    <w:p w14:paraId="6CFF1410" w14:textId="578A5638" w:rsidR="00FF3295" w:rsidRPr="00FA7D1A" w:rsidRDefault="00E74F00" w:rsidP="00FF3295">
      <w:pPr>
        <w:spacing w:line="360" w:lineRule="auto"/>
        <w:jc w:val="both"/>
        <w:rPr>
          <w:b/>
          <w:bCs/>
        </w:rPr>
      </w:pPr>
      <w:r>
        <w:rPr>
          <w:b/>
          <w:bCs/>
        </w:rPr>
        <w:t>3.1</w:t>
      </w:r>
      <w:r w:rsidR="00FF3295">
        <w:rPr>
          <w:b/>
          <w:bCs/>
        </w:rPr>
        <w:t xml:space="preserve"> </w:t>
      </w:r>
      <w:r w:rsidR="00FF3295" w:rsidRPr="00FA7D1A">
        <w:rPr>
          <w:b/>
          <w:bCs/>
        </w:rPr>
        <w:t>Initial Length (cm)</w:t>
      </w:r>
    </w:p>
    <w:p w14:paraId="10B195A3" w14:textId="77777777" w:rsidR="00FF3295" w:rsidRDefault="00FF3295" w:rsidP="00FF3295">
      <w:pPr>
        <w:spacing w:line="360" w:lineRule="auto"/>
        <w:ind w:firstLine="720"/>
        <w:jc w:val="both"/>
      </w:pPr>
      <w:r w:rsidRPr="00FA7D1A">
        <w:t xml:space="preserve">The initial length of </w:t>
      </w:r>
      <w:proofErr w:type="spellStart"/>
      <w:r w:rsidRPr="00FA7D1A">
        <w:rPr>
          <w:i/>
          <w:iCs/>
        </w:rPr>
        <w:t>Catla</w:t>
      </w:r>
      <w:proofErr w:type="spellEnd"/>
      <w:r w:rsidRPr="00FA7D1A">
        <w:rPr>
          <w:i/>
          <w:iCs/>
        </w:rPr>
        <w:t xml:space="preserve"> </w:t>
      </w:r>
      <w:proofErr w:type="spellStart"/>
      <w:r w:rsidRPr="00FA7D1A">
        <w:rPr>
          <w:i/>
          <w:iCs/>
        </w:rPr>
        <w:t>catla</w:t>
      </w:r>
      <w:proofErr w:type="spellEnd"/>
      <w:r w:rsidRPr="00FA7D1A">
        <w:t xml:space="preserve"> ranged narrowly between 9.83 ± 0.01 cm in T6 (64.0 ppb) and 9.90 ± 0.01 cm in T3 (8.0 ppb). The values remained nearly identical across all treatments, confirming that the experimental fish were of similar size and growth stage at the start of the study. This uniformity eliminated bias due to initial size variation and ensured reliable comparison among treatments.</w:t>
      </w:r>
    </w:p>
    <w:p w14:paraId="54AE2024" w14:textId="77777777" w:rsidR="00BB1CC8" w:rsidRPr="00FA7D1A" w:rsidRDefault="00BB1CC8" w:rsidP="00FF3295">
      <w:pPr>
        <w:spacing w:line="360" w:lineRule="auto"/>
        <w:ind w:firstLine="720"/>
        <w:jc w:val="both"/>
      </w:pPr>
    </w:p>
    <w:p w14:paraId="07C65061" w14:textId="1E5C34D6" w:rsidR="00FF3295" w:rsidRPr="00FA7D1A" w:rsidRDefault="00E74F00" w:rsidP="00FF3295">
      <w:pPr>
        <w:spacing w:line="360" w:lineRule="auto"/>
        <w:jc w:val="both"/>
        <w:rPr>
          <w:b/>
          <w:bCs/>
        </w:rPr>
      </w:pPr>
      <w:r>
        <w:rPr>
          <w:b/>
          <w:bCs/>
        </w:rPr>
        <w:t>3.2</w:t>
      </w:r>
      <w:r w:rsidR="00FF3295">
        <w:rPr>
          <w:b/>
          <w:bCs/>
        </w:rPr>
        <w:t xml:space="preserve"> </w:t>
      </w:r>
      <w:r w:rsidR="00FF3295" w:rsidRPr="00FA7D1A">
        <w:rPr>
          <w:b/>
          <w:bCs/>
        </w:rPr>
        <w:t>Final Length (cm)</w:t>
      </w:r>
    </w:p>
    <w:p w14:paraId="5E065BA0" w14:textId="37D371B0" w:rsidR="00FF3295" w:rsidRPr="00FA7D1A" w:rsidRDefault="00FF3295" w:rsidP="00FF3295">
      <w:pPr>
        <w:spacing w:line="360" w:lineRule="auto"/>
        <w:ind w:firstLine="720"/>
        <w:jc w:val="both"/>
      </w:pPr>
      <w:r w:rsidRPr="00FA7D1A">
        <w:t xml:space="preserve">The final length showed a progressive decline with increasing chlorpyrifos concentration. The maximum final length (12.01 ± 0.25 cm) was recorded in the control </w:t>
      </w:r>
      <w:r w:rsidRPr="00FA7D1A">
        <w:lastRenderedPageBreak/>
        <w:t>(T1), whereas the minimum (9.95 ± 0.07 cm) was observed at 64.0 ppb (T6). Intermediate final lengths were 11.48 ± 0.25 cm, 11.00 ± 0.25 cm, 10.55 ± 0.25 cm</w:t>
      </w:r>
      <w:r w:rsidR="0034163E">
        <w:t xml:space="preserve"> and</w:t>
      </w:r>
      <w:r w:rsidRPr="00FA7D1A">
        <w:t xml:space="preserve"> 10.15 ± 0.13 cm for T2, T3, T4</w:t>
      </w:r>
      <w:r w:rsidR="0034163E">
        <w:t xml:space="preserve"> and</w:t>
      </w:r>
      <w:r w:rsidRPr="00FA7D1A">
        <w:t xml:space="preserve"> T5 respectively. The continuous reduction in final length with increasing exposure concentration indicates that chlorpyrifos significantly restricted linear growth, likely by impairing feeding efficiency and tissue development.</w:t>
      </w:r>
    </w:p>
    <w:p w14:paraId="34F5E06B" w14:textId="11BB246D" w:rsidR="00FF3295" w:rsidRPr="00FA7D1A" w:rsidRDefault="00E74F00" w:rsidP="00FF3295">
      <w:pPr>
        <w:spacing w:line="360" w:lineRule="auto"/>
        <w:jc w:val="both"/>
        <w:rPr>
          <w:b/>
          <w:bCs/>
        </w:rPr>
      </w:pPr>
      <w:r>
        <w:rPr>
          <w:b/>
          <w:bCs/>
        </w:rPr>
        <w:t>3.3</w:t>
      </w:r>
      <w:r w:rsidR="00FF3295">
        <w:rPr>
          <w:b/>
          <w:bCs/>
        </w:rPr>
        <w:t xml:space="preserve"> </w:t>
      </w:r>
      <w:r w:rsidR="00FF3295" w:rsidRPr="00FA7D1A">
        <w:rPr>
          <w:b/>
          <w:bCs/>
        </w:rPr>
        <w:t>Length Gain (cm)</w:t>
      </w:r>
    </w:p>
    <w:p w14:paraId="57AF33CC" w14:textId="593EAF67" w:rsidR="00FF3295" w:rsidRPr="00FA7D1A" w:rsidRDefault="00FF3295" w:rsidP="00FF3295">
      <w:pPr>
        <w:spacing w:line="360" w:lineRule="auto"/>
        <w:ind w:firstLine="720"/>
        <w:jc w:val="both"/>
      </w:pPr>
      <w:r w:rsidRPr="00FA7D1A">
        <w:t>The length gain ranged from a maximum of 2.12 ± 0.24 cm in control fish to a minimum of 0.12 ± 0.07 cm at 64.0 ppb (T6). The intermediate gains recorded were 1.60 ± 0.23 cm, 1.10 ± 0.25 cm, 0.68 ± 0.25 cm</w:t>
      </w:r>
      <w:r w:rsidR="0034163E">
        <w:t xml:space="preserve"> and</w:t>
      </w:r>
      <w:r w:rsidRPr="00FA7D1A">
        <w:t xml:space="preserve"> 0.30 ± 0.14 cm for T2, T3, T4</w:t>
      </w:r>
      <w:r w:rsidR="0034163E">
        <w:t xml:space="preserve"> and</w:t>
      </w:r>
      <w:r w:rsidRPr="00FA7D1A">
        <w:t xml:space="preserve"> T5 respectively. The consistent reduction in length gain with increased chlorpyrifos levels demonstrates the adverse effect of pesticide stress on normal somatic growth and length increment.</w:t>
      </w:r>
    </w:p>
    <w:p w14:paraId="77630B86" w14:textId="51BDC700" w:rsidR="00FF3295" w:rsidRPr="00FA7D1A" w:rsidRDefault="00E74F00" w:rsidP="00FF3295">
      <w:pPr>
        <w:spacing w:line="360" w:lineRule="auto"/>
        <w:jc w:val="both"/>
        <w:rPr>
          <w:b/>
          <w:bCs/>
        </w:rPr>
      </w:pPr>
      <w:r>
        <w:rPr>
          <w:b/>
          <w:bCs/>
        </w:rPr>
        <w:t>3.4</w:t>
      </w:r>
      <w:r w:rsidR="00FF3295">
        <w:rPr>
          <w:b/>
          <w:bCs/>
        </w:rPr>
        <w:t xml:space="preserve"> </w:t>
      </w:r>
      <w:r w:rsidR="00FF3295" w:rsidRPr="00FA7D1A">
        <w:rPr>
          <w:b/>
          <w:bCs/>
        </w:rPr>
        <w:t>Length Gain Percentage (%)</w:t>
      </w:r>
    </w:p>
    <w:p w14:paraId="2DBDFB88" w14:textId="0A7F0C42" w:rsidR="00FF3295" w:rsidRPr="00FA7D1A" w:rsidRDefault="00FF3295" w:rsidP="00FF3295">
      <w:pPr>
        <w:spacing w:line="360" w:lineRule="auto"/>
        <w:ind w:firstLine="720"/>
        <w:jc w:val="both"/>
      </w:pPr>
      <w:r w:rsidRPr="00FA7D1A">
        <w:t>The highest percentage length gain (17.58 ± 1.66%) was observed in the control group, while the lowest (1.20 ± 0.67%) occurred in the highest concentration (T6). The corresponding intermediate percentages were 13.86 ± 1.71%, 9.91 ± 2.09%, 6.34 ± 2.26%</w:t>
      </w:r>
      <w:r w:rsidR="0034163E">
        <w:t xml:space="preserve"> and</w:t>
      </w:r>
      <w:r w:rsidRPr="00FA7D1A">
        <w:t xml:space="preserve"> 2.92 ± 1.33% for T2</w:t>
      </w:r>
      <w:r w:rsidR="00606EC7">
        <w:t>-</w:t>
      </w:r>
      <w:r w:rsidRPr="00FA7D1A">
        <w:t>T5 respectively. The decline in percentage gain with increasing concentration indicates that chlorpyrifos exposure significantly reduced elongation rate, possibly due to physiological stress and poor feed utilization.</w:t>
      </w:r>
    </w:p>
    <w:p w14:paraId="6C6760F4" w14:textId="1D4D2E33" w:rsidR="00FF3295" w:rsidRPr="00FA7D1A" w:rsidRDefault="00E74F00" w:rsidP="00FF3295">
      <w:pPr>
        <w:spacing w:line="360" w:lineRule="auto"/>
        <w:jc w:val="both"/>
        <w:rPr>
          <w:b/>
          <w:bCs/>
        </w:rPr>
      </w:pPr>
      <w:r>
        <w:rPr>
          <w:b/>
          <w:bCs/>
        </w:rPr>
        <w:t>3.5</w:t>
      </w:r>
      <w:r w:rsidR="00FF3295">
        <w:rPr>
          <w:b/>
          <w:bCs/>
        </w:rPr>
        <w:t xml:space="preserve"> </w:t>
      </w:r>
      <w:r w:rsidR="00FF3295" w:rsidRPr="00FA7D1A">
        <w:rPr>
          <w:b/>
          <w:bCs/>
        </w:rPr>
        <w:t>Specific Growth Rate (</w:t>
      </w:r>
      <w:commentRangeStart w:id="4"/>
      <w:r w:rsidR="00FF3295" w:rsidRPr="00FA7D1A">
        <w:rPr>
          <w:b/>
          <w:bCs/>
        </w:rPr>
        <w:t>Length %/day</w:t>
      </w:r>
      <w:commentRangeEnd w:id="4"/>
      <w:r w:rsidR="00751005">
        <w:rPr>
          <w:rStyle w:val="CommentReference"/>
        </w:rPr>
        <w:commentReference w:id="4"/>
      </w:r>
      <w:r w:rsidR="00FF3295" w:rsidRPr="00FA7D1A">
        <w:rPr>
          <w:b/>
          <w:bCs/>
        </w:rPr>
        <w:t>)</w:t>
      </w:r>
    </w:p>
    <w:p w14:paraId="54FF5498" w14:textId="589B15A8" w:rsidR="00FF3295" w:rsidRDefault="00FF3295" w:rsidP="00FF3295">
      <w:pPr>
        <w:spacing w:line="360" w:lineRule="auto"/>
        <w:ind w:firstLine="720"/>
        <w:jc w:val="both"/>
      </w:pPr>
      <w:r w:rsidRPr="00FA7D1A">
        <w:t>The specific growth rate (SGR) based on length was highest (3.53 ± 0.40 %/day) in the control fish (T1) and lowest (0.20 ± 0.11 %/day) in T6 (64.0 ppb). Intermediate values were 2.67 ± 0.38, 1.83 ± 0.42, 1.13 ± 0.42</w:t>
      </w:r>
      <w:r w:rsidR="0034163E">
        <w:t xml:space="preserve"> and</w:t>
      </w:r>
      <w:r w:rsidRPr="00FA7D1A">
        <w:t xml:space="preserve"> 0.50 ± 0.23 %/day for T2, T3, T4</w:t>
      </w:r>
      <w:r w:rsidR="0034163E">
        <w:t xml:space="preserve"> and</w:t>
      </w:r>
      <w:r w:rsidRPr="00FA7D1A">
        <w:t xml:space="preserve"> T5 respectively. The decline in SGR values indicates that increased pesticide exposure reduced the overall efficiency of growth processes by limiting metabolic and nutrient assimilation rates.</w:t>
      </w:r>
    </w:p>
    <w:p w14:paraId="0EF17F57" w14:textId="77777777" w:rsidR="00BB1CC8" w:rsidRPr="00FA7D1A" w:rsidRDefault="00BB1CC8" w:rsidP="00FF3295">
      <w:pPr>
        <w:spacing w:line="360" w:lineRule="auto"/>
        <w:ind w:firstLine="720"/>
        <w:jc w:val="both"/>
      </w:pPr>
    </w:p>
    <w:p w14:paraId="625D310B" w14:textId="54B7CB1B" w:rsidR="00FF3295" w:rsidRPr="00FA7D1A" w:rsidRDefault="00E74F00" w:rsidP="00FF3295">
      <w:pPr>
        <w:spacing w:line="360" w:lineRule="auto"/>
        <w:jc w:val="both"/>
        <w:rPr>
          <w:b/>
          <w:bCs/>
        </w:rPr>
      </w:pPr>
      <w:r>
        <w:rPr>
          <w:b/>
          <w:bCs/>
        </w:rPr>
        <w:t>3.6</w:t>
      </w:r>
      <w:r w:rsidR="00FF3295">
        <w:rPr>
          <w:b/>
          <w:bCs/>
        </w:rPr>
        <w:t xml:space="preserve"> </w:t>
      </w:r>
      <w:r w:rsidR="00FF3295" w:rsidRPr="00FA7D1A">
        <w:rPr>
          <w:b/>
          <w:bCs/>
        </w:rPr>
        <w:t>Initial Weight (g)</w:t>
      </w:r>
    </w:p>
    <w:p w14:paraId="2C2F6D6E" w14:textId="77777777" w:rsidR="00FF3295" w:rsidRPr="00FA7D1A" w:rsidRDefault="00FF3295" w:rsidP="00FF3295">
      <w:pPr>
        <w:spacing w:line="360" w:lineRule="auto"/>
        <w:ind w:firstLine="720"/>
        <w:jc w:val="both"/>
      </w:pPr>
      <w:r w:rsidRPr="00FA7D1A">
        <w:lastRenderedPageBreak/>
        <w:t>The initial weight varied only slightly between 11.71 ± 0.01 g (T6) and 11.79 ± 0.02 g (T3), showing no statistical difference among treatments. This uniformity suggests that all fish were of similar body mass before the start of the exposure experiment, ensuring accuracy in subsequent weight-related observations.</w:t>
      </w:r>
    </w:p>
    <w:p w14:paraId="3285E729" w14:textId="1F83033B" w:rsidR="00FF3295" w:rsidRPr="00FA7D1A" w:rsidRDefault="00E74F00" w:rsidP="00FF3295">
      <w:pPr>
        <w:spacing w:line="360" w:lineRule="auto"/>
        <w:jc w:val="both"/>
        <w:rPr>
          <w:b/>
          <w:bCs/>
        </w:rPr>
      </w:pPr>
      <w:r>
        <w:rPr>
          <w:b/>
          <w:bCs/>
        </w:rPr>
        <w:t>3.7</w:t>
      </w:r>
      <w:r w:rsidR="00FF3295">
        <w:rPr>
          <w:b/>
          <w:bCs/>
        </w:rPr>
        <w:t xml:space="preserve"> </w:t>
      </w:r>
      <w:r w:rsidR="00FF3295" w:rsidRPr="00FA7D1A">
        <w:rPr>
          <w:b/>
          <w:bCs/>
        </w:rPr>
        <w:t>Final Weight (g)</w:t>
      </w:r>
    </w:p>
    <w:p w14:paraId="5601CD56" w14:textId="5857C57C" w:rsidR="00FF3295" w:rsidRPr="00FA7D1A" w:rsidRDefault="00FF3295" w:rsidP="00FF3295">
      <w:pPr>
        <w:spacing w:line="360" w:lineRule="auto"/>
        <w:ind w:firstLine="720"/>
        <w:jc w:val="both"/>
      </w:pPr>
      <w:r w:rsidRPr="00FA7D1A">
        <w:t>A progressive reduction in final body weight was observed across treatments. The maximum final weight (18.65 ± 0.73 g) was recorded in control fish (T1), while the minimum (11.98 ± 0.15 g) was recorded at 64.0 ppb (T6). The intermediate mean final weights were 16.12 ± 0.15 g (T2), 14.98 ± 0.15 g (T3), 13.45 ± 0.15 g (T4)</w:t>
      </w:r>
      <w:r w:rsidR="0034163E">
        <w:t xml:space="preserve"> and</w:t>
      </w:r>
      <w:r w:rsidRPr="00FA7D1A">
        <w:t xml:space="preserve"> 12.35 ± 0.15 g (T5). This consistent reduction with concentration increase suggests that chlorpyrifos affected weight gain by reducing feeding activity and disturbing metabolic functions.</w:t>
      </w:r>
    </w:p>
    <w:p w14:paraId="1E2F33FC" w14:textId="30EC957E" w:rsidR="00FF3295" w:rsidRPr="00FA7D1A" w:rsidRDefault="00E74F00" w:rsidP="00FF3295">
      <w:pPr>
        <w:spacing w:line="360" w:lineRule="auto"/>
        <w:jc w:val="both"/>
        <w:rPr>
          <w:b/>
          <w:bCs/>
        </w:rPr>
      </w:pPr>
      <w:r>
        <w:rPr>
          <w:b/>
          <w:bCs/>
        </w:rPr>
        <w:t>3.9</w:t>
      </w:r>
      <w:r w:rsidR="00FF3295">
        <w:rPr>
          <w:b/>
          <w:bCs/>
        </w:rPr>
        <w:t xml:space="preserve"> </w:t>
      </w:r>
      <w:r w:rsidR="00FF3295" w:rsidRPr="00FA7D1A">
        <w:rPr>
          <w:b/>
          <w:bCs/>
        </w:rPr>
        <w:t>Weight Gain (g)</w:t>
      </w:r>
    </w:p>
    <w:p w14:paraId="13EA18ED" w14:textId="4887CFC3" w:rsidR="00FF3295" w:rsidRPr="00FA7D1A" w:rsidRDefault="00FF3295" w:rsidP="00FF3295">
      <w:pPr>
        <w:spacing w:line="360" w:lineRule="auto"/>
        <w:ind w:firstLine="720"/>
        <w:jc w:val="both"/>
      </w:pPr>
      <w:r w:rsidRPr="00FA7D1A">
        <w:t>The highest mean weight gain (6.87 ± 0.74 g) was obtained in the control group, while the lowest (0.27 ± 0.15 g) was recorded at the highest exposure level (64.0 ppb). Intermediate weight gains were 4.36 ± 0.16 g, 3.19 ± 0.16 g, 1.70 ± 0.16 g</w:t>
      </w:r>
      <w:r w:rsidR="0034163E">
        <w:t xml:space="preserve"> and</w:t>
      </w:r>
      <w:r w:rsidRPr="00FA7D1A">
        <w:t xml:space="preserve"> 0.62 ± 0.15 g for T2</w:t>
      </w:r>
      <w:r w:rsidR="00606EC7">
        <w:t>-</w:t>
      </w:r>
      <w:r w:rsidRPr="00FA7D1A">
        <w:t>T5 respectively. The steady decline in weight gain with increasing chlorpyrifos concentration reflects its inhibitory impact on nutrient assimilation and growth metabolism.</w:t>
      </w:r>
    </w:p>
    <w:p w14:paraId="16CAEF6D" w14:textId="665A7A4A" w:rsidR="00FF3295" w:rsidRPr="00FA7D1A" w:rsidRDefault="00E74F00" w:rsidP="00FF3295">
      <w:pPr>
        <w:spacing w:line="360" w:lineRule="auto"/>
        <w:jc w:val="both"/>
        <w:rPr>
          <w:b/>
          <w:bCs/>
        </w:rPr>
      </w:pPr>
      <w:r>
        <w:rPr>
          <w:b/>
          <w:bCs/>
        </w:rPr>
        <w:t>3.10</w:t>
      </w:r>
      <w:r w:rsidR="00FF3295">
        <w:rPr>
          <w:b/>
          <w:bCs/>
        </w:rPr>
        <w:t xml:space="preserve"> </w:t>
      </w:r>
      <w:r w:rsidR="00FF3295" w:rsidRPr="00FA7D1A">
        <w:rPr>
          <w:b/>
          <w:bCs/>
        </w:rPr>
        <w:t>Weight Gain Percentage (%)</w:t>
      </w:r>
    </w:p>
    <w:p w14:paraId="024FEC56" w14:textId="52FB1F43" w:rsidR="00FF3295" w:rsidRPr="00FA7D1A" w:rsidRDefault="00FF3295" w:rsidP="00FF3295">
      <w:pPr>
        <w:spacing w:line="360" w:lineRule="auto"/>
        <w:ind w:firstLine="720"/>
        <w:jc w:val="both"/>
      </w:pPr>
      <w:r w:rsidRPr="00FA7D1A">
        <w:t>The percentage weight gain showed a similar declining trend, being highest (36.64 ± 2.52%) in the control and lowest (2.22 ± 1.25%) at 64.0 ppb. The intermediate values were 27.03 ± 0.74%, 21.28 ± 0.85%, 12.62 ± 1.04%</w:t>
      </w:r>
      <w:r w:rsidR="0034163E">
        <w:t xml:space="preserve"> and</w:t>
      </w:r>
      <w:r w:rsidRPr="00FA7D1A">
        <w:t xml:space="preserve"> 4.99 ± 1.18% for T2, T3, T4</w:t>
      </w:r>
      <w:r w:rsidR="0034163E">
        <w:t xml:space="preserve"> and</w:t>
      </w:r>
      <w:r w:rsidRPr="00FA7D1A">
        <w:t xml:space="preserve"> T5 respectively. The consistent decline suggests that chlorpyrifos exposure decreased the capacity of the fish to convert ingested food into body mass due to physiological and biochemical stress.</w:t>
      </w:r>
    </w:p>
    <w:p w14:paraId="4F2A5A83" w14:textId="637C57A6" w:rsidR="00FF3295" w:rsidRPr="00FA7D1A" w:rsidRDefault="00E74F00" w:rsidP="00FF3295">
      <w:pPr>
        <w:spacing w:line="360" w:lineRule="auto"/>
        <w:jc w:val="both"/>
        <w:rPr>
          <w:b/>
          <w:bCs/>
        </w:rPr>
      </w:pPr>
      <w:r>
        <w:rPr>
          <w:b/>
          <w:bCs/>
        </w:rPr>
        <w:t>3.11</w:t>
      </w:r>
      <w:r w:rsidR="00FF3295">
        <w:rPr>
          <w:b/>
          <w:bCs/>
        </w:rPr>
        <w:t xml:space="preserve"> </w:t>
      </w:r>
      <w:r w:rsidR="00FF3295" w:rsidRPr="00FA7D1A">
        <w:rPr>
          <w:b/>
          <w:bCs/>
        </w:rPr>
        <w:t>Specific Growth Rate (</w:t>
      </w:r>
      <w:commentRangeStart w:id="5"/>
      <w:r w:rsidR="00FF3295" w:rsidRPr="00FA7D1A">
        <w:rPr>
          <w:b/>
          <w:bCs/>
        </w:rPr>
        <w:t xml:space="preserve">Weight </w:t>
      </w:r>
      <w:commentRangeEnd w:id="5"/>
      <w:r w:rsidR="00751005">
        <w:rPr>
          <w:rStyle w:val="CommentReference"/>
        </w:rPr>
        <w:commentReference w:id="5"/>
      </w:r>
      <w:r w:rsidR="00FF3295" w:rsidRPr="00FA7D1A">
        <w:rPr>
          <w:b/>
          <w:bCs/>
        </w:rPr>
        <w:t>%/day)</w:t>
      </w:r>
    </w:p>
    <w:p w14:paraId="26DF2112" w14:textId="61CEDC04" w:rsidR="00FF3295" w:rsidRPr="00FA7D1A" w:rsidRDefault="00FF3295" w:rsidP="00FF3295">
      <w:pPr>
        <w:spacing w:line="360" w:lineRule="auto"/>
        <w:ind w:firstLine="720"/>
        <w:jc w:val="both"/>
      </w:pPr>
      <w:r w:rsidRPr="00FA7D1A">
        <w:t>The specific growth rate (weight basis) was maximum in the control (11.45 ± 1.23 %/day) and minimum in T6 (0.45 ± 0.26 %/day). The intermediate SGRs were 7.27 ± 0.27, 5.32 ± 0.27, 2.83 ± 0.27</w:t>
      </w:r>
      <w:r w:rsidR="0034163E">
        <w:t xml:space="preserve"> and</w:t>
      </w:r>
      <w:r w:rsidRPr="00FA7D1A">
        <w:t xml:space="preserve"> 1.03 ± 0.26 %/day for T2</w:t>
      </w:r>
      <w:r w:rsidR="00606EC7">
        <w:t>-</w:t>
      </w:r>
      <w:r w:rsidRPr="00FA7D1A">
        <w:t xml:space="preserve">T5 respectively. The decreasing </w:t>
      </w:r>
      <w:r w:rsidRPr="00FA7D1A">
        <w:lastRenderedPageBreak/>
        <w:t>SGR indicates a concentration-dependent inhibition of biomass accumulation, possibly due to diversion of energy from growth to detoxification processes.</w:t>
      </w:r>
    </w:p>
    <w:p w14:paraId="75957877" w14:textId="0E66A3AB" w:rsidR="00CD0811" w:rsidRPr="00CD0811" w:rsidRDefault="001A59E5" w:rsidP="008D054E">
      <w:pPr>
        <w:spacing w:line="360" w:lineRule="auto"/>
        <w:jc w:val="both"/>
        <w:rPr>
          <w:rFonts w:cs="Times New Roman"/>
          <w:b/>
          <w:bCs/>
          <w:color w:val="000000" w:themeColor="text1"/>
          <w:szCs w:val="24"/>
        </w:rPr>
      </w:pPr>
      <w:r>
        <w:rPr>
          <w:rFonts w:cs="Times New Roman"/>
          <w:b/>
          <w:bCs/>
          <w:color w:val="000000" w:themeColor="text1"/>
          <w:szCs w:val="24"/>
        </w:rPr>
        <w:t xml:space="preserve">4. </w:t>
      </w:r>
      <w:r w:rsidRPr="00CD0811">
        <w:rPr>
          <w:rFonts w:cs="Times New Roman"/>
          <w:b/>
          <w:bCs/>
          <w:color w:val="000000" w:themeColor="text1"/>
          <w:szCs w:val="24"/>
        </w:rPr>
        <w:t>DISCUSSION</w:t>
      </w:r>
    </w:p>
    <w:p w14:paraId="43C4D1D3" w14:textId="77777777"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Growth performance is a sensitive and integrative indicator of the physiological condition of fish and reflects the combined effects of feeding efficiency, metabolism, endocrine regulation and energy allocation. In the present study,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exposed to sublethal concentrations of chlorpyrifos for 60 days exhibited a clear, concentration-dependent decline in all growth parameters, demonstrating the inhibitory impact of chronic pesticide stress on somatic growth. The uniformity observed in initial length and weight across treatments confirms that all experimental fish were at a comparable growth stage at the start of exposure, thereby eliminating size-related bias and validating that the observed growth reductions were attributable to chlorpyrifos toxicity rather than initial variability.</w:t>
      </w:r>
    </w:p>
    <w:p w14:paraId="70B258E7" w14:textId="21947D76"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The progressive reduction in final length, length gain and percentage length gain with increasing chlorpyrifos concentration indicates impaired linear growth under pesticide stress. Similar declines in length increment have been reported in </w:t>
      </w:r>
      <w:r w:rsidRPr="004114A8">
        <w:rPr>
          <w:rFonts w:cs="Times New Roman"/>
          <w:i/>
          <w:iCs/>
          <w:color w:val="000000" w:themeColor="text1"/>
          <w:szCs w:val="24"/>
        </w:rPr>
        <w:t>Oreochromis niloticus</w:t>
      </w:r>
      <w:r w:rsidRPr="004114A8">
        <w:rPr>
          <w:rFonts w:cs="Times New Roman"/>
          <w:color w:val="000000" w:themeColor="text1"/>
          <w:szCs w:val="24"/>
        </w:rPr>
        <w:t xml:space="preserve">, </w:t>
      </w:r>
      <w:proofErr w:type="spellStart"/>
      <w:r w:rsidRPr="004114A8">
        <w:rPr>
          <w:rFonts w:cs="Times New Roman"/>
          <w:i/>
          <w:iCs/>
          <w:color w:val="000000" w:themeColor="text1"/>
          <w:szCs w:val="24"/>
        </w:rPr>
        <w:t>Labeo</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rohita</w:t>
      </w:r>
      <w:proofErr w:type="spellEnd"/>
      <w:r w:rsidRPr="004114A8">
        <w:rPr>
          <w:rFonts w:cs="Times New Roman"/>
          <w:color w:val="000000" w:themeColor="text1"/>
          <w:szCs w:val="24"/>
        </w:rPr>
        <w:t xml:space="preserve"> and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exposed to organophosphate pesticides, including chlorpyrifos and methyl parathion (Abhijith </w:t>
      </w:r>
      <w:r w:rsidR="0034163E" w:rsidRPr="0034163E">
        <w:rPr>
          <w:rFonts w:cs="Times New Roman"/>
          <w:i/>
          <w:iCs/>
          <w:color w:val="000000" w:themeColor="text1"/>
          <w:szCs w:val="24"/>
        </w:rPr>
        <w:t>et al.</w:t>
      </w:r>
      <w:r w:rsidRPr="004114A8">
        <w:rPr>
          <w:rFonts w:cs="Times New Roman"/>
          <w:color w:val="000000" w:themeColor="text1"/>
          <w:szCs w:val="24"/>
        </w:rPr>
        <w:t xml:space="preserve">, 2012; Hossain </w:t>
      </w:r>
      <w:r w:rsidR="0034163E" w:rsidRPr="0034163E">
        <w:rPr>
          <w:rFonts w:cs="Times New Roman"/>
          <w:i/>
          <w:iCs/>
          <w:color w:val="000000" w:themeColor="text1"/>
          <w:szCs w:val="24"/>
        </w:rPr>
        <w:t>et al.</w:t>
      </w:r>
      <w:r w:rsidRPr="004114A8">
        <w:rPr>
          <w:rFonts w:cs="Times New Roman"/>
          <w:color w:val="000000" w:themeColor="text1"/>
          <w:szCs w:val="24"/>
        </w:rPr>
        <w:t xml:space="preserve">, 2022). Reduced length growth is often associated with decreased feeding activity, poor feed utilization and disruption of protein synthesis due to toxic interference with metabolic pathways. Tripathi </w:t>
      </w:r>
      <w:r w:rsidR="0034163E" w:rsidRPr="0034163E">
        <w:rPr>
          <w:rFonts w:cs="Times New Roman"/>
          <w:i/>
          <w:iCs/>
          <w:color w:val="000000" w:themeColor="text1"/>
          <w:szCs w:val="24"/>
        </w:rPr>
        <w:t>et al.</w:t>
      </w:r>
      <w:r w:rsidRPr="004114A8">
        <w:rPr>
          <w:rFonts w:cs="Times New Roman"/>
          <w:color w:val="000000" w:themeColor="text1"/>
          <w:szCs w:val="24"/>
        </w:rPr>
        <w:t xml:space="preserve"> (2003) emphasized that insecticide exposure alters feeding behavior and metabolic processes, resulting in reduced tissue development and stunted growth, which strongly supports the present findings.</w:t>
      </w:r>
    </w:p>
    <w:p w14:paraId="05097A2D" w14:textId="3A4FEDE8"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The marked decline in weight-related parameters, including final weight, weight gain, percentage weight gain and specific growth rate (SGR), further highlights the adverse effects of chlorpyrifos on biomass accumulation. The highest concentration (64.0 ppb) resulted in a drastic reduction in weight gain and SGR compared to the control, suggesting that energy normally allocated to growth was diverted towards detoxification, stress response and maintenance of homeostasis. Similar concentration-dependent reductions in weight gain and SGR have been documented in </w:t>
      </w:r>
      <w:r w:rsidRPr="004114A8">
        <w:rPr>
          <w:rFonts w:cs="Times New Roman"/>
          <w:i/>
          <w:iCs/>
          <w:color w:val="000000" w:themeColor="text1"/>
          <w:szCs w:val="24"/>
        </w:rPr>
        <w:t>Oreochromis niloticus</w:t>
      </w:r>
      <w:r w:rsidRPr="004114A8">
        <w:rPr>
          <w:rFonts w:cs="Times New Roman"/>
          <w:color w:val="000000" w:themeColor="text1"/>
          <w:szCs w:val="24"/>
        </w:rPr>
        <w:t xml:space="preserve"> and </w:t>
      </w:r>
      <w:proofErr w:type="spellStart"/>
      <w:r w:rsidRPr="004114A8">
        <w:rPr>
          <w:rFonts w:cs="Times New Roman"/>
          <w:i/>
          <w:iCs/>
          <w:color w:val="000000" w:themeColor="text1"/>
          <w:szCs w:val="24"/>
        </w:rPr>
        <w:t>Pangasianodon</w:t>
      </w:r>
      <w:proofErr w:type="spellEnd"/>
      <w:r w:rsidRPr="004114A8">
        <w:rPr>
          <w:rFonts w:cs="Times New Roman"/>
          <w:color w:val="000000" w:themeColor="text1"/>
          <w:szCs w:val="24"/>
        </w:rPr>
        <w:t xml:space="preserve"> spp. following chronic chlorpyrifos exposure (Hossain </w:t>
      </w:r>
      <w:r w:rsidR="0034163E" w:rsidRPr="0034163E">
        <w:rPr>
          <w:rFonts w:cs="Times New Roman"/>
          <w:i/>
          <w:iCs/>
          <w:color w:val="000000" w:themeColor="text1"/>
          <w:szCs w:val="24"/>
        </w:rPr>
        <w:t>et al.</w:t>
      </w:r>
      <w:r w:rsidRPr="004114A8">
        <w:rPr>
          <w:rFonts w:cs="Times New Roman"/>
          <w:color w:val="000000" w:themeColor="text1"/>
          <w:szCs w:val="24"/>
        </w:rPr>
        <w:t xml:space="preserve">, 2022; </w:t>
      </w:r>
      <w:proofErr w:type="spellStart"/>
      <w:r w:rsidRPr="004114A8">
        <w:rPr>
          <w:rFonts w:cs="Times New Roman"/>
          <w:color w:val="000000" w:themeColor="text1"/>
          <w:szCs w:val="24"/>
        </w:rPr>
        <w:t>Chhaba</w:t>
      </w:r>
      <w:proofErr w:type="spellEnd"/>
      <w:r w:rsidRPr="004114A8">
        <w:rPr>
          <w:rFonts w:cs="Times New Roman"/>
          <w:color w:val="000000" w:themeColor="text1"/>
          <w:szCs w:val="24"/>
        </w:rPr>
        <w:t xml:space="preserve"> </w:t>
      </w:r>
      <w:r w:rsidR="0034163E" w:rsidRPr="0034163E">
        <w:rPr>
          <w:rFonts w:cs="Times New Roman"/>
          <w:i/>
          <w:iCs/>
          <w:color w:val="000000" w:themeColor="text1"/>
          <w:szCs w:val="24"/>
        </w:rPr>
        <w:t>et al.</w:t>
      </w:r>
      <w:r w:rsidRPr="004114A8">
        <w:rPr>
          <w:rFonts w:cs="Times New Roman"/>
          <w:color w:val="000000" w:themeColor="text1"/>
          <w:szCs w:val="24"/>
        </w:rPr>
        <w:t>, 2024). These studies attribute growth suppression to increased metabolic cost, reduced appetite and impaired nutrient assimilation.</w:t>
      </w:r>
    </w:p>
    <w:p w14:paraId="57A0C552" w14:textId="5A05D9C9"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lastRenderedPageBreak/>
        <w:t xml:space="preserve">Physiologically, chlorpyrifos is known to inhibit acetylcholinesterase activity, leading to neurotoxicity that can reduce feeding efficiency and locomotor activity. In addition, chlorpyrifos-induced oxidative stress and biochemical disturbances in liver and muscle tissues can impair carbohydrate, protein and lipid metabolism, further limiting growth potential (Deb &amp; Das, 2013; </w:t>
      </w:r>
      <w:proofErr w:type="spellStart"/>
      <w:r w:rsidRPr="004114A8">
        <w:rPr>
          <w:rFonts w:cs="Times New Roman"/>
          <w:color w:val="000000" w:themeColor="text1"/>
          <w:szCs w:val="24"/>
        </w:rPr>
        <w:t>Samajdar</w:t>
      </w:r>
      <w:proofErr w:type="spellEnd"/>
      <w:r w:rsidRPr="004114A8">
        <w:rPr>
          <w:rFonts w:cs="Times New Roman"/>
          <w:color w:val="000000" w:themeColor="text1"/>
          <w:szCs w:val="24"/>
        </w:rPr>
        <w:t xml:space="preserve"> </w:t>
      </w:r>
      <w:r w:rsidR="0034163E" w:rsidRPr="0034163E">
        <w:rPr>
          <w:rFonts w:cs="Times New Roman"/>
          <w:i/>
          <w:iCs/>
          <w:color w:val="000000" w:themeColor="text1"/>
          <w:szCs w:val="24"/>
        </w:rPr>
        <w:t>et al.</w:t>
      </w:r>
      <w:r w:rsidRPr="004114A8">
        <w:rPr>
          <w:rFonts w:cs="Times New Roman"/>
          <w:color w:val="000000" w:themeColor="text1"/>
          <w:szCs w:val="24"/>
        </w:rPr>
        <w:t xml:space="preserve">, 2023). The decline in both length- and weight-based SGR observed in the present study suggests an overall reduction in growth efficiency and metabolic performance under pesticide stress, consistent with the general stress response model described by Barton </w:t>
      </w:r>
      <w:r w:rsidR="0034163E" w:rsidRPr="0034163E">
        <w:rPr>
          <w:rFonts w:cs="Times New Roman"/>
          <w:i/>
          <w:iCs/>
          <w:color w:val="000000" w:themeColor="text1"/>
          <w:szCs w:val="24"/>
        </w:rPr>
        <w:t>et al.</w:t>
      </w:r>
      <w:r w:rsidRPr="004114A8">
        <w:rPr>
          <w:rFonts w:cs="Times New Roman"/>
          <w:color w:val="000000" w:themeColor="text1"/>
          <w:szCs w:val="24"/>
        </w:rPr>
        <w:t xml:space="preserve"> (2002), where chronic stress leads to reduced growth and condition.</w:t>
      </w:r>
    </w:p>
    <w:p w14:paraId="4DBEC4BD" w14:textId="0FFF2EEA"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Overall, the present results clearly demonstrate that chronic exposure to sublethal concentrations of chlorpyrifos significantly suppresses growth performance in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in a dose-dependent manner. Even at low, environmentally relevant concentrations, chlorpyrifos adversely affected growth indices, indicating potential long-term consequences for fish health, population dynamics and aquaculture productivity in contaminated freshwater systems. These findings reinforce the suitability of growth parameters as reliable biomarkers of pesticide-induced stress and highlight the ecological risk posed by indiscriminate use of chlorpyrifos in agricultural landscapes adjacent to aquatic </w:t>
      </w:r>
      <w:r w:rsidR="009D3B61" w:rsidRPr="004114A8">
        <w:rPr>
          <w:rFonts w:cs="Times New Roman"/>
          <w:color w:val="000000" w:themeColor="text1"/>
          <w:szCs w:val="24"/>
        </w:rPr>
        <w:t>ecosystems.</w:t>
      </w:r>
    </w:p>
    <w:p w14:paraId="2E542CC4" w14:textId="26B3F0BE" w:rsidR="004114A8" w:rsidRDefault="004114A8" w:rsidP="004114A8">
      <w:pPr>
        <w:spacing w:line="360" w:lineRule="auto"/>
        <w:ind w:firstLine="720"/>
        <w:jc w:val="both"/>
        <w:rPr>
          <w:rFonts w:cs="Times New Roman"/>
          <w:color w:val="000000" w:themeColor="text1"/>
          <w:szCs w:val="24"/>
        </w:rPr>
        <w:sectPr w:rsidR="004114A8" w:rsidSect="008D054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800" w:header="720" w:footer="720" w:gutter="0"/>
          <w:cols w:space="720"/>
          <w:docGrid w:linePitch="360"/>
        </w:sectPr>
      </w:pPr>
    </w:p>
    <w:p w14:paraId="4FB30E70" w14:textId="4970314A" w:rsidR="00FF3295" w:rsidRPr="00133A6B" w:rsidRDefault="00FF3295" w:rsidP="00FF3295">
      <w:r w:rsidRPr="00133A6B">
        <w:rPr>
          <w:b/>
          <w:bCs/>
        </w:rPr>
        <w:lastRenderedPageBreak/>
        <w:t xml:space="preserve">Table </w:t>
      </w:r>
      <w:r w:rsidR="00CE1C66">
        <w:rPr>
          <w:b/>
          <w:bCs/>
        </w:rPr>
        <w:t>1</w:t>
      </w:r>
      <w:r w:rsidRPr="00133A6B">
        <w:rPr>
          <w:b/>
          <w:bCs/>
        </w:rPr>
        <w:t xml:space="preserve">: Growth Performance of </w:t>
      </w:r>
      <w:proofErr w:type="spellStart"/>
      <w:r w:rsidRPr="00E64E53">
        <w:rPr>
          <w:b/>
          <w:bCs/>
          <w:i/>
          <w:iCs/>
        </w:rPr>
        <w:t>Catla</w:t>
      </w:r>
      <w:proofErr w:type="spellEnd"/>
      <w:r w:rsidRPr="00E64E53">
        <w:rPr>
          <w:b/>
          <w:bCs/>
          <w:i/>
          <w:iCs/>
        </w:rPr>
        <w:t xml:space="preserve"> </w:t>
      </w:r>
      <w:proofErr w:type="spellStart"/>
      <w:r w:rsidRPr="00E64E53">
        <w:rPr>
          <w:b/>
          <w:bCs/>
          <w:i/>
          <w:iCs/>
        </w:rPr>
        <w:t>catla</w:t>
      </w:r>
      <w:proofErr w:type="spellEnd"/>
      <w:r w:rsidRPr="00133A6B">
        <w:rPr>
          <w:b/>
          <w:bCs/>
        </w:rPr>
        <w:t xml:space="preserve"> Exposed to Sublethal Chlorpyrifos for 60 Days (Mean Values Only; n = 30)</w:t>
      </w:r>
    </w:p>
    <w:tbl>
      <w:tblPr>
        <w:tblStyle w:val="PlainTable2"/>
        <w:tblW w:w="5224" w:type="pct"/>
        <w:tblLook w:val="06A0" w:firstRow="1" w:lastRow="0" w:firstColumn="1" w:lastColumn="0" w:noHBand="1" w:noVBand="1"/>
      </w:tblPr>
      <w:tblGrid>
        <w:gridCol w:w="856"/>
        <w:gridCol w:w="646"/>
        <w:gridCol w:w="1467"/>
        <w:gridCol w:w="1149"/>
        <w:gridCol w:w="1135"/>
        <w:gridCol w:w="1132"/>
        <w:gridCol w:w="1123"/>
        <w:gridCol w:w="1275"/>
        <w:gridCol w:w="1137"/>
        <w:gridCol w:w="1126"/>
        <w:gridCol w:w="1123"/>
        <w:gridCol w:w="1137"/>
        <w:gridCol w:w="1277"/>
      </w:tblGrid>
      <w:tr w:rsidR="00F30ACD" w:rsidRPr="00133A6B" w14:paraId="6D48B40A" w14:textId="77777777" w:rsidTr="00F30ACD">
        <w:trPr>
          <w:cnfStyle w:val="100000000000" w:firstRow="1" w:lastRow="0" w:firstColumn="0" w:lastColumn="0" w:oddVBand="0" w:evenVBand="0" w:oddHBand="0"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93" w:type="pct"/>
            <w:hideMark/>
          </w:tcPr>
          <w:p w14:paraId="233DB741" w14:textId="77777777" w:rsidR="00FF3295" w:rsidRPr="00133A6B" w:rsidRDefault="00FF3295" w:rsidP="00FF3295">
            <w:pPr>
              <w:spacing w:after="0" w:line="278" w:lineRule="auto"/>
              <w:rPr>
                <w:b w:val="0"/>
                <w:bCs w:val="0"/>
              </w:rPr>
            </w:pPr>
            <w:r w:rsidRPr="008F0347">
              <w:rPr>
                <w:i/>
                <w:iCs/>
              </w:rPr>
              <w:t>Spp.</w:t>
            </w:r>
          </w:p>
        </w:tc>
        <w:tc>
          <w:tcPr>
            <w:tcW w:w="221" w:type="pct"/>
            <w:hideMark/>
          </w:tcPr>
          <w:p w14:paraId="11AC06EB"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Tr. No.</w:t>
            </w:r>
          </w:p>
        </w:tc>
        <w:tc>
          <w:tcPr>
            <w:tcW w:w="503" w:type="pct"/>
            <w:hideMark/>
          </w:tcPr>
          <w:p w14:paraId="0F9211BB"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Treatment Details</w:t>
            </w:r>
          </w:p>
        </w:tc>
        <w:tc>
          <w:tcPr>
            <w:tcW w:w="394" w:type="pct"/>
            <w:hideMark/>
          </w:tcPr>
          <w:p w14:paraId="71BEFAC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Initial Length (cm)</w:t>
            </w:r>
          </w:p>
        </w:tc>
        <w:tc>
          <w:tcPr>
            <w:tcW w:w="389" w:type="pct"/>
            <w:hideMark/>
          </w:tcPr>
          <w:p w14:paraId="46A7F8A4"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Final Length (cm)</w:t>
            </w:r>
          </w:p>
        </w:tc>
        <w:tc>
          <w:tcPr>
            <w:tcW w:w="388" w:type="pct"/>
            <w:hideMark/>
          </w:tcPr>
          <w:p w14:paraId="34FA7CB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Length Gain (cm)</w:t>
            </w:r>
          </w:p>
        </w:tc>
        <w:tc>
          <w:tcPr>
            <w:tcW w:w="385" w:type="pct"/>
            <w:hideMark/>
          </w:tcPr>
          <w:p w14:paraId="088FBA8C"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Length Gain (%)</w:t>
            </w:r>
          </w:p>
        </w:tc>
        <w:tc>
          <w:tcPr>
            <w:tcW w:w="437" w:type="pct"/>
            <w:hideMark/>
          </w:tcPr>
          <w:p w14:paraId="0CF45192"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SGR Length (%/day)</w:t>
            </w:r>
          </w:p>
        </w:tc>
        <w:tc>
          <w:tcPr>
            <w:tcW w:w="390" w:type="pct"/>
            <w:hideMark/>
          </w:tcPr>
          <w:p w14:paraId="13EA172C"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Initial Weight (g)</w:t>
            </w:r>
          </w:p>
        </w:tc>
        <w:tc>
          <w:tcPr>
            <w:tcW w:w="386" w:type="pct"/>
            <w:hideMark/>
          </w:tcPr>
          <w:p w14:paraId="1687B141"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Final Weight (g)</w:t>
            </w:r>
          </w:p>
        </w:tc>
        <w:tc>
          <w:tcPr>
            <w:tcW w:w="385" w:type="pct"/>
            <w:hideMark/>
          </w:tcPr>
          <w:p w14:paraId="6EA7BBE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Weight Gain (g)</w:t>
            </w:r>
          </w:p>
        </w:tc>
        <w:tc>
          <w:tcPr>
            <w:tcW w:w="390" w:type="pct"/>
            <w:hideMark/>
          </w:tcPr>
          <w:p w14:paraId="33E0EDC7"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Weight Gain (%)</w:t>
            </w:r>
          </w:p>
        </w:tc>
        <w:tc>
          <w:tcPr>
            <w:tcW w:w="438" w:type="pct"/>
            <w:hideMark/>
          </w:tcPr>
          <w:p w14:paraId="570EC92D"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SGR Weight (%/day)</w:t>
            </w:r>
          </w:p>
        </w:tc>
      </w:tr>
      <w:tr w:rsidR="00F30ACD" w:rsidRPr="00133A6B" w14:paraId="329E75B6"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192FC4AB" w14:textId="77777777" w:rsidR="00FF3295" w:rsidRPr="00E64E53" w:rsidRDefault="00FF3295" w:rsidP="00FF3295">
            <w:pPr>
              <w:spacing w:after="0" w:line="278" w:lineRule="auto"/>
              <w:rPr>
                <w:i/>
                <w:iCs/>
              </w:rPr>
            </w:pPr>
            <w:proofErr w:type="spellStart"/>
            <w:r w:rsidRPr="00E64E53">
              <w:rPr>
                <w:i/>
                <w:iCs/>
              </w:rPr>
              <w:t>Catla</w:t>
            </w:r>
            <w:proofErr w:type="spellEnd"/>
            <w:r w:rsidRPr="00E64E53">
              <w:rPr>
                <w:i/>
                <w:iCs/>
              </w:rPr>
              <w:t xml:space="preserve"> </w:t>
            </w:r>
            <w:proofErr w:type="spellStart"/>
            <w:r w:rsidRPr="00E64E53">
              <w:rPr>
                <w:i/>
                <w:iCs/>
              </w:rPr>
              <w:t>catla</w:t>
            </w:r>
            <w:proofErr w:type="spellEnd"/>
          </w:p>
        </w:tc>
        <w:tc>
          <w:tcPr>
            <w:tcW w:w="221" w:type="pct"/>
            <w:hideMark/>
          </w:tcPr>
          <w:p w14:paraId="5898904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T1</w:t>
            </w:r>
          </w:p>
        </w:tc>
        <w:tc>
          <w:tcPr>
            <w:tcW w:w="503" w:type="pct"/>
            <w:hideMark/>
          </w:tcPr>
          <w:p w14:paraId="6FE43B4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Control</w:t>
            </w:r>
          </w:p>
        </w:tc>
        <w:tc>
          <w:tcPr>
            <w:tcW w:w="394" w:type="pct"/>
            <w:hideMark/>
          </w:tcPr>
          <w:p w14:paraId="21C1F45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9.89 ± 0.01</w:t>
            </w:r>
          </w:p>
        </w:tc>
        <w:tc>
          <w:tcPr>
            <w:tcW w:w="389" w:type="pct"/>
          </w:tcPr>
          <w:p w14:paraId="28C6C13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12.01 ± 0.25</w:t>
            </w:r>
          </w:p>
        </w:tc>
        <w:tc>
          <w:tcPr>
            <w:tcW w:w="388" w:type="pct"/>
          </w:tcPr>
          <w:p w14:paraId="6BEE08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2.12 ± 0.24</w:t>
            </w:r>
          </w:p>
        </w:tc>
        <w:tc>
          <w:tcPr>
            <w:tcW w:w="385" w:type="pct"/>
            <w:vAlign w:val="center"/>
          </w:tcPr>
          <w:p w14:paraId="25C094B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17.58 ± 1.66</w:t>
            </w:r>
          </w:p>
        </w:tc>
        <w:tc>
          <w:tcPr>
            <w:tcW w:w="437" w:type="pct"/>
          </w:tcPr>
          <w:p w14:paraId="6814F86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3.53 ± 0.40</w:t>
            </w:r>
          </w:p>
        </w:tc>
        <w:tc>
          <w:tcPr>
            <w:tcW w:w="390" w:type="pct"/>
          </w:tcPr>
          <w:p w14:paraId="078996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11.78 ± 0.02</w:t>
            </w:r>
          </w:p>
        </w:tc>
        <w:tc>
          <w:tcPr>
            <w:tcW w:w="386" w:type="pct"/>
          </w:tcPr>
          <w:p w14:paraId="4456F0F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18.65 ± 0.73</w:t>
            </w:r>
          </w:p>
        </w:tc>
        <w:tc>
          <w:tcPr>
            <w:tcW w:w="385" w:type="pct"/>
          </w:tcPr>
          <w:p w14:paraId="566819E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6.87 ± 0.74</w:t>
            </w:r>
          </w:p>
        </w:tc>
        <w:tc>
          <w:tcPr>
            <w:tcW w:w="390" w:type="pct"/>
            <w:vAlign w:val="center"/>
          </w:tcPr>
          <w:p w14:paraId="72B5FC9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36.64 ± 2.52</w:t>
            </w:r>
          </w:p>
        </w:tc>
        <w:tc>
          <w:tcPr>
            <w:tcW w:w="438" w:type="pct"/>
          </w:tcPr>
          <w:p w14:paraId="4AA838F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11.45 ± 1.23</w:t>
            </w:r>
          </w:p>
        </w:tc>
      </w:tr>
      <w:tr w:rsidR="00F30ACD" w:rsidRPr="00133A6B" w14:paraId="1B1AF47C"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04168503" w14:textId="77777777" w:rsidR="00FF3295" w:rsidRPr="00133A6B" w:rsidRDefault="00FF3295" w:rsidP="00FF3295">
            <w:pPr>
              <w:spacing w:after="0" w:line="278" w:lineRule="auto"/>
            </w:pPr>
          </w:p>
        </w:tc>
        <w:tc>
          <w:tcPr>
            <w:tcW w:w="221" w:type="pct"/>
            <w:hideMark/>
          </w:tcPr>
          <w:p w14:paraId="6EF978E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T2</w:t>
            </w:r>
          </w:p>
        </w:tc>
        <w:tc>
          <w:tcPr>
            <w:tcW w:w="503" w:type="pct"/>
            <w:hideMark/>
          </w:tcPr>
          <w:p w14:paraId="73A0850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(4.0 ppb)</w:t>
            </w:r>
          </w:p>
        </w:tc>
        <w:tc>
          <w:tcPr>
            <w:tcW w:w="394" w:type="pct"/>
            <w:hideMark/>
          </w:tcPr>
          <w:p w14:paraId="701BECC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9.88 ± 0.02</w:t>
            </w:r>
          </w:p>
        </w:tc>
        <w:tc>
          <w:tcPr>
            <w:tcW w:w="389" w:type="pct"/>
          </w:tcPr>
          <w:p w14:paraId="7A567D2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11.48 ± 0.25</w:t>
            </w:r>
          </w:p>
        </w:tc>
        <w:tc>
          <w:tcPr>
            <w:tcW w:w="388" w:type="pct"/>
          </w:tcPr>
          <w:p w14:paraId="630C47A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1.60 ± 0.23</w:t>
            </w:r>
          </w:p>
        </w:tc>
        <w:tc>
          <w:tcPr>
            <w:tcW w:w="385" w:type="pct"/>
            <w:vAlign w:val="center"/>
          </w:tcPr>
          <w:p w14:paraId="6926206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13.86 ± 1.71</w:t>
            </w:r>
          </w:p>
        </w:tc>
        <w:tc>
          <w:tcPr>
            <w:tcW w:w="437" w:type="pct"/>
          </w:tcPr>
          <w:p w14:paraId="76B5A22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2.67 ± 0.38</w:t>
            </w:r>
          </w:p>
        </w:tc>
        <w:tc>
          <w:tcPr>
            <w:tcW w:w="390" w:type="pct"/>
          </w:tcPr>
          <w:p w14:paraId="311A756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11.76 ± 0.02</w:t>
            </w:r>
          </w:p>
        </w:tc>
        <w:tc>
          <w:tcPr>
            <w:tcW w:w="386" w:type="pct"/>
          </w:tcPr>
          <w:p w14:paraId="5F15E18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16.12 ± 0.15</w:t>
            </w:r>
          </w:p>
        </w:tc>
        <w:tc>
          <w:tcPr>
            <w:tcW w:w="385" w:type="pct"/>
          </w:tcPr>
          <w:p w14:paraId="6579E95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4.36 ± 0.16</w:t>
            </w:r>
          </w:p>
        </w:tc>
        <w:tc>
          <w:tcPr>
            <w:tcW w:w="390" w:type="pct"/>
            <w:vAlign w:val="center"/>
          </w:tcPr>
          <w:p w14:paraId="10F9544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27.03 ± 0.74</w:t>
            </w:r>
          </w:p>
        </w:tc>
        <w:tc>
          <w:tcPr>
            <w:tcW w:w="438" w:type="pct"/>
          </w:tcPr>
          <w:p w14:paraId="4823A9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7.27 ± 0.27</w:t>
            </w:r>
          </w:p>
        </w:tc>
      </w:tr>
      <w:tr w:rsidR="00F30ACD" w:rsidRPr="00133A6B" w14:paraId="37C42764"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7421E8B3" w14:textId="77777777" w:rsidR="00FF3295" w:rsidRPr="00133A6B" w:rsidRDefault="00FF3295" w:rsidP="00FF3295">
            <w:pPr>
              <w:spacing w:after="0" w:line="278" w:lineRule="auto"/>
            </w:pPr>
          </w:p>
        </w:tc>
        <w:tc>
          <w:tcPr>
            <w:tcW w:w="221" w:type="pct"/>
            <w:hideMark/>
          </w:tcPr>
          <w:p w14:paraId="53E908F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T3</w:t>
            </w:r>
          </w:p>
        </w:tc>
        <w:tc>
          <w:tcPr>
            <w:tcW w:w="503" w:type="pct"/>
            <w:hideMark/>
          </w:tcPr>
          <w:p w14:paraId="2E0917B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(8.0 ppb)</w:t>
            </w:r>
          </w:p>
        </w:tc>
        <w:tc>
          <w:tcPr>
            <w:tcW w:w="394" w:type="pct"/>
            <w:hideMark/>
          </w:tcPr>
          <w:p w14:paraId="2DE06FC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9.90 ± 0.01</w:t>
            </w:r>
          </w:p>
        </w:tc>
        <w:tc>
          <w:tcPr>
            <w:tcW w:w="389" w:type="pct"/>
          </w:tcPr>
          <w:p w14:paraId="162BD42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11.00 ± 0.25</w:t>
            </w:r>
          </w:p>
        </w:tc>
        <w:tc>
          <w:tcPr>
            <w:tcW w:w="388" w:type="pct"/>
          </w:tcPr>
          <w:p w14:paraId="2A77510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1.10 ± 0.25</w:t>
            </w:r>
          </w:p>
        </w:tc>
        <w:tc>
          <w:tcPr>
            <w:tcW w:w="385" w:type="pct"/>
            <w:vAlign w:val="center"/>
          </w:tcPr>
          <w:p w14:paraId="3E6C90D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9.91 ± 2.09</w:t>
            </w:r>
          </w:p>
        </w:tc>
        <w:tc>
          <w:tcPr>
            <w:tcW w:w="437" w:type="pct"/>
          </w:tcPr>
          <w:p w14:paraId="65FCBE3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1.83 ± 0.42</w:t>
            </w:r>
          </w:p>
        </w:tc>
        <w:tc>
          <w:tcPr>
            <w:tcW w:w="390" w:type="pct"/>
          </w:tcPr>
          <w:p w14:paraId="2C1A8D2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11.79 ± 0.02</w:t>
            </w:r>
          </w:p>
        </w:tc>
        <w:tc>
          <w:tcPr>
            <w:tcW w:w="386" w:type="pct"/>
          </w:tcPr>
          <w:p w14:paraId="11A652C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14.98 ± 0.15</w:t>
            </w:r>
          </w:p>
        </w:tc>
        <w:tc>
          <w:tcPr>
            <w:tcW w:w="385" w:type="pct"/>
          </w:tcPr>
          <w:p w14:paraId="34C2AA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3.19 ± 0.16</w:t>
            </w:r>
          </w:p>
        </w:tc>
        <w:tc>
          <w:tcPr>
            <w:tcW w:w="390" w:type="pct"/>
            <w:vAlign w:val="center"/>
          </w:tcPr>
          <w:p w14:paraId="2B0B6E0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21.28 ± 0.85</w:t>
            </w:r>
          </w:p>
        </w:tc>
        <w:tc>
          <w:tcPr>
            <w:tcW w:w="438" w:type="pct"/>
          </w:tcPr>
          <w:p w14:paraId="70884B7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5.32 ± 0.27</w:t>
            </w:r>
          </w:p>
        </w:tc>
      </w:tr>
      <w:tr w:rsidR="00F30ACD" w:rsidRPr="00133A6B" w14:paraId="58F55F31"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7B27F746" w14:textId="77777777" w:rsidR="00FF3295" w:rsidRPr="00133A6B" w:rsidRDefault="00FF3295" w:rsidP="00FF3295">
            <w:pPr>
              <w:spacing w:after="0" w:line="278" w:lineRule="auto"/>
            </w:pPr>
          </w:p>
        </w:tc>
        <w:tc>
          <w:tcPr>
            <w:tcW w:w="221" w:type="pct"/>
            <w:hideMark/>
          </w:tcPr>
          <w:p w14:paraId="4746315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T4</w:t>
            </w:r>
          </w:p>
        </w:tc>
        <w:tc>
          <w:tcPr>
            <w:tcW w:w="503" w:type="pct"/>
            <w:hideMark/>
          </w:tcPr>
          <w:p w14:paraId="6AE09D3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(16.0 ppb)</w:t>
            </w:r>
          </w:p>
        </w:tc>
        <w:tc>
          <w:tcPr>
            <w:tcW w:w="394" w:type="pct"/>
            <w:hideMark/>
          </w:tcPr>
          <w:p w14:paraId="45FC3E6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9.87 ± 0.01</w:t>
            </w:r>
          </w:p>
        </w:tc>
        <w:tc>
          <w:tcPr>
            <w:tcW w:w="389" w:type="pct"/>
          </w:tcPr>
          <w:p w14:paraId="78F3570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10.55 ± 0.25</w:t>
            </w:r>
          </w:p>
        </w:tc>
        <w:tc>
          <w:tcPr>
            <w:tcW w:w="388" w:type="pct"/>
          </w:tcPr>
          <w:p w14:paraId="2A5E7E5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0.68 ± 0.25</w:t>
            </w:r>
          </w:p>
        </w:tc>
        <w:tc>
          <w:tcPr>
            <w:tcW w:w="385" w:type="pct"/>
            <w:vAlign w:val="center"/>
          </w:tcPr>
          <w:p w14:paraId="062083B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6.34 ± 2.26</w:t>
            </w:r>
          </w:p>
        </w:tc>
        <w:tc>
          <w:tcPr>
            <w:tcW w:w="437" w:type="pct"/>
          </w:tcPr>
          <w:p w14:paraId="286A470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1.13 ± 0.42</w:t>
            </w:r>
          </w:p>
        </w:tc>
        <w:tc>
          <w:tcPr>
            <w:tcW w:w="390" w:type="pct"/>
          </w:tcPr>
          <w:p w14:paraId="10344DF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11.75 ± 0.02</w:t>
            </w:r>
          </w:p>
        </w:tc>
        <w:tc>
          <w:tcPr>
            <w:tcW w:w="386" w:type="pct"/>
          </w:tcPr>
          <w:p w14:paraId="41A07FF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13.45 ± 0.15</w:t>
            </w:r>
          </w:p>
        </w:tc>
        <w:tc>
          <w:tcPr>
            <w:tcW w:w="385" w:type="pct"/>
          </w:tcPr>
          <w:p w14:paraId="455AAC4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1.70 ± 0.16</w:t>
            </w:r>
          </w:p>
        </w:tc>
        <w:tc>
          <w:tcPr>
            <w:tcW w:w="390" w:type="pct"/>
            <w:vAlign w:val="center"/>
          </w:tcPr>
          <w:p w14:paraId="42910A4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12.62 ± 1.04</w:t>
            </w:r>
          </w:p>
        </w:tc>
        <w:tc>
          <w:tcPr>
            <w:tcW w:w="438" w:type="pct"/>
          </w:tcPr>
          <w:p w14:paraId="5144D6E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2.83 ± 0.27</w:t>
            </w:r>
          </w:p>
        </w:tc>
      </w:tr>
      <w:tr w:rsidR="00F30ACD" w:rsidRPr="00133A6B" w14:paraId="7D30A1D4"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5851BDA1" w14:textId="77777777" w:rsidR="00FF3295" w:rsidRPr="00133A6B" w:rsidRDefault="00FF3295" w:rsidP="00FF3295">
            <w:pPr>
              <w:spacing w:after="0" w:line="278" w:lineRule="auto"/>
            </w:pPr>
          </w:p>
        </w:tc>
        <w:tc>
          <w:tcPr>
            <w:tcW w:w="221" w:type="pct"/>
            <w:hideMark/>
          </w:tcPr>
          <w:p w14:paraId="52E4B9B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T5</w:t>
            </w:r>
          </w:p>
        </w:tc>
        <w:tc>
          <w:tcPr>
            <w:tcW w:w="503" w:type="pct"/>
            <w:hideMark/>
          </w:tcPr>
          <w:p w14:paraId="2BB6188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(32.0 ppb)</w:t>
            </w:r>
          </w:p>
        </w:tc>
        <w:tc>
          <w:tcPr>
            <w:tcW w:w="394" w:type="pct"/>
            <w:hideMark/>
          </w:tcPr>
          <w:p w14:paraId="03D77B2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9.85 ± 0.01</w:t>
            </w:r>
          </w:p>
        </w:tc>
        <w:tc>
          <w:tcPr>
            <w:tcW w:w="389" w:type="pct"/>
          </w:tcPr>
          <w:p w14:paraId="7C9BB8D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10.15 ± 0.13</w:t>
            </w:r>
          </w:p>
        </w:tc>
        <w:tc>
          <w:tcPr>
            <w:tcW w:w="388" w:type="pct"/>
          </w:tcPr>
          <w:p w14:paraId="7D0FFD9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0.30 ± 0.14</w:t>
            </w:r>
          </w:p>
        </w:tc>
        <w:tc>
          <w:tcPr>
            <w:tcW w:w="385" w:type="pct"/>
            <w:vAlign w:val="center"/>
          </w:tcPr>
          <w:p w14:paraId="6980FEF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2.92 ± 1.33</w:t>
            </w:r>
          </w:p>
        </w:tc>
        <w:tc>
          <w:tcPr>
            <w:tcW w:w="437" w:type="pct"/>
          </w:tcPr>
          <w:p w14:paraId="14C1697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0.50 ± 0.23</w:t>
            </w:r>
          </w:p>
        </w:tc>
        <w:tc>
          <w:tcPr>
            <w:tcW w:w="390" w:type="pct"/>
          </w:tcPr>
          <w:p w14:paraId="5AF72AF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11.73 ± 0.01</w:t>
            </w:r>
          </w:p>
        </w:tc>
        <w:tc>
          <w:tcPr>
            <w:tcW w:w="386" w:type="pct"/>
          </w:tcPr>
          <w:p w14:paraId="5737CC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12.35 ± 0.15</w:t>
            </w:r>
          </w:p>
        </w:tc>
        <w:tc>
          <w:tcPr>
            <w:tcW w:w="385" w:type="pct"/>
          </w:tcPr>
          <w:p w14:paraId="129DC5C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0.62 ± 0.15</w:t>
            </w:r>
          </w:p>
        </w:tc>
        <w:tc>
          <w:tcPr>
            <w:tcW w:w="390" w:type="pct"/>
            <w:vAlign w:val="center"/>
          </w:tcPr>
          <w:p w14:paraId="49B9564F"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4.99 ± 1.18</w:t>
            </w:r>
          </w:p>
        </w:tc>
        <w:tc>
          <w:tcPr>
            <w:tcW w:w="438" w:type="pct"/>
          </w:tcPr>
          <w:p w14:paraId="6630E79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1.03 ± 0.26</w:t>
            </w:r>
          </w:p>
        </w:tc>
      </w:tr>
      <w:tr w:rsidR="00F30ACD" w:rsidRPr="00133A6B" w14:paraId="789FFB7A"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4DBD4165" w14:textId="77777777" w:rsidR="00FF3295" w:rsidRPr="00133A6B" w:rsidRDefault="00FF3295" w:rsidP="00FF3295">
            <w:pPr>
              <w:spacing w:after="0" w:line="278" w:lineRule="auto"/>
            </w:pPr>
          </w:p>
        </w:tc>
        <w:tc>
          <w:tcPr>
            <w:tcW w:w="221" w:type="pct"/>
            <w:hideMark/>
          </w:tcPr>
          <w:p w14:paraId="7082916F"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T6</w:t>
            </w:r>
          </w:p>
        </w:tc>
        <w:tc>
          <w:tcPr>
            <w:tcW w:w="503" w:type="pct"/>
            <w:hideMark/>
          </w:tcPr>
          <w:p w14:paraId="5C12560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(64.0 ppb)</w:t>
            </w:r>
          </w:p>
        </w:tc>
        <w:tc>
          <w:tcPr>
            <w:tcW w:w="394" w:type="pct"/>
            <w:hideMark/>
          </w:tcPr>
          <w:p w14:paraId="467BD49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9.83 ± 0.01</w:t>
            </w:r>
          </w:p>
        </w:tc>
        <w:tc>
          <w:tcPr>
            <w:tcW w:w="389" w:type="pct"/>
          </w:tcPr>
          <w:p w14:paraId="1798651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9.95 ± 0.07</w:t>
            </w:r>
          </w:p>
        </w:tc>
        <w:tc>
          <w:tcPr>
            <w:tcW w:w="388" w:type="pct"/>
          </w:tcPr>
          <w:p w14:paraId="4C6B56A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0.12 ± 0.07</w:t>
            </w:r>
          </w:p>
        </w:tc>
        <w:tc>
          <w:tcPr>
            <w:tcW w:w="385" w:type="pct"/>
            <w:vAlign w:val="center"/>
          </w:tcPr>
          <w:p w14:paraId="4CE85E6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1.20 ± 0.67</w:t>
            </w:r>
          </w:p>
        </w:tc>
        <w:tc>
          <w:tcPr>
            <w:tcW w:w="437" w:type="pct"/>
          </w:tcPr>
          <w:p w14:paraId="097B249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0.20 ± 0.11</w:t>
            </w:r>
          </w:p>
        </w:tc>
        <w:tc>
          <w:tcPr>
            <w:tcW w:w="390" w:type="pct"/>
          </w:tcPr>
          <w:p w14:paraId="54374FA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11.71 ± 0.01</w:t>
            </w:r>
          </w:p>
        </w:tc>
        <w:tc>
          <w:tcPr>
            <w:tcW w:w="386" w:type="pct"/>
          </w:tcPr>
          <w:p w14:paraId="68F8A1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11.98 ± 0.15</w:t>
            </w:r>
          </w:p>
        </w:tc>
        <w:tc>
          <w:tcPr>
            <w:tcW w:w="385" w:type="pct"/>
          </w:tcPr>
          <w:p w14:paraId="2549229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0.27 ± 0.15</w:t>
            </w:r>
          </w:p>
        </w:tc>
        <w:tc>
          <w:tcPr>
            <w:tcW w:w="390" w:type="pct"/>
            <w:vAlign w:val="center"/>
          </w:tcPr>
          <w:p w14:paraId="01C09A8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2.22 ± 1.25</w:t>
            </w:r>
          </w:p>
        </w:tc>
        <w:tc>
          <w:tcPr>
            <w:tcW w:w="438" w:type="pct"/>
          </w:tcPr>
          <w:p w14:paraId="54F5E6B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0.45 ± 0.26</w:t>
            </w:r>
          </w:p>
        </w:tc>
      </w:tr>
      <w:tr w:rsidR="00F30ACD" w:rsidRPr="00133A6B" w14:paraId="5C324AC0" w14:textId="77777777" w:rsidTr="00F30ACD">
        <w:trPr>
          <w:trHeight w:val="397"/>
        </w:trPr>
        <w:tc>
          <w:tcPr>
            <w:cnfStyle w:val="001000000000" w:firstRow="0" w:lastRow="0" w:firstColumn="1" w:lastColumn="0" w:oddVBand="0" w:evenVBand="0" w:oddHBand="0" w:evenHBand="0" w:firstRowFirstColumn="0" w:firstRowLastColumn="0" w:lastRowFirstColumn="0" w:lastRowLastColumn="0"/>
            <w:tcW w:w="293" w:type="pct"/>
          </w:tcPr>
          <w:p w14:paraId="2C7F6CBC" w14:textId="77777777" w:rsidR="00FF3295" w:rsidRPr="00133A6B" w:rsidRDefault="00FF3295" w:rsidP="00FF3295">
            <w:pPr>
              <w:spacing w:after="0"/>
            </w:pPr>
          </w:p>
        </w:tc>
        <w:tc>
          <w:tcPr>
            <w:tcW w:w="221" w:type="pct"/>
          </w:tcPr>
          <w:p w14:paraId="2F7B340D"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2488A2B4"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r w:rsidRPr="003646D6">
              <w:rPr>
                <w:b/>
                <w:bCs/>
                <w:color w:val="000000" w:themeColor="text1"/>
                <w:sz w:val="22"/>
                <w:szCs w:val="18"/>
              </w:rPr>
              <w:t>Sem (±)</w:t>
            </w:r>
          </w:p>
        </w:tc>
        <w:tc>
          <w:tcPr>
            <w:tcW w:w="394" w:type="pct"/>
          </w:tcPr>
          <w:p w14:paraId="28D68DE9"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0.012</w:t>
            </w:r>
          </w:p>
        </w:tc>
        <w:tc>
          <w:tcPr>
            <w:tcW w:w="389" w:type="pct"/>
          </w:tcPr>
          <w:p w14:paraId="4A0EF82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8" w:type="pct"/>
          </w:tcPr>
          <w:p w14:paraId="3B5338E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5" w:type="pct"/>
            <w:vAlign w:val="center"/>
          </w:tcPr>
          <w:p w14:paraId="02BAC10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1.70</w:t>
            </w:r>
          </w:p>
        </w:tc>
        <w:tc>
          <w:tcPr>
            <w:tcW w:w="437" w:type="pct"/>
          </w:tcPr>
          <w:p w14:paraId="518AD0A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0.35</w:t>
            </w:r>
          </w:p>
        </w:tc>
        <w:tc>
          <w:tcPr>
            <w:tcW w:w="390" w:type="pct"/>
          </w:tcPr>
          <w:p w14:paraId="557269B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0.01</w:t>
            </w:r>
          </w:p>
        </w:tc>
        <w:tc>
          <w:tcPr>
            <w:tcW w:w="386" w:type="pct"/>
          </w:tcPr>
          <w:p w14:paraId="214F397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85" w:type="pct"/>
          </w:tcPr>
          <w:p w14:paraId="775BB6AF"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90" w:type="pct"/>
            <w:vAlign w:val="center"/>
          </w:tcPr>
          <w:p w14:paraId="147C4379"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1.39</w:t>
            </w:r>
          </w:p>
        </w:tc>
        <w:tc>
          <w:tcPr>
            <w:tcW w:w="438" w:type="pct"/>
          </w:tcPr>
          <w:p w14:paraId="7E354202"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0.55</w:t>
            </w:r>
          </w:p>
        </w:tc>
      </w:tr>
      <w:tr w:rsidR="00F30ACD" w:rsidRPr="00133A6B" w14:paraId="6396F8A8"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106A83B1" w14:textId="77777777" w:rsidR="00FF3295" w:rsidRPr="00133A6B" w:rsidRDefault="00FF3295" w:rsidP="00FF3295">
            <w:pPr>
              <w:spacing w:after="0"/>
            </w:pPr>
          </w:p>
        </w:tc>
        <w:tc>
          <w:tcPr>
            <w:tcW w:w="221" w:type="pct"/>
          </w:tcPr>
          <w:p w14:paraId="614ACBE8"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0D7D5C60"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r w:rsidRPr="003646D6">
              <w:rPr>
                <w:b/>
                <w:bCs/>
                <w:color w:val="000000" w:themeColor="text1"/>
                <w:sz w:val="22"/>
                <w:szCs w:val="18"/>
              </w:rPr>
              <w:t>CD (5%) =</w:t>
            </w:r>
          </w:p>
        </w:tc>
        <w:tc>
          <w:tcPr>
            <w:tcW w:w="394" w:type="pct"/>
          </w:tcPr>
          <w:p w14:paraId="1D4D813B"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0.037</w:t>
            </w:r>
          </w:p>
        </w:tc>
        <w:tc>
          <w:tcPr>
            <w:tcW w:w="389" w:type="pct"/>
          </w:tcPr>
          <w:p w14:paraId="41636A4F"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0.65</w:t>
            </w:r>
          </w:p>
        </w:tc>
        <w:tc>
          <w:tcPr>
            <w:tcW w:w="388" w:type="pct"/>
          </w:tcPr>
          <w:p w14:paraId="1DF2232E"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0.65</w:t>
            </w:r>
          </w:p>
        </w:tc>
        <w:tc>
          <w:tcPr>
            <w:tcW w:w="385" w:type="pct"/>
            <w:vAlign w:val="center"/>
          </w:tcPr>
          <w:p w14:paraId="6D3C645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5.24</w:t>
            </w:r>
          </w:p>
        </w:tc>
        <w:tc>
          <w:tcPr>
            <w:tcW w:w="437" w:type="pct"/>
          </w:tcPr>
          <w:p w14:paraId="40E151A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1.08</w:t>
            </w:r>
          </w:p>
        </w:tc>
        <w:tc>
          <w:tcPr>
            <w:tcW w:w="390" w:type="pct"/>
          </w:tcPr>
          <w:p w14:paraId="1F05CEBB"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0.04</w:t>
            </w:r>
          </w:p>
        </w:tc>
        <w:tc>
          <w:tcPr>
            <w:tcW w:w="386" w:type="pct"/>
          </w:tcPr>
          <w:p w14:paraId="3CD8A0B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1.01</w:t>
            </w:r>
          </w:p>
        </w:tc>
        <w:tc>
          <w:tcPr>
            <w:tcW w:w="385" w:type="pct"/>
          </w:tcPr>
          <w:p w14:paraId="5D9A82F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1.03</w:t>
            </w:r>
          </w:p>
        </w:tc>
        <w:tc>
          <w:tcPr>
            <w:tcW w:w="390" w:type="pct"/>
            <w:vAlign w:val="center"/>
          </w:tcPr>
          <w:p w14:paraId="0B9E381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4.29</w:t>
            </w:r>
          </w:p>
        </w:tc>
        <w:tc>
          <w:tcPr>
            <w:tcW w:w="438" w:type="pct"/>
          </w:tcPr>
          <w:p w14:paraId="4FD96F7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1.71</w:t>
            </w:r>
          </w:p>
        </w:tc>
      </w:tr>
      <w:tr w:rsidR="00F30ACD" w:rsidRPr="00133A6B" w14:paraId="5FDDFF1C" w14:textId="77777777" w:rsidTr="00F30ACD">
        <w:trPr>
          <w:trHeight w:val="397"/>
        </w:trPr>
        <w:tc>
          <w:tcPr>
            <w:cnfStyle w:val="001000000000" w:firstRow="0" w:lastRow="0" w:firstColumn="1" w:lastColumn="0" w:oddVBand="0" w:evenVBand="0" w:oddHBand="0" w:evenHBand="0" w:firstRowFirstColumn="0" w:firstRowLastColumn="0" w:lastRowFirstColumn="0" w:lastRowLastColumn="0"/>
            <w:tcW w:w="293" w:type="pct"/>
          </w:tcPr>
          <w:p w14:paraId="31CE349A" w14:textId="77777777" w:rsidR="00FF3295" w:rsidRPr="00133A6B" w:rsidRDefault="00FF3295" w:rsidP="00FF3295">
            <w:pPr>
              <w:spacing w:after="0"/>
            </w:pPr>
          </w:p>
        </w:tc>
        <w:tc>
          <w:tcPr>
            <w:tcW w:w="221" w:type="pct"/>
          </w:tcPr>
          <w:p w14:paraId="4EC4BD2E"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6C9A6141"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proofErr w:type="gramStart"/>
            <w:r w:rsidRPr="003646D6">
              <w:rPr>
                <w:b/>
                <w:bCs/>
                <w:color w:val="000000" w:themeColor="text1"/>
                <w:sz w:val="22"/>
                <w:szCs w:val="18"/>
              </w:rPr>
              <w:t>CV(</w:t>
            </w:r>
            <w:proofErr w:type="gramEnd"/>
            <w:r w:rsidRPr="003646D6">
              <w:rPr>
                <w:b/>
                <w:bCs/>
                <w:color w:val="000000" w:themeColor="text1"/>
                <w:sz w:val="22"/>
                <w:szCs w:val="18"/>
              </w:rPr>
              <w:t>%) =</w:t>
            </w:r>
          </w:p>
        </w:tc>
        <w:tc>
          <w:tcPr>
            <w:tcW w:w="394" w:type="pct"/>
          </w:tcPr>
          <w:p w14:paraId="7991E8C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0.211</w:t>
            </w:r>
          </w:p>
        </w:tc>
        <w:tc>
          <w:tcPr>
            <w:tcW w:w="389" w:type="pct"/>
          </w:tcPr>
          <w:p w14:paraId="6D9B34E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3.37</w:t>
            </w:r>
          </w:p>
        </w:tc>
        <w:tc>
          <w:tcPr>
            <w:tcW w:w="388" w:type="pct"/>
          </w:tcPr>
          <w:p w14:paraId="7649D82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36.92</w:t>
            </w:r>
          </w:p>
        </w:tc>
        <w:tc>
          <w:tcPr>
            <w:tcW w:w="385" w:type="pct"/>
            <w:vAlign w:val="center"/>
          </w:tcPr>
          <w:p w14:paraId="09F59C8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34.12</w:t>
            </w:r>
          </w:p>
        </w:tc>
        <w:tc>
          <w:tcPr>
            <w:tcW w:w="437" w:type="pct"/>
          </w:tcPr>
          <w:p w14:paraId="2E8354A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36.92</w:t>
            </w:r>
          </w:p>
        </w:tc>
        <w:tc>
          <w:tcPr>
            <w:tcW w:w="390" w:type="pct"/>
          </w:tcPr>
          <w:p w14:paraId="7F52F0B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6" w:type="pct"/>
          </w:tcPr>
          <w:p w14:paraId="2BEA88B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3.88</w:t>
            </w:r>
          </w:p>
        </w:tc>
        <w:tc>
          <w:tcPr>
            <w:tcW w:w="385" w:type="pct"/>
          </w:tcPr>
          <w:p w14:paraId="5F8B5FF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20.34</w:t>
            </w:r>
          </w:p>
        </w:tc>
        <w:tc>
          <w:tcPr>
            <w:tcW w:w="390" w:type="pct"/>
            <w:vAlign w:val="center"/>
          </w:tcPr>
          <w:p w14:paraId="00EC98B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13.82</w:t>
            </w:r>
          </w:p>
        </w:tc>
        <w:tc>
          <w:tcPr>
            <w:tcW w:w="438" w:type="pct"/>
          </w:tcPr>
          <w:p w14:paraId="0FAC4BA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20.34</w:t>
            </w:r>
          </w:p>
        </w:tc>
      </w:tr>
      <w:tr w:rsidR="00F30ACD" w:rsidRPr="00133A6B" w14:paraId="1769F8F1"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6290AD2C" w14:textId="77777777" w:rsidR="00FF3295" w:rsidRPr="00133A6B" w:rsidRDefault="00FF3295" w:rsidP="00FF3295">
            <w:pPr>
              <w:spacing w:after="0"/>
            </w:pPr>
          </w:p>
        </w:tc>
        <w:tc>
          <w:tcPr>
            <w:tcW w:w="221" w:type="pct"/>
          </w:tcPr>
          <w:p w14:paraId="63506AF7"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1F247AD9"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themeColor="text1"/>
                <w:sz w:val="22"/>
                <w:szCs w:val="18"/>
              </w:rPr>
            </w:pPr>
            <w:r w:rsidRPr="003646D6">
              <w:rPr>
                <w:b/>
                <w:bCs/>
                <w:color w:val="000000" w:themeColor="text1"/>
                <w:sz w:val="22"/>
                <w:szCs w:val="18"/>
              </w:rPr>
              <w:t>SD</w:t>
            </w:r>
          </w:p>
        </w:tc>
        <w:tc>
          <w:tcPr>
            <w:tcW w:w="394" w:type="pct"/>
          </w:tcPr>
          <w:p w14:paraId="558986A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0.020</w:t>
            </w:r>
          </w:p>
        </w:tc>
        <w:tc>
          <w:tcPr>
            <w:tcW w:w="389" w:type="pct"/>
          </w:tcPr>
          <w:p w14:paraId="17FEF0B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0.34</w:t>
            </w:r>
          </w:p>
        </w:tc>
        <w:tc>
          <w:tcPr>
            <w:tcW w:w="388" w:type="pct"/>
          </w:tcPr>
          <w:p w14:paraId="2A65334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0.34</w:t>
            </w:r>
          </w:p>
        </w:tc>
        <w:tc>
          <w:tcPr>
            <w:tcW w:w="385" w:type="pct"/>
            <w:vAlign w:val="center"/>
          </w:tcPr>
          <w:p w14:paraId="076C4D3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2.81</w:t>
            </w:r>
          </w:p>
        </w:tc>
        <w:tc>
          <w:tcPr>
            <w:tcW w:w="437" w:type="pct"/>
          </w:tcPr>
          <w:p w14:paraId="60DAC91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0.57</w:t>
            </w:r>
          </w:p>
        </w:tc>
        <w:tc>
          <w:tcPr>
            <w:tcW w:w="390" w:type="pct"/>
          </w:tcPr>
          <w:p w14:paraId="446235B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0.02</w:t>
            </w:r>
          </w:p>
        </w:tc>
        <w:tc>
          <w:tcPr>
            <w:tcW w:w="386" w:type="pct"/>
          </w:tcPr>
          <w:p w14:paraId="06B3F26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0.43</w:t>
            </w:r>
          </w:p>
        </w:tc>
        <w:tc>
          <w:tcPr>
            <w:tcW w:w="385" w:type="pct"/>
          </w:tcPr>
          <w:p w14:paraId="4066CDA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0.44</w:t>
            </w:r>
          </w:p>
        </w:tc>
        <w:tc>
          <w:tcPr>
            <w:tcW w:w="390" w:type="pct"/>
            <w:vAlign w:val="center"/>
          </w:tcPr>
          <w:p w14:paraId="42EC6C0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2.19</w:t>
            </w:r>
          </w:p>
        </w:tc>
        <w:tc>
          <w:tcPr>
            <w:tcW w:w="438" w:type="pct"/>
          </w:tcPr>
          <w:p w14:paraId="02F8A1F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0.73</w:t>
            </w:r>
          </w:p>
        </w:tc>
      </w:tr>
      <w:tr w:rsidR="00F30ACD" w:rsidRPr="00133A6B" w14:paraId="53FD46F2"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577FED39" w14:textId="77777777" w:rsidR="00FF3295" w:rsidRPr="00133A6B" w:rsidRDefault="00FF3295" w:rsidP="00FF3295">
            <w:pPr>
              <w:spacing w:after="0"/>
            </w:pPr>
          </w:p>
        </w:tc>
        <w:tc>
          <w:tcPr>
            <w:tcW w:w="221" w:type="pct"/>
          </w:tcPr>
          <w:p w14:paraId="61BC92F9"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1A5F508C"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themeColor="text1"/>
                <w:sz w:val="22"/>
                <w:szCs w:val="18"/>
              </w:rPr>
            </w:pPr>
            <w:r w:rsidRPr="003646D6">
              <w:rPr>
                <w:b/>
                <w:bCs/>
                <w:color w:val="000000" w:themeColor="text1"/>
                <w:sz w:val="22"/>
                <w:szCs w:val="18"/>
              </w:rPr>
              <w:t>Variance</w:t>
            </w:r>
          </w:p>
        </w:tc>
        <w:tc>
          <w:tcPr>
            <w:tcW w:w="394" w:type="pct"/>
          </w:tcPr>
          <w:p w14:paraId="55A1C88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0.0004</w:t>
            </w:r>
          </w:p>
        </w:tc>
        <w:tc>
          <w:tcPr>
            <w:tcW w:w="389" w:type="pct"/>
          </w:tcPr>
          <w:p w14:paraId="3A96A95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0.13</w:t>
            </w:r>
          </w:p>
        </w:tc>
        <w:tc>
          <w:tcPr>
            <w:tcW w:w="388" w:type="pct"/>
          </w:tcPr>
          <w:p w14:paraId="40EABD8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0.13</w:t>
            </w:r>
          </w:p>
        </w:tc>
        <w:tc>
          <w:tcPr>
            <w:tcW w:w="385" w:type="pct"/>
            <w:vAlign w:val="center"/>
          </w:tcPr>
          <w:p w14:paraId="0875BED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8.68</w:t>
            </w:r>
          </w:p>
        </w:tc>
        <w:tc>
          <w:tcPr>
            <w:tcW w:w="437" w:type="pct"/>
          </w:tcPr>
          <w:p w14:paraId="2827B71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0.37</w:t>
            </w:r>
          </w:p>
        </w:tc>
        <w:tc>
          <w:tcPr>
            <w:tcW w:w="390" w:type="pct"/>
          </w:tcPr>
          <w:p w14:paraId="16A7DDE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0.0006</w:t>
            </w:r>
          </w:p>
        </w:tc>
        <w:tc>
          <w:tcPr>
            <w:tcW w:w="386" w:type="pct"/>
          </w:tcPr>
          <w:p w14:paraId="40F893A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0.32</w:t>
            </w:r>
          </w:p>
        </w:tc>
        <w:tc>
          <w:tcPr>
            <w:tcW w:w="385" w:type="pct"/>
          </w:tcPr>
          <w:p w14:paraId="1B45320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90" w:type="pct"/>
            <w:vAlign w:val="center"/>
          </w:tcPr>
          <w:p w14:paraId="489C1D0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5.82</w:t>
            </w:r>
          </w:p>
        </w:tc>
        <w:tc>
          <w:tcPr>
            <w:tcW w:w="438" w:type="pct"/>
          </w:tcPr>
          <w:p w14:paraId="2811F55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0.92</w:t>
            </w:r>
          </w:p>
        </w:tc>
      </w:tr>
    </w:tbl>
    <w:p w14:paraId="36978AEE" w14:textId="77777777" w:rsidR="00FF3295" w:rsidRDefault="00FF3295" w:rsidP="00FF3295">
      <w:pPr>
        <w:sectPr w:rsidR="00FF3295" w:rsidSect="00FF3295">
          <w:pgSz w:w="16838" w:h="11906" w:orient="landscape"/>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6664"/>
        <w:gridCol w:w="7294"/>
      </w:tblGrid>
      <w:tr w:rsidR="00FB5457" w:rsidRPr="00FB5457" w14:paraId="1DC7E63A" w14:textId="77777777" w:rsidTr="00D47003">
        <w:tc>
          <w:tcPr>
            <w:tcW w:w="2387" w:type="pct"/>
          </w:tcPr>
          <w:p w14:paraId="3BB3571A" w14:textId="405DDF35" w:rsidR="006E6B30" w:rsidRPr="00FB5457" w:rsidRDefault="00FF3295" w:rsidP="00FB5457">
            <w:pPr>
              <w:tabs>
                <w:tab w:val="left" w:pos="4690"/>
              </w:tabs>
              <w:spacing w:after="0" w:line="240" w:lineRule="auto"/>
              <w:jc w:val="center"/>
              <w:rPr>
                <w:rFonts w:cs="Times New Roman"/>
                <w:szCs w:val="24"/>
              </w:rPr>
            </w:pPr>
            <w:r w:rsidRPr="00FB5457">
              <w:rPr>
                <w:noProof/>
                <w:szCs w:val="24"/>
              </w:rPr>
              <w:lastRenderedPageBreak/>
              <w:drawing>
                <wp:inline distT="0" distB="0" distL="0" distR="0" wp14:anchorId="64B50672" wp14:editId="4D2A0770">
                  <wp:extent cx="3994150" cy="2403566"/>
                  <wp:effectExtent l="0" t="0" r="6350" b="15875"/>
                  <wp:docPr id="359334832" name="Chart 1">
                    <a:extLst xmlns:a="http://schemas.openxmlformats.org/drawingml/2006/main">
                      <a:ext uri="{FF2B5EF4-FFF2-40B4-BE49-F238E27FC236}">
                        <a16:creationId xmlns:a16="http://schemas.microsoft.com/office/drawing/2014/main" id="{3BEA8524-5431-4981-ADFB-F0F8D3168D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613" w:type="pct"/>
          </w:tcPr>
          <w:p w14:paraId="6A216260" w14:textId="4DC9441F" w:rsidR="006E6B30" w:rsidRPr="00FB5457" w:rsidRDefault="00FF3295" w:rsidP="00FB5457">
            <w:pPr>
              <w:tabs>
                <w:tab w:val="left" w:pos="8303"/>
              </w:tabs>
              <w:spacing w:after="0" w:line="240" w:lineRule="auto"/>
              <w:jc w:val="center"/>
              <w:rPr>
                <w:rFonts w:cs="Times New Roman"/>
                <w:szCs w:val="24"/>
              </w:rPr>
            </w:pPr>
            <w:r w:rsidRPr="00FB5457">
              <w:rPr>
                <w:noProof/>
                <w:szCs w:val="24"/>
              </w:rPr>
              <w:drawing>
                <wp:inline distT="0" distB="0" distL="0" distR="0" wp14:anchorId="3D4728D6" wp14:editId="1B0548E0">
                  <wp:extent cx="4267200" cy="2249805"/>
                  <wp:effectExtent l="0" t="0" r="0" b="17145"/>
                  <wp:docPr id="14740768" name="Chart 1">
                    <a:extLst xmlns:a="http://schemas.openxmlformats.org/drawingml/2006/main">
                      <a:ext uri="{FF2B5EF4-FFF2-40B4-BE49-F238E27FC236}">
                        <a16:creationId xmlns:a16="http://schemas.microsoft.com/office/drawing/2014/main" id="{9061A6D1-B117-4E4F-B945-D58CC334E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FB5457" w:rsidRPr="00FB5457" w14:paraId="425D3F26" w14:textId="77777777" w:rsidTr="00D47003">
        <w:tc>
          <w:tcPr>
            <w:tcW w:w="2387" w:type="pct"/>
          </w:tcPr>
          <w:p w14:paraId="18D80162" w14:textId="0AA985BE" w:rsidR="006E6B30" w:rsidRPr="00FB5457" w:rsidRDefault="006E6B30" w:rsidP="00FB5457">
            <w:pPr>
              <w:spacing w:line="240" w:lineRule="auto"/>
              <w:jc w:val="center"/>
              <w:rPr>
                <w:b/>
                <w:bCs/>
                <w:szCs w:val="24"/>
              </w:rPr>
            </w:pPr>
            <w:r w:rsidRPr="00FB5457">
              <w:rPr>
                <w:rFonts w:cs="Times New Roman"/>
                <w:b/>
                <w:bCs/>
                <w:szCs w:val="24"/>
              </w:rPr>
              <w:t>Fig 1</w:t>
            </w:r>
            <w:r w:rsidR="003C2095" w:rsidRPr="00FB5457">
              <w:rPr>
                <w:rFonts w:cs="Times New Roman"/>
                <w:b/>
                <w:bCs/>
                <w:szCs w:val="24"/>
              </w:rPr>
              <w:t>.</w:t>
            </w:r>
            <w:r w:rsidRPr="00FB5457">
              <w:rPr>
                <w:rFonts w:cs="Times New Roman"/>
                <w:b/>
                <w:bCs/>
                <w:szCs w:val="24"/>
              </w:rPr>
              <w:t xml:space="preserve"> </w:t>
            </w:r>
            <w:r w:rsidR="00FF3295" w:rsidRPr="00FB5457">
              <w:rPr>
                <w:b/>
                <w:bCs/>
                <w:szCs w:val="24"/>
              </w:rPr>
              <w:t xml:space="preserve">Initial and Final length (cm)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c>
          <w:tcPr>
            <w:tcW w:w="2613" w:type="pct"/>
          </w:tcPr>
          <w:p w14:paraId="31B9DCED" w14:textId="094C1610" w:rsidR="006E6B30" w:rsidRPr="00FB5457" w:rsidRDefault="006E6B30" w:rsidP="00FB5457">
            <w:pPr>
              <w:pStyle w:val="ListParagraph"/>
              <w:spacing w:line="240" w:lineRule="auto"/>
              <w:ind w:left="630"/>
              <w:jc w:val="center"/>
              <w:rPr>
                <w:rFonts w:cs="Times New Roman"/>
                <w:szCs w:val="24"/>
              </w:rPr>
            </w:pPr>
            <w:r w:rsidRPr="00FB5457">
              <w:rPr>
                <w:rFonts w:cs="Times New Roman"/>
                <w:b/>
                <w:bCs/>
                <w:szCs w:val="24"/>
              </w:rPr>
              <w:t xml:space="preserve">Fig </w:t>
            </w:r>
            <w:r w:rsidR="003C2095" w:rsidRPr="00FB5457">
              <w:rPr>
                <w:rFonts w:cs="Times New Roman"/>
                <w:b/>
                <w:bCs/>
                <w:szCs w:val="24"/>
              </w:rPr>
              <w:t>2.</w:t>
            </w:r>
            <w:r w:rsidRPr="00FB5457">
              <w:rPr>
                <w:rFonts w:cs="Times New Roman"/>
                <w:b/>
                <w:bCs/>
                <w:szCs w:val="24"/>
              </w:rPr>
              <w:t xml:space="preserve"> </w:t>
            </w:r>
            <w:r w:rsidR="00FF3295" w:rsidRPr="00FB5457">
              <w:rPr>
                <w:b/>
                <w:bCs/>
                <w:szCs w:val="24"/>
              </w:rPr>
              <w:t xml:space="preserve">Length Gain (cm)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r>
      <w:tr w:rsidR="00FB5457" w:rsidRPr="00FB5457" w14:paraId="59A61017" w14:textId="77777777" w:rsidTr="00D47003">
        <w:tc>
          <w:tcPr>
            <w:tcW w:w="2387" w:type="pct"/>
          </w:tcPr>
          <w:p w14:paraId="0E4C607C" w14:textId="630890C8" w:rsidR="006E6B30" w:rsidRPr="00FB5457" w:rsidRDefault="00FF3295" w:rsidP="00FB5457">
            <w:pPr>
              <w:tabs>
                <w:tab w:val="left" w:pos="8303"/>
              </w:tabs>
              <w:spacing w:after="0" w:line="240" w:lineRule="auto"/>
              <w:jc w:val="center"/>
              <w:rPr>
                <w:rFonts w:cs="Times New Roman"/>
                <w:szCs w:val="24"/>
              </w:rPr>
            </w:pPr>
            <w:r w:rsidRPr="00FB5457">
              <w:rPr>
                <w:noProof/>
                <w:szCs w:val="24"/>
                <w14:ligatures w14:val="standardContextual"/>
              </w:rPr>
              <w:drawing>
                <wp:inline distT="0" distB="0" distL="0" distR="0" wp14:anchorId="5AA742A3" wp14:editId="674CD48E">
                  <wp:extent cx="3994150" cy="2259106"/>
                  <wp:effectExtent l="0" t="0" r="6350" b="8255"/>
                  <wp:docPr id="240784154" name="Chart 1">
                    <a:extLst xmlns:a="http://schemas.openxmlformats.org/drawingml/2006/main">
                      <a:ext uri="{FF2B5EF4-FFF2-40B4-BE49-F238E27FC236}">
                        <a16:creationId xmlns:a16="http://schemas.microsoft.com/office/drawing/2014/main" id="{75C8D0E3-CC7C-41ED-ACAE-E9630B989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613" w:type="pct"/>
          </w:tcPr>
          <w:p w14:paraId="231E3A0F" w14:textId="127AFCC2" w:rsidR="006E6B30" w:rsidRPr="00FB5457" w:rsidRDefault="00FF3295" w:rsidP="00FB5457">
            <w:pPr>
              <w:tabs>
                <w:tab w:val="left" w:pos="8303"/>
              </w:tabs>
              <w:spacing w:after="0" w:line="240" w:lineRule="auto"/>
              <w:jc w:val="center"/>
              <w:rPr>
                <w:rFonts w:cs="Times New Roman"/>
                <w:szCs w:val="24"/>
              </w:rPr>
            </w:pPr>
            <w:r w:rsidRPr="00FB5457">
              <w:rPr>
                <w:noProof/>
                <w:szCs w:val="24"/>
              </w:rPr>
              <w:drawing>
                <wp:inline distT="0" distB="0" distL="0" distR="0" wp14:anchorId="133F4777" wp14:editId="3C9322C0">
                  <wp:extent cx="4270375" cy="2258695"/>
                  <wp:effectExtent l="0" t="0" r="15875" b="8255"/>
                  <wp:docPr id="125964287" name="Chart 1">
                    <a:extLst xmlns:a="http://schemas.openxmlformats.org/drawingml/2006/main">
                      <a:ext uri="{FF2B5EF4-FFF2-40B4-BE49-F238E27FC236}">
                        <a16:creationId xmlns:a16="http://schemas.microsoft.com/office/drawing/2014/main" id="{C48541C7-242D-4A1A-9B50-F89A0C958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FB5457" w:rsidRPr="00FB5457" w14:paraId="61062A71" w14:textId="77777777" w:rsidTr="00D47003">
        <w:tc>
          <w:tcPr>
            <w:tcW w:w="2387" w:type="pct"/>
          </w:tcPr>
          <w:p w14:paraId="04DE0E92" w14:textId="051C12F6" w:rsidR="00FF3295" w:rsidRPr="00FB5457" w:rsidRDefault="006E6B30" w:rsidP="00FB5457">
            <w:pPr>
              <w:spacing w:line="240" w:lineRule="auto"/>
              <w:jc w:val="center"/>
              <w:rPr>
                <w:b/>
                <w:bCs/>
                <w:szCs w:val="24"/>
              </w:rPr>
            </w:pPr>
            <w:r w:rsidRPr="00FB5457">
              <w:rPr>
                <w:rFonts w:cs="Times New Roman"/>
                <w:b/>
                <w:bCs/>
                <w:szCs w:val="24"/>
              </w:rPr>
              <w:t xml:space="preserve">Fig </w:t>
            </w:r>
            <w:r w:rsidR="003C2095" w:rsidRPr="00FB5457">
              <w:rPr>
                <w:rFonts w:cs="Times New Roman"/>
                <w:b/>
                <w:bCs/>
                <w:szCs w:val="24"/>
              </w:rPr>
              <w:t>3.</w:t>
            </w:r>
            <w:r w:rsidR="00FF3295" w:rsidRPr="00FB5457">
              <w:rPr>
                <w:b/>
                <w:bCs/>
                <w:szCs w:val="24"/>
              </w:rPr>
              <w:t xml:space="preserve"> Length Gain (%)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p w14:paraId="52C41680" w14:textId="55E1A99D" w:rsidR="006E6B30" w:rsidRPr="00FB5457" w:rsidRDefault="006E6B30" w:rsidP="00FB5457">
            <w:pPr>
              <w:pStyle w:val="ListParagraph"/>
              <w:spacing w:after="0" w:line="240" w:lineRule="auto"/>
              <w:ind w:left="630"/>
              <w:jc w:val="center"/>
              <w:rPr>
                <w:rFonts w:cs="Times New Roman"/>
                <w:szCs w:val="24"/>
              </w:rPr>
            </w:pPr>
          </w:p>
        </w:tc>
        <w:tc>
          <w:tcPr>
            <w:tcW w:w="2613" w:type="pct"/>
          </w:tcPr>
          <w:p w14:paraId="47A005AA" w14:textId="567D06ED" w:rsidR="006E6B30" w:rsidRPr="00FB5457" w:rsidRDefault="006E6B30" w:rsidP="00FB5457">
            <w:pPr>
              <w:tabs>
                <w:tab w:val="left" w:pos="8303"/>
              </w:tabs>
              <w:spacing w:after="0" w:line="240" w:lineRule="auto"/>
              <w:jc w:val="center"/>
              <w:rPr>
                <w:rFonts w:cs="Times New Roman"/>
                <w:szCs w:val="24"/>
              </w:rPr>
            </w:pPr>
            <w:r w:rsidRPr="00FB5457">
              <w:rPr>
                <w:rFonts w:cs="Times New Roman"/>
                <w:b/>
                <w:bCs/>
                <w:szCs w:val="24"/>
              </w:rPr>
              <w:t xml:space="preserve">Fig 4. </w:t>
            </w:r>
            <w:r w:rsidR="00FF3295" w:rsidRPr="00FB5457">
              <w:rPr>
                <w:b/>
                <w:bCs/>
                <w:szCs w:val="24"/>
              </w:rPr>
              <w:t xml:space="preserve">SGR Length (% day)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r>
      <w:tr w:rsidR="00FB5457" w:rsidRPr="00FB5457" w14:paraId="5F3EEA67" w14:textId="77777777" w:rsidTr="00D47003">
        <w:tc>
          <w:tcPr>
            <w:tcW w:w="2387" w:type="pct"/>
          </w:tcPr>
          <w:p w14:paraId="4497092B" w14:textId="767EB784" w:rsidR="006E6B30" w:rsidRPr="00FB5457" w:rsidRDefault="00FF3295" w:rsidP="00FB5457">
            <w:pPr>
              <w:tabs>
                <w:tab w:val="left" w:pos="8303"/>
              </w:tabs>
              <w:spacing w:line="240" w:lineRule="auto"/>
              <w:jc w:val="center"/>
              <w:rPr>
                <w:rFonts w:cs="Times New Roman"/>
                <w:szCs w:val="24"/>
              </w:rPr>
            </w:pPr>
            <w:r w:rsidRPr="00FB5457">
              <w:rPr>
                <w:noProof/>
                <w:szCs w:val="24"/>
              </w:rPr>
              <w:lastRenderedPageBreak/>
              <w:drawing>
                <wp:inline distT="0" distB="0" distL="0" distR="0" wp14:anchorId="76533750" wp14:editId="48CA692E">
                  <wp:extent cx="4094816" cy="2297430"/>
                  <wp:effectExtent l="0" t="0" r="1270" b="7620"/>
                  <wp:docPr id="2080316218" name="Chart 1">
                    <a:extLst xmlns:a="http://schemas.openxmlformats.org/drawingml/2006/main">
                      <a:ext uri="{FF2B5EF4-FFF2-40B4-BE49-F238E27FC236}">
                        <a16:creationId xmlns:a16="http://schemas.microsoft.com/office/drawing/2014/main" id="{D3E6CEFB-BFE2-4206-BCC0-280D22E00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2613" w:type="pct"/>
          </w:tcPr>
          <w:p w14:paraId="71478179" w14:textId="7BC840E3" w:rsidR="006E6B30" w:rsidRPr="00FB5457" w:rsidRDefault="00FF3295" w:rsidP="00FB5457">
            <w:pPr>
              <w:tabs>
                <w:tab w:val="left" w:pos="8303"/>
              </w:tabs>
              <w:spacing w:line="240" w:lineRule="auto"/>
              <w:ind w:left="603"/>
              <w:jc w:val="center"/>
              <w:rPr>
                <w:rFonts w:cs="Times New Roman"/>
                <w:szCs w:val="24"/>
              </w:rPr>
            </w:pPr>
            <w:r w:rsidRPr="00FB5457">
              <w:rPr>
                <w:noProof/>
                <w:szCs w:val="24"/>
              </w:rPr>
              <w:drawing>
                <wp:inline distT="0" distB="0" distL="0" distR="0" wp14:anchorId="4C6E4138" wp14:editId="46B57E30">
                  <wp:extent cx="4077148" cy="2297430"/>
                  <wp:effectExtent l="0" t="0" r="0" b="7620"/>
                  <wp:docPr id="282451288" name="Chart 1">
                    <a:extLst xmlns:a="http://schemas.openxmlformats.org/drawingml/2006/main">
                      <a:ext uri="{FF2B5EF4-FFF2-40B4-BE49-F238E27FC236}">
                        <a16:creationId xmlns:a16="http://schemas.microsoft.com/office/drawing/2014/main" id="{015E3254-7134-46FB-97EA-E3B65A3BD1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FB5457" w:rsidRPr="00FB5457" w14:paraId="6F854B03" w14:textId="77777777" w:rsidTr="00D47003">
        <w:trPr>
          <w:trHeight w:val="710"/>
        </w:trPr>
        <w:tc>
          <w:tcPr>
            <w:tcW w:w="2387" w:type="pct"/>
          </w:tcPr>
          <w:p w14:paraId="0BB35D8B" w14:textId="21102842" w:rsidR="006E6B30" w:rsidRPr="00FB5457" w:rsidRDefault="006E6B30" w:rsidP="00FB5457">
            <w:pPr>
              <w:tabs>
                <w:tab w:val="left" w:pos="8303"/>
              </w:tabs>
              <w:spacing w:line="240" w:lineRule="auto"/>
              <w:jc w:val="center"/>
              <w:rPr>
                <w:b/>
                <w:bCs/>
                <w:szCs w:val="24"/>
              </w:rPr>
            </w:pPr>
            <w:r w:rsidRPr="00FB5457">
              <w:rPr>
                <w:rFonts w:cs="Times New Roman"/>
                <w:b/>
                <w:bCs/>
                <w:szCs w:val="24"/>
              </w:rPr>
              <w:t xml:space="preserve">Fig </w:t>
            </w:r>
            <w:r w:rsidR="003C2095" w:rsidRPr="00FB5457">
              <w:rPr>
                <w:rFonts w:cs="Times New Roman"/>
                <w:b/>
                <w:bCs/>
                <w:szCs w:val="24"/>
              </w:rPr>
              <w:t>5.</w:t>
            </w:r>
            <w:r w:rsidRPr="00FB5457">
              <w:rPr>
                <w:rFonts w:cs="Times New Roman"/>
                <w:b/>
                <w:bCs/>
                <w:szCs w:val="24"/>
              </w:rPr>
              <w:t xml:space="preserve"> </w:t>
            </w:r>
            <w:r w:rsidR="00FF3295" w:rsidRPr="00FB5457">
              <w:rPr>
                <w:b/>
                <w:bCs/>
                <w:szCs w:val="24"/>
              </w:rPr>
              <w:t xml:space="preserve">Initial and Final Weight (g)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c>
          <w:tcPr>
            <w:tcW w:w="2613" w:type="pct"/>
          </w:tcPr>
          <w:p w14:paraId="7B185517" w14:textId="2B6CD660" w:rsidR="006E6B30" w:rsidRPr="00FB5457" w:rsidRDefault="006E6B30" w:rsidP="00FB5457">
            <w:pPr>
              <w:pStyle w:val="ListParagraph"/>
              <w:spacing w:line="240" w:lineRule="auto"/>
              <w:ind w:left="630"/>
              <w:jc w:val="center"/>
              <w:rPr>
                <w:rFonts w:cs="Times New Roman"/>
                <w:szCs w:val="24"/>
              </w:rPr>
            </w:pPr>
            <w:r w:rsidRPr="00FB5457">
              <w:rPr>
                <w:rFonts w:cs="Times New Roman"/>
                <w:b/>
                <w:bCs/>
                <w:szCs w:val="24"/>
              </w:rPr>
              <w:t xml:space="preserve">Fig </w:t>
            </w:r>
            <w:r w:rsidR="003C2095" w:rsidRPr="00FB5457">
              <w:rPr>
                <w:rFonts w:cs="Times New Roman"/>
                <w:b/>
                <w:bCs/>
                <w:szCs w:val="24"/>
              </w:rPr>
              <w:t>6.</w:t>
            </w:r>
            <w:r w:rsidRPr="00FB5457">
              <w:rPr>
                <w:rFonts w:cs="Times New Roman"/>
                <w:b/>
                <w:bCs/>
                <w:szCs w:val="24"/>
              </w:rPr>
              <w:t xml:space="preserve"> </w:t>
            </w:r>
            <w:r w:rsidR="00FF3295" w:rsidRPr="00FB5457">
              <w:rPr>
                <w:b/>
                <w:bCs/>
                <w:szCs w:val="24"/>
              </w:rPr>
              <w:t xml:space="preserve">Weight Gain (g)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r>
      <w:tr w:rsidR="00D47003" w:rsidRPr="00FB5457" w14:paraId="6FDB0F3A" w14:textId="77777777" w:rsidTr="00D47003">
        <w:trPr>
          <w:trHeight w:val="710"/>
        </w:trPr>
        <w:tc>
          <w:tcPr>
            <w:tcW w:w="2387" w:type="pct"/>
          </w:tcPr>
          <w:p w14:paraId="3B0BD23B" w14:textId="66370F82" w:rsidR="00FF3295" w:rsidRPr="00FB5457" w:rsidRDefault="00FF3295" w:rsidP="00FB5457">
            <w:pPr>
              <w:tabs>
                <w:tab w:val="left" w:pos="7004"/>
                <w:tab w:val="left" w:pos="8303"/>
              </w:tabs>
              <w:spacing w:line="240" w:lineRule="auto"/>
              <w:jc w:val="center"/>
              <w:rPr>
                <w:rFonts w:cs="Times New Roman"/>
                <w:b/>
                <w:bCs/>
                <w:szCs w:val="24"/>
              </w:rPr>
            </w:pPr>
            <w:r w:rsidRPr="00FB5457">
              <w:rPr>
                <w:noProof/>
                <w:szCs w:val="24"/>
                <w14:ligatures w14:val="standardContextual"/>
              </w:rPr>
              <w:drawing>
                <wp:inline distT="0" distB="0" distL="0" distR="0" wp14:anchorId="632179E1" wp14:editId="0B89814F">
                  <wp:extent cx="4090670" cy="2334260"/>
                  <wp:effectExtent l="0" t="0" r="5080" b="8890"/>
                  <wp:docPr id="1794684199" name="Chart 1">
                    <a:extLst xmlns:a="http://schemas.openxmlformats.org/drawingml/2006/main">
                      <a:ext uri="{FF2B5EF4-FFF2-40B4-BE49-F238E27FC236}">
                        <a16:creationId xmlns:a16="http://schemas.microsoft.com/office/drawing/2014/main" id="{5EC71D5D-D721-4936-B284-71C45722A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2613" w:type="pct"/>
          </w:tcPr>
          <w:p w14:paraId="4F8D03E4" w14:textId="6D575FDD" w:rsidR="00FF3295" w:rsidRPr="00FB5457" w:rsidRDefault="00FF3295" w:rsidP="00FB5457">
            <w:pPr>
              <w:pStyle w:val="ListParagraph"/>
              <w:spacing w:line="240" w:lineRule="auto"/>
              <w:ind w:left="630"/>
              <w:jc w:val="center"/>
              <w:rPr>
                <w:rFonts w:cs="Times New Roman"/>
                <w:b/>
                <w:bCs/>
                <w:szCs w:val="24"/>
              </w:rPr>
            </w:pPr>
            <w:r w:rsidRPr="00FB5457">
              <w:rPr>
                <w:noProof/>
                <w:szCs w:val="24"/>
              </w:rPr>
              <w:drawing>
                <wp:inline distT="0" distB="0" distL="0" distR="0" wp14:anchorId="4C059A4B" wp14:editId="72EEC49C">
                  <wp:extent cx="4082415" cy="2334409"/>
                  <wp:effectExtent l="0" t="0" r="13335" b="8890"/>
                  <wp:docPr id="1197685599" name="Chart 1">
                    <a:extLst xmlns:a="http://schemas.openxmlformats.org/drawingml/2006/main">
                      <a:ext uri="{FF2B5EF4-FFF2-40B4-BE49-F238E27FC236}">
                        <a16:creationId xmlns:a16="http://schemas.microsoft.com/office/drawing/2014/main" id="{01792110-F74C-40C1-857A-A264E1D0F6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D47003" w:rsidRPr="00FB5457" w14:paraId="1A70C3D9" w14:textId="77777777" w:rsidTr="00D47003">
        <w:trPr>
          <w:trHeight w:val="710"/>
        </w:trPr>
        <w:tc>
          <w:tcPr>
            <w:tcW w:w="2387" w:type="pct"/>
          </w:tcPr>
          <w:p w14:paraId="61875C47" w14:textId="03E52AFF" w:rsidR="00FF3295" w:rsidRPr="00FB5457" w:rsidRDefault="00FF3295" w:rsidP="00FB5457">
            <w:pPr>
              <w:tabs>
                <w:tab w:val="left" w:pos="8303"/>
              </w:tabs>
              <w:spacing w:line="240" w:lineRule="auto"/>
              <w:jc w:val="center"/>
              <w:rPr>
                <w:b/>
                <w:bCs/>
                <w:szCs w:val="24"/>
              </w:rPr>
            </w:pPr>
            <w:r w:rsidRPr="00FB5457">
              <w:rPr>
                <w:b/>
                <w:bCs/>
                <w:szCs w:val="24"/>
              </w:rPr>
              <w:t xml:space="preserve">Fig 7. Weight Gain (%) of </w:t>
            </w:r>
            <w:proofErr w:type="spellStart"/>
            <w:r w:rsidRPr="00FB5457">
              <w:rPr>
                <w:b/>
                <w:bCs/>
                <w:i/>
                <w:iCs/>
                <w:szCs w:val="24"/>
              </w:rPr>
              <w:t>Catla</w:t>
            </w:r>
            <w:proofErr w:type="spellEnd"/>
            <w:r w:rsidRPr="00FB5457">
              <w:rPr>
                <w:b/>
                <w:bCs/>
                <w:i/>
                <w:iCs/>
                <w:szCs w:val="24"/>
              </w:rPr>
              <w:t xml:space="preserve"> </w:t>
            </w:r>
            <w:proofErr w:type="spellStart"/>
            <w:r w:rsidRPr="00FB5457">
              <w:rPr>
                <w:b/>
                <w:bCs/>
                <w:i/>
                <w:iCs/>
                <w:szCs w:val="24"/>
              </w:rPr>
              <w:t>catla</w:t>
            </w:r>
            <w:proofErr w:type="spellEnd"/>
            <w:r w:rsidRPr="00FB5457">
              <w:rPr>
                <w:b/>
                <w:bCs/>
                <w:szCs w:val="24"/>
              </w:rPr>
              <w:t xml:space="preserve"> Exposed to Sublethal Chlorpyrifos for 60 Days</w:t>
            </w:r>
          </w:p>
        </w:tc>
        <w:tc>
          <w:tcPr>
            <w:tcW w:w="2613" w:type="pct"/>
          </w:tcPr>
          <w:p w14:paraId="20EC0B0D" w14:textId="73A9049A" w:rsidR="00FF3295" w:rsidRPr="00FB5457" w:rsidRDefault="00FF3295" w:rsidP="00D47003">
            <w:pPr>
              <w:pStyle w:val="ListParagraph"/>
              <w:spacing w:line="240" w:lineRule="auto"/>
              <w:jc w:val="center"/>
              <w:rPr>
                <w:rFonts w:cs="Times New Roman"/>
                <w:b/>
                <w:bCs/>
                <w:szCs w:val="24"/>
              </w:rPr>
            </w:pPr>
            <w:r w:rsidRPr="00FB5457">
              <w:rPr>
                <w:b/>
                <w:bCs/>
                <w:szCs w:val="24"/>
              </w:rPr>
              <w:t xml:space="preserve">Fig 8. SGR Weight (% day) of </w:t>
            </w:r>
            <w:proofErr w:type="spellStart"/>
            <w:r w:rsidRPr="00FB5457">
              <w:rPr>
                <w:b/>
                <w:bCs/>
                <w:i/>
                <w:iCs/>
                <w:szCs w:val="24"/>
              </w:rPr>
              <w:t>Catla</w:t>
            </w:r>
            <w:proofErr w:type="spellEnd"/>
            <w:r w:rsidRPr="00FB5457">
              <w:rPr>
                <w:b/>
                <w:bCs/>
                <w:i/>
                <w:iCs/>
                <w:szCs w:val="24"/>
              </w:rPr>
              <w:t xml:space="preserve"> </w:t>
            </w:r>
            <w:proofErr w:type="spellStart"/>
            <w:r w:rsidRPr="00FB5457">
              <w:rPr>
                <w:b/>
                <w:bCs/>
                <w:i/>
                <w:iCs/>
                <w:szCs w:val="24"/>
              </w:rPr>
              <w:t>catla</w:t>
            </w:r>
            <w:proofErr w:type="spellEnd"/>
            <w:r w:rsidRPr="00FB5457">
              <w:rPr>
                <w:b/>
                <w:bCs/>
                <w:szCs w:val="24"/>
              </w:rPr>
              <w:t xml:space="preserve"> Exposed to Sublethal Chlorpyrifos for 60 Days</w:t>
            </w:r>
          </w:p>
        </w:tc>
      </w:tr>
    </w:tbl>
    <w:p w14:paraId="4DC09FA8" w14:textId="77777777" w:rsidR="006E6B30" w:rsidRDefault="006E6B30" w:rsidP="008D054E">
      <w:pPr>
        <w:tabs>
          <w:tab w:val="left" w:pos="8303"/>
        </w:tabs>
        <w:spacing w:line="360" w:lineRule="auto"/>
        <w:jc w:val="both"/>
        <w:rPr>
          <w:rFonts w:cs="Times New Roman"/>
          <w:szCs w:val="24"/>
        </w:rPr>
        <w:sectPr w:rsidR="006E6B30" w:rsidSect="003C2095">
          <w:pgSz w:w="16838" w:h="11906" w:orient="landscape"/>
          <w:pgMar w:top="1170" w:right="1440" w:bottom="900" w:left="1440" w:header="720" w:footer="720" w:gutter="0"/>
          <w:cols w:space="720"/>
          <w:docGrid w:linePitch="360"/>
        </w:sectPr>
      </w:pPr>
    </w:p>
    <w:p w14:paraId="62B84D09" w14:textId="006659BD" w:rsidR="00313617" w:rsidRDefault="003130B6" w:rsidP="003130B6">
      <w:pPr>
        <w:spacing w:line="360" w:lineRule="auto"/>
        <w:jc w:val="both"/>
        <w:rPr>
          <w:rFonts w:cs="Times New Roman"/>
          <w:b/>
          <w:bCs/>
          <w:szCs w:val="24"/>
        </w:rPr>
      </w:pPr>
      <w:r>
        <w:rPr>
          <w:rFonts w:cs="Times New Roman"/>
          <w:b/>
          <w:bCs/>
          <w:szCs w:val="24"/>
        </w:rPr>
        <w:lastRenderedPageBreak/>
        <w:t xml:space="preserve">5. </w:t>
      </w:r>
      <w:r w:rsidR="00313617" w:rsidRPr="003130B6">
        <w:rPr>
          <w:rFonts w:cs="Times New Roman"/>
          <w:b/>
          <w:bCs/>
          <w:szCs w:val="24"/>
        </w:rPr>
        <w:t>Conclusion</w:t>
      </w:r>
    </w:p>
    <w:p w14:paraId="5B4FB19A" w14:textId="787E57A5" w:rsidR="007B330F" w:rsidRPr="007B330F" w:rsidRDefault="007B330F" w:rsidP="003130B6">
      <w:pPr>
        <w:spacing w:line="360" w:lineRule="auto"/>
        <w:jc w:val="both"/>
        <w:rPr>
          <w:rFonts w:cs="Times New Roman"/>
          <w:szCs w:val="24"/>
        </w:rPr>
      </w:pPr>
      <w:r>
        <w:rPr>
          <w:rFonts w:cs="Times New Roman"/>
          <w:szCs w:val="24"/>
        </w:rPr>
        <w:t xml:space="preserve"> </w:t>
      </w:r>
      <w:r>
        <w:rPr>
          <w:rFonts w:cs="Times New Roman"/>
          <w:szCs w:val="24"/>
        </w:rPr>
        <w:tab/>
      </w:r>
      <w:r w:rsidRPr="007B330F">
        <w:rPr>
          <w:rFonts w:cs="Times New Roman"/>
          <w:szCs w:val="24"/>
        </w:rPr>
        <w:t xml:space="preserve">The present study clearly demonstrates that chronic exposure to sublethal concentrations of chlorpyrifos causes a significant, concentration-dependent suppression of growth performance in </w:t>
      </w:r>
      <w:commentRangeStart w:id="6"/>
      <w:proofErr w:type="spellStart"/>
      <w:r w:rsidRPr="007B330F">
        <w:rPr>
          <w:rFonts w:cs="Times New Roman"/>
          <w:i/>
          <w:iCs/>
          <w:szCs w:val="24"/>
        </w:rPr>
        <w:t>Catla</w:t>
      </w:r>
      <w:proofErr w:type="spellEnd"/>
      <w:r w:rsidRPr="007B330F">
        <w:rPr>
          <w:rFonts w:cs="Times New Roman"/>
          <w:i/>
          <w:iCs/>
          <w:szCs w:val="24"/>
        </w:rPr>
        <w:t xml:space="preserve"> </w:t>
      </w:r>
      <w:proofErr w:type="spellStart"/>
      <w:r w:rsidRPr="007B330F">
        <w:rPr>
          <w:rFonts w:cs="Times New Roman"/>
          <w:i/>
          <w:iCs/>
          <w:szCs w:val="24"/>
        </w:rPr>
        <w:t>catla</w:t>
      </w:r>
      <w:proofErr w:type="spellEnd"/>
      <w:r w:rsidRPr="007B330F">
        <w:rPr>
          <w:rFonts w:cs="Times New Roman"/>
          <w:szCs w:val="24"/>
        </w:rPr>
        <w:t>.</w:t>
      </w:r>
      <w:commentRangeEnd w:id="6"/>
      <w:r w:rsidR="00F94A87">
        <w:rPr>
          <w:rStyle w:val="CommentReference"/>
        </w:rPr>
        <w:commentReference w:id="6"/>
      </w:r>
      <w:r w:rsidRPr="007B330F">
        <w:rPr>
          <w:rFonts w:cs="Times New Roman"/>
          <w:szCs w:val="24"/>
        </w:rPr>
        <w:t xml:space="preserve"> Although initial length and weight remained uniform across treatments, prolonged pesticide exposure resulted in marked reductions in final length, final weight, length and weight gain, percentage gain and specific growth rate at higher concentrations. The pronounced decline in growth indices indicates impaired feeding efficiency, reduced nutrient assimilation and diversion of metabolic energy towards stress response and detoxification processes under chlorpyrifos stress. These findings highlight the sensitivity of growth parameters as reliable biomarkers of pesticide-induced toxicity and underscore the potential ecological and aquaculture risks associated with chlorpyrifos contamination in freshwater environments, emphasizing the need for cautious pesticide use and effective regulatory measures to protect fish health and aquatic ecosystem sustainability.</w:t>
      </w:r>
    </w:p>
    <w:p w14:paraId="4AC709A3" w14:textId="77777777" w:rsidR="00FC48DD" w:rsidRDefault="00FC48DD" w:rsidP="0090549C">
      <w:pPr>
        <w:spacing w:line="360" w:lineRule="auto"/>
        <w:jc w:val="both"/>
        <w:rPr>
          <w:rFonts w:cs="Times New Roman"/>
          <w:szCs w:val="24"/>
        </w:rPr>
      </w:pPr>
    </w:p>
    <w:p w14:paraId="2DA80783" w14:textId="77777777" w:rsidR="006C6525" w:rsidRDefault="006C6525" w:rsidP="006C6525">
      <w:pPr>
        <w:spacing w:after="0" w:line="360" w:lineRule="auto"/>
        <w:jc w:val="both"/>
        <w:rPr>
          <w:rFonts w:cs="Times New Roman"/>
          <w:szCs w:val="24"/>
        </w:rPr>
      </w:pPr>
    </w:p>
    <w:p w14:paraId="05203B7E" w14:textId="3787DE14" w:rsidR="008D054E" w:rsidRPr="003B53EC" w:rsidRDefault="0090549C" w:rsidP="008D054E">
      <w:pPr>
        <w:spacing w:line="360" w:lineRule="auto"/>
        <w:jc w:val="both"/>
        <w:rPr>
          <w:rFonts w:cs="Times New Roman"/>
          <w:b/>
          <w:bCs/>
          <w:szCs w:val="24"/>
        </w:rPr>
      </w:pPr>
      <w:r>
        <w:rPr>
          <w:rFonts w:cs="Times New Roman"/>
          <w:b/>
          <w:bCs/>
          <w:szCs w:val="24"/>
        </w:rPr>
        <w:t>6</w:t>
      </w:r>
      <w:r w:rsidR="00406DBE">
        <w:rPr>
          <w:rFonts w:cs="Times New Roman"/>
          <w:b/>
          <w:bCs/>
          <w:szCs w:val="24"/>
        </w:rPr>
        <w:t xml:space="preserve">. </w:t>
      </w:r>
      <w:r w:rsidR="00406DBE" w:rsidRPr="003B53EC">
        <w:rPr>
          <w:rFonts w:cs="Times New Roman"/>
          <w:b/>
          <w:bCs/>
          <w:szCs w:val="24"/>
        </w:rPr>
        <w:t xml:space="preserve">REFERENCES </w:t>
      </w:r>
    </w:p>
    <w:p w14:paraId="7ED3C623" w14:textId="51A28461"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Abhijith, B. D., Ramesh, M., &amp; </w:t>
      </w:r>
      <w:proofErr w:type="spellStart"/>
      <w:r w:rsidRPr="004114A8">
        <w:rPr>
          <w:rFonts w:cs="Times New Roman"/>
          <w:color w:val="000000" w:themeColor="text1"/>
          <w:szCs w:val="24"/>
        </w:rPr>
        <w:t>Poopal</w:t>
      </w:r>
      <w:proofErr w:type="spellEnd"/>
      <w:r w:rsidRPr="004114A8">
        <w:rPr>
          <w:rFonts w:cs="Times New Roman"/>
          <w:color w:val="000000" w:themeColor="text1"/>
          <w:szCs w:val="24"/>
        </w:rPr>
        <w:t xml:space="preserve">, R. K. (2012). Sublethal toxicological evaluation of methyl parathion on some hematological and biochemical parameters in an Indian major carp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w:t>
      </w:r>
      <w:r w:rsidRPr="004114A8">
        <w:rPr>
          <w:rFonts w:cs="Times New Roman"/>
          <w:i/>
          <w:iCs/>
          <w:color w:val="000000" w:themeColor="text1"/>
          <w:szCs w:val="24"/>
        </w:rPr>
        <w:t>Comparative Clinical Pathology, 21</w:t>
      </w:r>
      <w:r w:rsidRPr="004114A8">
        <w:rPr>
          <w:rFonts w:cs="Times New Roman"/>
          <w:color w:val="000000" w:themeColor="text1"/>
          <w:szCs w:val="24"/>
        </w:rPr>
        <w:t>(1), 55</w:t>
      </w:r>
      <w:r w:rsidR="00606EC7">
        <w:rPr>
          <w:rFonts w:cs="Times New Roman"/>
          <w:color w:val="000000" w:themeColor="text1"/>
          <w:szCs w:val="24"/>
        </w:rPr>
        <w:t>-</w:t>
      </w:r>
      <w:r w:rsidRPr="004114A8">
        <w:rPr>
          <w:rFonts w:cs="Times New Roman"/>
          <w:color w:val="000000" w:themeColor="text1"/>
          <w:szCs w:val="24"/>
        </w:rPr>
        <w:t xml:space="preserve">61. </w:t>
      </w:r>
    </w:p>
    <w:p w14:paraId="4B87BB91" w14:textId="147D6F0B"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Barton, B. A. (2002). Stress in fishes: A diversity of responses with particular reference to changes in circulating corticosteroids. </w:t>
      </w:r>
      <w:r w:rsidRPr="004114A8">
        <w:rPr>
          <w:rFonts w:cs="Times New Roman"/>
          <w:i/>
          <w:iCs/>
          <w:color w:val="000000" w:themeColor="text1"/>
          <w:szCs w:val="24"/>
        </w:rPr>
        <w:t>Integrative and Comparative Biology, 42</w:t>
      </w:r>
      <w:r w:rsidRPr="004114A8">
        <w:rPr>
          <w:rFonts w:cs="Times New Roman"/>
          <w:color w:val="000000" w:themeColor="text1"/>
          <w:szCs w:val="24"/>
        </w:rPr>
        <w:t>(3), 517</w:t>
      </w:r>
      <w:r w:rsidR="00606EC7">
        <w:rPr>
          <w:rFonts w:cs="Times New Roman"/>
          <w:color w:val="000000" w:themeColor="text1"/>
          <w:szCs w:val="24"/>
        </w:rPr>
        <w:t>-</w:t>
      </w:r>
      <w:r w:rsidRPr="004114A8">
        <w:rPr>
          <w:rFonts w:cs="Times New Roman"/>
          <w:color w:val="000000" w:themeColor="text1"/>
          <w:szCs w:val="24"/>
        </w:rPr>
        <w:t xml:space="preserve">525. </w:t>
      </w:r>
    </w:p>
    <w:p w14:paraId="1FEA54E5" w14:textId="163C0A21"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Barton, B. A., Morgan, J. D., &amp; Vijayan, M. M. (2002). Physiological and condition-related indicators of environmental stress in fish. In S. M. Adams (Ed.), </w:t>
      </w:r>
      <w:r w:rsidRPr="004114A8">
        <w:rPr>
          <w:rFonts w:cs="Times New Roman"/>
          <w:i/>
          <w:iCs/>
          <w:color w:val="000000" w:themeColor="text1"/>
          <w:szCs w:val="24"/>
        </w:rPr>
        <w:t>Biological indicators of aquatic ecosystem stress</w:t>
      </w:r>
      <w:r w:rsidRPr="004114A8">
        <w:rPr>
          <w:rFonts w:cs="Times New Roman"/>
          <w:color w:val="000000" w:themeColor="text1"/>
          <w:szCs w:val="24"/>
        </w:rPr>
        <w:t xml:space="preserve"> (pp. 111</w:t>
      </w:r>
      <w:r w:rsidR="00606EC7">
        <w:rPr>
          <w:rFonts w:cs="Times New Roman"/>
          <w:color w:val="000000" w:themeColor="text1"/>
          <w:szCs w:val="24"/>
        </w:rPr>
        <w:t>-</w:t>
      </w:r>
      <w:r w:rsidRPr="004114A8">
        <w:rPr>
          <w:rFonts w:cs="Times New Roman"/>
          <w:color w:val="000000" w:themeColor="text1"/>
          <w:szCs w:val="24"/>
        </w:rPr>
        <w:t>148). American Fisheries Society.</w:t>
      </w:r>
    </w:p>
    <w:p w14:paraId="7BC79D1F" w14:textId="77777777" w:rsidR="00311151" w:rsidRPr="004114A8" w:rsidRDefault="00311151" w:rsidP="00E6516E">
      <w:pPr>
        <w:spacing w:line="360" w:lineRule="auto"/>
        <w:ind w:left="720" w:hanging="720"/>
        <w:jc w:val="both"/>
        <w:rPr>
          <w:rFonts w:cs="Times New Roman"/>
          <w:color w:val="000000" w:themeColor="text1"/>
          <w:szCs w:val="24"/>
        </w:rPr>
      </w:pPr>
      <w:proofErr w:type="spellStart"/>
      <w:r w:rsidRPr="004114A8">
        <w:rPr>
          <w:rFonts w:cs="Times New Roman"/>
          <w:color w:val="000000" w:themeColor="text1"/>
          <w:szCs w:val="24"/>
        </w:rPr>
        <w:t>Chhaba</w:t>
      </w:r>
      <w:proofErr w:type="spellEnd"/>
      <w:r w:rsidRPr="004114A8">
        <w:rPr>
          <w:rFonts w:cs="Times New Roman"/>
          <w:color w:val="000000" w:themeColor="text1"/>
          <w:szCs w:val="24"/>
        </w:rPr>
        <w:t xml:space="preserve">, B., </w:t>
      </w:r>
      <w:proofErr w:type="spellStart"/>
      <w:r w:rsidRPr="004114A8">
        <w:rPr>
          <w:rFonts w:cs="Times New Roman"/>
          <w:color w:val="000000" w:themeColor="text1"/>
          <w:szCs w:val="24"/>
        </w:rPr>
        <w:t>Dhamagaye</w:t>
      </w:r>
      <w:proofErr w:type="spellEnd"/>
      <w:r w:rsidRPr="004114A8">
        <w:rPr>
          <w:rFonts w:cs="Times New Roman"/>
          <w:color w:val="000000" w:themeColor="text1"/>
          <w:szCs w:val="24"/>
        </w:rPr>
        <w:t xml:space="preserve">, H. B., </w:t>
      </w:r>
      <w:proofErr w:type="spellStart"/>
      <w:r w:rsidRPr="004114A8">
        <w:rPr>
          <w:rFonts w:cs="Times New Roman"/>
          <w:color w:val="000000" w:themeColor="text1"/>
          <w:szCs w:val="24"/>
        </w:rPr>
        <w:t>Pawase</w:t>
      </w:r>
      <w:proofErr w:type="spellEnd"/>
      <w:r w:rsidRPr="004114A8">
        <w:rPr>
          <w:rFonts w:cs="Times New Roman"/>
          <w:color w:val="000000" w:themeColor="text1"/>
          <w:szCs w:val="24"/>
        </w:rPr>
        <w:t xml:space="preserve">, A. S., </w:t>
      </w:r>
      <w:proofErr w:type="spellStart"/>
      <w:r w:rsidRPr="004114A8">
        <w:rPr>
          <w:rFonts w:cs="Times New Roman"/>
          <w:color w:val="000000" w:themeColor="text1"/>
          <w:szCs w:val="24"/>
        </w:rPr>
        <w:t>Sapkale</w:t>
      </w:r>
      <w:proofErr w:type="spellEnd"/>
      <w:r w:rsidRPr="004114A8">
        <w:rPr>
          <w:rFonts w:cs="Times New Roman"/>
          <w:color w:val="000000" w:themeColor="text1"/>
          <w:szCs w:val="24"/>
        </w:rPr>
        <w:t xml:space="preserve">, P. H., Chavan, B. R., Meshram, S. J., &amp; Goud, E. A. (2024). Short-term exposure effects of chlorpyrifos on growth and physiological responses of </w:t>
      </w:r>
      <w:proofErr w:type="spellStart"/>
      <w:r w:rsidRPr="004114A8">
        <w:rPr>
          <w:rFonts w:cs="Times New Roman"/>
          <w:i/>
          <w:iCs/>
          <w:color w:val="000000" w:themeColor="text1"/>
          <w:szCs w:val="24"/>
        </w:rPr>
        <w:t>Pangasianodon</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hypophthalmus</w:t>
      </w:r>
      <w:proofErr w:type="spellEnd"/>
      <w:r w:rsidRPr="004114A8">
        <w:rPr>
          <w:rFonts w:cs="Times New Roman"/>
          <w:color w:val="000000" w:themeColor="text1"/>
          <w:szCs w:val="24"/>
        </w:rPr>
        <w:t xml:space="preserve">. </w:t>
      </w:r>
      <w:r w:rsidRPr="004114A8">
        <w:rPr>
          <w:rFonts w:cs="Times New Roman"/>
          <w:i/>
          <w:iCs/>
          <w:color w:val="000000" w:themeColor="text1"/>
          <w:szCs w:val="24"/>
        </w:rPr>
        <w:t>Turkish Journal of Fisheries and Aquatic Sciences, 24</w:t>
      </w:r>
      <w:r w:rsidRPr="004114A8">
        <w:rPr>
          <w:rFonts w:cs="Times New Roman"/>
          <w:color w:val="000000" w:themeColor="text1"/>
          <w:szCs w:val="24"/>
        </w:rPr>
        <w:t>(10), Article 4608.</w:t>
      </w:r>
    </w:p>
    <w:p w14:paraId="33E3967D" w14:textId="4C99FCC4"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lastRenderedPageBreak/>
        <w:t xml:space="preserve">Deb, N., &amp; Das, S. (2013). Chlorpyrifos toxicity in fish: A review. </w:t>
      </w:r>
      <w:r w:rsidRPr="004114A8">
        <w:rPr>
          <w:rFonts w:cs="Times New Roman"/>
          <w:i/>
          <w:iCs/>
          <w:color w:val="000000" w:themeColor="text1"/>
          <w:szCs w:val="24"/>
        </w:rPr>
        <w:t>Current World Environment, 8</w:t>
      </w:r>
      <w:r w:rsidRPr="004114A8">
        <w:rPr>
          <w:rFonts w:cs="Times New Roman"/>
          <w:color w:val="000000" w:themeColor="text1"/>
          <w:szCs w:val="24"/>
        </w:rPr>
        <w:t>(1), 77</w:t>
      </w:r>
      <w:r w:rsidR="00606EC7">
        <w:rPr>
          <w:rFonts w:cs="Times New Roman"/>
          <w:color w:val="000000" w:themeColor="text1"/>
          <w:szCs w:val="24"/>
        </w:rPr>
        <w:t>-</w:t>
      </w:r>
      <w:r w:rsidRPr="004114A8">
        <w:rPr>
          <w:rFonts w:cs="Times New Roman"/>
          <w:color w:val="000000" w:themeColor="text1"/>
          <w:szCs w:val="24"/>
        </w:rPr>
        <w:t>84.</w:t>
      </w:r>
    </w:p>
    <w:p w14:paraId="512DE62A" w14:textId="15DF47E5"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Hossain, M. A., Sutradhar, L., Sarker, T. R., Saha, S., &amp; Iqbal, M. M. (2022). Toxic effects of chlorpyrifos on the growth, hematology and histopathology of Nile tilapia (</w:t>
      </w:r>
      <w:r w:rsidRPr="004114A8">
        <w:rPr>
          <w:rFonts w:cs="Times New Roman"/>
          <w:i/>
          <w:iCs/>
          <w:color w:val="000000" w:themeColor="text1"/>
          <w:szCs w:val="24"/>
        </w:rPr>
        <w:t>Oreochromis niloticus</w:t>
      </w:r>
      <w:r w:rsidRPr="004114A8">
        <w:rPr>
          <w:rFonts w:cs="Times New Roman"/>
          <w:color w:val="000000" w:themeColor="text1"/>
          <w:szCs w:val="24"/>
        </w:rPr>
        <w:t xml:space="preserve">). </w:t>
      </w:r>
      <w:r w:rsidRPr="004114A8">
        <w:rPr>
          <w:rFonts w:cs="Times New Roman"/>
          <w:i/>
          <w:iCs/>
          <w:color w:val="000000" w:themeColor="text1"/>
          <w:szCs w:val="24"/>
        </w:rPr>
        <w:t>Environmental Science and Pollution Research, 29</w:t>
      </w:r>
      <w:r w:rsidRPr="004114A8">
        <w:rPr>
          <w:rFonts w:cs="Times New Roman"/>
          <w:color w:val="000000" w:themeColor="text1"/>
          <w:szCs w:val="24"/>
        </w:rPr>
        <w:t>, 57312</w:t>
      </w:r>
      <w:r w:rsidR="00606EC7">
        <w:rPr>
          <w:rFonts w:cs="Times New Roman"/>
          <w:color w:val="000000" w:themeColor="text1"/>
          <w:szCs w:val="24"/>
        </w:rPr>
        <w:t>-</w:t>
      </w:r>
      <w:r w:rsidRPr="004114A8">
        <w:rPr>
          <w:rFonts w:cs="Times New Roman"/>
          <w:color w:val="000000" w:themeColor="text1"/>
          <w:szCs w:val="24"/>
        </w:rPr>
        <w:t xml:space="preserve">57328. </w:t>
      </w:r>
    </w:p>
    <w:p w14:paraId="0506B8FA" w14:textId="74868E07" w:rsidR="00311151" w:rsidRPr="009D3B61" w:rsidRDefault="00311151" w:rsidP="00E6516E">
      <w:pPr>
        <w:spacing w:line="360" w:lineRule="auto"/>
        <w:ind w:left="720" w:hanging="720"/>
        <w:jc w:val="both"/>
        <w:rPr>
          <w:rFonts w:cs="Times New Roman"/>
          <w:color w:val="000000" w:themeColor="text1"/>
          <w:szCs w:val="24"/>
        </w:rPr>
      </w:pPr>
      <w:r w:rsidRPr="009D3B61">
        <w:rPr>
          <w:rFonts w:cs="Times New Roman"/>
          <w:color w:val="000000" w:themeColor="text1"/>
          <w:szCs w:val="24"/>
        </w:rPr>
        <w:t xml:space="preserve">Kavitha, C., Malarvizhi, A., Kumaran, S. S., &amp; Ramesh, M. (2010). Toxicological effects of arsenate exposure on hematological, biochemical and liver transaminases activity in an Indian major carp,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w:t>
      </w:r>
      <w:r w:rsidRPr="009D3B61">
        <w:rPr>
          <w:rFonts w:cs="Times New Roman"/>
          <w:i/>
          <w:iCs/>
          <w:color w:val="000000" w:themeColor="text1"/>
          <w:szCs w:val="24"/>
        </w:rPr>
        <w:t>Food and Chemical Toxicology, 48</w:t>
      </w:r>
      <w:r w:rsidRPr="009D3B61">
        <w:rPr>
          <w:rFonts w:cs="Times New Roman"/>
          <w:color w:val="000000" w:themeColor="text1"/>
          <w:szCs w:val="24"/>
        </w:rPr>
        <w:t>(10), 2848</w:t>
      </w:r>
      <w:r w:rsidR="00606EC7">
        <w:rPr>
          <w:rFonts w:cs="Times New Roman"/>
          <w:color w:val="000000" w:themeColor="text1"/>
          <w:szCs w:val="24"/>
        </w:rPr>
        <w:t>-</w:t>
      </w:r>
      <w:r w:rsidRPr="009D3B61">
        <w:rPr>
          <w:rFonts w:cs="Times New Roman"/>
          <w:color w:val="000000" w:themeColor="text1"/>
          <w:szCs w:val="24"/>
        </w:rPr>
        <w:t xml:space="preserve">2854. </w:t>
      </w:r>
    </w:p>
    <w:p w14:paraId="6DF3127A" w14:textId="4C0005B4" w:rsidR="00311151" w:rsidRPr="009D3B61" w:rsidRDefault="00311151" w:rsidP="00E6516E">
      <w:pPr>
        <w:spacing w:line="360" w:lineRule="auto"/>
        <w:ind w:left="720" w:hanging="720"/>
        <w:jc w:val="both"/>
        <w:rPr>
          <w:rFonts w:cs="Times New Roman"/>
          <w:color w:val="000000" w:themeColor="text1"/>
          <w:szCs w:val="24"/>
        </w:rPr>
      </w:pPr>
      <w:r w:rsidRPr="009D3B61">
        <w:rPr>
          <w:rFonts w:cs="Times New Roman"/>
          <w:color w:val="000000" w:themeColor="text1"/>
          <w:szCs w:val="24"/>
        </w:rPr>
        <w:t xml:space="preserve">Majumder, R., &amp; Kaviraj, A. (2019). Acute and sublethal effects of organophosphate insecticide chlorpyrifos on freshwater fish </w:t>
      </w:r>
      <w:r w:rsidRPr="009D3B61">
        <w:rPr>
          <w:rFonts w:cs="Times New Roman"/>
          <w:i/>
          <w:iCs/>
          <w:color w:val="000000" w:themeColor="text1"/>
          <w:szCs w:val="24"/>
        </w:rPr>
        <w:t>Oreochromis niloticus</w:t>
      </w:r>
      <w:r w:rsidRPr="009D3B61">
        <w:rPr>
          <w:rFonts w:cs="Times New Roman"/>
          <w:color w:val="000000" w:themeColor="text1"/>
          <w:szCs w:val="24"/>
        </w:rPr>
        <w:t xml:space="preserve">. </w:t>
      </w:r>
      <w:r w:rsidRPr="009D3B61">
        <w:rPr>
          <w:rFonts w:cs="Times New Roman"/>
          <w:i/>
          <w:iCs/>
          <w:color w:val="000000" w:themeColor="text1"/>
          <w:szCs w:val="24"/>
        </w:rPr>
        <w:t>Drug and Chemical Toxicology, 42</w:t>
      </w:r>
      <w:r w:rsidRPr="009D3B61">
        <w:rPr>
          <w:rFonts w:cs="Times New Roman"/>
          <w:color w:val="000000" w:themeColor="text1"/>
          <w:szCs w:val="24"/>
        </w:rPr>
        <w:t>(5), 487</w:t>
      </w:r>
      <w:r w:rsidR="00606EC7">
        <w:rPr>
          <w:rFonts w:cs="Times New Roman"/>
          <w:color w:val="000000" w:themeColor="text1"/>
          <w:szCs w:val="24"/>
        </w:rPr>
        <w:t>-</w:t>
      </w:r>
      <w:r w:rsidRPr="009D3B61">
        <w:rPr>
          <w:rFonts w:cs="Times New Roman"/>
          <w:color w:val="000000" w:themeColor="text1"/>
          <w:szCs w:val="24"/>
        </w:rPr>
        <w:t xml:space="preserve">495. </w:t>
      </w:r>
    </w:p>
    <w:p w14:paraId="2118D359" w14:textId="2B1FF728" w:rsidR="00311151" w:rsidRPr="004114A8" w:rsidRDefault="00311151" w:rsidP="00E6516E">
      <w:pPr>
        <w:spacing w:line="360" w:lineRule="auto"/>
        <w:ind w:left="720" w:hanging="720"/>
        <w:jc w:val="both"/>
        <w:rPr>
          <w:rFonts w:cs="Times New Roman"/>
          <w:color w:val="000000" w:themeColor="text1"/>
          <w:szCs w:val="24"/>
        </w:rPr>
      </w:pPr>
      <w:proofErr w:type="spellStart"/>
      <w:r w:rsidRPr="004114A8">
        <w:rPr>
          <w:rFonts w:cs="Times New Roman"/>
          <w:color w:val="000000" w:themeColor="text1"/>
          <w:szCs w:val="24"/>
        </w:rPr>
        <w:t>Samajdar</w:t>
      </w:r>
      <w:proofErr w:type="spellEnd"/>
      <w:r w:rsidRPr="004114A8">
        <w:rPr>
          <w:rFonts w:cs="Times New Roman"/>
          <w:color w:val="000000" w:themeColor="text1"/>
          <w:szCs w:val="24"/>
        </w:rPr>
        <w:t xml:space="preserve">, A., Pal, A. K., Chakraborty, S. K., &amp; Baruah, K. (2023). Oxidative stress-mediated growth suppression in teleost fish under chronic chlorpyrifos exposure. </w:t>
      </w:r>
      <w:r w:rsidRPr="004114A8">
        <w:rPr>
          <w:rFonts w:cs="Times New Roman"/>
          <w:i/>
          <w:iCs/>
          <w:color w:val="000000" w:themeColor="text1"/>
          <w:szCs w:val="24"/>
        </w:rPr>
        <w:t>Aquatic Toxicology, 256</w:t>
      </w:r>
      <w:r w:rsidRPr="004114A8">
        <w:rPr>
          <w:rFonts w:cs="Times New Roman"/>
          <w:color w:val="000000" w:themeColor="text1"/>
          <w:szCs w:val="24"/>
        </w:rPr>
        <w:t xml:space="preserve">, 106407. </w:t>
      </w:r>
    </w:p>
    <w:p w14:paraId="5070CF14" w14:textId="4A9D33BD"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Tripathi, G., Verma, P., &amp; Pandey, S. (2003). Metabolic alterations in freshwater fish exposed to sublethal concentrations of insecticides. </w:t>
      </w:r>
      <w:r w:rsidRPr="004114A8">
        <w:rPr>
          <w:rFonts w:cs="Times New Roman"/>
          <w:i/>
          <w:iCs/>
          <w:color w:val="000000" w:themeColor="text1"/>
          <w:szCs w:val="24"/>
        </w:rPr>
        <w:t>Journal of Environmental Biology, 24</w:t>
      </w:r>
      <w:r w:rsidRPr="004114A8">
        <w:rPr>
          <w:rFonts w:cs="Times New Roman"/>
          <w:color w:val="000000" w:themeColor="text1"/>
          <w:szCs w:val="24"/>
        </w:rPr>
        <w:t>(4), 439</w:t>
      </w:r>
      <w:r w:rsidR="00606EC7">
        <w:rPr>
          <w:rFonts w:cs="Times New Roman"/>
          <w:color w:val="000000" w:themeColor="text1"/>
          <w:szCs w:val="24"/>
        </w:rPr>
        <w:t>-</w:t>
      </w:r>
      <w:r w:rsidRPr="004114A8">
        <w:rPr>
          <w:rFonts w:cs="Times New Roman"/>
          <w:color w:val="000000" w:themeColor="text1"/>
          <w:szCs w:val="24"/>
        </w:rPr>
        <w:t>445.</w:t>
      </w:r>
    </w:p>
    <w:p w14:paraId="12C512A0" w14:textId="3886EC31" w:rsidR="00311151" w:rsidRPr="009D3B61" w:rsidRDefault="00311151" w:rsidP="006C6525">
      <w:pPr>
        <w:spacing w:line="360" w:lineRule="auto"/>
        <w:jc w:val="both"/>
        <w:rPr>
          <w:rFonts w:cs="Times New Roman"/>
          <w:color w:val="000000" w:themeColor="text1"/>
          <w:szCs w:val="24"/>
        </w:rPr>
      </w:pPr>
    </w:p>
    <w:sectPr w:rsidR="00311151" w:rsidRPr="009D3B61" w:rsidSect="00C563A4">
      <w:pgSz w:w="11906" w:h="16838"/>
      <w:pgMar w:top="1440" w:right="144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1-22T23:37:00Z" w:initials="u">
    <w:p w14:paraId="216628FA" w14:textId="2A40E051" w:rsidR="00B31B83" w:rsidRDefault="00B31B83">
      <w:pPr>
        <w:pStyle w:val="CommentText"/>
      </w:pPr>
      <w:r>
        <w:rPr>
          <w:rStyle w:val="CommentReference"/>
        </w:rPr>
        <w:annotationRef/>
      </w:r>
      <w:r>
        <w:t xml:space="preserve">Check scientific name </w:t>
      </w:r>
      <w:r w:rsidR="008353EC">
        <w:t xml:space="preserve">catalogue and also </w:t>
      </w:r>
      <w:r>
        <w:t>with describer notation</w:t>
      </w:r>
    </w:p>
  </w:comment>
  <w:comment w:id="1" w:author="user" w:date="2026-01-22T23:38:00Z" w:initials="u">
    <w:p w14:paraId="6AB7CBBC" w14:textId="5B42DC5D" w:rsidR="00B31B83" w:rsidRDefault="00B31B83">
      <w:pPr>
        <w:pStyle w:val="CommentText"/>
      </w:pPr>
      <w:r>
        <w:rPr>
          <w:rStyle w:val="CommentReference"/>
        </w:rPr>
        <w:annotationRef/>
      </w:r>
      <w:r>
        <w:t>check</w:t>
      </w:r>
    </w:p>
  </w:comment>
  <w:comment w:id="2" w:author="user" w:date="2026-01-22T23:55:00Z" w:initials="u">
    <w:p w14:paraId="0DF89FFA" w14:textId="7FBB13E0" w:rsidR="00A26EA9" w:rsidRDefault="00A26EA9">
      <w:pPr>
        <w:pStyle w:val="CommentText"/>
      </w:pPr>
      <w:r>
        <w:rPr>
          <w:rStyle w:val="CommentReference"/>
        </w:rPr>
        <w:annotationRef/>
      </w:r>
      <w:r>
        <w:t>Check the text citation ascending order</w:t>
      </w:r>
      <w:r w:rsidR="008353EC">
        <w:t xml:space="preserve"> of year</w:t>
      </w:r>
    </w:p>
  </w:comment>
  <w:comment w:id="3" w:author="user" w:date="2026-01-22T23:41:00Z" w:initials="u">
    <w:p w14:paraId="2F0CD35F" w14:textId="2F63DA29" w:rsidR="00B31B83" w:rsidRDefault="00B31B83">
      <w:pPr>
        <w:pStyle w:val="CommentText"/>
      </w:pPr>
      <w:r>
        <w:rPr>
          <w:rStyle w:val="CommentReference"/>
        </w:rPr>
        <w:annotationRef/>
      </w:r>
      <w:r>
        <w:t>arrange reference in order 2010, 2012</w:t>
      </w:r>
    </w:p>
  </w:comment>
  <w:comment w:id="4" w:author="user" w:date="2026-01-23T16:32:00Z" w:initials="u">
    <w:p w14:paraId="3DDAA43F" w14:textId="47000AB2" w:rsidR="00751005" w:rsidRDefault="00751005">
      <w:pPr>
        <w:pStyle w:val="CommentText"/>
      </w:pPr>
      <w:r>
        <w:rPr>
          <w:rStyle w:val="CommentReference"/>
        </w:rPr>
        <w:annotationRef/>
      </w:r>
      <w:r>
        <w:t>correct unit; remove length</w:t>
      </w:r>
    </w:p>
  </w:comment>
  <w:comment w:id="5" w:author="user" w:date="2026-01-23T16:34:00Z" w:initials="u">
    <w:p w14:paraId="67A73397" w14:textId="2AF863BC" w:rsidR="00751005" w:rsidRDefault="00751005">
      <w:pPr>
        <w:pStyle w:val="CommentText"/>
      </w:pPr>
      <w:r>
        <w:rPr>
          <w:rStyle w:val="CommentReference"/>
        </w:rPr>
        <w:annotationRef/>
      </w:r>
      <w:r>
        <w:t>check it properly</w:t>
      </w:r>
    </w:p>
  </w:comment>
  <w:comment w:id="6" w:author="user" w:date="2026-01-23T16:48:00Z" w:initials="u">
    <w:p w14:paraId="6A0B8F0B" w14:textId="4BC4F784" w:rsidR="00F94A87" w:rsidRDefault="00F94A87">
      <w:pPr>
        <w:pStyle w:val="CommentText"/>
      </w:pPr>
      <w:r>
        <w:rPr>
          <w:rStyle w:val="CommentReference"/>
        </w:rPr>
        <w:annotationRef/>
      </w:r>
      <w:r>
        <w:t>check scientific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6628FA" w15:done="0"/>
  <w15:commentEx w15:paraId="6AB7CBBC" w15:done="0"/>
  <w15:commentEx w15:paraId="0DF89FFA" w15:done="0"/>
  <w15:commentEx w15:paraId="2F0CD35F" w15:done="0"/>
  <w15:commentEx w15:paraId="3DDAA43F" w15:done="0"/>
  <w15:commentEx w15:paraId="67A73397" w15:done="0"/>
  <w15:commentEx w15:paraId="6A0B8F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86A8A" w16cex:dateUtc="2026-01-22T18:07:00Z"/>
  <w16cex:commentExtensible w16cex:durableId="0B3F859F" w16cex:dateUtc="2026-01-22T18:08:00Z"/>
  <w16cex:commentExtensible w16cex:durableId="5788DA7D" w16cex:dateUtc="2026-01-22T18:25:00Z"/>
  <w16cex:commentExtensible w16cex:durableId="2229E713" w16cex:dateUtc="2026-01-22T18:11:00Z"/>
  <w16cex:commentExtensible w16cex:durableId="79E632A8" w16cex:dateUtc="2026-01-23T11:02:00Z"/>
  <w16cex:commentExtensible w16cex:durableId="65A1BE38" w16cex:dateUtc="2026-01-23T11:04:00Z"/>
  <w16cex:commentExtensible w16cex:durableId="78F89DCB" w16cex:dateUtc="2026-01-23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6628FA" w16cid:durableId="4EB86A8A"/>
  <w16cid:commentId w16cid:paraId="6AB7CBBC" w16cid:durableId="0B3F859F"/>
  <w16cid:commentId w16cid:paraId="0DF89FFA" w16cid:durableId="5788DA7D"/>
  <w16cid:commentId w16cid:paraId="2F0CD35F" w16cid:durableId="2229E713"/>
  <w16cid:commentId w16cid:paraId="3DDAA43F" w16cid:durableId="79E632A8"/>
  <w16cid:commentId w16cid:paraId="67A73397" w16cid:durableId="65A1BE38"/>
  <w16cid:commentId w16cid:paraId="6A0B8F0B" w16cid:durableId="78F89D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21D9" w14:textId="77777777" w:rsidR="001B13B7" w:rsidRDefault="001B13B7" w:rsidP="00D036C3">
      <w:pPr>
        <w:spacing w:after="0" w:line="240" w:lineRule="auto"/>
      </w:pPr>
      <w:r>
        <w:separator/>
      </w:r>
    </w:p>
  </w:endnote>
  <w:endnote w:type="continuationSeparator" w:id="0">
    <w:p w14:paraId="74479040" w14:textId="77777777" w:rsidR="001B13B7" w:rsidRDefault="001B13B7" w:rsidP="00D0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A392" w14:textId="77777777" w:rsidR="007B16EB" w:rsidRDefault="007B1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04208"/>
      <w:docPartObj>
        <w:docPartGallery w:val="Page Numbers (Bottom of Page)"/>
        <w:docPartUnique/>
      </w:docPartObj>
    </w:sdtPr>
    <w:sdtEndPr>
      <w:rPr>
        <w:noProof/>
      </w:rPr>
    </w:sdtEndPr>
    <w:sdtContent>
      <w:p w14:paraId="4EEC339E" w14:textId="337F7D37" w:rsidR="00D036C3" w:rsidRDefault="00D036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3104C" w14:textId="77777777" w:rsidR="00D036C3" w:rsidRDefault="00D03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9623" w14:textId="77777777" w:rsidR="007B16EB" w:rsidRDefault="007B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3475" w14:textId="77777777" w:rsidR="001B13B7" w:rsidRDefault="001B13B7" w:rsidP="00D036C3">
      <w:pPr>
        <w:spacing w:after="0" w:line="240" w:lineRule="auto"/>
      </w:pPr>
      <w:r>
        <w:separator/>
      </w:r>
    </w:p>
  </w:footnote>
  <w:footnote w:type="continuationSeparator" w:id="0">
    <w:p w14:paraId="14FF24DF" w14:textId="77777777" w:rsidR="001B13B7" w:rsidRDefault="001B13B7" w:rsidP="00D03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C0B9" w14:textId="2F2EB9ED" w:rsidR="007B16EB" w:rsidRDefault="00000000">
    <w:pPr>
      <w:pStyle w:val="Header"/>
    </w:pPr>
    <w:r>
      <w:rPr>
        <w:noProof/>
      </w:rPr>
      <w:pict w14:anchorId="2BE94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69" o:spid="_x0000_s1026" type="#_x0000_t136" style="position:absolute;margin-left:0;margin-top:0;width:549.85pt;height:6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FDFE" w14:textId="42D7358D" w:rsidR="007B16EB" w:rsidRDefault="00000000">
    <w:pPr>
      <w:pStyle w:val="Header"/>
    </w:pPr>
    <w:r>
      <w:rPr>
        <w:noProof/>
      </w:rPr>
      <w:pict w14:anchorId="54830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70" o:spid="_x0000_s1027" type="#_x0000_t136" style="position:absolute;margin-left:0;margin-top:0;width:549.85pt;height:6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8660" w14:textId="35C78C70" w:rsidR="007B16EB" w:rsidRDefault="00000000">
    <w:pPr>
      <w:pStyle w:val="Header"/>
    </w:pPr>
    <w:r>
      <w:rPr>
        <w:noProof/>
      </w:rPr>
      <w:pict w14:anchorId="6DBAE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68" o:spid="_x0000_s1025" type="#_x0000_t136" style="position:absolute;margin-left:0;margin-top:0;width:549.85pt;height:6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262C"/>
    <w:multiLevelType w:val="multilevel"/>
    <w:tmpl w:val="3F4C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5771D"/>
    <w:multiLevelType w:val="multilevel"/>
    <w:tmpl w:val="BE80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C37E8"/>
    <w:multiLevelType w:val="multilevel"/>
    <w:tmpl w:val="F8BC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F05283"/>
    <w:multiLevelType w:val="multilevel"/>
    <w:tmpl w:val="6D36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A52D9"/>
    <w:multiLevelType w:val="multilevel"/>
    <w:tmpl w:val="49A2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47729">
    <w:abstractNumId w:val="3"/>
  </w:num>
  <w:num w:numId="2" w16cid:durableId="694967050">
    <w:abstractNumId w:val="4"/>
  </w:num>
  <w:num w:numId="3" w16cid:durableId="2071533824">
    <w:abstractNumId w:val="0"/>
  </w:num>
  <w:num w:numId="4" w16cid:durableId="130367361">
    <w:abstractNumId w:val="2"/>
  </w:num>
  <w:num w:numId="5" w16cid:durableId="7668039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26"/>
    <w:rsid w:val="00017F3A"/>
    <w:rsid w:val="000366E7"/>
    <w:rsid w:val="00044D35"/>
    <w:rsid w:val="000A15F9"/>
    <w:rsid w:val="000E72F4"/>
    <w:rsid w:val="001A59E5"/>
    <w:rsid w:val="001B13B7"/>
    <w:rsid w:val="001E1936"/>
    <w:rsid w:val="0023456E"/>
    <w:rsid w:val="00237726"/>
    <w:rsid w:val="002B2865"/>
    <w:rsid w:val="002C1EFC"/>
    <w:rsid w:val="00311151"/>
    <w:rsid w:val="003130B6"/>
    <w:rsid w:val="00313617"/>
    <w:rsid w:val="0032109A"/>
    <w:rsid w:val="0032165D"/>
    <w:rsid w:val="00324538"/>
    <w:rsid w:val="00326E46"/>
    <w:rsid w:val="0034163E"/>
    <w:rsid w:val="00354F35"/>
    <w:rsid w:val="003920F6"/>
    <w:rsid w:val="003B53EC"/>
    <w:rsid w:val="003C2095"/>
    <w:rsid w:val="003C63BB"/>
    <w:rsid w:val="003F1582"/>
    <w:rsid w:val="003F1F81"/>
    <w:rsid w:val="00406DBE"/>
    <w:rsid w:val="004114A8"/>
    <w:rsid w:val="00487A18"/>
    <w:rsid w:val="00511365"/>
    <w:rsid w:val="00533D2F"/>
    <w:rsid w:val="00536276"/>
    <w:rsid w:val="005634A3"/>
    <w:rsid w:val="00585A41"/>
    <w:rsid w:val="005A4461"/>
    <w:rsid w:val="005B4F97"/>
    <w:rsid w:val="005D1F9F"/>
    <w:rsid w:val="005F5818"/>
    <w:rsid w:val="00606EC7"/>
    <w:rsid w:val="00686265"/>
    <w:rsid w:val="006C6525"/>
    <w:rsid w:val="006E6B30"/>
    <w:rsid w:val="00751005"/>
    <w:rsid w:val="00757EB4"/>
    <w:rsid w:val="007623F2"/>
    <w:rsid w:val="00792178"/>
    <w:rsid w:val="007B16EB"/>
    <w:rsid w:val="007B330F"/>
    <w:rsid w:val="007E2C48"/>
    <w:rsid w:val="008353EC"/>
    <w:rsid w:val="008524A2"/>
    <w:rsid w:val="008D054E"/>
    <w:rsid w:val="008F3794"/>
    <w:rsid w:val="0090549C"/>
    <w:rsid w:val="00944534"/>
    <w:rsid w:val="009B1A79"/>
    <w:rsid w:val="009B3F68"/>
    <w:rsid w:val="009D3B61"/>
    <w:rsid w:val="009E1C04"/>
    <w:rsid w:val="00A26EA9"/>
    <w:rsid w:val="00A27A01"/>
    <w:rsid w:val="00A45AA7"/>
    <w:rsid w:val="00AA2881"/>
    <w:rsid w:val="00AB4B74"/>
    <w:rsid w:val="00AF2E47"/>
    <w:rsid w:val="00AF664E"/>
    <w:rsid w:val="00B31B83"/>
    <w:rsid w:val="00BB1CC8"/>
    <w:rsid w:val="00BB235E"/>
    <w:rsid w:val="00BC41D8"/>
    <w:rsid w:val="00C1688B"/>
    <w:rsid w:val="00C563A4"/>
    <w:rsid w:val="00C614B9"/>
    <w:rsid w:val="00C915F6"/>
    <w:rsid w:val="00CA1451"/>
    <w:rsid w:val="00CA3ABB"/>
    <w:rsid w:val="00CD0811"/>
    <w:rsid w:val="00CD3CEA"/>
    <w:rsid w:val="00CE1C66"/>
    <w:rsid w:val="00D036C3"/>
    <w:rsid w:val="00D0484C"/>
    <w:rsid w:val="00D23AB2"/>
    <w:rsid w:val="00D306B3"/>
    <w:rsid w:val="00D47003"/>
    <w:rsid w:val="00D6239C"/>
    <w:rsid w:val="00D75CB9"/>
    <w:rsid w:val="00D9214E"/>
    <w:rsid w:val="00E6516E"/>
    <w:rsid w:val="00E74F00"/>
    <w:rsid w:val="00EC1633"/>
    <w:rsid w:val="00EF3A1F"/>
    <w:rsid w:val="00F30ACD"/>
    <w:rsid w:val="00F42E37"/>
    <w:rsid w:val="00F70E3E"/>
    <w:rsid w:val="00F914B2"/>
    <w:rsid w:val="00F94A87"/>
    <w:rsid w:val="00FB459C"/>
    <w:rsid w:val="00FB5457"/>
    <w:rsid w:val="00FC48DD"/>
    <w:rsid w:val="00FF32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8D57C"/>
  <w15:chartTrackingRefBased/>
  <w15:docId w15:val="{07301CEC-EDB4-4C11-BCE6-6E1D6B1D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6B3"/>
    <w:pPr>
      <w:spacing w:after="200" w:line="276" w:lineRule="auto"/>
    </w:pPr>
    <w:rPr>
      <w:rFonts w:cstheme="minorBidi"/>
      <w:kern w:val="0"/>
      <w:szCs w:val="22"/>
      <w14:ligatures w14:val="none"/>
    </w:rPr>
  </w:style>
  <w:style w:type="paragraph" w:styleId="Heading1">
    <w:name w:val="heading 1"/>
    <w:basedOn w:val="Normal"/>
    <w:next w:val="Normal"/>
    <w:link w:val="Heading1Char"/>
    <w:uiPriority w:val="9"/>
    <w:qFormat/>
    <w:rsid w:val="0023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7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7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77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77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7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7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7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7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7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77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77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7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7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7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7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7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726"/>
    <w:pPr>
      <w:spacing w:before="160"/>
      <w:jc w:val="center"/>
    </w:pPr>
    <w:rPr>
      <w:i/>
      <w:iCs/>
      <w:color w:val="404040" w:themeColor="text1" w:themeTint="BF"/>
    </w:rPr>
  </w:style>
  <w:style w:type="character" w:customStyle="1" w:styleId="QuoteChar">
    <w:name w:val="Quote Char"/>
    <w:basedOn w:val="DefaultParagraphFont"/>
    <w:link w:val="Quote"/>
    <w:uiPriority w:val="29"/>
    <w:rsid w:val="00237726"/>
    <w:rPr>
      <w:i/>
      <w:iCs/>
      <w:color w:val="404040" w:themeColor="text1" w:themeTint="BF"/>
    </w:rPr>
  </w:style>
  <w:style w:type="paragraph" w:styleId="ListParagraph">
    <w:name w:val="List Paragraph"/>
    <w:basedOn w:val="Normal"/>
    <w:uiPriority w:val="34"/>
    <w:qFormat/>
    <w:rsid w:val="00237726"/>
    <w:pPr>
      <w:ind w:left="720"/>
      <w:contextualSpacing/>
    </w:pPr>
  </w:style>
  <w:style w:type="character" w:styleId="IntenseEmphasis">
    <w:name w:val="Intense Emphasis"/>
    <w:basedOn w:val="DefaultParagraphFont"/>
    <w:uiPriority w:val="21"/>
    <w:qFormat/>
    <w:rsid w:val="00237726"/>
    <w:rPr>
      <w:i/>
      <w:iCs/>
      <w:color w:val="0F4761" w:themeColor="accent1" w:themeShade="BF"/>
    </w:rPr>
  </w:style>
  <w:style w:type="paragraph" w:styleId="IntenseQuote">
    <w:name w:val="Intense Quote"/>
    <w:basedOn w:val="Normal"/>
    <w:next w:val="Normal"/>
    <w:link w:val="IntenseQuoteChar"/>
    <w:uiPriority w:val="30"/>
    <w:qFormat/>
    <w:rsid w:val="0023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726"/>
    <w:rPr>
      <w:i/>
      <w:iCs/>
      <w:color w:val="0F4761" w:themeColor="accent1" w:themeShade="BF"/>
    </w:rPr>
  </w:style>
  <w:style w:type="character" w:styleId="IntenseReference">
    <w:name w:val="Intense Reference"/>
    <w:basedOn w:val="DefaultParagraphFont"/>
    <w:uiPriority w:val="32"/>
    <w:qFormat/>
    <w:rsid w:val="00237726"/>
    <w:rPr>
      <w:b/>
      <w:bCs/>
      <w:smallCaps/>
      <w:color w:val="0F4761" w:themeColor="accent1" w:themeShade="BF"/>
      <w:spacing w:val="5"/>
    </w:rPr>
  </w:style>
  <w:style w:type="table" w:styleId="PlainTable2">
    <w:name w:val="Plain Table 2"/>
    <w:basedOn w:val="TableNormal"/>
    <w:uiPriority w:val="42"/>
    <w:rsid w:val="00CD0811"/>
    <w:pPr>
      <w:spacing w:after="0" w:line="240" w:lineRule="auto"/>
    </w:pPr>
    <w:rPr>
      <w:rFonts w:cstheme="minorBidi"/>
      <w:kern w:val="0"/>
      <w:szCs w:val="20"/>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D0811"/>
    <w:rPr>
      <w:color w:val="467886" w:themeColor="hyperlink"/>
      <w:u w:val="single"/>
    </w:rPr>
  </w:style>
  <w:style w:type="character" w:styleId="UnresolvedMention">
    <w:name w:val="Unresolved Mention"/>
    <w:basedOn w:val="DefaultParagraphFont"/>
    <w:uiPriority w:val="99"/>
    <w:semiHidden/>
    <w:unhideWhenUsed/>
    <w:rsid w:val="00CD0811"/>
    <w:rPr>
      <w:color w:val="605E5C"/>
      <w:shd w:val="clear" w:color="auto" w:fill="E1DFDD"/>
    </w:rPr>
  </w:style>
  <w:style w:type="paragraph" w:styleId="NormalWeb">
    <w:name w:val="Normal (Web)"/>
    <w:basedOn w:val="Normal"/>
    <w:uiPriority w:val="99"/>
    <w:semiHidden/>
    <w:unhideWhenUsed/>
    <w:rsid w:val="00CD0811"/>
    <w:rPr>
      <w:rFonts w:cs="Times New Roman"/>
      <w:szCs w:val="24"/>
    </w:rPr>
  </w:style>
  <w:style w:type="table" w:styleId="TableGrid">
    <w:name w:val="Table Grid"/>
    <w:basedOn w:val="TableNormal"/>
    <w:uiPriority w:val="39"/>
    <w:rsid w:val="006E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6C3"/>
    <w:rPr>
      <w:rFonts w:cstheme="minorBidi"/>
      <w:kern w:val="0"/>
      <w:szCs w:val="22"/>
      <w14:ligatures w14:val="none"/>
    </w:rPr>
  </w:style>
  <w:style w:type="paragraph" w:styleId="Footer">
    <w:name w:val="footer"/>
    <w:basedOn w:val="Normal"/>
    <w:link w:val="FooterChar"/>
    <w:uiPriority w:val="99"/>
    <w:unhideWhenUsed/>
    <w:rsid w:val="00D03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6C3"/>
    <w:rPr>
      <w:rFonts w:cstheme="minorBidi"/>
      <w:kern w:val="0"/>
      <w:szCs w:val="22"/>
      <w14:ligatures w14:val="none"/>
    </w:rPr>
  </w:style>
  <w:style w:type="character" w:styleId="CommentReference">
    <w:name w:val="annotation reference"/>
    <w:basedOn w:val="DefaultParagraphFont"/>
    <w:uiPriority w:val="99"/>
    <w:semiHidden/>
    <w:unhideWhenUsed/>
    <w:rsid w:val="00B31B83"/>
    <w:rPr>
      <w:sz w:val="16"/>
      <w:szCs w:val="16"/>
    </w:rPr>
  </w:style>
  <w:style w:type="paragraph" w:styleId="CommentText">
    <w:name w:val="annotation text"/>
    <w:basedOn w:val="Normal"/>
    <w:link w:val="CommentTextChar"/>
    <w:uiPriority w:val="99"/>
    <w:semiHidden/>
    <w:unhideWhenUsed/>
    <w:rsid w:val="00B31B83"/>
    <w:pPr>
      <w:spacing w:line="240" w:lineRule="auto"/>
    </w:pPr>
    <w:rPr>
      <w:sz w:val="20"/>
      <w:szCs w:val="20"/>
    </w:rPr>
  </w:style>
  <w:style w:type="character" w:customStyle="1" w:styleId="CommentTextChar">
    <w:name w:val="Comment Text Char"/>
    <w:basedOn w:val="DefaultParagraphFont"/>
    <w:link w:val="CommentText"/>
    <w:uiPriority w:val="99"/>
    <w:semiHidden/>
    <w:rsid w:val="00B31B83"/>
    <w:rPr>
      <w:rFonts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1B83"/>
    <w:rPr>
      <w:b/>
      <w:bCs/>
    </w:rPr>
  </w:style>
  <w:style w:type="character" w:customStyle="1" w:styleId="CommentSubjectChar">
    <w:name w:val="Comment Subject Char"/>
    <w:basedOn w:val="CommentTextChar"/>
    <w:link w:val="CommentSubject"/>
    <w:uiPriority w:val="99"/>
    <w:semiHidden/>
    <w:rsid w:val="00B31B83"/>
    <w:rPr>
      <w:rFonts w:cstheme="minorBid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5.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1.%202024-25%20Thesis\Deepika%20Bhosle%2067\Data%20Calculation\Objective%201.%20Growth%20Performence\1st%20obj%20deepik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1.%202024-25%20Thesis\Deepika%20Bhosle%2067\Data%20Calculation\Objective%201.%20Growth%20Performence\1st%20obj%20deepik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a:t>Initial and Final Length (cm)</a:t>
            </a:r>
          </a:p>
        </c:rich>
      </c:tx>
      <c:layout>
        <c:manualLayout>
          <c:xMode val="edge"/>
          <c:yMode val="edge"/>
          <c:x val="0.19806992726863037"/>
          <c:y val="3.0328351813166211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089230499605673"/>
          <c:y val="0.16012330261722293"/>
          <c:w val="0.83854462150895681"/>
          <c:h val="0.62801443742913921"/>
        </c:manualLayout>
      </c:layout>
      <c:barChart>
        <c:barDir val="col"/>
        <c:grouping val="clustered"/>
        <c:varyColors val="0"/>
        <c:ser>
          <c:idx val="0"/>
          <c:order val="0"/>
          <c:tx>
            <c:strRef>
              <c:f>'2. Final Length (cm)'!$AH$22</c:f>
              <c:strCache>
                <c:ptCount val="1"/>
                <c:pt idx="0">
                  <c:v>Initial Length (cm)</c:v>
                </c:pt>
              </c:strCache>
            </c:strRef>
          </c:tx>
          <c:spPr>
            <a:solidFill>
              <a:srgbClr val="C00000"/>
            </a:solidFill>
            <a:ln>
              <a:noFill/>
            </a:ln>
            <a:effectLst/>
          </c:spPr>
          <c:invertIfNegative val="0"/>
          <c:dPt>
            <c:idx val="1"/>
            <c:invertIfNegative val="0"/>
            <c:bubble3D val="0"/>
            <c:spPr>
              <a:solidFill>
                <a:srgbClr val="FFFF00"/>
              </a:solidFill>
              <a:ln>
                <a:noFill/>
              </a:ln>
              <a:effectLst/>
            </c:spPr>
            <c:extLst>
              <c:ext xmlns:c16="http://schemas.microsoft.com/office/drawing/2014/chart" uri="{C3380CC4-5D6E-409C-BE32-E72D297353CC}">
                <c16:uniqueId val="{00000001-9257-40E3-B4CD-B1FB04AAAAC2}"/>
              </c:ext>
            </c:extLst>
          </c:dPt>
          <c:dPt>
            <c:idx val="2"/>
            <c:invertIfNegative val="0"/>
            <c:bubble3D val="0"/>
            <c:spPr>
              <a:solidFill>
                <a:srgbClr val="92D050"/>
              </a:solidFill>
              <a:ln>
                <a:noFill/>
              </a:ln>
              <a:effectLst/>
            </c:spPr>
            <c:extLst>
              <c:ext xmlns:c16="http://schemas.microsoft.com/office/drawing/2014/chart" uri="{C3380CC4-5D6E-409C-BE32-E72D297353CC}">
                <c16:uniqueId val="{00000003-9257-40E3-B4CD-B1FB04AAAAC2}"/>
              </c:ext>
            </c:extLst>
          </c:dPt>
          <c:dPt>
            <c:idx val="3"/>
            <c:invertIfNegative val="0"/>
            <c:bubble3D val="0"/>
            <c:spPr>
              <a:solidFill>
                <a:srgbClr val="6600FF"/>
              </a:solidFill>
              <a:ln>
                <a:noFill/>
              </a:ln>
              <a:effectLst/>
            </c:spPr>
            <c:extLst>
              <c:ext xmlns:c16="http://schemas.microsoft.com/office/drawing/2014/chart" uri="{C3380CC4-5D6E-409C-BE32-E72D297353CC}">
                <c16:uniqueId val="{00000005-9257-40E3-B4CD-B1FB04AAAAC2}"/>
              </c:ext>
            </c:extLst>
          </c:dPt>
          <c:dPt>
            <c:idx val="4"/>
            <c:invertIfNegative val="0"/>
            <c:bubble3D val="0"/>
            <c:spPr>
              <a:solidFill>
                <a:srgbClr val="00B050"/>
              </a:solidFill>
              <a:ln>
                <a:noFill/>
              </a:ln>
              <a:effectLst/>
            </c:spPr>
            <c:extLst>
              <c:ext xmlns:c16="http://schemas.microsoft.com/office/drawing/2014/chart" uri="{C3380CC4-5D6E-409C-BE32-E72D297353CC}">
                <c16:uniqueId val="{00000007-9257-40E3-B4CD-B1FB04AAAAC2}"/>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9257-40E3-B4CD-B1FB04AAAAC2}"/>
              </c:ext>
            </c:extLst>
          </c:dPt>
          <c:errBars>
            <c:errBarType val="both"/>
            <c:errValType val="cust"/>
            <c:noEndCap val="0"/>
            <c:plus>
              <c:numRef>
                <c:f>'2. Final Length (cm)'!$AL$23:$AL$28</c:f>
                <c:numCache>
                  <c:formatCode>General</c:formatCode>
                  <c:ptCount val="6"/>
                  <c:pt idx="0">
                    <c:v>5.7735026918961348E-3</c:v>
                  </c:pt>
                  <c:pt idx="1">
                    <c:v>1.7320508075688405E-2</c:v>
                  </c:pt>
                  <c:pt idx="2">
                    <c:v>1.154700538379227E-2</c:v>
                  </c:pt>
                  <c:pt idx="3">
                    <c:v>1.154700538379227E-2</c:v>
                  </c:pt>
                  <c:pt idx="4">
                    <c:v>1.154700538379227E-2</c:v>
                  </c:pt>
                  <c:pt idx="5">
                    <c:v>1.154700538379227E-2</c:v>
                  </c:pt>
                </c:numCache>
              </c:numRef>
            </c:plus>
            <c:minus>
              <c:numRef>
                <c:f>'2. Final Length (cm)'!$AL$23:$AL$28</c:f>
                <c:numCache>
                  <c:formatCode>General</c:formatCode>
                  <c:ptCount val="6"/>
                  <c:pt idx="0">
                    <c:v>5.7735026918961348E-3</c:v>
                  </c:pt>
                  <c:pt idx="1">
                    <c:v>1.7320508075688405E-2</c:v>
                  </c:pt>
                  <c:pt idx="2">
                    <c:v>1.154700538379227E-2</c:v>
                  </c:pt>
                  <c:pt idx="3">
                    <c:v>1.154700538379227E-2</c:v>
                  </c:pt>
                  <c:pt idx="4">
                    <c:v>1.154700538379227E-2</c:v>
                  </c:pt>
                  <c:pt idx="5">
                    <c:v>1.154700538379227E-2</c:v>
                  </c:pt>
                </c:numCache>
              </c:numRef>
            </c:minus>
            <c:spPr>
              <a:noFill/>
              <a:ln w="9525">
                <a:solidFill>
                  <a:schemeClr val="tx2">
                    <a:lumMod val="75000"/>
                    <a:lumOff val="25000"/>
                  </a:schemeClr>
                </a:solidFill>
                <a:round/>
              </a:ln>
              <a:effectLst/>
            </c:spPr>
          </c:errBars>
          <c:cat>
            <c:strRef>
              <c:f>'2. Final Length (cm)'!$AG$23:$AG$28</c:f>
              <c:strCache>
                <c:ptCount val="6"/>
                <c:pt idx="0">
                  <c:v>T1</c:v>
                </c:pt>
                <c:pt idx="1">
                  <c:v>T2</c:v>
                </c:pt>
                <c:pt idx="2">
                  <c:v>T3</c:v>
                </c:pt>
                <c:pt idx="3">
                  <c:v>T4</c:v>
                </c:pt>
                <c:pt idx="4">
                  <c:v>T5</c:v>
                </c:pt>
                <c:pt idx="5">
                  <c:v>T6</c:v>
                </c:pt>
              </c:strCache>
            </c:strRef>
          </c:cat>
          <c:val>
            <c:numRef>
              <c:f>'2. Final Length (cm)'!$AH$23:$AH$28</c:f>
              <c:numCache>
                <c:formatCode>0.00</c:formatCode>
                <c:ptCount val="6"/>
                <c:pt idx="0">
                  <c:v>9.89</c:v>
                </c:pt>
                <c:pt idx="1">
                  <c:v>9.8800000000000008</c:v>
                </c:pt>
                <c:pt idx="2">
                  <c:v>9.9</c:v>
                </c:pt>
                <c:pt idx="3">
                  <c:v>9.8699999999999992</c:v>
                </c:pt>
                <c:pt idx="4">
                  <c:v>9.85</c:v>
                </c:pt>
                <c:pt idx="5">
                  <c:v>9.83</c:v>
                </c:pt>
              </c:numCache>
            </c:numRef>
          </c:val>
          <c:extLst>
            <c:ext xmlns:c16="http://schemas.microsoft.com/office/drawing/2014/chart" uri="{C3380CC4-5D6E-409C-BE32-E72D297353CC}">
              <c16:uniqueId val="{0000000A-9257-40E3-B4CD-B1FB04AAAAC2}"/>
            </c:ext>
          </c:extLst>
        </c:ser>
        <c:ser>
          <c:idx val="1"/>
          <c:order val="1"/>
          <c:tx>
            <c:strRef>
              <c:f>'2. Final Length (cm)'!$AI$22</c:f>
              <c:strCache>
                <c:ptCount val="1"/>
                <c:pt idx="0">
                  <c:v>Final Length (cm)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C-9257-40E3-B4CD-B1FB04AAAAC2}"/>
              </c:ext>
            </c:extLst>
          </c:dPt>
          <c:dPt>
            <c:idx val="1"/>
            <c:invertIfNegative val="0"/>
            <c:bubble3D val="0"/>
            <c:spPr>
              <a:solidFill>
                <a:srgbClr val="9900FF"/>
              </a:solidFill>
              <a:ln>
                <a:noFill/>
              </a:ln>
              <a:effectLst/>
            </c:spPr>
            <c:extLst>
              <c:ext xmlns:c16="http://schemas.microsoft.com/office/drawing/2014/chart" uri="{C3380CC4-5D6E-409C-BE32-E72D297353CC}">
                <c16:uniqueId val="{0000000E-9257-40E3-B4CD-B1FB04AAAAC2}"/>
              </c:ext>
            </c:extLst>
          </c:dPt>
          <c:dPt>
            <c:idx val="2"/>
            <c:invertIfNegative val="0"/>
            <c:bubble3D val="0"/>
            <c:spPr>
              <a:solidFill>
                <a:srgbClr val="00B0F0"/>
              </a:solidFill>
              <a:ln>
                <a:noFill/>
              </a:ln>
              <a:effectLst/>
            </c:spPr>
            <c:extLst>
              <c:ext xmlns:c16="http://schemas.microsoft.com/office/drawing/2014/chart" uri="{C3380CC4-5D6E-409C-BE32-E72D297353CC}">
                <c16:uniqueId val="{00000010-9257-40E3-B4CD-B1FB04AAAAC2}"/>
              </c:ext>
            </c:extLst>
          </c:dPt>
          <c:dPt>
            <c:idx val="4"/>
            <c:invertIfNegative val="0"/>
            <c:bubble3D val="0"/>
            <c:spPr>
              <a:solidFill>
                <a:schemeClr val="accent4">
                  <a:lumMod val="75000"/>
                </a:schemeClr>
              </a:solidFill>
              <a:ln>
                <a:noFill/>
              </a:ln>
              <a:effectLst/>
            </c:spPr>
            <c:extLst>
              <c:ext xmlns:c16="http://schemas.microsoft.com/office/drawing/2014/chart" uri="{C3380CC4-5D6E-409C-BE32-E72D297353CC}">
                <c16:uniqueId val="{00000012-9257-40E3-B4CD-B1FB04AAAAC2}"/>
              </c:ext>
            </c:extLst>
          </c:dPt>
          <c:dPt>
            <c:idx val="5"/>
            <c:invertIfNegative val="0"/>
            <c:bubble3D val="0"/>
            <c:spPr>
              <a:solidFill>
                <a:srgbClr val="FF0000"/>
              </a:solidFill>
              <a:ln>
                <a:noFill/>
              </a:ln>
              <a:effectLst/>
            </c:spPr>
            <c:extLst>
              <c:ext xmlns:c16="http://schemas.microsoft.com/office/drawing/2014/chart" uri="{C3380CC4-5D6E-409C-BE32-E72D297353CC}">
                <c16:uniqueId val="{00000014-9257-40E3-B4CD-B1FB04AAAAC2}"/>
              </c:ext>
            </c:extLst>
          </c:dPt>
          <c:errBars>
            <c:errBarType val="both"/>
            <c:errValType val="cust"/>
            <c:noEndCap val="0"/>
            <c:plus>
              <c:numRef>
                <c:f>'2. Final Length (cm)'!$AM$23:$AM$28</c:f>
                <c:numCache>
                  <c:formatCode>General</c:formatCode>
                  <c:ptCount val="6"/>
                  <c:pt idx="0">
                    <c:v>0.24826061575153893</c:v>
                  </c:pt>
                  <c:pt idx="1">
                    <c:v>0.24826061575153893</c:v>
                  </c:pt>
                  <c:pt idx="2">
                    <c:v>0.24826061575153893</c:v>
                  </c:pt>
                  <c:pt idx="3">
                    <c:v>0.24826061575153893</c:v>
                  </c:pt>
                  <c:pt idx="4">
                    <c:v>0.13279056191361419</c:v>
                  </c:pt>
                  <c:pt idx="5">
                    <c:v>6.5574385243020145E-2</c:v>
                  </c:pt>
                </c:numCache>
              </c:numRef>
            </c:plus>
            <c:minus>
              <c:numRef>
                <c:f>'2. Final Length (cm)'!$AM$23:$AM$28</c:f>
                <c:numCache>
                  <c:formatCode>General</c:formatCode>
                  <c:ptCount val="6"/>
                  <c:pt idx="0">
                    <c:v>0.24826061575153893</c:v>
                  </c:pt>
                  <c:pt idx="1">
                    <c:v>0.24826061575153893</c:v>
                  </c:pt>
                  <c:pt idx="2">
                    <c:v>0.24826061575153893</c:v>
                  </c:pt>
                  <c:pt idx="3">
                    <c:v>0.24826061575153893</c:v>
                  </c:pt>
                  <c:pt idx="4">
                    <c:v>0.13279056191361419</c:v>
                  </c:pt>
                  <c:pt idx="5">
                    <c:v>6.5574385243020145E-2</c:v>
                  </c:pt>
                </c:numCache>
              </c:numRef>
            </c:minus>
            <c:spPr>
              <a:noFill/>
              <a:ln w="9525">
                <a:solidFill>
                  <a:schemeClr val="tx2">
                    <a:lumMod val="75000"/>
                    <a:lumOff val="25000"/>
                  </a:schemeClr>
                </a:solidFill>
                <a:round/>
              </a:ln>
              <a:effectLst/>
            </c:spPr>
          </c:errBars>
          <c:cat>
            <c:strRef>
              <c:f>'2. Final Length (cm)'!$AG$23:$AG$28</c:f>
              <c:strCache>
                <c:ptCount val="6"/>
                <c:pt idx="0">
                  <c:v>T1</c:v>
                </c:pt>
                <c:pt idx="1">
                  <c:v>T2</c:v>
                </c:pt>
                <c:pt idx="2">
                  <c:v>T3</c:v>
                </c:pt>
                <c:pt idx="3">
                  <c:v>T4</c:v>
                </c:pt>
                <c:pt idx="4">
                  <c:v>T5</c:v>
                </c:pt>
                <c:pt idx="5">
                  <c:v>T6</c:v>
                </c:pt>
              </c:strCache>
            </c:strRef>
          </c:cat>
          <c:val>
            <c:numRef>
              <c:f>'2. Final Length (cm)'!$AI$23:$AI$28</c:f>
              <c:numCache>
                <c:formatCode>0.00</c:formatCode>
                <c:ptCount val="6"/>
                <c:pt idx="0">
                  <c:v>12.01</c:v>
                </c:pt>
                <c:pt idx="1">
                  <c:v>11.479999999999999</c:v>
                </c:pt>
                <c:pt idx="2">
                  <c:v>11</c:v>
                </c:pt>
                <c:pt idx="3">
                  <c:v>10.55</c:v>
                </c:pt>
                <c:pt idx="4">
                  <c:v>10.15</c:v>
                </c:pt>
                <c:pt idx="5">
                  <c:v>9.9500000000000011</c:v>
                </c:pt>
              </c:numCache>
            </c:numRef>
          </c:val>
          <c:extLst>
            <c:ext xmlns:c16="http://schemas.microsoft.com/office/drawing/2014/chart" uri="{C3380CC4-5D6E-409C-BE32-E72D297353CC}">
              <c16:uniqueId val="{00000015-9257-40E3-B4CD-B1FB04AAAAC2}"/>
            </c:ext>
          </c:extLst>
        </c:ser>
        <c:dLbls>
          <c:showLegendKey val="0"/>
          <c:showVal val="0"/>
          <c:showCatName val="0"/>
          <c:showSerName val="0"/>
          <c:showPercent val="0"/>
          <c:showBubbleSize val="0"/>
        </c:dLbls>
        <c:gapWidth val="100"/>
        <c:overlap val="-24"/>
        <c:axId val="286698000"/>
        <c:axId val="286698480"/>
      </c:barChart>
      <c:catAx>
        <c:axId val="286698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a:t>
                </a:r>
              </a:p>
            </c:rich>
          </c:tx>
          <c:layout>
            <c:manualLayout>
              <c:xMode val="edge"/>
              <c:yMode val="edge"/>
              <c:x val="0.46321695479638963"/>
              <c:y val="0.8664026045621443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480"/>
        <c:crosses val="autoZero"/>
        <c:auto val="1"/>
        <c:lblAlgn val="ctr"/>
        <c:lblOffset val="100"/>
        <c:noMultiLvlLbl val="0"/>
      </c:catAx>
      <c:valAx>
        <c:axId val="2866984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centimeter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000"/>
        <c:crosses val="autoZero"/>
        <c:crossBetween val="between"/>
      </c:valAx>
      <c:spPr>
        <a:noFill/>
        <a:ln>
          <a:noFill/>
        </a:ln>
        <a:effectLst/>
      </c:spPr>
    </c:plotArea>
    <c:legend>
      <c:legendPos val="b"/>
      <c:layout>
        <c:manualLayout>
          <c:xMode val="edge"/>
          <c:yMode val="edge"/>
          <c:x val="0.21023046205074922"/>
          <c:y val="0.91616721621818409"/>
          <c:w val="0.57953882553234104"/>
          <c:h val="8.383278378181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206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'3. Length Gain (cm)'!$T$19</c:f>
              <c:strCache>
                <c:ptCount val="1"/>
                <c:pt idx="0">
                  <c:v>Length Gain (cm)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8917-4C82-A759-3E023E9E6475}"/>
              </c:ext>
            </c:extLst>
          </c:dPt>
          <c:dPt>
            <c:idx val="2"/>
            <c:invertIfNegative val="0"/>
            <c:bubble3D val="0"/>
            <c:spPr>
              <a:solidFill>
                <a:srgbClr val="FF0000"/>
              </a:solidFill>
              <a:ln>
                <a:noFill/>
              </a:ln>
              <a:effectLst/>
            </c:spPr>
            <c:extLst>
              <c:ext xmlns:c16="http://schemas.microsoft.com/office/drawing/2014/chart" uri="{C3380CC4-5D6E-409C-BE32-E72D297353CC}">
                <c16:uniqueId val="{00000003-8917-4C82-A759-3E023E9E6475}"/>
              </c:ext>
            </c:extLst>
          </c:dPt>
          <c:dPt>
            <c:idx val="3"/>
            <c:invertIfNegative val="0"/>
            <c:bubble3D val="0"/>
            <c:spPr>
              <a:solidFill>
                <a:srgbClr val="00B050"/>
              </a:solidFill>
              <a:ln>
                <a:noFill/>
              </a:ln>
              <a:effectLst/>
            </c:spPr>
            <c:extLst>
              <c:ext xmlns:c16="http://schemas.microsoft.com/office/drawing/2014/chart" uri="{C3380CC4-5D6E-409C-BE32-E72D297353CC}">
                <c16:uniqueId val="{00000005-8917-4C82-A759-3E023E9E6475}"/>
              </c:ext>
            </c:extLst>
          </c:dPt>
          <c:dPt>
            <c:idx val="4"/>
            <c:invertIfNegative val="0"/>
            <c:bubble3D val="0"/>
            <c:spPr>
              <a:solidFill>
                <a:srgbClr val="7030A0"/>
              </a:solidFill>
              <a:ln>
                <a:noFill/>
              </a:ln>
              <a:effectLst/>
            </c:spPr>
            <c:extLst>
              <c:ext xmlns:c16="http://schemas.microsoft.com/office/drawing/2014/chart" uri="{C3380CC4-5D6E-409C-BE32-E72D297353CC}">
                <c16:uniqueId val="{00000007-8917-4C82-A759-3E023E9E6475}"/>
              </c:ext>
            </c:extLst>
          </c:dPt>
          <c:dPt>
            <c:idx val="5"/>
            <c:invertIfNegative val="0"/>
            <c:bubble3D val="0"/>
            <c:spPr>
              <a:solidFill>
                <a:srgbClr val="00B0F0"/>
              </a:solidFill>
              <a:ln>
                <a:noFill/>
              </a:ln>
              <a:effectLst/>
            </c:spPr>
            <c:extLst>
              <c:ext xmlns:c16="http://schemas.microsoft.com/office/drawing/2014/chart" uri="{C3380CC4-5D6E-409C-BE32-E72D297353CC}">
                <c16:uniqueId val="{00000009-8917-4C82-A759-3E023E9E6475}"/>
              </c:ext>
            </c:extLst>
          </c:dPt>
          <c:errBars>
            <c:errBarType val="both"/>
            <c:errValType val="cust"/>
            <c:noEndCap val="0"/>
            <c:plus>
              <c:numRef>
                <c:f>'3. Length Gain (cm)'!$I$23:$I$28</c:f>
                <c:numCache>
                  <c:formatCode>General</c:formatCode>
                  <c:ptCount val="6"/>
                  <c:pt idx="0">
                    <c:v>0.24248711305964293</c:v>
                  </c:pt>
                  <c:pt idx="1">
                    <c:v>0.23094010767585074</c:v>
                  </c:pt>
                  <c:pt idx="2">
                    <c:v>0.25423086620891094</c:v>
                  </c:pt>
                  <c:pt idx="3">
                    <c:v>0.25423086620891094</c:v>
                  </c:pt>
                  <c:pt idx="4">
                    <c:v>0.13892443989449815</c:v>
                  </c:pt>
                  <c:pt idx="5">
                    <c:v>6.8068592855540566E-2</c:v>
                  </c:pt>
                </c:numCache>
              </c:numRef>
            </c:plus>
            <c:minus>
              <c:numRef>
                <c:f>'3. Length Gain (cm)'!$I$23:$I$28</c:f>
                <c:numCache>
                  <c:formatCode>General</c:formatCode>
                  <c:ptCount val="6"/>
                  <c:pt idx="0">
                    <c:v>0.24248711305964293</c:v>
                  </c:pt>
                  <c:pt idx="1">
                    <c:v>0.23094010767585074</c:v>
                  </c:pt>
                  <c:pt idx="2">
                    <c:v>0.25423086620891094</c:v>
                  </c:pt>
                  <c:pt idx="3">
                    <c:v>0.25423086620891094</c:v>
                  </c:pt>
                  <c:pt idx="4">
                    <c:v>0.13892443989449815</c:v>
                  </c:pt>
                  <c:pt idx="5">
                    <c:v>6.8068592855540566E-2</c:v>
                  </c:pt>
                </c:numCache>
              </c:numRef>
            </c:minus>
            <c:spPr>
              <a:noFill/>
              <a:ln w="9525">
                <a:solidFill>
                  <a:schemeClr val="tx2">
                    <a:lumMod val="75000"/>
                    <a:lumOff val="25000"/>
                  </a:schemeClr>
                </a:solidFill>
                <a:round/>
              </a:ln>
              <a:effectLst/>
            </c:spPr>
          </c:errBars>
          <c:cat>
            <c:strRef>
              <c:f>'3. Length Gain (cm)'!$S$20:$S$25</c:f>
              <c:strCache>
                <c:ptCount val="6"/>
                <c:pt idx="0">
                  <c:v>T1</c:v>
                </c:pt>
                <c:pt idx="1">
                  <c:v>T2</c:v>
                </c:pt>
                <c:pt idx="2">
                  <c:v>T3</c:v>
                </c:pt>
                <c:pt idx="3">
                  <c:v>T4</c:v>
                </c:pt>
                <c:pt idx="4">
                  <c:v>T5</c:v>
                </c:pt>
                <c:pt idx="5">
                  <c:v>T6</c:v>
                </c:pt>
              </c:strCache>
            </c:strRef>
          </c:cat>
          <c:val>
            <c:numRef>
              <c:f>'3. Length Gain (cm)'!$T$20:$T$25</c:f>
              <c:numCache>
                <c:formatCode>0.00</c:formatCode>
                <c:ptCount val="6"/>
                <c:pt idx="0">
                  <c:v>2.1199999999999992</c:v>
                </c:pt>
                <c:pt idx="1">
                  <c:v>1.5999999999999996</c:v>
                </c:pt>
                <c:pt idx="2">
                  <c:v>1.0999999999999996</c:v>
                </c:pt>
                <c:pt idx="3">
                  <c:v>0.68000000000000149</c:v>
                </c:pt>
                <c:pt idx="4">
                  <c:v>0.30000000000000071</c:v>
                </c:pt>
                <c:pt idx="5">
                  <c:v>0.11999999999999982</c:v>
                </c:pt>
              </c:numCache>
            </c:numRef>
          </c:val>
          <c:extLst>
            <c:ext xmlns:c16="http://schemas.microsoft.com/office/drawing/2014/chart" uri="{C3380CC4-5D6E-409C-BE32-E72D297353CC}">
              <c16:uniqueId val="{0000000A-8917-4C82-A759-3E023E9E6475}"/>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404153339488957"/>
              <c:y val="0.9125133689839574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centimeter</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802861685214626"/>
          <c:y val="0.15457471718862945"/>
          <c:w val="0.77349248275603066"/>
          <c:h val="0.68395867957518053"/>
        </c:manualLayout>
      </c:layout>
      <c:barChart>
        <c:barDir val="col"/>
        <c:grouping val="clustered"/>
        <c:varyColors val="0"/>
        <c:ser>
          <c:idx val="0"/>
          <c:order val="0"/>
          <c:tx>
            <c:strRef>
              <c:f>'4. Length Gain (%)'!$T$19</c:f>
              <c:strCache>
                <c:ptCount val="1"/>
                <c:pt idx="0">
                  <c:v>Length Gain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BDD4-40B2-9B85-B07FB075A77C}"/>
              </c:ext>
            </c:extLst>
          </c:dPt>
          <c:dPt>
            <c:idx val="2"/>
            <c:invertIfNegative val="0"/>
            <c:bubble3D val="0"/>
            <c:spPr>
              <a:solidFill>
                <a:srgbClr val="FF0000"/>
              </a:solidFill>
              <a:ln>
                <a:noFill/>
              </a:ln>
              <a:effectLst/>
            </c:spPr>
            <c:extLst>
              <c:ext xmlns:c16="http://schemas.microsoft.com/office/drawing/2014/chart" uri="{C3380CC4-5D6E-409C-BE32-E72D297353CC}">
                <c16:uniqueId val="{00000003-BDD4-40B2-9B85-B07FB075A77C}"/>
              </c:ext>
            </c:extLst>
          </c:dPt>
          <c:dPt>
            <c:idx val="3"/>
            <c:invertIfNegative val="0"/>
            <c:bubble3D val="0"/>
            <c:spPr>
              <a:solidFill>
                <a:srgbClr val="00B050"/>
              </a:solidFill>
              <a:ln>
                <a:noFill/>
              </a:ln>
              <a:effectLst/>
            </c:spPr>
            <c:extLst>
              <c:ext xmlns:c16="http://schemas.microsoft.com/office/drawing/2014/chart" uri="{C3380CC4-5D6E-409C-BE32-E72D297353CC}">
                <c16:uniqueId val="{00000005-BDD4-40B2-9B85-B07FB075A77C}"/>
              </c:ext>
            </c:extLst>
          </c:dPt>
          <c:dPt>
            <c:idx val="4"/>
            <c:invertIfNegative val="0"/>
            <c:bubble3D val="0"/>
            <c:spPr>
              <a:solidFill>
                <a:srgbClr val="7030A0"/>
              </a:solidFill>
              <a:ln>
                <a:noFill/>
              </a:ln>
              <a:effectLst/>
            </c:spPr>
            <c:extLst>
              <c:ext xmlns:c16="http://schemas.microsoft.com/office/drawing/2014/chart" uri="{C3380CC4-5D6E-409C-BE32-E72D297353CC}">
                <c16:uniqueId val="{00000007-BDD4-40B2-9B85-B07FB075A77C}"/>
              </c:ext>
            </c:extLst>
          </c:dPt>
          <c:dPt>
            <c:idx val="5"/>
            <c:invertIfNegative val="0"/>
            <c:bubble3D val="0"/>
            <c:spPr>
              <a:solidFill>
                <a:srgbClr val="00B0F0"/>
              </a:solidFill>
              <a:ln>
                <a:noFill/>
              </a:ln>
              <a:effectLst/>
            </c:spPr>
            <c:extLst>
              <c:ext xmlns:c16="http://schemas.microsoft.com/office/drawing/2014/chart" uri="{C3380CC4-5D6E-409C-BE32-E72D297353CC}">
                <c16:uniqueId val="{00000009-BDD4-40B2-9B85-B07FB075A77C}"/>
              </c:ext>
            </c:extLst>
          </c:dPt>
          <c:errBars>
            <c:errBarType val="both"/>
            <c:errValType val="cust"/>
            <c:noEndCap val="0"/>
            <c:plus>
              <c:numRef>
                <c:f>'4. Length Gain (%)'!$I$23:$I$28</c:f>
                <c:numCache>
                  <c:formatCode>General</c:formatCode>
                  <c:ptCount val="6"/>
                  <c:pt idx="0">
                    <c:v>1.6566340014533922</c:v>
                  </c:pt>
                  <c:pt idx="1">
                    <c:v>1.7130761544150277</c:v>
                  </c:pt>
                  <c:pt idx="2">
                    <c:v>2.085304932375903</c:v>
                  </c:pt>
                  <c:pt idx="3">
                    <c:v>2.2581365396355335</c:v>
                  </c:pt>
                  <c:pt idx="4">
                    <c:v>1.3335122412843299</c:v>
                  </c:pt>
                  <c:pt idx="5">
                    <c:v>0.67307143817693749</c:v>
                  </c:pt>
                </c:numCache>
              </c:numRef>
            </c:plus>
            <c:minus>
              <c:numRef>
                <c:f>'4. Length Gain (%)'!$I$23:$I$28</c:f>
                <c:numCache>
                  <c:formatCode>General</c:formatCode>
                  <c:ptCount val="6"/>
                  <c:pt idx="0">
                    <c:v>1.6566340014533922</c:v>
                  </c:pt>
                  <c:pt idx="1">
                    <c:v>1.7130761544150277</c:v>
                  </c:pt>
                  <c:pt idx="2">
                    <c:v>2.085304932375903</c:v>
                  </c:pt>
                  <c:pt idx="3">
                    <c:v>2.2581365396355335</c:v>
                  </c:pt>
                  <c:pt idx="4">
                    <c:v>1.3335122412843299</c:v>
                  </c:pt>
                  <c:pt idx="5">
                    <c:v>0.67307143817693749</c:v>
                  </c:pt>
                </c:numCache>
              </c:numRef>
            </c:minus>
            <c:spPr>
              <a:noFill/>
              <a:ln w="9525">
                <a:solidFill>
                  <a:schemeClr val="tx2">
                    <a:lumMod val="75000"/>
                    <a:lumOff val="25000"/>
                  </a:schemeClr>
                </a:solidFill>
                <a:round/>
              </a:ln>
              <a:effectLst/>
            </c:spPr>
          </c:errBars>
          <c:cat>
            <c:strRef>
              <c:f>'4. Length Gain (%)'!$S$20:$S$25</c:f>
              <c:strCache>
                <c:ptCount val="6"/>
                <c:pt idx="0">
                  <c:v>T1</c:v>
                </c:pt>
                <c:pt idx="1">
                  <c:v>T2</c:v>
                </c:pt>
                <c:pt idx="2">
                  <c:v>T3</c:v>
                </c:pt>
                <c:pt idx="3">
                  <c:v>T4</c:v>
                </c:pt>
                <c:pt idx="4">
                  <c:v>T5</c:v>
                </c:pt>
                <c:pt idx="5">
                  <c:v>T6</c:v>
                </c:pt>
              </c:strCache>
            </c:strRef>
          </c:cat>
          <c:val>
            <c:numRef>
              <c:f>'4. Length Gain (%)'!$T$20:$T$25</c:f>
              <c:numCache>
                <c:formatCode>0.00</c:formatCode>
                <c:ptCount val="6"/>
                <c:pt idx="0">
                  <c:v>17.58348224200552</c:v>
                </c:pt>
                <c:pt idx="1">
                  <c:v>13.863207329267334</c:v>
                </c:pt>
                <c:pt idx="2">
                  <c:v>9.9058937119113271</c:v>
                </c:pt>
                <c:pt idx="3">
                  <c:v>6.3392396272683413</c:v>
                </c:pt>
                <c:pt idx="4">
                  <c:v>2.9209048809062068</c:v>
                </c:pt>
                <c:pt idx="5">
                  <c:v>1.1972946281456889</c:v>
                </c:pt>
              </c:numCache>
            </c:numRef>
          </c:val>
          <c:extLst>
            <c:ext xmlns:c16="http://schemas.microsoft.com/office/drawing/2014/chart" uri="{C3380CC4-5D6E-409C-BE32-E72D297353CC}">
              <c16:uniqueId val="{0000000A-BDD4-40B2-9B85-B07FB075A77C}"/>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'9. SGR Length (% day)'!$T$19</c:f>
              <c:strCache>
                <c:ptCount val="1"/>
                <c:pt idx="0">
                  <c:v>SGR Length (% day)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BB61-4BB0-9AED-8C19084E772E}"/>
              </c:ext>
            </c:extLst>
          </c:dPt>
          <c:dPt>
            <c:idx val="2"/>
            <c:invertIfNegative val="0"/>
            <c:bubble3D val="0"/>
            <c:spPr>
              <a:solidFill>
                <a:srgbClr val="FF0000"/>
              </a:solidFill>
              <a:ln>
                <a:noFill/>
              </a:ln>
              <a:effectLst/>
            </c:spPr>
            <c:extLst>
              <c:ext xmlns:c16="http://schemas.microsoft.com/office/drawing/2014/chart" uri="{C3380CC4-5D6E-409C-BE32-E72D297353CC}">
                <c16:uniqueId val="{00000003-BB61-4BB0-9AED-8C19084E772E}"/>
              </c:ext>
            </c:extLst>
          </c:dPt>
          <c:dPt>
            <c:idx val="3"/>
            <c:invertIfNegative val="0"/>
            <c:bubble3D val="0"/>
            <c:spPr>
              <a:solidFill>
                <a:srgbClr val="00B050"/>
              </a:solidFill>
              <a:ln>
                <a:noFill/>
              </a:ln>
              <a:effectLst/>
            </c:spPr>
            <c:extLst>
              <c:ext xmlns:c16="http://schemas.microsoft.com/office/drawing/2014/chart" uri="{C3380CC4-5D6E-409C-BE32-E72D297353CC}">
                <c16:uniqueId val="{00000005-BB61-4BB0-9AED-8C19084E772E}"/>
              </c:ext>
            </c:extLst>
          </c:dPt>
          <c:dPt>
            <c:idx val="4"/>
            <c:invertIfNegative val="0"/>
            <c:bubble3D val="0"/>
            <c:spPr>
              <a:solidFill>
                <a:srgbClr val="7030A0"/>
              </a:solidFill>
              <a:ln>
                <a:noFill/>
              </a:ln>
              <a:effectLst/>
            </c:spPr>
            <c:extLst>
              <c:ext xmlns:c16="http://schemas.microsoft.com/office/drawing/2014/chart" uri="{C3380CC4-5D6E-409C-BE32-E72D297353CC}">
                <c16:uniqueId val="{00000007-BB61-4BB0-9AED-8C19084E772E}"/>
              </c:ext>
            </c:extLst>
          </c:dPt>
          <c:dPt>
            <c:idx val="5"/>
            <c:invertIfNegative val="0"/>
            <c:bubble3D val="0"/>
            <c:spPr>
              <a:solidFill>
                <a:srgbClr val="00B0F0"/>
              </a:solidFill>
              <a:ln>
                <a:noFill/>
              </a:ln>
              <a:effectLst/>
            </c:spPr>
            <c:extLst>
              <c:ext xmlns:c16="http://schemas.microsoft.com/office/drawing/2014/chart" uri="{C3380CC4-5D6E-409C-BE32-E72D297353CC}">
                <c16:uniqueId val="{00000009-BB61-4BB0-9AED-8C19084E772E}"/>
              </c:ext>
            </c:extLst>
          </c:dPt>
          <c:errBars>
            <c:errBarType val="both"/>
            <c:errValType val="cust"/>
            <c:noEndCap val="0"/>
            <c:plus>
              <c:numRef>
                <c:f>'9. SGR Length (% day)'!$I$23:$I$28</c:f>
                <c:numCache>
                  <c:formatCode>General</c:formatCode>
                  <c:ptCount val="6"/>
                  <c:pt idx="0">
                    <c:v>0.40414518843273739</c:v>
                  </c:pt>
                  <c:pt idx="1">
                    <c:v>0.38490017945975064</c:v>
                  </c:pt>
                  <c:pt idx="2">
                    <c:v>0.42371811034818502</c:v>
                  </c:pt>
                  <c:pt idx="3">
                    <c:v>0.42371811034818513</c:v>
                  </c:pt>
                  <c:pt idx="4">
                    <c:v>0.2315407331574969</c:v>
                  </c:pt>
                  <c:pt idx="5">
                    <c:v>0.1134476547592343</c:v>
                  </c:pt>
                </c:numCache>
              </c:numRef>
            </c:plus>
            <c:minus>
              <c:numRef>
                <c:f>'9. SGR Length (% day)'!$I$23:$I$28</c:f>
                <c:numCache>
                  <c:formatCode>General</c:formatCode>
                  <c:ptCount val="6"/>
                  <c:pt idx="0">
                    <c:v>0.40414518843273739</c:v>
                  </c:pt>
                  <c:pt idx="1">
                    <c:v>0.38490017945975064</c:v>
                  </c:pt>
                  <c:pt idx="2">
                    <c:v>0.42371811034818502</c:v>
                  </c:pt>
                  <c:pt idx="3">
                    <c:v>0.42371811034818513</c:v>
                  </c:pt>
                  <c:pt idx="4">
                    <c:v>0.2315407331574969</c:v>
                  </c:pt>
                  <c:pt idx="5">
                    <c:v>0.1134476547592343</c:v>
                  </c:pt>
                </c:numCache>
              </c:numRef>
            </c:minus>
            <c:spPr>
              <a:noFill/>
              <a:ln w="9525">
                <a:solidFill>
                  <a:schemeClr val="tx2">
                    <a:lumMod val="75000"/>
                    <a:lumOff val="25000"/>
                  </a:schemeClr>
                </a:solidFill>
                <a:round/>
              </a:ln>
              <a:effectLst/>
            </c:spPr>
          </c:errBars>
          <c:cat>
            <c:strRef>
              <c:f>'9. SGR Length (% day)'!$S$20:$S$25</c:f>
              <c:strCache>
                <c:ptCount val="6"/>
                <c:pt idx="0">
                  <c:v>T1</c:v>
                </c:pt>
                <c:pt idx="1">
                  <c:v>T2</c:v>
                </c:pt>
                <c:pt idx="2">
                  <c:v>T3</c:v>
                </c:pt>
                <c:pt idx="3">
                  <c:v>T4</c:v>
                </c:pt>
                <c:pt idx="4">
                  <c:v>T5</c:v>
                </c:pt>
                <c:pt idx="5">
                  <c:v>T6</c:v>
                </c:pt>
              </c:strCache>
            </c:strRef>
          </c:cat>
          <c:val>
            <c:numRef>
              <c:f>'9. SGR Length (% day)'!$T$20:$T$25</c:f>
              <c:numCache>
                <c:formatCode>0.00</c:formatCode>
                <c:ptCount val="6"/>
                <c:pt idx="0">
                  <c:v>3.5333333333333319</c:v>
                </c:pt>
                <c:pt idx="1">
                  <c:v>2.6666666666666661</c:v>
                </c:pt>
                <c:pt idx="2">
                  <c:v>1.8333333333333328</c:v>
                </c:pt>
                <c:pt idx="3">
                  <c:v>1.1333333333333357</c:v>
                </c:pt>
                <c:pt idx="4">
                  <c:v>0.50000000000000122</c:v>
                </c:pt>
                <c:pt idx="5">
                  <c:v>0.19999999999999971</c:v>
                </c:pt>
              </c:numCache>
            </c:numRef>
          </c:val>
          <c:extLst>
            <c:ext xmlns:c16="http://schemas.microsoft.com/office/drawing/2014/chart" uri="{C3380CC4-5D6E-409C-BE32-E72D297353CC}">
              <c16:uniqueId val="{0000000A-BB61-4BB0-9AED-8C19084E772E}"/>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3930618412645445"/>
              <c:y val="0.910454840203798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a:t>Initial and Final Weight (g)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198237627244487"/>
          <c:y val="0.15991856158167145"/>
          <c:w val="0.85053999531075974"/>
          <c:h val="0.62071532103263216"/>
        </c:manualLayout>
      </c:layout>
      <c:barChart>
        <c:barDir val="col"/>
        <c:grouping val="clustered"/>
        <c:varyColors val="0"/>
        <c:ser>
          <c:idx val="0"/>
          <c:order val="0"/>
          <c:tx>
            <c:strRef>
              <c:f>'6. Final Weight (g)'!$AH$22</c:f>
              <c:strCache>
                <c:ptCount val="1"/>
                <c:pt idx="0">
                  <c:v>Initial Weight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92D050"/>
              </a:solidFill>
              <a:ln>
                <a:noFill/>
              </a:ln>
              <a:effectLst/>
            </c:spPr>
            <c:extLst>
              <c:ext xmlns:c16="http://schemas.microsoft.com/office/drawing/2014/chart" uri="{C3380CC4-5D6E-409C-BE32-E72D297353CC}">
                <c16:uniqueId val="{00000001-80B1-49EF-A67A-97CC7E94D408}"/>
              </c:ext>
            </c:extLst>
          </c:dPt>
          <c:dPt>
            <c:idx val="2"/>
            <c:invertIfNegative val="0"/>
            <c:bubble3D val="0"/>
            <c:spPr>
              <a:solidFill>
                <a:srgbClr val="FFFF00"/>
              </a:solidFill>
              <a:ln>
                <a:noFill/>
              </a:ln>
              <a:effectLst/>
            </c:spPr>
            <c:extLst>
              <c:ext xmlns:c16="http://schemas.microsoft.com/office/drawing/2014/chart" uri="{C3380CC4-5D6E-409C-BE32-E72D297353CC}">
                <c16:uniqueId val="{00000003-80B1-49EF-A67A-97CC7E94D408}"/>
              </c:ext>
            </c:extLst>
          </c:dPt>
          <c:dPt>
            <c:idx val="3"/>
            <c:invertIfNegative val="0"/>
            <c:bubble3D val="0"/>
            <c:spPr>
              <a:solidFill>
                <a:srgbClr val="FF9900"/>
              </a:solidFill>
              <a:ln>
                <a:noFill/>
              </a:ln>
              <a:effectLst/>
            </c:spPr>
            <c:extLst>
              <c:ext xmlns:c16="http://schemas.microsoft.com/office/drawing/2014/chart" uri="{C3380CC4-5D6E-409C-BE32-E72D297353CC}">
                <c16:uniqueId val="{00000005-80B1-49EF-A67A-97CC7E94D408}"/>
              </c:ext>
            </c:extLst>
          </c:dPt>
          <c:dPt>
            <c:idx val="4"/>
            <c:invertIfNegative val="0"/>
            <c:bubble3D val="0"/>
            <c:spPr>
              <a:solidFill>
                <a:schemeClr val="accent4">
                  <a:lumMod val="75000"/>
                </a:schemeClr>
              </a:solidFill>
              <a:ln>
                <a:noFill/>
              </a:ln>
              <a:effectLst/>
            </c:spPr>
            <c:extLst>
              <c:ext xmlns:c16="http://schemas.microsoft.com/office/drawing/2014/chart" uri="{C3380CC4-5D6E-409C-BE32-E72D297353CC}">
                <c16:uniqueId val="{00000007-80B1-49EF-A67A-97CC7E94D408}"/>
              </c:ext>
            </c:extLst>
          </c:dPt>
          <c:dPt>
            <c:idx val="5"/>
            <c:invertIfNegative val="0"/>
            <c:bubble3D val="0"/>
            <c:spPr>
              <a:solidFill>
                <a:srgbClr val="FFC000"/>
              </a:solidFill>
              <a:ln>
                <a:noFill/>
              </a:ln>
              <a:effectLst/>
            </c:spPr>
            <c:extLst>
              <c:ext xmlns:c16="http://schemas.microsoft.com/office/drawing/2014/chart" uri="{C3380CC4-5D6E-409C-BE32-E72D297353CC}">
                <c16:uniqueId val="{00000009-80B1-49EF-A67A-97CC7E94D408}"/>
              </c:ext>
            </c:extLst>
          </c:dPt>
          <c:errBars>
            <c:errBarType val="both"/>
            <c:errValType val="cust"/>
            <c:noEndCap val="0"/>
            <c:plus>
              <c:numRef>
                <c:f>'6. Final Weight (g)'!$AL$23:$AL$28</c:f>
                <c:numCache>
                  <c:formatCode>General</c:formatCode>
                  <c:ptCount val="6"/>
                  <c:pt idx="0">
                    <c:v>1.7320508075688405E-2</c:v>
                  </c:pt>
                  <c:pt idx="1">
                    <c:v>1.7320508075688405E-2</c:v>
                  </c:pt>
                  <c:pt idx="2">
                    <c:v>1.7320508075688919E-2</c:v>
                  </c:pt>
                  <c:pt idx="3">
                    <c:v>1.7320508075688405E-2</c:v>
                  </c:pt>
                  <c:pt idx="4">
                    <c:v>5.7735026918961348E-3</c:v>
                  </c:pt>
                  <c:pt idx="5">
                    <c:v>5.7735026918966474E-3</c:v>
                  </c:pt>
                </c:numCache>
              </c:numRef>
            </c:plus>
            <c:minus>
              <c:numRef>
                <c:f>'6. Final Weight (g)'!$AL$23:$AL$28</c:f>
                <c:numCache>
                  <c:formatCode>General</c:formatCode>
                  <c:ptCount val="6"/>
                  <c:pt idx="0">
                    <c:v>1.7320508075688405E-2</c:v>
                  </c:pt>
                  <c:pt idx="1">
                    <c:v>1.7320508075688405E-2</c:v>
                  </c:pt>
                  <c:pt idx="2">
                    <c:v>1.7320508075688919E-2</c:v>
                  </c:pt>
                  <c:pt idx="3">
                    <c:v>1.7320508075688405E-2</c:v>
                  </c:pt>
                  <c:pt idx="4">
                    <c:v>5.7735026918961348E-3</c:v>
                  </c:pt>
                  <c:pt idx="5">
                    <c:v>5.7735026918966474E-3</c:v>
                  </c:pt>
                </c:numCache>
              </c:numRef>
            </c:minus>
            <c:spPr>
              <a:noFill/>
              <a:ln w="9525">
                <a:solidFill>
                  <a:schemeClr val="tx2">
                    <a:lumMod val="75000"/>
                    <a:lumOff val="25000"/>
                  </a:schemeClr>
                </a:solidFill>
                <a:round/>
              </a:ln>
              <a:effectLst/>
            </c:spPr>
          </c:errBars>
          <c:cat>
            <c:strRef>
              <c:f>'6. Final Weight (g)'!$AG$23:$AG$28</c:f>
              <c:strCache>
                <c:ptCount val="6"/>
                <c:pt idx="0">
                  <c:v>T1</c:v>
                </c:pt>
                <c:pt idx="1">
                  <c:v>T2</c:v>
                </c:pt>
                <c:pt idx="2">
                  <c:v>T3</c:v>
                </c:pt>
                <c:pt idx="3">
                  <c:v>T4</c:v>
                </c:pt>
                <c:pt idx="4">
                  <c:v>T5</c:v>
                </c:pt>
                <c:pt idx="5">
                  <c:v>T6</c:v>
                </c:pt>
              </c:strCache>
            </c:strRef>
          </c:cat>
          <c:val>
            <c:numRef>
              <c:f>'6. Final Weight (g)'!$AH$23:$AH$28</c:f>
              <c:numCache>
                <c:formatCode>0.00</c:formatCode>
                <c:ptCount val="6"/>
                <c:pt idx="0">
                  <c:v>11.780000000000001</c:v>
                </c:pt>
                <c:pt idx="1">
                  <c:v>11.76</c:v>
                </c:pt>
                <c:pt idx="2">
                  <c:v>11.79</c:v>
                </c:pt>
                <c:pt idx="3">
                  <c:v>11.75</c:v>
                </c:pt>
                <c:pt idx="4">
                  <c:v>11.729999999999999</c:v>
                </c:pt>
                <c:pt idx="5">
                  <c:v>11.709999999999999</c:v>
                </c:pt>
              </c:numCache>
            </c:numRef>
          </c:val>
          <c:extLst>
            <c:ext xmlns:c16="http://schemas.microsoft.com/office/drawing/2014/chart" uri="{C3380CC4-5D6E-409C-BE32-E72D297353CC}">
              <c16:uniqueId val="{0000000A-80B1-49EF-A67A-97CC7E94D408}"/>
            </c:ext>
          </c:extLst>
        </c:ser>
        <c:ser>
          <c:idx val="1"/>
          <c:order val="1"/>
          <c:tx>
            <c:strRef>
              <c:f>'6. Final Weight (g)'!$AI$22</c:f>
              <c:strCache>
                <c:ptCount val="1"/>
                <c:pt idx="0">
                  <c:v>Final Weight (g)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1"/>
            <c:invertIfNegative val="0"/>
            <c:bubble3D val="0"/>
            <c:spPr>
              <a:solidFill>
                <a:srgbClr val="9900FF"/>
              </a:solidFill>
              <a:ln>
                <a:noFill/>
              </a:ln>
              <a:effectLst/>
            </c:spPr>
            <c:extLst>
              <c:ext xmlns:c16="http://schemas.microsoft.com/office/drawing/2014/chart" uri="{C3380CC4-5D6E-409C-BE32-E72D297353CC}">
                <c16:uniqueId val="{0000000C-80B1-49EF-A67A-97CC7E94D408}"/>
              </c:ext>
            </c:extLst>
          </c:dPt>
          <c:dPt>
            <c:idx val="2"/>
            <c:invertIfNegative val="0"/>
            <c:bubble3D val="0"/>
            <c:spPr>
              <a:solidFill>
                <a:srgbClr val="00B0F0"/>
              </a:solidFill>
              <a:ln>
                <a:noFill/>
              </a:ln>
              <a:effectLst/>
            </c:spPr>
            <c:extLst>
              <c:ext xmlns:c16="http://schemas.microsoft.com/office/drawing/2014/chart" uri="{C3380CC4-5D6E-409C-BE32-E72D297353CC}">
                <c16:uniqueId val="{0000000E-80B1-49EF-A67A-97CC7E94D408}"/>
              </c:ext>
            </c:extLst>
          </c:dPt>
          <c:dPt>
            <c:idx val="3"/>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10-80B1-49EF-A67A-97CC7E94D408}"/>
              </c:ext>
            </c:extLst>
          </c:dPt>
          <c:dPt>
            <c:idx val="4"/>
            <c:invertIfNegative val="0"/>
            <c:bubble3D val="0"/>
            <c:spPr>
              <a:solidFill>
                <a:schemeClr val="accent6">
                  <a:lumMod val="75000"/>
                </a:schemeClr>
              </a:solidFill>
              <a:ln>
                <a:noFill/>
              </a:ln>
              <a:effectLst/>
            </c:spPr>
            <c:extLst>
              <c:ext xmlns:c16="http://schemas.microsoft.com/office/drawing/2014/chart" uri="{C3380CC4-5D6E-409C-BE32-E72D297353CC}">
                <c16:uniqueId val="{00000012-80B1-49EF-A67A-97CC7E94D408}"/>
              </c:ext>
            </c:extLst>
          </c:dPt>
          <c:dPt>
            <c:idx val="5"/>
            <c:invertIfNegative val="0"/>
            <c:bubble3D val="0"/>
            <c:spPr>
              <a:solidFill>
                <a:srgbClr val="C00000"/>
              </a:solidFill>
              <a:ln>
                <a:noFill/>
              </a:ln>
              <a:effectLst/>
            </c:spPr>
            <c:extLst>
              <c:ext xmlns:c16="http://schemas.microsoft.com/office/drawing/2014/chart" uri="{C3380CC4-5D6E-409C-BE32-E72D297353CC}">
                <c16:uniqueId val="{00000014-80B1-49EF-A67A-97CC7E94D408}"/>
              </c:ext>
            </c:extLst>
          </c:dPt>
          <c:errBars>
            <c:errBarType val="both"/>
            <c:errValType val="cust"/>
            <c:noEndCap val="0"/>
            <c:plus>
              <c:numRef>
                <c:f>'6. Final Weight (g)'!$AM$23:$AM$28</c:f>
                <c:numCache>
                  <c:formatCode>General</c:formatCode>
                  <c:ptCount val="6"/>
                  <c:pt idx="0">
                    <c:v>0.72746133917892841</c:v>
                  </c:pt>
                  <c:pt idx="1">
                    <c:v>0.1501110699893031</c:v>
                  </c:pt>
                  <c:pt idx="2">
                    <c:v>0.1501110699893026</c:v>
                  </c:pt>
                  <c:pt idx="3">
                    <c:v>0.1501110699893026</c:v>
                  </c:pt>
                  <c:pt idx="4">
                    <c:v>0.1501110699893026</c:v>
                  </c:pt>
                  <c:pt idx="5">
                    <c:v>0.1501110699893026</c:v>
                  </c:pt>
                </c:numCache>
              </c:numRef>
            </c:plus>
            <c:minus>
              <c:numRef>
                <c:f>'6. Final Weight (g)'!$AM$23:$AM$28</c:f>
                <c:numCache>
                  <c:formatCode>General</c:formatCode>
                  <c:ptCount val="6"/>
                  <c:pt idx="0">
                    <c:v>0.72746133917892841</c:v>
                  </c:pt>
                  <c:pt idx="1">
                    <c:v>0.1501110699893031</c:v>
                  </c:pt>
                  <c:pt idx="2">
                    <c:v>0.1501110699893026</c:v>
                  </c:pt>
                  <c:pt idx="3">
                    <c:v>0.1501110699893026</c:v>
                  </c:pt>
                  <c:pt idx="4">
                    <c:v>0.1501110699893026</c:v>
                  </c:pt>
                  <c:pt idx="5">
                    <c:v>0.1501110699893026</c:v>
                  </c:pt>
                </c:numCache>
              </c:numRef>
            </c:minus>
            <c:spPr>
              <a:noFill/>
              <a:ln w="9525">
                <a:solidFill>
                  <a:schemeClr val="tx2">
                    <a:lumMod val="75000"/>
                    <a:lumOff val="25000"/>
                  </a:schemeClr>
                </a:solidFill>
                <a:round/>
              </a:ln>
              <a:effectLst/>
            </c:spPr>
          </c:errBars>
          <c:cat>
            <c:strRef>
              <c:f>'6. Final Weight (g)'!$AG$23:$AG$28</c:f>
              <c:strCache>
                <c:ptCount val="6"/>
                <c:pt idx="0">
                  <c:v>T1</c:v>
                </c:pt>
                <c:pt idx="1">
                  <c:v>T2</c:v>
                </c:pt>
                <c:pt idx="2">
                  <c:v>T3</c:v>
                </c:pt>
                <c:pt idx="3">
                  <c:v>T4</c:v>
                </c:pt>
                <c:pt idx="4">
                  <c:v>T5</c:v>
                </c:pt>
                <c:pt idx="5">
                  <c:v>T6</c:v>
                </c:pt>
              </c:strCache>
            </c:strRef>
          </c:cat>
          <c:val>
            <c:numRef>
              <c:f>'6. Final Weight (g)'!$AI$23:$AI$28</c:f>
              <c:numCache>
                <c:formatCode>0.00</c:formatCode>
                <c:ptCount val="6"/>
                <c:pt idx="0">
                  <c:v>18.649999999999999</c:v>
                </c:pt>
                <c:pt idx="1">
                  <c:v>16.12</c:v>
                </c:pt>
                <c:pt idx="2">
                  <c:v>14.979999999999999</c:v>
                </c:pt>
                <c:pt idx="3">
                  <c:v>13.449999999999998</c:v>
                </c:pt>
                <c:pt idx="4">
                  <c:v>12.35</c:v>
                </c:pt>
                <c:pt idx="5">
                  <c:v>11.980000000000002</c:v>
                </c:pt>
              </c:numCache>
            </c:numRef>
          </c:val>
          <c:extLst>
            <c:ext xmlns:c16="http://schemas.microsoft.com/office/drawing/2014/chart" uri="{C3380CC4-5D6E-409C-BE32-E72D297353CC}">
              <c16:uniqueId val="{00000015-80B1-49EF-A67A-97CC7E94D408}"/>
            </c:ext>
          </c:extLst>
        </c:ser>
        <c:dLbls>
          <c:showLegendKey val="0"/>
          <c:showVal val="0"/>
          <c:showCatName val="0"/>
          <c:showSerName val="0"/>
          <c:showPercent val="0"/>
          <c:showBubbleSize val="0"/>
        </c:dLbls>
        <c:gapWidth val="100"/>
        <c:overlap val="-24"/>
        <c:axId val="286698000"/>
        <c:axId val="286698480"/>
      </c:barChart>
      <c:catAx>
        <c:axId val="286698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a:t>
                </a:r>
              </a:p>
            </c:rich>
          </c:tx>
          <c:layout>
            <c:manualLayout>
              <c:xMode val="edge"/>
              <c:yMode val="edge"/>
              <c:x val="0.46147142810468195"/>
              <c:y val="0.8529186961082602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480"/>
        <c:crosses val="autoZero"/>
        <c:auto val="1"/>
        <c:lblAlgn val="ctr"/>
        <c:lblOffset val="100"/>
        <c:noMultiLvlLbl val="0"/>
      </c:catAx>
      <c:valAx>
        <c:axId val="2866984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Gram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000"/>
        <c:crosses val="autoZero"/>
        <c:crossBetween val="between"/>
      </c:valAx>
      <c:spPr>
        <a:noFill/>
        <a:ln>
          <a:noFill/>
        </a:ln>
        <a:effectLst/>
      </c:spPr>
    </c:plotArea>
    <c:legend>
      <c:legendPos val="b"/>
      <c:layout>
        <c:manualLayout>
          <c:xMode val="edge"/>
          <c:yMode val="edge"/>
          <c:x val="0.20736210044536632"/>
          <c:y val="0.92317162919638562"/>
          <c:w val="0.59249930322639355"/>
          <c:h val="5.57461501430381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206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'7. Weight Gain (g)'!$T$19</c:f>
              <c:strCache>
                <c:ptCount val="1"/>
                <c:pt idx="0">
                  <c:v>Weight Gain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2D18-4E7B-841F-E5D029318391}"/>
              </c:ext>
            </c:extLst>
          </c:dPt>
          <c:dPt>
            <c:idx val="2"/>
            <c:invertIfNegative val="0"/>
            <c:bubble3D val="0"/>
            <c:spPr>
              <a:solidFill>
                <a:srgbClr val="FF0000"/>
              </a:solidFill>
              <a:ln>
                <a:noFill/>
              </a:ln>
              <a:effectLst/>
            </c:spPr>
            <c:extLst>
              <c:ext xmlns:c16="http://schemas.microsoft.com/office/drawing/2014/chart" uri="{C3380CC4-5D6E-409C-BE32-E72D297353CC}">
                <c16:uniqueId val="{00000003-2D18-4E7B-841F-E5D029318391}"/>
              </c:ext>
            </c:extLst>
          </c:dPt>
          <c:dPt>
            <c:idx val="3"/>
            <c:invertIfNegative val="0"/>
            <c:bubble3D val="0"/>
            <c:spPr>
              <a:solidFill>
                <a:srgbClr val="00B050"/>
              </a:solidFill>
              <a:ln>
                <a:noFill/>
              </a:ln>
              <a:effectLst/>
            </c:spPr>
            <c:extLst>
              <c:ext xmlns:c16="http://schemas.microsoft.com/office/drawing/2014/chart" uri="{C3380CC4-5D6E-409C-BE32-E72D297353CC}">
                <c16:uniqueId val="{00000005-2D18-4E7B-841F-E5D029318391}"/>
              </c:ext>
            </c:extLst>
          </c:dPt>
          <c:dPt>
            <c:idx val="4"/>
            <c:invertIfNegative val="0"/>
            <c:bubble3D val="0"/>
            <c:spPr>
              <a:solidFill>
                <a:srgbClr val="7030A0"/>
              </a:solidFill>
              <a:ln>
                <a:noFill/>
              </a:ln>
              <a:effectLst/>
            </c:spPr>
            <c:extLst>
              <c:ext xmlns:c16="http://schemas.microsoft.com/office/drawing/2014/chart" uri="{C3380CC4-5D6E-409C-BE32-E72D297353CC}">
                <c16:uniqueId val="{00000007-2D18-4E7B-841F-E5D029318391}"/>
              </c:ext>
            </c:extLst>
          </c:dPt>
          <c:dPt>
            <c:idx val="5"/>
            <c:invertIfNegative val="0"/>
            <c:bubble3D val="0"/>
            <c:spPr>
              <a:solidFill>
                <a:srgbClr val="00B0F0"/>
              </a:solidFill>
              <a:ln>
                <a:noFill/>
              </a:ln>
              <a:effectLst/>
            </c:spPr>
            <c:extLst>
              <c:ext xmlns:c16="http://schemas.microsoft.com/office/drawing/2014/chart" uri="{C3380CC4-5D6E-409C-BE32-E72D297353CC}">
                <c16:uniqueId val="{00000009-2D18-4E7B-841F-E5D029318391}"/>
              </c:ext>
            </c:extLst>
          </c:dPt>
          <c:errBars>
            <c:errBarType val="both"/>
            <c:errValType val="cust"/>
            <c:noEndCap val="0"/>
            <c:plus>
              <c:numRef>
                <c:f>'7. Weight Gain (g)'!$I$23:$I$28</c:f>
                <c:numCache>
                  <c:formatCode>General</c:formatCode>
                  <c:ptCount val="6"/>
                  <c:pt idx="0">
                    <c:v>0.73627440536799882</c:v>
                  </c:pt>
                  <c:pt idx="1">
                    <c:v>0.15947831618540939</c:v>
                  </c:pt>
                  <c:pt idx="2">
                    <c:v>0.15947831618540886</c:v>
                  </c:pt>
                  <c:pt idx="3">
                    <c:v>0.15947831618540897</c:v>
                  </c:pt>
                  <c:pt idx="4">
                    <c:v>0.15307950004273357</c:v>
                  </c:pt>
                  <c:pt idx="5">
                    <c:v>0.15307950004273413</c:v>
                  </c:pt>
                </c:numCache>
              </c:numRef>
            </c:plus>
            <c:minus>
              <c:numRef>
                <c:f>'7. Weight Gain (g)'!$I$23:$I$28</c:f>
                <c:numCache>
                  <c:formatCode>General</c:formatCode>
                  <c:ptCount val="6"/>
                  <c:pt idx="0">
                    <c:v>0.73627440536799882</c:v>
                  </c:pt>
                  <c:pt idx="1">
                    <c:v>0.15947831618540939</c:v>
                  </c:pt>
                  <c:pt idx="2">
                    <c:v>0.15947831618540886</c:v>
                  </c:pt>
                  <c:pt idx="3">
                    <c:v>0.15947831618540897</c:v>
                  </c:pt>
                  <c:pt idx="4">
                    <c:v>0.15307950004273357</c:v>
                  </c:pt>
                  <c:pt idx="5">
                    <c:v>0.15307950004273413</c:v>
                  </c:pt>
                </c:numCache>
              </c:numRef>
            </c:minus>
            <c:spPr>
              <a:noFill/>
              <a:ln w="9525">
                <a:solidFill>
                  <a:schemeClr val="tx2">
                    <a:lumMod val="75000"/>
                    <a:lumOff val="25000"/>
                  </a:schemeClr>
                </a:solidFill>
                <a:round/>
              </a:ln>
              <a:effectLst/>
            </c:spPr>
          </c:errBars>
          <c:cat>
            <c:strRef>
              <c:f>'7. Weight Gain (g)'!$S$20:$S$25</c:f>
              <c:strCache>
                <c:ptCount val="6"/>
                <c:pt idx="0">
                  <c:v>T1</c:v>
                </c:pt>
                <c:pt idx="1">
                  <c:v>T2</c:v>
                </c:pt>
                <c:pt idx="2">
                  <c:v>T3</c:v>
                </c:pt>
                <c:pt idx="3">
                  <c:v>T4</c:v>
                </c:pt>
                <c:pt idx="4">
                  <c:v>T5</c:v>
                </c:pt>
                <c:pt idx="5">
                  <c:v>T6</c:v>
                </c:pt>
              </c:strCache>
            </c:strRef>
          </c:cat>
          <c:val>
            <c:numRef>
              <c:f>'7. Weight Gain (g)'!$T$20:$T$25</c:f>
              <c:numCache>
                <c:formatCode>0.00</c:formatCode>
                <c:ptCount val="6"/>
                <c:pt idx="0">
                  <c:v>6.87</c:v>
                </c:pt>
                <c:pt idx="1">
                  <c:v>4.3600000000000021</c:v>
                </c:pt>
                <c:pt idx="2">
                  <c:v>3.1900000000000008</c:v>
                </c:pt>
                <c:pt idx="3">
                  <c:v>1.6999999999999993</c:v>
                </c:pt>
                <c:pt idx="4">
                  <c:v>0.61999999999999922</c:v>
                </c:pt>
                <c:pt idx="5">
                  <c:v>0.27000000000000018</c:v>
                </c:pt>
              </c:numCache>
            </c:numRef>
          </c:val>
          <c:extLst>
            <c:ext xmlns:c16="http://schemas.microsoft.com/office/drawing/2014/chart" uri="{C3380CC4-5D6E-409C-BE32-E72D297353CC}">
              <c16:uniqueId val="{0000000A-2D18-4E7B-841F-E5D029318391}"/>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1763510298029505"/>
              <c:y val="0.9240483384540122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Gram</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'8. Weight Gain (%)'!$T$19</c:f>
              <c:strCache>
                <c:ptCount val="1"/>
                <c:pt idx="0">
                  <c:v>Weight Gain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3BD5-4159-9E59-00D360368D50}"/>
              </c:ext>
            </c:extLst>
          </c:dPt>
          <c:dPt>
            <c:idx val="2"/>
            <c:invertIfNegative val="0"/>
            <c:bubble3D val="0"/>
            <c:spPr>
              <a:solidFill>
                <a:srgbClr val="FF0000"/>
              </a:solidFill>
              <a:ln>
                <a:noFill/>
              </a:ln>
              <a:effectLst/>
            </c:spPr>
            <c:extLst>
              <c:ext xmlns:c16="http://schemas.microsoft.com/office/drawing/2014/chart" uri="{C3380CC4-5D6E-409C-BE32-E72D297353CC}">
                <c16:uniqueId val="{00000003-3BD5-4159-9E59-00D360368D50}"/>
              </c:ext>
            </c:extLst>
          </c:dPt>
          <c:dPt>
            <c:idx val="3"/>
            <c:invertIfNegative val="0"/>
            <c:bubble3D val="0"/>
            <c:spPr>
              <a:solidFill>
                <a:srgbClr val="00B050"/>
              </a:solidFill>
              <a:ln>
                <a:noFill/>
              </a:ln>
              <a:effectLst/>
            </c:spPr>
            <c:extLst>
              <c:ext xmlns:c16="http://schemas.microsoft.com/office/drawing/2014/chart" uri="{C3380CC4-5D6E-409C-BE32-E72D297353CC}">
                <c16:uniqueId val="{00000005-3BD5-4159-9E59-00D360368D50}"/>
              </c:ext>
            </c:extLst>
          </c:dPt>
          <c:dPt>
            <c:idx val="4"/>
            <c:invertIfNegative val="0"/>
            <c:bubble3D val="0"/>
            <c:spPr>
              <a:solidFill>
                <a:srgbClr val="7030A0"/>
              </a:solidFill>
              <a:ln>
                <a:noFill/>
              </a:ln>
              <a:effectLst/>
            </c:spPr>
            <c:extLst>
              <c:ext xmlns:c16="http://schemas.microsoft.com/office/drawing/2014/chart" uri="{C3380CC4-5D6E-409C-BE32-E72D297353CC}">
                <c16:uniqueId val="{00000007-3BD5-4159-9E59-00D360368D50}"/>
              </c:ext>
            </c:extLst>
          </c:dPt>
          <c:dPt>
            <c:idx val="5"/>
            <c:invertIfNegative val="0"/>
            <c:bubble3D val="0"/>
            <c:spPr>
              <a:solidFill>
                <a:srgbClr val="00B0F0"/>
              </a:solidFill>
              <a:ln>
                <a:noFill/>
              </a:ln>
              <a:effectLst/>
            </c:spPr>
            <c:extLst>
              <c:ext xmlns:c16="http://schemas.microsoft.com/office/drawing/2014/chart" uri="{C3380CC4-5D6E-409C-BE32-E72D297353CC}">
                <c16:uniqueId val="{00000009-3BD5-4159-9E59-00D360368D50}"/>
              </c:ext>
            </c:extLst>
          </c:dPt>
          <c:errBars>
            <c:errBarType val="both"/>
            <c:errValType val="cust"/>
            <c:noEndCap val="0"/>
            <c:plus>
              <c:numRef>
                <c:f>'8. Weight Gain (%)'!$I$23:$I$28</c:f>
                <c:numCache>
                  <c:formatCode>General</c:formatCode>
                  <c:ptCount val="6"/>
                  <c:pt idx="0">
                    <c:v>2.5186121934268106</c:v>
                  </c:pt>
                  <c:pt idx="1">
                    <c:v>0.73745104251184812</c:v>
                  </c:pt>
                  <c:pt idx="2">
                    <c:v>0.85069951386153075</c:v>
                  </c:pt>
                  <c:pt idx="3">
                    <c:v>1.0433320380005104</c:v>
                  </c:pt>
                  <c:pt idx="4">
                    <c:v>1.1781496175311799</c:v>
                  </c:pt>
                  <c:pt idx="5">
                    <c:v>1.2492081986122534</c:v>
                  </c:pt>
                </c:numCache>
              </c:numRef>
            </c:plus>
            <c:minus>
              <c:numRef>
                <c:f>'8. Weight Gain (%)'!$I$23:$I$28</c:f>
                <c:numCache>
                  <c:formatCode>General</c:formatCode>
                  <c:ptCount val="6"/>
                  <c:pt idx="0">
                    <c:v>2.5186121934268106</c:v>
                  </c:pt>
                  <c:pt idx="1">
                    <c:v>0.73745104251184812</c:v>
                  </c:pt>
                  <c:pt idx="2">
                    <c:v>0.85069951386153075</c:v>
                  </c:pt>
                  <c:pt idx="3">
                    <c:v>1.0433320380005104</c:v>
                  </c:pt>
                  <c:pt idx="4">
                    <c:v>1.1781496175311799</c:v>
                  </c:pt>
                  <c:pt idx="5">
                    <c:v>1.2492081986122534</c:v>
                  </c:pt>
                </c:numCache>
              </c:numRef>
            </c:minus>
            <c:spPr>
              <a:noFill/>
              <a:ln w="9525">
                <a:solidFill>
                  <a:schemeClr val="tx2">
                    <a:lumMod val="75000"/>
                    <a:lumOff val="25000"/>
                  </a:schemeClr>
                </a:solidFill>
                <a:round/>
              </a:ln>
              <a:effectLst/>
            </c:spPr>
          </c:errBars>
          <c:cat>
            <c:strRef>
              <c:f>'8. Weight Gain (%)'!$S$20:$S$25</c:f>
              <c:strCache>
                <c:ptCount val="6"/>
                <c:pt idx="0">
                  <c:v>T1</c:v>
                </c:pt>
                <c:pt idx="1">
                  <c:v>T2</c:v>
                </c:pt>
                <c:pt idx="2">
                  <c:v>T3</c:v>
                </c:pt>
                <c:pt idx="3">
                  <c:v>T4</c:v>
                </c:pt>
                <c:pt idx="4">
                  <c:v>T5</c:v>
                </c:pt>
                <c:pt idx="5">
                  <c:v>T6</c:v>
                </c:pt>
              </c:strCache>
            </c:strRef>
          </c:cat>
          <c:val>
            <c:numRef>
              <c:f>'8. Weight Gain (%)'!$T$20:$T$25</c:f>
              <c:numCache>
                <c:formatCode>0.00</c:formatCode>
                <c:ptCount val="6"/>
                <c:pt idx="0">
                  <c:v>36.639984215275476</c:v>
                </c:pt>
                <c:pt idx="1">
                  <c:v>27.033506184748919</c:v>
                </c:pt>
                <c:pt idx="2">
                  <c:v>21.278110010349689</c:v>
                </c:pt>
                <c:pt idx="3">
                  <c:v>12.616223701426165</c:v>
                </c:pt>
                <c:pt idx="4">
                  <c:v>4.9916097706341462</c:v>
                </c:pt>
                <c:pt idx="5">
                  <c:v>2.2224575814360557</c:v>
                </c:pt>
              </c:numCache>
            </c:numRef>
          </c:val>
          <c:extLst>
            <c:ext xmlns:c16="http://schemas.microsoft.com/office/drawing/2014/chart" uri="{C3380CC4-5D6E-409C-BE32-E72D297353CC}">
              <c16:uniqueId val="{0000000A-3BD5-4159-9E59-00D360368D50}"/>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'10. SGR Weight (% day)'!$T$19</c:f>
              <c:strCache>
                <c:ptCount val="1"/>
                <c:pt idx="0">
                  <c:v>SGR Weight (%/day)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C654-48AF-A6CE-5A83A7B1635D}"/>
              </c:ext>
            </c:extLst>
          </c:dPt>
          <c:dPt>
            <c:idx val="2"/>
            <c:invertIfNegative val="0"/>
            <c:bubble3D val="0"/>
            <c:spPr>
              <a:solidFill>
                <a:srgbClr val="FF0000"/>
              </a:solidFill>
              <a:ln>
                <a:noFill/>
              </a:ln>
              <a:effectLst/>
            </c:spPr>
            <c:extLst>
              <c:ext xmlns:c16="http://schemas.microsoft.com/office/drawing/2014/chart" uri="{C3380CC4-5D6E-409C-BE32-E72D297353CC}">
                <c16:uniqueId val="{00000003-C654-48AF-A6CE-5A83A7B1635D}"/>
              </c:ext>
            </c:extLst>
          </c:dPt>
          <c:dPt>
            <c:idx val="3"/>
            <c:invertIfNegative val="0"/>
            <c:bubble3D val="0"/>
            <c:spPr>
              <a:solidFill>
                <a:srgbClr val="00B050"/>
              </a:solidFill>
              <a:ln>
                <a:noFill/>
              </a:ln>
              <a:effectLst/>
            </c:spPr>
            <c:extLst>
              <c:ext xmlns:c16="http://schemas.microsoft.com/office/drawing/2014/chart" uri="{C3380CC4-5D6E-409C-BE32-E72D297353CC}">
                <c16:uniqueId val="{00000005-C654-48AF-A6CE-5A83A7B1635D}"/>
              </c:ext>
            </c:extLst>
          </c:dPt>
          <c:dPt>
            <c:idx val="4"/>
            <c:invertIfNegative val="0"/>
            <c:bubble3D val="0"/>
            <c:spPr>
              <a:solidFill>
                <a:srgbClr val="7030A0"/>
              </a:solidFill>
              <a:ln>
                <a:noFill/>
              </a:ln>
              <a:effectLst/>
            </c:spPr>
            <c:extLst>
              <c:ext xmlns:c16="http://schemas.microsoft.com/office/drawing/2014/chart" uri="{C3380CC4-5D6E-409C-BE32-E72D297353CC}">
                <c16:uniqueId val="{00000007-C654-48AF-A6CE-5A83A7B1635D}"/>
              </c:ext>
            </c:extLst>
          </c:dPt>
          <c:dPt>
            <c:idx val="5"/>
            <c:invertIfNegative val="0"/>
            <c:bubble3D val="0"/>
            <c:spPr>
              <a:solidFill>
                <a:srgbClr val="00B0F0"/>
              </a:solidFill>
              <a:ln>
                <a:noFill/>
              </a:ln>
              <a:effectLst/>
            </c:spPr>
            <c:extLst>
              <c:ext xmlns:c16="http://schemas.microsoft.com/office/drawing/2014/chart" uri="{C3380CC4-5D6E-409C-BE32-E72D297353CC}">
                <c16:uniqueId val="{00000009-C654-48AF-A6CE-5A83A7B1635D}"/>
              </c:ext>
            </c:extLst>
          </c:dPt>
          <c:errBars>
            <c:errBarType val="both"/>
            <c:errValType val="cust"/>
            <c:noEndCap val="0"/>
            <c:plus>
              <c:numRef>
                <c:f>'10. SGR Weight (% day)'!$I$23:$I$28</c:f>
                <c:numCache>
                  <c:formatCode>General</c:formatCode>
                  <c:ptCount val="6"/>
                  <c:pt idx="0">
                    <c:v>1.2271240089466662</c:v>
                  </c:pt>
                  <c:pt idx="1">
                    <c:v>0.26579719364234922</c:v>
                  </c:pt>
                  <c:pt idx="2">
                    <c:v>0.265797193642348</c:v>
                  </c:pt>
                  <c:pt idx="3">
                    <c:v>0.26579719364234766</c:v>
                  </c:pt>
                  <c:pt idx="4">
                    <c:v>0.25513250007122273</c:v>
                  </c:pt>
                  <c:pt idx="5">
                    <c:v>0.25513250007122351</c:v>
                  </c:pt>
                </c:numCache>
              </c:numRef>
            </c:plus>
            <c:minus>
              <c:numRef>
                <c:f>'10. SGR Weight (% day)'!$I$23:$I$28</c:f>
                <c:numCache>
                  <c:formatCode>General</c:formatCode>
                  <c:ptCount val="6"/>
                  <c:pt idx="0">
                    <c:v>1.2271240089466662</c:v>
                  </c:pt>
                  <c:pt idx="1">
                    <c:v>0.26579719364234922</c:v>
                  </c:pt>
                  <c:pt idx="2">
                    <c:v>0.265797193642348</c:v>
                  </c:pt>
                  <c:pt idx="3">
                    <c:v>0.26579719364234766</c:v>
                  </c:pt>
                  <c:pt idx="4">
                    <c:v>0.25513250007122273</c:v>
                  </c:pt>
                  <c:pt idx="5">
                    <c:v>0.25513250007122351</c:v>
                  </c:pt>
                </c:numCache>
              </c:numRef>
            </c:minus>
            <c:spPr>
              <a:noFill/>
              <a:ln w="9525">
                <a:solidFill>
                  <a:schemeClr val="tx2">
                    <a:lumMod val="75000"/>
                    <a:lumOff val="25000"/>
                  </a:schemeClr>
                </a:solidFill>
                <a:round/>
              </a:ln>
              <a:effectLst/>
            </c:spPr>
          </c:errBars>
          <c:cat>
            <c:strRef>
              <c:f>'10. SGR Weight (% day)'!$S$20:$S$25</c:f>
              <c:strCache>
                <c:ptCount val="6"/>
                <c:pt idx="0">
                  <c:v>T1</c:v>
                </c:pt>
                <c:pt idx="1">
                  <c:v>T2</c:v>
                </c:pt>
                <c:pt idx="2">
                  <c:v>T3</c:v>
                </c:pt>
                <c:pt idx="3">
                  <c:v>T4</c:v>
                </c:pt>
                <c:pt idx="4">
                  <c:v>T5</c:v>
                </c:pt>
                <c:pt idx="5">
                  <c:v>T6</c:v>
                </c:pt>
              </c:strCache>
            </c:strRef>
          </c:cat>
          <c:val>
            <c:numRef>
              <c:f>'10. SGR Weight (% day)'!$T$20:$T$25</c:f>
              <c:numCache>
                <c:formatCode>0.00</c:formatCode>
                <c:ptCount val="6"/>
                <c:pt idx="0">
                  <c:v>11.450000000000001</c:v>
                </c:pt>
                <c:pt idx="1">
                  <c:v>7.2666666666666693</c:v>
                </c:pt>
                <c:pt idx="2">
                  <c:v>5.3166666666666673</c:v>
                </c:pt>
                <c:pt idx="3">
                  <c:v>2.8333333333333321</c:v>
                </c:pt>
                <c:pt idx="4">
                  <c:v>1.0333333333333321</c:v>
                </c:pt>
                <c:pt idx="5">
                  <c:v>0.45000000000000023</c:v>
                </c:pt>
              </c:numCache>
            </c:numRef>
          </c:val>
          <c:extLst>
            <c:ext xmlns:c16="http://schemas.microsoft.com/office/drawing/2014/chart" uri="{C3380CC4-5D6E-409C-BE32-E72D297353CC}">
              <c16:uniqueId val="{0000000A-C654-48AF-A6CE-5A83A7B1635D}"/>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3930618412645445"/>
              <c:y val="0.9185726195990205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2302D-1A11-4CC6-9E3B-94A0482C6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user</cp:lastModifiedBy>
  <cp:revision>89</cp:revision>
  <dcterms:created xsi:type="dcterms:W3CDTF">2025-12-20T04:43:00Z</dcterms:created>
  <dcterms:modified xsi:type="dcterms:W3CDTF">2026-01-23T11:19:00Z</dcterms:modified>
</cp:coreProperties>
</file>