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B2D27" w14:textId="286013A0" w:rsidR="00BC7AC7" w:rsidRPr="00F02F76" w:rsidRDefault="00BC7AC7" w:rsidP="00C6383C">
      <w:pPr>
        <w:spacing w:line="276" w:lineRule="auto"/>
        <w:jc w:val="center"/>
        <w:rPr>
          <w:rFonts w:ascii="Times New Roman" w:hAnsi="Times New Roman" w:cs="Times New Roman"/>
          <w:b/>
          <w:bCs/>
          <w:color w:val="000000" w:themeColor="text1"/>
          <w:sz w:val="30"/>
          <w:szCs w:val="30"/>
        </w:rPr>
      </w:pPr>
      <w:r w:rsidRPr="00F02F76">
        <w:rPr>
          <w:rFonts w:ascii="Times New Roman" w:hAnsi="Times New Roman" w:cs="Times New Roman"/>
          <w:b/>
          <w:bCs/>
          <w:color w:val="000000" w:themeColor="text1"/>
          <w:sz w:val="30"/>
          <w:szCs w:val="30"/>
        </w:rPr>
        <w:t>Corporate Social Responsibility in the Banking Sector of Bangladesh: Determinants and Levels of Engagement</w:t>
      </w:r>
    </w:p>
    <w:p w14:paraId="3B7D3CDF" w14:textId="77777777" w:rsidR="00BC7AC7" w:rsidRDefault="00BC7AC7" w:rsidP="00C6383C">
      <w:pPr>
        <w:spacing w:line="276" w:lineRule="auto"/>
        <w:jc w:val="center"/>
        <w:rPr>
          <w:rFonts w:ascii="Times New Roman" w:hAnsi="Times New Roman" w:cs="Times New Roman"/>
          <w:b/>
          <w:bCs/>
          <w:color w:val="000000" w:themeColor="text1"/>
        </w:rPr>
      </w:pPr>
    </w:p>
    <w:p w14:paraId="4BC42D50" w14:textId="77777777" w:rsidR="00F02F76" w:rsidRPr="00B265FC" w:rsidRDefault="00F02F76" w:rsidP="00C6383C">
      <w:pPr>
        <w:spacing w:line="276" w:lineRule="auto"/>
        <w:jc w:val="center"/>
        <w:rPr>
          <w:rFonts w:ascii="Times New Roman" w:hAnsi="Times New Roman" w:cs="Times New Roman"/>
          <w:b/>
          <w:bCs/>
          <w:color w:val="000000" w:themeColor="text1"/>
        </w:rPr>
      </w:pPr>
    </w:p>
    <w:p w14:paraId="37E33FB0" w14:textId="26BDC3D4" w:rsidR="003D3047" w:rsidRPr="00B265FC" w:rsidRDefault="003D3047" w:rsidP="00DC3FD6">
      <w:pPr>
        <w:ind w:left="1" w:hanging="3"/>
        <w:jc w:val="both"/>
        <w:rPr>
          <w:rFonts w:ascii="Times New Roman" w:hAnsi="Times New Roman" w:cs="Times New Roman"/>
          <w:b/>
          <w:iCs/>
        </w:rPr>
      </w:pPr>
      <w:bookmarkStart w:id="0" w:name="_Hlk191021014"/>
      <w:r w:rsidRPr="00B265FC">
        <w:rPr>
          <w:rFonts w:ascii="Times New Roman" w:hAnsi="Times New Roman" w:cs="Times New Roman"/>
          <w:b/>
          <w:iCs/>
        </w:rPr>
        <w:t>Abstract</w:t>
      </w:r>
    </w:p>
    <w:bookmarkEnd w:id="0"/>
    <w:p w14:paraId="6185A5FE" w14:textId="0F24B838" w:rsidR="00D01301" w:rsidRPr="00B265FC" w:rsidRDefault="00C50252" w:rsidP="00DC3FD6">
      <w:pPr>
        <w:jc w:val="both"/>
        <w:rPr>
          <w:rFonts w:ascii="Times New Roman" w:hAnsi="Times New Roman" w:cs="Times New Roman"/>
          <w:lang w:eastAsia="en-GB" w:bidi="bn-IN"/>
        </w:rPr>
      </w:pPr>
      <w:r>
        <w:rPr>
          <w:rFonts w:ascii="Times New Roman" w:hAnsi="Times New Roman" w:cs="Times New Roman"/>
          <w:lang w:eastAsia="en-GB" w:bidi="bn-IN"/>
        </w:rPr>
        <w:t>This study explores the significance of corporate social responsibility (CSR) in Bangladesh's banking sector, focusing specifically on the involvement of top and executive managers in CSR initiatives. Utilizing a quantitative approach and a cross-sectional design, the research surveyed 500 managers and executives from various banks across Bangladesh through simple random sampling. The goal is to enhance understanding of the banking sector's CSR activities, the main driving forces behind them, and the extent of social engagement by banks. Results show that Bangladeshi banks generally rate their CSR efforts as moderate but demonstrate a strong commitment to CSR. The study identifies four key factors influencing CSR adoption: local and foreign influences, company reputation, economic performance, and cultural awareness. Factor analysis indicates these factors significantly affect CSR practices within the banking industry. Additionally, the research points out that a bank's level of social involvement largely depends on economic conditions, with more activity during economic booms and less during recessions. The study underscores the moral obligation and the importance of equitable treatment in CSR policies, recommending that banks prioritize community programs, education, health, environmental sustainability, and employee welfare to boost their competitiveness and reputation. Overall, this research offers valuable insights into CSR in Bangladesh's banking sector and presents practical recommendations for banking institutions and professionals.</w:t>
      </w:r>
    </w:p>
    <w:p w14:paraId="3427C725" w14:textId="77777777" w:rsidR="00C94381" w:rsidRPr="00B265FC" w:rsidRDefault="00C94381" w:rsidP="00DC3FD6">
      <w:pPr>
        <w:jc w:val="both"/>
        <w:rPr>
          <w:rFonts w:ascii="Times New Roman" w:hAnsi="Times New Roman" w:cs="Times New Roman"/>
          <w:b/>
        </w:rPr>
      </w:pPr>
    </w:p>
    <w:p w14:paraId="6A6E907B" w14:textId="2E5D815B" w:rsidR="00AD691F" w:rsidRPr="00B265FC" w:rsidRDefault="003D3047"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hAnsi="Times New Roman" w:cs="Times New Roman"/>
          <w:b/>
        </w:rPr>
        <w:t xml:space="preserve">Keywords: </w:t>
      </w:r>
      <w:r w:rsidRPr="00B265FC">
        <w:rPr>
          <w:rFonts w:ascii="Times New Roman" w:hAnsi="Times New Roman" w:cs="Times New Roman"/>
          <w:color w:val="000000" w:themeColor="text1"/>
          <w:lang w:eastAsia="en-GB" w:bidi="bn-IN"/>
        </w:rPr>
        <w:t>Corporate Social Responsibility (CSR), Banking Sector, Quantitative Analysis, Economic Influence, Drivers of CSR</w:t>
      </w:r>
      <w:r w:rsidR="002E1DE0" w:rsidRPr="00B265FC">
        <w:rPr>
          <w:rFonts w:ascii="Times New Roman" w:hAnsi="Times New Roman" w:cs="Times New Roman"/>
          <w:color w:val="000000" w:themeColor="text1"/>
          <w:lang w:eastAsia="en-GB" w:bidi="bn-IN"/>
        </w:rPr>
        <w:t>.</w:t>
      </w:r>
    </w:p>
    <w:p w14:paraId="2EA9B6F2" w14:textId="77777777" w:rsidR="00AD691F" w:rsidRPr="00B265FC" w:rsidRDefault="00AD691F" w:rsidP="00DC3FD6">
      <w:pPr>
        <w:jc w:val="both"/>
        <w:rPr>
          <w:rFonts w:ascii="Times New Roman" w:hAnsi="Times New Roman" w:cs="Times New Roman"/>
          <w:color w:val="000000" w:themeColor="text1"/>
        </w:rPr>
      </w:pPr>
    </w:p>
    <w:p w14:paraId="4024E0D1" w14:textId="77777777" w:rsidR="002E1DE0" w:rsidRPr="00B265FC" w:rsidRDefault="002E1DE0" w:rsidP="00DC3FD6">
      <w:pPr>
        <w:jc w:val="both"/>
        <w:rPr>
          <w:rFonts w:ascii="Times New Roman" w:hAnsi="Times New Roman" w:cs="Times New Roman"/>
          <w:color w:val="000000" w:themeColor="text1"/>
        </w:rPr>
      </w:pPr>
    </w:p>
    <w:p w14:paraId="6CB5013E" w14:textId="77777777" w:rsidR="002E1DE0" w:rsidRPr="00B265FC" w:rsidRDefault="002E1DE0" w:rsidP="00DC3FD6">
      <w:pPr>
        <w:rPr>
          <w:rFonts w:ascii="Times New Roman" w:hAnsi="Times New Roman" w:cs="Times New Roman"/>
          <w:color w:val="000000" w:themeColor="text1"/>
        </w:rPr>
      </w:pPr>
    </w:p>
    <w:p w14:paraId="1D54FFEA" w14:textId="77777777" w:rsidR="00C94381" w:rsidRPr="00B265FC" w:rsidRDefault="00C94381" w:rsidP="00DC3FD6">
      <w:pPr>
        <w:rPr>
          <w:rFonts w:ascii="Times New Roman" w:hAnsi="Times New Roman" w:cs="Times New Roman"/>
          <w:b/>
          <w:color w:val="000000" w:themeColor="text1"/>
        </w:rPr>
      </w:pPr>
    </w:p>
    <w:p w14:paraId="1FCF60D6" w14:textId="77777777" w:rsidR="00C94381" w:rsidRPr="00B265FC" w:rsidRDefault="00C94381" w:rsidP="00DC3FD6">
      <w:pPr>
        <w:rPr>
          <w:rFonts w:ascii="Times New Roman" w:hAnsi="Times New Roman" w:cs="Times New Roman"/>
          <w:b/>
          <w:color w:val="000000" w:themeColor="text1"/>
        </w:rPr>
      </w:pPr>
    </w:p>
    <w:p w14:paraId="557C8DAB" w14:textId="77777777" w:rsidR="00C94381" w:rsidRPr="00B265FC" w:rsidRDefault="00C94381" w:rsidP="00DC3FD6">
      <w:pPr>
        <w:rPr>
          <w:rFonts w:ascii="Times New Roman" w:hAnsi="Times New Roman" w:cs="Times New Roman"/>
          <w:b/>
          <w:color w:val="000000" w:themeColor="text1"/>
        </w:rPr>
      </w:pPr>
    </w:p>
    <w:p w14:paraId="73A95D2D" w14:textId="77777777" w:rsidR="00C94381" w:rsidRPr="00B265FC" w:rsidRDefault="00C94381" w:rsidP="00DC3FD6">
      <w:pPr>
        <w:rPr>
          <w:rFonts w:ascii="Times New Roman" w:hAnsi="Times New Roman" w:cs="Times New Roman"/>
          <w:b/>
          <w:color w:val="000000" w:themeColor="text1"/>
        </w:rPr>
      </w:pPr>
    </w:p>
    <w:p w14:paraId="18D7E3FE" w14:textId="77777777" w:rsidR="00C94381" w:rsidRPr="00B265FC" w:rsidRDefault="00C94381" w:rsidP="00DC3FD6">
      <w:pPr>
        <w:rPr>
          <w:rFonts w:ascii="Times New Roman" w:hAnsi="Times New Roman" w:cs="Times New Roman"/>
          <w:b/>
          <w:color w:val="000000" w:themeColor="text1"/>
        </w:rPr>
      </w:pPr>
    </w:p>
    <w:p w14:paraId="5B1B7E0A" w14:textId="77777777" w:rsidR="00C24800" w:rsidRDefault="00C24800" w:rsidP="00DC3FD6">
      <w:pPr>
        <w:rPr>
          <w:rFonts w:ascii="Times New Roman" w:hAnsi="Times New Roman" w:cs="Times New Roman"/>
          <w:b/>
          <w:color w:val="000000" w:themeColor="text1"/>
        </w:rPr>
      </w:pPr>
    </w:p>
    <w:p w14:paraId="6829EAFD" w14:textId="77777777" w:rsidR="00C24800" w:rsidRDefault="00C24800" w:rsidP="00DC3FD6">
      <w:pPr>
        <w:rPr>
          <w:rFonts w:ascii="Times New Roman" w:hAnsi="Times New Roman" w:cs="Times New Roman"/>
          <w:b/>
          <w:color w:val="000000" w:themeColor="text1"/>
        </w:rPr>
      </w:pPr>
    </w:p>
    <w:p w14:paraId="580E9336" w14:textId="77777777" w:rsidR="00C24800" w:rsidRDefault="00C24800" w:rsidP="00DC3FD6">
      <w:pPr>
        <w:rPr>
          <w:rFonts w:ascii="Times New Roman" w:hAnsi="Times New Roman" w:cs="Times New Roman"/>
          <w:b/>
          <w:color w:val="000000" w:themeColor="text1"/>
        </w:rPr>
      </w:pPr>
    </w:p>
    <w:p w14:paraId="229A799B" w14:textId="77777777" w:rsidR="00C24800" w:rsidRDefault="00C24800" w:rsidP="00DC3FD6">
      <w:pPr>
        <w:rPr>
          <w:rFonts w:ascii="Times New Roman" w:hAnsi="Times New Roman" w:cs="Times New Roman"/>
          <w:b/>
          <w:color w:val="000000" w:themeColor="text1"/>
        </w:rPr>
      </w:pPr>
    </w:p>
    <w:p w14:paraId="4D56E469" w14:textId="77777777" w:rsidR="00C24800" w:rsidRDefault="00C24800" w:rsidP="00DC3FD6">
      <w:pPr>
        <w:rPr>
          <w:rFonts w:ascii="Times New Roman" w:hAnsi="Times New Roman" w:cs="Times New Roman"/>
          <w:b/>
          <w:color w:val="000000" w:themeColor="text1"/>
        </w:rPr>
      </w:pPr>
    </w:p>
    <w:p w14:paraId="2F596D8C" w14:textId="77777777" w:rsidR="00C24800" w:rsidRDefault="00C24800" w:rsidP="00DC3FD6">
      <w:pPr>
        <w:rPr>
          <w:rFonts w:ascii="Times New Roman" w:hAnsi="Times New Roman" w:cs="Times New Roman"/>
          <w:b/>
          <w:color w:val="000000" w:themeColor="text1"/>
        </w:rPr>
      </w:pPr>
    </w:p>
    <w:p w14:paraId="7E7FE164" w14:textId="77777777" w:rsidR="00C24800" w:rsidRDefault="00C24800" w:rsidP="00DC3FD6">
      <w:pPr>
        <w:rPr>
          <w:rFonts w:ascii="Times New Roman" w:hAnsi="Times New Roman" w:cs="Times New Roman"/>
          <w:b/>
          <w:color w:val="000000" w:themeColor="text1"/>
        </w:rPr>
      </w:pPr>
    </w:p>
    <w:p w14:paraId="56723373" w14:textId="77777777" w:rsidR="0092005C" w:rsidRDefault="0092005C" w:rsidP="00DC3FD6">
      <w:pPr>
        <w:rPr>
          <w:rFonts w:ascii="Times New Roman" w:hAnsi="Times New Roman" w:cs="Times New Roman"/>
          <w:b/>
          <w:color w:val="000000" w:themeColor="text1"/>
        </w:rPr>
      </w:pPr>
    </w:p>
    <w:p w14:paraId="2AF3CEE1" w14:textId="77777777" w:rsidR="0092005C" w:rsidRDefault="0092005C" w:rsidP="00DC3FD6">
      <w:pPr>
        <w:rPr>
          <w:rFonts w:ascii="Times New Roman" w:hAnsi="Times New Roman" w:cs="Times New Roman"/>
          <w:b/>
          <w:color w:val="000000" w:themeColor="text1"/>
        </w:rPr>
      </w:pPr>
    </w:p>
    <w:p w14:paraId="4C9E06E4" w14:textId="77777777" w:rsidR="0092005C" w:rsidRDefault="0092005C" w:rsidP="00DC3FD6">
      <w:pPr>
        <w:rPr>
          <w:rFonts w:ascii="Times New Roman" w:hAnsi="Times New Roman" w:cs="Times New Roman"/>
          <w:b/>
          <w:color w:val="000000" w:themeColor="text1"/>
        </w:rPr>
      </w:pPr>
    </w:p>
    <w:p w14:paraId="4025F4E2" w14:textId="77777777" w:rsidR="0092005C" w:rsidRDefault="0092005C" w:rsidP="00DC3FD6">
      <w:pPr>
        <w:rPr>
          <w:rFonts w:ascii="Times New Roman" w:hAnsi="Times New Roman" w:cs="Times New Roman"/>
          <w:b/>
          <w:color w:val="000000" w:themeColor="text1"/>
        </w:rPr>
      </w:pPr>
    </w:p>
    <w:p w14:paraId="5847099A" w14:textId="77777777" w:rsidR="0092005C" w:rsidRDefault="0092005C" w:rsidP="00DC3FD6">
      <w:pPr>
        <w:rPr>
          <w:rFonts w:ascii="Times New Roman" w:hAnsi="Times New Roman" w:cs="Times New Roman"/>
          <w:b/>
          <w:color w:val="000000" w:themeColor="text1"/>
        </w:rPr>
      </w:pPr>
    </w:p>
    <w:p w14:paraId="3FDC29D8" w14:textId="384843B8" w:rsidR="00B411BA" w:rsidRPr="00B265FC" w:rsidRDefault="00785B3C" w:rsidP="00DC3FD6">
      <w:pPr>
        <w:rPr>
          <w:rFonts w:ascii="Times New Roman" w:hAnsi="Times New Roman" w:cs="Times New Roman"/>
          <w:b/>
          <w:color w:val="000000" w:themeColor="text1"/>
        </w:rPr>
      </w:pPr>
      <w:bookmarkStart w:id="1" w:name="_GoBack"/>
      <w:bookmarkEnd w:id="1"/>
      <w:r w:rsidRPr="00B265FC">
        <w:rPr>
          <w:rFonts w:ascii="Times New Roman" w:hAnsi="Times New Roman" w:cs="Times New Roman"/>
          <w:b/>
          <w:color w:val="000000" w:themeColor="text1"/>
        </w:rPr>
        <w:lastRenderedPageBreak/>
        <w:t xml:space="preserve">1.0 </w:t>
      </w:r>
      <w:r w:rsidR="00B411BA" w:rsidRPr="00B265FC">
        <w:rPr>
          <w:rFonts w:ascii="Times New Roman" w:hAnsi="Times New Roman" w:cs="Times New Roman"/>
          <w:b/>
          <w:color w:val="000000" w:themeColor="text1"/>
        </w:rPr>
        <w:t>Introduction</w:t>
      </w:r>
    </w:p>
    <w:p w14:paraId="7C3E2BB1" w14:textId="38F5539E" w:rsidR="000D2FDF" w:rsidRPr="00B265FC" w:rsidRDefault="00A92C61" w:rsidP="00DC3FD6">
      <w:pPr>
        <w:pStyle w:val="NormalWeb"/>
        <w:spacing w:before="0" w:beforeAutospacing="0" w:after="0" w:afterAutospacing="0"/>
        <w:jc w:val="both"/>
      </w:pPr>
      <w:r>
        <w:t xml:space="preserve">Corporate Social Responsibility (CSR) has become a crucial consideration for business enterprises, which should operate ethically, promote economic development, and enhance the living standards of their employees and surrounding communities. CSR is founded on the idea that companies </w:t>
      </w:r>
      <w:r w:rsidR="006F454D">
        <w:t>must</w:t>
      </w:r>
      <w:r>
        <w:t xml:space="preserve"> contribute to social development (Frederick, 1994). They are not alone; the entire society is affected by the changing global economy shaped by technology and globalization. Modern business organizations must bear </w:t>
      </w:r>
      <w:r w:rsidR="00455BA5">
        <w:t xml:space="preserve">balanced </w:t>
      </w:r>
      <w:r>
        <w:t xml:space="preserve">responsibilities, including economic, legal, ethical, and philanthropic duties (Carroll, 2000; Garriga </w:t>
      </w:r>
      <w:r w:rsidR="006F454D">
        <w:t>&amp;</w:t>
      </w:r>
      <w:r>
        <w:t xml:space="preserve"> Mele, 2004). Economic responsibilities require businesses to be profitable, successful, and to meet consumer needs. Legal responsibilities oblige companies to adhere to laws and regulations. Ethical responsibilities involve following moral standards established by society. Lastly, philanthropic responsibilities, which are similar to discretionary duties, involve businesses contributing to social, educational, and cultural causes (Carroll, 1979). While economic and legal responsibilities are mandatory, ethical and philanthropic responsibilities are voluntary, though society increasingly expects </w:t>
      </w:r>
      <w:r w:rsidR="00455BA5">
        <w:t>those</w:t>
      </w:r>
      <w:r>
        <w:t xml:space="preserve"> (Matten et al., 2003).</w:t>
      </w:r>
    </w:p>
    <w:p w14:paraId="781F188A" w14:textId="3695AEEA" w:rsidR="00785B3C" w:rsidRPr="00B265FC" w:rsidRDefault="00A92C61"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CSR is deeply embedded in Bangladesh. Over the years, it has evolved from being seen as </w:t>
      </w:r>
      <w:r w:rsidR="006F454D">
        <w:rPr>
          <w:rFonts w:ascii="Times New Roman" w:eastAsia="Times New Roman" w:hAnsi="Times New Roman" w:cs="Times New Roman"/>
          <w:color w:val="000000" w:themeColor="text1"/>
          <w:kern w:val="0"/>
          <w:lang w:eastAsia="en-GB" w:bidi="bn-IN"/>
          <w14:ligatures w14:val="none"/>
        </w:rPr>
        <w:t xml:space="preserve">a </w:t>
      </w:r>
      <w:r>
        <w:rPr>
          <w:rFonts w:ascii="Times New Roman" w:eastAsia="Times New Roman" w:hAnsi="Times New Roman" w:cs="Times New Roman"/>
          <w:color w:val="000000" w:themeColor="text1"/>
          <w:kern w:val="0"/>
          <w:lang w:eastAsia="en-GB" w:bidi="bn-IN"/>
          <w14:ligatures w14:val="none"/>
        </w:rPr>
        <w:t>social duty or charity. Business philanthropy in Bangladesh, like in the West, has traditionally been rooted in religious beliefs, with early 20th-century practices involving charity donations, community service, employee welfare, and promoting religious values. After independence, business leaders focused on going beyond honest conduct to support public welfare through financial, managerial, and human resources, gradually shifting from traditional philanthropy to a broader sense of social responsibility.</w:t>
      </w:r>
    </w:p>
    <w:p w14:paraId="19383A54" w14:textId="4369ABD2" w:rsidR="002245F9" w:rsidRDefault="00785B3C" w:rsidP="00DC3FD6">
      <w:pPr>
        <w:pStyle w:val="NormalWeb"/>
        <w:spacing w:before="0" w:beforeAutospacing="0" w:after="0" w:afterAutospacing="0"/>
        <w:jc w:val="both"/>
      </w:pPr>
      <w:r w:rsidRPr="00B265FC">
        <w:rPr>
          <w:color w:val="000000" w:themeColor="text1"/>
        </w:rPr>
        <w:t xml:space="preserve">The 1950s marked a pivotal era, with the ideology of CSR rooted in the business obligation to society, despite limited initial documentation in Bangladesh. Over time, companies that genuinely adhered to socially responsible principles gained public favor. The late 20th century witnessed a shift from charity towards direct business involvement in development and support for disadvantaged groups. In Bangladesh, there is a growing recognition that business success is intertwined with societal well-being. </w:t>
      </w:r>
      <w:r w:rsidR="00A92C61">
        <w:rPr>
          <w:color w:val="000000" w:themeColor="text1"/>
        </w:rPr>
        <w:t>An ideal</w:t>
      </w:r>
      <w:r w:rsidRPr="00B265FC">
        <w:rPr>
          <w:color w:val="000000" w:themeColor="text1"/>
        </w:rPr>
        <w:t xml:space="preserve"> CSR in Bangladesh addresses the </w:t>
      </w:r>
      <w:r w:rsidR="00A92C61">
        <w:rPr>
          <w:color w:val="000000" w:themeColor="text1"/>
        </w:rPr>
        <w:t>population's significant socio-economic disparities, encompassing</w:t>
      </w:r>
      <w:r w:rsidRPr="00B265FC">
        <w:rPr>
          <w:color w:val="000000" w:themeColor="text1"/>
        </w:rPr>
        <w:t xml:space="preserve"> ethical and philosophical dimensions. The global trend towards CSR has accelerated since the early 1990s, driven by rapid economic growth and globalization. </w:t>
      </w:r>
      <w:r w:rsidR="00196585" w:rsidRPr="00B265FC">
        <w:t>Vogel (2005) reports that more than 1,000 businesses have already set or signed codes of conduct concerning their social practices, environmental practices, and human rights practices</w:t>
      </w:r>
      <w:r w:rsidR="00A92C61">
        <w:t>,</w:t>
      </w:r>
      <w:r w:rsidR="00196585" w:rsidRPr="00B265FC">
        <w:t xml:space="preserve"> and over 2,000 businesses are currently releasing reports on their CSR practices. The supporters of CSR are strong supporters</w:t>
      </w:r>
      <w:r w:rsidR="00A92C61">
        <w:t>, such as</w:t>
      </w:r>
      <w:r w:rsidR="00196585" w:rsidRPr="00B265FC">
        <w:t xml:space="preserve"> </w:t>
      </w:r>
      <w:r w:rsidR="00A92C61">
        <w:t>international bodies like the United Nations, the World Bank, and the Organization for Economic Cooperation and Development (OECD), as well as many European governments,</w:t>
      </w:r>
      <w:r w:rsidR="00196585" w:rsidRPr="00B265FC">
        <w:t xml:space="preserve"> including the European Union. Nevertheless, even though the international focus is increasing, the adoption of CSR is </w:t>
      </w:r>
      <w:r w:rsidR="00A92C61">
        <w:t>relatively</w:t>
      </w:r>
      <w:r w:rsidR="00196585" w:rsidRPr="00B265FC">
        <w:t xml:space="preserve"> low in developing nations, such as Bangladesh. </w:t>
      </w:r>
      <w:r w:rsidR="006F454D">
        <w:t>Most</w:t>
      </w:r>
      <w:r w:rsidR="00196585" w:rsidRPr="00B265FC">
        <w:t xml:space="preserve"> of the current studies on CSR and its cultural </w:t>
      </w:r>
      <w:r w:rsidR="00A92C61">
        <w:t>implications have been done concerning the developed economies,</w:t>
      </w:r>
      <w:r w:rsidR="00196585" w:rsidRPr="00B265FC">
        <w:t xml:space="preserve"> thus leaving a gap in the comprehension of the CSR practices in the emerging and smaller economies. Although many studies </w:t>
      </w:r>
      <w:r w:rsidR="006F454D">
        <w:t xml:space="preserve">have </w:t>
      </w:r>
      <w:r w:rsidR="00196585" w:rsidRPr="00B265FC">
        <w:t xml:space="preserve">explored the subject of CSR in Bangladesh, they have </w:t>
      </w:r>
      <w:r w:rsidR="00943161">
        <w:t>mainly</w:t>
      </w:r>
      <w:r w:rsidR="00196585" w:rsidRPr="00B265FC">
        <w:t xml:space="preserve"> dealt with the aspects of CSR disclosure, perception</w:t>
      </w:r>
      <w:r w:rsidR="00A92C61">
        <w:t>,</w:t>
      </w:r>
      <w:r w:rsidR="00196585" w:rsidRPr="00B265FC">
        <w:t xml:space="preserve"> and development of CSR.</w:t>
      </w:r>
    </w:p>
    <w:p w14:paraId="39FCDC53" w14:textId="77777777" w:rsidR="003F72E6" w:rsidRDefault="003F72E6" w:rsidP="00DC3FD6">
      <w:pPr>
        <w:pStyle w:val="NormalWeb"/>
        <w:spacing w:before="0" w:beforeAutospacing="0" w:after="0" w:afterAutospacing="0"/>
        <w:jc w:val="both"/>
      </w:pPr>
    </w:p>
    <w:p w14:paraId="7AF8F188" w14:textId="5380D37B" w:rsidR="003F72E6" w:rsidRDefault="00455BA5" w:rsidP="003F72E6">
      <w:pPr>
        <w:pStyle w:val="NormalWeb"/>
        <w:spacing w:before="0" w:beforeAutospacing="0" w:after="0" w:afterAutospacing="0"/>
        <w:jc w:val="both"/>
      </w:pPr>
      <w:r>
        <w:t xml:space="preserve">CSR has </w:t>
      </w:r>
      <w:r w:rsidR="006F454D">
        <w:t>recently gained significant interest</w:t>
      </w:r>
      <w:r>
        <w:t xml:space="preserve">, both academically and commercially. CSR is a broad category that includes actions benefiting the environment, supporting workers, maintaining ethical standards, considering the </w:t>
      </w:r>
      <w:r w:rsidR="006F454D">
        <w:t>community's needs</w:t>
      </w:r>
      <w:r>
        <w:t xml:space="preserve"> around a company's facilities, and even focusing on </w:t>
      </w:r>
      <w:r>
        <w:lastRenderedPageBreak/>
        <w:t>investors (Rahman et al., 2024). It is the process through which an organization's values and behaviors align with the expectations of various stakeholders, not just those related to satisfying investors and clients. Essentially, a company's CSR program outlines its commitment to taking responsibility for its stakeholders (Rahman et al., 2024). The terms corporate citizenship and CSR are crucial and transformative</w:t>
      </w:r>
      <w:r w:rsidR="000E5E80">
        <w:t>,</w:t>
      </w:r>
      <w:r>
        <w:t xml:space="preserve"> given the changing perception of the relationship between government, economy, and civil society. They play a vital role in transforming governance at both national and international levels and set the stage for a more active role for private actors in addressing societal issues (Rahman et al., 2024). Due to increased responsibilities, businesses now play a </w:t>
      </w:r>
      <w:r w:rsidR="000E5E80">
        <w:t>significant</w:t>
      </w:r>
      <w:r>
        <w:t xml:space="preserve"> role in developing a sustainable and equitable world beyond traditional economic activities. They </w:t>
      </w:r>
      <w:r w:rsidR="000E5E80">
        <w:t>build</w:t>
      </w:r>
      <w:r>
        <w:t xml:space="preserve"> a just and prosperous society by actively addressing social and environmental issues. Businesses collaborate with governments and civil society to support urgent global matters (Rahman et al., 2024). The strong partnership among government, business, and social sectors can lead to positive global change. As a result, CSR reflects a shift in how companies view their </w:t>
      </w:r>
      <w:r w:rsidR="000E5E80">
        <w:t>societal role</w:t>
      </w:r>
      <w:r>
        <w:t xml:space="preserve"> (Rahman et al., 2024). Most consumers agree that corporate social responsibility (CSR) offers numerous benefits to businesses. These include reducing operating costs and risks, gaining a competitive edge, enhancing reputation and market position, differentiating from competitors, increasing employee and customer engagement, improving profit margins, and significantly boosting overall company value (Green Business Bureau, 2022). The integrity and sincerity of CSR activities require a comprehensive approach that considers various important factors. These key pillars—commitment to excellence, careful measurement, unwavering responsibility, tireless consistency, and </w:t>
      </w:r>
      <w:r w:rsidR="000E5E80">
        <w:t>transparency- are</w:t>
      </w:r>
      <w:r>
        <w:t xml:space="preserve"> the foundation for successful CSR initiatives (Rahman et al., 2024). By following these guidelines, businesses can better navigate the complexities of ethical operations and amplify their positive social impact (Victoria University, 2023).</w:t>
      </w:r>
    </w:p>
    <w:p w14:paraId="68F3AEA3" w14:textId="3384F6D6" w:rsidR="002245F9" w:rsidRDefault="00516505" w:rsidP="003F72E6">
      <w:pPr>
        <w:pStyle w:val="NormalWeb"/>
        <w:spacing w:before="0" w:beforeAutospacing="0" w:after="0" w:afterAutospacing="0"/>
        <w:jc w:val="both"/>
      </w:pPr>
      <w:r>
        <w:t xml:space="preserve">Furthermore, </w:t>
      </w:r>
      <w:proofErr w:type="spellStart"/>
      <w:r>
        <w:t>Ngamvilaikorn</w:t>
      </w:r>
      <w:proofErr w:type="spellEnd"/>
      <w:r>
        <w:t xml:space="preserve"> et al. (2024) emphasize that the effects of CSR initiatives on credit risk and bank performance are significant, making it important to consider whether these policies meet stakeholders' expectations. Focusing on the long-term sustainability of banks supports overall economic stability in the financial sector by reducing risks and enhancing operational efficiency. Additionally, CSR benefits society's growth, improves brand perception, strengthens refinancing capacity, attracts lower-cost funds, and provides better competitive advantages (</w:t>
      </w:r>
      <w:proofErr w:type="spellStart"/>
      <w:r>
        <w:t>Hejjas</w:t>
      </w:r>
      <w:proofErr w:type="spellEnd"/>
      <w:r>
        <w:t xml:space="preserve"> et al., 2019; Rashid </w:t>
      </w:r>
      <w:r w:rsidR="000E5E80">
        <w:t>&amp;</w:t>
      </w:r>
      <w:r>
        <w:t xml:space="preserve"> Hamid, 2022). CSR is crucial for sustainable development and influences an organization’s ethical practices. In the case of Islamic banks, which serve about 40 percent of bank account holders in Bangladesh, their CSR efforts can play a key role in socioeconomic and environmental development in the country (Bhuiyan et al., 2022). A critical approach to CSR recognizes the role of social actors, </w:t>
      </w:r>
      <w:r w:rsidR="000E5E80">
        <w:t>various stakeholders' influence, businesses' political interests</w:t>
      </w:r>
      <w:r>
        <w:t xml:space="preserve">, and self-interest in shaping CSR narratives (Deegan, 2017; Dillard </w:t>
      </w:r>
      <w:r w:rsidR="000E5E80">
        <w:t>&amp;</w:t>
      </w:r>
      <w:r>
        <w:t xml:space="preserve"> </w:t>
      </w:r>
      <w:proofErr w:type="spellStart"/>
      <w:r>
        <w:t>Vinnari</w:t>
      </w:r>
      <w:proofErr w:type="spellEnd"/>
      <w:r>
        <w:t xml:space="preserve">, 2019). Companies should identify and understand factors </w:t>
      </w:r>
      <w:r w:rsidR="000E5E80">
        <w:t>influencing</w:t>
      </w:r>
      <w:r>
        <w:t xml:space="preserve"> consumer buying behavior and the connection between customer profiles and corporate social responsibility policies (Hur et al., 2018; Perez </w:t>
      </w:r>
      <w:r w:rsidR="000E5E80">
        <w:t>&amp;</w:t>
      </w:r>
      <w:r>
        <w:t xml:space="preserve"> Del Bosque, 2015; Yuen et al., 2016). The recent financial crisis has led to increased scrutiny of the banking sector, with many banks neglecting their CSR commitments and acting in ways that harm their reputation (Osakwe </w:t>
      </w:r>
      <w:r w:rsidR="000E5E80">
        <w:t>&amp;</w:t>
      </w:r>
      <w:r>
        <w:t xml:space="preserve"> Yusuf, 2020; Perez and Rodriguez Del Bosque, 2014). Despite this, commercial banks in Bangladesh have engaged in CSR activities, although their investment levels have not significantly increased. Factors affecting CSR involvement include the potential for economic value and social benefits related to health and education (Nabil, 2022).</w:t>
      </w:r>
    </w:p>
    <w:p w14:paraId="7862B43D" w14:textId="2FC503EF" w:rsidR="00196585" w:rsidRDefault="00516505" w:rsidP="00DC3FD6">
      <w:pPr>
        <w:pStyle w:val="NormalWeb"/>
        <w:spacing w:before="0" w:beforeAutospacing="0" w:after="0" w:afterAutospacing="0"/>
        <w:jc w:val="both"/>
      </w:pPr>
      <w:r>
        <w:t xml:space="preserve">The proposed study will fill the gap in CSR research within Bangladesh's banking sector. It aims to gather valuable information on CSR practices in the Bangladeshi banking industry by exploring </w:t>
      </w:r>
      <w:r>
        <w:lastRenderedPageBreak/>
        <w:t>managers' perceptions of CSR, how they value its importance in business decision-making, and the factors that influence their viewpoints. The research questions to be examined in this study are as follows:</w:t>
      </w:r>
    </w:p>
    <w:p w14:paraId="4C74B9C1" w14:textId="77777777" w:rsidR="0068676D" w:rsidRPr="00B265FC" w:rsidRDefault="0068676D" w:rsidP="00DC3FD6">
      <w:pPr>
        <w:pStyle w:val="NormalWeb"/>
        <w:spacing w:before="0" w:beforeAutospacing="0" w:after="0" w:afterAutospacing="0"/>
        <w:jc w:val="both"/>
      </w:pPr>
    </w:p>
    <w:p w14:paraId="7DA99279" w14:textId="75AAE253" w:rsidR="00196585" w:rsidRPr="00B265FC" w:rsidRDefault="00196585" w:rsidP="00B543F9">
      <w:pPr>
        <w:pStyle w:val="NormalWeb"/>
        <w:numPr>
          <w:ilvl w:val="0"/>
          <w:numId w:val="9"/>
        </w:numPr>
        <w:spacing w:before="0" w:beforeAutospacing="0" w:after="0" w:afterAutospacing="0"/>
        <w:jc w:val="both"/>
      </w:pPr>
      <w:r w:rsidRPr="00B265FC">
        <w:t xml:space="preserve">How do managers in </w:t>
      </w:r>
      <w:r w:rsidR="00FE07B0">
        <w:t xml:space="preserve">Bangladesh's banking industry </w:t>
      </w:r>
      <w:r w:rsidRPr="00B265FC">
        <w:t>rate corporate social responsibility (CSR)?</w:t>
      </w:r>
    </w:p>
    <w:p w14:paraId="6D653825" w14:textId="0E5D9F1B" w:rsidR="00196585" w:rsidRDefault="00196585" w:rsidP="00B543F9">
      <w:pPr>
        <w:pStyle w:val="NormalWeb"/>
        <w:numPr>
          <w:ilvl w:val="0"/>
          <w:numId w:val="9"/>
        </w:numPr>
        <w:spacing w:before="0" w:beforeAutospacing="0" w:after="0" w:afterAutospacing="0"/>
        <w:jc w:val="both"/>
      </w:pPr>
      <w:r w:rsidRPr="00B265FC">
        <w:t xml:space="preserve">What do managers in the banking sector of Bangladesh perceive about the role of CSR in the way business decisions are </w:t>
      </w:r>
      <w:r w:rsidR="00FE07B0">
        <w:t>made</w:t>
      </w:r>
      <w:r w:rsidRPr="00B265FC">
        <w:t>?</w:t>
      </w:r>
    </w:p>
    <w:p w14:paraId="65974E2D" w14:textId="77777777" w:rsidR="0068676D" w:rsidRPr="00B265FC" w:rsidRDefault="0068676D" w:rsidP="0068676D">
      <w:pPr>
        <w:pStyle w:val="NormalWeb"/>
        <w:spacing w:before="0" w:beforeAutospacing="0" w:after="0" w:afterAutospacing="0"/>
        <w:jc w:val="both"/>
      </w:pPr>
    </w:p>
    <w:p w14:paraId="42822BC7" w14:textId="5788405F" w:rsidR="00196585" w:rsidRPr="00B265FC" w:rsidRDefault="00FE07B0" w:rsidP="00DC3FD6">
      <w:pPr>
        <w:pStyle w:val="NormalWeb"/>
        <w:spacing w:before="0" w:beforeAutospacing="0" w:after="0" w:afterAutospacing="0"/>
        <w:jc w:val="both"/>
      </w:pPr>
      <w:r>
        <w:t>The study aims</w:t>
      </w:r>
      <w:r w:rsidR="00516505">
        <w:t xml:space="preserve"> to examine the current CSR practices in Bangladesh, explore managers' perceptions of CSR activities, investigate managers' attitudes toward CSR, and analyze the differences in perceptions among managers in the banking sector. Given the significant role CSR activities play in developing economies like Bangladesh, particularly in fostering national development and improving living standards, this study aims to contribute to the CSR literature on Bangladesh and help guide future practices and policies in this important area.</w:t>
      </w:r>
    </w:p>
    <w:p w14:paraId="06DC19D1" w14:textId="77777777" w:rsidR="0068676D" w:rsidRDefault="0068676D" w:rsidP="00DC3FD6">
      <w:pPr>
        <w:pStyle w:val="NormalWeb"/>
        <w:spacing w:before="0" w:beforeAutospacing="0" w:after="0" w:afterAutospacing="0"/>
        <w:jc w:val="both"/>
        <w:rPr>
          <w:b/>
          <w:bCs/>
          <w:color w:val="000000" w:themeColor="text1"/>
        </w:rPr>
      </w:pPr>
    </w:p>
    <w:p w14:paraId="571A5951" w14:textId="789F0051" w:rsidR="00464690" w:rsidRPr="00B265FC" w:rsidRDefault="00785B3C" w:rsidP="00DC3FD6">
      <w:pPr>
        <w:pStyle w:val="NormalWeb"/>
        <w:spacing w:before="0" w:beforeAutospacing="0" w:after="0" w:afterAutospacing="0"/>
        <w:jc w:val="both"/>
        <w:rPr>
          <w:b/>
          <w:bCs/>
          <w:color w:val="000000" w:themeColor="text1"/>
        </w:rPr>
      </w:pPr>
      <w:r w:rsidRPr="00B265FC">
        <w:rPr>
          <w:b/>
          <w:bCs/>
          <w:color w:val="000000" w:themeColor="text1"/>
        </w:rPr>
        <w:t xml:space="preserve">2.0 </w:t>
      </w:r>
      <w:r w:rsidR="00B411BA" w:rsidRPr="00B265FC">
        <w:rPr>
          <w:b/>
          <w:bCs/>
          <w:color w:val="000000" w:themeColor="text1"/>
        </w:rPr>
        <w:t xml:space="preserve">Literature Review </w:t>
      </w:r>
    </w:p>
    <w:p w14:paraId="4DE10DFE" w14:textId="77777777" w:rsidR="00EC5CA3" w:rsidRPr="00B265FC" w:rsidRDefault="00B411BA" w:rsidP="00DC3FD6">
      <w:pPr>
        <w:pStyle w:val="NormalWeb"/>
        <w:spacing w:before="0" w:beforeAutospacing="0" w:after="0" w:afterAutospacing="0"/>
        <w:rPr>
          <w:b/>
          <w:bCs/>
          <w:color w:val="000000" w:themeColor="text1"/>
        </w:rPr>
      </w:pPr>
      <w:r w:rsidRPr="00B265FC">
        <w:rPr>
          <w:b/>
          <w:bCs/>
          <w:color w:val="000000" w:themeColor="text1"/>
        </w:rPr>
        <w:t>2.</w:t>
      </w:r>
      <w:r w:rsidR="00EC5CA3" w:rsidRPr="00B265FC">
        <w:rPr>
          <w:b/>
          <w:bCs/>
          <w:color w:val="000000" w:themeColor="text1"/>
        </w:rPr>
        <w:t>1</w:t>
      </w:r>
      <w:r w:rsidRPr="00B265FC">
        <w:rPr>
          <w:b/>
          <w:bCs/>
          <w:color w:val="000000" w:themeColor="text1"/>
        </w:rPr>
        <w:t xml:space="preserve"> </w:t>
      </w:r>
      <w:r w:rsidR="00EC5CA3" w:rsidRPr="00B265FC">
        <w:rPr>
          <w:b/>
          <w:bCs/>
          <w:color w:val="000000" w:themeColor="text1"/>
        </w:rPr>
        <w:t>Definition and Concept of CSR</w:t>
      </w:r>
    </w:p>
    <w:p w14:paraId="7627813B" w14:textId="5E956CDC" w:rsidR="00196585" w:rsidRDefault="00516505"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The concept of corporate social responsibility (CSR) has gained significant importance in the business world over the past few years, driven by the idea that companies have a responsibility to give back to society as a whole (Frederick, 1994). Though CSR was first discussed in the 1950s, it has gained momentum, especially in developed countries like the United States and Europe, where literature on the topic is increasing (Hamid et al., 2007). In its early years, CSR focused more on charitable activities, such as </w:t>
      </w:r>
      <w:r w:rsidR="006F454D">
        <w:rPr>
          <w:rFonts w:ascii="Times New Roman" w:eastAsia="Times New Roman" w:hAnsi="Times New Roman" w:cs="Times New Roman"/>
          <w:kern w:val="0"/>
          <w:lang w:eastAsia="en-GB" w:bidi="bn-IN"/>
          <w14:ligatures w14:val="none"/>
        </w:rPr>
        <w:t>donating</w:t>
      </w:r>
      <w:r>
        <w:rPr>
          <w:rFonts w:ascii="Times New Roman" w:eastAsia="Times New Roman" w:hAnsi="Times New Roman" w:cs="Times New Roman"/>
          <w:kern w:val="0"/>
          <w:lang w:eastAsia="en-GB" w:bidi="bn-IN"/>
          <w14:ligatures w14:val="none"/>
        </w:rPr>
        <w:t xml:space="preserve"> (Carroll, 2008). The idea of CSR, however, began with the publication of 'Social Responsibilities of the Businessman' in 1953 by Howard R. Bowen, who defined CSR as the responsibilities of businesses to align their activities with society’s goals and values (Bowen, 1953). In the 1960s, CSR took on a more structured form, with many scholars, including Keith Davies (1960), William C. Frederick (1960), and Clarence C. Walton (1967), contributing to its development, along with the broader academic understanding of CSR. As Walton pointed out, businesses should consider their relationship with society in their strategic planning (Walton, 1967). Later, Europe led discussions on CSR, which were studied, published, and implemented through various seminars. In recent years, CSR has gained popularity in developing countries, particularly in the Asia-Pacific region (Carroll, 2008). Organizations like the World Resources Institute (WRI), the Global Reporting Initiative (GRI), and ISO 14000 have played key roles in promoting and enhancing CSR practices worldwide (Godfrey and Hatch, 2007). At its core, CSR is based on the belief that corporations should do more than generate profit—they should also protect the environment, operate ethically, care for their employees, and actively participate in their communities. Although CSR is not universally defined, it is interpreted differently by various stakeholders (</w:t>
      </w:r>
      <w:proofErr w:type="spellStart"/>
      <w:r>
        <w:rPr>
          <w:rFonts w:ascii="Times New Roman" w:eastAsia="Times New Roman" w:hAnsi="Times New Roman" w:cs="Times New Roman"/>
          <w:kern w:val="0"/>
          <w:lang w:eastAsia="en-GB" w:bidi="bn-IN"/>
          <w14:ligatures w14:val="none"/>
        </w:rPr>
        <w:t>Dusuki</w:t>
      </w:r>
      <w:proofErr w:type="spellEnd"/>
      <w:r>
        <w:rPr>
          <w:rFonts w:ascii="Times New Roman" w:eastAsia="Times New Roman" w:hAnsi="Times New Roman" w:cs="Times New Roman"/>
          <w:kern w:val="0"/>
          <w:lang w:eastAsia="en-GB" w:bidi="bn-IN"/>
          <w14:ligatures w14:val="none"/>
        </w:rPr>
        <w:t>, 2005). The most widely accepted definition of CSR, proposed by Carroll (1999), emphasizes that corporations must consider their responsibilities toward both internal and external stakeholders and adhere to legal and ethical standards (Bowd et al., 2003).</w:t>
      </w:r>
    </w:p>
    <w:p w14:paraId="280AFAAE" w14:textId="493FB84D" w:rsidR="00C41383" w:rsidRPr="00B265FC" w:rsidRDefault="004B699A"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There is no universally accepted definition of corporate social responsibility (CSR), even though it has been debated in academia for the last half-century (</w:t>
      </w:r>
      <w:proofErr w:type="spellStart"/>
      <w:r>
        <w:rPr>
          <w:rFonts w:ascii="Times New Roman" w:eastAsia="Times New Roman" w:hAnsi="Times New Roman" w:cs="Times New Roman"/>
          <w:kern w:val="0"/>
          <w:lang w:eastAsia="en-GB" w:bidi="bn-IN"/>
          <w14:ligatures w14:val="none"/>
        </w:rPr>
        <w:t>Luthfiani</w:t>
      </w:r>
      <w:proofErr w:type="spellEnd"/>
      <w:r>
        <w:rPr>
          <w:rFonts w:ascii="Times New Roman" w:eastAsia="Times New Roman" w:hAnsi="Times New Roman" w:cs="Times New Roman"/>
          <w:kern w:val="0"/>
          <w:lang w:eastAsia="en-GB" w:bidi="bn-IN"/>
          <w14:ligatures w14:val="none"/>
        </w:rPr>
        <w:t xml:space="preserve">, 2024). The idea of a business being socially responsible is not new; it has been evolving over time. Beyond legal obligations, CSR is a voluntary contribution made by companies toward sustainable development (Bahman et </w:t>
      </w:r>
      <w:r>
        <w:rPr>
          <w:rFonts w:ascii="Times New Roman" w:eastAsia="Times New Roman" w:hAnsi="Times New Roman" w:cs="Times New Roman"/>
          <w:kern w:val="0"/>
          <w:lang w:eastAsia="en-GB" w:bidi="bn-IN"/>
          <w14:ligatures w14:val="none"/>
        </w:rPr>
        <w:lastRenderedPageBreak/>
        <w:t xml:space="preserve">al., 2014; Buttigieg et al., 2019). CSR emphasizes the importance of companies considering the interests of their stakeholders, which can include workers, customers, suppliers, investors, contractors, governments, non-governmental organizations, and the media (Ali et al., 2017; </w:t>
      </w:r>
      <w:proofErr w:type="spellStart"/>
      <w:r>
        <w:rPr>
          <w:rFonts w:ascii="Times New Roman" w:eastAsia="Times New Roman" w:hAnsi="Times New Roman" w:cs="Times New Roman"/>
          <w:kern w:val="0"/>
          <w:lang w:eastAsia="en-GB" w:bidi="bn-IN"/>
          <w14:ligatures w14:val="none"/>
        </w:rPr>
        <w:t>Frynas</w:t>
      </w:r>
      <w:proofErr w:type="spellEnd"/>
      <w:r>
        <w:rPr>
          <w:rFonts w:ascii="Times New Roman" w:eastAsia="Times New Roman" w:hAnsi="Times New Roman" w:cs="Times New Roman"/>
          <w:kern w:val="0"/>
          <w:lang w:eastAsia="en-GB" w:bidi="bn-IN"/>
          <w14:ligatures w14:val="none"/>
        </w:rPr>
        <w:t xml:space="preserve"> and </w:t>
      </w:r>
      <w:proofErr w:type="spellStart"/>
      <w:r>
        <w:rPr>
          <w:rFonts w:ascii="Times New Roman" w:eastAsia="Times New Roman" w:hAnsi="Times New Roman" w:cs="Times New Roman"/>
          <w:kern w:val="0"/>
          <w:lang w:eastAsia="en-GB" w:bidi="bn-IN"/>
          <w14:ligatures w14:val="none"/>
        </w:rPr>
        <w:t>Yamahaki</w:t>
      </w:r>
      <w:proofErr w:type="spellEnd"/>
      <w:r>
        <w:rPr>
          <w:rFonts w:ascii="Times New Roman" w:eastAsia="Times New Roman" w:hAnsi="Times New Roman" w:cs="Times New Roman"/>
          <w:kern w:val="0"/>
          <w:lang w:eastAsia="en-GB" w:bidi="bn-IN"/>
          <w14:ligatures w14:val="none"/>
        </w:rPr>
        <w:t>, 2016). It reflects the notion that companies should strike a balance between maximizing profits and making voluntary efforts to improve society (</w:t>
      </w:r>
      <w:proofErr w:type="spellStart"/>
      <w:r>
        <w:rPr>
          <w:rFonts w:ascii="Times New Roman" w:eastAsia="Times New Roman" w:hAnsi="Times New Roman" w:cs="Times New Roman"/>
          <w:kern w:val="0"/>
          <w:lang w:eastAsia="en-GB" w:bidi="bn-IN"/>
          <w14:ligatures w14:val="none"/>
        </w:rPr>
        <w:t>Barauskaite</w:t>
      </w:r>
      <w:proofErr w:type="spellEnd"/>
      <w:r>
        <w:rPr>
          <w:rFonts w:ascii="Times New Roman" w:eastAsia="Times New Roman" w:hAnsi="Times New Roman" w:cs="Times New Roman"/>
          <w:kern w:val="0"/>
          <w:lang w:eastAsia="en-GB" w:bidi="bn-IN"/>
          <w14:ligatures w14:val="none"/>
        </w:rPr>
        <w:t xml:space="preserve"> &amp; </w:t>
      </w:r>
      <w:proofErr w:type="spellStart"/>
      <w:r>
        <w:rPr>
          <w:rFonts w:ascii="Times New Roman" w:eastAsia="Times New Roman" w:hAnsi="Times New Roman" w:cs="Times New Roman"/>
          <w:kern w:val="0"/>
          <w:lang w:eastAsia="en-GB" w:bidi="bn-IN"/>
          <w14:ligatures w14:val="none"/>
        </w:rPr>
        <w:t>Streimikiene</w:t>
      </w:r>
      <w:proofErr w:type="spellEnd"/>
      <w:r>
        <w:rPr>
          <w:rFonts w:ascii="Times New Roman" w:eastAsia="Times New Roman" w:hAnsi="Times New Roman" w:cs="Times New Roman"/>
          <w:kern w:val="0"/>
          <w:lang w:eastAsia="en-GB" w:bidi="bn-IN"/>
          <w14:ligatures w14:val="none"/>
        </w:rPr>
        <w:t>, 2021). CSR also plays a role in fostering business ethics. Although the concept has evolved since its inception, it remains a dynamic idea that is difficult to define precisely (Rodriguez-Gomez et al., 2020). Over time, CSR has shifted from being merely a competitive advantage or resource utilization to becoming an integral part of business strategy. Today, it is a key element of policies promoting innovation, with a strong focus on environmental sustainability (Garcia-Sanchez and Araujo-Bernardo, 2020).</w:t>
      </w:r>
    </w:p>
    <w:p w14:paraId="4E679A11" w14:textId="661B1D6F" w:rsidR="00196585" w:rsidRPr="00B265FC" w:rsidRDefault="004B699A"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Carroll (1979, 1991) tried to integrate previous definitions of CSR by developing a model that includes four main dimensions of the concept: economic, legal, ethical, and philanthropic responsibilities.</w:t>
      </w:r>
    </w:p>
    <w:p w14:paraId="0B11339C" w14:textId="77777777" w:rsidR="0068676D" w:rsidRDefault="0068676D" w:rsidP="00DC3FD6">
      <w:pPr>
        <w:jc w:val="both"/>
        <w:rPr>
          <w:rFonts w:ascii="Times New Roman" w:eastAsia="Times New Roman" w:hAnsi="Times New Roman" w:cs="Times New Roman"/>
          <w:b/>
          <w:bCs/>
          <w:color w:val="000000" w:themeColor="text1"/>
          <w:kern w:val="0"/>
          <w:lang w:eastAsia="en-GB" w:bidi="bn-IN"/>
          <w14:ligatures w14:val="none"/>
        </w:rPr>
      </w:pPr>
    </w:p>
    <w:p w14:paraId="26321257" w14:textId="44D71A1A" w:rsidR="00EC5CA3" w:rsidRPr="00B265FC" w:rsidRDefault="00EC5CA3"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Economic Responsibilities</w:t>
      </w:r>
    </w:p>
    <w:p w14:paraId="69F650BF" w14:textId="5EF800AF" w:rsidR="00DA62CC" w:rsidRPr="00B265FC" w:rsidRDefault="00196585" w:rsidP="00DC3FD6">
      <w:pPr>
        <w:pStyle w:val="NormalWeb"/>
        <w:spacing w:before="0" w:beforeAutospacing="0" w:after="0" w:afterAutospacing="0"/>
        <w:jc w:val="both"/>
      </w:pPr>
      <w:r w:rsidRPr="00B265FC">
        <w:t xml:space="preserve">Economic responsibilities have been concentrated to work towards meeting the needs and demands of the society by producing goods and services. </w:t>
      </w:r>
      <w:r w:rsidR="00DA62CC" w:rsidRPr="00B265FC">
        <w:t xml:space="preserve">Businesses, as essential economic entities, are primarily driven by the goal of maximizing profits and enhancing shareholder value. In doing so, corporations must develop and implement strategic plans that minimize production costs and maintain competitive advantages. </w:t>
      </w:r>
      <w:r w:rsidRPr="00B265FC">
        <w:t>Also, their economic roles include creation of jobs, drawing investments, promoting innovations and development of research and technologies and safety of their products and services (Nelson, 2003).</w:t>
      </w:r>
    </w:p>
    <w:p w14:paraId="44B4F6CD" w14:textId="77777777" w:rsidR="0068676D" w:rsidRDefault="0068676D" w:rsidP="00DC3FD6">
      <w:pPr>
        <w:jc w:val="both"/>
        <w:outlineLvl w:val="2"/>
        <w:rPr>
          <w:rFonts w:ascii="Times New Roman" w:eastAsia="Times New Roman" w:hAnsi="Times New Roman" w:cs="Times New Roman"/>
          <w:b/>
          <w:bCs/>
          <w:color w:val="000000" w:themeColor="text1"/>
          <w:kern w:val="0"/>
          <w:lang w:eastAsia="en-GB" w:bidi="bn-IN"/>
          <w14:ligatures w14:val="none"/>
        </w:rPr>
      </w:pPr>
    </w:p>
    <w:p w14:paraId="2984919F" w14:textId="2DF5AB2F" w:rsidR="00EC5CA3" w:rsidRPr="00B265FC" w:rsidRDefault="00EC5CA3" w:rsidP="00DC3FD6">
      <w:pPr>
        <w:jc w:val="both"/>
        <w:outlineLvl w:val="2"/>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Legal Responsibilities</w:t>
      </w:r>
    </w:p>
    <w:p w14:paraId="5DD33942" w14:textId="6B355202" w:rsidR="00DA62CC" w:rsidRPr="00B265FC" w:rsidRDefault="004B699A" w:rsidP="00DC3FD6">
      <w:pPr>
        <w:pStyle w:val="NormalWeb"/>
        <w:spacing w:before="0" w:beforeAutospacing="0" w:after="0" w:afterAutospacing="0"/>
        <w:jc w:val="both"/>
      </w:pPr>
      <w:r>
        <w:t>Legal responsibilities require businesses to meet society's expectations by operating within the law (Dusuki, 2005). Various regulations exist that companies must follow at federal, state, and local levels. For example, businesses are restricted from engaging in illegal activities such as processing dangerous substances or participating in piracy. Additionally, companies must fulfill other legal duties, including ensuring employee well-being, protecting consumers, complying with environmental regulations, and paying taxes.</w:t>
      </w:r>
    </w:p>
    <w:p w14:paraId="67BBE543" w14:textId="77777777" w:rsidR="00464690" w:rsidRPr="00B265FC" w:rsidRDefault="00464690" w:rsidP="00DC3FD6">
      <w:pPr>
        <w:jc w:val="both"/>
        <w:outlineLvl w:val="2"/>
        <w:rPr>
          <w:rFonts w:ascii="Times New Roman" w:eastAsia="Times New Roman" w:hAnsi="Times New Roman" w:cs="Times New Roman"/>
          <w:b/>
          <w:bCs/>
          <w:color w:val="000000" w:themeColor="text1"/>
          <w:kern w:val="0"/>
          <w:lang w:eastAsia="en-GB" w:bidi="bn-IN"/>
          <w14:ligatures w14:val="none"/>
        </w:rPr>
      </w:pPr>
    </w:p>
    <w:p w14:paraId="7564A3A7" w14:textId="77777777" w:rsidR="00196585" w:rsidRPr="00B265FC" w:rsidRDefault="00196585"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Ethical Responsibilities</w:t>
      </w:r>
    </w:p>
    <w:p w14:paraId="30E73A5A" w14:textId="7FD6ADE0" w:rsidR="00196585" w:rsidRPr="00B265FC" w:rsidRDefault="004B699A"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Ethical responsibilities refer to the moral duties that businesses owe to society, involving fair and ethical practices for all stakeholders, including shareholders, employees, suppliers, competitors, the local community, and the environment. It is essential for businesses to distinguish between right and wrong to ensure fair treatment for everyone. Ethical standards may vary across different cultures, so many companies adopt formal codes of conduct or ethical guidelines to guide their operations. Ethical responsibility goes beyond legal compliance and also encompasses policies and actions that reflect societal morals and expectations.</w:t>
      </w:r>
    </w:p>
    <w:p w14:paraId="72DB0069" w14:textId="77777777"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p>
    <w:p w14:paraId="31B64BC3" w14:textId="77777777" w:rsidR="00196585" w:rsidRPr="00B265FC" w:rsidRDefault="00196585"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Philanthropic Responsibilities</w:t>
      </w:r>
    </w:p>
    <w:p w14:paraId="14B8FBD7" w14:textId="0FB635FA"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Philanthropic responsibilities are the urge to donate businesses to provide services to the society in respect to the societal demands. Despite the lack of philanthropy not being defined as unethical, any voluntary programs that the business </w:t>
      </w:r>
      <w:r w:rsidR="004B699A" w:rsidRPr="00B265FC">
        <w:rPr>
          <w:rFonts w:ascii="Times New Roman" w:eastAsia="Times New Roman" w:hAnsi="Times New Roman" w:cs="Times New Roman"/>
          <w:color w:val="000000" w:themeColor="text1"/>
          <w:kern w:val="0"/>
          <w:lang w:eastAsia="en-GB" w:bidi="bn-IN"/>
          <w14:ligatures w14:val="none"/>
        </w:rPr>
        <w:t>community</w:t>
      </w:r>
      <w:r w:rsidRPr="00B265FC">
        <w:rPr>
          <w:rFonts w:ascii="Times New Roman" w:eastAsia="Times New Roman" w:hAnsi="Times New Roman" w:cs="Times New Roman"/>
          <w:color w:val="000000" w:themeColor="text1"/>
          <w:kern w:val="0"/>
          <w:lang w:eastAsia="en-GB" w:bidi="bn-IN"/>
          <w14:ligatures w14:val="none"/>
        </w:rPr>
        <w:t xml:space="preserve"> carries out</w:t>
      </w:r>
      <w:r w:rsidR="004B699A">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like </w:t>
      </w:r>
      <w:r w:rsidR="004B699A">
        <w:rPr>
          <w:rFonts w:ascii="Times New Roman" w:eastAsia="Times New Roman" w:hAnsi="Times New Roman" w:cs="Times New Roman"/>
          <w:color w:val="000000" w:themeColor="text1"/>
          <w:kern w:val="0"/>
          <w:lang w:eastAsia="en-GB" w:bidi="bn-IN"/>
          <w14:ligatures w14:val="none"/>
        </w:rPr>
        <w:t>promoting</w:t>
      </w:r>
      <w:r w:rsidRPr="00B265FC">
        <w:rPr>
          <w:rFonts w:ascii="Times New Roman" w:eastAsia="Times New Roman" w:hAnsi="Times New Roman" w:cs="Times New Roman"/>
          <w:color w:val="000000" w:themeColor="text1"/>
          <w:kern w:val="0"/>
          <w:lang w:eastAsia="en-GB" w:bidi="bn-IN"/>
          <w14:ligatures w14:val="none"/>
        </w:rPr>
        <w:t xml:space="preserve"> arts and culture, backing charity events</w:t>
      </w:r>
      <w:r w:rsidR="004B699A">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and donations to education</w:t>
      </w:r>
      <w:r w:rsidR="004B699A">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will enhance the quality of life. Philanthropic </w:t>
      </w:r>
      <w:r w:rsidRPr="00B265FC">
        <w:rPr>
          <w:rFonts w:ascii="Times New Roman" w:eastAsia="Times New Roman" w:hAnsi="Times New Roman" w:cs="Times New Roman"/>
          <w:color w:val="000000" w:themeColor="text1"/>
          <w:kern w:val="0"/>
          <w:lang w:eastAsia="en-GB" w:bidi="bn-IN"/>
          <w14:ligatures w14:val="none"/>
        </w:rPr>
        <w:lastRenderedPageBreak/>
        <w:t xml:space="preserve">activities are usually </w:t>
      </w:r>
      <w:r w:rsidR="008B1DDC">
        <w:rPr>
          <w:rFonts w:ascii="Times New Roman" w:eastAsia="Times New Roman" w:hAnsi="Times New Roman" w:cs="Times New Roman"/>
          <w:color w:val="000000" w:themeColor="text1"/>
          <w:kern w:val="0"/>
          <w:lang w:eastAsia="en-GB" w:bidi="bn-IN"/>
          <w14:ligatures w14:val="none"/>
        </w:rPr>
        <w:t xml:space="preserve">at the </w:t>
      </w:r>
      <w:r w:rsidRPr="00B265FC">
        <w:rPr>
          <w:rFonts w:ascii="Times New Roman" w:eastAsia="Times New Roman" w:hAnsi="Times New Roman" w:cs="Times New Roman"/>
          <w:color w:val="000000" w:themeColor="text1"/>
          <w:kern w:val="0"/>
          <w:lang w:eastAsia="en-GB" w:bidi="bn-IN"/>
          <w14:ligatures w14:val="none"/>
        </w:rPr>
        <w:t xml:space="preserve">top of the list of </w:t>
      </w:r>
      <w:proofErr w:type="gramStart"/>
      <w:r w:rsidRPr="00B265FC">
        <w:rPr>
          <w:rFonts w:ascii="Times New Roman" w:eastAsia="Times New Roman" w:hAnsi="Times New Roman" w:cs="Times New Roman"/>
          <w:color w:val="000000" w:themeColor="text1"/>
          <w:kern w:val="0"/>
          <w:lang w:eastAsia="en-GB" w:bidi="bn-IN"/>
          <w14:ligatures w14:val="none"/>
        </w:rPr>
        <w:t>CSR</w:t>
      </w:r>
      <w:proofErr w:type="gramEnd"/>
      <w:r w:rsidRPr="00B265FC">
        <w:rPr>
          <w:rFonts w:ascii="Times New Roman" w:eastAsia="Times New Roman" w:hAnsi="Times New Roman" w:cs="Times New Roman"/>
          <w:color w:val="000000" w:themeColor="text1"/>
          <w:kern w:val="0"/>
          <w:lang w:eastAsia="en-GB" w:bidi="bn-IN"/>
          <w14:ligatures w14:val="none"/>
        </w:rPr>
        <w:t xml:space="preserve"> in </w:t>
      </w:r>
      <w:r w:rsidR="004B699A">
        <w:rPr>
          <w:rFonts w:ascii="Times New Roman" w:eastAsia="Times New Roman" w:hAnsi="Times New Roman" w:cs="Times New Roman"/>
          <w:color w:val="000000" w:themeColor="text1"/>
          <w:kern w:val="0"/>
          <w:lang w:eastAsia="en-GB" w:bidi="bn-IN"/>
          <w14:ligatures w14:val="none"/>
        </w:rPr>
        <w:t>third-world</w:t>
      </w:r>
      <w:r w:rsidRPr="00B265FC">
        <w:rPr>
          <w:rFonts w:ascii="Times New Roman" w:eastAsia="Times New Roman" w:hAnsi="Times New Roman" w:cs="Times New Roman"/>
          <w:color w:val="000000" w:themeColor="text1"/>
          <w:kern w:val="0"/>
          <w:lang w:eastAsia="en-GB" w:bidi="bn-IN"/>
          <w14:ligatures w14:val="none"/>
        </w:rPr>
        <w:t xml:space="preserve"> countries (Arora </w:t>
      </w:r>
      <w:r w:rsidR="004B699A">
        <w:rPr>
          <w:rFonts w:ascii="Times New Roman" w:eastAsia="Times New Roman" w:hAnsi="Times New Roman" w:cs="Times New Roman"/>
          <w:color w:val="000000" w:themeColor="text1"/>
          <w:kern w:val="0"/>
          <w:lang w:eastAsia="en-GB" w:bidi="bn-IN"/>
          <w14:ligatures w14:val="none"/>
        </w:rPr>
        <w:t>&amp;</w:t>
      </w:r>
      <w:r w:rsidRPr="00B265FC">
        <w:rPr>
          <w:rFonts w:ascii="Times New Roman" w:eastAsia="Times New Roman" w:hAnsi="Times New Roman" w:cs="Times New Roman"/>
          <w:color w:val="000000" w:themeColor="text1"/>
          <w:kern w:val="0"/>
          <w:lang w:eastAsia="en-GB" w:bidi="bn-IN"/>
          <w14:ligatures w14:val="none"/>
        </w:rPr>
        <w:t xml:space="preserve"> </w:t>
      </w:r>
      <w:proofErr w:type="spellStart"/>
      <w:r w:rsidRPr="00B265FC">
        <w:rPr>
          <w:rFonts w:ascii="Times New Roman" w:eastAsia="Times New Roman" w:hAnsi="Times New Roman" w:cs="Times New Roman"/>
          <w:color w:val="000000" w:themeColor="text1"/>
          <w:kern w:val="0"/>
          <w:lang w:eastAsia="en-GB" w:bidi="bn-IN"/>
          <w14:ligatures w14:val="none"/>
        </w:rPr>
        <w:t>Puranik</w:t>
      </w:r>
      <w:proofErr w:type="spellEnd"/>
      <w:r w:rsidRPr="00B265FC">
        <w:rPr>
          <w:rFonts w:ascii="Times New Roman" w:eastAsia="Times New Roman" w:hAnsi="Times New Roman" w:cs="Times New Roman"/>
          <w:color w:val="000000" w:themeColor="text1"/>
          <w:kern w:val="0"/>
          <w:lang w:eastAsia="en-GB" w:bidi="bn-IN"/>
          <w14:ligatures w14:val="none"/>
        </w:rPr>
        <w:t xml:space="preserve">, 2004; </w:t>
      </w:r>
      <w:proofErr w:type="spellStart"/>
      <w:r w:rsidRPr="00B265FC">
        <w:rPr>
          <w:rFonts w:ascii="Times New Roman" w:eastAsia="Times New Roman" w:hAnsi="Times New Roman" w:cs="Times New Roman"/>
          <w:color w:val="000000" w:themeColor="text1"/>
          <w:kern w:val="0"/>
          <w:lang w:eastAsia="en-GB" w:bidi="bn-IN"/>
          <w14:ligatures w14:val="none"/>
        </w:rPr>
        <w:t>Amaeshi</w:t>
      </w:r>
      <w:proofErr w:type="spellEnd"/>
      <w:r w:rsidRPr="00B265FC">
        <w:rPr>
          <w:rFonts w:ascii="Times New Roman" w:eastAsia="Times New Roman" w:hAnsi="Times New Roman" w:cs="Times New Roman"/>
          <w:color w:val="000000" w:themeColor="text1"/>
          <w:kern w:val="0"/>
          <w:lang w:eastAsia="en-GB" w:bidi="bn-IN"/>
          <w14:ligatures w14:val="none"/>
        </w:rPr>
        <w:t xml:space="preserve"> et al., 2006).</w:t>
      </w:r>
    </w:p>
    <w:p w14:paraId="446C0F10" w14:textId="77777777"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p>
    <w:p w14:paraId="457C8028" w14:textId="17A23230" w:rsidR="00B411BA" w:rsidRPr="00B265FC" w:rsidRDefault="00B411BA" w:rsidP="00DC3FD6">
      <w:pPr>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2</w:t>
      </w:r>
      <w:r w:rsidRPr="00B265FC">
        <w:rPr>
          <w:rFonts w:ascii="Times New Roman" w:hAnsi="Times New Roman" w:cs="Times New Roman"/>
          <w:b/>
          <w:bCs/>
          <w:color w:val="000000" w:themeColor="text1"/>
        </w:rPr>
        <w:t xml:space="preserve"> The Emergence of the Paradigm of Corporate Social Responsibility </w:t>
      </w:r>
    </w:p>
    <w:p w14:paraId="1A6462D1" w14:textId="1F434696" w:rsidR="005B2E8A" w:rsidRDefault="008B1DDC" w:rsidP="00DC3FD6">
      <w:pPr>
        <w:pStyle w:val="NormalWeb"/>
        <w:spacing w:before="0" w:beforeAutospacing="0" w:after="0" w:afterAutospacing="0"/>
        <w:jc w:val="both"/>
      </w:pPr>
      <w:r>
        <w:t>Topics such as environmental degradation, inhumane working conditions, and various corporate scandals have brought CSR into the global spotlight, prompting corporations, governments, and civil societies to reassess their roles in society (Crowther et al., 2004). Businesses face pressure to be transparent and responsible about their impact on the economy, society, and the environment, regardless of where they operate (Waddock, 2004; Brown, 2000). The renewed interest in CSR has been particularly fueled by the unethical actions of large, established firms with operations or supply chains in developing countries (Fox, 2004). The idea of business social responsibility dates back to the Industrial Revolution, and early mentions of CSR can be traced to influential works like Bowen’s (1953) book Social Responsibility of the Businessman. Scholars such as Eberstadt (1977) and Panwar et al. (2006) agree that CSR has evolved over centuries and has become a deeply ingrained tradition of business-community relationships. The long-standing concern for social responsibility, especially among stakeholders since industrialization, is also highlighted by Carroll (1999) and Kumar et al. (2001). While critics like Friedman believe that the main goal of businesses is profit within the legal framework, others—including scholars and activists—argue that there is more at stake, such as environmental sustainability and the well-being of future generations. This modern view of CSR acknowledges that business operations and social welfare are interconnected, emphasizing the need for companies to integrate social and environmental considerations into their strategic decision-making.</w:t>
      </w:r>
    </w:p>
    <w:p w14:paraId="074BFEBD" w14:textId="4C90CC37" w:rsidR="0068676D"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Corporate Social Responsibility (CSR) has become a vital part of the business environment due to increased transparency and visibility in the corporate world. Public stakeholders and rising transparency demands are driving trends toward sustainable corporate practices (</w:t>
      </w:r>
      <w:proofErr w:type="spellStart"/>
      <w:r>
        <w:rPr>
          <w:rFonts w:ascii="Times New Roman" w:eastAsia="Times New Roman" w:hAnsi="Times New Roman" w:cs="Times New Roman"/>
          <w:kern w:val="0"/>
          <w:lang w:eastAsia="en-GB" w:bidi="bn-IN"/>
          <w14:ligatures w14:val="none"/>
        </w:rPr>
        <w:t>ElAlfy</w:t>
      </w:r>
      <w:proofErr w:type="spellEnd"/>
      <w:r>
        <w:rPr>
          <w:rFonts w:ascii="Times New Roman" w:eastAsia="Times New Roman" w:hAnsi="Times New Roman" w:cs="Times New Roman"/>
          <w:kern w:val="0"/>
          <w:lang w:eastAsia="en-GB" w:bidi="bn-IN"/>
          <w14:ligatures w14:val="none"/>
        </w:rPr>
        <w:t xml:space="preserve"> et al., 2020). CSR programs are becoming more important for ensuring a company's long-term success and survival by aligning business strategies and stakeholder needs with market demands (UN Global Compact, 2018). Organizations pursue CSR to maintain their operational rights, protect their brand against attacks, build customer loyalty, and stay competitive (Rupley et al., 2017). CSR has been shown to provide tangible financial benefits, including higher top-line growth (Hristov and Chirico, 2019), lower capital costs, and enhanced reputation and goodwill (Tian and Robertson, 2017). Additionally, CSR practices help eliminate material and technological hazards, resulting in a stronger, more sustainable business model (</w:t>
      </w:r>
      <w:proofErr w:type="spellStart"/>
      <w:r>
        <w:rPr>
          <w:rFonts w:ascii="Times New Roman" w:eastAsia="Times New Roman" w:hAnsi="Times New Roman" w:cs="Times New Roman"/>
          <w:kern w:val="0"/>
          <w:lang w:eastAsia="en-GB" w:bidi="bn-IN"/>
          <w14:ligatures w14:val="none"/>
        </w:rPr>
        <w:t>Schaltegger</w:t>
      </w:r>
      <w:proofErr w:type="spellEnd"/>
      <w:r>
        <w:rPr>
          <w:rFonts w:ascii="Times New Roman" w:eastAsia="Times New Roman" w:hAnsi="Times New Roman" w:cs="Times New Roman"/>
          <w:kern w:val="0"/>
          <w:lang w:eastAsia="en-GB" w:bidi="bn-IN"/>
          <w14:ligatures w14:val="none"/>
        </w:rPr>
        <w:t xml:space="preserve"> et al., 2012). These developments, driven by stakeholder expectations, business sustainability goals, and ethical responsibilities, highlight CSR as a strategic necessity.</w:t>
      </w:r>
    </w:p>
    <w:p w14:paraId="5A946816" w14:textId="77777777" w:rsidR="00C41383" w:rsidRDefault="00C41383" w:rsidP="00DC3FD6">
      <w:pPr>
        <w:autoSpaceDE w:val="0"/>
        <w:autoSpaceDN w:val="0"/>
        <w:adjustRightInd w:val="0"/>
        <w:jc w:val="both"/>
        <w:rPr>
          <w:rFonts w:ascii="Times New Roman" w:hAnsi="Times New Roman" w:cs="Times New Roman"/>
          <w:b/>
          <w:bCs/>
          <w:color w:val="000000" w:themeColor="text1"/>
        </w:rPr>
      </w:pPr>
    </w:p>
    <w:p w14:paraId="182FAC97" w14:textId="6D6CF04F"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3</w:t>
      </w:r>
      <w:r w:rsidRPr="00B265FC">
        <w:rPr>
          <w:rFonts w:ascii="Times New Roman" w:hAnsi="Times New Roman" w:cs="Times New Roman"/>
          <w:b/>
          <w:bCs/>
          <w:color w:val="000000" w:themeColor="text1"/>
        </w:rPr>
        <w:t xml:space="preserve"> Motivation for CSR Activities</w:t>
      </w:r>
    </w:p>
    <w:p w14:paraId="5BE62092" w14:textId="04042028" w:rsidR="001257B8"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Today, companies face pressure to participate in corporate social responsibility (CSR) due to various reasons, such as increasing social performance expectations (e.g., the United Nations Global Compact), the emergence of independent evaluations and ratings promoting transparency (e.g., Fortune's Most Admired Companies), and high-profile corporate scandals (e.g., Enron, Worldcom) (Pirsch et al., 2007). Firms choose to engage in CSR voluntarily for several reasons. Research indicates that some successful businesses invest heavily in social responsibility, as studies by Kitchen and Schultz (2002), Joyner and Payne (2002), and Brammer and Millington (2005) show that applying CSR often leads to a positive corporate image and increased profits. Arjoon (2000) and Marshall (2005) believe that businesses focusing on CSR-oriented strategies </w:t>
      </w:r>
      <w:r>
        <w:rPr>
          <w:rFonts w:ascii="Times New Roman" w:eastAsia="Times New Roman" w:hAnsi="Times New Roman" w:cs="Times New Roman"/>
          <w:kern w:val="0"/>
          <w:lang w:eastAsia="en-GB" w:bidi="bn-IN"/>
          <w14:ligatures w14:val="none"/>
        </w:rPr>
        <w:lastRenderedPageBreak/>
        <w:t>are more likely to achieve high profit potential than those whose primary goal is financial gain. Firms can gain a competitive advantage through CSR activities that enhance brand image (</w:t>
      </w:r>
      <w:proofErr w:type="spellStart"/>
      <w:r>
        <w:rPr>
          <w:rFonts w:ascii="Times New Roman" w:eastAsia="Times New Roman" w:hAnsi="Times New Roman" w:cs="Times New Roman"/>
          <w:kern w:val="0"/>
          <w:lang w:eastAsia="en-GB" w:bidi="bn-IN"/>
          <w14:ligatures w14:val="none"/>
        </w:rPr>
        <w:t>Doukakis</w:t>
      </w:r>
      <w:proofErr w:type="spellEnd"/>
      <w:r>
        <w:rPr>
          <w:rFonts w:ascii="Times New Roman" w:eastAsia="Times New Roman" w:hAnsi="Times New Roman" w:cs="Times New Roman"/>
          <w:kern w:val="0"/>
          <w:lang w:eastAsia="en-GB" w:bidi="bn-IN"/>
          <w14:ligatures w14:val="none"/>
        </w:rPr>
        <w:t xml:space="preserve"> et al., 2005). Acuff (2005) states that CSR activities can lead to targeted marketing efforts that boost consumer wellbeing and goodwill. Moreover, high brand equity and strong customer loyalty are associated with CSR initiatives (Miller et al., 2020). Mackiewicz (1993) found that 90 percent of consumers consider a company's CSR reputation when making purchasing decisions, and many seek out socially responsible companies based on positive word-of-mouth (Maignan, 2001; Berens et al., 2005; Davis, 2005). Companies involved in CSR also tend to attract and retain top talent at higher rates (Barnett and </w:t>
      </w:r>
      <w:proofErr w:type="spellStart"/>
      <w:r>
        <w:rPr>
          <w:rFonts w:ascii="Times New Roman" w:eastAsia="Times New Roman" w:hAnsi="Times New Roman" w:cs="Times New Roman"/>
          <w:kern w:val="0"/>
          <w:lang w:eastAsia="en-GB" w:bidi="bn-IN"/>
          <w14:ligatures w14:val="none"/>
        </w:rPr>
        <w:t>Vaicys</w:t>
      </w:r>
      <w:proofErr w:type="spellEnd"/>
      <w:r>
        <w:rPr>
          <w:rFonts w:ascii="Times New Roman" w:eastAsia="Times New Roman" w:hAnsi="Times New Roman" w:cs="Times New Roman"/>
          <w:kern w:val="0"/>
          <w:lang w:eastAsia="en-GB" w:bidi="bn-IN"/>
          <w14:ligatures w14:val="none"/>
        </w:rPr>
        <w:t xml:space="preserve">, 2000; Backhaus et al., 2002). Employees are more willing to provide innovative solutions to improve environmental responsibility, as Ramus and Steger (2000) discovered that employees are more motivated when they feel their employer cares about environmental practices. Additionally, some businesses engage in CSR to avoid government regulation (Moon and Vogel, 2008), which can be </w:t>
      </w:r>
      <w:proofErr w:type="gramStart"/>
      <w:r>
        <w:rPr>
          <w:rFonts w:ascii="Times New Roman" w:eastAsia="Times New Roman" w:hAnsi="Times New Roman" w:cs="Times New Roman"/>
          <w:kern w:val="0"/>
          <w:lang w:eastAsia="en-GB" w:bidi="bn-IN"/>
          <w14:ligatures w14:val="none"/>
        </w:rPr>
        <w:t>more costly and restrictive</w:t>
      </w:r>
      <w:proofErr w:type="gramEnd"/>
      <w:r>
        <w:rPr>
          <w:rFonts w:ascii="Times New Roman" w:eastAsia="Times New Roman" w:hAnsi="Times New Roman" w:cs="Times New Roman"/>
          <w:kern w:val="0"/>
          <w:lang w:eastAsia="en-GB" w:bidi="bn-IN"/>
          <w14:ligatures w14:val="none"/>
        </w:rPr>
        <w:t xml:space="preserve"> to address societal concerns internally. With the broad range of motives behind CSR, companies can integrate CSR into their overall strategy, supporting sustainable development and enhancing operational effectiveness.</w:t>
      </w:r>
    </w:p>
    <w:p w14:paraId="23B55254" w14:textId="19E3EEB8" w:rsidR="00B442F0" w:rsidRPr="00B265FC"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Corporate social responsibility (CSR) initiatives are influenced by various factors that complement employee and organizational dynamics. </w:t>
      </w:r>
      <w:proofErr w:type="spellStart"/>
      <w:r>
        <w:rPr>
          <w:rFonts w:ascii="Times New Roman" w:eastAsia="Times New Roman" w:hAnsi="Times New Roman" w:cs="Times New Roman"/>
          <w:kern w:val="0"/>
          <w:lang w:eastAsia="en-GB" w:bidi="bn-IN"/>
          <w14:ligatures w14:val="none"/>
        </w:rPr>
        <w:t>Aguinis</w:t>
      </w:r>
      <w:proofErr w:type="spellEnd"/>
      <w:r>
        <w:rPr>
          <w:rFonts w:ascii="Times New Roman" w:eastAsia="Times New Roman" w:hAnsi="Times New Roman" w:cs="Times New Roman"/>
          <w:kern w:val="0"/>
          <w:lang w:eastAsia="en-GB" w:bidi="bn-IN"/>
          <w14:ligatures w14:val="none"/>
        </w:rPr>
        <w:t xml:space="preserve"> and </w:t>
      </w:r>
      <w:proofErr w:type="spellStart"/>
      <w:r>
        <w:rPr>
          <w:rFonts w:ascii="Times New Roman" w:eastAsia="Times New Roman" w:hAnsi="Times New Roman" w:cs="Times New Roman"/>
          <w:kern w:val="0"/>
          <w:lang w:eastAsia="en-GB" w:bidi="bn-IN"/>
          <w14:ligatures w14:val="none"/>
        </w:rPr>
        <w:t>Glavas</w:t>
      </w:r>
      <w:proofErr w:type="spellEnd"/>
      <w:r>
        <w:rPr>
          <w:rFonts w:ascii="Times New Roman" w:eastAsia="Times New Roman" w:hAnsi="Times New Roman" w:cs="Times New Roman"/>
          <w:kern w:val="0"/>
          <w:lang w:eastAsia="en-GB" w:bidi="bn-IN"/>
          <w14:ligatures w14:val="none"/>
        </w:rPr>
        <w:t xml:space="preserve"> (2019) argue that individuals are the drivers of CSR initiatives and are affected by a firm's CSR practices. Since more traditional, top-down motivation programs now seem exhausted in modern workplaces, this dual impact highlights the value of corporate social responsibility (</w:t>
      </w:r>
      <w:proofErr w:type="spellStart"/>
      <w:r>
        <w:rPr>
          <w:rFonts w:ascii="Times New Roman" w:eastAsia="Times New Roman" w:hAnsi="Times New Roman" w:cs="Times New Roman"/>
          <w:kern w:val="0"/>
          <w:lang w:eastAsia="en-GB" w:bidi="bn-IN"/>
          <w14:ligatures w14:val="none"/>
        </w:rPr>
        <w:t>Kuvaas</w:t>
      </w:r>
      <w:proofErr w:type="spellEnd"/>
      <w:r>
        <w:rPr>
          <w:rFonts w:ascii="Times New Roman" w:eastAsia="Times New Roman" w:hAnsi="Times New Roman" w:cs="Times New Roman"/>
          <w:kern w:val="0"/>
          <w:lang w:eastAsia="en-GB" w:bidi="bn-IN"/>
          <w14:ligatures w14:val="none"/>
        </w:rPr>
        <w:t xml:space="preserve"> et al., 2017). When CSR actions are implemented, an organization’s target system becomes not just unidimensional and profit-focused but multidimensional, balancing both profit and CSR goals, which can create conflicts between them (Kunz, 2020). This shift significantly influences human motivation, altering its nature and strength. Although interest in CSR increases, little is known about its impact on various types of employee motivation, leaving gaps in business knowledge (Kunz, 2020). The comprehensive perspective of </w:t>
      </w:r>
      <w:proofErr w:type="spellStart"/>
      <w:r>
        <w:rPr>
          <w:rFonts w:ascii="Times New Roman" w:eastAsia="Times New Roman" w:hAnsi="Times New Roman" w:cs="Times New Roman"/>
          <w:kern w:val="0"/>
          <w:lang w:eastAsia="en-GB" w:bidi="bn-IN"/>
          <w14:ligatures w14:val="none"/>
        </w:rPr>
        <w:t>Aguinis</w:t>
      </w:r>
      <w:proofErr w:type="spellEnd"/>
      <w:r>
        <w:rPr>
          <w:rFonts w:ascii="Times New Roman" w:eastAsia="Times New Roman" w:hAnsi="Times New Roman" w:cs="Times New Roman"/>
          <w:kern w:val="0"/>
          <w:lang w:eastAsia="en-GB" w:bidi="bn-IN"/>
          <w14:ligatures w14:val="none"/>
        </w:rPr>
        <w:t xml:space="preserve"> and </w:t>
      </w:r>
      <w:proofErr w:type="spellStart"/>
      <w:r>
        <w:rPr>
          <w:rFonts w:ascii="Times New Roman" w:eastAsia="Times New Roman" w:hAnsi="Times New Roman" w:cs="Times New Roman"/>
          <w:kern w:val="0"/>
          <w:lang w:eastAsia="en-GB" w:bidi="bn-IN"/>
          <w14:ligatures w14:val="none"/>
        </w:rPr>
        <w:t>Glavas</w:t>
      </w:r>
      <w:proofErr w:type="spellEnd"/>
      <w:r>
        <w:rPr>
          <w:rFonts w:ascii="Times New Roman" w:eastAsia="Times New Roman" w:hAnsi="Times New Roman" w:cs="Times New Roman"/>
          <w:kern w:val="0"/>
          <w:lang w:eastAsia="en-GB" w:bidi="bn-IN"/>
          <w14:ligatures w14:val="none"/>
        </w:rPr>
        <w:t xml:space="preserve"> (2019) emphasizes the influence of nationality, family, and external stakeholders on CSR and employee sense-making. However, the role of supra-organizational structures in this context remains understudied, which has implications for human resource (HR) practitioners. Klimchak et al. (2019) assert that changing demographics in the labor market require a more advanced understanding of effective employee motivation and leadership. Empirical evidence shows that CSR projects positively impact employee attitudes and behaviors such as organizational commitment, motivation, and trust in the business (Loor-Zambrano et al., 2022). For example, CSR can be a tool that Ecuadorian managers use to develop a committed and motivated workforce. Additionally, organizations engage in CSR activities to meet stakeholder expectations, improve community relations, attract and retain employees, enhance brand image, fulfill ethical responsibilities, align with company values, and potentially improve financial performance through proven social impacts (Center for Training and Professional Development, 2023; </w:t>
      </w:r>
      <w:proofErr w:type="spellStart"/>
      <w:r>
        <w:rPr>
          <w:rFonts w:ascii="Times New Roman" w:eastAsia="Times New Roman" w:hAnsi="Times New Roman" w:cs="Times New Roman"/>
          <w:kern w:val="0"/>
          <w:lang w:eastAsia="en-GB" w:bidi="bn-IN"/>
          <w14:ligatures w14:val="none"/>
        </w:rPr>
        <w:t>Toussi</w:t>
      </w:r>
      <w:proofErr w:type="spellEnd"/>
      <w:r>
        <w:rPr>
          <w:rFonts w:ascii="Times New Roman" w:eastAsia="Times New Roman" w:hAnsi="Times New Roman" w:cs="Times New Roman"/>
          <w:kern w:val="0"/>
          <w:lang w:eastAsia="en-GB" w:bidi="bn-IN"/>
          <w14:ligatures w14:val="none"/>
        </w:rPr>
        <w:t xml:space="preserve"> et al., 2022; Yousaf, 2024). The motivation behind CSR activities goes beyond monetary profit; it reflects a holistic and complex view of company success, emphasizing social aspects and employee participation.</w:t>
      </w:r>
    </w:p>
    <w:p w14:paraId="67022CE7" w14:textId="77777777" w:rsidR="0068676D" w:rsidRDefault="0068676D" w:rsidP="00DC3FD6">
      <w:pPr>
        <w:autoSpaceDE w:val="0"/>
        <w:autoSpaceDN w:val="0"/>
        <w:adjustRightInd w:val="0"/>
        <w:jc w:val="both"/>
        <w:rPr>
          <w:rFonts w:ascii="Times New Roman" w:hAnsi="Times New Roman" w:cs="Times New Roman"/>
          <w:b/>
          <w:bCs/>
          <w:color w:val="000000" w:themeColor="text1"/>
        </w:rPr>
      </w:pPr>
    </w:p>
    <w:p w14:paraId="3D298C81" w14:textId="09784BD7" w:rsidR="006F40EC"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4</w:t>
      </w:r>
      <w:r w:rsidRPr="00B265FC">
        <w:rPr>
          <w:rFonts w:ascii="Times New Roman" w:hAnsi="Times New Roman" w:cs="Times New Roman"/>
          <w:b/>
          <w:bCs/>
          <w:color w:val="000000" w:themeColor="text1"/>
        </w:rPr>
        <w:t xml:space="preserve"> </w:t>
      </w:r>
      <w:bookmarkStart w:id="2" w:name="_Hlk184318468"/>
      <w:r w:rsidRPr="00B265FC">
        <w:rPr>
          <w:rFonts w:ascii="Times New Roman" w:hAnsi="Times New Roman" w:cs="Times New Roman"/>
          <w:b/>
          <w:bCs/>
          <w:color w:val="000000" w:themeColor="text1"/>
        </w:rPr>
        <w:t>CSR Studies in Asian Developing Countries</w:t>
      </w:r>
      <w:bookmarkEnd w:id="2"/>
    </w:p>
    <w:p w14:paraId="21D2842D" w14:textId="71B72627" w:rsidR="001257B8" w:rsidRDefault="000206C7"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The current scholarship on CSR has mainly focused on developed countries, with a significant gap in research on CSR practices and perceptions in developing nations, especially in Asia. While Western countries emphasize CSR more, emerging economies are more diverse due to variations </w:t>
      </w:r>
      <w:r>
        <w:rPr>
          <w:rFonts w:ascii="Times New Roman" w:eastAsia="Times New Roman" w:hAnsi="Times New Roman" w:cs="Times New Roman"/>
          <w:kern w:val="0"/>
          <w:lang w:eastAsia="en-GB" w:bidi="bn-IN"/>
          <w14:ligatures w14:val="none"/>
        </w:rPr>
        <w:lastRenderedPageBreak/>
        <w:t>in cultural, religious, political, and socio-economic factors (</w:t>
      </w:r>
      <w:proofErr w:type="spellStart"/>
      <w:r>
        <w:rPr>
          <w:rFonts w:ascii="Times New Roman" w:eastAsia="Times New Roman" w:hAnsi="Times New Roman" w:cs="Times New Roman"/>
          <w:kern w:val="0"/>
          <w:lang w:eastAsia="en-GB" w:bidi="bn-IN"/>
          <w14:ligatures w14:val="none"/>
        </w:rPr>
        <w:t>Sriramesh</w:t>
      </w:r>
      <w:proofErr w:type="spellEnd"/>
      <w:r>
        <w:rPr>
          <w:rFonts w:ascii="Times New Roman" w:eastAsia="Times New Roman" w:hAnsi="Times New Roman" w:cs="Times New Roman"/>
          <w:kern w:val="0"/>
          <w:lang w:eastAsia="en-GB" w:bidi="bn-IN"/>
          <w14:ligatures w14:val="none"/>
        </w:rPr>
        <w:t xml:space="preserve"> et al., 2007). Studies of CSR in Asian countries such as China, India, Bangladesh, Indonesia, Thailand, and Pakistan have been increasing. As noted in studies by Chapple and Moon (2005) and </w:t>
      </w:r>
      <w:proofErr w:type="spellStart"/>
      <w:r>
        <w:rPr>
          <w:rFonts w:ascii="Times New Roman" w:eastAsia="Times New Roman" w:hAnsi="Times New Roman" w:cs="Times New Roman"/>
          <w:kern w:val="0"/>
          <w:lang w:eastAsia="en-GB" w:bidi="bn-IN"/>
          <w14:ligatures w14:val="none"/>
        </w:rPr>
        <w:t>Sriramesh</w:t>
      </w:r>
      <w:proofErr w:type="spellEnd"/>
      <w:r>
        <w:rPr>
          <w:rFonts w:ascii="Times New Roman" w:eastAsia="Times New Roman" w:hAnsi="Times New Roman" w:cs="Times New Roman"/>
          <w:kern w:val="0"/>
          <w:lang w:eastAsia="en-GB" w:bidi="bn-IN"/>
          <w14:ligatures w14:val="none"/>
        </w:rPr>
        <w:t xml:space="preserve"> et al. (2007), CSR in Asia is influenced by multiple factors, making it different from Western practices. A modified version of the CSR pyramid created by Carroll became the CSR pyramid by Visser (2006), especially in developing nations, where philanthropic responsibilities are considered secondary to economic ones, and legal and ethical responsibilities receive less attention. Ramasamy and Yeung (2010) found a strong link between religiosity and support for CSR among Asian consumers. Visser (2008) emphasizes that CSR should be prioritized in developing countries primarily for four reasons.</w:t>
      </w:r>
    </w:p>
    <w:p w14:paraId="58A9CF79" w14:textId="77777777" w:rsidR="0068676D" w:rsidRPr="00B265FC" w:rsidRDefault="0068676D" w:rsidP="00DC3FD6">
      <w:pPr>
        <w:jc w:val="both"/>
        <w:rPr>
          <w:rFonts w:ascii="Times New Roman" w:eastAsia="Times New Roman" w:hAnsi="Times New Roman" w:cs="Times New Roman"/>
          <w:kern w:val="0"/>
          <w:lang w:eastAsia="en-GB" w:bidi="bn-IN"/>
          <w14:ligatures w14:val="none"/>
        </w:rPr>
      </w:pPr>
    </w:p>
    <w:p w14:paraId="242580CD" w14:textId="44DA2995"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 xml:space="preserve">The markets are favorable due to </w:t>
      </w:r>
      <w:r w:rsidR="00E9008F">
        <w:rPr>
          <w:rFonts w:ascii="Times New Roman" w:eastAsia="Times New Roman" w:hAnsi="Times New Roman" w:cs="Times New Roman"/>
          <w:sz w:val="24"/>
          <w:szCs w:val="24"/>
          <w:lang w:eastAsia="en-GB" w:bidi="bn-IN"/>
        </w:rPr>
        <w:t>these areas' high economic growth rates</w:t>
      </w:r>
      <w:r w:rsidRPr="00B265FC">
        <w:rPr>
          <w:rFonts w:ascii="Times New Roman" w:eastAsia="Times New Roman" w:hAnsi="Times New Roman" w:cs="Times New Roman"/>
          <w:sz w:val="24"/>
          <w:szCs w:val="24"/>
          <w:lang w:eastAsia="en-GB" w:bidi="bn-IN"/>
        </w:rPr>
        <w:t xml:space="preserve"> (IMF, 2006).</w:t>
      </w:r>
    </w:p>
    <w:p w14:paraId="4DCAF2C4" w14:textId="0C4978CA"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The social and environmental problems tend to be poorer (UNDP, 2006).</w:t>
      </w:r>
    </w:p>
    <w:p w14:paraId="7DD02F2D" w14:textId="48E3BF72"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 xml:space="preserve">Global business practices and the globalized economy have </w:t>
      </w:r>
      <w:r w:rsidR="00E9008F">
        <w:rPr>
          <w:rFonts w:ascii="Times New Roman" w:eastAsia="Times New Roman" w:hAnsi="Times New Roman" w:cs="Times New Roman"/>
          <w:sz w:val="24"/>
          <w:szCs w:val="24"/>
          <w:lang w:eastAsia="en-GB" w:bidi="bn-IN"/>
        </w:rPr>
        <w:t>significant</w:t>
      </w:r>
      <w:r w:rsidRPr="00B265FC">
        <w:rPr>
          <w:rFonts w:ascii="Times New Roman" w:eastAsia="Times New Roman" w:hAnsi="Times New Roman" w:cs="Times New Roman"/>
          <w:sz w:val="24"/>
          <w:szCs w:val="24"/>
          <w:lang w:eastAsia="en-GB" w:bidi="bn-IN"/>
        </w:rPr>
        <w:t xml:space="preserve"> social and environmental effects.</w:t>
      </w:r>
    </w:p>
    <w:p w14:paraId="36AED9B8" w14:textId="3084F7F1" w:rsidR="001257B8"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The issues of CSR published in these areas are not the same as in developed countries.</w:t>
      </w:r>
    </w:p>
    <w:p w14:paraId="7AD519C7" w14:textId="77777777" w:rsidR="0068676D" w:rsidRPr="0068676D" w:rsidRDefault="0068676D" w:rsidP="0068676D">
      <w:pPr>
        <w:jc w:val="both"/>
        <w:rPr>
          <w:rFonts w:ascii="Times New Roman" w:eastAsia="Times New Roman" w:hAnsi="Times New Roman" w:cs="Times New Roman"/>
          <w:lang w:eastAsia="en-GB" w:bidi="bn-IN"/>
        </w:rPr>
      </w:pPr>
    </w:p>
    <w:p w14:paraId="3E95EB45" w14:textId="4491E99B" w:rsidR="00CB4053" w:rsidRDefault="00E9008F"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In developing economies, globalization is the primary driver of CSR, as the international market suggests that corporations are expected to adopt global CSR practices (Chambers et al., 2003; Khanna, 2004). The interest in socially responsible investment (SRI) has increased due to the rapid economic growth experienced in Asia since the 1980s, and investors now consider both morality and financial rewards (Laufer, 2003). As Cheung et al. (2010) observed, investments in companies with high CSR performance have grown. However, Asian firms are more likely to lag behind Western companies in adopting CSR practices. Welford (2005) added that labor issues, such as decent wages and workers’ rights, are a significant concern, with Asian firms scoring lower than European firms. Additionally, Welford (2005) noted that reductions in philanthropic activities are less common in Asia compared to Europe and North America. Wong et al. (2009) found that Indian students take matters of responsibility toward philanthropy more seriously, whereas Chinese students are more concerned with the economic aspects of CSR.</w:t>
      </w:r>
    </w:p>
    <w:p w14:paraId="23877DE7" w14:textId="34AEC9EA" w:rsidR="000101C2" w:rsidRDefault="00E9008F"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Although the concept of corporate social responsibility, or CSR, has become quite popular globally, the approaches taken by industrialized and developing countries vary significantly. Established nations with complex interests, such as the United States, Canada, the United Kingdom, and the European Union, have made strong efforts to promote CSR. These efforts include raising awareness, implementing soft regulations, encouraging partnerships, and requiring transparency in handling social issues in all regions where companies operate (Wirba, 2024). However, when it comes to achieving CSR goals, developing countries often lag behind. Many still view CSR primarily as a charitable act rather than a means to achieve fair and sustainable development that fosters economic growth. This limited perspective is worsened by weak governance and lack of transparency, especially in resource-rich nations. In some cases, corrupt elites have been reported to divert CSR funds for personal gain instead of benefiting local communities (Wirba, 2024). Governments in developing countries should develop their own CSR practices instead of simply copying those of wealthier nations, since their socioeconomic situations are different. To achieve sustainable development, these countries need to build strong institutions that support CSR through partnerships, local awareness programs, and regulatory frameworks (Wirba, 2024). Adoption of CSR has been increasing in Asia, as companies try to address societal issues that governments alone cannot solve. Although CSR remains less familiar in some Asian </w:t>
      </w:r>
      <w:r>
        <w:rPr>
          <w:rFonts w:ascii="Times New Roman" w:eastAsia="Times New Roman" w:hAnsi="Times New Roman" w:cs="Times New Roman"/>
          <w:kern w:val="0"/>
          <w:lang w:eastAsia="en-GB" w:bidi="bn-IN"/>
          <w14:ligatures w14:val="none"/>
        </w:rPr>
        <w:lastRenderedPageBreak/>
        <w:t>countries compared to Western nations, the region is beginning to adopt socially responsible practices in an effort to find innovative solutions to regional challenges (Kim, 2018). Nonetheless, institutional and political factors greatly influence the form and scope of CSR programs in Asian countries. Despite initial differences, CSR methods and procedures have become more consistent across the region (Kim, 2018). The global CSR agenda emphasizes that developed and developing countries should collaborate to share best practices and develop frameworks that promote fair and sustainable development. While Asian emerging economies have advanced, issues such as transparency, governance, and the philanthropic view of CSR still need to be addressed to realize its full potential (Wirba, 2024; Gajadhur, 2022; Kim, 2018).</w:t>
      </w:r>
    </w:p>
    <w:p w14:paraId="58BC0E70" w14:textId="77777777" w:rsidR="0068676D" w:rsidRPr="00B265FC" w:rsidRDefault="0068676D" w:rsidP="00DC3FD6">
      <w:pPr>
        <w:jc w:val="both"/>
        <w:rPr>
          <w:rFonts w:ascii="Times New Roman" w:eastAsia="Times New Roman" w:hAnsi="Times New Roman" w:cs="Times New Roman"/>
          <w:kern w:val="0"/>
          <w:lang w:eastAsia="en-GB" w:bidi="bn-IN"/>
          <w14:ligatures w14:val="none"/>
        </w:rPr>
      </w:pPr>
    </w:p>
    <w:p w14:paraId="186F7994" w14:textId="4A9C4F02" w:rsidR="00F353F1" w:rsidRPr="00B265FC" w:rsidRDefault="00F353F1"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2.5</w:t>
      </w:r>
      <w:r w:rsidR="00B411BA" w:rsidRPr="00B265FC">
        <w:rPr>
          <w:rFonts w:ascii="Times New Roman" w:hAnsi="Times New Roman" w:cs="Times New Roman"/>
          <w:b/>
          <w:bCs/>
          <w:color w:val="000000" w:themeColor="text1"/>
        </w:rPr>
        <w:t xml:space="preserve"> CSR Practice in Bangladesh </w:t>
      </w:r>
    </w:p>
    <w:p w14:paraId="5374F54B" w14:textId="68418606" w:rsidR="00B92863" w:rsidRDefault="00A414B2" w:rsidP="00DC3FD6">
      <w:pPr>
        <w:jc w:val="both"/>
        <w:rPr>
          <w:rFonts w:ascii="Times New Roman" w:hAnsi="Times New Roman" w:cs="Times New Roman"/>
          <w:color w:val="000000" w:themeColor="text1"/>
        </w:rPr>
      </w:pPr>
      <w:r>
        <w:rPr>
          <w:rFonts w:ascii="Times New Roman" w:hAnsi="Times New Roman" w:cs="Times New Roman"/>
          <w:color w:val="000000" w:themeColor="text1"/>
        </w:rPr>
        <w:t>The amount of literature available on Corporate Social Responsibility (CSR) in Bangladesh is quite limited. Even the studies conducted during the early years of research primarily focused on social disclosures and environmental reporting. Singh and Ahuja (1983) conducted one of the first studies in South Asia to measure social disclosures by analyzing annual reports as the measurement tool for a public sector firm. They found that about 40% of companies reported more than 30 percent of items in social disclosures, such as community investment and environmental protection (Belal, 2001). Belal's (1999) study was among the first to analyze annual reports in Bangladesh, covering 30 companies. It revealed that 90 percent of firms made some environmental disclosures, most of which concerned energy expenditure. Additionally, 77 percent of companies engaged in ethical disclosures, though the specifics of such disclosures were not detailed. Social disclosures were often categorized as 'others,' including donations to the national treasury and dividends paid to non-resident shareholders. This paper highlights the narrow perspective of CSR reporting in Bangladesh, which often overlooks critical regional issues like human and labor rights (Imam, 2000). Belal (2000) expanded CSR research by focusing on social disclosures without considering environmental issues. His study categorized disclosures into employment, ethical, and general social issues. Employment disclosures included pay and benefits, health and safety, and trade union involvement. Ethical disclosures encompassed donations, sponsorships, and community engagement. General social disclosures involved value-added statements and management appreciation. Other studies, including Imam (1999) and Belal (2000), found that only a small percentage of companies listed on the Dhaka Stock Exchange reported on environmental matters—11.76% and 20.58%, respectively. Belal (2000) also noted that while many firms in Bangladesh practiced CSR, a significant portion responded mainly to external pressure from interest groups rather than from a genuine sense of social responsibility.</w:t>
      </w:r>
    </w:p>
    <w:p w14:paraId="379D361F" w14:textId="2A88DBED" w:rsidR="000101C2" w:rsidRPr="00B265FC" w:rsidRDefault="000101C2" w:rsidP="00DC3FD6">
      <w:pPr>
        <w:jc w:val="both"/>
        <w:rPr>
          <w:rFonts w:ascii="Times New Roman" w:hAnsi="Times New Roman" w:cs="Times New Roman"/>
          <w:color w:val="000000" w:themeColor="text1"/>
        </w:rPr>
      </w:pPr>
      <w:r w:rsidRPr="000101C2">
        <w:rPr>
          <w:rFonts w:ascii="Times New Roman" w:hAnsi="Times New Roman" w:cs="Times New Roman"/>
          <w:color w:val="000000" w:themeColor="text1"/>
        </w:rPr>
        <w:t xml:space="preserve">The concept of corporate social responsibility, or CSR, is becoming a new reality in the corporate sector of Bangladesh (Afrin et al., 2020). The increasing significance of corporate social responsibility has led to many social and environmental programs being implemented by many organizations, especially banks, </w:t>
      </w:r>
      <w:r w:rsidR="00A414B2">
        <w:rPr>
          <w:rFonts w:ascii="Times New Roman" w:hAnsi="Times New Roman" w:cs="Times New Roman"/>
          <w:color w:val="000000" w:themeColor="text1"/>
        </w:rPr>
        <w:t>to support their activities and give</w:t>
      </w:r>
      <w:r w:rsidRPr="000101C2">
        <w:rPr>
          <w:rFonts w:ascii="Times New Roman" w:hAnsi="Times New Roman" w:cs="Times New Roman"/>
          <w:color w:val="000000" w:themeColor="text1"/>
        </w:rPr>
        <w:t xml:space="preserve"> back to society (Afrin et al., 2020). The concept of CSR is widely appreciated within the corporate world</w:t>
      </w:r>
      <w:r w:rsidR="00A414B2">
        <w:rPr>
          <w:rFonts w:ascii="Times New Roman" w:hAnsi="Times New Roman" w:cs="Times New Roman"/>
          <w:color w:val="000000" w:themeColor="text1"/>
        </w:rPr>
        <w:t>. It is</w:t>
      </w:r>
      <w:r w:rsidRPr="000101C2">
        <w:rPr>
          <w:rFonts w:ascii="Times New Roman" w:hAnsi="Times New Roman" w:cs="Times New Roman"/>
          <w:color w:val="000000" w:themeColor="text1"/>
        </w:rPr>
        <w:t xml:space="preserve"> gaining acceptance as a contemporary marketing strategy that can positively influence diverse customer segments in the current ruthless business environment (Afrin et al., 2020). Therefore, it becomes evident that the analysis of CSR activities in most industries, including corporations, banks, and financial institutions (among others), is crucial (Afrin et al., 2020). The United Commercial Bank (UCB) is among the most popular banks in Bangladesh</w:t>
      </w:r>
      <w:r w:rsidR="00A414B2">
        <w:rPr>
          <w:rFonts w:ascii="Times New Roman" w:hAnsi="Times New Roman" w:cs="Times New Roman"/>
          <w:color w:val="000000" w:themeColor="text1"/>
        </w:rPr>
        <w:t xml:space="preserve"> and has established its reputation in </w:t>
      </w:r>
      <w:r w:rsidRPr="000101C2">
        <w:rPr>
          <w:rFonts w:ascii="Times New Roman" w:hAnsi="Times New Roman" w:cs="Times New Roman"/>
          <w:color w:val="000000" w:themeColor="text1"/>
        </w:rPr>
        <w:t xml:space="preserve">CSR programs. To maintain the participation and commitment of the staff towards </w:t>
      </w:r>
      <w:r w:rsidR="00A414B2">
        <w:rPr>
          <w:rFonts w:ascii="Times New Roman" w:hAnsi="Times New Roman" w:cs="Times New Roman"/>
          <w:color w:val="000000" w:themeColor="text1"/>
        </w:rPr>
        <w:t>implementing</w:t>
      </w:r>
      <w:r w:rsidRPr="000101C2">
        <w:rPr>
          <w:rFonts w:ascii="Times New Roman" w:hAnsi="Times New Roman" w:cs="Times New Roman"/>
          <w:color w:val="000000" w:themeColor="text1"/>
        </w:rPr>
        <w:t xml:space="preserve"> their corporate social responsibility, the Brand Marketing and Public Relations department at UCB will </w:t>
      </w:r>
      <w:r w:rsidRPr="000101C2">
        <w:rPr>
          <w:rFonts w:ascii="Times New Roman" w:hAnsi="Times New Roman" w:cs="Times New Roman"/>
          <w:color w:val="000000" w:themeColor="text1"/>
        </w:rPr>
        <w:lastRenderedPageBreak/>
        <w:t>oversee these efforts (</w:t>
      </w:r>
      <w:proofErr w:type="spellStart"/>
      <w:r w:rsidRPr="000101C2">
        <w:rPr>
          <w:rFonts w:ascii="Times New Roman" w:hAnsi="Times New Roman" w:cs="Times New Roman"/>
          <w:color w:val="000000" w:themeColor="text1"/>
        </w:rPr>
        <w:t>Dyduch</w:t>
      </w:r>
      <w:proofErr w:type="spellEnd"/>
      <w:r w:rsidRPr="000101C2">
        <w:rPr>
          <w:rFonts w:ascii="Times New Roman" w:hAnsi="Times New Roman" w:cs="Times New Roman"/>
          <w:color w:val="000000" w:themeColor="text1"/>
        </w:rPr>
        <w:t xml:space="preserve"> </w:t>
      </w:r>
      <w:r w:rsidR="00A414B2">
        <w:rPr>
          <w:rFonts w:ascii="Times New Roman" w:hAnsi="Times New Roman" w:cs="Times New Roman"/>
          <w:color w:val="000000" w:themeColor="text1"/>
        </w:rPr>
        <w:t>&amp;</w:t>
      </w:r>
      <w:r w:rsidRPr="000101C2">
        <w:rPr>
          <w:rFonts w:ascii="Times New Roman" w:hAnsi="Times New Roman" w:cs="Times New Roman"/>
          <w:color w:val="000000" w:themeColor="text1"/>
        </w:rPr>
        <w:t xml:space="preserve"> </w:t>
      </w:r>
      <w:proofErr w:type="spellStart"/>
      <w:r w:rsidRPr="000101C2">
        <w:rPr>
          <w:rFonts w:ascii="Times New Roman" w:hAnsi="Times New Roman" w:cs="Times New Roman"/>
          <w:color w:val="000000" w:themeColor="text1"/>
        </w:rPr>
        <w:t>Krasodomska</w:t>
      </w:r>
      <w:proofErr w:type="spellEnd"/>
      <w:r w:rsidRPr="000101C2">
        <w:rPr>
          <w:rFonts w:ascii="Times New Roman" w:hAnsi="Times New Roman" w:cs="Times New Roman"/>
          <w:color w:val="000000" w:themeColor="text1"/>
        </w:rPr>
        <w:t>, 2017; Agudelo et al., 2019). Other banks like Agrani Bank Limited, Rupali Bank Limited</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and Janata Bank Limited have also made notable donations towards CSR. Bhattacharjee et al. (2018), Hossain et al. (2020), Javeed and </w:t>
      </w:r>
      <w:proofErr w:type="spellStart"/>
      <w:r w:rsidRPr="000101C2">
        <w:rPr>
          <w:rFonts w:ascii="Times New Roman" w:hAnsi="Times New Roman" w:cs="Times New Roman"/>
          <w:color w:val="000000" w:themeColor="text1"/>
        </w:rPr>
        <w:t>Lefen</w:t>
      </w:r>
      <w:proofErr w:type="spellEnd"/>
      <w:r w:rsidRPr="000101C2">
        <w:rPr>
          <w:rFonts w:ascii="Times New Roman" w:hAnsi="Times New Roman" w:cs="Times New Roman"/>
          <w:color w:val="000000" w:themeColor="text1"/>
        </w:rPr>
        <w:t xml:space="preserve"> (2019), </w:t>
      </w:r>
      <w:proofErr w:type="spellStart"/>
      <w:r w:rsidRPr="000101C2">
        <w:rPr>
          <w:rFonts w:ascii="Times New Roman" w:hAnsi="Times New Roman" w:cs="Times New Roman"/>
          <w:color w:val="000000" w:themeColor="text1"/>
        </w:rPr>
        <w:t>Kuo</w:t>
      </w:r>
      <w:proofErr w:type="spellEnd"/>
      <w:r w:rsidRPr="000101C2">
        <w:rPr>
          <w:rFonts w:ascii="Times New Roman" w:hAnsi="Times New Roman" w:cs="Times New Roman"/>
          <w:color w:val="000000" w:themeColor="text1"/>
        </w:rPr>
        <w:t xml:space="preserve"> et al. (2016), </w:t>
      </w:r>
      <w:proofErr w:type="spellStart"/>
      <w:r w:rsidRPr="000101C2">
        <w:rPr>
          <w:rFonts w:ascii="Times New Roman" w:hAnsi="Times New Roman" w:cs="Times New Roman"/>
          <w:color w:val="000000" w:themeColor="text1"/>
        </w:rPr>
        <w:t>Polas</w:t>
      </w:r>
      <w:proofErr w:type="spellEnd"/>
      <w:r w:rsidRPr="000101C2">
        <w:rPr>
          <w:rFonts w:ascii="Times New Roman" w:hAnsi="Times New Roman" w:cs="Times New Roman"/>
          <w:color w:val="000000" w:themeColor="text1"/>
        </w:rPr>
        <w:t xml:space="preserve"> et al. (2020), and Uddin et al. (2018) note that these banks </w:t>
      </w:r>
      <w:r w:rsidR="00A414B2">
        <w:rPr>
          <w:rFonts w:ascii="Times New Roman" w:hAnsi="Times New Roman" w:cs="Times New Roman"/>
          <w:color w:val="000000" w:themeColor="text1"/>
        </w:rPr>
        <w:t>invested 10.41</w:t>
      </w:r>
      <w:r w:rsidRPr="000101C2">
        <w:rPr>
          <w:rFonts w:ascii="Times New Roman" w:hAnsi="Times New Roman" w:cs="Times New Roman"/>
          <w:color w:val="000000" w:themeColor="text1"/>
        </w:rPr>
        <w:t xml:space="preserve"> crore BDT, 6.0 crore BDT</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and 13.75 crore BDT</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respectively</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on different CSR activities in 2013 alone. Corporate social responsibility (CSR) is increasingly gaining relevance in Bangladesh</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whereby the public and private banks are committing </w:t>
      </w:r>
      <w:r w:rsidR="00A414B2">
        <w:rPr>
          <w:rFonts w:ascii="Times New Roman" w:hAnsi="Times New Roman" w:cs="Times New Roman"/>
          <w:color w:val="000000" w:themeColor="text1"/>
        </w:rPr>
        <w:t>enormous</w:t>
      </w:r>
      <w:r w:rsidRPr="000101C2">
        <w:rPr>
          <w:rFonts w:ascii="Times New Roman" w:hAnsi="Times New Roman" w:cs="Times New Roman"/>
          <w:color w:val="000000" w:themeColor="text1"/>
        </w:rPr>
        <w:t xml:space="preserve"> financial resources and executing strategic initiatives to solve both social and environmental challenges.</w:t>
      </w:r>
    </w:p>
    <w:p w14:paraId="6D0AF42C" w14:textId="77777777" w:rsidR="007D57CC" w:rsidRPr="00B265FC" w:rsidRDefault="007D57CC" w:rsidP="00DC3FD6">
      <w:pPr>
        <w:jc w:val="both"/>
        <w:rPr>
          <w:rFonts w:ascii="Times New Roman" w:hAnsi="Times New Roman" w:cs="Times New Roman"/>
          <w:color w:val="000000" w:themeColor="text1"/>
        </w:rPr>
      </w:pPr>
    </w:p>
    <w:p w14:paraId="5BA3DC43" w14:textId="77777777" w:rsidR="00073528"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 </w:t>
      </w:r>
      <w:r w:rsidR="00F353F1" w:rsidRPr="00B265FC">
        <w:rPr>
          <w:rFonts w:ascii="Times New Roman" w:hAnsi="Times New Roman" w:cs="Times New Roman"/>
          <w:b/>
          <w:bCs/>
          <w:color w:val="000000" w:themeColor="text1"/>
        </w:rPr>
        <w:t xml:space="preserve">2.6 </w:t>
      </w:r>
      <w:r w:rsidRPr="00B265FC">
        <w:rPr>
          <w:rFonts w:ascii="Times New Roman" w:hAnsi="Times New Roman" w:cs="Times New Roman"/>
          <w:b/>
          <w:bCs/>
          <w:color w:val="000000" w:themeColor="text1"/>
        </w:rPr>
        <w:t>Recent Trends in Corporate Social Responsibility</w:t>
      </w:r>
    </w:p>
    <w:p w14:paraId="5AFE6C68" w14:textId="07E49F8B" w:rsidR="00B411BA" w:rsidRPr="000C5E0D" w:rsidRDefault="007812AB" w:rsidP="00DC3FD6">
      <w:pPr>
        <w:autoSpaceDE w:val="0"/>
        <w:autoSpaceDN w:val="0"/>
        <w:adjustRightInd w:val="0"/>
        <w:jc w:val="both"/>
        <w:rPr>
          <w:rFonts w:ascii="Times New Roman" w:hAnsi="Times New Roman" w:cs="Times New Roman"/>
        </w:rPr>
      </w:pPr>
      <w:r>
        <w:rPr>
          <w:rFonts w:ascii="Times New Roman" w:hAnsi="Times New Roman" w:cs="Times New Roman"/>
          <w:color w:val="000000" w:themeColor="text1"/>
        </w:rPr>
        <w:t>CSR</w:t>
      </w:r>
      <w:r w:rsidR="007D57CC" w:rsidRPr="00B265FC">
        <w:rPr>
          <w:rFonts w:ascii="Times New Roman" w:hAnsi="Times New Roman" w:cs="Times New Roman"/>
          <w:color w:val="000000" w:themeColor="text1"/>
        </w:rPr>
        <w:t xml:space="preserve"> has been assuming a form of atypical actions </w:t>
      </w:r>
      <w:r>
        <w:rPr>
          <w:rFonts w:ascii="Times New Roman" w:hAnsi="Times New Roman" w:cs="Times New Roman"/>
          <w:color w:val="000000" w:themeColor="text1"/>
        </w:rPr>
        <w:t>as</w:t>
      </w:r>
      <w:r w:rsidR="007D57CC" w:rsidRPr="00B265FC">
        <w:rPr>
          <w:rFonts w:ascii="Times New Roman" w:hAnsi="Times New Roman" w:cs="Times New Roman"/>
          <w:color w:val="000000" w:themeColor="text1"/>
        </w:rPr>
        <w:t xml:space="preserve"> </w:t>
      </w:r>
      <w:r>
        <w:rPr>
          <w:rFonts w:ascii="Times New Roman" w:hAnsi="Times New Roman" w:cs="Times New Roman"/>
          <w:color w:val="000000" w:themeColor="text1"/>
        </w:rPr>
        <w:t>the company's comprehensive strategy</w:t>
      </w:r>
      <w:r w:rsidR="007D57CC" w:rsidRPr="00B265FC">
        <w:rPr>
          <w:rFonts w:ascii="Times New Roman" w:hAnsi="Times New Roman" w:cs="Times New Roman"/>
          <w:color w:val="000000" w:themeColor="text1"/>
        </w:rPr>
        <w:t xml:space="preserve">. This shift signals an increasing level of transparency and accountability issues, which is </w:t>
      </w:r>
      <w:r>
        <w:rPr>
          <w:rFonts w:ascii="Times New Roman" w:hAnsi="Times New Roman" w:cs="Times New Roman"/>
          <w:color w:val="000000" w:themeColor="text1"/>
        </w:rPr>
        <w:t>predicated</w:t>
      </w:r>
      <w:r w:rsidR="007D57CC" w:rsidRPr="00B265FC">
        <w:rPr>
          <w:rFonts w:ascii="Times New Roman" w:hAnsi="Times New Roman" w:cs="Times New Roman"/>
          <w:color w:val="000000" w:themeColor="text1"/>
        </w:rPr>
        <w:t xml:space="preserve"> </w:t>
      </w:r>
      <w:r>
        <w:rPr>
          <w:rFonts w:ascii="Times New Roman" w:hAnsi="Times New Roman" w:cs="Times New Roman"/>
          <w:color w:val="000000" w:themeColor="text1"/>
        </w:rPr>
        <w:t>on</w:t>
      </w:r>
      <w:r w:rsidR="007D57CC" w:rsidRPr="00B265FC">
        <w:rPr>
          <w:rFonts w:ascii="Times New Roman" w:hAnsi="Times New Roman" w:cs="Times New Roman"/>
          <w:color w:val="000000" w:themeColor="text1"/>
        </w:rPr>
        <w:t xml:space="preserve"> the </w:t>
      </w:r>
      <w:r>
        <w:rPr>
          <w:rFonts w:ascii="Times New Roman" w:hAnsi="Times New Roman" w:cs="Times New Roman"/>
          <w:color w:val="000000" w:themeColor="text1"/>
        </w:rPr>
        <w:t>stakeholders' demands and the increased global competition</w:t>
      </w:r>
      <w:r w:rsidR="007D57CC" w:rsidRPr="00B265FC">
        <w:rPr>
          <w:rFonts w:ascii="Times New Roman" w:hAnsi="Times New Roman" w:cs="Times New Roman"/>
          <w:color w:val="000000" w:themeColor="text1"/>
        </w:rPr>
        <w:t xml:space="preserve">. </w:t>
      </w:r>
      <w:r w:rsidR="00196585" w:rsidRPr="00B265FC">
        <w:rPr>
          <w:rFonts w:ascii="Times New Roman" w:hAnsi="Times New Roman" w:cs="Times New Roman"/>
          <w:color w:val="000000" w:themeColor="text1"/>
        </w:rPr>
        <w:t xml:space="preserve">It is now obligatory </w:t>
      </w:r>
      <w:r>
        <w:rPr>
          <w:rFonts w:ascii="Times New Roman" w:hAnsi="Times New Roman" w:cs="Times New Roman"/>
          <w:color w:val="000000" w:themeColor="text1"/>
        </w:rPr>
        <w:t>for</w:t>
      </w:r>
      <w:r w:rsidR="00196585" w:rsidRPr="00B265FC">
        <w:rPr>
          <w:rFonts w:ascii="Times New Roman" w:hAnsi="Times New Roman" w:cs="Times New Roman"/>
          <w:color w:val="000000" w:themeColor="text1"/>
        </w:rPr>
        <w:t xml:space="preserve"> companies to explain their CSR activities not only based on their moral principles but also based on how they fit into their business horizons (Burlingame &amp; Young, 1996).</w:t>
      </w:r>
      <w:r w:rsidR="006F40EC" w:rsidRPr="00B265FC">
        <w:rPr>
          <w:rFonts w:ascii="Times New Roman" w:hAnsi="Times New Roman" w:cs="Times New Roman"/>
          <w:color w:val="000000" w:themeColor="text1"/>
        </w:rPr>
        <w:t xml:space="preserve"> The rise of social entrepreneurship and venture philanthropy further influences CSR practices, affecting how corporations allocate resources and engage with societal issues (Reis, 1999).</w:t>
      </w:r>
      <w:r w:rsidR="00F353F1" w:rsidRPr="00B265FC">
        <w:rPr>
          <w:rFonts w:ascii="Times New Roman" w:hAnsi="Times New Roman" w:cs="Times New Roman"/>
          <w:color w:val="000000" w:themeColor="text1"/>
        </w:rPr>
        <w:t xml:space="preserve"> </w:t>
      </w:r>
      <w:r w:rsidR="006F40EC" w:rsidRPr="00B265FC">
        <w:rPr>
          <w:rFonts w:ascii="Times New Roman" w:hAnsi="Times New Roman" w:cs="Times New Roman"/>
          <w:color w:val="000000" w:themeColor="text1"/>
        </w:rPr>
        <w:t xml:space="preserve">Historically, business leaders have engaged in philanthropy, but government support for such activities has been inconsistent, often treating philanthropy as a diminishing practice (Lyons, 1998). However, this perception is shifting. Companies </w:t>
      </w:r>
      <w:r>
        <w:rPr>
          <w:rFonts w:ascii="Times New Roman" w:hAnsi="Times New Roman" w:cs="Times New Roman"/>
          <w:color w:val="000000" w:themeColor="text1"/>
        </w:rPr>
        <w:t>increasingly recognize their global social footprint and align</w:t>
      </w:r>
      <w:r w:rsidR="006F40EC" w:rsidRPr="00B265FC">
        <w:rPr>
          <w:rFonts w:ascii="Times New Roman" w:hAnsi="Times New Roman" w:cs="Times New Roman"/>
          <w:color w:val="000000" w:themeColor="text1"/>
        </w:rPr>
        <w:t xml:space="preserve"> their CSR strategies with international expectations</w:t>
      </w:r>
      <w:r w:rsidR="00834D37" w:rsidRPr="00B265FC">
        <w:rPr>
          <w:rFonts w:ascii="Times New Roman" w:hAnsi="Times New Roman" w:cs="Times New Roman"/>
          <w:color w:val="000000" w:themeColor="text1"/>
        </w:rPr>
        <w:t xml:space="preserve">. </w:t>
      </w:r>
      <w:r w:rsidR="00B036D0" w:rsidRPr="00B265FC">
        <w:rPr>
          <w:rFonts w:ascii="Times New Roman" w:hAnsi="Times New Roman" w:cs="Times New Roman"/>
          <w:color w:val="000000" w:themeColor="text1"/>
        </w:rPr>
        <w:t xml:space="preserve">The view that CSR should be aligned </w:t>
      </w:r>
      <w:r w:rsidR="00B10EE1">
        <w:rPr>
          <w:rFonts w:ascii="Times New Roman" w:hAnsi="Times New Roman" w:cs="Times New Roman"/>
          <w:color w:val="000000" w:themeColor="text1"/>
        </w:rPr>
        <w:t>with</w:t>
      </w:r>
      <w:r>
        <w:rPr>
          <w:rFonts w:ascii="Times New Roman" w:hAnsi="Times New Roman" w:cs="Times New Roman"/>
          <w:color w:val="000000" w:themeColor="text1"/>
        </w:rPr>
        <w:t xml:space="preserve"> business interests and community involvement has been increasing</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as </w:t>
      </w:r>
      <w:r>
        <w:rPr>
          <w:rFonts w:ascii="Times New Roman" w:hAnsi="Times New Roman" w:cs="Times New Roman"/>
          <w:color w:val="000000" w:themeColor="text1"/>
        </w:rPr>
        <w:t>addressed</w:t>
      </w:r>
      <w:r w:rsidR="00B036D0" w:rsidRPr="00B265FC">
        <w:rPr>
          <w:rFonts w:ascii="Times New Roman" w:hAnsi="Times New Roman" w:cs="Times New Roman"/>
          <w:color w:val="000000" w:themeColor="text1"/>
        </w:rPr>
        <w:t xml:space="preserve"> by John Prescott in 1995. </w:t>
      </w:r>
      <w:r w:rsidR="00323FCB" w:rsidRPr="00B265FC">
        <w:rPr>
          <w:rFonts w:ascii="Times New Roman" w:hAnsi="Times New Roman" w:cs="Times New Roman"/>
          <w:color w:val="000000" w:themeColor="text1"/>
        </w:rPr>
        <w:t xml:space="preserve">According to Prescott, CSR ought to </w:t>
      </w:r>
      <w:r w:rsidR="00B10EE1">
        <w:rPr>
          <w:rFonts w:ascii="Times New Roman" w:hAnsi="Times New Roman" w:cs="Times New Roman"/>
          <w:color w:val="000000" w:themeColor="text1"/>
        </w:rPr>
        <w:t>positively impact</w:t>
      </w:r>
      <w:r w:rsidR="00323FCB" w:rsidRPr="00B265FC">
        <w:rPr>
          <w:rFonts w:ascii="Times New Roman" w:hAnsi="Times New Roman" w:cs="Times New Roman"/>
          <w:color w:val="000000" w:themeColor="text1"/>
        </w:rPr>
        <w:t xml:space="preserve"> business legitimacy and community relations by pointing out that making a profit was not incompatible with the nature of good business-community relationships (Prescott, 1995). Irrespective of these developments, CSR practices </w:t>
      </w:r>
      <w:r w:rsidR="00B10EE1">
        <w:rPr>
          <w:rFonts w:ascii="Times New Roman" w:hAnsi="Times New Roman" w:cs="Times New Roman"/>
          <w:color w:val="000000" w:themeColor="text1"/>
        </w:rPr>
        <w:t>remain contradictory to the objective of maximizing</w:t>
      </w:r>
      <w:r w:rsidR="00323FCB" w:rsidRPr="00B265FC">
        <w:rPr>
          <w:rFonts w:ascii="Times New Roman" w:hAnsi="Times New Roman" w:cs="Times New Roman"/>
          <w:color w:val="000000" w:themeColor="text1"/>
        </w:rPr>
        <w:t xml:space="preserve"> shareholder wealth. </w:t>
      </w:r>
      <w:r w:rsidR="00B10EE1">
        <w:rPr>
          <w:rFonts w:ascii="Times New Roman" w:hAnsi="Times New Roman" w:cs="Times New Roman"/>
          <w:color w:val="000000" w:themeColor="text1"/>
        </w:rPr>
        <w:t>Even though</w:t>
      </w:r>
      <w:r w:rsidR="00B036D0" w:rsidRPr="00B265FC">
        <w:rPr>
          <w:rFonts w:ascii="Times New Roman" w:hAnsi="Times New Roman" w:cs="Times New Roman"/>
          <w:color w:val="000000" w:themeColor="text1"/>
        </w:rPr>
        <w:t xml:space="preserve"> the size of the corporate support is </w:t>
      </w:r>
      <w:r w:rsidR="00B10EE1">
        <w:rPr>
          <w:rFonts w:ascii="Times New Roman" w:hAnsi="Times New Roman" w:cs="Times New Roman"/>
          <w:color w:val="000000" w:themeColor="text1"/>
        </w:rPr>
        <w:t>vast</w:t>
      </w:r>
      <w:r w:rsidR="00B036D0" w:rsidRPr="00B265FC">
        <w:rPr>
          <w:rFonts w:ascii="Times New Roman" w:hAnsi="Times New Roman" w:cs="Times New Roman"/>
          <w:color w:val="000000" w:themeColor="text1"/>
        </w:rPr>
        <w:t xml:space="preserve">, it is not consistently identified and backed in the same way as other </w:t>
      </w:r>
      <w:r w:rsidR="00B10EE1" w:rsidRPr="00B265FC">
        <w:rPr>
          <w:rFonts w:ascii="Times New Roman" w:hAnsi="Times New Roman" w:cs="Times New Roman"/>
          <w:color w:val="000000" w:themeColor="text1"/>
        </w:rPr>
        <w:t>fields’</w:t>
      </w:r>
      <w:r w:rsidR="00B036D0" w:rsidRPr="00B265FC">
        <w:rPr>
          <w:rFonts w:ascii="Times New Roman" w:hAnsi="Times New Roman" w:cs="Times New Roman"/>
          <w:color w:val="000000" w:themeColor="text1"/>
        </w:rPr>
        <w:t xml:space="preserve"> sports and arts (Lyons, 1999). Nevertheless, the current trends are that the support has been channeled to broader modes like expertise, service</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and in-kind donation</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particularly when compared with pure financial contributions (Lyons, 1999). This </w:t>
      </w:r>
      <w:r w:rsidR="00B10EE1">
        <w:rPr>
          <w:rFonts w:ascii="Times New Roman" w:hAnsi="Times New Roman" w:cs="Times New Roman"/>
          <w:color w:val="000000" w:themeColor="text1"/>
        </w:rPr>
        <w:t>indicates</w:t>
      </w:r>
      <w:r w:rsidR="00B036D0" w:rsidRPr="00B265FC">
        <w:rPr>
          <w:rFonts w:ascii="Times New Roman" w:hAnsi="Times New Roman" w:cs="Times New Roman"/>
          <w:color w:val="000000" w:themeColor="text1"/>
        </w:rPr>
        <w:t xml:space="preserve"> an increasing interest in corporate citizenship that is sensitive </w:t>
      </w:r>
      <w:r w:rsidR="00B10EE1">
        <w:rPr>
          <w:rFonts w:ascii="Times New Roman" w:hAnsi="Times New Roman" w:cs="Times New Roman"/>
          <w:color w:val="000000" w:themeColor="text1"/>
        </w:rPr>
        <w:t xml:space="preserve">to how organizations treat their external influences on </w:t>
      </w:r>
      <w:r w:rsidR="00B036D0" w:rsidRPr="00B265FC">
        <w:rPr>
          <w:rFonts w:ascii="Times New Roman" w:hAnsi="Times New Roman" w:cs="Times New Roman"/>
          <w:color w:val="000000" w:themeColor="text1"/>
        </w:rPr>
        <w:t xml:space="preserve">society (Marsden, 1998). </w:t>
      </w:r>
      <w:r w:rsidR="00B10EE1">
        <w:rPr>
          <w:rFonts w:ascii="Times New Roman" w:hAnsi="Times New Roman" w:cs="Times New Roman"/>
          <w:color w:val="000000" w:themeColor="text1"/>
        </w:rPr>
        <w:t>Establishing</w:t>
      </w:r>
      <w:r w:rsidR="00B036D0" w:rsidRPr="00B265FC">
        <w:rPr>
          <w:rFonts w:ascii="Times New Roman" w:hAnsi="Times New Roman" w:cs="Times New Roman"/>
          <w:color w:val="000000" w:themeColor="text1"/>
        </w:rPr>
        <w:t xml:space="preserve"> such programs as </w:t>
      </w:r>
      <w:r w:rsidR="00B10EE1">
        <w:rPr>
          <w:rFonts w:ascii="Times New Roman" w:hAnsi="Times New Roman" w:cs="Times New Roman"/>
          <w:color w:val="000000" w:themeColor="text1"/>
        </w:rPr>
        <w:t xml:space="preserve">the </w:t>
      </w:r>
      <w:r w:rsidR="00B036D0" w:rsidRPr="00B265FC">
        <w:rPr>
          <w:rFonts w:ascii="Times New Roman" w:hAnsi="Times New Roman" w:cs="Times New Roman"/>
          <w:color w:val="000000" w:themeColor="text1"/>
        </w:rPr>
        <w:t>Corporate Philanthropy Roundtable</w:t>
      </w:r>
      <w:r w:rsidR="00B10EE1">
        <w:rPr>
          <w:rFonts w:ascii="Times New Roman" w:hAnsi="Times New Roman" w:cs="Times New Roman"/>
          <w:color w:val="000000" w:themeColor="text1"/>
        </w:rPr>
        <w:t>, later</w:t>
      </w:r>
      <w:r w:rsidR="00B036D0" w:rsidRPr="00B265FC">
        <w:rPr>
          <w:rFonts w:ascii="Times New Roman" w:hAnsi="Times New Roman" w:cs="Times New Roman"/>
          <w:color w:val="000000" w:themeColor="text1"/>
        </w:rPr>
        <w:t xml:space="preserve"> termed </w:t>
      </w:r>
      <w:r w:rsidR="00B10EE1">
        <w:rPr>
          <w:rFonts w:ascii="Times New Roman" w:hAnsi="Times New Roman" w:cs="Times New Roman"/>
          <w:color w:val="000000" w:themeColor="text1"/>
        </w:rPr>
        <w:t>the</w:t>
      </w:r>
      <w:r w:rsidR="00B036D0" w:rsidRPr="00B265FC">
        <w:rPr>
          <w:rFonts w:ascii="Times New Roman" w:hAnsi="Times New Roman" w:cs="Times New Roman"/>
          <w:color w:val="000000" w:themeColor="text1"/>
        </w:rPr>
        <w:t xml:space="preserve"> Community Business Partnership</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has promoted corporate philanthropy in Australia. The program will establish </w:t>
      </w:r>
      <w:r w:rsidR="00B10EE1">
        <w:rPr>
          <w:rFonts w:ascii="Times New Roman" w:hAnsi="Times New Roman" w:cs="Times New Roman"/>
          <w:color w:val="000000" w:themeColor="text1"/>
        </w:rPr>
        <w:t>cross-sector collaboration by increasing general awareness, research, awards, and advocacy of tax reforms; over thirteen million dollars have been distributed for</w:t>
      </w:r>
      <w:r w:rsidR="00B036D0" w:rsidRPr="00B265FC">
        <w:rPr>
          <w:rFonts w:ascii="Times New Roman" w:hAnsi="Times New Roman" w:cs="Times New Roman"/>
          <w:color w:val="000000" w:themeColor="text1"/>
        </w:rPr>
        <w:t xml:space="preserve"> such activities (Dodson, 1998). As the report prepared by Community Business Partnership shows, it is becoming evident that </w:t>
      </w:r>
      <w:r w:rsidR="00B10EE1">
        <w:rPr>
          <w:rFonts w:ascii="Times New Roman" w:hAnsi="Times New Roman" w:cs="Times New Roman"/>
          <w:color w:val="000000" w:themeColor="text1"/>
        </w:rPr>
        <w:t>several</w:t>
      </w:r>
      <w:r w:rsidR="00B036D0" w:rsidRPr="00B265FC">
        <w:rPr>
          <w:rFonts w:ascii="Times New Roman" w:hAnsi="Times New Roman" w:cs="Times New Roman"/>
          <w:color w:val="000000" w:themeColor="text1"/>
        </w:rPr>
        <w:t xml:space="preserve"> businesses are </w:t>
      </w:r>
      <w:r w:rsidR="00B10EE1">
        <w:rPr>
          <w:rFonts w:ascii="Times New Roman" w:hAnsi="Times New Roman" w:cs="Times New Roman"/>
          <w:color w:val="000000" w:themeColor="text1"/>
        </w:rPr>
        <w:t>considering</w:t>
      </w:r>
      <w:r w:rsidR="00B036D0" w:rsidRPr="00B265FC">
        <w:rPr>
          <w:rFonts w:ascii="Times New Roman" w:hAnsi="Times New Roman" w:cs="Times New Roman"/>
          <w:color w:val="000000" w:themeColor="text1"/>
        </w:rPr>
        <w:t xml:space="preserve"> CSR </w:t>
      </w:r>
      <w:r w:rsidR="00B10EE1">
        <w:rPr>
          <w:rFonts w:ascii="Times New Roman" w:hAnsi="Times New Roman" w:cs="Times New Roman"/>
          <w:color w:val="000000" w:themeColor="text1"/>
        </w:rPr>
        <w:t>to establish</w:t>
      </w:r>
      <w:r w:rsidR="00B036D0" w:rsidRPr="00B265FC">
        <w:rPr>
          <w:rFonts w:ascii="Times New Roman" w:hAnsi="Times New Roman" w:cs="Times New Roman"/>
          <w:color w:val="000000" w:themeColor="text1"/>
        </w:rPr>
        <w:t xml:space="preserve"> long-term confidence in the community, and not always targeting short-term profits (CCPA, 2020). This is causing the scope of corporate giving to be expanded</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as it is no longer the sports or cultural project receiving focus</w:t>
      </w:r>
      <w:r w:rsidR="00B10EE1">
        <w:rPr>
          <w:rFonts w:ascii="Times New Roman" w:hAnsi="Times New Roman" w:cs="Times New Roman"/>
          <w:color w:val="000000" w:themeColor="text1"/>
        </w:rPr>
        <w:t xml:space="preserve">. However, education and environmental issues are also </w:t>
      </w:r>
      <w:r w:rsidR="00B036D0" w:rsidRPr="000C5E0D">
        <w:rPr>
          <w:rFonts w:ascii="Times New Roman" w:hAnsi="Times New Roman" w:cs="Times New Roman"/>
          <w:color w:val="000000" w:themeColor="text1"/>
        </w:rPr>
        <w:t xml:space="preserve">being tackled. </w:t>
      </w:r>
    </w:p>
    <w:p w14:paraId="2E29B4CD" w14:textId="680C7D38" w:rsidR="00073528" w:rsidRPr="000C5E0D" w:rsidRDefault="00C915CD"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Recent trends in the field of corporate social responsibility primarily focus on environmental sustainability measures (Ahmed, 2024). Businesses have also made significant efforts to promise they will become net-zero by the following year and have developed strategies to reduce their environmental footprint. Furthermore, CSR activities are increasingly emphasizing diversity, equity, and inclusion (DEI), as well as the importance of fostering an inclusive business culture (</w:t>
      </w:r>
      <w:proofErr w:type="spellStart"/>
      <w:r>
        <w:rPr>
          <w:rFonts w:ascii="Times New Roman" w:hAnsi="Times New Roman" w:cs="Times New Roman"/>
          <w:color w:val="000000" w:themeColor="text1"/>
        </w:rPr>
        <w:t>Chezuba</w:t>
      </w:r>
      <w:proofErr w:type="spellEnd"/>
      <w:r>
        <w:rPr>
          <w:rFonts w:ascii="Times New Roman" w:hAnsi="Times New Roman" w:cs="Times New Roman"/>
          <w:color w:val="000000" w:themeColor="text1"/>
        </w:rPr>
        <w:t xml:space="preserve">, 2024; </w:t>
      </w:r>
      <w:proofErr w:type="spellStart"/>
      <w:r>
        <w:rPr>
          <w:rFonts w:ascii="Times New Roman" w:hAnsi="Times New Roman" w:cs="Times New Roman"/>
          <w:color w:val="000000" w:themeColor="text1"/>
        </w:rPr>
        <w:t>Vorecol</w:t>
      </w:r>
      <w:proofErr w:type="spellEnd"/>
      <w:r>
        <w:rPr>
          <w:rFonts w:ascii="Times New Roman" w:hAnsi="Times New Roman" w:cs="Times New Roman"/>
          <w:color w:val="000000" w:themeColor="text1"/>
        </w:rPr>
        <w:t xml:space="preserve"> Editorial Team, 2024). The use of technology is also gaining popularity </w:t>
      </w:r>
      <w:r>
        <w:rPr>
          <w:rFonts w:ascii="Times New Roman" w:hAnsi="Times New Roman" w:cs="Times New Roman"/>
          <w:color w:val="000000" w:themeColor="text1"/>
        </w:rPr>
        <w:lastRenderedPageBreak/>
        <w:t>in supporting CSR initiatives, helping businesses become more productive and streamlining their programs. Additionally, companies are promoting greater stakeholder engagement by enhancing accountability and transparency in their CSR efforts (</w:t>
      </w:r>
      <w:proofErr w:type="spellStart"/>
      <w:r>
        <w:rPr>
          <w:rFonts w:ascii="Times New Roman" w:hAnsi="Times New Roman" w:cs="Times New Roman"/>
          <w:color w:val="000000" w:themeColor="text1"/>
        </w:rPr>
        <w:t>Chezuba</w:t>
      </w:r>
      <w:proofErr w:type="spellEnd"/>
      <w:r>
        <w:rPr>
          <w:rFonts w:ascii="Times New Roman" w:hAnsi="Times New Roman" w:cs="Times New Roman"/>
          <w:color w:val="000000" w:themeColor="text1"/>
        </w:rPr>
        <w:t>, 2024). There is also a growing emphasis on measuring and reporting the effectiveness of CSR initiatives to ensure their impact aligns with corporate and societal goals (</w:t>
      </w:r>
      <w:proofErr w:type="spellStart"/>
      <w:r>
        <w:rPr>
          <w:rFonts w:ascii="Times New Roman" w:hAnsi="Times New Roman" w:cs="Times New Roman"/>
          <w:color w:val="000000" w:themeColor="text1"/>
        </w:rPr>
        <w:t>Chezuba</w:t>
      </w:r>
      <w:proofErr w:type="spellEnd"/>
      <w:r>
        <w:rPr>
          <w:rFonts w:ascii="Times New Roman" w:hAnsi="Times New Roman" w:cs="Times New Roman"/>
          <w:color w:val="000000" w:themeColor="text1"/>
        </w:rPr>
        <w:t xml:space="preserve">, 2024; </w:t>
      </w:r>
      <w:proofErr w:type="spellStart"/>
      <w:r>
        <w:rPr>
          <w:rFonts w:ascii="Times New Roman" w:hAnsi="Times New Roman" w:cs="Times New Roman"/>
          <w:color w:val="000000" w:themeColor="text1"/>
        </w:rPr>
        <w:t>Vorecol</w:t>
      </w:r>
      <w:proofErr w:type="spellEnd"/>
      <w:r>
        <w:rPr>
          <w:rFonts w:ascii="Times New Roman" w:hAnsi="Times New Roman" w:cs="Times New Roman"/>
          <w:color w:val="000000" w:themeColor="text1"/>
        </w:rPr>
        <w:t xml:space="preserve"> Editorial Team, 2024).</w:t>
      </w:r>
    </w:p>
    <w:p w14:paraId="60898848" w14:textId="77777777" w:rsidR="000C5E0D" w:rsidRPr="00B265FC" w:rsidRDefault="000C5E0D" w:rsidP="00DC3FD6">
      <w:pPr>
        <w:autoSpaceDE w:val="0"/>
        <w:autoSpaceDN w:val="0"/>
        <w:adjustRightInd w:val="0"/>
        <w:jc w:val="both"/>
        <w:rPr>
          <w:rFonts w:ascii="Times New Roman" w:hAnsi="Times New Roman" w:cs="Times New Roman"/>
          <w:b/>
          <w:bCs/>
          <w:color w:val="000000" w:themeColor="text1"/>
        </w:rPr>
      </w:pPr>
    </w:p>
    <w:p w14:paraId="6D91BBCD" w14:textId="4C8C25C3" w:rsidR="00B411BA" w:rsidRPr="00B265FC" w:rsidRDefault="00F353F1"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2.7</w:t>
      </w:r>
      <w:r w:rsidR="00624DA1" w:rsidRPr="00B265FC">
        <w:rPr>
          <w:rFonts w:ascii="Times New Roman" w:hAnsi="Times New Roman" w:cs="Times New Roman"/>
          <w:b/>
          <w:bCs/>
          <w:color w:val="000000" w:themeColor="text1"/>
        </w:rPr>
        <w:t xml:space="preserve"> </w:t>
      </w:r>
      <w:r w:rsidR="006F40EC" w:rsidRPr="00B265FC">
        <w:rPr>
          <w:rFonts w:ascii="Times New Roman" w:hAnsi="Times New Roman" w:cs="Times New Roman"/>
          <w:b/>
          <w:bCs/>
          <w:color w:val="000000" w:themeColor="text1"/>
        </w:rPr>
        <w:t>Research Gap</w:t>
      </w:r>
    </w:p>
    <w:p w14:paraId="1AF30840" w14:textId="7B61BFC3" w:rsidR="006F40EC" w:rsidRPr="00B265FC" w:rsidRDefault="00C915CD"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Although the role of CSR in Bangladesh, particularly in the banking sector, is gradually gaining momentum, there is a notable research gap concerning the overall perception of CSR practices and managerial attitudes toward them. Existing literature discusses the concept of CSR broadly but tends to focus on general practices within the business sector, without addressing the specific dynamics of the banking industry. Specifically, little research has explored the perceptions and responses of banking managers toward CSR initiatives, their attitudes toward these practices, and the factors shaping these attitudes. Additionally, the literature lacks detailed information on the perceptions and commitment levels among managers across different banks in Bangladesh. This study aims to fill that gap by providing a more comprehensive view of current CSR practices in the banking sector, examining managerial attitudes, and highlighting perceptual differences. It seeks to generate knowledge on the importance of CSR for national development and to offer practical insights for shaping future CSR practices and policies in Bangladesh’s banking industry.</w:t>
      </w:r>
    </w:p>
    <w:p w14:paraId="09FCE9C1" w14:textId="77777777" w:rsidR="00B036D0" w:rsidRPr="00B265FC" w:rsidRDefault="00B036D0" w:rsidP="00DC3FD6">
      <w:pPr>
        <w:autoSpaceDE w:val="0"/>
        <w:autoSpaceDN w:val="0"/>
        <w:adjustRightInd w:val="0"/>
        <w:rPr>
          <w:rFonts w:ascii="Times New Roman" w:hAnsi="Times New Roman" w:cs="Times New Roman"/>
          <w:b/>
          <w:bCs/>
          <w:color w:val="000000" w:themeColor="text1"/>
        </w:rPr>
      </w:pPr>
    </w:p>
    <w:p w14:paraId="40D9D02C" w14:textId="4182CD6F" w:rsidR="00EE69A8" w:rsidRPr="00B265FC" w:rsidRDefault="006F40EC" w:rsidP="00DC3FD6">
      <w:pPr>
        <w:autoSpaceDE w:val="0"/>
        <w:autoSpaceDN w:val="0"/>
        <w:adjustRightInd w:val="0"/>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3.0 Methodology </w:t>
      </w:r>
    </w:p>
    <w:p w14:paraId="7D051C6D" w14:textId="77777777" w:rsidR="0040172B"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3.1</w:t>
      </w:r>
      <w:r w:rsidR="00F353F1" w:rsidRPr="00B265FC">
        <w:rPr>
          <w:color w:val="000000" w:themeColor="text1"/>
          <w:sz w:val="24"/>
          <w:szCs w:val="24"/>
        </w:rPr>
        <w:t>Research Approach</w:t>
      </w:r>
    </w:p>
    <w:p w14:paraId="6E8CE95B" w14:textId="24EAB3E3" w:rsidR="0040172B" w:rsidRDefault="00A622F0" w:rsidP="00A622F0">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proposed research used a quantitative research design to systematically examine and measure the existing Corporate Social Responsibility (CSR) practices within the banking sector in Bangladesh. The quantitative method was employed to collect numerical data, which can be statistically analyzed to identify patterns, relationships, and changes in CSR activities, as well as how managers perceive and interpret them (Creswell, 2014). By doing so, the research aims to produce objective and replicable results that improve the understanding of CSR in Bangladesh's banking industry.</w:t>
      </w:r>
    </w:p>
    <w:p w14:paraId="4629815D" w14:textId="77777777" w:rsidR="0068676D" w:rsidRPr="00B265FC" w:rsidRDefault="0068676D" w:rsidP="00DC3FD6">
      <w:pPr>
        <w:pStyle w:val="Heading3"/>
        <w:spacing w:before="0" w:beforeAutospacing="0" w:after="0" w:afterAutospacing="0"/>
        <w:rPr>
          <w:color w:val="000000" w:themeColor="text1"/>
          <w:sz w:val="24"/>
          <w:szCs w:val="24"/>
        </w:rPr>
      </w:pPr>
    </w:p>
    <w:p w14:paraId="65A6298A" w14:textId="32CC9C17" w:rsidR="00F353F1"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3.2</w:t>
      </w:r>
      <w:r w:rsidR="00F353F1" w:rsidRPr="00B265FC">
        <w:rPr>
          <w:color w:val="000000" w:themeColor="text1"/>
          <w:sz w:val="24"/>
          <w:szCs w:val="24"/>
        </w:rPr>
        <w:t>Research Design</w:t>
      </w:r>
    </w:p>
    <w:p w14:paraId="155B619A" w14:textId="67A122BD" w:rsidR="00717607" w:rsidRPr="00B265FC" w:rsidRDefault="00A622F0" w:rsidP="00A622F0">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study employs a descriptive cross-sectional design. This approach is less time-consuming for examining CSR practices and managerial attitudes at a specific moment and offers a snapshot of how CSR activities and perceptions appear in the industry at that point (Saunders et al., 2016). The descriptive design allows researchers to gather information on CSR practices, managers' perceptions and attitudes, and to explore differences among managers regarding their views on CSR.</w:t>
      </w:r>
    </w:p>
    <w:p w14:paraId="6504A6BC" w14:textId="77777777" w:rsidR="00717607" w:rsidRPr="00B265FC" w:rsidRDefault="00717607" w:rsidP="00DC3FD6">
      <w:pPr>
        <w:pStyle w:val="Heading3"/>
        <w:spacing w:before="0" w:beforeAutospacing="0" w:after="0" w:afterAutospacing="0"/>
        <w:rPr>
          <w:b w:val="0"/>
          <w:bCs w:val="0"/>
          <w:color w:val="000000" w:themeColor="text1"/>
          <w:sz w:val="24"/>
          <w:szCs w:val="24"/>
        </w:rPr>
      </w:pPr>
    </w:p>
    <w:p w14:paraId="460AEF87" w14:textId="264BA126" w:rsidR="00A34E12"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 xml:space="preserve">3.3 </w:t>
      </w:r>
      <w:r w:rsidR="00F353F1" w:rsidRPr="00B265FC">
        <w:rPr>
          <w:color w:val="000000" w:themeColor="text1"/>
          <w:sz w:val="24"/>
          <w:szCs w:val="24"/>
        </w:rPr>
        <w:t>Population</w:t>
      </w:r>
      <w:r w:rsidRPr="00B265FC">
        <w:rPr>
          <w:color w:val="000000" w:themeColor="text1"/>
          <w:sz w:val="24"/>
          <w:szCs w:val="24"/>
        </w:rPr>
        <w:t>, Sample</w:t>
      </w:r>
      <w:r w:rsidR="00A622F0">
        <w:rPr>
          <w:color w:val="000000" w:themeColor="text1"/>
          <w:sz w:val="24"/>
          <w:szCs w:val="24"/>
        </w:rPr>
        <w:t>,</w:t>
      </w:r>
      <w:r w:rsidRPr="00B265FC">
        <w:rPr>
          <w:color w:val="000000" w:themeColor="text1"/>
          <w:sz w:val="24"/>
          <w:szCs w:val="24"/>
        </w:rPr>
        <w:t xml:space="preserve"> and Sampling Procedure</w:t>
      </w:r>
    </w:p>
    <w:p w14:paraId="0944562F" w14:textId="2C968A7D" w:rsidR="00A34E12" w:rsidRDefault="00A622F0"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 xml:space="preserve">The target population in this study is the managers in Bangladesh's banking industry. This group includes senior, middle, and junior managers involved in decision-making related to CSR activities within their banks. The researcher aims to gather data from managers on who positively or negatively influences or is influenced by CSR policies and practices (Sekaran and Bougie, 2016). For this research, 500 managers will be selected using a simple random sampling technique. This method ensures that every manager in the population of interest has an equal chance of being included in the sample, improving the representativeness and generalizability of the results </w:t>
      </w:r>
      <w:r>
        <w:rPr>
          <w:b w:val="0"/>
          <w:bCs w:val="0"/>
          <w:color w:val="000000" w:themeColor="text1"/>
          <w:sz w:val="24"/>
          <w:szCs w:val="24"/>
        </w:rPr>
        <w:lastRenderedPageBreak/>
        <w:t>(Bryman and Bell, 2015). The sampling frame will be an exhaustive list of banks in Bangladesh used to randomly select managers for the survey.</w:t>
      </w:r>
    </w:p>
    <w:p w14:paraId="41306F07" w14:textId="77777777" w:rsidR="0068676D" w:rsidRPr="00B265FC" w:rsidRDefault="0068676D" w:rsidP="00DC3FD6">
      <w:pPr>
        <w:pStyle w:val="Heading3"/>
        <w:spacing w:before="0" w:beforeAutospacing="0" w:after="0" w:afterAutospacing="0"/>
        <w:jc w:val="both"/>
        <w:rPr>
          <w:color w:val="000000" w:themeColor="text1"/>
          <w:sz w:val="24"/>
          <w:szCs w:val="24"/>
        </w:rPr>
      </w:pPr>
    </w:p>
    <w:p w14:paraId="5A24C42B" w14:textId="65DDCE68" w:rsidR="00F353F1" w:rsidRPr="00B265FC" w:rsidRDefault="000E21D9" w:rsidP="00DC3FD6">
      <w:pPr>
        <w:pStyle w:val="Heading3"/>
        <w:spacing w:before="0" w:beforeAutospacing="0" w:after="0" w:afterAutospacing="0"/>
        <w:jc w:val="both"/>
        <w:rPr>
          <w:color w:val="000000" w:themeColor="text1"/>
          <w:sz w:val="24"/>
          <w:szCs w:val="24"/>
        </w:rPr>
      </w:pPr>
      <w:r w:rsidRPr="00B265FC">
        <w:rPr>
          <w:color w:val="000000" w:themeColor="text1"/>
          <w:sz w:val="24"/>
          <w:szCs w:val="24"/>
        </w:rPr>
        <w:t xml:space="preserve">3.4 </w:t>
      </w:r>
      <w:r w:rsidR="00F353F1" w:rsidRPr="00B265FC">
        <w:rPr>
          <w:color w:val="000000" w:themeColor="text1"/>
          <w:sz w:val="24"/>
          <w:szCs w:val="24"/>
        </w:rPr>
        <w:t>Instrument Design</w:t>
      </w:r>
      <w:r w:rsidRPr="00B265FC">
        <w:rPr>
          <w:color w:val="000000" w:themeColor="text1"/>
          <w:sz w:val="24"/>
          <w:szCs w:val="24"/>
        </w:rPr>
        <w:t xml:space="preserve"> and Data Collection</w:t>
      </w:r>
    </w:p>
    <w:p w14:paraId="402303BF" w14:textId="3AB64AEA" w:rsidR="009E4E74" w:rsidRPr="00B265FC"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 quantitative data on CSR practices and managers' perceptions and attitudes towards CSR will be collected using a structured questionnaire employed in the primary data collection. The survey includes closed-ended questions and Likert scale items, which will evaluate different aspects of CSR engagement and managerial viewpoints. It is developed based on the literature review, and its validity and reliability were refined with input from experts (Field, 2013). This data will be gathered through a questionnaire that will be administered to a selected sample of managers. The survey will be available in both paper and electronic formats to enhance accessibility. In addition to the questionnaire, respondents will receive a cover letter outlining the study's objectives and assuring them that their responses will remain confidential. Follow-up reminders will be sent to non-respondents to maximize response rates and reduce bias (Dillman et al., 2014).</w:t>
      </w:r>
    </w:p>
    <w:p w14:paraId="13CDC75D" w14:textId="77777777" w:rsidR="009E4E74" w:rsidRPr="00B265FC" w:rsidRDefault="009E4E74"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2C7B4578" w14:textId="7A202AEB" w:rsidR="00B411BA" w:rsidRPr="0068676D"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734397" w:rsidRPr="00B265FC">
        <w:rPr>
          <w:rFonts w:ascii="Times New Roman" w:hAnsi="Times New Roman" w:cs="Times New Roman"/>
          <w:b/>
          <w:bCs/>
          <w:color w:val="000000" w:themeColor="text1"/>
        </w:rPr>
        <w:t>0</w:t>
      </w:r>
      <w:r w:rsidRPr="00B265FC">
        <w:rPr>
          <w:rFonts w:ascii="Times New Roman" w:hAnsi="Times New Roman" w:cs="Times New Roman"/>
          <w:b/>
          <w:bCs/>
          <w:color w:val="000000" w:themeColor="text1"/>
        </w:rPr>
        <w:t xml:space="preserve"> </w:t>
      </w:r>
      <w:r w:rsidR="00AD691F" w:rsidRPr="00B265FC">
        <w:rPr>
          <w:rFonts w:ascii="Times New Roman" w:hAnsi="Times New Roman" w:cs="Times New Roman"/>
          <w:b/>
          <w:bCs/>
          <w:color w:val="000000" w:themeColor="text1"/>
        </w:rPr>
        <w:t xml:space="preserve">Analysis and Discussion </w:t>
      </w:r>
    </w:p>
    <w:p w14:paraId="1024C89D" w14:textId="77777777" w:rsidR="000E21D9"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 xml:space="preserve"> Background of Respondents</w:t>
      </w:r>
    </w:p>
    <w:p w14:paraId="1A7689D7" w14:textId="124A33BB" w:rsidR="009E4E74" w:rsidRPr="00B265FC"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To understand the demographic characteristics of managers at the upper and middle management levels in various banks across Bangladesh, a detailed descriptive analysis was conducted. This approach, often used in analyzing perceptions and attitudes, as noted by </w:t>
      </w:r>
      <w:proofErr w:type="spellStart"/>
      <w:r>
        <w:rPr>
          <w:rFonts w:ascii="Times New Roman" w:eastAsia="Times New Roman" w:hAnsi="Times New Roman" w:cs="Times New Roman"/>
          <w:kern w:val="0"/>
          <w:lang w:eastAsia="en-GB" w:bidi="bn-IN"/>
          <w14:ligatures w14:val="none"/>
        </w:rPr>
        <w:t>Dusuki</w:t>
      </w:r>
      <w:proofErr w:type="spellEnd"/>
      <w:r>
        <w:rPr>
          <w:rFonts w:ascii="Times New Roman" w:eastAsia="Times New Roman" w:hAnsi="Times New Roman" w:cs="Times New Roman"/>
          <w:kern w:val="0"/>
          <w:lang w:eastAsia="en-GB" w:bidi="bn-IN"/>
          <w14:ligatures w14:val="none"/>
        </w:rPr>
        <w:t xml:space="preserve"> (2005), serves as a preliminary step before more advanced statistical procedures. The goal was to gain a basic understanding of the demographics of managers from different banks, which in turn provides insights into their perceptions and attitudes toward CSR issues. Out of 600 questionnaires mailed, 500 valid responses were received. The sample includes managers from diverse banking institutions, offering a range of perspectives on CSR practices and perceptions within the banking sector.</w:t>
      </w:r>
    </w:p>
    <w:p w14:paraId="2B21E10A" w14:textId="77777777" w:rsidR="009E4E74" w:rsidRPr="00B265FC" w:rsidRDefault="009E4E74"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6745CC8A" w14:textId="2B6BF809"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.1 Background of Respondents by Gender, Age</w:t>
      </w:r>
      <w:r w:rsidR="00DE6EC6">
        <w:rPr>
          <w:rFonts w:ascii="Times New Roman" w:hAnsi="Times New Roman" w:cs="Times New Roman"/>
          <w:b/>
          <w:bCs/>
          <w:color w:val="000000" w:themeColor="text1"/>
        </w:rPr>
        <w:t>,</w:t>
      </w:r>
      <w:r w:rsidRPr="00B265FC">
        <w:rPr>
          <w:rFonts w:ascii="Times New Roman" w:hAnsi="Times New Roman" w:cs="Times New Roman"/>
          <w:b/>
          <w:bCs/>
          <w:color w:val="000000" w:themeColor="text1"/>
        </w:rPr>
        <w:t xml:space="preserve"> and Working Experience</w:t>
      </w:r>
    </w:p>
    <w:p w14:paraId="460C8AFE" w14:textId="66537993" w:rsidR="009E4E74"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A background of the respondents is also measured in terms of the most important demographic variables, such as gender, age, and years of experience, to help provide in-depth insights into the survey sample. The following descriptive analysis is essential for understanding how the top and middle management of the banking industry in Bangladesh perceive the practices of Corporate Social Responsibility (CSR). By analyzing the demographic variables, the study aims to identify and establish any trends or biases that may influence respondents' perceptions and therefore offer a clearer explanation of the survey results. The following paragraphs offer a detailed breakdown of the respondents based on gender, age, and work experience.</w:t>
      </w:r>
    </w:p>
    <w:p w14:paraId="1A872000" w14:textId="77777777" w:rsidR="0068676D" w:rsidRPr="00B265FC" w:rsidRDefault="0068676D"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467F2354" w14:textId="733E18AC" w:rsidR="00B411BA" w:rsidRPr="00B265FC" w:rsidRDefault="00B411BA" w:rsidP="00DC3FD6">
      <w:pPr>
        <w:autoSpaceDE w:val="0"/>
        <w:autoSpaceDN w:val="0"/>
        <w:adjustRightInd w:val="0"/>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1</w:t>
      </w:r>
      <w:r w:rsidR="000E21D9" w:rsidRPr="00B265FC">
        <w:rPr>
          <w:rFonts w:ascii="Times New Roman" w:hAnsi="Times New Roman" w:cs="Times New Roman"/>
          <w:color w:val="000000" w:themeColor="text1"/>
        </w:rPr>
        <w:t xml:space="preserve"> </w:t>
      </w:r>
      <w:r w:rsidRPr="00B265FC">
        <w:rPr>
          <w:rFonts w:ascii="Times New Roman" w:hAnsi="Times New Roman" w:cs="Times New Roman"/>
          <w:color w:val="000000" w:themeColor="text1"/>
        </w:rPr>
        <w:t>Background of Respondents by Gender, Age</w:t>
      </w:r>
      <w:r w:rsidR="00DE6EC6">
        <w:rPr>
          <w:rFonts w:ascii="Times New Roman" w:hAnsi="Times New Roman" w:cs="Times New Roman"/>
          <w:color w:val="000000" w:themeColor="text1"/>
        </w:rPr>
        <w:t>,</w:t>
      </w:r>
      <w:r w:rsidRPr="00B265FC">
        <w:rPr>
          <w:rFonts w:ascii="Times New Roman" w:hAnsi="Times New Roman" w:cs="Times New Roman"/>
          <w:color w:val="000000" w:themeColor="text1"/>
        </w:rPr>
        <w:t xml:space="preserve"> and Working Experience</w:t>
      </w:r>
    </w:p>
    <w:tbl>
      <w:tblPr>
        <w:tblStyle w:val="PlainTable1"/>
        <w:tblW w:w="0" w:type="auto"/>
        <w:jc w:val="center"/>
        <w:tblLook w:val="04A0" w:firstRow="1" w:lastRow="0" w:firstColumn="1" w:lastColumn="0" w:noHBand="0" w:noVBand="1"/>
      </w:tblPr>
      <w:tblGrid>
        <w:gridCol w:w="3325"/>
        <w:gridCol w:w="2160"/>
        <w:gridCol w:w="1833"/>
      </w:tblGrid>
      <w:tr w:rsidR="00504F65" w:rsidRPr="00B265FC" w14:paraId="33D5F803" w14:textId="77777777" w:rsidTr="000E2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67B330C" w14:textId="77777777" w:rsidR="000E21D9" w:rsidRPr="00B265FC" w:rsidRDefault="000E21D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Background of Respondents</w:t>
            </w:r>
          </w:p>
        </w:tc>
        <w:tc>
          <w:tcPr>
            <w:tcW w:w="2160" w:type="dxa"/>
            <w:hideMark/>
          </w:tcPr>
          <w:p w14:paraId="0F620B8F" w14:textId="77777777" w:rsidR="000E21D9" w:rsidRPr="00B265FC" w:rsidRDefault="000E21D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1833" w:type="dxa"/>
            <w:hideMark/>
          </w:tcPr>
          <w:p w14:paraId="3F622944" w14:textId="77777777" w:rsidR="000E21D9" w:rsidRPr="00B265FC" w:rsidRDefault="000E21D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313CDCE0"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32984A8E"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Gender:</w:t>
            </w:r>
          </w:p>
        </w:tc>
        <w:tc>
          <w:tcPr>
            <w:tcW w:w="2160" w:type="dxa"/>
            <w:hideMark/>
          </w:tcPr>
          <w:p w14:paraId="1770FDA9" w14:textId="77777777" w:rsidR="000E21D9" w:rsidRPr="00B265FC" w:rsidRDefault="000E21D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64BFE83A" w14:textId="77777777" w:rsidR="000E21D9" w:rsidRPr="00B265FC" w:rsidRDefault="000E21D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670821FF"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6F2551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Male</w:t>
            </w:r>
          </w:p>
        </w:tc>
        <w:tc>
          <w:tcPr>
            <w:tcW w:w="2160" w:type="dxa"/>
            <w:hideMark/>
          </w:tcPr>
          <w:p w14:paraId="19B82E47"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350</w:t>
            </w:r>
          </w:p>
        </w:tc>
        <w:tc>
          <w:tcPr>
            <w:tcW w:w="1833" w:type="dxa"/>
            <w:hideMark/>
          </w:tcPr>
          <w:p w14:paraId="49D40D1E"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r>
      <w:tr w:rsidR="00504F65" w:rsidRPr="00B265FC" w14:paraId="69846412"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3E0D1545"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Female</w:t>
            </w:r>
          </w:p>
        </w:tc>
        <w:tc>
          <w:tcPr>
            <w:tcW w:w="2160" w:type="dxa"/>
            <w:hideMark/>
          </w:tcPr>
          <w:p w14:paraId="16F5C58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150</w:t>
            </w:r>
          </w:p>
        </w:tc>
        <w:tc>
          <w:tcPr>
            <w:tcW w:w="1833" w:type="dxa"/>
            <w:hideMark/>
          </w:tcPr>
          <w:p w14:paraId="6DA8384A"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r>
      <w:tr w:rsidR="00504F65" w:rsidRPr="00B265FC" w14:paraId="3D892E7E"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6FFE3AE"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Age:</w:t>
            </w:r>
          </w:p>
        </w:tc>
        <w:tc>
          <w:tcPr>
            <w:tcW w:w="2160" w:type="dxa"/>
            <w:hideMark/>
          </w:tcPr>
          <w:p w14:paraId="71CE3538"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0EDC893A"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59FE1459"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2C968F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30 years and below</w:t>
            </w:r>
          </w:p>
        </w:tc>
        <w:tc>
          <w:tcPr>
            <w:tcW w:w="2160" w:type="dxa"/>
            <w:hideMark/>
          </w:tcPr>
          <w:p w14:paraId="13CDD495"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90</w:t>
            </w:r>
          </w:p>
        </w:tc>
        <w:tc>
          <w:tcPr>
            <w:tcW w:w="1833" w:type="dxa"/>
            <w:hideMark/>
          </w:tcPr>
          <w:p w14:paraId="5A6118B7"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w:t>
            </w:r>
          </w:p>
        </w:tc>
      </w:tr>
      <w:tr w:rsidR="00504F65" w:rsidRPr="00B265FC" w14:paraId="09FB4422"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35F7B7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31 - 40 years</w:t>
            </w:r>
          </w:p>
        </w:tc>
        <w:tc>
          <w:tcPr>
            <w:tcW w:w="2160" w:type="dxa"/>
            <w:hideMark/>
          </w:tcPr>
          <w:p w14:paraId="010F611E"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250</w:t>
            </w:r>
          </w:p>
        </w:tc>
        <w:tc>
          <w:tcPr>
            <w:tcW w:w="1833" w:type="dxa"/>
            <w:hideMark/>
          </w:tcPr>
          <w:p w14:paraId="460D5ED1"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50%</w:t>
            </w:r>
          </w:p>
        </w:tc>
      </w:tr>
      <w:tr w:rsidR="00504F65" w:rsidRPr="00B265FC" w14:paraId="212ABD95"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77180E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41 - 50 years</w:t>
            </w:r>
          </w:p>
        </w:tc>
        <w:tc>
          <w:tcPr>
            <w:tcW w:w="2160" w:type="dxa"/>
            <w:hideMark/>
          </w:tcPr>
          <w:p w14:paraId="2869F7E1"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100</w:t>
            </w:r>
          </w:p>
        </w:tc>
        <w:tc>
          <w:tcPr>
            <w:tcW w:w="1833" w:type="dxa"/>
            <w:hideMark/>
          </w:tcPr>
          <w:p w14:paraId="045738CD"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20%</w:t>
            </w:r>
          </w:p>
        </w:tc>
      </w:tr>
      <w:tr w:rsidR="00504F65" w:rsidRPr="00B265FC" w14:paraId="758D8AB8"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7FB7BDF0"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lastRenderedPageBreak/>
              <w:t>51 years and above</w:t>
            </w:r>
          </w:p>
        </w:tc>
        <w:tc>
          <w:tcPr>
            <w:tcW w:w="2160" w:type="dxa"/>
            <w:hideMark/>
          </w:tcPr>
          <w:p w14:paraId="46FEA4F6"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w:t>
            </w:r>
          </w:p>
        </w:tc>
        <w:tc>
          <w:tcPr>
            <w:tcW w:w="1833" w:type="dxa"/>
            <w:hideMark/>
          </w:tcPr>
          <w:p w14:paraId="320B461D"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r>
      <w:tr w:rsidR="00504F65" w:rsidRPr="00B265FC" w14:paraId="432E2553"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20F99EC"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Working Experience:</w:t>
            </w:r>
          </w:p>
        </w:tc>
        <w:tc>
          <w:tcPr>
            <w:tcW w:w="2160" w:type="dxa"/>
            <w:hideMark/>
          </w:tcPr>
          <w:p w14:paraId="3B90CDE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3D38B2BF"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3702F562"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C5AB61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5 years and below</w:t>
            </w:r>
          </w:p>
        </w:tc>
        <w:tc>
          <w:tcPr>
            <w:tcW w:w="2160" w:type="dxa"/>
            <w:hideMark/>
          </w:tcPr>
          <w:p w14:paraId="1F099C5B"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120</w:t>
            </w:r>
          </w:p>
        </w:tc>
        <w:tc>
          <w:tcPr>
            <w:tcW w:w="1833" w:type="dxa"/>
            <w:hideMark/>
          </w:tcPr>
          <w:p w14:paraId="4EC00169"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24%</w:t>
            </w:r>
          </w:p>
        </w:tc>
      </w:tr>
      <w:tr w:rsidR="00504F65" w:rsidRPr="00B265FC" w14:paraId="0B1AFE3E"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78C7B16"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6 - 10 years</w:t>
            </w:r>
          </w:p>
        </w:tc>
        <w:tc>
          <w:tcPr>
            <w:tcW w:w="2160" w:type="dxa"/>
            <w:hideMark/>
          </w:tcPr>
          <w:p w14:paraId="335A9D3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180</w:t>
            </w:r>
          </w:p>
        </w:tc>
        <w:tc>
          <w:tcPr>
            <w:tcW w:w="1833" w:type="dxa"/>
            <w:hideMark/>
          </w:tcPr>
          <w:p w14:paraId="364EE103"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36%</w:t>
            </w:r>
          </w:p>
        </w:tc>
      </w:tr>
      <w:tr w:rsidR="00504F65" w:rsidRPr="00B265FC" w14:paraId="0D22EE71"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2598554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11 - 15 years</w:t>
            </w:r>
          </w:p>
        </w:tc>
        <w:tc>
          <w:tcPr>
            <w:tcW w:w="2160" w:type="dxa"/>
            <w:hideMark/>
          </w:tcPr>
          <w:p w14:paraId="600D87CC"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90</w:t>
            </w:r>
          </w:p>
        </w:tc>
        <w:tc>
          <w:tcPr>
            <w:tcW w:w="1833" w:type="dxa"/>
            <w:hideMark/>
          </w:tcPr>
          <w:p w14:paraId="021F7D9F"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w:t>
            </w:r>
          </w:p>
        </w:tc>
      </w:tr>
      <w:tr w:rsidR="00504F65" w:rsidRPr="00B265FC" w14:paraId="583755D3"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02228F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16 - 20 years</w:t>
            </w:r>
          </w:p>
        </w:tc>
        <w:tc>
          <w:tcPr>
            <w:tcW w:w="2160" w:type="dxa"/>
            <w:hideMark/>
          </w:tcPr>
          <w:p w14:paraId="09895F64"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80</w:t>
            </w:r>
          </w:p>
        </w:tc>
        <w:tc>
          <w:tcPr>
            <w:tcW w:w="1833" w:type="dxa"/>
            <w:hideMark/>
          </w:tcPr>
          <w:p w14:paraId="761D2C3F"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16%</w:t>
            </w:r>
          </w:p>
        </w:tc>
      </w:tr>
      <w:tr w:rsidR="00504F65" w:rsidRPr="00B265FC" w14:paraId="03B5DFB6"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DE4554B"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More than 21 years</w:t>
            </w:r>
          </w:p>
        </w:tc>
        <w:tc>
          <w:tcPr>
            <w:tcW w:w="2160" w:type="dxa"/>
            <w:hideMark/>
          </w:tcPr>
          <w:p w14:paraId="1BA90FB1"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c>
          <w:tcPr>
            <w:tcW w:w="1833" w:type="dxa"/>
            <w:hideMark/>
          </w:tcPr>
          <w:p w14:paraId="3FCBACED"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w:t>
            </w:r>
          </w:p>
        </w:tc>
      </w:tr>
    </w:tbl>
    <w:p w14:paraId="47FDA161" w14:textId="77777777" w:rsidR="0068676D" w:rsidRDefault="0068676D" w:rsidP="00DC3FD6">
      <w:pPr>
        <w:pStyle w:val="NormalWeb"/>
        <w:spacing w:before="0" w:beforeAutospacing="0" w:after="0" w:afterAutospacing="0"/>
        <w:jc w:val="both"/>
        <w:rPr>
          <w:color w:val="000000" w:themeColor="text1"/>
        </w:rPr>
      </w:pPr>
    </w:p>
    <w:p w14:paraId="76C0B3E4" w14:textId="748D1E18" w:rsidR="00B411BA" w:rsidRPr="00B265FC" w:rsidRDefault="00AC1F93" w:rsidP="00DC3FD6">
      <w:pPr>
        <w:pStyle w:val="NormalWeb"/>
        <w:spacing w:before="0" w:beforeAutospacing="0" w:after="0" w:afterAutospacing="0"/>
        <w:jc w:val="both"/>
        <w:rPr>
          <w:color w:val="000000" w:themeColor="text1"/>
        </w:rPr>
      </w:pPr>
      <w:r>
        <w:rPr>
          <w:color w:val="000000" w:themeColor="text1"/>
        </w:rPr>
        <w:t>Table 1 represents the demographic factors of the respondents regarding gender, age,</w:t>
      </w:r>
      <w:r w:rsidR="009E4E74" w:rsidRPr="00B265FC">
        <w:rPr>
          <w:color w:val="000000" w:themeColor="text1"/>
        </w:rPr>
        <w:t xml:space="preserve"> and working experience. The sample size was 500</w:t>
      </w:r>
      <w:r>
        <w:rPr>
          <w:color w:val="000000" w:themeColor="text1"/>
        </w:rPr>
        <w:t>, out of which 70% were male and 30% were female, and could be used to answer questions; thus, a male-dominated</w:t>
      </w:r>
      <w:r w:rsidR="009E4E74" w:rsidRPr="00B265FC">
        <w:rPr>
          <w:color w:val="000000" w:themeColor="text1"/>
        </w:rPr>
        <w:t xml:space="preserve"> sample was utilized.</w:t>
      </w:r>
      <w:r w:rsidR="000E21D9" w:rsidRPr="00B265FC">
        <w:rPr>
          <w:color w:val="000000" w:themeColor="text1"/>
        </w:rPr>
        <w:t xml:space="preserve"> In terms of age distribution, </w:t>
      </w:r>
      <w:r>
        <w:rPr>
          <w:color w:val="000000" w:themeColor="text1"/>
        </w:rPr>
        <w:t xml:space="preserve">most respondents were in the 31-40 years age range (50%, or 250 respondents) and 41-50 years age range (20%, or 100 respondents), </w:t>
      </w:r>
      <w:r w:rsidR="000E21D9" w:rsidRPr="00B265FC">
        <w:rPr>
          <w:color w:val="000000" w:themeColor="text1"/>
        </w:rPr>
        <w:t xml:space="preserve">representing 70% of the sample. This indicates that </w:t>
      </w:r>
      <w:r>
        <w:rPr>
          <w:color w:val="000000" w:themeColor="text1"/>
        </w:rPr>
        <w:t>individuals in their mid-career stages primarily shape the perceptions and attitudes toward CSR practices</w:t>
      </w:r>
      <w:r w:rsidR="000E21D9" w:rsidRPr="00B265FC">
        <w:rPr>
          <w:color w:val="000000" w:themeColor="text1"/>
        </w:rPr>
        <w:t xml:space="preserve">. In contrast, only 18% (90 respondents) were below 30 years of age, and 12% (60 respondents) were 51 years and above, suggesting that younger and older managers have a </w:t>
      </w:r>
      <w:r>
        <w:rPr>
          <w:color w:val="000000" w:themeColor="text1"/>
        </w:rPr>
        <w:t>negligible</w:t>
      </w:r>
      <w:r w:rsidR="000E21D9" w:rsidRPr="00B265FC">
        <w:rPr>
          <w:color w:val="000000" w:themeColor="text1"/>
        </w:rPr>
        <w:t xml:space="preserve"> influence on the findings. Regarding working experience, the distribution shows</w:t>
      </w:r>
      <w:r>
        <w:rPr>
          <w:color w:val="000000" w:themeColor="text1"/>
        </w:rPr>
        <w:t xml:space="preserve"> that 24% (120 respondents) had five years or less of experience. In comparison, 36% (180 respondents) had six to ten years, and 18% (90 respondents) had eleven to fifteen years of experience. Additionally, 16% (80 respondents) had sixteen to twenty years of experience, and 6% (30 respondents) had more than twenty years of experience. This distribution is related to the scope of the research, focusing on upper and middle management, as it represents a very high percentage of managers with substantial experience, which indicates a broad knowledge of CSR practices and attitudes.</w:t>
      </w:r>
    </w:p>
    <w:p w14:paraId="59C21D0D" w14:textId="77777777" w:rsidR="00B411BA" w:rsidRPr="00B265FC" w:rsidRDefault="00B411BA" w:rsidP="00DC3FD6">
      <w:pPr>
        <w:autoSpaceDE w:val="0"/>
        <w:autoSpaceDN w:val="0"/>
        <w:adjustRightInd w:val="0"/>
        <w:jc w:val="both"/>
        <w:rPr>
          <w:rFonts w:ascii="Times New Roman" w:hAnsi="Times New Roman" w:cs="Times New Roman"/>
          <w:b/>
          <w:bCs/>
          <w:color w:val="000000" w:themeColor="text1"/>
        </w:rPr>
      </w:pPr>
    </w:p>
    <w:p w14:paraId="06E152DE" w14:textId="77777777" w:rsidR="00B411BA" w:rsidRPr="00B265FC" w:rsidRDefault="00B411BA"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.2 Background of Respondents by Religion</w:t>
      </w:r>
    </w:p>
    <w:p w14:paraId="6A445160" w14:textId="6812FB8D" w:rsidR="00415CC8" w:rsidRPr="00B265FC" w:rsidRDefault="005265E7"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The information about the respondents' religious backgrounds helps understand the diverse cultural and spiritual factors that may influence their perceptions of Corporate Social Responsibility (CSR). This section reflects the respondents' religious affiliations, offering insight into how these beliefs can impact their views on CSR practices within Bangladesh's banking sector. Such analysis aids in understanding the cultural context and how perceptions of CSR may vary across different religious groups.</w:t>
      </w:r>
    </w:p>
    <w:p w14:paraId="4E59F829" w14:textId="77777777" w:rsidR="00415CC8" w:rsidRPr="00B265FC" w:rsidRDefault="00415CC8"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D7526DF" w14:textId="7883AF08" w:rsidR="00B64049" w:rsidRPr="00B265FC" w:rsidRDefault="00B64049" w:rsidP="00DC3FD6">
      <w:pPr>
        <w:autoSpaceDE w:val="0"/>
        <w:autoSpaceDN w:val="0"/>
        <w:adjustRightInd w:val="0"/>
        <w:jc w:val="center"/>
        <w:rPr>
          <w:rFonts w:ascii="Times New Roman" w:hAnsi="Times New Roman" w:cs="Times New Roman"/>
          <w:b/>
          <w:bCs/>
          <w:color w:val="000000" w:themeColor="text1"/>
        </w:rPr>
      </w:pPr>
      <w:r w:rsidRPr="00B265FC">
        <w:rPr>
          <w:rFonts w:ascii="Times New Roman" w:hAnsi="Times New Roman" w:cs="Times New Roman"/>
          <w:color w:val="000000" w:themeColor="text1"/>
        </w:rPr>
        <w:t>Table 2 Background of Respondents by Religion</w:t>
      </w:r>
    </w:p>
    <w:tbl>
      <w:tblPr>
        <w:tblStyle w:val="PlainTable1"/>
        <w:tblW w:w="0" w:type="auto"/>
        <w:jc w:val="center"/>
        <w:tblLook w:val="04A0" w:firstRow="1" w:lastRow="0" w:firstColumn="1" w:lastColumn="0" w:noHBand="0" w:noVBand="1"/>
      </w:tblPr>
      <w:tblGrid>
        <w:gridCol w:w="2816"/>
        <w:gridCol w:w="1229"/>
        <w:gridCol w:w="936"/>
      </w:tblGrid>
      <w:tr w:rsidR="00504F65" w:rsidRPr="00B265FC" w14:paraId="523E5DE6" w14:textId="77777777" w:rsidTr="0063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261201D" w14:textId="77777777" w:rsidR="00B64049" w:rsidRPr="00B265FC" w:rsidRDefault="00B6404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Religion</w:t>
            </w:r>
          </w:p>
        </w:tc>
        <w:tc>
          <w:tcPr>
            <w:tcW w:w="0" w:type="auto"/>
            <w:hideMark/>
          </w:tcPr>
          <w:p w14:paraId="7319CFF9"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0" w:type="auto"/>
            <w:hideMark/>
          </w:tcPr>
          <w:p w14:paraId="404C82B0"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5AD03D6A"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3DA510BA"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Islam</w:t>
            </w:r>
          </w:p>
        </w:tc>
        <w:tc>
          <w:tcPr>
            <w:tcW w:w="0" w:type="auto"/>
            <w:hideMark/>
          </w:tcPr>
          <w:p w14:paraId="007F970D"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430</w:t>
            </w:r>
          </w:p>
        </w:tc>
        <w:tc>
          <w:tcPr>
            <w:tcW w:w="0" w:type="auto"/>
            <w:hideMark/>
          </w:tcPr>
          <w:p w14:paraId="39D27B48"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86%</w:t>
            </w:r>
          </w:p>
        </w:tc>
      </w:tr>
      <w:tr w:rsidR="00504F65" w:rsidRPr="00B265FC" w14:paraId="60D665A3"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01D10306"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Buddha</w:t>
            </w:r>
          </w:p>
        </w:tc>
        <w:tc>
          <w:tcPr>
            <w:tcW w:w="0" w:type="auto"/>
            <w:hideMark/>
          </w:tcPr>
          <w:p w14:paraId="4A6DA5CA"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w:t>
            </w:r>
          </w:p>
        </w:tc>
        <w:tc>
          <w:tcPr>
            <w:tcW w:w="0" w:type="auto"/>
            <w:hideMark/>
          </w:tcPr>
          <w:p w14:paraId="6B7E2175"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w:t>
            </w:r>
          </w:p>
        </w:tc>
      </w:tr>
      <w:tr w:rsidR="00504F65" w:rsidRPr="00B265FC" w14:paraId="76C788BD"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1C05F9DB"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Hindu</w:t>
            </w:r>
          </w:p>
        </w:tc>
        <w:tc>
          <w:tcPr>
            <w:tcW w:w="0" w:type="auto"/>
            <w:hideMark/>
          </w:tcPr>
          <w:p w14:paraId="2C4EFFA8"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c>
          <w:tcPr>
            <w:tcW w:w="0" w:type="auto"/>
            <w:hideMark/>
          </w:tcPr>
          <w:p w14:paraId="6DB2933D"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w:t>
            </w:r>
          </w:p>
        </w:tc>
      </w:tr>
      <w:tr w:rsidR="00504F65" w:rsidRPr="00B265FC" w14:paraId="3AB8789A"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FD5A4FB"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Christian</w:t>
            </w:r>
          </w:p>
        </w:tc>
        <w:tc>
          <w:tcPr>
            <w:tcW w:w="0" w:type="auto"/>
            <w:hideMark/>
          </w:tcPr>
          <w:p w14:paraId="222727CC"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c>
          <w:tcPr>
            <w:tcW w:w="0" w:type="auto"/>
            <w:hideMark/>
          </w:tcPr>
          <w:p w14:paraId="532E8531"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w:t>
            </w:r>
          </w:p>
        </w:tc>
      </w:tr>
      <w:tr w:rsidR="00504F65" w:rsidRPr="00B265FC" w14:paraId="5BD63724"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1F77094"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Others</w:t>
            </w:r>
          </w:p>
        </w:tc>
        <w:tc>
          <w:tcPr>
            <w:tcW w:w="0" w:type="auto"/>
            <w:hideMark/>
          </w:tcPr>
          <w:p w14:paraId="1CA6C64B"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w:t>
            </w:r>
          </w:p>
        </w:tc>
        <w:tc>
          <w:tcPr>
            <w:tcW w:w="0" w:type="auto"/>
            <w:hideMark/>
          </w:tcPr>
          <w:p w14:paraId="4511EDA2"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w:t>
            </w:r>
          </w:p>
        </w:tc>
      </w:tr>
    </w:tbl>
    <w:p w14:paraId="440E515F" w14:textId="77777777" w:rsidR="00B64049" w:rsidRPr="00B265FC" w:rsidRDefault="00B64049" w:rsidP="00DC3FD6">
      <w:pPr>
        <w:autoSpaceDE w:val="0"/>
        <w:autoSpaceDN w:val="0"/>
        <w:adjustRightInd w:val="0"/>
        <w:jc w:val="both"/>
        <w:rPr>
          <w:rFonts w:ascii="Times New Roman" w:hAnsi="Times New Roman" w:cs="Times New Roman"/>
          <w:b/>
          <w:bCs/>
          <w:color w:val="000000" w:themeColor="text1"/>
        </w:rPr>
      </w:pPr>
    </w:p>
    <w:p w14:paraId="672EFD29" w14:textId="70973231" w:rsidR="00B64049" w:rsidRPr="00B265FC" w:rsidRDefault="000E5814"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The numbers provided in Table 2 show that the majority of the respondents (86) are Muslims, indicating that religious responsibility is prevalent in Bangladesh. The sample also includes Hindu respondents (14% of the sample), Christians (2%), and Buddhists (1%). No other religions are represented among the respondents. This distribution reflects the overall religious composition of Bangladesh and suggests that the sample is representative of the country's religious diversity. The </w:t>
      </w:r>
      <w:r>
        <w:rPr>
          <w:rFonts w:ascii="Times New Roman" w:hAnsi="Times New Roman" w:cs="Times New Roman"/>
          <w:color w:val="000000" w:themeColor="text1"/>
        </w:rPr>
        <w:lastRenderedPageBreak/>
        <w:t>relatively low proportion of Buddhist and Christian respondents suggests their input into the overall understanding of CSR practices may be peripheral, but including these groups makes the research more comprehensive.</w:t>
      </w:r>
    </w:p>
    <w:p w14:paraId="5DBC52D5" w14:textId="77777777" w:rsidR="00FE6AA6" w:rsidRPr="00B265FC" w:rsidRDefault="00FE6AA6" w:rsidP="00DC3FD6">
      <w:pPr>
        <w:autoSpaceDE w:val="0"/>
        <w:autoSpaceDN w:val="0"/>
        <w:adjustRightInd w:val="0"/>
        <w:jc w:val="both"/>
        <w:rPr>
          <w:rFonts w:ascii="Times New Roman" w:hAnsi="Times New Roman" w:cs="Times New Roman"/>
          <w:color w:val="000000" w:themeColor="text1"/>
        </w:rPr>
      </w:pPr>
    </w:p>
    <w:p w14:paraId="46F3C95F" w14:textId="193A0872" w:rsidR="00FE6AA6" w:rsidRPr="00B265FC" w:rsidRDefault="00FE6AA6"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4.1.3 Background of Respondents based on Business Function and Professional Qualification.</w:t>
      </w:r>
    </w:p>
    <w:p w14:paraId="7247631F" w14:textId="2B5E3C9C" w:rsidR="00FE6AA6" w:rsidRPr="00B265FC" w:rsidRDefault="005265E7"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This section summarizes the respondents based on their business functions and professional qualifications. Their opinions on CSR become specific to context when considering their knowledge of business operations, which is reflected in their various activities. The distribution across different business functions, such as finance, accounting, credit management, legal, internal audit, risk management, operations, dealings, and corporate communication, highlights the diversity of expertise within the sample. Additionally, whether the respondents are professionals or not indicates how they are trained and how aware they are of their perceptions and opinions regarding CSR practices.</w:t>
      </w:r>
    </w:p>
    <w:p w14:paraId="5E4A3214" w14:textId="77777777" w:rsidR="00464690" w:rsidRPr="00B265FC" w:rsidRDefault="00464690" w:rsidP="00DC3FD6">
      <w:pPr>
        <w:autoSpaceDE w:val="0"/>
        <w:autoSpaceDN w:val="0"/>
        <w:adjustRightInd w:val="0"/>
        <w:jc w:val="both"/>
        <w:rPr>
          <w:rFonts w:ascii="Times New Roman" w:hAnsi="Times New Roman" w:cs="Times New Roman"/>
          <w:b/>
          <w:bCs/>
          <w:color w:val="000000" w:themeColor="text1"/>
        </w:rPr>
      </w:pPr>
    </w:p>
    <w:p w14:paraId="3E5430F2" w14:textId="4BB6AB62" w:rsidR="00B64049" w:rsidRPr="00B265FC" w:rsidRDefault="00B64049"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Table 3 Background of Respondents by Business Function and Professional Qualification</w:t>
      </w:r>
    </w:p>
    <w:tbl>
      <w:tblPr>
        <w:tblStyle w:val="PlainTable1"/>
        <w:tblW w:w="0" w:type="auto"/>
        <w:jc w:val="center"/>
        <w:tblLook w:val="04A0" w:firstRow="1" w:lastRow="0" w:firstColumn="1" w:lastColumn="0" w:noHBand="0" w:noVBand="1"/>
      </w:tblPr>
      <w:tblGrid>
        <w:gridCol w:w="7185"/>
        <w:gridCol w:w="1229"/>
        <w:gridCol w:w="936"/>
      </w:tblGrid>
      <w:tr w:rsidR="00504F65" w:rsidRPr="00B265FC" w14:paraId="2BE249FE" w14:textId="77777777" w:rsidTr="00BD6A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3EE68E5A" w14:textId="77777777" w:rsidR="00B64049" w:rsidRPr="00B265FC" w:rsidRDefault="00B6404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Category</w:t>
            </w:r>
          </w:p>
        </w:tc>
        <w:tc>
          <w:tcPr>
            <w:tcW w:w="0" w:type="auto"/>
            <w:hideMark/>
          </w:tcPr>
          <w:p w14:paraId="2DEFF5C0"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0" w:type="auto"/>
            <w:hideMark/>
          </w:tcPr>
          <w:p w14:paraId="69B3A588"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4A95C49F"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233D6B38"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Business Function:</w:t>
            </w:r>
          </w:p>
        </w:tc>
        <w:tc>
          <w:tcPr>
            <w:tcW w:w="0" w:type="auto"/>
            <w:hideMark/>
          </w:tcPr>
          <w:p w14:paraId="064703F0" w14:textId="77777777" w:rsidR="00B64049" w:rsidRPr="00B265FC" w:rsidRDefault="00B6404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0" w:type="auto"/>
            <w:hideMark/>
          </w:tcPr>
          <w:p w14:paraId="6D6EB154" w14:textId="77777777" w:rsidR="00B64049" w:rsidRPr="00B265FC" w:rsidRDefault="00B6404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279ADD87"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6EA4F12F"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Finance/Accounting/Credit Management</w:t>
            </w:r>
          </w:p>
        </w:tc>
        <w:tc>
          <w:tcPr>
            <w:tcW w:w="0" w:type="auto"/>
            <w:hideMark/>
          </w:tcPr>
          <w:p w14:paraId="48C587B8"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250</w:t>
            </w:r>
          </w:p>
        </w:tc>
        <w:tc>
          <w:tcPr>
            <w:tcW w:w="0" w:type="auto"/>
            <w:hideMark/>
          </w:tcPr>
          <w:p w14:paraId="5CF46A32"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50%</w:t>
            </w:r>
          </w:p>
        </w:tc>
      </w:tr>
      <w:tr w:rsidR="00504F65" w:rsidRPr="00B265FC" w14:paraId="539E3ADB"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B3143F4"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Legal/Internal Audit/Risk Management</w:t>
            </w:r>
          </w:p>
        </w:tc>
        <w:tc>
          <w:tcPr>
            <w:tcW w:w="0" w:type="auto"/>
            <w:hideMark/>
          </w:tcPr>
          <w:p w14:paraId="2C08E586"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w:t>
            </w:r>
          </w:p>
        </w:tc>
        <w:tc>
          <w:tcPr>
            <w:tcW w:w="0" w:type="auto"/>
            <w:hideMark/>
          </w:tcPr>
          <w:p w14:paraId="6C59FF26"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r>
      <w:tr w:rsidR="00504F65" w:rsidRPr="00B265FC" w14:paraId="676447B3"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844CCAE"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Operations/Dealings</w:t>
            </w:r>
          </w:p>
        </w:tc>
        <w:tc>
          <w:tcPr>
            <w:tcW w:w="0" w:type="auto"/>
            <w:hideMark/>
          </w:tcPr>
          <w:p w14:paraId="026D2959"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150</w:t>
            </w:r>
          </w:p>
        </w:tc>
        <w:tc>
          <w:tcPr>
            <w:tcW w:w="0" w:type="auto"/>
            <w:hideMark/>
          </w:tcPr>
          <w:p w14:paraId="30D7F1CE"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r>
      <w:tr w:rsidR="00504F65" w:rsidRPr="00B265FC" w14:paraId="4CD4B126"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0D1F8309"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Corporate Communication</w:t>
            </w:r>
          </w:p>
        </w:tc>
        <w:tc>
          <w:tcPr>
            <w:tcW w:w="0" w:type="auto"/>
            <w:hideMark/>
          </w:tcPr>
          <w:p w14:paraId="0CF29E0E"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40</w:t>
            </w:r>
          </w:p>
        </w:tc>
        <w:tc>
          <w:tcPr>
            <w:tcW w:w="0" w:type="auto"/>
            <w:hideMark/>
          </w:tcPr>
          <w:p w14:paraId="52A631E3"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w:t>
            </w:r>
          </w:p>
        </w:tc>
      </w:tr>
      <w:tr w:rsidR="00504F65" w:rsidRPr="00B265FC" w14:paraId="50A22A29"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169CD6EC"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Professional Qualification:</w:t>
            </w:r>
          </w:p>
        </w:tc>
        <w:tc>
          <w:tcPr>
            <w:tcW w:w="0" w:type="auto"/>
            <w:hideMark/>
          </w:tcPr>
          <w:p w14:paraId="19EDE697"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0" w:type="auto"/>
            <w:hideMark/>
          </w:tcPr>
          <w:p w14:paraId="56B3F3F0"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1CC33495"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83836EA"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Yes</w:t>
            </w:r>
          </w:p>
        </w:tc>
        <w:tc>
          <w:tcPr>
            <w:tcW w:w="0" w:type="auto"/>
            <w:hideMark/>
          </w:tcPr>
          <w:p w14:paraId="1F9FAEEA"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430</w:t>
            </w:r>
          </w:p>
        </w:tc>
        <w:tc>
          <w:tcPr>
            <w:tcW w:w="0" w:type="auto"/>
            <w:hideMark/>
          </w:tcPr>
          <w:p w14:paraId="4C05FCE1"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86%</w:t>
            </w:r>
          </w:p>
        </w:tc>
      </w:tr>
      <w:tr w:rsidR="00504F65" w:rsidRPr="00B265FC" w14:paraId="6BE846CE"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07C500BD"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No</w:t>
            </w:r>
          </w:p>
        </w:tc>
        <w:tc>
          <w:tcPr>
            <w:tcW w:w="0" w:type="auto"/>
            <w:hideMark/>
          </w:tcPr>
          <w:p w14:paraId="2BBA0683"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c>
          <w:tcPr>
            <w:tcW w:w="0" w:type="auto"/>
            <w:hideMark/>
          </w:tcPr>
          <w:p w14:paraId="1A989DBE"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w:t>
            </w:r>
          </w:p>
        </w:tc>
      </w:tr>
    </w:tbl>
    <w:p w14:paraId="6A8F6DCF" w14:textId="77777777" w:rsidR="00464690" w:rsidRPr="00B265FC" w:rsidRDefault="00464690" w:rsidP="00DC3FD6">
      <w:pPr>
        <w:pStyle w:val="NormalWeb"/>
        <w:spacing w:before="0" w:beforeAutospacing="0" w:after="0" w:afterAutospacing="0"/>
        <w:jc w:val="both"/>
        <w:rPr>
          <w:color w:val="000000" w:themeColor="text1"/>
        </w:rPr>
      </w:pPr>
    </w:p>
    <w:p w14:paraId="69C56355" w14:textId="717E21EC" w:rsidR="00FE6AA6" w:rsidRPr="00B265FC" w:rsidRDefault="005265E7"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Table 3 provides information on how respondents were categorized based on their roles in the business and their professional qualifications. Out of 500 respondents, the majority practiced in finance/accounting/credit management (50) and operations/dealings (30). Fewer respondents were involved in legal/internal audit/risk management (12%) and corporate communication (8%). The distribution shows that finance and operations roles, which are core management areas in the banking sector, have high representation. When asked about professional qualifications, 86 percent of respondents indicated they possessed relevant credentials, suggesting a high level of expertise within the sample. The smallest group, at 14 percent, lacked a professional qualification. This distribution highlights that the study focuses on a highly qualified managerial group, which enhances the credibility of their insights into CSR practices and perceptions.</w:t>
      </w:r>
    </w:p>
    <w:p w14:paraId="64000F8C" w14:textId="77777777" w:rsidR="00FE6AA6" w:rsidRPr="00B265FC" w:rsidRDefault="00FE6AA6"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6AAF9B31" w14:textId="5BB95494" w:rsidR="00B64049"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.4 Background of Respondents by the profile of the company</w:t>
      </w:r>
      <w:r w:rsidR="00021EB2" w:rsidRPr="00B265FC">
        <w:rPr>
          <w:rFonts w:ascii="Times New Roman" w:hAnsi="Times New Roman" w:cs="Times New Roman"/>
          <w:b/>
          <w:bCs/>
          <w:color w:val="000000" w:themeColor="text1"/>
        </w:rPr>
        <w:t xml:space="preserve"> </w:t>
      </w:r>
    </w:p>
    <w:p w14:paraId="7FD73C53" w14:textId="27EA4B9F" w:rsidR="006312C6" w:rsidRPr="00B265FC" w:rsidRDefault="00A6408D" w:rsidP="00DC3FD6">
      <w:pPr>
        <w:jc w:val="both"/>
        <w:rPr>
          <w:rFonts w:ascii="Times New Roman" w:hAnsi="Times New Roman" w:cs="Times New Roman"/>
          <w:color w:val="000000" w:themeColor="text1"/>
        </w:rPr>
      </w:pPr>
      <w:r>
        <w:rPr>
          <w:rFonts w:ascii="Times New Roman" w:hAnsi="Times New Roman" w:cs="Times New Roman"/>
          <w:color w:val="000000" w:themeColor="text1"/>
        </w:rPr>
        <w:t>This section provides a detailed account of the respondents based on the profiles of the banking institutions they belong to. It is a division that matters in determining how CSR practices and perceptions can differ across various types of banks in Bangladesh. The respondent count across different bank profiles also helps identify the representation of different sectors in the sample and provides data on the CSR practices of each sector.</w:t>
      </w:r>
    </w:p>
    <w:p w14:paraId="22178EFF" w14:textId="77777777" w:rsidR="00021EB2" w:rsidRPr="00B265FC" w:rsidRDefault="00021EB2" w:rsidP="00DC3FD6">
      <w:pPr>
        <w:jc w:val="both"/>
        <w:rPr>
          <w:rFonts w:ascii="Times New Roman" w:hAnsi="Times New Roman" w:cs="Times New Roman"/>
          <w:color w:val="000000" w:themeColor="text1"/>
        </w:rPr>
      </w:pPr>
    </w:p>
    <w:p w14:paraId="7F322C2B" w14:textId="377AB371" w:rsidR="00B64049" w:rsidRPr="00B265FC" w:rsidRDefault="00B64049"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w:t>
      </w:r>
      <w:r w:rsidR="00E201A2">
        <w:rPr>
          <w:rFonts w:ascii="Times New Roman" w:hAnsi="Times New Roman" w:cs="Times New Roman"/>
          <w:color w:val="000000" w:themeColor="text1"/>
        </w:rPr>
        <w:t xml:space="preserve"> </w:t>
      </w:r>
      <w:r w:rsidRPr="00B265FC">
        <w:rPr>
          <w:rFonts w:ascii="Times New Roman" w:hAnsi="Times New Roman" w:cs="Times New Roman"/>
          <w:color w:val="000000" w:themeColor="text1"/>
        </w:rPr>
        <w:t>4: Background of Respondents by the Profile of the Company</w:t>
      </w:r>
    </w:p>
    <w:tbl>
      <w:tblPr>
        <w:tblStyle w:val="PlainTable1"/>
        <w:tblW w:w="0" w:type="auto"/>
        <w:jc w:val="center"/>
        <w:tblLook w:val="04A0" w:firstRow="1" w:lastRow="0" w:firstColumn="1" w:lastColumn="0" w:noHBand="0" w:noVBand="1"/>
      </w:tblPr>
      <w:tblGrid>
        <w:gridCol w:w="5304"/>
        <w:gridCol w:w="1229"/>
        <w:gridCol w:w="936"/>
      </w:tblGrid>
      <w:tr w:rsidR="00504F65" w:rsidRPr="00B265FC" w14:paraId="495D3462" w14:textId="77777777" w:rsidTr="0063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42D55CBD" w14:textId="77777777" w:rsidR="00B64049" w:rsidRPr="00B265FC" w:rsidRDefault="00B64049"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Profile of the Company</w:t>
            </w:r>
          </w:p>
        </w:tc>
        <w:tc>
          <w:tcPr>
            <w:tcW w:w="0" w:type="auto"/>
            <w:hideMark/>
          </w:tcPr>
          <w:p w14:paraId="0E53A6E4"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Frequency</w:t>
            </w:r>
          </w:p>
        </w:tc>
        <w:tc>
          <w:tcPr>
            <w:tcW w:w="0" w:type="auto"/>
            <w:hideMark/>
          </w:tcPr>
          <w:p w14:paraId="3A361F58"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Percent</w:t>
            </w:r>
          </w:p>
        </w:tc>
      </w:tr>
      <w:tr w:rsidR="00504F65" w:rsidRPr="00B265FC" w14:paraId="07F50A68"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17AF5D09"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lastRenderedPageBreak/>
              <w:t>Private Commercial Bank</w:t>
            </w:r>
          </w:p>
        </w:tc>
        <w:tc>
          <w:tcPr>
            <w:tcW w:w="0" w:type="auto"/>
            <w:hideMark/>
          </w:tcPr>
          <w:p w14:paraId="3D90D60C"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320</w:t>
            </w:r>
          </w:p>
        </w:tc>
        <w:tc>
          <w:tcPr>
            <w:tcW w:w="0" w:type="auto"/>
            <w:hideMark/>
          </w:tcPr>
          <w:p w14:paraId="7870518A"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64%</w:t>
            </w:r>
          </w:p>
        </w:tc>
      </w:tr>
      <w:tr w:rsidR="00504F65" w:rsidRPr="00B265FC" w14:paraId="0C7D68B9"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5E9CE137"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Government Commercial Bank</w:t>
            </w:r>
          </w:p>
        </w:tc>
        <w:tc>
          <w:tcPr>
            <w:tcW w:w="0" w:type="auto"/>
            <w:hideMark/>
          </w:tcPr>
          <w:p w14:paraId="4378E5FA"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80</w:t>
            </w:r>
          </w:p>
        </w:tc>
        <w:tc>
          <w:tcPr>
            <w:tcW w:w="0" w:type="auto"/>
            <w:hideMark/>
          </w:tcPr>
          <w:p w14:paraId="101B9059"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16%</w:t>
            </w:r>
          </w:p>
        </w:tc>
      </w:tr>
      <w:tr w:rsidR="00504F65" w:rsidRPr="00B265FC" w14:paraId="72345432"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42273223"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Specialized Bank</w:t>
            </w:r>
          </w:p>
        </w:tc>
        <w:tc>
          <w:tcPr>
            <w:tcW w:w="0" w:type="auto"/>
            <w:hideMark/>
          </w:tcPr>
          <w:p w14:paraId="74BB33A4"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80</w:t>
            </w:r>
          </w:p>
        </w:tc>
        <w:tc>
          <w:tcPr>
            <w:tcW w:w="0" w:type="auto"/>
            <w:hideMark/>
          </w:tcPr>
          <w:p w14:paraId="4CB90CFE"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16%</w:t>
            </w:r>
          </w:p>
        </w:tc>
      </w:tr>
    </w:tbl>
    <w:p w14:paraId="5FC5ECAF" w14:textId="77777777" w:rsidR="00EE69A8" w:rsidRPr="00B265FC" w:rsidRDefault="00EE69A8" w:rsidP="00DC3FD6">
      <w:pPr>
        <w:autoSpaceDE w:val="0"/>
        <w:autoSpaceDN w:val="0"/>
        <w:adjustRightInd w:val="0"/>
        <w:jc w:val="both"/>
        <w:rPr>
          <w:rFonts w:ascii="Times New Roman" w:hAnsi="Times New Roman" w:cs="Times New Roman"/>
          <w:color w:val="000000" w:themeColor="text1"/>
        </w:rPr>
      </w:pPr>
    </w:p>
    <w:p w14:paraId="74FBC63C" w14:textId="13FE9617" w:rsidR="00B64049" w:rsidRPr="00B265FC" w:rsidRDefault="00E46D8A"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Table 4 shows the distribution of respondents based on the profile of various banks. Most respondents were from Private Commercial Banks (64 percent), highlighting the dominance of this sector in the sample. Fourteen percent of respondents came from Government Commercial Banks and Specialized Banks. This distribution indicates a strong representation of Private Commercial Banks in the study, suggesting that the results are more likely to reflect common practices and perceptions within this segment of the banking industry in Bangladesh. The fairly balanced mix between Government and Specialized Banks demonstrates diverse viewpoints, offering a clear view of CSR activities across different types of banking organizations.</w:t>
      </w:r>
    </w:p>
    <w:p w14:paraId="4D69797E" w14:textId="77777777" w:rsidR="00021EB2" w:rsidRPr="00B265FC" w:rsidRDefault="00021EB2" w:rsidP="00DC3FD6">
      <w:pPr>
        <w:autoSpaceDE w:val="0"/>
        <w:autoSpaceDN w:val="0"/>
        <w:adjustRightInd w:val="0"/>
        <w:jc w:val="both"/>
        <w:rPr>
          <w:rFonts w:ascii="Times New Roman" w:hAnsi="Times New Roman" w:cs="Times New Roman"/>
          <w:b/>
          <w:bCs/>
          <w:color w:val="000000" w:themeColor="text1"/>
        </w:rPr>
      </w:pPr>
    </w:p>
    <w:p w14:paraId="4538D3F3" w14:textId="77777777" w:rsidR="00323FCB" w:rsidRPr="00B265FC" w:rsidRDefault="00323FCB" w:rsidP="00DC3FD6">
      <w:pPr>
        <w:pStyle w:val="NormalWeb"/>
        <w:spacing w:before="0" w:beforeAutospacing="0" w:after="0" w:afterAutospacing="0"/>
        <w:rPr>
          <w:b/>
          <w:bCs/>
          <w:color w:val="000000" w:themeColor="text1"/>
        </w:rPr>
      </w:pPr>
      <w:r w:rsidRPr="00B265FC">
        <w:rPr>
          <w:b/>
          <w:bCs/>
          <w:color w:val="000000" w:themeColor="text1"/>
        </w:rPr>
        <w:t>4.2 Perceptions of CSR</w:t>
      </w:r>
    </w:p>
    <w:p w14:paraId="3027DD8E" w14:textId="130E9006" w:rsidR="00323FCB" w:rsidRDefault="00E46D8A" w:rsidP="00DC3FD6">
      <w:pPr>
        <w:pStyle w:val="NormalWeb"/>
        <w:spacing w:before="0" w:beforeAutospacing="0" w:after="0" w:afterAutospacing="0"/>
        <w:rPr>
          <w:color w:val="000000" w:themeColor="text1"/>
        </w:rPr>
      </w:pPr>
      <w:r>
        <w:rPr>
          <w:color w:val="000000" w:themeColor="text1"/>
        </w:rPr>
        <w:t>This section examines how top and executive managers in Bangladesh's banking industry view various CSR issues in the country. It explores their awareness and attitudes toward CSR and presents the results based on their responses to specific questions asked of the participants.</w:t>
      </w:r>
    </w:p>
    <w:p w14:paraId="6B7E3C5F" w14:textId="77777777" w:rsidR="0068676D" w:rsidRPr="00B265FC" w:rsidRDefault="0068676D" w:rsidP="00DC3FD6">
      <w:pPr>
        <w:pStyle w:val="NormalWeb"/>
        <w:spacing w:before="0" w:beforeAutospacing="0" w:after="0" w:afterAutospacing="0"/>
        <w:rPr>
          <w:color w:val="000000" w:themeColor="text1"/>
        </w:rPr>
      </w:pPr>
    </w:p>
    <w:p w14:paraId="046B66FB" w14:textId="77777777" w:rsidR="00323FCB" w:rsidRPr="00B265FC" w:rsidRDefault="00323FCB" w:rsidP="00DC3FD6">
      <w:pPr>
        <w:pStyle w:val="NormalWeb"/>
        <w:spacing w:before="0" w:beforeAutospacing="0" w:after="0" w:afterAutospacing="0"/>
        <w:rPr>
          <w:b/>
          <w:bCs/>
          <w:color w:val="000000" w:themeColor="text1"/>
        </w:rPr>
      </w:pPr>
      <w:r w:rsidRPr="00B265FC">
        <w:rPr>
          <w:b/>
          <w:bCs/>
          <w:color w:val="000000" w:themeColor="text1"/>
        </w:rPr>
        <w:t>4.2.1 Awareness of the Managers to CSR.</w:t>
      </w:r>
    </w:p>
    <w:p w14:paraId="2D570061" w14:textId="5F7F621D" w:rsidR="00EE69A8" w:rsidRDefault="00E46D8A" w:rsidP="00DC3FD6">
      <w:pPr>
        <w:pStyle w:val="NormalWeb"/>
        <w:spacing w:before="0" w:beforeAutospacing="0" w:after="0" w:afterAutospacing="0"/>
        <w:rPr>
          <w:color w:val="000000" w:themeColor="text1"/>
        </w:rPr>
      </w:pPr>
      <w:r>
        <w:rPr>
          <w:color w:val="000000" w:themeColor="text1"/>
        </w:rPr>
        <w:t>Table</w:t>
      </w:r>
      <w:r w:rsidR="00E201A2">
        <w:rPr>
          <w:color w:val="000000" w:themeColor="text1"/>
        </w:rPr>
        <w:t xml:space="preserve"> </w:t>
      </w:r>
      <w:r>
        <w:rPr>
          <w:color w:val="000000" w:themeColor="text1"/>
        </w:rPr>
        <w:t>5 displays respondents' awareness of CSR policies and their views on the future of CSR in their companies.</w:t>
      </w:r>
    </w:p>
    <w:p w14:paraId="5AD70C3B" w14:textId="77777777" w:rsidR="0068676D" w:rsidRPr="00B265FC" w:rsidRDefault="0068676D" w:rsidP="00DC3FD6">
      <w:pPr>
        <w:pStyle w:val="NormalWeb"/>
        <w:spacing w:before="0" w:beforeAutospacing="0" w:after="0" w:afterAutospacing="0"/>
        <w:rPr>
          <w:color w:val="000000" w:themeColor="text1"/>
        </w:rPr>
      </w:pPr>
    </w:p>
    <w:p w14:paraId="67D87FB2" w14:textId="24F8AFF5" w:rsidR="00FB29E4" w:rsidRPr="00B265FC" w:rsidRDefault="00734397"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5: Managers' Awareness </w:t>
      </w:r>
      <w:r w:rsidR="00E46D8A" w:rsidRPr="00B265FC">
        <w:rPr>
          <w:rFonts w:ascii="Times New Roman" w:hAnsi="Times New Roman" w:cs="Times New Roman"/>
          <w:color w:val="000000" w:themeColor="text1"/>
        </w:rPr>
        <w:t>towards</w:t>
      </w:r>
      <w:r w:rsidRPr="00B265FC">
        <w:rPr>
          <w:rFonts w:ascii="Times New Roman" w:hAnsi="Times New Roman" w:cs="Times New Roman"/>
          <w:color w:val="000000" w:themeColor="text1"/>
        </w:rPr>
        <w:t xml:space="preserve"> CSR</w:t>
      </w:r>
    </w:p>
    <w:tbl>
      <w:tblPr>
        <w:tblStyle w:val="PlainTable1"/>
        <w:tblW w:w="0" w:type="auto"/>
        <w:tblLook w:val="04A0" w:firstRow="1" w:lastRow="0" w:firstColumn="1" w:lastColumn="0" w:noHBand="0" w:noVBand="1"/>
      </w:tblPr>
      <w:tblGrid>
        <w:gridCol w:w="4543"/>
        <w:gridCol w:w="2494"/>
        <w:gridCol w:w="1310"/>
        <w:gridCol w:w="1003"/>
      </w:tblGrid>
      <w:tr w:rsidR="00FB29E4" w:rsidRPr="00B265FC" w14:paraId="0464951F" w14:textId="77777777" w:rsidTr="00FB2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A7B723" w14:textId="77777777" w:rsidR="00FB29E4" w:rsidRPr="00B265FC" w:rsidRDefault="00FB29E4" w:rsidP="00DC3FD6">
            <w:pPr>
              <w:jc w:val="center"/>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Statement</w:t>
            </w:r>
          </w:p>
        </w:tc>
        <w:tc>
          <w:tcPr>
            <w:tcW w:w="0" w:type="auto"/>
            <w:hideMark/>
          </w:tcPr>
          <w:p w14:paraId="7829B3FF"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Alternative Answer</w:t>
            </w:r>
          </w:p>
        </w:tc>
        <w:tc>
          <w:tcPr>
            <w:tcW w:w="0" w:type="auto"/>
            <w:hideMark/>
          </w:tcPr>
          <w:p w14:paraId="72EB2842"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Frequency</w:t>
            </w:r>
          </w:p>
        </w:tc>
        <w:tc>
          <w:tcPr>
            <w:tcW w:w="0" w:type="auto"/>
            <w:hideMark/>
          </w:tcPr>
          <w:p w14:paraId="42745819"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Percent</w:t>
            </w:r>
          </w:p>
        </w:tc>
      </w:tr>
      <w:tr w:rsidR="00FB29E4" w:rsidRPr="00B265FC" w14:paraId="0BAA1241"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B9782B" w14:textId="6C2A3D26" w:rsidR="00FB29E4" w:rsidRPr="00B265FC" w:rsidRDefault="00FB29E4" w:rsidP="00E46D8A">
            <w:pPr>
              <w:jc w:val="both"/>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b w:val="0"/>
                <w:bCs w:val="0"/>
                <w:kern w:val="0"/>
                <w:lang w:eastAsia="en-GB" w:bidi="bn-IN"/>
                <w14:ligatures w14:val="none"/>
              </w:rPr>
              <w:t xml:space="preserve">1. </w:t>
            </w:r>
            <w:r w:rsidR="00E46D8A">
              <w:rPr>
                <w:rFonts w:ascii="Times New Roman" w:eastAsia="Times New Roman" w:hAnsi="Times New Roman" w:cs="Times New Roman"/>
                <w:b w:val="0"/>
                <w:bCs w:val="0"/>
                <w:kern w:val="0"/>
                <w:lang w:eastAsia="en-GB" w:bidi="bn-IN"/>
                <w14:ligatures w14:val="none"/>
              </w:rPr>
              <w:t>Does your organization have policies or guidelines regarding corporate social responsibility?</w:t>
            </w:r>
          </w:p>
        </w:tc>
        <w:tc>
          <w:tcPr>
            <w:tcW w:w="0" w:type="auto"/>
            <w:hideMark/>
          </w:tcPr>
          <w:p w14:paraId="6343BC0C"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Yes</w:t>
            </w:r>
          </w:p>
        </w:tc>
        <w:tc>
          <w:tcPr>
            <w:tcW w:w="0" w:type="auto"/>
            <w:hideMark/>
          </w:tcPr>
          <w:p w14:paraId="3891FB91"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450</w:t>
            </w:r>
          </w:p>
        </w:tc>
        <w:tc>
          <w:tcPr>
            <w:tcW w:w="0" w:type="auto"/>
            <w:hideMark/>
          </w:tcPr>
          <w:p w14:paraId="536CB008"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90%</w:t>
            </w:r>
          </w:p>
        </w:tc>
      </w:tr>
      <w:tr w:rsidR="00FB29E4" w:rsidRPr="00B265FC" w14:paraId="72D117D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168AF7F2"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6C56B875"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No</w:t>
            </w:r>
          </w:p>
        </w:tc>
        <w:tc>
          <w:tcPr>
            <w:tcW w:w="0" w:type="auto"/>
            <w:hideMark/>
          </w:tcPr>
          <w:p w14:paraId="55EF4D86"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c>
          <w:tcPr>
            <w:tcW w:w="0" w:type="auto"/>
            <w:hideMark/>
          </w:tcPr>
          <w:p w14:paraId="587DF29B"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r>
      <w:tr w:rsidR="00FB29E4" w:rsidRPr="00B265FC" w14:paraId="0B9F1B4D"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8CBD1E"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64400748"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Not sure</w:t>
            </w:r>
          </w:p>
        </w:tc>
        <w:tc>
          <w:tcPr>
            <w:tcW w:w="0" w:type="auto"/>
            <w:hideMark/>
          </w:tcPr>
          <w:p w14:paraId="076437C4"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w:t>
            </w:r>
          </w:p>
        </w:tc>
        <w:tc>
          <w:tcPr>
            <w:tcW w:w="0" w:type="auto"/>
            <w:hideMark/>
          </w:tcPr>
          <w:p w14:paraId="2ABC0F2E"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w:t>
            </w:r>
          </w:p>
        </w:tc>
      </w:tr>
      <w:tr w:rsidR="00FB29E4" w:rsidRPr="00B265FC" w14:paraId="0452C155"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1E7064D"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46E9B40E"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Total</w:t>
            </w:r>
          </w:p>
        </w:tc>
        <w:tc>
          <w:tcPr>
            <w:tcW w:w="0" w:type="auto"/>
            <w:hideMark/>
          </w:tcPr>
          <w:p w14:paraId="0EAD4F23"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500</w:t>
            </w:r>
          </w:p>
        </w:tc>
        <w:tc>
          <w:tcPr>
            <w:tcW w:w="0" w:type="auto"/>
            <w:hideMark/>
          </w:tcPr>
          <w:p w14:paraId="29C1A139"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100%</w:t>
            </w:r>
          </w:p>
        </w:tc>
      </w:tr>
      <w:tr w:rsidR="00FB29E4" w:rsidRPr="00B265FC" w14:paraId="67639BBC"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F8123" w14:textId="77777777" w:rsidR="00FB29E4" w:rsidRPr="00E46D8A" w:rsidRDefault="00FB29E4" w:rsidP="00DC3FD6">
            <w:pPr>
              <w:jc w:val="both"/>
              <w:rPr>
                <w:rFonts w:ascii="Times New Roman" w:eastAsia="Times New Roman" w:hAnsi="Times New Roman" w:cs="Times New Roman"/>
                <w:b w:val="0"/>
                <w:kern w:val="0"/>
                <w:lang w:eastAsia="en-GB" w:bidi="bn-IN"/>
                <w14:ligatures w14:val="none"/>
              </w:rPr>
            </w:pPr>
            <w:r w:rsidRPr="00E46D8A">
              <w:rPr>
                <w:rFonts w:ascii="Times New Roman" w:eastAsia="Times New Roman" w:hAnsi="Times New Roman" w:cs="Times New Roman"/>
                <w:b w:val="0"/>
                <w:kern w:val="0"/>
                <w:lang w:eastAsia="en-GB" w:bidi="bn-IN"/>
                <w14:ligatures w14:val="none"/>
              </w:rPr>
              <w:t>2. How do you view the role of corporate social responsibility in shaping the company's policies in the near future?</w:t>
            </w:r>
          </w:p>
        </w:tc>
        <w:tc>
          <w:tcPr>
            <w:tcW w:w="0" w:type="auto"/>
            <w:hideMark/>
          </w:tcPr>
          <w:p w14:paraId="349A22D0"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become more significant to the company</w:t>
            </w:r>
          </w:p>
        </w:tc>
        <w:tc>
          <w:tcPr>
            <w:tcW w:w="0" w:type="auto"/>
            <w:hideMark/>
          </w:tcPr>
          <w:p w14:paraId="18364C39"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420</w:t>
            </w:r>
          </w:p>
        </w:tc>
        <w:tc>
          <w:tcPr>
            <w:tcW w:w="0" w:type="auto"/>
            <w:hideMark/>
          </w:tcPr>
          <w:p w14:paraId="7616E532"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84%</w:t>
            </w:r>
          </w:p>
        </w:tc>
      </w:tr>
      <w:tr w:rsidR="00FB29E4" w:rsidRPr="00B265FC" w14:paraId="474D94C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35A5CC7"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6CA62431"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remain as important as it is now</w:t>
            </w:r>
          </w:p>
        </w:tc>
        <w:tc>
          <w:tcPr>
            <w:tcW w:w="0" w:type="auto"/>
            <w:hideMark/>
          </w:tcPr>
          <w:p w14:paraId="3CC76D34"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80</w:t>
            </w:r>
          </w:p>
        </w:tc>
        <w:tc>
          <w:tcPr>
            <w:tcW w:w="0" w:type="auto"/>
            <w:hideMark/>
          </w:tcPr>
          <w:p w14:paraId="49B5320A"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16%</w:t>
            </w:r>
          </w:p>
        </w:tc>
      </w:tr>
      <w:tr w:rsidR="00FB29E4" w:rsidRPr="00B265FC" w14:paraId="362FF2E0"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18CC2"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0191A8A0"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decrease in importance for the company</w:t>
            </w:r>
          </w:p>
        </w:tc>
        <w:tc>
          <w:tcPr>
            <w:tcW w:w="0" w:type="auto"/>
            <w:hideMark/>
          </w:tcPr>
          <w:p w14:paraId="4BFEB3CD"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c>
          <w:tcPr>
            <w:tcW w:w="0" w:type="auto"/>
            <w:hideMark/>
          </w:tcPr>
          <w:p w14:paraId="0544A9BA"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r>
      <w:tr w:rsidR="00FB29E4" w:rsidRPr="00B265FC" w14:paraId="62855FB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68855EF4"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5F989FD7"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Total</w:t>
            </w:r>
          </w:p>
        </w:tc>
        <w:tc>
          <w:tcPr>
            <w:tcW w:w="0" w:type="auto"/>
            <w:hideMark/>
          </w:tcPr>
          <w:p w14:paraId="7D38D5D7"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500</w:t>
            </w:r>
          </w:p>
        </w:tc>
        <w:tc>
          <w:tcPr>
            <w:tcW w:w="0" w:type="auto"/>
            <w:hideMark/>
          </w:tcPr>
          <w:p w14:paraId="0870980A"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100%</w:t>
            </w:r>
          </w:p>
        </w:tc>
      </w:tr>
    </w:tbl>
    <w:p w14:paraId="541E8053" w14:textId="77777777" w:rsidR="00EE69A8" w:rsidRPr="00B265FC" w:rsidRDefault="00EE69A8" w:rsidP="00DC3FD6">
      <w:pPr>
        <w:jc w:val="both"/>
        <w:rPr>
          <w:rFonts w:ascii="Times New Roman" w:hAnsi="Times New Roman" w:cs="Times New Roman"/>
          <w:color w:val="000000" w:themeColor="text1"/>
        </w:rPr>
      </w:pPr>
    </w:p>
    <w:p w14:paraId="2E7D6475" w14:textId="088A2C93" w:rsidR="00323FCB" w:rsidRPr="00B265FC" w:rsidRDefault="00323FCB" w:rsidP="00DC3FD6">
      <w:pPr>
        <w:jc w:val="both"/>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5 outcomes show that a significant proportion of the respondents (90 percent) affirmed that their firms have CSR policy. No respondents stated that their companies do not have such a policy, 10 percent stated that they did not know whether their company had CSR or not. This strong rate of positive answers implies that </w:t>
      </w:r>
      <w:r w:rsidR="00A8001C">
        <w:rPr>
          <w:rFonts w:ascii="Times New Roman" w:hAnsi="Times New Roman" w:cs="Times New Roman"/>
          <w:color w:val="000000" w:themeColor="text1"/>
        </w:rPr>
        <w:t xml:space="preserve">CSR policies </w:t>
      </w:r>
      <w:r w:rsidRPr="00B265FC">
        <w:rPr>
          <w:rFonts w:ascii="Times New Roman" w:hAnsi="Times New Roman" w:cs="Times New Roman"/>
          <w:color w:val="000000" w:themeColor="text1"/>
        </w:rPr>
        <w:t>are very popular</w:t>
      </w:r>
      <w:r w:rsidR="00A8001C">
        <w:rPr>
          <w:rFonts w:ascii="Times New Roman" w:hAnsi="Times New Roman" w:cs="Times New Roman"/>
          <w:color w:val="000000" w:themeColor="text1"/>
        </w:rPr>
        <w:t>. However, the</w:t>
      </w:r>
      <w:r w:rsidRPr="00B265FC">
        <w:rPr>
          <w:rFonts w:ascii="Times New Roman" w:hAnsi="Times New Roman" w:cs="Times New Roman"/>
          <w:color w:val="000000" w:themeColor="text1"/>
        </w:rPr>
        <w:t xml:space="preserve"> 10% uncertainty has shown that the process of CSR involvement is still in its early </w:t>
      </w:r>
      <w:r w:rsidR="00A8001C">
        <w:rPr>
          <w:rFonts w:ascii="Times New Roman" w:hAnsi="Times New Roman" w:cs="Times New Roman"/>
          <w:color w:val="000000" w:themeColor="text1"/>
        </w:rPr>
        <w:t>stages</w:t>
      </w:r>
      <w:r w:rsidRPr="00B265FC">
        <w:rPr>
          <w:rFonts w:ascii="Times New Roman" w:hAnsi="Times New Roman" w:cs="Times New Roman"/>
          <w:color w:val="000000" w:themeColor="text1"/>
        </w:rPr>
        <w:t xml:space="preserve"> in certain institutions. </w:t>
      </w:r>
      <w:r w:rsidR="00A8001C">
        <w:rPr>
          <w:rFonts w:ascii="Times New Roman" w:hAnsi="Times New Roman" w:cs="Times New Roman"/>
          <w:color w:val="000000" w:themeColor="text1"/>
        </w:rPr>
        <w:t>Regarding</w:t>
      </w:r>
      <w:r w:rsidRPr="00B265FC">
        <w:rPr>
          <w:rFonts w:ascii="Times New Roman" w:hAnsi="Times New Roman" w:cs="Times New Roman"/>
          <w:color w:val="000000" w:themeColor="text1"/>
        </w:rPr>
        <w:t xml:space="preserve"> </w:t>
      </w:r>
      <w:r w:rsidR="00A8001C">
        <w:rPr>
          <w:rFonts w:ascii="Times New Roman" w:hAnsi="Times New Roman" w:cs="Times New Roman"/>
          <w:color w:val="000000" w:themeColor="text1"/>
        </w:rPr>
        <w:t xml:space="preserve">the </w:t>
      </w:r>
      <w:r w:rsidRPr="00B265FC">
        <w:rPr>
          <w:rFonts w:ascii="Times New Roman" w:hAnsi="Times New Roman" w:cs="Times New Roman"/>
          <w:color w:val="000000" w:themeColor="text1"/>
        </w:rPr>
        <w:t xml:space="preserve">perceived significance of CSR, 84 percent of </w:t>
      </w:r>
      <w:r w:rsidR="00A8001C">
        <w:rPr>
          <w:rFonts w:ascii="Times New Roman" w:hAnsi="Times New Roman" w:cs="Times New Roman"/>
          <w:color w:val="000000" w:themeColor="text1"/>
        </w:rPr>
        <w:t xml:space="preserve">the respondents believe that the role </w:t>
      </w:r>
      <w:r w:rsidR="00A8001C">
        <w:rPr>
          <w:rFonts w:ascii="Times New Roman" w:hAnsi="Times New Roman" w:cs="Times New Roman"/>
          <w:color w:val="000000" w:themeColor="text1"/>
        </w:rPr>
        <w:lastRenderedPageBreak/>
        <w:t>of CSR will become more important to their businesses in the future. Meanwhile, 16 percent think that its significance will not decrease, and no one expects its importance to decline. The results show a positive trend in CSR awareness and commitment within the banking industry, indicating increased understanding of CSR's importance and impact on Bangladesh's business policies.</w:t>
      </w:r>
    </w:p>
    <w:p w14:paraId="6086C87F" w14:textId="77777777" w:rsidR="00323FCB" w:rsidRPr="00B265FC" w:rsidRDefault="00323FCB" w:rsidP="00DC3FD6">
      <w:pPr>
        <w:jc w:val="both"/>
        <w:rPr>
          <w:rFonts w:ascii="Times New Roman" w:hAnsi="Times New Roman" w:cs="Times New Roman"/>
          <w:color w:val="000000" w:themeColor="text1"/>
        </w:rPr>
      </w:pPr>
    </w:p>
    <w:p w14:paraId="2DC6AC72" w14:textId="5C5C9BA7" w:rsidR="00323FCB" w:rsidRPr="00B265FC" w:rsidRDefault="00323FCB" w:rsidP="00DC3FD6">
      <w:pPr>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4.2.2 The perception of managers with </w:t>
      </w:r>
      <w:r w:rsidR="00A8001C">
        <w:rPr>
          <w:rFonts w:ascii="Times New Roman" w:hAnsi="Times New Roman" w:cs="Times New Roman"/>
          <w:b/>
          <w:bCs/>
          <w:color w:val="000000" w:themeColor="text1"/>
        </w:rPr>
        <w:t>regard</w:t>
      </w:r>
      <w:r w:rsidRPr="00B265FC">
        <w:rPr>
          <w:rFonts w:ascii="Times New Roman" w:hAnsi="Times New Roman" w:cs="Times New Roman"/>
          <w:b/>
          <w:bCs/>
          <w:color w:val="000000" w:themeColor="text1"/>
        </w:rPr>
        <w:t xml:space="preserve"> to CSR.</w:t>
      </w:r>
    </w:p>
    <w:p w14:paraId="35075AC2" w14:textId="2C40864E" w:rsidR="00323FCB" w:rsidRPr="00B265FC" w:rsidRDefault="00A8001C" w:rsidP="00DC3FD6">
      <w:pPr>
        <w:jc w:val="both"/>
        <w:rPr>
          <w:rFonts w:ascii="Times New Roman" w:hAnsi="Times New Roman" w:cs="Times New Roman"/>
          <w:color w:val="000000" w:themeColor="text1"/>
        </w:rPr>
      </w:pPr>
      <w:r>
        <w:rPr>
          <w:rFonts w:ascii="Times New Roman" w:hAnsi="Times New Roman" w:cs="Times New Roman"/>
          <w:color w:val="000000" w:themeColor="text1"/>
        </w:rPr>
        <w:t>This section discusses the views and opinions of senior and executive managers on various CSR issues. The managers' perceptions were assessed using sixteen statements, with ratings based on a five-point Likert scale ranging from strongly disagree to strongly agree. This summary presents these perceptions, reflecting the managers' opinions regarding CSR in Bangladeshi banks, as shown in Table 6.</w:t>
      </w:r>
    </w:p>
    <w:p w14:paraId="65298269" w14:textId="77777777" w:rsidR="00323FCB" w:rsidRPr="00B265FC" w:rsidRDefault="00323FCB" w:rsidP="00DC3FD6">
      <w:pPr>
        <w:jc w:val="center"/>
        <w:rPr>
          <w:rFonts w:ascii="Times New Roman" w:hAnsi="Times New Roman" w:cs="Times New Roman"/>
          <w:color w:val="000000" w:themeColor="text1"/>
        </w:rPr>
      </w:pPr>
    </w:p>
    <w:p w14:paraId="79D8F425" w14:textId="701FC9E6" w:rsidR="00734397" w:rsidRPr="00B265FC" w:rsidRDefault="00734397"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6: Managers' Perceptions </w:t>
      </w:r>
      <w:r w:rsidR="00A8001C" w:rsidRPr="00B265FC">
        <w:rPr>
          <w:rFonts w:ascii="Times New Roman" w:hAnsi="Times New Roman" w:cs="Times New Roman"/>
          <w:color w:val="000000" w:themeColor="text1"/>
        </w:rPr>
        <w:t>towards</w:t>
      </w:r>
      <w:r w:rsidRPr="00B265FC">
        <w:rPr>
          <w:rFonts w:ascii="Times New Roman" w:hAnsi="Times New Roman" w:cs="Times New Roman"/>
          <w:color w:val="000000" w:themeColor="text1"/>
        </w:rPr>
        <w:t xml:space="preserve"> CSR</w:t>
      </w:r>
    </w:p>
    <w:tbl>
      <w:tblPr>
        <w:tblStyle w:val="PlainTable1"/>
        <w:tblW w:w="0" w:type="auto"/>
        <w:tblLook w:val="04A0" w:firstRow="1" w:lastRow="0" w:firstColumn="1" w:lastColumn="0" w:noHBand="0" w:noVBand="1"/>
      </w:tblPr>
      <w:tblGrid>
        <w:gridCol w:w="4296"/>
        <w:gridCol w:w="1190"/>
        <w:gridCol w:w="1376"/>
        <w:gridCol w:w="923"/>
        <w:gridCol w:w="763"/>
        <w:gridCol w:w="802"/>
      </w:tblGrid>
      <w:tr w:rsidR="00FB29E4" w:rsidRPr="00A8001C" w14:paraId="7D6C6F6B" w14:textId="77777777" w:rsidTr="00FB2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B2681" w14:textId="77777777" w:rsidR="00FB29E4" w:rsidRPr="00A8001C" w:rsidRDefault="00FB29E4" w:rsidP="00DC3FD6">
            <w:pPr>
              <w:jc w:val="center"/>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Statement</w:t>
            </w:r>
          </w:p>
        </w:tc>
        <w:tc>
          <w:tcPr>
            <w:tcW w:w="0" w:type="auto"/>
            <w:hideMark/>
          </w:tcPr>
          <w:p w14:paraId="13A0EE78"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Disagree (%)</w:t>
            </w:r>
          </w:p>
        </w:tc>
        <w:tc>
          <w:tcPr>
            <w:tcW w:w="0" w:type="auto"/>
            <w:hideMark/>
          </w:tcPr>
          <w:p w14:paraId="1FE92FA3"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Undecided (%)</w:t>
            </w:r>
          </w:p>
        </w:tc>
        <w:tc>
          <w:tcPr>
            <w:tcW w:w="0" w:type="auto"/>
            <w:hideMark/>
          </w:tcPr>
          <w:p w14:paraId="4FD542FA"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Agree (%)</w:t>
            </w:r>
          </w:p>
        </w:tc>
        <w:tc>
          <w:tcPr>
            <w:tcW w:w="0" w:type="auto"/>
            <w:hideMark/>
          </w:tcPr>
          <w:p w14:paraId="43774497"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Mean</w:t>
            </w:r>
          </w:p>
        </w:tc>
        <w:tc>
          <w:tcPr>
            <w:tcW w:w="0" w:type="auto"/>
            <w:hideMark/>
          </w:tcPr>
          <w:p w14:paraId="518F318B"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Std. Dev.</w:t>
            </w:r>
          </w:p>
        </w:tc>
      </w:tr>
      <w:tr w:rsidR="00FB29E4" w:rsidRPr="00A8001C" w14:paraId="388FB198"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B587A" w14:textId="77777777" w:rsidR="00FB29E4" w:rsidRPr="00A8001C" w:rsidRDefault="00FB29E4" w:rsidP="00DC3FD6">
            <w:pPr>
              <w:jc w:val="both"/>
              <w:rPr>
                <w:rFonts w:ascii="Times New Roman" w:eastAsia="Times New Roman" w:hAnsi="Times New Roman" w:cs="Times New Roman"/>
                <w:b w:val="0"/>
                <w:bCs w:val="0"/>
                <w:kern w:val="0"/>
                <w:lang w:eastAsia="en-GB" w:bidi="bn-IN"/>
                <w14:ligatures w14:val="none"/>
              </w:rPr>
            </w:pPr>
            <w:r w:rsidRPr="00A8001C">
              <w:rPr>
                <w:rFonts w:ascii="Times New Roman" w:eastAsia="Times New Roman" w:hAnsi="Times New Roman" w:cs="Times New Roman"/>
                <w:b w:val="0"/>
                <w:bCs w:val="0"/>
                <w:kern w:val="0"/>
                <w:lang w:eastAsia="en-GB" w:bidi="bn-IN"/>
                <w14:ligatures w14:val="none"/>
              </w:rPr>
              <w:t>Adopting social responsibility programs can help businesses avoid further regulations</w:t>
            </w:r>
          </w:p>
        </w:tc>
        <w:tc>
          <w:tcPr>
            <w:tcW w:w="0" w:type="auto"/>
            <w:hideMark/>
          </w:tcPr>
          <w:p w14:paraId="1C7E1CDC"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2D25E3EA"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21A5402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5B9A0DB3"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2.32</w:t>
            </w:r>
          </w:p>
        </w:tc>
        <w:tc>
          <w:tcPr>
            <w:tcW w:w="0" w:type="auto"/>
            <w:hideMark/>
          </w:tcPr>
          <w:p w14:paraId="400C7274"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1.21</w:t>
            </w:r>
          </w:p>
        </w:tc>
      </w:tr>
      <w:tr w:rsidR="00FB29E4" w:rsidRPr="00A8001C" w14:paraId="74EEF313"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B9CEBCE"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Increased business involvement in CSR may attract more investment opportunities</w:t>
            </w:r>
          </w:p>
        </w:tc>
        <w:tc>
          <w:tcPr>
            <w:tcW w:w="0" w:type="auto"/>
            <w:hideMark/>
          </w:tcPr>
          <w:p w14:paraId="4E0F4B0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w:t>
            </w:r>
          </w:p>
        </w:tc>
        <w:tc>
          <w:tcPr>
            <w:tcW w:w="0" w:type="auto"/>
            <w:hideMark/>
          </w:tcPr>
          <w:p w14:paraId="3BBD20E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w:t>
            </w:r>
          </w:p>
        </w:tc>
        <w:tc>
          <w:tcPr>
            <w:tcW w:w="0" w:type="auto"/>
            <w:hideMark/>
          </w:tcPr>
          <w:p w14:paraId="61A533C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84</w:t>
            </w:r>
          </w:p>
        </w:tc>
        <w:tc>
          <w:tcPr>
            <w:tcW w:w="0" w:type="auto"/>
            <w:hideMark/>
          </w:tcPr>
          <w:p w14:paraId="19C174E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4.14</w:t>
            </w:r>
          </w:p>
        </w:tc>
        <w:tc>
          <w:tcPr>
            <w:tcW w:w="0" w:type="auto"/>
            <w:hideMark/>
          </w:tcPr>
          <w:p w14:paraId="2DAD85B3"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0.58</w:t>
            </w:r>
          </w:p>
        </w:tc>
      </w:tr>
      <w:tr w:rsidR="00FB29E4" w:rsidRPr="00A8001C" w14:paraId="06DDC382"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F011F2"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should recognize their role in society and address social and environmental issues</w:t>
            </w:r>
          </w:p>
        </w:tc>
        <w:tc>
          <w:tcPr>
            <w:tcW w:w="0" w:type="auto"/>
            <w:hideMark/>
          </w:tcPr>
          <w:p w14:paraId="4DED3613"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2040437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5C69919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80</w:t>
            </w:r>
          </w:p>
        </w:tc>
        <w:tc>
          <w:tcPr>
            <w:tcW w:w="0" w:type="auto"/>
            <w:hideMark/>
          </w:tcPr>
          <w:p w14:paraId="5903016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4.40</w:t>
            </w:r>
          </w:p>
        </w:tc>
        <w:tc>
          <w:tcPr>
            <w:tcW w:w="0" w:type="auto"/>
            <w:hideMark/>
          </w:tcPr>
          <w:p w14:paraId="6359CB6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0.60</w:t>
            </w:r>
          </w:p>
        </w:tc>
      </w:tr>
      <w:tr w:rsidR="00FB29E4" w:rsidRPr="00A8001C" w14:paraId="0CA33FA9"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04A1FA78"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Profit maximization and social responsibility are conflicting objectives</w:t>
            </w:r>
          </w:p>
        </w:tc>
        <w:tc>
          <w:tcPr>
            <w:tcW w:w="0" w:type="auto"/>
            <w:hideMark/>
          </w:tcPr>
          <w:p w14:paraId="55126F7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w:t>
            </w:r>
          </w:p>
        </w:tc>
        <w:tc>
          <w:tcPr>
            <w:tcW w:w="0" w:type="auto"/>
            <w:hideMark/>
          </w:tcPr>
          <w:p w14:paraId="3F4ADF9A"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36</w:t>
            </w:r>
          </w:p>
        </w:tc>
        <w:tc>
          <w:tcPr>
            <w:tcW w:w="0" w:type="auto"/>
            <w:hideMark/>
          </w:tcPr>
          <w:p w14:paraId="3670F9B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34</w:t>
            </w:r>
          </w:p>
        </w:tc>
        <w:tc>
          <w:tcPr>
            <w:tcW w:w="0" w:type="auto"/>
            <w:hideMark/>
          </w:tcPr>
          <w:p w14:paraId="2728314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3.04</w:t>
            </w:r>
          </w:p>
        </w:tc>
        <w:tc>
          <w:tcPr>
            <w:tcW w:w="0" w:type="auto"/>
            <w:hideMark/>
          </w:tcPr>
          <w:p w14:paraId="4BF838A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1.07</w:t>
            </w:r>
          </w:p>
        </w:tc>
      </w:tr>
      <w:tr w:rsidR="00FB29E4" w:rsidRPr="00A8001C" w14:paraId="4B5C0F61"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DDEB4"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Solving social issues like poverty and crime can be financially beneficial</w:t>
            </w:r>
          </w:p>
        </w:tc>
        <w:tc>
          <w:tcPr>
            <w:tcW w:w="0" w:type="auto"/>
            <w:hideMark/>
          </w:tcPr>
          <w:p w14:paraId="0DE594F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3B902E5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254E369E"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78</w:t>
            </w:r>
          </w:p>
        </w:tc>
        <w:tc>
          <w:tcPr>
            <w:tcW w:w="0" w:type="auto"/>
            <w:hideMark/>
          </w:tcPr>
          <w:p w14:paraId="449206A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4.14</w:t>
            </w:r>
          </w:p>
        </w:tc>
        <w:tc>
          <w:tcPr>
            <w:tcW w:w="0" w:type="auto"/>
            <w:hideMark/>
          </w:tcPr>
          <w:p w14:paraId="31169B99"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0.68</w:t>
            </w:r>
          </w:p>
        </w:tc>
      </w:tr>
      <w:tr w:rsidR="00FB29E4" w:rsidRPr="00A8001C" w14:paraId="65A7D97E"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25C6CB1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Voluntary regulation alone is inadequate to ensure business involvement in social activities</w:t>
            </w:r>
          </w:p>
        </w:tc>
        <w:tc>
          <w:tcPr>
            <w:tcW w:w="0" w:type="auto"/>
            <w:hideMark/>
          </w:tcPr>
          <w:p w14:paraId="566901F3"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157C98A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67F8FC2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72</w:t>
            </w:r>
          </w:p>
        </w:tc>
        <w:tc>
          <w:tcPr>
            <w:tcW w:w="0" w:type="auto"/>
            <w:hideMark/>
          </w:tcPr>
          <w:p w14:paraId="55EF75C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3.84</w:t>
            </w:r>
          </w:p>
        </w:tc>
        <w:tc>
          <w:tcPr>
            <w:tcW w:w="0" w:type="auto"/>
            <w:hideMark/>
          </w:tcPr>
          <w:p w14:paraId="5E866A4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0.88</w:t>
            </w:r>
          </w:p>
        </w:tc>
      </w:tr>
      <w:tr w:rsidR="00FB29E4" w:rsidRPr="00A8001C" w14:paraId="0D7331B6"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4F9D5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are primarily economic entities and should focus on their economic interests for social responsibility</w:t>
            </w:r>
          </w:p>
        </w:tc>
        <w:tc>
          <w:tcPr>
            <w:tcW w:w="0" w:type="auto"/>
            <w:hideMark/>
          </w:tcPr>
          <w:p w14:paraId="505452B9"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4DF6528E"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18</w:t>
            </w:r>
          </w:p>
        </w:tc>
        <w:tc>
          <w:tcPr>
            <w:tcW w:w="0" w:type="auto"/>
            <w:hideMark/>
          </w:tcPr>
          <w:p w14:paraId="7DC9F92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72</w:t>
            </w:r>
          </w:p>
        </w:tc>
        <w:tc>
          <w:tcPr>
            <w:tcW w:w="0" w:type="auto"/>
            <w:hideMark/>
          </w:tcPr>
          <w:p w14:paraId="48678E9A"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3.76</w:t>
            </w:r>
          </w:p>
        </w:tc>
        <w:tc>
          <w:tcPr>
            <w:tcW w:w="0" w:type="auto"/>
            <w:hideMark/>
          </w:tcPr>
          <w:p w14:paraId="47D6908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0.82</w:t>
            </w:r>
          </w:p>
        </w:tc>
      </w:tr>
      <w:tr w:rsidR="00FB29E4" w:rsidRPr="00A8001C" w14:paraId="70B6D776"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1746BC1B"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Corporate social programs can enhance a business’s public image</w:t>
            </w:r>
          </w:p>
        </w:tc>
        <w:tc>
          <w:tcPr>
            <w:tcW w:w="0" w:type="auto"/>
            <w:hideMark/>
          </w:tcPr>
          <w:p w14:paraId="0FAB190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31EAC98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w:t>
            </w:r>
          </w:p>
        </w:tc>
        <w:tc>
          <w:tcPr>
            <w:tcW w:w="0" w:type="auto"/>
            <w:hideMark/>
          </w:tcPr>
          <w:p w14:paraId="1742002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80</w:t>
            </w:r>
          </w:p>
        </w:tc>
        <w:tc>
          <w:tcPr>
            <w:tcW w:w="0" w:type="auto"/>
            <w:hideMark/>
          </w:tcPr>
          <w:p w14:paraId="5A0DD12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4.16</w:t>
            </w:r>
          </w:p>
        </w:tc>
        <w:tc>
          <w:tcPr>
            <w:tcW w:w="0" w:type="auto"/>
            <w:hideMark/>
          </w:tcPr>
          <w:p w14:paraId="5F1CD8D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0.70</w:t>
            </w:r>
          </w:p>
        </w:tc>
      </w:tr>
      <w:tr w:rsidR="00FB29E4" w:rsidRPr="00A8001C" w14:paraId="0BB52D6E"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4CEA4"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A business ignoring social responsibility could have a competitive edge over one that embraces it</w:t>
            </w:r>
          </w:p>
        </w:tc>
        <w:tc>
          <w:tcPr>
            <w:tcW w:w="0" w:type="auto"/>
            <w:hideMark/>
          </w:tcPr>
          <w:p w14:paraId="69283E5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47EBBA5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39585A5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0D8DD6E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3.08</w:t>
            </w:r>
          </w:p>
        </w:tc>
        <w:tc>
          <w:tcPr>
            <w:tcW w:w="0" w:type="auto"/>
            <w:hideMark/>
          </w:tcPr>
          <w:p w14:paraId="157A30F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1.11</w:t>
            </w:r>
          </w:p>
        </w:tc>
      </w:tr>
      <w:tr w:rsidR="00FB29E4" w:rsidRPr="00A8001C" w14:paraId="0107A42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409C833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It is unreasonable to expect businesses to engage in CSR when they already comply with regulations and taxes</w:t>
            </w:r>
          </w:p>
        </w:tc>
        <w:tc>
          <w:tcPr>
            <w:tcW w:w="0" w:type="auto"/>
            <w:hideMark/>
          </w:tcPr>
          <w:p w14:paraId="4F61CB69"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36</w:t>
            </w:r>
          </w:p>
        </w:tc>
        <w:tc>
          <w:tcPr>
            <w:tcW w:w="0" w:type="auto"/>
            <w:hideMark/>
          </w:tcPr>
          <w:p w14:paraId="75C5687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w:t>
            </w:r>
          </w:p>
        </w:tc>
        <w:tc>
          <w:tcPr>
            <w:tcW w:w="0" w:type="auto"/>
            <w:hideMark/>
          </w:tcPr>
          <w:p w14:paraId="3145779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44</w:t>
            </w:r>
          </w:p>
        </w:tc>
        <w:tc>
          <w:tcPr>
            <w:tcW w:w="0" w:type="auto"/>
            <w:hideMark/>
          </w:tcPr>
          <w:p w14:paraId="5109DE7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2.08</w:t>
            </w:r>
          </w:p>
        </w:tc>
        <w:tc>
          <w:tcPr>
            <w:tcW w:w="0" w:type="auto"/>
            <w:hideMark/>
          </w:tcPr>
          <w:p w14:paraId="02A7F8F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1.18</w:t>
            </w:r>
          </w:p>
        </w:tc>
      </w:tr>
      <w:tr w:rsidR="00FB29E4" w:rsidRPr="00A8001C" w14:paraId="60643BB8"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14663"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Social responsibility may be financially burdensome for smaller firms</w:t>
            </w:r>
          </w:p>
        </w:tc>
        <w:tc>
          <w:tcPr>
            <w:tcW w:w="0" w:type="auto"/>
            <w:hideMark/>
          </w:tcPr>
          <w:p w14:paraId="066602C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12844EB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w:t>
            </w:r>
          </w:p>
        </w:tc>
        <w:tc>
          <w:tcPr>
            <w:tcW w:w="0" w:type="auto"/>
            <w:hideMark/>
          </w:tcPr>
          <w:p w14:paraId="78CB8A5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38</w:t>
            </w:r>
          </w:p>
        </w:tc>
        <w:tc>
          <w:tcPr>
            <w:tcW w:w="0" w:type="auto"/>
            <w:hideMark/>
          </w:tcPr>
          <w:p w14:paraId="3387305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2.26</w:t>
            </w:r>
          </w:p>
        </w:tc>
        <w:tc>
          <w:tcPr>
            <w:tcW w:w="0" w:type="auto"/>
            <w:hideMark/>
          </w:tcPr>
          <w:p w14:paraId="64565E1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1.20</w:t>
            </w:r>
          </w:p>
        </w:tc>
      </w:tr>
      <w:tr w:rsidR="00FB29E4" w:rsidRPr="00A8001C" w14:paraId="2C25ED37"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0053F7DC"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Being socially responsible puts businesses at a competitive disadvantage</w:t>
            </w:r>
          </w:p>
        </w:tc>
        <w:tc>
          <w:tcPr>
            <w:tcW w:w="0" w:type="auto"/>
            <w:hideMark/>
          </w:tcPr>
          <w:p w14:paraId="3058699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4AD8C32B"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78C418A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62</w:t>
            </w:r>
          </w:p>
        </w:tc>
        <w:tc>
          <w:tcPr>
            <w:tcW w:w="0" w:type="auto"/>
            <w:hideMark/>
          </w:tcPr>
          <w:p w14:paraId="15F24B7C"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1.66</w:t>
            </w:r>
          </w:p>
        </w:tc>
        <w:tc>
          <w:tcPr>
            <w:tcW w:w="0" w:type="auto"/>
            <w:hideMark/>
          </w:tcPr>
          <w:p w14:paraId="0B4689E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1.09</w:t>
            </w:r>
          </w:p>
        </w:tc>
      </w:tr>
      <w:tr w:rsidR="00FB29E4" w:rsidRPr="00A8001C" w14:paraId="6AF1C93A"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0A1F96"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lastRenderedPageBreak/>
              <w:t>CSR should be the responsibility of the government and non-profit organizations, not businesses</w:t>
            </w:r>
          </w:p>
        </w:tc>
        <w:tc>
          <w:tcPr>
            <w:tcW w:w="0" w:type="auto"/>
            <w:hideMark/>
          </w:tcPr>
          <w:p w14:paraId="0D6A97B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48</w:t>
            </w:r>
          </w:p>
        </w:tc>
        <w:tc>
          <w:tcPr>
            <w:tcW w:w="0" w:type="auto"/>
            <w:hideMark/>
          </w:tcPr>
          <w:p w14:paraId="4D4AC8E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6</w:t>
            </w:r>
          </w:p>
        </w:tc>
        <w:tc>
          <w:tcPr>
            <w:tcW w:w="0" w:type="auto"/>
            <w:hideMark/>
          </w:tcPr>
          <w:p w14:paraId="490A311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2709294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2.02</w:t>
            </w:r>
          </w:p>
        </w:tc>
        <w:tc>
          <w:tcPr>
            <w:tcW w:w="0" w:type="auto"/>
            <w:hideMark/>
          </w:tcPr>
          <w:p w14:paraId="258142F0"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1.08</w:t>
            </w:r>
          </w:p>
        </w:tc>
      </w:tr>
      <w:tr w:rsidR="00FB29E4" w:rsidRPr="00A8001C" w14:paraId="674164A4"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58C1A05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Socially responsible behavior can align with the best economic interests of shareholders</w:t>
            </w:r>
          </w:p>
        </w:tc>
        <w:tc>
          <w:tcPr>
            <w:tcW w:w="0" w:type="auto"/>
            <w:hideMark/>
          </w:tcPr>
          <w:p w14:paraId="1730332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2F26E59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0243835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7312692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1.94</w:t>
            </w:r>
          </w:p>
        </w:tc>
        <w:tc>
          <w:tcPr>
            <w:tcW w:w="0" w:type="auto"/>
            <w:hideMark/>
          </w:tcPr>
          <w:p w14:paraId="245836F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1.02</w:t>
            </w:r>
          </w:p>
        </w:tc>
      </w:tr>
      <w:tr w:rsidR="00FB29E4" w:rsidRPr="00A8001C" w14:paraId="004D4C53"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BEC94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already hold too much social power and should not engage in activities that amplify it</w:t>
            </w:r>
          </w:p>
        </w:tc>
        <w:tc>
          <w:tcPr>
            <w:tcW w:w="0" w:type="auto"/>
            <w:hideMark/>
          </w:tcPr>
          <w:p w14:paraId="7C3CC9F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431CD76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w:t>
            </w:r>
          </w:p>
        </w:tc>
        <w:tc>
          <w:tcPr>
            <w:tcW w:w="0" w:type="auto"/>
            <w:hideMark/>
          </w:tcPr>
          <w:p w14:paraId="4480802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10C0598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2.14</w:t>
            </w:r>
          </w:p>
        </w:tc>
        <w:tc>
          <w:tcPr>
            <w:tcW w:w="0" w:type="auto"/>
            <w:hideMark/>
          </w:tcPr>
          <w:p w14:paraId="3E37DE0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1.07</w:t>
            </w:r>
          </w:p>
        </w:tc>
      </w:tr>
      <w:tr w:rsidR="00FB29E4" w:rsidRPr="00A8001C" w14:paraId="78E5ED09"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3075ABD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Society expects businesses to go beyond efficient service production</w:t>
            </w:r>
          </w:p>
        </w:tc>
        <w:tc>
          <w:tcPr>
            <w:tcW w:w="0" w:type="auto"/>
            <w:hideMark/>
          </w:tcPr>
          <w:p w14:paraId="2D4E774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3643BA89"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5F57F36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82</w:t>
            </w:r>
          </w:p>
        </w:tc>
        <w:tc>
          <w:tcPr>
            <w:tcW w:w="0" w:type="auto"/>
            <w:hideMark/>
          </w:tcPr>
          <w:p w14:paraId="4C20D9BB"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4.10</w:t>
            </w:r>
          </w:p>
        </w:tc>
        <w:tc>
          <w:tcPr>
            <w:tcW w:w="0" w:type="auto"/>
            <w:hideMark/>
          </w:tcPr>
          <w:p w14:paraId="234DC0B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0.61</w:t>
            </w:r>
          </w:p>
        </w:tc>
      </w:tr>
    </w:tbl>
    <w:p w14:paraId="53FF0BB7" w14:textId="77777777" w:rsidR="00EE69A8" w:rsidRPr="00B265FC" w:rsidRDefault="00EE69A8" w:rsidP="00DC3FD6">
      <w:pPr>
        <w:pStyle w:val="NormalWeb"/>
        <w:spacing w:before="0" w:beforeAutospacing="0" w:after="0" w:afterAutospacing="0"/>
        <w:jc w:val="both"/>
        <w:rPr>
          <w:color w:val="000000" w:themeColor="text1"/>
        </w:rPr>
      </w:pPr>
    </w:p>
    <w:p w14:paraId="27C36EF4" w14:textId="7F2F676D" w:rsidR="00734397" w:rsidRDefault="00E93578" w:rsidP="00DC3FD6">
      <w:pPr>
        <w:pStyle w:val="NormalWeb"/>
        <w:spacing w:before="0" w:beforeAutospacing="0" w:after="0" w:afterAutospacing="0"/>
        <w:jc w:val="both"/>
        <w:rPr>
          <w:color w:val="000000" w:themeColor="text1"/>
        </w:rPr>
      </w:pPr>
      <w:r>
        <w:rPr>
          <w:color w:val="000000" w:themeColor="text1"/>
        </w:rPr>
        <w:t>Table 6 shows different perceptions among managers about CSR. Most respondents (84%) believe that increasing CSR engagement can attract investment opportunities, showing strong support for CSR's positive impact on business. Additionally, 80% of managers agree that companies should address social and environmental issues, highlighting CSR's key role in societal involvement. However, there is notable skepticism about the link between CSR and profit maximization, with 34% of managers seeing these goals as conflicting. Furthermore, 40% disagree with the idea that ignoring CSR could save costs, indicating concerns about its financial effects. Ambiguous responses to whether CSR should be handled by governments and non-profits (48% disagree) versus businesses (46% agree) reflect ongoing debate about the role of corporations in societal welfare. Likewise, opinions about whether CSR provides a competitive edge vary, with 28% agreeing. Overall, while most managers acknowledge the growing importance and potential benefits of CSR, there is still some uncertainty and debate about its effect on business operations and competitive advantage. These mixed opinions show how the concept of CSR in the banking industry is evolving amid ongoing discussions about its role and effectiveness.</w:t>
      </w:r>
    </w:p>
    <w:p w14:paraId="22D921D2" w14:textId="77777777" w:rsidR="0068676D" w:rsidRPr="00B265FC" w:rsidRDefault="0068676D" w:rsidP="00DC3FD6">
      <w:pPr>
        <w:pStyle w:val="NormalWeb"/>
        <w:spacing w:before="0" w:beforeAutospacing="0" w:after="0" w:afterAutospacing="0"/>
        <w:jc w:val="both"/>
        <w:rPr>
          <w:color w:val="000000" w:themeColor="text1"/>
        </w:rPr>
      </w:pPr>
    </w:p>
    <w:p w14:paraId="0F8443B6" w14:textId="77777777" w:rsidR="003C6EF3" w:rsidRPr="00B265FC" w:rsidRDefault="00B411BA" w:rsidP="00DC3FD6">
      <w:pPr>
        <w:pStyle w:val="Heading3"/>
        <w:spacing w:before="0" w:beforeAutospacing="0" w:after="0" w:afterAutospacing="0"/>
        <w:rPr>
          <w:color w:val="000000" w:themeColor="text1"/>
          <w:sz w:val="24"/>
          <w:szCs w:val="24"/>
        </w:rPr>
      </w:pPr>
      <w:r w:rsidRPr="00B265FC">
        <w:rPr>
          <w:color w:val="000000" w:themeColor="text1"/>
          <w:sz w:val="24"/>
          <w:szCs w:val="24"/>
        </w:rPr>
        <w:t>4.</w:t>
      </w:r>
      <w:r w:rsidR="006312C6" w:rsidRPr="00B265FC">
        <w:rPr>
          <w:color w:val="000000" w:themeColor="text1"/>
          <w:sz w:val="24"/>
          <w:szCs w:val="24"/>
        </w:rPr>
        <w:t>3</w:t>
      </w:r>
      <w:r w:rsidRPr="00B265FC">
        <w:rPr>
          <w:color w:val="000000" w:themeColor="text1"/>
          <w:sz w:val="24"/>
          <w:szCs w:val="24"/>
        </w:rPr>
        <w:t xml:space="preserve"> </w:t>
      </w:r>
      <w:r w:rsidR="003C6EF3" w:rsidRPr="00B265FC">
        <w:rPr>
          <w:color w:val="000000" w:themeColor="text1"/>
          <w:sz w:val="24"/>
          <w:szCs w:val="24"/>
        </w:rPr>
        <w:t>Factor Analysis: Drivers of CSR in the Banking Sector</w:t>
      </w:r>
    </w:p>
    <w:p w14:paraId="7A37F84D" w14:textId="043E304C" w:rsidR="00323FCB" w:rsidRPr="00B265FC" w:rsidRDefault="00E93578"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Factor analysis was performed to identify the main factors of CSR in Bangladesh's banking sector. This method helps to reduce a large number of variables into a smaller, more manageable set for easier understanding. The analysis was based on 16 items that describe CSR drivers as perceived by managers.</w:t>
      </w:r>
    </w:p>
    <w:p w14:paraId="642DB094" w14:textId="77777777" w:rsidR="00323FCB" w:rsidRPr="00B265FC" w:rsidRDefault="00323FCB" w:rsidP="00DC3FD6">
      <w:pPr>
        <w:jc w:val="center"/>
        <w:rPr>
          <w:rFonts w:ascii="Times New Roman" w:eastAsia="Times New Roman" w:hAnsi="Times New Roman" w:cs="Times New Roman"/>
          <w:kern w:val="0"/>
          <w:lang w:eastAsia="en-GB" w:bidi="bn-IN"/>
          <w14:ligatures w14:val="none"/>
        </w:rPr>
      </w:pPr>
    </w:p>
    <w:p w14:paraId="3925466F" w14:textId="02EDF339"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7: KMO and Bartlett's Test</w:t>
      </w:r>
    </w:p>
    <w:tbl>
      <w:tblPr>
        <w:tblStyle w:val="PlainTable1"/>
        <w:tblW w:w="0" w:type="auto"/>
        <w:tblLook w:val="04A0" w:firstRow="1" w:lastRow="0" w:firstColumn="1" w:lastColumn="0" w:noHBand="0" w:noVBand="1"/>
      </w:tblPr>
      <w:tblGrid>
        <w:gridCol w:w="6092"/>
        <w:gridCol w:w="3070"/>
      </w:tblGrid>
      <w:tr w:rsidR="00504F65" w:rsidRPr="00B265FC" w14:paraId="26F93ECE" w14:textId="77777777" w:rsidTr="003C6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0BE823" w14:textId="77777777" w:rsidR="003C6EF3" w:rsidRPr="00B265FC" w:rsidRDefault="003C6EF3"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Measure</w:t>
            </w:r>
          </w:p>
        </w:tc>
        <w:tc>
          <w:tcPr>
            <w:tcW w:w="0" w:type="auto"/>
            <w:hideMark/>
          </w:tcPr>
          <w:p w14:paraId="71D5826B"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Value</w:t>
            </w:r>
          </w:p>
        </w:tc>
      </w:tr>
      <w:tr w:rsidR="00504F65" w:rsidRPr="00B265FC" w14:paraId="22AA5B32" w14:textId="77777777" w:rsidTr="003C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EB2919"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Kaiser-Meyer-Olkin (KMO) Measure of Sampling Adequacy</w:t>
            </w:r>
          </w:p>
        </w:tc>
        <w:tc>
          <w:tcPr>
            <w:tcW w:w="0" w:type="auto"/>
            <w:hideMark/>
          </w:tcPr>
          <w:p w14:paraId="529469C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0.852</w:t>
            </w:r>
          </w:p>
        </w:tc>
      </w:tr>
      <w:tr w:rsidR="00504F65" w:rsidRPr="00B265FC" w14:paraId="26B6C230" w14:textId="77777777" w:rsidTr="003C6EF3">
        <w:tc>
          <w:tcPr>
            <w:cnfStyle w:val="001000000000" w:firstRow="0" w:lastRow="0" w:firstColumn="1" w:lastColumn="0" w:oddVBand="0" w:evenVBand="0" w:oddHBand="0" w:evenHBand="0" w:firstRowFirstColumn="0" w:firstRowLastColumn="0" w:lastRowFirstColumn="0" w:lastRowLastColumn="0"/>
            <w:tcW w:w="0" w:type="auto"/>
            <w:hideMark/>
          </w:tcPr>
          <w:p w14:paraId="7C796294"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Bartlett's Test of Sphericity</w:t>
            </w:r>
          </w:p>
        </w:tc>
        <w:tc>
          <w:tcPr>
            <w:tcW w:w="0" w:type="auto"/>
            <w:hideMark/>
          </w:tcPr>
          <w:p w14:paraId="57C7CAAA"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Approx. Chi-Square: 920.123</w:t>
            </w:r>
          </w:p>
        </w:tc>
      </w:tr>
      <w:tr w:rsidR="00504F65" w:rsidRPr="00B265FC" w14:paraId="58CDF1A7" w14:textId="77777777" w:rsidTr="003C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446A87"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Degrees of Freedom (df)</w:t>
            </w:r>
          </w:p>
        </w:tc>
        <w:tc>
          <w:tcPr>
            <w:tcW w:w="0" w:type="auto"/>
            <w:hideMark/>
          </w:tcPr>
          <w:p w14:paraId="77B794A2"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120</w:t>
            </w:r>
          </w:p>
        </w:tc>
      </w:tr>
      <w:tr w:rsidR="00504F65" w:rsidRPr="00B265FC" w14:paraId="71522E48" w14:textId="77777777" w:rsidTr="003C6EF3">
        <w:tc>
          <w:tcPr>
            <w:cnfStyle w:val="001000000000" w:firstRow="0" w:lastRow="0" w:firstColumn="1" w:lastColumn="0" w:oddVBand="0" w:evenVBand="0" w:oddHBand="0" w:evenHBand="0" w:firstRowFirstColumn="0" w:firstRowLastColumn="0" w:lastRowFirstColumn="0" w:lastRowLastColumn="0"/>
            <w:tcW w:w="0" w:type="auto"/>
            <w:hideMark/>
          </w:tcPr>
          <w:p w14:paraId="6FBC7599"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Significance (Sig.)</w:t>
            </w:r>
          </w:p>
        </w:tc>
        <w:tc>
          <w:tcPr>
            <w:tcW w:w="0" w:type="auto"/>
            <w:hideMark/>
          </w:tcPr>
          <w:p w14:paraId="2BF857EF"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0.000</w:t>
            </w:r>
          </w:p>
        </w:tc>
      </w:tr>
    </w:tbl>
    <w:p w14:paraId="264D300F" w14:textId="77777777" w:rsidR="00EE69A8" w:rsidRPr="00B265FC" w:rsidRDefault="00EE69A8" w:rsidP="00DC3FD6">
      <w:pPr>
        <w:pStyle w:val="NormalWeb"/>
        <w:spacing w:before="0" w:beforeAutospacing="0" w:after="0" w:afterAutospacing="0"/>
        <w:jc w:val="both"/>
      </w:pPr>
    </w:p>
    <w:p w14:paraId="2E519195" w14:textId="77777777" w:rsidR="005F5E9E" w:rsidRDefault="00323FCB" w:rsidP="00DC3FD6">
      <w:pPr>
        <w:jc w:val="both"/>
        <w:rPr>
          <w:rFonts w:ascii="Times New Roman" w:eastAsia="Times New Roman" w:hAnsi="Times New Roman" w:cs="Times New Roman"/>
          <w:kern w:val="0"/>
          <w:lang w:eastAsia="en-GB" w:bidi="bn-IN"/>
          <w14:ligatures w14:val="none"/>
        </w:rPr>
      </w:pPr>
      <w:proofErr w:type="spellStart"/>
      <w:r w:rsidRPr="00B265FC">
        <w:rPr>
          <w:rFonts w:ascii="Times New Roman" w:eastAsia="Times New Roman" w:hAnsi="Times New Roman" w:cs="Times New Roman"/>
          <w:kern w:val="0"/>
          <w:lang w:eastAsia="en-GB" w:bidi="bn-IN"/>
          <w14:ligatures w14:val="none"/>
        </w:rPr>
        <w:t>Kais</w:t>
      </w:r>
      <w:r w:rsidR="005F5E9E">
        <w:rPr>
          <w:rFonts w:ascii="Times New Roman" w:eastAsia="Times New Roman" w:hAnsi="Times New Roman" w:cs="Times New Roman"/>
          <w:kern w:val="0"/>
          <w:lang w:eastAsia="en-GB" w:bidi="bn-IN"/>
          <w14:ligatures w14:val="none"/>
        </w:rPr>
        <w:t>Kaiser</w:t>
      </w:r>
      <w:proofErr w:type="spellEnd"/>
      <w:r w:rsidR="005F5E9E">
        <w:rPr>
          <w:rFonts w:ascii="Times New Roman" w:eastAsia="Times New Roman" w:hAnsi="Times New Roman" w:cs="Times New Roman"/>
          <w:kern w:val="0"/>
          <w:lang w:eastAsia="en-GB" w:bidi="bn-IN"/>
          <w14:ligatures w14:val="none"/>
        </w:rPr>
        <w:t>-Meyer-Olkin (KMO) Measure</w:t>
      </w:r>
    </w:p>
    <w:p w14:paraId="173935D8" w14:textId="5DDE5D65" w:rsidR="00323FCB" w:rsidRPr="00B265FC" w:rsidRDefault="005F5E9E"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The sampling adequacy of the 16 CSR driver items has a KMO value of 0.852, which is well above the commonly accepted threshold of 0.6 (Tabachnick and Fidell, 1996). This high KMO value indicates that the items are sufficiently correlated to justify conducting a factor analysis. Bartlett's Test of Sphericity is statistically significant (p &lt; 0.05), further supporting the relevance of the variables for factor analysis (Kaiser, 1974). Principal Component Analysis (PCA) with varimax </w:t>
      </w:r>
      <w:r>
        <w:rPr>
          <w:rFonts w:ascii="Times New Roman" w:eastAsia="Times New Roman" w:hAnsi="Times New Roman" w:cs="Times New Roman"/>
          <w:kern w:val="0"/>
          <w:lang w:eastAsia="en-GB" w:bidi="bn-IN"/>
          <w14:ligatures w14:val="none"/>
        </w:rPr>
        <w:lastRenderedPageBreak/>
        <w:t>rotation was performed after these preliminary tests. PCA aims to identify the factors that explain the largest percentage of variance in the data (Pallant, 2001). Eigenvalues greater than 1 suggest the presence of meaningful factors. Table 8 presents the results of the PCA.</w:t>
      </w:r>
    </w:p>
    <w:p w14:paraId="2FBFCCF7" w14:textId="77777777" w:rsidR="00323FCB" w:rsidRPr="00B265FC" w:rsidRDefault="00323FCB" w:rsidP="00DC3FD6">
      <w:pPr>
        <w:jc w:val="center"/>
        <w:rPr>
          <w:rFonts w:ascii="Times New Roman" w:eastAsia="Times New Roman" w:hAnsi="Times New Roman" w:cs="Times New Roman"/>
          <w:kern w:val="0"/>
          <w:lang w:eastAsia="en-GB" w:bidi="bn-IN"/>
          <w14:ligatures w14:val="none"/>
        </w:rPr>
      </w:pPr>
    </w:p>
    <w:p w14:paraId="72E0B39C" w14:textId="6F0D23AF"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8: PCA Results</w:t>
      </w:r>
    </w:p>
    <w:tbl>
      <w:tblPr>
        <w:tblStyle w:val="PlainTable2"/>
        <w:tblW w:w="0" w:type="auto"/>
        <w:jc w:val="center"/>
        <w:tblLook w:val="04A0" w:firstRow="1" w:lastRow="0" w:firstColumn="1" w:lastColumn="0" w:noHBand="0" w:noVBand="1"/>
      </w:tblPr>
      <w:tblGrid>
        <w:gridCol w:w="1010"/>
        <w:gridCol w:w="1296"/>
        <w:gridCol w:w="1571"/>
        <w:gridCol w:w="1596"/>
      </w:tblGrid>
      <w:tr w:rsidR="00504F65" w:rsidRPr="00B265FC" w14:paraId="37CE5358" w14:textId="77777777" w:rsidTr="005F5E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7687A" w14:textId="77777777" w:rsidR="003C6EF3" w:rsidRPr="00B265FC" w:rsidRDefault="003C6EF3"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w:t>
            </w:r>
          </w:p>
        </w:tc>
        <w:tc>
          <w:tcPr>
            <w:tcW w:w="0" w:type="auto"/>
            <w:hideMark/>
          </w:tcPr>
          <w:p w14:paraId="014FCD17"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Eigenvalue</w:t>
            </w:r>
          </w:p>
        </w:tc>
        <w:tc>
          <w:tcPr>
            <w:tcW w:w="0" w:type="auto"/>
            <w:hideMark/>
          </w:tcPr>
          <w:p w14:paraId="6D7BAABE"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 of Variance</w:t>
            </w:r>
          </w:p>
        </w:tc>
        <w:tc>
          <w:tcPr>
            <w:tcW w:w="0" w:type="auto"/>
            <w:hideMark/>
          </w:tcPr>
          <w:p w14:paraId="3C522E7D"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Cumulative %</w:t>
            </w:r>
          </w:p>
        </w:tc>
      </w:tr>
      <w:tr w:rsidR="00504F65" w:rsidRPr="00B265FC" w14:paraId="78F6A55D"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019F5"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1</w:t>
            </w:r>
          </w:p>
        </w:tc>
        <w:tc>
          <w:tcPr>
            <w:tcW w:w="0" w:type="auto"/>
            <w:hideMark/>
          </w:tcPr>
          <w:p w14:paraId="5ED08E50"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4.25</w:t>
            </w:r>
          </w:p>
        </w:tc>
        <w:tc>
          <w:tcPr>
            <w:tcW w:w="0" w:type="auto"/>
            <w:hideMark/>
          </w:tcPr>
          <w:p w14:paraId="01F089C1"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14.76</w:t>
            </w:r>
          </w:p>
        </w:tc>
        <w:tc>
          <w:tcPr>
            <w:tcW w:w="0" w:type="auto"/>
            <w:hideMark/>
          </w:tcPr>
          <w:p w14:paraId="03E1654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14.76</w:t>
            </w:r>
          </w:p>
        </w:tc>
      </w:tr>
      <w:tr w:rsidR="00504F65" w:rsidRPr="00B265FC" w14:paraId="3CDC29F2"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32D272"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2</w:t>
            </w:r>
          </w:p>
        </w:tc>
        <w:tc>
          <w:tcPr>
            <w:tcW w:w="0" w:type="auto"/>
            <w:hideMark/>
          </w:tcPr>
          <w:p w14:paraId="1DC018B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3.49</w:t>
            </w:r>
          </w:p>
        </w:tc>
        <w:tc>
          <w:tcPr>
            <w:tcW w:w="0" w:type="auto"/>
            <w:hideMark/>
          </w:tcPr>
          <w:p w14:paraId="6D81BC69"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12.21</w:t>
            </w:r>
          </w:p>
        </w:tc>
        <w:tc>
          <w:tcPr>
            <w:tcW w:w="0" w:type="auto"/>
            <w:hideMark/>
          </w:tcPr>
          <w:p w14:paraId="2525F95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26.97</w:t>
            </w:r>
          </w:p>
        </w:tc>
      </w:tr>
      <w:tr w:rsidR="00504F65" w:rsidRPr="00B265FC" w14:paraId="15BF4CF4"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41F57D"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3</w:t>
            </w:r>
          </w:p>
        </w:tc>
        <w:tc>
          <w:tcPr>
            <w:tcW w:w="0" w:type="auto"/>
            <w:hideMark/>
          </w:tcPr>
          <w:p w14:paraId="2E73AEAD"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3.22</w:t>
            </w:r>
          </w:p>
        </w:tc>
        <w:tc>
          <w:tcPr>
            <w:tcW w:w="0" w:type="auto"/>
            <w:hideMark/>
          </w:tcPr>
          <w:p w14:paraId="2700FCC3"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10.69</w:t>
            </w:r>
          </w:p>
        </w:tc>
        <w:tc>
          <w:tcPr>
            <w:tcW w:w="0" w:type="auto"/>
            <w:hideMark/>
          </w:tcPr>
          <w:p w14:paraId="6BED9D7A"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37.66</w:t>
            </w:r>
          </w:p>
        </w:tc>
      </w:tr>
      <w:tr w:rsidR="00504F65" w:rsidRPr="00B265FC" w14:paraId="3B509381"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7FB63"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4</w:t>
            </w:r>
          </w:p>
        </w:tc>
        <w:tc>
          <w:tcPr>
            <w:tcW w:w="0" w:type="auto"/>
            <w:hideMark/>
          </w:tcPr>
          <w:p w14:paraId="5274017F"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3.11</w:t>
            </w:r>
          </w:p>
        </w:tc>
        <w:tc>
          <w:tcPr>
            <w:tcW w:w="0" w:type="auto"/>
            <w:hideMark/>
          </w:tcPr>
          <w:p w14:paraId="476A3AA1"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10.30</w:t>
            </w:r>
          </w:p>
        </w:tc>
        <w:tc>
          <w:tcPr>
            <w:tcW w:w="0" w:type="auto"/>
            <w:hideMark/>
          </w:tcPr>
          <w:p w14:paraId="515815FE"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47.96</w:t>
            </w:r>
          </w:p>
        </w:tc>
      </w:tr>
      <w:tr w:rsidR="00504F65" w:rsidRPr="00B265FC" w14:paraId="04895061"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379ABA"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5</w:t>
            </w:r>
          </w:p>
        </w:tc>
        <w:tc>
          <w:tcPr>
            <w:tcW w:w="0" w:type="auto"/>
            <w:hideMark/>
          </w:tcPr>
          <w:p w14:paraId="79378365"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2.64</w:t>
            </w:r>
          </w:p>
        </w:tc>
        <w:tc>
          <w:tcPr>
            <w:tcW w:w="0" w:type="auto"/>
            <w:hideMark/>
          </w:tcPr>
          <w:p w14:paraId="61B8B1E0"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8.79</w:t>
            </w:r>
          </w:p>
        </w:tc>
        <w:tc>
          <w:tcPr>
            <w:tcW w:w="0" w:type="auto"/>
            <w:hideMark/>
          </w:tcPr>
          <w:p w14:paraId="058CC5B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56.75</w:t>
            </w:r>
          </w:p>
        </w:tc>
      </w:tr>
      <w:tr w:rsidR="00504F65" w:rsidRPr="00B265FC" w14:paraId="1F67D16C"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DD3F61"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6</w:t>
            </w:r>
          </w:p>
        </w:tc>
        <w:tc>
          <w:tcPr>
            <w:tcW w:w="0" w:type="auto"/>
            <w:hideMark/>
          </w:tcPr>
          <w:p w14:paraId="1CD5312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2.23</w:t>
            </w:r>
          </w:p>
        </w:tc>
        <w:tc>
          <w:tcPr>
            <w:tcW w:w="0" w:type="auto"/>
            <w:hideMark/>
          </w:tcPr>
          <w:p w14:paraId="39CC4305"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7.43</w:t>
            </w:r>
          </w:p>
        </w:tc>
        <w:tc>
          <w:tcPr>
            <w:tcW w:w="0" w:type="auto"/>
            <w:hideMark/>
          </w:tcPr>
          <w:p w14:paraId="6C33EF14"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64.18</w:t>
            </w:r>
          </w:p>
        </w:tc>
      </w:tr>
      <w:tr w:rsidR="00504F65" w:rsidRPr="00B265FC" w14:paraId="45A5FCA6"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D9D926"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7</w:t>
            </w:r>
          </w:p>
        </w:tc>
        <w:tc>
          <w:tcPr>
            <w:tcW w:w="0" w:type="auto"/>
            <w:hideMark/>
          </w:tcPr>
          <w:p w14:paraId="7C6C7A7E"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2.06</w:t>
            </w:r>
          </w:p>
        </w:tc>
        <w:tc>
          <w:tcPr>
            <w:tcW w:w="0" w:type="auto"/>
            <w:hideMark/>
          </w:tcPr>
          <w:p w14:paraId="68A41EFE"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6.86</w:t>
            </w:r>
          </w:p>
        </w:tc>
        <w:tc>
          <w:tcPr>
            <w:tcW w:w="0" w:type="auto"/>
            <w:hideMark/>
          </w:tcPr>
          <w:p w14:paraId="7B45F3C6"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71.04</w:t>
            </w:r>
          </w:p>
        </w:tc>
      </w:tr>
      <w:tr w:rsidR="00504F65" w:rsidRPr="00B265FC" w14:paraId="11A3E357"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DA40C1"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8</w:t>
            </w:r>
          </w:p>
        </w:tc>
        <w:tc>
          <w:tcPr>
            <w:tcW w:w="0" w:type="auto"/>
            <w:hideMark/>
          </w:tcPr>
          <w:p w14:paraId="4EF2D46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1.97</w:t>
            </w:r>
          </w:p>
        </w:tc>
        <w:tc>
          <w:tcPr>
            <w:tcW w:w="0" w:type="auto"/>
            <w:hideMark/>
          </w:tcPr>
          <w:p w14:paraId="54CC28CC"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6.32</w:t>
            </w:r>
          </w:p>
        </w:tc>
        <w:tc>
          <w:tcPr>
            <w:tcW w:w="0" w:type="auto"/>
            <w:hideMark/>
          </w:tcPr>
          <w:p w14:paraId="3745F3B9"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77.37</w:t>
            </w:r>
          </w:p>
        </w:tc>
      </w:tr>
    </w:tbl>
    <w:p w14:paraId="0A6923AC" w14:textId="77777777" w:rsidR="00EE69A8" w:rsidRPr="00B265FC" w:rsidRDefault="00EE69A8" w:rsidP="00DC3FD6">
      <w:pPr>
        <w:pStyle w:val="NormalWeb"/>
        <w:spacing w:before="0" w:beforeAutospacing="0" w:after="0" w:afterAutospacing="0"/>
        <w:jc w:val="both"/>
      </w:pPr>
    </w:p>
    <w:p w14:paraId="5D9E16FA" w14:textId="7385BC34" w:rsidR="00323FCB" w:rsidRPr="00B265FC" w:rsidRDefault="006A0C2C"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Principal component analysis (PCA) identifies eight factors with eigenvalues greater than 1.0, which collectively explain 77.37 percent of the total variance in CSR driver items (Vaus, 2002). The contribution of the first four factors is nearly 47.96 percent, highlighting their importance in explaining CSR drivers in the banking industry. Factor 1, with an eigenvalue of 4.25, accounts for 14.76 percent of the variance and is the most significant factor. Factor 2 has an eigenvalue of 3.49 and explains 12.21 percent of the variance. Although the remaining factors play a lesser role, they still contribute to understanding CSR drivers. This factor analysis simplifies the complex issues surrounding CSR in the industry and offers a clearer understanding of CSR activities among managers (Pallant, 2001; Tabachnick &amp; Fidell, 1996). </w:t>
      </w:r>
    </w:p>
    <w:p w14:paraId="18DDB636" w14:textId="77777777" w:rsidR="00323FCB" w:rsidRPr="00B265FC" w:rsidRDefault="00323FCB" w:rsidP="0068676D">
      <w:pPr>
        <w:rPr>
          <w:rFonts w:ascii="Times New Roman" w:eastAsia="Times New Roman" w:hAnsi="Times New Roman" w:cs="Times New Roman"/>
          <w:kern w:val="0"/>
          <w:lang w:eastAsia="en-GB" w:bidi="bn-IN"/>
          <w14:ligatures w14:val="none"/>
        </w:rPr>
      </w:pPr>
    </w:p>
    <w:p w14:paraId="7C84E6BC" w14:textId="7FE8EE80"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w:t>
      </w:r>
      <w:r w:rsidR="00E201A2">
        <w:rPr>
          <w:rFonts w:ascii="Times New Roman" w:hAnsi="Times New Roman" w:cs="Times New Roman"/>
          <w:color w:val="000000" w:themeColor="text1"/>
        </w:rPr>
        <w:t>9</w:t>
      </w:r>
      <w:r w:rsidRPr="00B265FC">
        <w:rPr>
          <w:rFonts w:ascii="Times New Roman" w:hAnsi="Times New Roman" w:cs="Times New Roman"/>
          <w:color w:val="000000" w:themeColor="text1"/>
        </w:rPr>
        <w:t>: Total Variance Explained</w:t>
      </w:r>
    </w:p>
    <w:tbl>
      <w:tblPr>
        <w:tblStyle w:val="PlainTable2"/>
        <w:tblW w:w="9745" w:type="dxa"/>
        <w:tblLayout w:type="fixed"/>
        <w:tblLook w:val="0000" w:firstRow="0" w:lastRow="0" w:firstColumn="0" w:lastColumn="0" w:noHBand="0" w:noVBand="0"/>
      </w:tblPr>
      <w:tblGrid>
        <w:gridCol w:w="1352"/>
        <w:gridCol w:w="1073"/>
        <w:gridCol w:w="1516"/>
        <w:gridCol w:w="1533"/>
        <w:gridCol w:w="1223"/>
        <w:gridCol w:w="1516"/>
        <w:gridCol w:w="1532"/>
      </w:tblGrid>
      <w:tr w:rsidR="00504F65" w:rsidRPr="00B265FC" w14:paraId="7C462691"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vMerge w:val="restart"/>
          </w:tcPr>
          <w:p w14:paraId="1194B6FB"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Component</w:t>
            </w:r>
          </w:p>
        </w:tc>
        <w:tc>
          <w:tcPr>
            <w:cnfStyle w:val="000001000000" w:firstRow="0" w:lastRow="0" w:firstColumn="0" w:lastColumn="0" w:oddVBand="0" w:evenVBand="1" w:oddHBand="0" w:evenHBand="0" w:firstRowFirstColumn="0" w:firstRowLastColumn="0" w:lastRowFirstColumn="0" w:lastRowLastColumn="0"/>
            <w:tcW w:w="4122" w:type="dxa"/>
            <w:gridSpan w:val="3"/>
          </w:tcPr>
          <w:p w14:paraId="113C784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Initial Eigenvalues</w:t>
            </w:r>
          </w:p>
        </w:tc>
        <w:tc>
          <w:tcPr>
            <w:cnfStyle w:val="000010000000" w:firstRow="0" w:lastRow="0" w:firstColumn="0" w:lastColumn="0" w:oddVBand="1" w:evenVBand="0" w:oddHBand="0" w:evenHBand="0" w:firstRowFirstColumn="0" w:firstRowLastColumn="0" w:lastRowFirstColumn="0" w:lastRowLastColumn="0"/>
            <w:tcW w:w="4271" w:type="dxa"/>
            <w:gridSpan w:val="3"/>
          </w:tcPr>
          <w:p w14:paraId="57DE0A8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Extraction Sums of Squared Loadings</w:t>
            </w:r>
          </w:p>
        </w:tc>
      </w:tr>
      <w:tr w:rsidR="00504F65" w:rsidRPr="00B265FC" w14:paraId="687B99F0" w14:textId="77777777" w:rsidTr="005F5E9E">
        <w:trPr>
          <w:trHeight w:val="673"/>
        </w:trPr>
        <w:tc>
          <w:tcPr>
            <w:cnfStyle w:val="000010000000" w:firstRow="0" w:lastRow="0" w:firstColumn="0" w:lastColumn="0" w:oddVBand="1" w:evenVBand="0" w:oddHBand="0" w:evenHBand="0" w:firstRowFirstColumn="0" w:firstRowLastColumn="0" w:lastRowFirstColumn="0" w:lastRowLastColumn="0"/>
            <w:tcW w:w="1352" w:type="dxa"/>
            <w:vMerge/>
          </w:tcPr>
          <w:p w14:paraId="2A4286D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073" w:type="dxa"/>
          </w:tcPr>
          <w:p w14:paraId="553C54E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516" w:type="dxa"/>
          </w:tcPr>
          <w:p w14:paraId="0691F77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01000000" w:firstRow="0" w:lastRow="0" w:firstColumn="0" w:lastColumn="0" w:oddVBand="0" w:evenVBand="1" w:oddHBand="0" w:evenHBand="0" w:firstRowFirstColumn="0" w:firstRowLastColumn="0" w:lastRowFirstColumn="0" w:lastRowLastColumn="0"/>
            <w:tcW w:w="1533" w:type="dxa"/>
          </w:tcPr>
          <w:p w14:paraId="28D03A8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c>
          <w:tcPr>
            <w:cnfStyle w:val="000010000000" w:firstRow="0" w:lastRow="0" w:firstColumn="0" w:lastColumn="0" w:oddVBand="1" w:evenVBand="0" w:oddHBand="0" w:evenHBand="0" w:firstRowFirstColumn="0" w:firstRowLastColumn="0" w:lastRowFirstColumn="0" w:lastRowLastColumn="0"/>
            <w:tcW w:w="1223" w:type="dxa"/>
          </w:tcPr>
          <w:p w14:paraId="5761DE6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01000000" w:firstRow="0" w:lastRow="0" w:firstColumn="0" w:lastColumn="0" w:oddVBand="0" w:evenVBand="1" w:oddHBand="0" w:evenHBand="0" w:firstRowFirstColumn="0" w:firstRowLastColumn="0" w:lastRowFirstColumn="0" w:lastRowLastColumn="0"/>
            <w:tcW w:w="1516" w:type="dxa"/>
          </w:tcPr>
          <w:p w14:paraId="609EDAD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10000000" w:firstRow="0" w:lastRow="0" w:firstColumn="0" w:lastColumn="0" w:oddVBand="1" w:evenVBand="0" w:oddHBand="0" w:evenHBand="0" w:firstRowFirstColumn="0" w:firstRowLastColumn="0" w:lastRowFirstColumn="0" w:lastRowLastColumn="0"/>
            <w:tcW w:w="1532" w:type="dxa"/>
          </w:tcPr>
          <w:p w14:paraId="493DF20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r>
      <w:tr w:rsidR="00504F65" w:rsidRPr="00B265FC" w14:paraId="13532E38"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8CD756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w:t>
            </w:r>
          </w:p>
        </w:tc>
        <w:tc>
          <w:tcPr>
            <w:cnfStyle w:val="000001000000" w:firstRow="0" w:lastRow="0" w:firstColumn="0" w:lastColumn="0" w:oddVBand="0" w:evenVBand="1" w:oddHBand="0" w:evenHBand="0" w:firstRowFirstColumn="0" w:firstRowLastColumn="0" w:lastRowFirstColumn="0" w:lastRowLastColumn="0"/>
            <w:tcW w:w="1073" w:type="dxa"/>
          </w:tcPr>
          <w:p w14:paraId="2D1D31B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2.361</w:t>
            </w:r>
          </w:p>
        </w:tc>
        <w:tc>
          <w:tcPr>
            <w:cnfStyle w:val="000010000000" w:firstRow="0" w:lastRow="0" w:firstColumn="0" w:lastColumn="0" w:oddVBand="1" w:evenVBand="0" w:oddHBand="0" w:evenHBand="0" w:firstRowFirstColumn="0" w:firstRowLastColumn="0" w:lastRowFirstColumn="0" w:lastRowLastColumn="0"/>
            <w:tcW w:w="1516" w:type="dxa"/>
          </w:tcPr>
          <w:p w14:paraId="54089EF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01000000" w:firstRow="0" w:lastRow="0" w:firstColumn="0" w:lastColumn="0" w:oddVBand="0" w:evenVBand="1" w:oddHBand="0" w:evenHBand="0" w:firstRowFirstColumn="0" w:firstRowLastColumn="0" w:lastRowFirstColumn="0" w:lastRowLastColumn="0"/>
            <w:tcW w:w="1533" w:type="dxa"/>
          </w:tcPr>
          <w:p w14:paraId="69C6EB4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10000000" w:firstRow="0" w:lastRow="0" w:firstColumn="0" w:lastColumn="0" w:oddVBand="1" w:evenVBand="0" w:oddHBand="0" w:evenHBand="0" w:firstRowFirstColumn="0" w:firstRowLastColumn="0" w:lastRowFirstColumn="0" w:lastRowLastColumn="0"/>
            <w:tcW w:w="1223" w:type="dxa"/>
          </w:tcPr>
          <w:p w14:paraId="0F3DE20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2.361</w:t>
            </w:r>
          </w:p>
        </w:tc>
        <w:tc>
          <w:tcPr>
            <w:cnfStyle w:val="000001000000" w:firstRow="0" w:lastRow="0" w:firstColumn="0" w:lastColumn="0" w:oddVBand="0" w:evenVBand="1" w:oddHBand="0" w:evenHBand="0" w:firstRowFirstColumn="0" w:firstRowLastColumn="0" w:lastRowFirstColumn="0" w:lastRowLastColumn="0"/>
            <w:tcW w:w="1516" w:type="dxa"/>
          </w:tcPr>
          <w:p w14:paraId="5416214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10000000" w:firstRow="0" w:lastRow="0" w:firstColumn="0" w:lastColumn="0" w:oddVBand="1" w:evenVBand="0" w:oddHBand="0" w:evenHBand="0" w:firstRowFirstColumn="0" w:firstRowLastColumn="0" w:lastRowFirstColumn="0" w:lastRowLastColumn="0"/>
            <w:tcW w:w="1532" w:type="dxa"/>
          </w:tcPr>
          <w:p w14:paraId="70088E9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r>
      <w:tr w:rsidR="00504F65" w:rsidRPr="00B265FC" w14:paraId="57EAA501"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7920DB7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w:t>
            </w:r>
          </w:p>
        </w:tc>
        <w:tc>
          <w:tcPr>
            <w:cnfStyle w:val="000001000000" w:firstRow="0" w:lastRow="0" w:firstColumn="0" w:lastColumn="0" w:oddVBand="0" w:evenVBand="1" w:oddHBand="0" w:evenHBand="0" w:firstRowFirstColumn="0" w:firstRowLastColumn="0" w:lastRowFirstColumn="0" w:lastRowLastColumn="0"/>
            <w:tcW w:w="1073" w:type="dxa"/>
          </w:tcPr>
          <w:p w14:paraId="7C8FEB6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1.953</w:t>
            </w:r>
          </w:p>
        </w:tc>
        <w:tc>
          <w:tcPr>
            <w:cnfStyle w:val="000010000000" w:firstRow="0" w:lastRow="0" w:firstColumn="0" w:lastColumn="0" w:oddVBand="1" w:evenVBand="0" w:oddHBand="0" w:evenHBand="0" w:firstRowFirstColumn="0" w:firstRowLastColumn="0" w:lastRowFirstColumn="0" w:lastRowLastColumn="0"/>
            <w:tcW w:w="1516" w:type="dxa"/>
          </w:tcPr>
          <w:p w14:paraId="384778D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12.206</w:t>
            </w:r>
          </w:p>
        </w:tc>
        <w:tc>
          <w:tcPr>
            <w:cnfStyle w:val="000001000000" w:firstRow="0" w:lastRow="0" w:firstColumn="0" w:lastColumn="0" w:oddVBand="0" w:evenVBand="1" w:oddHBand="0" w:evenHBand="0" w:firstRowFirstColumn="0" w:firstRowLastColumn="0" w:lastRowFirstColumn="0" w:lastRowLastColumn="0"/>
            <w:tcW w:w="1533" w:type="dxa"/>
          </w:tcPr>
          <w:p w14:paraId="28F455A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26.965</w:t>
            </w:r>
          </w:p>
        </w:tc>
        <w:tc>
          <w:tcPr>
            <w:cnfStyle w:val="000010000000" w:firstRow="0" w:lastRow="0" w:firstColumn="0" w:lastColumn="0" w:oddVBand="1" w:evenVBand="0" w:oddHBand="0" w:evenHBand="0" w:firstRowFirstColumn="0" w:firstRowLastColumn="0" w:lastRowFirstColumn="0" w:lastRowLastColumn="0"/>
            <w:tcW w:w="1223" w:type="dxa"/>
          </w:tcPr>
          <w:p w14:paraId="4087D22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1.953</w:t>
            </w:r>
          </w:p>
        </w:tc>
        <w:tc>
          <w:tcPr>
            <w:cnfStyle w:val="000001000000" w:firstRow="0" w:lastRow="0" w:firstColumn="0" w:lastColumn="0" w:oddVBand="0" w:evenVBand="1" w:oddHBand="0" w:evenHBand="0" w:firstRowFirstColumn="0" w:firstRowLastColumn="0" w:lastRowFirstColumn="0" w:lastRowLastColumn="0"/>
            <w:tcW w:w="1516" w:type="dxa"/>
          </w:tcPr>
          <w:p w14:paraId="3596B34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12.206</w:t>
            </w:r>
          </w:p>
        </w:tc>
        <w:tc>
          <w:tcPr>
            <w:cnfStyle w:val="000010000000" w:firstRow="0" w:lastRow="0" w:firstColumn="0" w:lastColumn="0" w:oddVBand="1" w:evenVBand="0" w:oddHBand="0" w:evenHBand="0" w:firstRowFirstColumn="0" w:firstRowLastColumn="0" w:lastRowFirstColumn="0" w:lastRowLastColumn="0"/>
            <w:tcW w:w="1532" w:type="dxa"/>
          </w:tcPr>
          <w:p w14:paraId="7168AE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26.965</w:t>
            </w:r>
          </w:p>
        </w:tc>
      </w:tr>
      <w:tr w:rsidR="00504F65" w:rsidRPr="00B265FC" w14:paraId="1C39A79B"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5FC907A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w:t>
            </w:r>
          </w:p>
        </w:tc>
        <w:tc>
          <w:tcPr>
            <w:cnfStyle w:val="000001000000" w:firstRow="0" w:lastRow="0" w:firstColumn="0" w:lastColumn="0" w:oddVBand="0" w:evenVBand="1" w:oddHBand="0" w:evenHBand="0" w:firstRowFirstColumn="0" w:firstRowLastColumn="0" w:lastRowFirstColumn="0" w:lastRowLastColumn="0"/>
            <w:tcW w:w="1073" w:type="dxa"/>
          </w:tcPr>
          <w:p w14:paraId="3E3882C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1.711</w:t>
            </w:r>
          </w:p>
        </w:tc>
        <w:tc>
          <w:tcPr>
            <w:cnfStyle w:val="000010000000" w:firstRow="0" w:lastRow="0" w:firstColumn="0" w:lastColumn="0" w:oddVBand="1" w:evenVBand="0" w:oddHBand="0" w:evenHBand="0" w:firstRowFirstColumn="0" w:firstRowLastColumn="0" w:lastRowFirstColumn="0" w:lastRowLastColumn="0"/>
            <w:tcW w:w="1516" w:type="dxa"/>
          </w:tcPr>
          <w:p w14:paraId="18FD69E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10.694</w:t>
            </w:r>
          </w:p>
        </w:tc>
        <w:tc>
          <w:tcPr>
            <w:cnfStyle w:val="000001000000" w:firstRow="0" w:lastRow="0" w:firstColumn="0" w:lastColumn="0" w:oddVBand="0" w:evenVBand="1" w:oddHBand="0" w:evenHBand="0" w:firstRowFirstColumn="0" w:firstRowLastColumn="0" w:lastRowFirstColumn="0" w:lastRowLastColumn="0"/>
            <w:tcW w:w="1533" w:type="dxa"/>
          </w:tcPr>
          <w:p w14:paraId="4CD48E7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37.659</w:t>
            </w:r>
          </w:p>
        </w:tc>
        <w:tc>
          <w:tcPr>
            <w:cnfStyle w:val="000010000000" w:firstRow="0" w:lastRow="0" w:firstColumn="0" w:lastColumn="0" w:oddVBand="1" w:evenVBand="0" w:oddHBand="0" w:evenHBand="0" w:firstRowFirstColumn="0" w:firstRowLastColumn="0" w:lastRowFirstColumn="0" w:lastRowLastColumn="0"/>
            <w:tcW w:w="1223" w:type="dxa"/>
          </w:tcPr>
          <w:p w14:paraId="116988D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1.711</w:t>
            </w:r>
          </w:p>
        </w:tc>
        <w:tc>
          <w:tcPr>
            <w:cnfStyle w:val="000001000000" w:firstRow="0" w:lastRow="0" w:firstColumn="0" w:lastColumn="0" w:oddVBand="0" w:evenVBand="1" w:oddHBand="0" w:evenHBand="0" w:firstRowFirstColumn="0" w:firstRowLastColumn="0" w:lastRowFirstColumn="0" w:lastRowLastColumn="0"/>
            <w:tcW w:w="1516" w:type="dxa"/>
          </w:tcPr>
          <w:p w14:paraId="18B3DA1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10.694</w:t>
            </w:r>
          </w:p>
        </w:tc>
        <w:tc>
          <w:tcPr>
            <w:cnfStyle w:val="000010000000" w:firstRow="0" w:lastRow="0" w:firstColumn="0" w:lastColumn="0" w:oddVBand="1" w:evenVBand="0" w:oddHBand="0" w:evenHBand="0" w:firstRowFirstColumn="0" w:firstRowLastColumn="0" w:lastRowFirstColumn="0" w:lastRowLastColumn="0"/>
            <w:tcW w:w="1532" w:type="dxa"/>
          </w:tcPr>
          <w:p w14:paraId="46C204A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37.659</w:t>
            </w:r>
          </w:p>
        </w:tc>
      </w:tr>
      <w:tr w:rsidR="00504F65" w:rsidRPr="00B265FC" w14:paraId="361B07AE"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ADFA17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w:t>
            </w:r>
          </w:p>
        </w:tc>
        <w:tc>
          <w:tcPr>
            <w:cnfStyle w:val="000001000000" w:firstRow="0" w:lastRow="0" w:firstColumn="0" w:lastColumn="0" w:oddVBand="0" w:evenVBand="1" w:oddHBand="0" w:evenHBand="0" w:firstRowFirstColumn="0" w:firstRowLastColumn="0" w:lastRowFirstColumn="0" w:lastRowLastColumn="0"/>
            <w:tcW w:w="1073" w:type="dxa"/>
          </w:tcPr>
          <w:p w14:paraId="204299B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1.648</w:t>
            </w:r>
          </w:p>
        </w:tc>
        <w:tc>
          <w:tcPr>
            <w:cnfStyle w:val="000010000000" w:firstRow="0" w:lastRow="0" w:firstColumn="0" w:lastColumn="0" w:oddVBand="1" w:evenVBand="0" w:oddHBand="0" w:evenHBand="0" w:firstRowFirstColumn="0" w:firstRowLastColumn="0" w:lastRowFirstColumn="0" w:lastRowLastColumn="0"/>
            <w:tcW w:w="1516" w:type="dxa"/>
          </w:tcPr>
          <w:p w14:paraId="360EE32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10.303</w:t>
            </w:r>
          </w:p>
        </w:tc>
        <w:tc>
          <w:tcPr>
            <w:cnfStyle w:val="000001000000" w:firstRow="0" w:lastRow="0" w:firstColumn="0" w:lastColumn="0" w:oddVBand="0" w:evenVBand="1" w:oddHBand="0" w:evenHBand="0" w:firstRowFirstColumn="0" w:firstRowLastColumn="0" w:lastRowFirstColumn="0" w:lastRowLastColumn="0"/>
            <w:tcW w:w="1533" w:type="dxa"/>
          </w:tcPr>
          <w:p w14:paraId="742D56C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47.962</w:t>
            </w:r>
          </w:p>
        </w:tc>
        <w:tc>
          <w:tcPr>
            <w:cnfStyle w:val="000010000000" w:firstRow="0" w:lastRow="0" w:firstColumn="0" w:lastColumn="0" w:oddVBand="1" w:evenVBand="0" w:oddHBand="0" w:evenHBand="0" w:firstRowFirstColumn="0" w:firstRowLastColumn="0" w:lastRowFirstColumn="0" w:lastRowLastColumn="0"/>
            <w:tcW w:w="1223" w:type="dxa"/>
          </w:tcPr>
          <w:p w14:paraId="0A67546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1.648</w:t>
            </w:r>
          </w:p>
        </w:tc>
        <w:tc>
          <w:tcPr>
            <w:cnfStyle w:val="000001000000" w:firstRow="0" w:lastRow="0" w:firstColumn="0" w:lastColumn="0" w:oddVBand="0" w:evenVBand="1" w:oddHBand="0" w:evenHBand="0" w:firstRowFirstColumn="0" w:firstRowLastColumn="0" w:lastRowFirstColumn="0" w:lastRowLastColumn="0"/>
            <w:tcW w:w="1516" w:type="dxa"/>
          </w:tcPr>
          <w:p w14:paraId="391CF4B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10.303</w:t>
            </w:r>
          </w:p>
        </w:tc>
        <w:tc>
          <w:tcPr>
            <w:cnfStyle w:val="000010000000" w:firstRow="0" w:lastRow="0" w:firstColumn="0" w:lastColumn="0" w:oddVBand="1" w:evenVBand="0" w:oddHBand="0" w:evenHBand="0" w:firstRowFirstColumn="0" w:firstRowLastColumn="0" w:lastRowFirstColumn="0" w:lastRowLastColumn="0"/>
            <w:tcW w:w="1532" w:type="dxa"/>
          </w:tcPr>
          <w:p w14:paraId="26E4E46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47.962</w:t>
            </w:r>
          </w:p>
        </w:tc>
      </w:tr>
      <w:tr w:rsidR="00504F65" w:rsidRPr="00B265FC" w14:paraId="17375529" w14:textId="77777777" w:rsidTr="005F5E9E">
        <w:trPr>
          <w:cnfStyle w:val="000000100000" w:firstRow="0" w:lastRow="0" w:firstColumn="0" w:lastColumn="0" w:oddVBand="0" w:evenVBand="0" w:oddHBand="1" w:evenHBand="0" w:firstRowFirstColumn="0" w:firstRowLastColumn="0" w:lastRowFirstColumn="0" w:lastRowLastColumn="0"/>
          <w:trHeight w:val="329"/>
        </w:trPr>
        <w:tc>
          <w:tcPr>
            <w:cnfStyle w:val="000010000000" w:firstRow="0" w:lastRow="0" w:firstColumn="0" w:lastColumn="0" w:oddVBand="1" w:evenVBand="0" w:oddHBand="0" w:evenHBand="0" w:firstRowFirstColumn="0" w:firstRowLastColumn="0" w:lastRowFirstColumn="0" w:lastRowLastColumn="0"/>
            <w:tcW w:w="1352" w:type="dxa"/>
          </w:tcPr>
          <w:p w14:paraId="460263E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w:t>
            </w:r>
          </w:p>
        </w:tc>
        <w:tc>
          <w:tcPr>
            <w:cnfStyle w:val="000001000000" w:firstRow="0" w:lastRow="0" w:firstColumn="0" w:lastColumn="0" w:oddVBand="0" w:evenVBand="1" w:oddHBand="0" w:evenHBand="0" w:firstRowFirstColumn="0" w:firstRowLastColumn="0" w:lastRowFirstColumn="0" w:lastRowLastColumn="0"/>
            <w:tcW w:w="1073" w:type="dxa"/>
          </w:tcPr>
          <w:p w14:paraId="64BF1F2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1.406</w:t>
            </w:r>
          </w:p>
        </w:tc>
        <w:tc>
          <w:tcPr>
            <w:cnfStyle w:val="000010000000" w:firstRow="0" w:lastRow="0" w:firstColumn="0" w:lastColumn="0" w:oddVBand="1" w:evenVBand="0" w:oddHBand="0" w:evenHBand="0" w:firstRowFirstColumn="0" w:firstRowLastColumn="0" w:lastRowFirstColumn="0" w:lastRowLastColumn="0"/>
            <w:tcW w:w="1516" w:type="dxa"/>
          </w:tcPr>
          <w:p w14:paraId="131C237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8.786</w:t>
            </w:r>
          </w:p>
        </w:tc>
        <w:tc>
          <w:tcPr>
            <w:cnfStyle w:val="000001000000" w:firstRow="0" w:lastRow="0" w:firstColumn="0" w:lastColumn="0" w:oddVBand="0" w:evenVBand="1" w:oddHBand="0" w:evenHBand="0" w:firstRowFirstColumn="0" w:firstRowLastColumn="0" w:lastRowFirstColumn="0" w:lastRowLastColumn="0"/>
            <w:tcW w:w="1533" w:type="dxa"/>
          </w:tcPr>
          <w:p w14:paraId="398A755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56.748</w:t>
            </w:r>
          </w:p>
        </w:tc>
        <w:tc>
          <w:tcPr>
            <w:cnfStyle w:val="000010000000" w:firstRow="0" w:lastRow="0" w:firstColumn="0" w:lastColumn="0" w:oddVBand="1" w:evenVBand="0" w:oddHBand="0" w:evenHBand="0" w:firstRowFirstColumn="0" w:firstRowLastColumn="0" w:lastRowFirstColumn="0" w:lastRowLastColumn="0"/>
            <w:tcW w:w="1223" w:type="dxa"/>
          </w:tcPr>
          <w:p w14:paraId="0FC33E0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1.406</w:t>
            </w:r>
          </w:p>
        </w:tc>
        <w:tc>
          <w:tcPr>
            <w:cnfStyle w:val="000001000000" w:firstRow="0" w:lastRow="0" w:firstColumn="0" w:lastColumn="0" w:oddVBand="0" w:evenVBand="1" w:oddHBand="0" w:evenHBand="0" w:firstRowFirstColumn="0" w:firstRowLastColumn="0" w:lastRowFirstColumn="0" w:lastRowLastColumn="0"/>
            <w:tcW w:w="1516" w:type="dxa"/>
          </w:tcPr>
          <w:p w14:paraId="5030573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8.786</w:t>
            </w:r>
          </w:p>
        </w:tc>
        <w:tc>
          <w:tcPr>
            <w:cnfStyle w:val="000010000000" w:firstRow="0" w:lastRow="0" w:firstColumn="0" w:lastColumn="0" w:oddVBand="1" w:evenVBand="0" w:oddHBand="0" w:evenHBand="0" w:firstRowFirstColumn="0" w:firstRowLastColumn="0" w:lastRowFirstColumn="0" w:lastRowLastColumn="0"/>
            <w:tcW w:w="1532" w:type="dxa"/>
          </w:tcPr>
          <w:p w14:paraId="698E67F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56.748</w:t>
            </w:r>
          </w:p>
        </w:tc>
      </w:tr>
      <w:tr w:rsidR="00504F65" w:rsidRPr="00B265FC" w14:paraId="12C36648"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0CAC4F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w:t>
            </w:r>
          </w:p>
        </w:tc>
        <w:tc>
          <w:tcPr>
            <w:cnfStyle w:val="000001000000" w:firstRow="0" w:lastRow="0" w:firstColumn="0" w:lastColumn="0" w:oddVBand="0" w:evenVBand="1" w:oddHBand="0" w:evenHBand="0" w:firstRowFirstColumn="0" w:firstRowLastColumn="0" w:lastRowFirstColumn="0" w:lastRowLastColumn="0"/>
            <w:tcW w:w="1073" w:type="dxa"/>
          </w:tcPr>
          <w:p w14:paraId="3DF3CF2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1.189</w:t>
            </w:r>
          </w:p>
        </w:tc>
        <w:tc>
          <w:tcPr>
            <w:cnfStyle w:val="000010000000" w:firstRow="0" w:lastRow="0" w:firstColumn="0" w:lastColumn="0" w:oddVBand="1" w:evenVBand="0" w:oddHBand="0" w:evenHBand="0" w:firstRowFirstColumn="0" w:firstRowLastColumn="0" w:lastRowFirstColumn="0" w:lastRowLastColumn="0"/>
            <w:tcW w:w="1516" w:type="dxa"/>
          </w:tcPr>
          <w:p w14:paraId="4D5E588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7.429</w:t>
            </w:r>
          </w:p>
        </w:tc>
        <w:tc>
          <w:tcPr>
            <w:cnfStyle w:val="000001000000" w:firstRow="0" w:lastRow="0" w:firstColumn="0" w:lastColumn="0" w:oddVBand="0" w:evenVBand="1" w:oddHBand="0" w:evenHBand="0" w:firstRowFirstColumn="0" w:firstRowLastColumn="0" w:lastRowFirstColumn="0" w:lastRowLastColumn="0"/>
            <w:tcW w:w="1533" w:type="dxa"/>
          </w:tcPr>
          <w:p w14:paraId="3776A1E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64.177</w:t>
            </w:r>
          </w:p>
        </w:tc>
        <w:tc>
          <w:tcPr>
            <w:cnfStyle w:val="000010000000" w:firstRow="0" w:lastRow="0" w:firstColumn="0" w:lastColumn="0" w:oddVBand="1" w:evenVBand="0" w:oddHBand="0" w:evenHBand="0" w:firstRowFirstColumn="0" w:firstRowLastColumn="0" w:lastRowFirstColumn="0" w:lastRowLastColumn="0"/>
            <w:tcW w:w="1223" w:type="dxa"/>
          </w:tcPr>
          <w:p w14:paraId="5D2D447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1.189</w:t>
            </w:r>
          </w:p>
        </w:tc>
        <w:tc>
          <w:tcPr>
            <w:cnfStyle w:val="000001000000" w:firstRow="0" w:lastRow="0" w:firstColumn="0" w:lastColumn="0" w:oddVBand="0" w:evenVBand="1" w:oddHBand="0" w:evenHBand="0" w:firstRowFirstColumn="0" w:firstRowLastColumn="0" w:lastRowFirstColumn="0" w:lastRowLastColumn="0"/>
            <w:tcW w:w="1516" w:type="dxa"/>
          </w:tcPr>
          <w:p w14:paraId="2CA7D87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7.429</w:t>
            </w:r>
          </w:p>
        </w:tc>
        <w:tc>
          <w:tcPr>
            <w:cnfStyle w:val="000010000000" w:firstRow="0" w:lastRow="0" w:firstColumn="0" w:lastColumn="0" w:oddVBand="1" w:evenVBand="0" w:oddHBand="0" w:evenHBand="0" w:firstRowFirstColumn="0" w:firstRowLastColumn="0" w:lastRowFirstColumn="0" w:lastRowLastColumn="0"/>
            <w:tcW w:w="1532" w:type="dxa"/>
          </w:tcPr>
          <w:p w14:paraId="3E27AA7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64.177</w:t>
            </w:r>
          </w:p>
        </w:tc>
      </w:tr>
      <w:tr w:rsidR="00504F65" w:rsidRPr="00B265FC" w14:paraId="33C310C4"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D37A3D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w:t>
            </w:r>
          </w:p>
        </w:tc>
        <w:tc>
          <w:tcPr>
            <w:cnfStyle w:val="000001000000" w:firstRow="0" w:lastRow="0" w:firstColumn="0" w:lastColumn="0" w:oddVBand="0" w:evenVBand="1" w:oddHBand="0" w:evenHBand="0" w:firstRowFirstColumn="0" w:firstRowLastColumn="0" w:lastRowFirstColumn="0" w:lastRowLastColumn="0"/>
            <w:tcW w:w="1073" w:type="dxa"/>
          </w:tcPr>
          <w:p w14:paraId="0A950DC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1.097</w:t>
            </w:r>
          </w:p>
        </w:tc>
        <w:tc>
          <w:tcPr>
            <w:cnfStyle w:val="000010000000" w:firstRow="0" w:lastRow="0" w:firstColumn="0" w:lastColumn="0" w:oddVBand="1" w:evenVBand="0" w:oddHBand="0" w:evenHBand="0" w:firstRowFirstColumn="0" w:firstRowLastColumn="0" w:lastRowFirstColumn="0" w:lastRowLastColumn="0"/>
            <w:tcW w:w="1516" w:type="dxa"/>
          </w:tcPr>
          <w:p w14:paraId="133D63D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6.855</w:t>
            </w:r>
          </w:p>
        </w:tc>
        <w:tc>
          <w:tcPr>
            <w:cnfStyle w:val="000001000000" w:firstRow="0" w:lastRow="0" w:firstColumn="0" w:lastColumn="0" w:oddVBand="0" w:evenVBand="1" w:oddHBand="0" w:evenHBand="0" w:firstRowFirstColumn="0" w:firstRowLastColumn="0" w:lastRowFirstColumn="0" w:lastRowLastColumn="0"/>
            <w:tcW w:w="1533" w:type="dxa"/>
          </w:tcPr>
          <w:p w14:paraId="352B972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71.032</w:t>
            </w:r>
          </w:p>
        </w:tc>
        <w:tc>
          <w:tcPr>
            <w:cnfStyle w:val="000010000000" w:firstRow="0" w:lastRow="0" w:firstColumn="0" w:lastColumn="0" w:oddVBand="1" w:evenVBand="0" w:oddHBand="0" w:evenHBand="0" w:firstRowFirstColumn="0" w:firstRowLastColumn="0" w:lastRowFirstColumn="0" w:lastRowLastColumn="0"/>
            <w:tcW w:w="1223" w:type="dxa"/>
          </w:tcPr>
          <w:p w14:paraId="6451A20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1.097</w:t>
            </w:r>
          </w:p>
        </w:tc>
        <w:tc>
          <w:tcPr>
            <w:cnfStyle w:val="000001000000" w:firstRow="0" w:lastRow="0" w:firstColumn="0" w:lastColumn="0" w:oddVBand="0" w:evenVBand="1" w:oddHBand="0" w:evenHBand="0" w:firstRowFirstColumn="0" w:firstRowLastColumn="0" w:lastRowFirstColumn="0" w:lastRowLastColumn="0"/>
            <w:tcW w:w="1516" w:type="dxa"/>
          </w:tcPr>
          <w:p w14:paraId="2AC1ECF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6.855</w:t>
            </w:r>
          </w:p>
        </w:tc>
        <w:tc>
          <w:tcPr>
            <w:cnfStyle w:val="000010000000" w:firstRow="0" w:lastRow="0" w:firstColumn="0" w:lastColumn="0" w:oddVBand="1" w:evenVBand="0" w:oddHBand="0" w:evenHBand="0" w:firstRowFirstColumn="0" w:firstRowLastColumn="0" w:lastRowFirstColumn="0" w:lastRowLastColumn="0"/>
            <w:tcW w:w="1532" w:type="dxa"/>
          </w:tcPr>
          <w:p w14:paraId="6CAC945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71.032</w:t>
            </w:r>
          </w:p>
        </w:tc>
      </w:tr>
      <w:tr w:rsidR="00504F65" w:rsidRPr="00B265FC" w14:paraId="3445D76E"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5D66F62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w:t>
            </w:r>
          </w:p>
        </w:tc>
        <w:tc>
          <w:tcPr>
            <w:cnfStyle w:val="000001000000" w:firstRow="0" w:lastRow="0" w:firstColumn="0" w:lastColumn="0" w:oddVBand="0" w:evenVBand="1" w:oddHBand="0" w:evenHBand="0" w:firstRowFirstColumn="0" w:firstRowLastColumn="0" w:lastRowFirstColumn="0" w:lastRowLastColumn="0"/>
            <w:tcW w:w="1073" w:type="dxa"/>
          </w:tcPr>
          <w:p w14:paraId="51FE5D4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1.011</w:t>
            </w:r>
          </w:p>
        </w:tc>
        <w:tc>
          <w:tcPr>
            <w:cnfStyle w:val="000010000000" w:firstRow="0" w:lastRow="0" w:firstColumn="0" w:lastColumn="0" w:oddVBand="1" w:evenVBand="0" w:oddHBand="0" w:evenHBand="0" w:firstRowFirstColumn="0" w:firstRowLastColumn="0" w:lastRowFirstColumn="0" w:lastRowLastColumn="0"/>
            <w:tcW w:w="1516" w:type="dxa"/>
          </w:tcPr>
          <w:p w14:paraId="264C89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6.319</w:t>
            </w:r>
          </w:p>
        </w:tc>
        <w:tc>
          <w:tcPr>
            <w:cnfStyle w:val="000001000000" w:firstRow="0" w:lastRow="0" w:firstColumn="0" w:lastColumn="0" w:oddVBand="0" w:evenVBand="1" w:oddHBand="0" w:evenHBand="0" w:firstRowFirstColumn="0" w:firstRowLastColumn="0" w:lastRowFirstColumn="0" w:lastRowLastColumn="0"/>
            <w:tcW w:w="1533" w:type="dxa"/>
          </w:tcPr>
          <w:p w14:paraId="61330DB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77.351</w:t>
            </w:r>
          </w:p>
        </w:tc>
        <w:tc>
          <w:tcPr>
            <w:cnfStyle w:val="000010000000" w:firstRow="0" w:lastRow="0" w:firstColumn="0" w:lastColumn="0" w:oddVBand="1" w:evenVBand="0" w:oddHBand="0" w:evenHBand="0" w:firstRowFirstColumn="0" w:firstRowLastColumn="0" w:lastRowFirstColumn="0" w:lastRowLastColumn="0"/>
            <w:tcW w:w="1223" w:type="dxa"/>
          </w:tcPr>
          <w:p w14:paraId="7EA21CB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1.011</w:t>
            </w:r>
          </w:p>
        </w:tc>
        <w:tc>
          <w:tcPr>
            <w:cnfStyle w:val="000001000000" w:firstRow="0" w:lastRow="0" w:firstColumn="0" w:lastColumn="0" w:oddVBand="0" w:evenVBand="1" w:oddHBand="0" w:evenHBand="0" w:firstRowFirstColumn="0" w:firstRowLastColumn="0" w:lastRowFirstColumn="0" w:lastRowLastColumn="0"/>
            <w:tcW w:w="1516" w:type="dxa"/>
          </w:tcPr>
          <w:p w14:paraId="2C338BC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6.319</w:t>
            </w:r>
          </w:p>
        </w:tc>
        <w:tc>
          <w:tcPr>
            <w:cnfStyle w:val="000010000000" w:firstRow="0" w:lastRow="0" w:firstColumn="0" w:lastColumn="0" w:oddVBand="1" w:evenVBand="0" w:oddHBand="0" w:evenHBand="0" w:firstRowFirstColumn="0" w:firstRowLastColumn="0" w:lastRowFirstColumn="0" w:lastRowLastColumn="0"/>
            <w:tcW w:w="1532" w:type="dxa"/>
          </w:tcPr>
          <w:p w14:paraId="5085B38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77.351</w:t>
            </w:r>
          </w:p>
        </w:tc>
      </w:tr>
      <w:tr w:rsidR="00504F65" w:rsidRPr="00B265FC" w14:paraId="60E4CD85"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76665B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w:t>
            </w:r>
          </w:p>
        </w:tc>
        <w:tc>
          <w:tcPr>
            <w:cnfStyle w:val="000001000000" w:firstRow="0" w:lastRow="0" w:firstColumn="0" w:lastColumn="0" w:oddVBand="0" w:evenVBand="1" w:oddHBand="0" w:evenHBand="0" w:firstRowFirstColumn="0" w:firstRowLastColumn="0" w:lastRowFirstColumn="0" w:lastRowLastColumn="0"/>
            <w:tcW w:w="1073" w:type="dxa"/>
          </w:tcPr>
          <w:p w14:paraId="4FC09FA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.803</w:t>
            </w:r>
          </w:p>
        </w:tc>
        <w:tc>
          <w:tcPr>
            <w:cnfStyle w:val="000010000000" w:firstRow="0" w:lastRow="0" w:firstColumn="0" w:lastColumn="0" w:oddVBand="1" w:evenVBand="0" w:oddHBand="0" w:evenHBand="0" w:firstRowFirstColumn="0" w:firstRowLastColumn="0" w:lastRowFirstColumn="0" w:lastRowLastColumn="0"/>
            <w:tcW w:w="1516" w:type="dxa"/>
          </w:tcPr>
          <w:p w14:paraId="2BB9828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5.017</w:t>
            </w:r>
          </w:p>
        </w:tc>
        <w:tc>
          <w:tcPr>
            <w:cnfStyle w:val="000001000000" w:firstRow="0" w:lastRow="0" w:firstColumn="0" w:lastColumn="0" w:oddVBand="0" w:evenVBand="1" w:oddHBand="0" w:evenHBand="0" w:firstRowFirstColumn="0" w:firstRowLastColumn="0" w:lastRowFirstColumn="0" w:lastRowLastColumn="0"/>
            <w:tcW w:w="1533" w:type="dxa"/>
          </w:tcPr>
          <w:p w14:paraId="06D1BCC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82.368</w:t>
            </w:r>
          </w:p>
        </w:tc>
        <w:tc>
          <w:tcPr>
            <w:cnfStyle w:val="000010000000" w:firstRow="0" w:lastRow="0" w:firstColumn="0" w:lastColumn="0" w:oddVBand="1" w:evenVBand="0" w:oddHBand="0" w:evenHBand="0" w:firstRowFirstColumn="0" w:firstRowLastColumn="0" w:lastRowFirstColumn="0" w:lastRowLastColumn="0"/>
            <w:tcW w:w="1223" w:type="dxa"/>
          </w:tcPr>
          <w:p w14:paraId="3744E80E"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698723E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0079EF7A"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769487C9"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4AD5BFB"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w:t>
            </w:r>
          </w:p>
        </w:tc>
        <w:tc>
          <w:tcPr>
            <w:cnfStyle w:val="000001000000" w:firstRow="0" w:lastRow="0" w:firstColumn="0" w:lastColumn="0" w:oddVBand="0" w:evenVBand="1" w:oddHBand="0" w:evenHBand="0" w:firstRowFirstColumn="0" w:firstRowLastColumn="0" w:lastRowFirstColumn="0" w:lastRowLastColumn="0"/>
            <w:tcW w:w="1073" w:type="dxa"/>
          </w:tcPr>
          <w:p w14:paraId="49AE8A5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.700</w:t>
            </w:r>
          </w:p>
        </w:tc>
        <w:tc>
          <w:tcPr>
            <w:cnfStyle w:val="000010000000" w:firstRow="0" w:lastRow="0" w:firstColumn="0" w:lastColumn="0" w:oddVBand="1" w:evenVBand="0" w:oddHBand="0" w:evenHBand="0" w:firstRowFirstColumn="0" w:firstRowLastColumn="0" w:lastRowFirstColumn="0" w:lastRowLastColumn="0"/>
            <w:tcW w:w="1516" w:type="dxa"/>
          </w:tcPr>
          <w:p w14:paraId="47FF1E5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4.376</w:t>
            </w:r>
          </w:p>
        </w:tc>
        <w:tc>
          <w:tcPr>
            <w:cnfStyle w:val="000001000000" w:firstRow="0" w:lastRow="0" w:firstColumn="0" w:lastColumn="0" w:oddVBand="0" w:evenVBand="1" w:oddHBand="0" w:evenHBand="0" w:firstRowFirstColumn="0" w:firstRowLastColumn="0" w:lastRowFirstColumn="0" w:lastRowLastColumn="0"/>
            <w:tcW w:w="1533" w:type="dxa"/>
          </w:tcPr>
          <w:p w14:paraId="213C333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86.744</w:t>
            </w:r>
          </w:p>
        </w:tc>
        <w:tc>
          <w:tcPr>
            <w:cnfStyle w:val="000010000000" w:firstRow="0" w:lastRow="0" w:firstColumn="0" w:lastColumn="0" w:oddVBand="1" w:evenVBand="0" w:oddHBand="0" w:evenHBand="0" w:firstRowFirstColumn="0" w:firstRowLastColumn="0" w:lastRowFirstColumn="0" w:lastRowLastColumn="0"/>
            <w:tcW w:w="1223" w:type="dxa"/>
          </w:tcPr>
          <w:p w14:paraId="1D86B57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53ECEEFF"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4399992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7B9ED0EE"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3B2A337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w:t>
            </w:r>
          </w:p>
        </w:tc>
        <w:tc>
          <w:tcPr>
            <w:cnfStyle w:val="000001000000" w:firstRow="0" w:lastRow="0" w:firstColumn="0" w:lastColumn="0" w:oddVBand="0" w:evenVBand="1" w:oddHBand="0" w:evenHBand="0" w:firstRowFirstColumn="0" w:firstRowLastColumn="0" w:lastRowFirstColumn="0" w:lastRowLastColumn="0"/>
            <w:tcW w:w="1073" w:type="dxa"/>
          </w:tcPr>
          <w:p w14:paraId="5D042E9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.638</w:t>
            </w:r>
          </w:p>
        </w:tc>
        <w:tc>
          <w:tcPr>
            <w:cnfStyle w:val="000010000000" w:firstRow="0" w:lastRow="0" w:firstColumn="0" w:lastColumn="0" w:oddVBand="1" w:evenVBand="0" w:oddHBand="0" w:evenHBand="0" w:firstRowFirstColumn="0" w:firstRowLastColumn="0" w:lastRowFirstColumn="0" w:lastRowLastColumn="0"/>
            <w:tcW w:w="1516" w:type="dxa"/>
          </w:tcPr>
          <w:p w14:paraId="047D68E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3.985</w:t>
            </w:r>
          </w:p>
        </w:tc>
        <w:tc>
          <w:tcPr>
            <w:cnfStyle w:val="000001000000" w:firstRow="0" w:lastRow="0" w:firstColumn="0" w:lastColumn="0" w:oddVBand="0" w:evenVBand="1" w:oddHBand="0" w:evenHBand="0" w:firstRowFirstColumn="0" w:firstRowLastColumn="0" w:lastRowFirstColumn="0" w:lastRowLastColumn="0"/>
            <w:tcW w:w="1533" w:type="dxa"/>
          </w:tcPr>
          <w:p w14:paraId="5A2EF36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90.729</w:t>
            </w:r>
          </w:p>
        </w:tc>
        <w:tc>
          <w:tcPr>
            <w:cnfStyle w:val="000010000000" w:firstRow="0" w:lastRow="0" w:firstColumn="0" w:lastColumn="0" w:oddVBand="1" w:evenVBand="0" w:oddHBand="0" w:evenHBand="0" w:firstRowFirstColumn="0" w:firstRowLastColumn="0" w:lastRowFirstColumn="0" w:lastRowLastColumn="0"/>
            <w:tcW w:w="1223" w:type="dxa"/>
          </w:tcPr>
          <w:p w14:paraId="563DD10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1C88BC0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44A150A0"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B038A44" w14:textId="77777777" w:rsidTr="005F5E9E">
        <w:trPr>
          <w:trHeight w:val="329"/>
        </w:trPr>
        <w:tc>
          <w:tcPr>
            <w:cnfStyle w:val="000010000000" w:firstRow="0" w:lastRow="0" w:firstColumn="0" w:lastColumn="0" w:oddVBand="1" w:evenVBand="0" w:oddHBand="0" w:evenHBand="0" w:firstRowFirstColumn="0" w:firstRowLastColumn="0" w:lastRowFirstColumn="0" w:lastRowLastColumn="0"/>
            <w:tcW w:w="1352" w:type="dxa"/>
          </w:tcPr>
          <w:p w14:paraId="16C22D4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w:t>
            </w:r>
          </w:p>
        </w:tc>
        <w:tc>
          <w:tcPr>
            <w:cnfStyle w:val="000001000000" w:firstRow="0" w:lastRow="0" w:firstColumn="0" w:lastColumn="0" w:oddVBand="0" w:evenVBand="1" w:oddHBand="0" w:evenHBand="0" w:firstRowFirstColumn="0" w:firstRowLastColumn="0" w:lastRowFirstColumn="0" w:lastRowLastColumn="0"/>
            <w:tcW w:w="1073" w:type="dxa"/>
          </w:tcPr>
          <w:p w14:paraId="324ED49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.515</w:t>
            </w:r>
          </w:p>
        </w:tc>
        <w:tc>
          <w:tcPr>
            <w:cnfStyle w:val="000010000000" w:firstRow="0" w:lastRow="0" w:firstColumn="0" w:lastColumn="0" w:oddVBand="1" w:evenVBand="0" w:oddHBand="0" w:evenHBand="0" w:firstRowFirstColumn="0" w:firstRowLastColumn="0" w:lastRowFirstColumn="0" w:lastRowLastColumn="0"/>
            <w:tcW w:w="1516" w:type="dxa"/>
          </w:tcPr>
          <w:p w14:paraId="153E13E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3.220</w:t>
            </w:r>
          </w:p>
        </w:tc>
        <w:tc>
          <w:tcPr>
            <w:cnfStyle w:val="000001000000" w:firstRow="0" w:lastRow="0" w:firstColumn="0" w:lastColumn="0" w:oddVBand="0" w:evenVBand="1" w:oddHBand="0" w:evenHBand="0" w:firstRowFirstColumn="0" w:firstRowLastColumn="0" w:lastRowFirstColumn="0" w:lastRowLastColumn="0"/>
            <w:tcW w:w="1533" w:type="dxa"/>
          </w:tcPr>
          <w:p w14:paraId="098F1CA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93.949</w:t>
            </w:r>
          </w:p>
        </w:tc>
        <w:tc>
          <w:tcPr>
            <w:cnfStyle w:val="000010000000" w:firstRow="0" w:lastRow="0" w:firstColumn="0" w:lastColumn="0" w:oddVBand="1" w:evenVBand="0" w:oddHBand="0" w:evenHBand="0" w:firstRowFirstColumn="0" w:firstRowLastColumn="0" w:lastRowFirstColumn="0" w:lastRowLastColumn="0"/>
            <w:tcW w:w="1223" w:type="dxa"/>
          </w:tcPr>
          <w:p w14:paraId="524A0270"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7C4C542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17448734"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4F343E1D"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11DC2B4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13</w:t>
            </w:r>
          </w:p>
        </w:tc>
        <w:tc>
          <w:tcPr>
            <w:cnfStyle w:val="000001000000" w:firstRow="0" w:lastRow="0" w:firstColumn="0" w:lastColumn="0" w:oddVBand="0" w:evenVBand="1" w:oddHBand="0" w:evenHBand="0" w:firstRowFirstColumn="0" w:firstRowLastColumn="0" w:lastRowFirstColumn="0" w:lastRowLastColumn="0"/>
            <w:tcW w:w="1073" w:type="dxa"/>
          </w:tcPr>
          <w:p w14:paraId="4674C45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.335</w:t>
            </w:r>
          </w:p>
        </w:tc>
        <w:tc>
          <w:tcPr>
            <w:cnfStyle w:val="000010000000" w:firstRow="0" w:lastRow="0" w:firstColumn="0" w:lastColumn="0" w:oddVBand="1" w:evenVBand="0" w:oddHBand="0" w:evenHBand="0" w:firstRowFirstColumn="0" w:firstRowLastColumn="0" w:lastRowFirstColumn="0" w:lastRowLastColumn="0"/>
            <w:tcW w:w="1516" w:type="dxa"/>
          </w:tcPr>
          <w:p w14:paraId="089E1CD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2.096</w:t>
            </w:r>
          </w:p>
        </w:tc>
        <w:tc>
          <w:tcPr>
            <w:cnfStyle w:val="000001000000" w:firstRow="0" w:lastRow="0" w:firstColumn="0" w:lastColumn="0" w:oddVBand="0" w:evenVBand="1" w:oddHBand="0" w:evenHBand="0" w:firstRowFirstColumn="0" w:firstRowLastColumn="0" w:lastRowFirstColumn="0" w:lastRowLastColumn="0"/>
            <w:tcW w:w="1533" w:type="dxa"/>
          </w:tcPr>
          <w:p w14:paraId="34C65ED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96.045</w:t>
            </w:r>
          </w:p>
        </w:tc>
        <w:tc>
          <w:tcPr>
            <w:cnfStyle w:val="000010000000" w:firstRow="0" w:lastRow="0" w:firstColumn="0" w:lastColumn="0" w:oddVBand="1" w:evenVBand="0" w:oddHBand="0" w:evenHBand="0" w:firstRowFirstColumn="0" w:firstRowLastColumn="0" w:lastRowFirstColumn="0" w:lastRowLastColumn="0"/>
            <w:tcW w:w="1223" w:type="dxa"/>
          </w:tcPr>
          <w:p w14:paraId="39324BE8"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5996D447"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0A5A8F33"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12562D4"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223FCD4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w:t>
            </w:r>
          </w:p>
        </w:tc>
        <w:tc>
          <w:tcPr>
            <w:cnfStyle w:val="000001000000" w:firstRow="0" w:lastRow="0" w:firstColumn="0" w:lastColumn="0" w:oddVBand="0" w:evenVBand="1" w:oddHBand="0" w:evenHBand="0" w:firstRowFirstColumn="0" w:firstRowLastColumn="0" w:lastRowFirstColumn="0" w:lastRowLastColumn="0"/>
            <w:tcW w:w="1073" w:type="dxa"/>
          </w:tcPr>
          <w:p w14:paraId="04B3087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.282</w:t>
            </w:r>
          </w:p>
        </w:tc>
        <w:tc>
          <w:tcPr>
            <w:cnfStyle w:val="000010000000" w:firstRow="0" w:lastRow="0" w:firstColumn="0" w:lastColumn="0" w:oddVBand="1" w:evenVBand="0" w:oddHBand="0" w:evenHBand="0" w:firstRowFirstColumn="0" w:firstRowLastColumn="0" w:lastRowFirstColumn="0" w:lastRowLastColumn="0"/>
            <w:tcW w:w="1516" w:type="dxa"/>
          </w:tcPr>
          <w:p w14:paraId="635897B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1.764</w:t>
            </w:r>
          </w:p>
        </w:tc>
        <w:tc>
          <w:tcPr>
            <w:cnfStyle w:val="000001000000" w:firstRow="0" w:lastRow="0" w:firstColumn="0" w:lastColumn="0" w:oddVBand="0" w:evenVBand="1" w:oddHBand="0" w:evenHBand="0" w:firstRowFirstColumn="0" w:firstRowLastColumn="0" w:lastRowFirstColumn="0" w:lastRowLastColumn="0"/>
            <w:tcW w:w="1533" w:type="dxa"/>
          </w:tcPr>
          <w:p w14:paraId="58C23E0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97.809</w:t>
            </w:r>
          </w:p>
        </w:tc>
        <w:tc>
          <w:tcPr>
            <w:cnfStyle w:val="000010000000" w:firstRow="0" w:lastRow="0" w:firstColumn="0" w:lastColumn="0" w:oddVBand="1" w:evenVBand="0" w:oddHBand="0" w:evenHBand="0" w:firstRowFirstColumn="0" w:firstRowLastColumn="0" w:lastRowFirstColumn="0" w:lastRowLastColumn="0"/>
            <w:tcW w:w="1223" w:type="dxa"/>
          </w:tcPr>
          <w:p w14:paraId="2ED32D0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767310C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375774B7"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B62547E"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024D2A6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15</w:t>
            </w:r>
          </w:p>
        </w:tc>
        <w:tc>
          <w:tcPr>
            <w:cnfStyle w:val="000001000000" w:firstRow="0" w:lastRow="0" w:firstColumn="0" w:lastColumn="0" w:oddVBand="0" w:evenVBand="1" w:oddHBand="0" w:evenHBand="0" w:firstRowFirstColumn="0" w:firstRowLastColumn="0" w:lastRowFirstColumn="0" w:lastRowLastColumn="0"/>
            <w:tcW w:w="1073" w:type="dxa"/>
          </w:tcPr>
          <w:p w14:paraId="6560343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.228</w:t>
            </w:r>
          </w:p>
        </w:tc>
        <w:tc>
          <w:tcPr>
            <w:cnfStyle w:val="000010000000" w:firstRow="0" w:lastRow="0" w:firstColumn="0" w:lastColumn="0" w:oddVBand="1" w:evenVBand="0" w:oddHBand="0" w:evenHBand="0" w:firstRowFirstColumn="0" w:firstRowLastColumn="0" w:lastRowFirstColumn="0" w:lastRowLastColumn="0"/>
            <w:tcW w:w="1516" w:type="dxa"/>
          </w:tcPr>
          <w:p w14:paraId="36BF0AE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1.422</w:t>
            </w:r>
          </w:p>
        </w:tc>
        <w:tc>
          <w:tcPr>
            <w:cnfStyle w:val="000001000000" w:firstRow="0" w:lastRow="0" w:firstColumn="0" w:lastColumn="0" w:oddVBand="0" w:evenVBand="1" w:oddHBand="0" w:evenHBand="0" w:firstRowFirstColumn="0" w:firstRowLastColumn="0" w:lastRowFirstColumn="0" w:lastRowLastColumn="0"/>
            <w:tcW w:w="1533" w:type="dxa"/>
          </w:tcPr>
          <w:p w14:paraId="5A130FB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99.232</w:t>
            </w:r>
          </w:p>
        </w:tc>
        <w:tc>
          <w:tcPr>
            <w:cnfStyle w:val="000010000000" w:firstRow="0" w:lastRow="0" w:firstColumn="0" w:lastColumn="0" w:oddVBand="1" w:evenVBand="0" w:oddHBand="0" w:evenHBand="0" w:firstRowFirstColumn="0" w:firstRowLastColumn="0" w:lastRowFirstColumn="0" w:lastRowLastColumn="0"/>
            <w:tcW w:w="1223" w:type="dxa"/>
          </w:tcPr>
          <w:p w14:paraId="284FF093"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1DCCF73E"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5B35D61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29539223"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6504B7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w:t>
            </w:r>
          </w:p>
        </w:tc>
        <w:tc>
          <w:tcPr>
            <w:cnfStyle w:val="000001000000" w:firstRow="0" w:lastRow="0" w:firstColumn="0" w:lastColumn="0" w:oddVBand="0" w:evenVBand="1" w:oddHBand="0" w:evenHBand="0" w:firstRowFirstColumn="0" w:firstRowLastColumn="0" w:lastRowFirstColumn="0" w:lastRowLastColumn="0"/>
            <w:tcW w:w="1073" w:type="dxa"/>
          </w:tcPr>
          <w:p w14:paraId="116B674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.123</w:t>
            </w:r>
          </w:p>
        </w:tc>
        <w:tc>
          <w:tcPr>
            <w:cnfStyle w:val="000010000000" w:firstRow="0" w:lastRow="0" w:firstColumn="0" w:lastColumn="0" w:oddVBand="1" w:evenVBand="0" w:oddHBand="0" w:evenHBand="0" w:firstRowFirstColumn="0" w:firstRowLastColumn="0" w:lastRowFirstColumn="0" w:lastRowLastColumn="0"/>
            <w:tcW w:w="1516" w:type="dxa"/>
          </w:tcPr>
          <w:p w14:paraId="6065C2D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.768</w:t>
            </w:r>
          </w:p>
        </w:tc>
        <w:tc>
          <w:tcPr>
            <w:cnfStyle w:val="000001000000" w:firstRow="0" w:lastRow="0" w:firstColumn="0" w:lastColumn="0" w:oddVBand="0" w:evenVBand="1" w:oddHBand="0" w:evenHBand="0" w:firstRowFirstColumn="0" w:firstRowLastColumn="0" w:lastRowFirstColumn="0" w:lastRowLastColumn="0"/>
            <w:tcW w:w="1533" w:type="dxa"/>
          </w:tcPr>
          <w:p w14:paraId="3AF1A1B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100.000</w:t>
            </w:r>
          </w:p>
        </w:tc>
        <w:tc>
          <w:tcPr>
            <w:cnfStyle w:val="000010000000" w:firstRow="0" w:lastRow="0" w:firstColumn="0" w:lastColumn="0" w:oddVBand="1" w:evenVBand="0" w:oddHBand="0" w:evenHBand="0" w:firstRowFirstColumn="0" w:firstRowLastColumn="0" w:lastRowFirstColumn="0" w:lastRowLastColumn="0"/>
            <w:tcW w:w="1223" w:type="dxa"/>
          </w:tcPr>
          <w:p w14:paraId="62D5552C"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2D31709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5CB866F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bl>
    <w:p w14:paraId="061A1239" w14:textId="77777777" w:rsidR="003C6EF3" w:rsidRPr="00B265FC" w:rsidRDefault="003C6EF3" w:rsidP="00DC3FD6">
      <w:pPr>
        <w:pStyle w:val="NormalWeb"/>
        <w:spacing w:before="0" w:beforeAutospacing="0" w:after="0" w:afterAutospacing="0"/>
        <w:rPr>
          <w:color w:val="000000" w:themeColor="text1"/>
        </w:rPr>
      </w:pPr>
      <w:r w:rsidRPr="00F62AE4">
        <w:rPr>
          <w:b/>
          <w:bCs/>
          <w:color w:val="000000" w:themeColor="text1"/>
        </w:rPr>
        <w:t>Extraction Method:</w:t>
      </w:r>
      <w:r w:rsidRPr="00B265FC">
        <w:rPr>
          <w:color w:val="000000" w:themeColor="text1"/>
        </w:rPr>
        <w:t xml:space="preserve"> Principal Component Analysis</w:t>
      </w:r>
    </w:p>
    <w:p w14:paraId="3529A5A5" w14:textId="77777777" w:rsidR="0068676D" w:rsidRDefault="0068676D" w:rsidP="00DC3FD6">
      <w:pPr>
        <w:pStyle w:val="NormalWeb"/>
        <w:spacing w:before="0" w:beforeAutospacing="0" w:after="0" w:afterAutospacing="0"/>
        <w:jc w:val="both"/>
      </w:pPr>
    </w:p>
    <w:p w14:paraId="72DD30CA" w14:textId="5F731F9C" w:rsidR="00AB0B17" w:rsidRDefault="00AB0B17" w:rsidP="00DC3FD6">
      <w:pPr>
        <w:pStyle w:val="NormalWeb"/>
        <w:spacing w:before="0" w:beforeAutospacing="0" w:after="0" w:afterAutospacing="0"/>
        <w:jc w:val="both"/>
      </w:pPr>
      <w:r w:rsidRPr="00B265FC">
        <w:t xml:space="preserve">The </w:t>
      </w:r>
      <w:r w:rsidR="006A0C2C">
        <w:t>eigenvalue</w:t>
      </w:r>
      <w:r w:rsidR="006A0C2C" w:rsidRPr="00B265FC">
        <w:t xml:space="preserve"> of</w:t>
      </w:r>
      <w:r w:rsidRPr="00B265FC">
        <w:t xml:space="preserve"> eight factors, which were above 1.0 in the factor analysis, combined to explain a total of 77.35 percent of the variance in CSR driver items. The four leading factors show that they have a contribution of 47.96% to the variance</w:t>
      </w:r>
      <w:r w:rsidR="006A0C2C">
        <w:t>,</w:t>
      </w:r>
      <w:r w:rsidRPr="00B265FC">
        <w:t xml:space="preserve"> and thus</w:t>
      </w:r>
      <w:r w:rsidR="006A0C2C">
        <w:t>,</w:t>
      </w:r>
      <w:r w:rsidRPr="00B265FC">
        <w:t xml:space="preserve"> they are mainly used as a driver of CSR among the managers. According to the Kaiser criterion, </w:t>
      </w:r>
      <w:r w:rsidR="006A0C2C">
        <w:t>factors with</w:t>
      </w:r>
      <w:r w:rsidRPr="00B265FC">
        <w:t xml:space="preserve"> eigenvalues greater than 1.0 are </w:t>
      </w:r>
      <w:r w:rsidR="006A0C2C">
        <w:t>considered</w:t>
      </w:r>
      <w:r w:rsidRPr="00B265FC">
        <w:t xml:space="preserve"> significant (Pallant, 2001). Also, the </w:t>
      </w:r>
      <w:proofErr w:type="spellStart"/>
      <w:r w:rsidRPr="00B265FC">
        <w:t>Catell</w:t>
      </w:r>
      <w:proofErr w:type="spellEnd"/>
      <w:r w:rsidRPr="00B265FC">
        <w:t xml:space="preserve"> scree plot technique was applied to narrow down on the factors. According to the scree plot, </w:t>
      </w:r>
      <w:r w:rsidR="006A0C2C">
        <w:t>a distinct elbow</w:t>
      </w:r>
      <w:r w:rsidRPr="00B265FC">
        <w:t xml:space="preserve"> was observed in the fifth factor, and it was indicated that the five factors would be more effective </w:t>
      </w:r>
      <w:r w:rsidR="006A0C2C">
        <w:t>in reflecting</w:t>
      </w:r>
      <w:r w:rsidRPr="00B265FC">
        <w:t xml:space="preserve"> the structure underlying the drivers of CSR (</w:t>
      </w:r>
      <w:proofErr w:type="spellStart"/>
      <w:r w:rsidRPr="00B265FC">
        <w:t>Catell</w:t>
      </w:r>
      <w:proofErr w:type="spellEnd"/>
      <w:r w:rsidRPr="00B265FC">
        <w:t>, 1966). This is confirmed by the sudden decrease of eigenvalues of the first five factors</w:t>
      </w:r>
      <w:r w:rsidR="006A0C2C">
        <w:t>,</w:t>
      </w:r>
      <w:r w:rsidRPr="00B265FC">
        <w:t xml:space="preserve"> with a gradual decrease thereafter. Thus, the five factors mentioned first should be further analyzed the most, as they contribute to the </w:t>
      </w:r>
      <w:r w:rsidR="006A0C2C">
        <w:t>most significant</w:t>
      </w:r>
      <w:r w:rsidRPr="00B265FC">
        <w:t xml:space="preserve"> share of the CSR driver’s variance. The method will combine the Kaiser criterion and the scree plot technique, </w:t>
      </w:r>
      <w:r w:rsidR="006A0C2C">
        <w:t>guaranteeing</w:t>
      </w:r>
      <w:r w:rsidRPr="00B265FC">
        <w:t xml:space="preserve"> a sound base in interpreting the major drivers of CSR in the banking industry (</w:t>
      </w:r>
      <w:proofErr w:type="spellStart"/>
      <w:r w:rsidRPr="00B265FC">
        <w:t>Pallant</w:t>
      </w:r>
      <w:proofErr w:type="spellEnd"/>
      <w:r w:rsidRPr="00B265FC">
        <w:t xml:space="preserve">, 2001; </w:t>
      </w:r>
      <w:proofErr w:type="spellStart"/>
      <w:r w:rsidRPr="00B265FC">
        <w:t>Catell</w:t>
      </w:r>
      <w:proofErr w:type="spellEnd"/>
      <w:r w:rsidRPr="00B265FC">
        <w:t>, 1966).</w:t>
      </w:r>
    </w:p>
    <w:p w14:paraId="490A80E7" w14:textId="77777777" w:rsidR="00F62AE4" w:rsidRPr="00B265FC" w:rsidRDefault="00F62AE4" w:rsidP="00DC3FD6">
      <w:pPr>
        <w:pStyle w:val="NormalWeb"/>
        <w:spacing w:before="0" w:beforeAutospacing="0" w:after="0" w:afterAutospacing="0"/>
        <w:jc w:val="both"/>
      </w:pPr>
    </w:p>
    <w:p w14:paraId="185D40DD" w14:textId="221A7F01" w:rsidR="00B411BA" w:rsidRPr="00B265FC" w:rsidRDefault="00B411BA" w:rsidP="00DC3FD6">
      <w:pPr>
        <w:pStyle w:val="NormalWeb"/>
        <w:spacing w:before="0" w:beforeAutospacing="0" w:after="0" w:afterAutospacing="0"/>
        <w:jc w:val="center"/>
      </w:pPr>
      <w:r w:rsidRPr="00B265FC">
        <w:rPr>
          <w:b/>
          <w:color w:val="000000" w:themeColor="text1"/>
        </w:rPr>
        <w:t>Figure 1</w:t>
      </w:r>
      <w:r w:rsidR="006312C6" w:rsidRPr="00B265FC">
        <w:rPr>
          <w:b/>
          <w:color w:val="000000" w:themeColor="text1"/>
        </w:rPr>
        <w:t xml:space="preserve"> Scree Plot</w:t>
      </w:r>
    </w:p>
    <w:p w14:paraId="4C8E2671" w14:textId="7D7C6145" w:rsidR="000B4ED8" w:rsidRPr="00B265FC" w:rsidRDefault="003320AD" w:rsidP="00DC3FD6">
      <w:pPr>
        <w:autoSpaceDE w:val="0"/>
        <w:autoSpaceDN w:val="0"/>
        <w:adjustRightInd w:val="0"/>
        <w:jc w:val="both"/>
        <w:rPr>
          <w:rFonts w:ascii="Times New Roman" w:hAnsi="Times New Roman" w:cs="Times New Roman"/>
          <w:color w:val="000000" w:themeColor="text1"/>
        </w:rPr>
      </w:pPr>
      <w:r w:rsidRPr="003320AD">
        <w:rPr>
          <w:rFonts w:ascii="Times New Roman" w:hAnsi="Times New Roman" w:cs="Times New Roman"/>
          <w:noProof/>
          <w:color w:val="000000" w:themeColor="text1"/>
        </w:rPr>
        <w:t xml:space="preserve"> As shown in Table </w:t>
      </w:r>
      <w:r w:rsidR="00E201A2">
        <w:rPr>
          <w:rFonts w:ascii="Times New Roman" w:hAnsi="Times New Roman" w:cs="Times New Roman"/>
          <w:noProof/>
          <w:color w:val="000000" w:themeColor="text1"/>
        </w:rPr>
        <w:t>10</w:t>
      </w:r>
      <w:r w:rsidRPr="003320AD">
        <w:rPr>
          <w:rFonts w:ascii="Times New Roman" w:hAnsi="Times New Roman" w:cs="Times New Roman"/>
          <w:noProof/>
          <w:color w:val="000000" w:themeColor="text1"/>
        </w:rPr>
        <w:t>, the rotated factor solution exhibits a clear structure with four major factors having high loadings. To ensure these factors' relevance, only variables with absolute factor loadings over 0.3 were included, as higher loadings indicate a stronger connection to the factor (Vaus, 2002). The analysis identified four key aspects of Local and Global Forces, representing the impact of local and global influences on CSR and Corporate Image, highlighting the effect of CSR activities on the company's financial results, and emphasizing Cultural Awareness, which underscores the importance of cultural context in developing CSR practices. These are the main motivators driving CSR practices in the banking industry in Bangladesh and offer a solid understanding of the drivers and forces shaping their CSR initiatives.</w:t>
      </w:r>
    </w:p>
    <w:p w14:paraId="046593D2" w14:textId="77777777" w:rsidR="003C6EF3" w:rsidRPr="00B265FC" w:rsidRDefault="003C6EF3" w:rsidP="00DC3FD6">
      <w:pPr>
        <w:jc w:val="center"/>
        <w:rPr>
          <w:rFonts w:ascii="Times New Roman" w:hAnsi="Times New Roman" w:cs="Times New Roman"/>
          <w:b/>
          <w:color w:val="000000" w:themeColor="text1"/>
        </w:rPr>
      </w:pPr>
    </w:p>
    <w:p w14:paraId="47E49FCD" w14:textId="4632826D" w:rsidR="000B4ED8" w:rsidRPr="00B265FC" w:rsidRDefault="000B4ED8"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10</w:t>
      </w:r>
      <w:r w:rsidRPr="00B265FC">
        <w:rPr>
          <w:rFonts w:ascii="Times New Roman" w:eastAsia="Times New Roman" w:hAnsi="Times New Roman" w:cs="Times New Roman"/>
          <w:color w:val="000000" w:themeColor="text1"/>
          <w:kern w:val="0"/>
          <w:lang w:eastAsia="en-GB" w:bidi="bn-IN"/>
          <w14:ligatures w14:val="none"/>
        </w:rPr>
        <w:t>: Rotated Component Matrix on Drivers of CSR in Banking Sector</w:t>
      </w:r>
    </w:p>
    <w:tbl>
      <w:tblPr>
        <w:tblStyle w:val="TableGrid"/>
        <w:tblW w:w="0" w:type="auto"/>
        <w:tblLook w:val="04A0" w:firstRow="1" w:lastRow="0" w:firstColumn="1" w:lastColumn="0" w:noHBand="0" w:noVBand="1"/>
      </w:tblPr>
      <w:tblGrid>
        <w:gridCol w:w="2787"/>
        <w:gridCol w:w="1493"/>
        <w:gridCol w:w="1529"/>
        <w:gridCol w:w="1875"/>
        <w:gridCol w:w="1666"/>
      </w:tblGrid>
      <w:tr w:rsidR="00504F65" w:rsidRPr="003320AD" w14:paraId="00533844" w14:textId="77777777" w:rsidTr="003320AD">
        <w:tc>
          <w:tcPr>
            <w:tcW w:w="0" w:type="auto"/>
            <w:hideMark/>
          </w:tcPr>
          <w:p w14:paraId="28D36460"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Variable</w:t>
            </w:r>
          </w:p>
        </w:tc>
        <w:tc>
          <w:tcPr>
            <w:tcW w:w="0" w:type="auto"/>
            <w:hideMark/>
          </w:tcPr>
          <w:p w14:paraId="50BE75BD"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1: Local &amp; Global Forces</w:t>
            </w:r>
          </w:p>
        </w:tc>
        <w:tc>
          <w:tcPr>
            <w:tcW w:w="0" w:type="auto"/>
            <w:hideMark/>
          </w:tcPr>
          <w:p w14:paraId="35B7BCB6"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2: Corporate Image</w:t>
            </w:r>
          </w:p>
        </w:tc>
        <w:tc>
          <w:tcPr>
            <w:tcW w:w="0" w:type="auto"/>
            <w:hideMark/>
          </w:tcPr>
          <w:p w14:paraId="64CF5EEB"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3: Economic Performance</w:t>
            </w:r>
          </w:p>
        </w:tc>
        <w:tc>
          <w:tcPr>
            <w:tcW w:w="0" w:type="auto"/>
            <w:hideMark/>
          </w:tcPr>
          <w:p w14:paraId="02793E2F"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4: Cultural Awareness</w:t>
            </w:r>
          </w:p>
        </w:tc>
      </w:tr>
      <w:tr w:rsidR="00504F65" w:rsidRPr="003320AD" w14:paraId="0A2F1327" w14:textId="77777777" w:rsidTr="003320AD">
        <w:tc>
          <w:tcPr>
            <w:tcW w:w="0" w:type="auto"/>
            <w:hideMark/>
          </w:tcPr>
          <w:p w14:paraId="13A23C1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Government pressure</w:t>
            </w:r>
          </w:p>
        </w:tc>
        <w:tc>
          <w:tcPr>
            <w:tcW w:w="0" w:type="auto"/>
            <w:hideMark/>
          </w:tcPr>
          <w:p w14:paraId="51E8B9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0.857</w:t>
            </w:r>
          </w:p>
        </w:tc>
        <w:tc>
          <w:tcPr>
            <w:tcW w:w="0" w:type="auto"/>
            <w:hideMark/>
          </w:tcPr>
          <w:p w14:paraId="68219AC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C3B830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21DBED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16AF4FE" w14:textId="77777777" w:rsidTr="003320AD">
        <w:tc>
          <w:tcPr>
            <w:tcW w:w="0" w:type="auto"/>
            <w:hideMark/>
          </w:tcPr>
          <w:p w14:paraId="4AFE78DD"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Global pressure</w:t>
            </w:r>
          </w:p>
        </w:tc>
        <w:tc>
          <w:tcPr>
            <w:tcW w:w="0" w:type="auto"/>
            <w:hideMark/>
          </w:tcPr>
          <w:p w14:paraId="1F6F8AE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0.873</w:t>
            </w:r>
          </w:p>
        </w:tc>
        <w:tc>
          <w:tcPr>
            <w:tcW w:w="0" w:type="auto"/>
            <w:hideMark/>
          </w:tcPr>
          <w:p w14:paraId="152FB65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27361A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F761E0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31336BAE" w14:textId="77777777" w:rsidTr="003320AD">
        <w:tc>
          <w:tcPr>
            <w:tcW w:w="0" w:type="auto"/>
            <w:hideMark/>
          </w:tcPr>
          <w:p w14:paraId="2F459741"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Pressure from special interest groups</w:t>
            </w:r>
          </w:p>
        </w:tc>
        <w:tc>
          <w:tcPr>
            <w:tcW w:w="0" w:type="auto"/>
            <w:hideMark/>
          </w:tcPr>
          <w:p w14:paraId="1BC870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0.563</w:t>
            </w:r>
          </w:p>
        </w:tc>
        <w:tc>
          <w:tcPr>
            <w:tcW w:w="0" w:type="auto"/>
            <w:hideMark/>
          </w:tcPr>
          <w:p w14:paraId="7390E12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1B4CC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A5DF2A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3736FB2E" w14:textId="77777777" w:rsidTr="003320AD">
        <w:tc>
          <w:tcPr>
            <w:tcW w:w="0" w:type="auto"/>
            <w:hideMark/>
          </w:tcPr>
          <w:p w14:paraId="1CB6B8B9"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Pressure of general public opinion</w:t>
            </w:r>
          </w:p>
        </w:tc>
        <w:tc>
          <w:tcPr>
            <w:tcW w:w="0" w:type="auto"/>
            <w:hideMark/>
          </w:tcPr>
          <w:p w14:paraId="28D941C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0.734</w:t>
            </w:r>
          </w:p>
        </w:tc>
        <w:tc>
          <w:tcPr>
            <w:tcW w:w="0" w:type="auto"/>
            <w:hideMark/>
          </w:tcPr>
          <w:p w14:paraId="31BCA44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CF78B8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FB1131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42080460" w14:textId="77777777" w:rsidTr="003320AD">
        <w:tc>
          <w:tcPr>
            <w:tcW w:w="0" w:type="auto"/>
            <w:hideMark/>
          </w:tcPr>
          <w:p w14:paraId="534EDDAA"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Enhance reputation and public image</w:t>
            </w:r>
          </w:p>
        </w:tc>
        <w:tc>
          <w:tcPr>
            <w:tcW w:w="0" w:type="auto"/>
            <w:hideMark/>
          </w:tcPr>
          <w:p w14:paraId="139AA75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F1178C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0.762</w:t>
            </w:r>
          </w:p>
        </w:tc>
        <w:tc>
          <w:tcPr>
            <w:tcW w:w="0" w:type="auto"/>
            <w:hideMark/>
          </w:tcPr>
          <w:p w14:paraId="4C529C5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459F9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9397877" w14:textId="77777777" w:rsidTr="003320AD">
        <w:tc>
          <w:tcPr>
            <w:tcW w:w="0" w:type="auto"/>
            <w:hideMark/>
          </w:tcPr>
          <w:p w14:paraId="489CAA45"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Enhance community trust and support</w:t>
            </w:r>
          </w:p>
        </w:tc>
        <w:tc>
          <w:tcPr>
            <w:tcW w:w="0" w:type="auto"/>
            <w:hideMark/>
          </w:tcPr>
          <w:p w14:paraId="3D3CF94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733D4F5"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0.762</w:t>
            </w:r>
          </w:p>
        </w:tc>
        <w:tc>
          <w:tcPr>
            <w:tcW w:w="0" w:type="auto"/>
            <w:hideMark/>
          </w:tcPr>
          <w:p w14:paraId="4A7DB5B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53B1DB5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B01B196" w14:textId="77777777" w:rsidTr="003320AD">
        <w:tc>
          <w:tcPr>
            <w:tcW w:w="0" w:type="auto"/>
            <w:hideMark/>
          </w:tcPr>
          <w:p w14:paraId="5CCF6CD5"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Traditional beliefs and customs</w:t>
            </w:r>
          </w:p>
        </w:tc>
        <w:tc>
          <w:tcPr>
            <w:tcW w:w="0" w:type="auto"/>
            <w:hideMark/>
          </w:tcPr>
          <w:p w14:paraId="1C8F0E08"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71A1CE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0.314</w:t>
            </w:r>
          </w:p>
        </w:tc>
        <w:tc>
          <w:tcPr>
            <w:tcW w:w="0" w:type="auto"/>
            <w:hideMark/>
          </w:tcPr>
          <w:p w14:paraId="7FD39524"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30D945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0C1E213C" w14:textId="77777777" w:rsidTr="003320AD">
        <w:tc>
          <w:tcPr>
            <w:tcW w:w="0" w:type="auto"/>
            <w:hideMark/>
          </w:tcPr>
          <w:p w14:paraId="3B06C6C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Profitability of the venture</w:t>
            </w:r>
          </w:p>
        </w:tc>
        <w:tc>
          <w:tcPr>
            <w:tcW w:w="0" w:type="auto"/>
            <w:hideMark/>
          </w:tcPr>
          <w:p w14:paraId="0E054AF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C19AAD0"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FBAD988"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0.808</w:t>
            </w:r>
          </w:p>
        </w:tc>
        <w:tc>
          <w:tcPr>
            <w:tcW w:w="0" w:type="auto"/>
            <w:hideMark/>
          </w:tcPr>
          <w:p w14:paraId="3E382CD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7D7CC4B" w14:textId="77777777" w:rsidTr="003320AD">
        <w:tc>
          <w:tcPr>
            <w:tcW w:w="0" w:type="auto"/>
            <w:hideMark/>
          </w:tcPr>
          <w:p w14:paraId="7AEDB370"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lastRenderedPageBreak/>
              <w:t>Strategy for competitive advantage</w:t>
            </w:r>
          </w:p>
        </w:tc>
        <w:tc>
          <w:tcPr>
            <w:tcW w:w="0" w:type="auto"/>
            <w:hideMark/>
          </w:tcPr>
          <w:p w14:paraId="0C09DC2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1509A5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C3ED0D4"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0.640</w:t>
            </w:r>
          </w:p>
        </w:tc>
        <w:tc>
          <w:tcPr>
            <w:tcW w:w="0" w:type="auto"/>
            <w:hideMark/>
          </w:tcPr>
          <w:p w14:paraId="50DE3659"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5E2DDEB" w14:textId="77777777" w:rsidTr="003320AD">
        <w:tc>
          <w:tcPr>
            <w:tcW w:w="0" w:type="auto"/>
            <w:hideMark/>
          </w:tcPr>
          <w:p w14:paraId="2CC562E4"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Practice of the organization</w:t>
            </w:r>
          </w:p>
        </w:tc>
        <w:tc>
          <w:tcPr>
            <w:tcW w:w="0" w:type="auto"/>
            <w:hideMark/>
          </w:tcPr>
          <w:p w14:paraId="2B6F923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249AD4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0F88B64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0.591</w:t>
            </w:r>
          </w:p>
        </w:tc>
        <w:tc>
          <w:tcPr>
            <w:tcW w:w="0" w:type="auto"/>
            <w:hideMark/>
          </w:tcPr>
          <w:p w14:paraId="0AC5EB5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50E51F5" w14:textId="77777777" w:rsidTr="003320AD">
        <w:tc>
          <w:tcPr>
            <w:tcW w:w="0" w:type="auto"/>
            <w:hideMark/>
          </w:tcPr>
          <w:p w14:paraId="4B6874B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Religious responsibility</w:t>
            </w:r>
          </w:p>
        </w:tc>
        <w:tc>
          <w:tcPr>
            <w:tcW w:w="0" w:type="auto"/>
            <w:hideMark/>
          </w:tcPr>
          <w:p w14:paraId="01532D8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F05AC9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7BA166F"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8FB8AF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0.728</w:t>
            </w:r>
          </w:p>
        </w:tc>
      </w:tr>
      <w:tr w:rsidR="00504F65" w:rsidRPr="003320AD" w14:paraId="749F2EDD" w14:textId="77777777" w:rsidTr="003320AD">
        <w:tc>
          <w:tcPr>
            <w:tcW w:w="0" w:type="auto"/>
            <w:hideMark/>
          </w:tcPr>
          <w:p w14:paraId="416B215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Matching of social needs to corporate skill, need or ability to help</w:t>
            </w:r>
          </w:p>
        </w:tc>
        <w:tc>
          <w:tcPr>
            <w:tcW w:w="0" w:type="auto"/>
            <w:hideMark/>
          </w:tcPr>
          <w:p w14:paraId="45EB9BE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AC943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62FDAD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4EA8939"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0.635</w:t>
            </w:r>
          </w:p>
        </w:tc>
      </w:tr>
      <w:tr w:rsidR="00504F65" w:rsidRPr="003320AD" w14:paraId="303DF941" w14:textId="77777777" w:rsidTr="003320AD">
        <w:tc>
          <w:tcPr>
            <w:tcW w:w="0" w:type="auto"/>
            <w:hideMark/>
          </w:tcPr>
          <w:p w14:paraId="19D5C85A"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Personal ethical and cultural tradition</w:t>
            </w:r>
          </w:p>
        </w:tc>
        <w:tc>
          <w:tcPr>
            <w:tcW w:w="0" w:type="auto"/>
            <w:hideMark/>
          </w:tcPr>
          <w:p w14:paraId="3973E61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E4F899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C5EB31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091A2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0.626</w:t>
            </w:r>
          </w:p>
        </w:tc>
      </w:tr>
      <w:tr w:rsidR="00504F65" w:rsidRPr="003320AD" w14:paraId="2CCA43F9" w14:textId="77777777" w:rsidTr="003320AD">
        <w:tc>
          <w:tcPr>
            <w:tcW w:w="0" w:type="auto"/>
            <w:hideMark/>
          </w:tcPr>
          <w:p w14:paraId="54900256"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School or University training</w:t>
            </w:r>
          </w:p>
        </w:tc>
        <w:tc>
          <w:tcPr>
            <w:tcW w:w="0" w:type="auto"/>
            <w:hideMark/>
          </w:tcPr>
          <w:p w14:paraId="33B6814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B8A20B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D15CE7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89F92A9"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0.658</w:t>
            </w:r>
          </w:p>
        </w:tc>
      </w:tr>
      <w:tr w:rsidR="00504F65" w:rsidRPr="003320AD" w14:paraId="1666C75E" w14:textId="77777777" w:rsidTr="003320AD">
        <w:tc>
          <w:tcPr>
            <w:tcW w:w="0" w:type="auto"/>
            <w:hideMark/>
          </w:tcPr>
          <w:p w14:paraId="669E747B"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Family upbringing</w:t>
            </w:r>
          </w:p>
        </w:tc>
        <w:tc>
          <w:tcPr>
            <w:tcW w:w="0" w:type="auto"/>
            <w:hideMark/>
          </w:tcPr>
          <w:p w14:paraId="67E78865" w14:textId="77777777" w:rsidR="000B4ED8" w:rsidRPr="003320AD" w:rsidRDefault="000B4ED8" w:rsidP="00DC3FD6">
            <w:pPr>
              <w:rPr>
                <w:rFonts w:ascii="Times New Roman" w:eastAsia="Times New Roman" w:hAnsi="Times New Roman" w:cs="Times New Roman"/>
                <w:color w:val="000000" w:themeColor="text1"/>
                <w:lang w:eastAsia="en-GB" w:bidi="bn-IN"/>
              </w:rPr>
            </w:pPr>
          </w:p>
        </w:tc>
        <w:tc>
          <w:tcPr>
            <w:tcW w:w="0" w:type="auto"/>
            <w:hideMark/>
          </w:tcPr>
          <w:p w14:paraId="3868723E" w14:textId="77777777" w:rsidR="000B4ED8" w:rsidRPr="003320AD" w:rsidRDefault="000B4ED8" w:rsidP="00DC3FD6">
            <w:pPr>
              <w:rPr>
                <w:rFonts w:ascii="Times New Roman" w:eastAsia="Times New Roman" w:hAnsi="Times New Roman" w:cs="Times New Roman"/>
                <w:color w:val="000000" w:themeColor="text1"/>
                <w:lang w:eastAsia="en-GB" w:bidi="bn-IN"/>
              </w:rPr>
            </w:pPr>
          </w:p>
        </w:tc>
        <w:tc>
          <w:tcPr>
            <w:tcW w:w="0" w:type="auto"/>
            <w:hideMark/>
          </w:tcPr>
          <w:p w14:paraId="19F38F6A" w14:textId="77777777" w:rsidR="000B4ED8" w:rsidRPr="003320AD" w:rsidRDefault="000B4ED8" w:rsidP="00DC3FD6">
            <w:pPr>
              <w:rPr>
                <w:rFonts w:ascii="Times New Roman" w:eastAsia="Times New Roman" w:hAnsi="Times New Roman" w:cs="Times New Roman"/>
                <w:color w:val="000000" w:themeColor="text1"/>
                <w:lang w:eastAsia="en-GB" w:bidi="bn-IN"/>
              </w:rPr>
            </w:pPr>
          </w:p>
        </w:tc>
        <w:tc>
          <w:tcPr>
            <w:tcW w:w="0" w:type="auto"/>
            <w:hideMark/>
          </w:tcPr>
          <w:p w14:paraId="2FD195A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0.735</w:t>
            </w:r>
          </w:p>
        </w:tc>
      </w:tr>
    </w:tbl>
    <w:p w14:paraId="7FFB0E40" w14:textId="77777777" w:rsidR="000B4ED8" w:rsidRPr="00B265FC" w:rsidRDefault="000B4ED8"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Extraction Method:</w:t>
      </w:r>
      <w:r w:rsidRPr="00B265FC">
        <w:rPr>
          <w:rFonts w:ascii="Times New Roman" w:eastAsia="Times New Roman" w:hAnsi="Times New Roman" w:cs="Times New Roman"/>
          <w:color w:val="000000" w:themeColor="text1"/>
          <w:kern w:val="0"/>
          <w:lang w:eastAsia="en-GB" w:bidi="bn-IN"/>
          <w14:ligatures w14:val="none"/>
        </w:rPr>
        <w:t xml:space="preserve"> Principal Axis Factor Rotation Method: Varimax with Kaiser Normalization</w:t>
      </w:r>
    </w:p>
    <w:p w14:paraId="22FE4610" w14:textId="77777777" w:rsidR="00F62AE4" w:rsidRDefault="00F62AE4" w:rsidP="00DC3FD6">
      <w:pPr>
        <w:jc w:val="both"/>
        <w:rPr>
          <w:rFonts w:ascii="Times New Roman" w:hAnsi="Times New Roman" w:cs="Times New Roman"/>
          <w:color w:val="000000" w:themeColor="text1"/>
        </w:rPr>
      </w:pPr>
    </w:p>
    <w:p w14:paraId="407B6CD9" w14:textId="120608F4" w:rsidR="003C6EF3" w:rsidRPr="00B265FC" w:rsidRDefault="004B5578" w:rsidP="00DC3FD6">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rotated component table, as illustrated in Table </w:t>
      </w:r>
      <w:r w:rsidR="00E201A2">
        <w:rPr>
          <w:rFonts w:ascii="Times New Roman" w:hAnsi="Times New Roman" w:cs="Times New Roman"/>
          <w:color w:val="000000" w:themeColor="text1"/>
        </w:rPr>
        <w:t>10</w:t>
      </w:r>
      <w:r>
        <w:rPr>
          <w:rFonts w:ascii="Times New Roman" w:hAnsi="Times New Roman" w:cs="Times New Roman"/>
          <w:color w:val="000000" w:themeColor="text1"/>
        </w:rPr>
        <w:t>, delineates four principal drivers of Corporate Social Responsibility (CSR) engagement within the banking sector in Bangladesh. Factor 1, designated as Local and Global Forces, comprises variables such as governmental influence, international pressures, advocacy from special interest groups, and public opinion. These variables exhibit high loadings, signifying their substantial contribution to CSR practices. This factor accounts for the highest proportion of variance at 28.47%, rendering it a pivotal element in the development of CSR initiatives. Factor 2, termed Corporate Image, encompasses inquiries related to bolstering community confidence and support, enhancing reputation and public perception, as well as traditional beliefs and customs. It contributes 47.62 percent to the total variance, indicating that corporate image is a significant determinant in shaping CSR activities. Factor 3, designated Economic Performance, includes aspects such as profitability, strategies for maintaining competitive advantage, and organizational practices, explaining 5.68 percent of the variance. Finally, Factor 4, identified as cultural awareness, comprises personal ethical and cultural traditions, religious obligations, and the alignment of social needs with corporate capabilities, accounting for 18.23 percent of the variance. Although it has a smaller share, this factor emphasizes the importance of cultural and ethical considerations in CSR. Overall, the analysis suggests that non-economic factors—particularly those pertaining to corporate image and local and global pressures—are regarded as the primary drivers of CSR engagement within Bangladesh’s banking industry. This provides valuable insights into the motivations underpinning CSR activities.</w:t>
      </w:r>
    </w:p>
    <w:p w14:paraId="1C6AFDDF" w14:textId="77777777" w:rsidR="00AB0B17" w:rsidRPr="00B265FC" w:rsidRDefault="00AB0B17" w:rsidP="00DC3FD6">
      <w:pPr>
        <w:jc w:val="both"/>
        <w:rPr>
          <w:rFonts w:ascii="Times New Roman" w:hAnsi="Times New Roman" w:cs="Times New Roman"/>
          <w:b/>
          <w:bCs/>
          <w:color w:val="000000" w:themeColor="text1"/>
        </w:rPr>
      </w:pPr>
    </w:p>
    <w:p w14:paraId="5A0BA649" w14:textId="71871447" w:rsidR="00B411BA" w:rsidRPr="00B265FC" w:rsidRDefault="00B411BA" w:rsidP="00DC3FD6">
      <w:pPr>
        <w:jc w:val="center"/>
        <w:rPr>
          <w:rFonts w:ascii="Times New Roman" w:hAnsi="Times New Roman" w:cs="Times New Roman"/>
          <w:color w:val="000000" w:themeColor="text1"/>
        </w:rPr>
      </w:pPr>
      <w:r w:rsidRPr="00B265FC">
        <w:rPr>
          <w:rFonts w:ascii="Times New Roman" w:hAnsi="Times New Roman" w:cs="Times New Roman"/>
          <w:b/>
          <w:bCs/>
          <w:color w:val="000000" w:themeColor="text1"/>
        </w:rPr>
        <w:t>Figure.2</w:t>
      </w:r>
      <w:r w:rsidR="006312C6" w:rsidRPr="00B265FC">
        <w:rPr>
          <w:rFonts w:ascii="Times New Roman" w:hAnsi="Times New Roman" w:cs="Times New Roman"/>
          <w:b/>
          <w:bCs/>
          <w:color w:val="000000" w:themeColor="text1"/>
        </w:rPr>
        <w:t xml:space="preserve"> </w:t>
      </w:r>
      <w:bookmarkStart w:id="3" w:name="_Hlk217741333"/>
      <w:r w:rsidR="006312C6" w:rsidRPr="00B265FC">
        <w:rPr>
          <w:rFonts w:ascii="Times New Roman" w:hAnsi="Times New Roman" w:cs="Times New Roman"/>
          <w:b/>
          <w:bCs/>
          <w:color w:val="000000" w:themeColor="text1"/>
        </w:rPr>
        <w:t>Scree Plot</w:t>
      </w:r>
      <w:bookmarkEnd w:id="3"/>
    </w:p>
    <w:p w14:paraId="0BF7161D"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r w:rsidRPr="00B265FC">
        <w:rPr>
          <w:rFonts w:ascii="Times New Roman" w:hAnsi="Times New Roman" w:cs="Times New Roman"/>
          <w:noProof/>
          <w:color w:val="000000" w:themeColor="text1"/>
        </w:rPr>
        <w:lastRenderedPageBreak/>
        <w:drawing>
          <wp:inline distT="0" distB="0" distL="0" distR="0" wp14:anchorId="25E6D06C" wp14:editId="22D69016">
            <wp:extent cx="5943600" cy="4756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211816FA" w14:textId="3EC52843" w:rsidR="00615E46" w:rsidRDefault="004B5578" w:rsidP="00DC3FD6">
      <w:pPr>
        <w:pStyle w:val="NormalWeb"/>
        <w:spacing w:before="0" w:beforeAutospacing="0" w:after="0" w:afterAutospacing="0"/>
        <w:jc w:val="both"/>
      </w:pPr>
      <w:r>
        <w:t>In this research, the scree plot analysis (see Figure 2) shows a clear shift from a steep drop in the eigenvalues of the initial factors to a more gradual leveling off after the fourth factor. Based on this, it is concluded that using the Scree test offers a more meaningful way to interpret the data.</w:t>
      </w:r>
    </w:p>
    <w:p w14:paraId="1B7769BA" w14:textId="77777777" w:rsidR="00F62AE4" w:rsidRPr="00B265FC" w:rsidRDefault="00F62AE4" w:rsidP="00DC3FD6">
      <w:pPr>
        <w:pStyle w:val="NormalWeb"/>
        <w:spacing w:before="0" w:beforeAutospacing="0" w:after="0" w:afterAutospacing="0"/>
        <w:jc w:val="both"/>
      </w:pPr>
    </w:p>
    <w:p w14:paraId="34363064" w14:textId="0F370E7F"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4.5 CSR Commitment in </w:t>
      </w:r>
      <w:r w:rsidR="003A0C55">
        <w:rPr>
          <w:rFonts w:ascii="Times New Roman" w:hAnsi="Times New Roman" w:cs="Times New Roman"/>
          <w:b/>
          <w:bCs/>
          <w:color w:val="000000" w:themeColor="text1"/>
        </w:rPr>
        <w:t xml:space="preserve">the </w:t>
      </w:r>
      <w:r w:rsidRPr="00B265FC">
        <w:rPr>
          <w:rFonts w:ascii="Times New Roman" w:hAnsi="Times New Roman" w:cs="Times New Roman"/>
          <w:b/>
          <w:bCs/>
          <w:color w:val="000000" w:themeColor="text1"/>
        </w:rPr>
        <w:t>banking Sector in Bangladesh</w:t>
      </w:r>
    </w:p>
    <w:p w14:paraId="261CA499" w14:textId="37AE90F1" w:rsidR="00615E46" w:rsidRDefault="003A0C55" w:rsidP="00DC3FD6">
      <w:pPr>
        <w:pStyle w:val="NormalWeb"/>
        <w:spacing w:before="0" w:beforeAutospacing="0" w:after="0" w:afterAutospacing="0"/>
        <w:jc w:val="both"/>
      </w:pPr>
      <w:r>
        <w:t xml:space="preserve">This section explores the perceptions of both senior and executive managers regarding the level of CSR commitment within Bangladesh's banking sector. The analysis includes nineteen statements about CSR commitment, with responses measured on a five-point Likert scale from 1 ("Not important at all") to 5 ("Very important"). Table </w:t>
      </w:r>
      <w:r w:rsidR="00E201A2">
        <w:t>11</w:t>
      </w:r>
      <w:r>
        <w:t xml:space="preserve"> presents the results, highlighting the relative importance of these CSR commitments in the banking industry.</w:t>
      </w:r>
    </w:p>
    <w:p w14:paraId="13A17F75" w14:textId="77777777" w:rsidR="00F62AE4" w:rsidRPr="00B265FC" w:rsidRDefault="00F62AE4" w:rsidP="00DC3FD6">
      <w:pPr>
        <w:pStyle w:val="NormalWeb"/>
        <w:spacing w:before="0" w:beforeAutospacing="0" w:after="0" w:afterAutospacing="0"/>
        <w:jc w:val="both"/>
      </w:pPr>
    </w:p>
    <w:p w14:paraId="33E34D43" w14:textId="7BC5CC0B" w:rsidR="000B4ED8" w:rsidRPr="00B265FC" w:rsidRDefault="000B4ED8"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11</w:t>
      </w:r>
      <w:r w:rsidRPr="00B265FC">
        <w:rPr>
          <w:rFonts w:ascii="Times New Roman" w:eastAsia="Times New Roman" w:hAnsi="Times New Roman" w:cs="Times New Roman"/>
          <w:color w:val="000000" w:themeColor="text1"/>
          <w:kern w:val="0"/>
          <w:lang w:eastAsia="en-GB" w:bidi="bn-IN"/>
          <w14:ligatures w14:val="none"/>
        </w:rPr>
        <w:t>: Friedman Test to Rank CSR Commitment in the Banking Sector in Bangladesh</w:t>
      </w:r>
    </w:p>
    <w:tbl>
      <w:tblPr>
        <w:tblStyle w:val="TableGrid"/>
        <w:tblW w:w="0" w:type="auto"/>
        <w:tblLook w:val="04A0" w:firstRow="1" w:lastRow="0" w:firstColumn="1" w:lastColumn="0" w:noHBand="0" w:noVBand="1"/>
      </w:tblPr>
      <w:tblGrid>
        <w:gridCol w:w="6237"/>
        <w:gridCol w:w="717"/>
        <w:gridCol w:w="1434"/>
        <w:gridCol w:w="962"/>
      </w:tblGrid>
      <w:tr w:rsidR="00504F65" w:rsidRPr="003A0C55" w14:paraId="79E382D1" w14:textId="77777777" w:rsidTr="003A0C55">
        <w:tc>
          <w:tcPr>
            <w:tcW w:w="0" w:type="auto"/>
            <w:hideMark/>
          </w:tcPr>
          <w:p w14:paraId="3217C85A"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Statement</w:t>
            </w:r>
          </w:p>
        </w:tc>
        <w:tc>
          <w:tcPr>
            <w:tcW w:w="0" w:type="auto"/>
            <w:hideMark/>
          </w:tcPr>
          <w:p w14:paraId="556DE356"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Mean</w:t>
            </w:r>
          </w:p>
        </w:tc>
        <w:tc>
          <w:tcPr>
            <w:tcW w:w="0" w:type="auto"/>
            <w:hideMark/>
          </w:tcPr>
          <w:p w14:paraId="73B72E62"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Std. Deviation</w:t>
            </w:r>
          </w:p>
        </w:tc>
        <w:tc>
          <w:tcPr>
            <w:tcW w:w="0" w:type="auto"/>
            <w:hideMark/>
          </w:tcPr>
          <w:p w14:paraId="557B6521"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Ranking</w:t>
            </w:r>
          </w:p>
        </w:tc>
      </w:tr>
      <w:tr w:rsidR="00504F65" w:rsidRPr="003A0C55" w14:paraId="1747BE32" w14:textId="77777777" w:rsidTr="003A0C55">
        <w:tc>
          <w:tcPr>
            <w:tcW w:w="0" w:type="auto"/>
            <w:hideMark/>
          </w:tcPr>
          <w:p w14:paraId="281E9858"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Arts and Cultural Activities</w:t>
            </w:r>
          </w:p>
        </w:tc>
        <w:tc>
          <w:tcPr>
            <w:tcW w:w="0" w:type="auto"/>
            <w:hideMark/>
          </w:tcPr>
          <w:p w14:paraId="38C72AB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2.92</w:t>
            </w:r>
          </w:p>
        </w:tc>
        <w:tc>
          <w:tcPr>
            <w:tcW w:w="0" w:type="auto"/>
            <w:hideMark/>
          </w:tcPr>
          <w:p w14:paraId="4BBF1BB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0.340</w:t>
            </w:r>
          </w:p>
        </w:tc>
        <w:tc>
          <w:tcPr>
            <w:tcW w:w="0" w:type="auto"/>
            <w:hideMark/>
          </w:tcPr>
          <w:p w14:paraId="7D96A51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w:t>
            </w:r>
          </w:p>
        </w:tc>
      </w:tr>
      <w:tr w:rsidR="00504F65" w:rsidRPr="003A0C55" w14:paraId="651735BF" w14:textId="77777777" w:rsidTr="003A0C55">
        <w:tc>
          <w:tcPr>
            <w:tcW w:w="0" w:type="auto"/>
            <w:hideMark/>
          </w:tcPr>
          <w:p w14:paraId="3658340B"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for Public Amenities (i.e., bus stop, shades)</w:t>
            </w:r>
          </w:p>
        </w:tc>
        <w:tc>
          <w:tcPr>
            <w:tcW w:w="0" w:type="auto"/>
            <w:hideMark/>
          </w:tcPr>
          <w:p w14:paraId="70D1667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2.90</w:t>
            </w:r>
          </w:p>
        </w:tc>
        <w:tc>
          <w:tcPr>
            <w:tcW w:w="0" w:type="auto"/>
            <w:hideMark/>
          </w:tcPr>
          <w:p w14:paraId="2C5475E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0.364</w:t>
            </w:r>
          </w:p>
        </w:tc>
        <w:tc>
          <w:tcPr>
            <w:tcW w:w="0" w:type="auto"/>
            <w:hideMark/>
          </w:tcPr>
          <w:p w14:paraId="3F3B682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w:t>
            </w:r>
          </w:p>
        </w:tc>
      </w:tr>
      <w:tr w:rsidR="00504F65" w:rsidRPr="003A0C55" w14:paraId="7D254916" w14:textId="77777777" w:rsidTr="003A0C55">
        <w:tc>
          <w:tcPr>
            <w:tcW w:w="0" w:type="auto"/>
            <w:hideMark/>
          </w:tcPr>
          <w:p w14:paraId="4675C63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Charitable and Philanthropic Activities</w:t>
            </w:r>
          </w:p>
        </w:tc>
        <w:tc>
          <w:tcPr>
            <w:tcW w:w="0" w:type="auto"/>
            <w:hideMark/>
          </w:tcPr>
          <w:p w14:paraId="2F42000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2.88</w:t>
            </w:r>
          </w:p>
        </w:tc>
        <w:tc>
          <w:tcPr>
            <w:tcW w:w="0" w:type="auto"/>
            <w:hideMark/>
          </w:tcPr>
          <w:p w14:paraId="1208C4E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0.435</w:t>
            </w:r>
          </w:p>
        </w:tc>
        <w:tc>
          <w:tcPr>
            <w:tcW w:w="0" w:type="auto"/>
            <w:hideMark/>
          </w:tcPr>
          <w:p w14:paraId="75774F2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3</w:t>
            </w:r>
          </w:p>
        </w:tc>
      </w:tr>
      <w:tr w:rsidR="00504F65" w:rsidRPr="003A0C55" w14:paraId="0577A6A3" w14:textId="77777777" w:rsidTr="003A0C55">
        <w:tc>
          <w:tcPr>
            <w:tcW w:w="0" w:type="auto"/>
            <w:hideMark/>
          </w:tcPr>
          <w:p w14:paraId="1A71C5C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Public Health and Safety</w:t>
            </w:r>
          </w:p>
        </w:tc>
        <w:tc>
          <w:tcPr>
            <w:tcW w:w="0" w:type="auto"/>
            <w:hideMark/>
          </w:tcPr>
          <w:p w14:paraId="19BE509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2.86</w:t>
            </w:r>
          </w:p>
        </w:tc>
        <w:tc>
          <w:tcPr>
            <w:tcW w:w="0" w:type="auto"/>
            <w:hideMark/>
          </w:tcPr>
          <w:p w14:paraId="3525B79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0.405</w:t>
            </w:r>
          </w:p>
        </w:tc>
        <w:tc>
          <w:tcPr>
            <w:tcW w:w="0" w:type="auto"/>
            <w:hideMark/>
          </w:tcPr>
          <w:p w14:paraId="03022CA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4</w:t>
            </w:r>
          </w:p>
        </w:tc>
      </w:tr>
      <w:tr w:rsidR="00504F65" w:rsidRPr="003A0C55" w14:paraId="7928E423" w14:textId="77777777" w:rsidTr="003A0C55">
        <w:tc>
          <w:tcPr>
            <w:tcW w:w="0" w:type="auto"/>
            <w:hideMark/>
          </w:tcPr>
          <w:p w14:paraId="5A4075E2"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Assistance in Overcoming Problems Related to Drug Abuse and Alcoholism</w:t>
            </w:r>
          </w:p>
        </w:tc>
        <w:tc>
          <w:tcPr>
            <w:tcW w:w="0" w:type="auto"/>
            <w:hideMark/>
          </w:tcPr>
          <w:p w14:paraId="75F7588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2D0CF4A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0.422</w:t>
            </w:r>
          </w:p>
        </w:tc>
        <w:tc>
          <w:tcPr>
            <w:tcW w:w="0" w:type="auto"/>
            <w:hideMark/>
          </w:tcPr>
          <w:p w14:paraId="6511DBC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5</w:t>
            </w:r>
          </w:p>
        </w:tc>
      </w:tr>
      <w:tr w:rsidR="00504F65" w:rsidRPr="003A0C55" w14:paraId="4E978D4E" w14:textId="77777777" w:rsidTr="003A0C55">
        <w:tc>
          <w:tcPr>
            <w:tcW w:w="0" w:type="auto"/>
            <w:hideMark/>
          </w:tcPr>
          <w:p w14:paraId="30C50F2C"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lastRenderedPageBreak/>
              <w:t>Pollution Control</w:t>
            </w:r>
          </w:p>
        </w:tc>
        <w:tc>
          <w:tcPr>
            <w:tcW w:w="0" w:type="auto"/>
            <w:hideMark/>
          </w:tcPr>
          <w:p w14:paraId="12E3D99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4A1F17B9"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0.370</w:t>
            </w:r>
          </w:p>
        </w:tc>
        <w:tc>
          <w:tcPr>
            <w:tcW w:w="0" w:type="auto"/>
            <w:hideMark/>
          </w:tcPr>
          <w:p w14:paraId="25DDF1F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6</w:t>
            </w:r>
          </w:p>
        </w:tc>
      </w:tr>
      <w:tr w:rsidR="00504F65" w:rsidRPr="003A0C55" w14:paraId="6C5C0F72" w14:textId="77777777" w:rsidTr="003A0C55">
        <w:tc>
          <w:tcPr>
            <w:tcW w:w="0" w:type="auto"/>
            <w:hideMark/>
          </w:tcPr>
          <w:p w14:paraId="2714D29D"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Quality of Work Life Programs</w:t>
            </w:r>
          </w:p>
        </w:tc>
        <w:tc>
          <w:tcPr>
            <w:tcW w:w="0" w:type="auto"/>
            <w:hideMark/>
          </w:tcPr>
          <w:p w14:paraId="64E08C6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157639A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0.370</w:t>
            </w:r>
          </w:p>
        </w:tc>
        <w:tc>
          <w:tcPr>
            <w:tcW w:w="0" w:type="auto"/>
            <w:hideMark/>
          </w:tcPr>
          <w:p w14:paraId="738FBD3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7</w:t>
            </w:r>
          </w:p>
        </w:tc>
      </w:tr>
      <w:tr w:rsidR="00504F65" w:rsidRPr="003A0C55" w14:paraId="459F0B28" w14:textId="77777777" w:rsidTr="003A0C55">
        <w:tc>
          <w:tcPr>
            <w:tcW w:w="0" w:type="auto"/>
            <w:hideMark/>
          </w:tcPr>
          <w:p w14:paraId="22C98878"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Public Education Programs</w:t>
            </w:r>
          </w:p>
        </w:tc>
        <w:tc>
          <w:tcPr>
            <w:tcW w:w="0" w:type="auto"/>
            <w:hideMark/>
          </w:tcPr>
          <w:p w14:paraId="2885276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2.82</w:t>
            </w:r>
          </w:p>
        </w:tc>
        <w:tc>
          <w:tcPr>
            <w:tcW w:w="0" w:type="auto"/>
            <w:hideMark/>
          </w:tcPr>
          <w:p w14:paraId="1745830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0.438</w:t>
            </w:r>
          </w:p>
        </w:tc>
        <w:tc>
          <w:tcPr>
            <w:tcW w:w="0" w:type="auto"/>
            <w:hideMark/>
          </w:tcPr>
          <w:p w14:paraId="60C0202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8</w:t>
            </w:r>
          </w:p>
        </w:tc>
      </w:tr>
      <w:tr w:rsidR="00504F65" w:rsidRPr="003A0C55" w14:paraId="294C34DA" w14:textId="77777777" w:rsidTr="003A0C55">
        <w:tc>
          <w:tcPr>
            <w:tcW w:w="0" w:type="auto"/>
            <w:hideMark/>
          </w:tcPr>
          <w:p w14:paraId="017BC8D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Environmental Protection Law</w:t>
            </w:r>
          </w:p>
        </w:tc>
        <w:tc>
          <w:tcPr>
            <w:tcW w:w="0" w:type="auto"/>
            <w:hideMark/>
          </w:tcPr>
          <w:p w14:paraId="04D4824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2.78</w:t>
            </w:r>
          </w:p>
        </w:tc>
        <w:tc>
          <w:tcPr>
            <w:tcW w:w="0" w:type="auto"/>
            <w:hideMark/>
          </w:tcPr>
          <w:p w14:paraId="67968AA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0.582</w:t>
            </w:r>
          </w:p>
        </w:tc>
        <w:tc>
          <w:tcPr>
            <w:tcW w:w="0" w:type="auto"/>
            <w:hideMark/>
          </w:tcPr>
          <w:p w14:paraId="1552EC9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9</w:t>
            </w:r>
          </w:p>
        </w:tc>
      </w:tr>
      <w:tr w:rsidR="00504F65" w:rsidRPr="003A0C55" w14:paraId="6C613C54" w14:textId="77777777" w:rsidTr="003A0C55">
        <w:tc>
          <w:tcPr>
            <w:tcW w:w="0" w:type="auto"/>
            <w:hideMark/>
          </w:tcPr>
          <w:p w14:paraId="6B9465A9" w14:textId="2546D875" w:rsidR="000B4ED8" w:rsidRPr="003A0C55" w:rsidRDefault="00E91ACD"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Donation to Schools and Colleges (e.g. scholarship or bursary to students)</w:t>
            </w:r>
          </w:p>
        </w:tc>
        <w:tc>
          <w:tcPr>
            <w:tcW w:w="0" w:type="auto"/>
            <w:hideMark/>
          </w:tcPr>
          <w:p w14:paraId="370CF5C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2.78</w:t>
            </w:r>
          </w:p>
        </w:tc>
        <w:tc>
          <w:tcPr>
            <w:tcW w:w="0" w:type="auto"/>
            <w:hideMark/>
          </w:tcPr>
          <w:p w14:paraId="073D0CF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0.465</w:t>
            </w:r>
          </w:p>
        </w:tc>
        <w:tc>
          <w:tcPr>
            <w:tcW w:w="0" w:type="auto"/>
            <w:hideMark/>
          </w:tcPr>
          <w:p w14:paraId="4C26178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10</w:t>
            </w:r>
          </w:p>
        </w:tc>
      </w:tr>
      <w:tr w:rsidR="00504F65" w:rsidRPr="003A0C55" w14:paraId="231B5202" w14:textId="77777777" w:rsidTr="003A0C55">
        <w:tc>
          <w:tcPr>
            <w:tcW w:w="0" w:type="auto"/>
            <w:hideMark/>
          </w:tcPr>
          <w:p w14:paraId="69545BB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Building and Ground Beautification</w:t>
            </w:r>
          </w:p>
        </w:tc>
        <w:tc>
          <w:tcPr>
            <w:tcW w:w="0" w:type="auto"/>
            <w:hideMark/>
          </w:tcPr>
          <w:p w14:paraId="6450AAB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2.74</w:t>
            </w:r>
          </w:p>
        </w:tc>
        <w:tc>
          <w:tcPr>
            <w:tcW w:w="0" w:type="auto"/>
            <w:hideMark/>
          </w:tcPr>
          <w:p w14:paraId="05B12F4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0.527</w:t>
            </w:r>
          </w:p>
        </w:tc>
        <w:tc>
          <w:tcPr>
            <w:tcW w:w="0" w:type="auto"/>
            <w:hideMark/>
          </w:tcPr>
          <w:p w14:paraId="796E9A1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11</w:t>
            </w:r>
          </w:p>
        </w:tc>
      </w:tr>
      <w:tr w:rsidR="00504F65" w:rsidRPr="003A0C55" w14:paraId="20B84BE7" w14:textId="77777777" w:rsidTr="003A0C55">
        <w:tc>
          <w:tcPr>
            <w:tcW w:w="0" w:type="auto"/>
            <w:hideMark/>
          </w:tcPr>
          <w:p w14:paraId="6A25D9C9"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Employee Welfare and Training Programs</w:t>
            </w:r>
          </w:p>
        </w:tc>
        <w:tc>
          <w:tcPr>
            <w:tcW w:w="0" w:type="auto"/>
            <w:hideMark/>
          </w:tcPr>
          <w:p w14:paraId="4920E3AA"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2.72</w:t>
            </w:r>
          </w:p>
        </w:tc>
        <w:tc>
          <w:tcPr>
            <w:tcW w:w="0" w:type="auto"/>
            <w:hideMark/>
          </w:tcPr>
          <w:p w14:paraId="0DCABCF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0.573</w:t>
            </w:r>
          </w:p>
        </w:tc>
        <w:tc>
          <w:tcPr>
            <w:tcW w:w="0" w:type="auto"/>
            <w:hideMark/>
          </w:tcPr>
          <w:p w14:paraId="35BFF8C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12</w:t>
            </w:r>
          </w:p>
        </w:tc>
      </w:tr>
      <w:tr w:rsidR="00504F65" w:rsidRPr="003A0C55" w14:paraId="007312F5" w14:textId="77777777" w:rsidTr="003A0C55">
        <w:tc>
          <w:tcPr>
            <w:tcW w:w="0" w:type="auto"/>
            <w:hideMark/>
          </w:tcPr>
          <w:p w14:paraId="5944B3A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Handicap Hiring and Training, and Employment</w:t>
            </w:r>
          </w:p>
        </w:tc>
        <w:tc>
          <w:tcPr>
            <w:tcW w:w="0" w:type="auto"/>
            <w:hideMark/>
          </w:tcPr>
          <w:p w14:paraId="3BAE277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2.72</w:t>
            </w:r>
          </w:p>
        </w:tc>
        <w:tc>
          <w:tcPr>
            <w:tcW w:w="0" w:type="auto"/>
            <w:hideMark/>
          </w:tcPr>
          <w:p w14:paraId="232C4FA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0.640</w:t>
            </w:r>
          </w:p>
        </w:tc>
        <w:tc>
          <w:tcPr>
            <w:tcW w:w="0" w:type="auto"/>
            <w:hideMark/>
          </w:tcPr>
          <w:p w14:paraId="75F9851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13</w:t>
            </w:r>
          </w:p>
        </w:tc>
      </w:tr>
      <w:tr w:rsidR="00504F65" w:rsidRPr="003A0C55" w14:paraId="6627F9EB" w14:textId="77777777" w:rsidTr="003A0C55">
        <w:tc>
          <w:tcPr>
            <w:tcW w:w="0" w:type="auto"/>
            <w:hideMark/>
          </w:tcPr>
          <w:p w14:paraId="59AAE79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Crime Prevention</w:t>
            </w:r>
          </w:p>
        </w:tc>
        <w:tc>
          <w:tcPr>
            <w:tcW w:w="0" w:type="auto"/>
            <w:hideMark/>
          </w:tcPr>
          <w:p w14:paraId="0C837A9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2.70</w:t>
            </w:r>
          </w:p>
        </w:tc>
        <w:tc>
          <w:tcPr>
            <w:tcW w:w="0" w:type="auto"/>
            <w:hideMark/>
          </w:tcPr>
          <w:p w14:paraId="2B0336B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0.614</w:t>
            </w:r>
          </w:p>
        </w:tc>
        <w:tc>
          <w:tcPr>
            <w:tcW w:w="0" w:type="auto"/>
            <w:hideMark/>
          </w:tcPr>
          <w:p w14:paraId="3557035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14</w:t>
            </w:r>
          </w:p>
        </w:tc>
      </w:tr>
      <w:tr w:rsidR="00504F65" w:rsidRPr="003A0C55" w14:paraId="7CFAB432" w14:textId="77777777" w:rsidTr="003A0C55">
        <w:tc>
          <w:tcPr>
            <w:tcW w:w="0" w:type="auto"/>
            <w:hideMark/>
          </w:tcPr>
          <w:p w14:paraId="26AB99FE"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Contribution for Games and Sports</w:t>
            </w:r>
          </w:p>
        </w:tc>
        <w:tc>
          <w:tcPr>
            <w:tcW w:w="0" w:type="auto"/>
            <w:hideMark/>
          </w:tcPr>
          <w:p w14:paraId="203F752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2.66</w:t>
            </w:r>
          </w:p>
        </w:tc>
        <w:tc>
          <w:tcPr>
            <w:tcW w:w="0" w:type="auto"/>
            <w:hideMark/>
          </w:tcPr>
          <w:p w14:paraId="3D7DFE6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0.688</w:t>
            </w:r>
          </w:p>
        </w:tc>
        <w:tc>
          <w:tcPr>
            <w:tcW w:w="0" w:type="auto"/>
            <w:hideMark/>
          </w:tcPr>
          <w:p w14:paraId="2595C03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15</w:t>
            </w:r>
          </w:p>
        </w:tc>
      </w:tr>
      <w:tr w:rsidR="00504F65" w:rsidRPr="003A0C55" w14:paraId="5BAA2AB2" w14:textId="77777777" w:rsidTr="003A0C55">
        <w:tc>
          <w:tcPr>
            <w:tcW w:w="0" w:type="auto"/>
            <w:hideMark/>
          </w:tcPr>
          <w:p w14:paraId="38DFDC4C"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Loan to Small Enterprises</w:t>
            </w:r>
          </w:p>
        </w:tc>
        <w:tc>
          <w:tcPr>
            <w:tcW w:w="0" w:type="auto"/>
            <w:hideMark/>
          </w:tcPr>
          <w:p w14:paraId="7F132C7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2.66</w:t>
            </w:r>
          </w:p>
        </w:tc>
        <w:tc>
          <w:tcPr>
            <w:tcW w:w="0" w:type="auto"/>
            <w:hideMark/>
          </w:tcPr>
          <w:p w14:paraId="1D9CED4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0.688</w:t>
            </w:r>
          </w:p>
        </w:tc>
        <w:tc>
          <w:tcPr>
            <w:tcW w:w="0" w:type="auto"/>
            <w:hideMark/>
          </w:tcPr>
          <w:p w14:paraId="28478AF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16</w:t>
            </w:r>
          </w:p>
        </w:tc>
      </w:tr>
      <w:tr w:rsidR="00504F65" w:rsidRPr="003A0C55" w14:paraId="1EB945F9" w14:textId="77777777" w:rsidTr="003A0C55">
        <w:tc>
          <w:tcPr>
            <w:tcW w:w="0" w:type="auto"/>
            <w:hideMark/>
          </w:tcPr>
          <w:p w14:paraId="2A34E521"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Loans for Low-Income Housing</w:t>
            </w:r>
          </w:p>
        </w:tc>
        <w:tc>
          <w:tcPr>
            <w:tcW w:w="0" w:type="auto"/>
            <w:hideMark/>
          </w:tcPr>
          <w:p w14:paraId="4A46DD2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2.60</w:t>
            </w:r>
          </w:p>
        </w:tc>
        <w:tc>
          <w:tcPr>
            <w:tcW w:w="0" w:type="auto"/>
            <w:hideMark/>
          </w:tcPr>
          <w:p w14:paraId="1B9E396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0.670</w:t>
            </w:r>
          </w:p>
        </w:tc>
        <w:tc>
          <w:tcPr>
            <w:tcW w:w="0" w:type="auto"/>
            <w:hideMark/>
          </w:tcPr>
          <w:p w14:paraId="200C9B9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17</w:t>
            </w:r>
          </w:p>
        </w:tc>
      </w:tr>
      <w:tr w:rsidR="00504F65" w:rsidRPr="003A0C55" w14:paraId="5A36F145" w14:textId="77777777" w:rsidTr="003A0C55">
        <w:tc>
          <w:tcPr>
            <w:tcW w:w="0" w:type="auto"/>
            <w:hideMark/>
          </w:tcPr>
          <w:p w14:paraId="44BE26B1"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Religious Practices</w:t>
            </w:r>
          </w:p>
        </w:tc>
        <w:tc>
          <w:tcPr>
            <w:tcW w:w="0" w:type="auto"/>
            <w:hideMark/>
          </w:tcPr>
          <w:p w14:paraId="4DDF27D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2.60</w:t>
            </w:r>
          </w:p>
        </w:tc>
        <w:tc>
          <w:tcPr>
            <w:tcW w:w="0" w:type="auto"/>
            <w:hideMark/>
          </w:tcPr>
          <w:p w14:paraId="0508779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0.495</w:t>
            </w:r>
          </w:p>
        </w:tc>
        <w:tc>
          <w:tcPr>
            <w:tcW w:w="0" w:type="auto"/>
            <w:hideMark/>
          </w:tcPr>
          <w:p w14:paraId="30E19C5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18</w:t>
            </w:r>
          </w:p>
        </w:tc>
      </w:tr>
      <w:tr w:rsidR="00504F65" w:rsidRPr="003A0C55" w14:paraId="1E5DC20D" w14:textId="77777777" w:rsidTr="003A0C55">
        <w:tc>
          <w:tcPr>
            <w:tcW w:w="0" w:type="auto"/>
            <w:hideMark/>
          </w:tcPr>
          <w:p w14:paraId="08D2CB19"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Political Action Committees</w:t>
            </w:r>
          </w:p>
        </w:tc>
        <w:tc>
          <w:tcPr>
            <w:tcW w:w="0" w:type="auto"/>
            <w:hideMark/>
          </w:tcPr>
          <w:p w14:paraId="19C6283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2.50</w:t>
            </w:r>
          </w:p>
        </w:tc>
        <w:tc>
          <w:tcPr>
            <w:tcW w:w="0" w:type="auto"/>
            <w:hideMark/>
          </w:tcPr>
          <w:p w14:paraId="6200BCC9"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0.789</w:t>
            </w:r>
          </w:p>
        </w:tc>
        <w:tc>
          <w:tcPr>
            <w:tcW w:w="0" w:type="auto"/>
            <w:hideMark/>
          </w:tcPr>
          <w:p w14:paraId="515754D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19</w:t>
            </w:r>
          </w:p>
        </w:tc>
      </w:tr>
    </w:tbl>
    <w:p w14:paraId="08087C8E" w14:textId="77777777" w:rsidR="00EE69A8" w:rsidRPr="00B265FC" w:rsidRDefault="00EE69A8" w:rsidP="00DC3FD6">
      <w:pPr>
        <w:jc w:val="both"/>
        <w:rPr>
          <w:rFonts w:ascii="Times New Roman" w:eastAsia="Times New Roman" w:hAnsi="Times New Roman" w:cs="Times New Roman"/>
          <w:color w:val="000000" w:themeColor="text1"/>
          <w:kern w:val="0"/>
          <w:lang w:eastAsia="en-GB" w:bidi="bn-IN"/>
          <w14:ligatures w14:val="none"/>
        </w:rPr>
      </w:pPr>
    </w:p>
    <w:p w14:paraId="2D8CB561" w14:textId="2DF012C3" w:rsidR="00E91ACD" w:rsidRPr="00B265FC" w:rsidRDefault="00635D84"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Friedman test results provide only a faint insight into the CSR commitment of the Bangladesh banking industry. The highest rating for contribution towards arts and cultural activities is the most significant CSR promise, with a mean of 2.92 (SD = 0.340), indicating that managers highly value it. This confirms that community participation is a crucial issue in developing nations, as Chapple and Moon (2005) pointed out. The following contributions support community amenities (mean = 2.90, SD = 0.364), along with charitable and philanthropic activities (mean = 2.88, SD = 0.435), which reflect a focus on benefiting the community and society at large. Conversely, promises related to Providing Loans for Low-Income Housing (mean = 2.50, SD = 0.789), Contributions to Religious Practices (mean = 2.60, SD = 0.495), and Political Action Committees (mean = 2.50, SD = 0.789) receive lower rankings. These lower scores suggest that issues like housing support and political involvement are less important in CSR strategies within the banking industry. The results indicate that the Bangladeshi banking sector primarily focuses on community and welfare-related CSR practices, with less emphasis on housing support and political engagement. This perception and the prioritization of CSR practices provide valuable insights into how CSR is viewed and implemented in the sector, suggesting that adding value to the community and employees should play a more central role in CSR activities.</w:t>
      </w:r>
    </w:p>
    <w:p w14:paraId="347F688F" w14:textId="77777777" w:rsidR="00E91ACD" w:rsidRPr="00B265FC" w:rsidRDefault="00E91ACD" w:rsidP="00DC3FD6">
      <w:pPr>
        <w:pStyle w:val="Heading3"/>
        <w:spacing w:before="0" w:beforeAutospacing="0" w:after="0" w:afterAutospacing="0"/>
        <w:rPr>
          <w:b w:val="0"/>
          <w:bCs w:val="0"/>
          <w:color w:val="000000" w:themeColor="text1"/>
          <w:sz w:val="24"/>
          <w:szCs w:val="24"/>
        </w:rPr>
      </w:pPr>
    </w:p>
    <w:p w14:paraId="1B002184" w14:textId="77777777" w:rsidR="00E91ACD" w:rsidRPr="00B265FC" w:rsidRDefault="00B411BA" w:rsidP="00DC3FD6">
      <w:pPr>
        <w:pStyle w:val="Heading3"/>
        <w:spacing w:before="0" w:beforeAutospacing="0" w:after="0" w:afterAutospacing="0"/>
        <w:rPr>
          <w:color w:val="000000" w:themeColor="text1"/>
          <w:sz w:val="24"/>
          <w:szCs w:val="24"/>
        </w:rPr>
      </w:pPr>
      <w:r w:rsidRPr="00B265FC">
        <w:rPr>
          <w:color w:val="000000" w:themeColor="text1"/>
          <w:sz w:val="24"/>
          <w:szCs w:val="24"/>
        </w:rPr>
        <w:t xml:space="preserve">4.6 </w:t>
      </w:r>
      <w:r w:rsidR="00FA1C84" w:rsidRPr="00B265FC">
        <w:rPr>
          <w:color w:val="000000" w:themeColor="text1"/>
          <w:sz w:val="24"/>
          <w:szCs w:val="24"/>
        </w:rPr>
        <w:t>Factor Analysis: CSR Commitments in the Banking Sector</w:t>
      </w:r>
    </w:p>
    <w:p w14:paraId="1D2082DE" w14:textId="6B50F512" w:rsidR="00E91ACD" w:rsidRPr="00B265FC" w:rsidRDefault="00635D84"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factor analysis was used to organize the nineteen statements related to CSR commitment in the Bangladesh banking sector and to identify their underlying factors. This type of statistical procedure simplifies the data, making it easier to understand the main aspects of CSR commitments.</w:t>
      </w:r>
    </w:p>
    <w:p w14:paraId="2855EFC0" w14:textId="376A1665" w:rsidR="00FA1C84" w:rsidRPr="00B265FC" w:rsidRDefault="00FA1C84" w:rsidP="00DC3FD6">
      <w:pPr>
        <w:jc w:val="cente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12</w:t>
      </w:r>
      <w:r w:rsidRPr="00B265FC">
        <w:rPr>
          <w:rFonts w:ascii="Times New Roman" w:eastAsia="Times New Roman" w:hAnsi="Times New Roman" w:cs="Times New Roman"/>
          <w:color w:val="000000" w:themeColor="text1"/>
          <w:kern w:val="0"/>
          <w:lang w:eastAsia="en-GB" w:bidi="bn-IN"/>
          <w14:ligatures w14:val="none"/>
        </w:rPr>
        <w:t>: KMO and Bartlett's Test</w:t>
      </w:r>
    </w:p>
    <w:tbl>
      <w:tblPr>
        <w:tblStyle w:val="PlainTable1"/>
        <w:tblW w:w="0" w:type="auto"/>
        <w:tblLook w:val="04A0" w:firstRow="1" w:lastRow="0" w:firstColumn="1" w:lastColumn="0" w:noHBand="0" w:noVBand="1"/>
      </w:tblPr>
      <w:tblGrid>
        <w:gridCol w:w="6115"/>
        <w:gridCol w:w="3070"/>
      </w:tblGrid>
      <w:tr w:rsidR="00504F65" w:rsidRPr="00B265FC" w14:paraId="11CDE5B9" w14:textId="77777777" w:rsidTr="00FA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DB62A2" w14:textId="77777777" w:rsidR="00FA1C84" w:rsidRPr="00B265FC" w:rsidRDefault="00FA1C84"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Measure</w:t>
            </w:r>
          </w:p>
        </w:tc>
        <w:tc>
          <w:tcPr>
            <w:tcW w:w="0" w:type="auto"/>
            <w:hideMark/>
          </w:tcPr>
          <w:p w14:paraId="12639814"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Value</w:t>
            </w:r>
          </w:p>
        </w:tc>
      </w:tr>
      <w:tr w:rsidR="00504F65" w:rsidRPr="00B265FC" w14:paraId="143843BB"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2B55D"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Kaiser-Meyer-Olkin (KMO) Measure of Sampling Adequacy</w:t>
            </w:r>
          </w:p>
        </w:tc>
        <w:tc>
          <w:tcPr>
            <w:tcW w:w="0" w:type="auto"/>
            <w:hideMark/>
          </w:tcPr>
          <w:p w14:paraId="54246B61"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0.592</w:t>
            </w:r>
          </w:p>
        </w:tc>
      </w:tr>
      <w:tr w:rsidR="00504F65" w:rsidRPr="00B265FC" w14:paraId="5DF10A73"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4D8B0817"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Bartlett's Test of Sphericity</w:t>
            </w:r>
          </w:p>
        </w:tc>
        <w:tc>
          <w:tcPr>
            <w:tcW w:w="0" w:type="auto"/>
            <w:hideMark/>
          </w:tcPr>
          <w:p w14:paraId="69C24C2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Approx. Chi-Square: 507.379</w:t>
            </w:r>
          </w:p>
        </w:tc>
      </w:tr>
      <w:tr w:rsidR="00504F65" w:rsidRPr="00B265FC" w14:paraId="332E3F9A"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ACF26"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Degrees of Freedom (df)</w:t>
            </w:r>
          </w:p>
        </w:tc>
        <w:tc>
          <w:tcPr>
            <w:tcW w:w="0" w:type="auto"/>
            <w:hideMark/>
          </w:tcPr>
          <w:p w14:paraId="1C599177"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171</w:t>
            </w:r>
          </w:p>
        </w:tc>
      </w:tr>
      <w:tr w:rsidR="00504F65" w:rsidRPr="00B265FC" w14:paraId="22030756"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104AB85C"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Significance (Sig.)</w:t>
            </w:r>
          </w:p>
        </w:tc>
        <w:tc>
          <w:tcPr>
            <w:tcW w:w="0" w:type="auto"/>
            <w:hideMark/>
          </w:tcPr>
          <w:p w14:paraId="1D8F6AD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0.000</w:t>
            </w:r>
          </w:p>
        </w:tc>
      </w:tr>
      <w:tr w:rsidR="00EE69A8" w:rsidRPr="00B265FC" w14:paraId="3BAD3141"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10AD1C" w14:textId="77777777" w:rsidR="00EE69A8" w:rsidRPr="00B265FC" w:rsidRDefault="00EE69A8" w:rsidP="00DC3FD6">
            <w:pPr>
              <w:rPr>
                <w:rFonts w:ascii="Times New Roman" w:eastAsia="Times New Roman" w:hAnsi="Times New Roman" w:cs="Times New Roman"/>
                <w:color w:val="000000" w:themeColor="text1"/>
                <w:kern w:val="0"/>
                <w:lang w:eastAsia="en-GB" w:bidi="bn-IN"/>
                <w14:ligatures w14:val="none"/>
              </w:rPr>
            </w:pPr>
          </w:p>
        </w:tc>
        <w:tc>
          <w:tcPr>
            <w:tcW w:w="0" w:type="auto"/>
          </w:tcPr>
          <w:p w14:paraId="47CDC28B" w14:textId="77777777" w:rsidR="00EE69A8" w:rsidRPr="00B265FC" w:rsidRDefault="00EE69A8"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bl>
    <w:p w14:paraId="1075EF64" w14:textId="77777777" w:rsidR="00EE69A8" w:rsidRPr="00B265FC" w:rsidRDefault="00EE69A8" w:rsidP="00DC3FD6">
      <w:pPr>
        <w:pStyle w:val="NormalWeb"/>
        <w:spacing w:before="0" w:beforeAutospacing="0" w:after="0" w:afterAutospacing="0"/>
        <w:jc w:val="both"/>
      </w:pPr>
    </w:p>
    <w:p w14:paraId="24DDEEBB" w14:textId="023F2815" w:rsidR="00AB0B17" w:rsidRPr="00B265FC" w:rsidRDefault="00AB0B17" w:rsidP="00DC3FD6">
      <w:pPr>
        <w:jc w:val="both"/>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lastRenderedPageBreak/>
        <w:t>Kaiser-Meyer-Olkin (KMO) Measure of Sampling Adequacy was estimated as 0.592</w:t>
      </w:r>
      <w:r w:rsidR="00E934E0">
        <w:rPr>
          <w:rFonts w:ascii="Times New Roman" w:eastAsia="Times New Roman" w:hAnsi="Times New Roman" w:cs="Times New Roman"/>
          <w:kern w:val="0"/>
          <w:lang w:eastAsia="en-GB" w:bidi="bn-IN"/>
          <w14:ligatures w14:val="none"/>
        </w:rPr>
        <w:t>, which is above the</w:t>
      </w:r>
      <w:r w:rsidRPr="00B265FC">
        <w:rPr>
          <w:rFonts w:ascii="Times New Roman" w:eastAsia="Times New Roman" w:hAnsi="Times New Roman" w:cs="Times New Roman"/>
          <w:kern w:val="0"/>
          <w:lang w:eastAsia="en-GB" w:bidi="bn-IN"/>
          <w14:ligatures w14:val="none"/>
        </w:rPr>
        <w:t xml:space="preserve"> minimum of 0.50, thus, a moderate level of factor analysis suitability (Kaiser, 1974). This implies that the information is partially suitable </w:t>
      </w:r>
      <w:r w:rsidR="007B36D8">
        <w:rPr>
          <w:rFonts w:ascii="Times New Roman" w:eastAsia="Times New Roman" w:hAnsi="Times New Roman" w:cs="Times New Roman"/>
          <w:kern w:val="0"/>
          <w:lang w:eastAsia="en-GB" w:bidi="bn-IN"/>
          <w14:ligatures w14:val="none"/>
        </w:rPr>
        <w:t>for</w:t>
      </w:r>
      <w:r w:rsidRPr="00B265FC">
        <w:rPr>
          <w:rFonts w:ascii="Times New Roman" w:eastAsia="Times New Roman" w:hAnsi="Times New Roman" w:cs="Times New Roman"/>
          <w:kern w:val="0"/>
          <w:lang w:eastAsia="en-GB" w:bidi="bn-IN"/>
          <w14:ligatures w14:val="none"/>
        </w:rPr>
        <w:t xml:space="preserve"> </w:t>
      </w:r>
      <w:r w:rsidR="007B36D8">
        <w:rPr>
          <w:rFonts w:ascii="Times New Roman" w:eastAsia="Times New Roman" w:hAnsi="Times New Roman" w:cs="Times New Roman"/>
          <w:kern w:val="0"/>
          <w:lang w:eastAsia="en-GB" w:bidi="bn-IN"/>
          <w14:ligatures w14:val="none"/>
        </w:rPr>
        <w:t>the analysis. The Test of Sphericity</w:t>
      </w:r>
      <w:r w:rsidRPr="00B265FC">
        <w:rPr>
          <w:rFonts w:ascii="Times New Roman" w:eastAsia="Times New Roman" w:hAnsi="Times New Roman" w:cs="Times New Roman"/>
          <w:kern w:val="0"/>
          <w:lang w:eastAsia="en-GB" w:bidi="bn-IN"/>
          <w14:ligatures w14:val="none"/>
        </w:rPr>
        <w:t xml:space="preserve"> provided by Bartlett had a significant outcome (p &lt; 0.05) and proved that the correlation matrix is not an identity matrix and factor analysis can be implemented (Bartlett, 1954). After these preliminary tests, principal component analysis (PCA) and varimax </w:t>
      </w:r>
      <w:r w:rsidR="00E934E0">
        <w:rPr>
          <w:rFonts w:ascii="Times New Roman" w:eastAsia="Times New Roman" w:hAnsi="Times New Roman" w:cs="Times New Roman"/>
          <w:kern w:val="0"/>
          <w:lang w:eastAsia="en-GB" w:bidi="bn-IN"/>
          <w14:ligatures w14:val="none"/>
        </w:rPr>
        <w:t>rotation were</w:t>
      </w:r>
      <w:r w:rsidRPr="00B265FC">
        <w:rPr>
          <w:rFonts w:ascii="Times New Roman" w:eastAsia="Times New Roman" w:hAnsi="Times New Roman" w:cs="Times New Roman"/>
          <w:kern w:val="0"/>
          <w:lang w:eastAsia="en-GB" w:bidi="bn-IN"/>
          <w14:ligatures w14:val="none"/>
        </w:rPr>
        <w:t xml:space="preserve"> carried out. PCA is used to determine the variables that can explain the highest percentage of variation in the data (Pallant, 2001). The factors whose eigenvalues exceed 1.0 are said to be significant. Table </w:t>
      </w:r>
      <w:r w:rsidR="00E201A2">
        <w:rPr>
          <w:rFonts w:ascii="Times New Roman" w:eastAsia="Times New Roman" w:hAnsi="Times New Roman" w:cs="Times New Roman"/>
          <w:kern w:val="0"/>
          <w:lang w:eastAsia="en-GB" w:bidi="bn-IN"/>
          <w14:ligatures w14:val="none"/>
        </w:rPr>
        <w:t>13</w:t>
      </w:r>
      <w:r w:rsidRPr="00B265FC">
        <w:rPr>
          <w:rFonts w:ascii="Times New Roman" w:eastAsia="Times New Roman" w:hAnsi="Times New Roman" w:cs="Times New Roman"/>
          <w:kern w:val="0"/>
          <w:lang w:eastAsia="en-GB" w:bidi="bn-IN"/>
          <w14:ligatures w14:val="none"/>
        </w:rPr>
        <w:t xml:space="preserve"> shows </w:t>
      </w:r>
      <w:r w:rsidR="007B36D8">
        <w:rPr>
          <w:rFonts w:ascii="Times New Roman" w:eastAsia="Times New Roman" w:hAnsi="Times New Roman" w:cs="Times New Roman"/>
          <w:kern w:val="0"/>
          <w:lang w:eastAsia="en-GB" w:bidi="bn-IN"/>
          <w14:ligatures w14:val="none"/>
        </w:rPr>
        <w:t xml:space="preserve">the </w:t>
      </w:r>
      <w:r w:rsidRPr="00B265FC">
        <w:rPr>
          <w:rFonts w:ascii="Times New Roman" w:eastAsia="Times New Roman" w:hAnsi="Times New Roman" w:cs="Times New Roman"/>
          <w:kern w:val="0"/>
          <w:lang w:eastAsia="en-GB" w:bidi="bn-IN"/>
          <w14:ligatures w14:val="none"/>
        </w:rPr>
        <w:t>results of the PCA.</w:t>
      </w:r>
    </w:p>
    <w:p w14:paraId="65CE8D37" w14:textId="77777777" w:rsidR="00AB0B17" w:rsidRPr="00B265FC" w:rsidRDefault="00AB0B17" w:rsidP="00DC3FD6">
      <w:pPr>
        <w:jc w:val="center"/>
        <w:rPr>
          <w:rFonts w:ascii="Times New Roman" w:eastAsia="Times New Roman" w:hAnsi="Times New Roman" w:cs="Times New Roman"/>
          <w:kern w:val="0"/>
          <w:lang w:eastAsia="en-GB" w:bidi="bn-IN"/>
          <w14:ligatures w14:val="none"/>
        </w:rPr>
      </w:pPr>
    </w:p>
    <w:p w14:paraId="6C375F80" w14:textId="707E2E29" w:rsidR="00FA1C84" w:rsidRPr="00B265FC" w:rsidRDefault="00FA1C84" w:rsidP="00DC3FD6">
      <w:pPr>
        <w:jc w:val="cente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13</w:t>
      </w:r>
      <w:r w:rsidRPr="00B265FC">
        <w:rPr>
          <w:rFonts w:ascii="Times New Roman" w:eastAsia="Times New Roman" w:hAnsi="Times New Roman" w:cs="Times New Roman"/>
          <w:color w:val="000000" w:themeColor="text1"/>
          <w:kern w:val="0"/>
          <w:lang w:eastAsia="en-GB" w:bidi="bn-IN"/>
          <w14:ligatures w14:val="none"/>
        </w:rPr>
        <w:t>: PCA Results</w:t>
      </w:r>
    </w:p>
    <w:tbl>
      <w:tblPr>
        <w:tblStyle w:val="PlainTable1"/>
        <w:tblW w:w="0" w:type="auto"/>
        <w:jc w:val="center"/>
        <w:tblLook w:val="04A0" w:firstRow="1" w:lastRow="0" w:firstColumn="1" w:lastColumn="0" w:noHBand="0" w:noVBand="1"/>
      </w:tblPr>
      <w:tblGrid>
        <w:gridCol w:w="1010"/>
        <w:gridCol w:w="1296"/>
        <w:gridCol w:w="1602"/>
        <w:gridCol w:w="1596"/>
      </w:tblGrid>
      <w:tr w:rsidR="00504F65" w:rsidRPr="00B265FC" w14:paraId="351FFB94" w14:textId="77777777" w:rsidTr="00FA1C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57A797" w14:textId="77777777" w:rsidR="00FA1C84" w:rsidRPr="00B265FC" w:rsidRDefault="00FA1C84"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w:t>
            </w:r>
          </w:p>
        </w:tc>
        <w:tc>
          <w:tcPr>
            <w:tcW w:w="0" w:type="auto"/>
            <w:hideMark/>
          </w:tcPr>
          <w:p w14:paraId="74C50985"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Eigenvalue</w:t>
            </w:r>
          </w:p>
        </w:tc>
        <w:tc>
          <w:tcPr>
            <w:tcW w:w="0" w:type="auto"/>
            <w:hideMark/>
          </w:tcPr>
          <w:p w14:paraId="460B1FF6"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 of Variance</w:t>
            </w:r>
          </w:p>
        </w:tc>
        <w:tc>
          <w:tcPr>
            <w:tcW w:w="0" w:type="auto"/>
            <w:hideMark/>
          </w:tcPr>
          <w:p w14:paraId="33D608E5"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Cumulative %</w:t>
            </w:r>
          </w:p>
        </w:tc>
      </w:tr>
      <w:tr w:rsidR="00504F65" w:rsidRPr="00B265FC" w14:paraId="0C6FA5D9"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03340F"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1</w:t>
            </w:r>
          </w:p>
        </w:tc>
        <w:tc>
          <w:tcPr>
            <w:tcW w:w="0" w:type="auto"/>
            <w:hideMark/>
          </w:tcPr>
          <w:p w14:paraId="40F0EE61"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5.39</w:t>
            </w:r>
          </w:p>
        </w:tc>
        <w:tc>
          <w:tcPr>
            <w:tcW w:w="0" w:type="auto"/>
            <w:hideMark/>
          </w:tcPr>
          <w:p w14:paraId="75F5CB4A"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28.38</w:t>
            </w:r>
          </w:p>
        </w:tc>
        <w:tc>
          <w:tcPr>
            <w:tcW w:w="0" w:type="auto"/>
            <w:hideMark/>
          </w:tcPr>
          <w:p w14:paraId="7184BDBB"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28.38</w:t>
            </w:r>
          </w:p>
        </w:tc>
      </w:tr>
      <w:tr w:rsidR="00504F65" w:rsidRPr="00B265FC" w14:paraId="47441B3F"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3A3380"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2</w:t>
            </w:r>
          </w:p>
        </w:tc>
        <w:tc>
          <w:tcPr>
            <w:tcW w:w="0" w:type="auto"/>
            <w:hideMark/>
          </w:tcPr>
          <w:p w14:paraId="7DD67BC7"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2.82</w:t>
            </w:r>
          </w:p>
        </w:tc>
        <w:tc>
          <w:tcPr>
            <w:tcW w:w="0" w:type="auto"/>
            <w:hideMark/>
          </w:tcPr>
          <w:p w14:paraId="2857900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14.83</w:t>
            </w:r>
          </w:p>
        </w:tc>
        <w:tc>
          <w:tcPr>
            <w:tcW w:w="0" w:type="auto"/>
            <w:hideMark/>
          </w:tcPr>
          <w:p w14:paraId="423D5DC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43.21</w:t>
            </w:r>
          </w:p>
        </w:tc>
      </w:tr>
      <w:tr w:rsidR="00504F65" w:rsidRPr="00B265FC" w14:paraId="1D89C910"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D62C50"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3</w:t>
            </w:r>
          </w:p>
        </w:tc>
        <w:tc>
          <w:tcPr>
            <w:tcW w:w="0" w:type="auto"/>
            <w:hideMark/>
          </w:tcPr>
          <w:p w14:paraId="256EA62C"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1.83</w:t>
            </w:r>
          </w:p>
        </w:tc>
        <w:tc>
          <w:tcPr>
            <w:tcW w:w="0" w:type="auto"/>
            <w:hideMark/>
          </w:tcPr>
          <w:p w14:paraId="20E9A6CD"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9.64</w:t>
            </w:r>
          </w:p>
        </w:tc>
        <w:tc>
          <w:tcPr>
            <w:tcW w:w="0" w:type="auto"/>
            <w:hideMark/>
          </w:tcPr>
          <w:p w14:paraId="3EB0BE8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52.85</w:t>
            </w:r>
          </w:p>
        </w:tc>
      </w:tr>
      <w:tr w:rsidR="00504F65" w:rsidRPr="00B265FC" w14:paraId="755B6A78"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F32EFF"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4</w:t>
            </w:r>
          </w:p>
        </w:tc>
        <w:tc>
          <w:tcPr>
            <w:tcW w:w="0" w:type="auto"/>
            <w:hideMark/>
          </w:tcPr>
          <w:p w14:paraId="115ED1B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1.39</w:t>
            </w:r>
          </w:p>
        </w:tc>
        <w:tc>
          <w:tcPr>
            <w:tcW w:w="0" w:type="auto"/>
            <w:hideMark/>
          </w:tcPr>
          <w:p w14:paraId="7DA03497"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7.31</w:t>
            </w:r>
          </w:p>
        </w:tc>
        <w:tc>
          <w:tcPr>
            <w:tcW w:w="0" w:type="auto"/>
            <w:hideMark/>
          </w:tcPr>
          <w:p w14:paraId="060E8044"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60.16</w:t>
            </w:r>
          </w:p>
        </w:tc>
      </w:tr>
      <w:tr w:rsidR="00504F65" w:rsidRPr="00B265FC" w14:paraId="2DF41023"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107F85"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5</w:t>
            </w:r>
          </w:p>
        </w:tc>
        <w:tc>
          <w:tcPr>
            <w:tcW w:w="0" w:type="auto"/>
            <w:hideMark/>
          </w:tcPr>
          <w:p w14:paraId="46F8E9F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1.21</w:t>
            </w:r>
          </w:p>
        </w:tc>
        <w:tc>
          <w:tcPr>
            <w:tcW w:w="0" w:type="auto"/>
            <w:hideMark/>
          </w:tcPr>
          <w:p w14:paraId="5634314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6.34</w:t>
            </w:r>
          </w:p>
        </w:tc>
        <w:tc>
          <w:tcPr>
            <w:tcW w:w="0" w:type="auto"/>
            <w:hideMark/>
          </w:tcPr>
          <w:p w14:paraId="2B531908"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66.50</w:t>
            </w:r>
          </w:p>
        </w:tc>
      </w:tr>
      <w:tr w:rsidR="00504F65" w:rsidRPr="00B265FC" w14:paraId="2A1A0BD1"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1BEC74"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6</w:t>
            </w:r>
          </w:p>
        </w:tc>
        <w:tc>
          <w:tcPr>
            <w:tcW w:w="0" w:type="auto"/>
            <w:hideMark/>
          </w:tcPr>
          <w:p w14:paraId="554ADA8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1.08</w:t>
            </w:r>
          </w:p>
        </w:tc>
        <w:tc>
          <w:tcPr>
            <w:tcW w:w="0" w:type="auto"/>
            <w:hideMark/>
          </w:tcPr>
          <w:p w14:paraId="33AE7CAE"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5.38</w:t>
            </w:r>
          </w:p>
        </w:tc>
        <w:tc>
          <w:tcPr>
            <w:tcW w:w="0" w:type="auto"/>
            <w:hideMark/>
          </w:tcPr>
          <w:p w14:paraId="47F200E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71.88</w:t>
            </w:r>
          </w:p>
        </w:tc>
      </w:tr>
    </w:tbl>
    <w:p w14:paraId="5E70F3D1" w14:textId="77777777" w:rsidR="00EE69A8" w:rsidRPr="00B265FC" w:rsidRDefault="00EE69A8" w:rsidP="00DC3FD6">
      <w:pPr>
        <w:pStyle w:val="NormalWeb"/>
        <w:spacing w:before="0" w:beforeAutospacing="0" w:after="0" w:afterAutospacing="0"/>
        <w:jc w:val="both"/>
      </w:pPr>
    </w:p>
    <w:p w14:paraId="3752A5BC" w14:textId="5072B7A5" w:rsidR="00AB0B17" w:rsidRDefault="00AB0B17" w:rsidP="00DC3FD6">
      <w:pPr>
        <w:pStyle w:val="NormalWeb"/>
        <w:spacing w:before="0" w:beforeAutospacing="0" w:after="0" w:afterAutospacing="0"/>
        <w:jc w:val="both"/>
      </w:pPr>
      <w:r w:rsidRPr="00B265FC">
        <w:t xml:space="preserve">Six factors are found based on the principal component analysis (PCA) with eigenvalues greater than 1.0 that collectively accounted </w:t>
      </w:r>
      <w:r w:rsidR="007B36D8">
        <w:t xml:space="preserve">for </w:t>
      </w:r>
      <w:r w:rsidRPr="00B265FC">
        <w:t xml:space="preserve">71.88 percent of the overall variance of items of commitment to commit to CSR (Vaus, 2002). </w:t>
      </w:r>
      <w:r w:rsidR="008C4624" w:rsidRPr="00B265FC">
        <w:t xml:space="preserve">The first factor stands out, accounting for 28.38% of the variance, making it the most influential. The remaining factors contribute progressively less to the variance, yet they remain essential for understanding the broader CSR commitment landscape. </w:t>
      </w:r>
      <w:r w:rsidRPr="00B265FC">
        <w:t xml:space="preserve">It is evident in this factor analysis that six important factors exist that have an overall significant share in the variance of CSR commitments amongst managers in the banking industry. The analysis simplifies the data, thus providing a better understanding of the major and minor components of CSR commitment, which puts focus on the dominant and minor components of CSR practices (Pallant, 2001; Tabachnick </w:t>
      </w:r>
      <w:r w:rsidR="007B36D8">
        <w:t>&amp;</w:t>
      </w:r>
      <w:r w:rsidRPr="00B265FC">
        <w:t xml:space="preserve"> Fidell, 1996).</w:t>
      </w:r>
    </w:p>
    <w:p w14:paraId="5B456967" w14:textId="77777777" w:rsidR="00F62AE4" w:rsidRPr="00B265FC" w:rsidRDefault="00F62AE4" w:rsidP="00DC3FD6">
      <w:pPr>
        <w:pStyle w:val="NormalWeb"/>
        <w:spacing w:before="0" w:beforeAutospacing="0" w:after="0" w:afterAutospacing="0"/>
        <w:jc w:val="both"/>
      </w:pPr>
    </w:p>
    <w:p w14:paraId="047D2626" w14:textId="64744A33" w:rsidR="00B411BA" w:rsidRPr="00B265FC" w:rsidRDefault="00B411BA" w:rsidP="00DC3FD6">
      <w:pPr>
        <w:pStyle w:val="NormalWeb"/>
        <w:spacing w:before="0" w:beforeAutospacing="0" w:after="0" w:afterAutospacing="0"/>
        <w:jc w:val="center"/>
        <w:rPr>
          <w:bCs/>
          <w:color w:val="000000" w:themeColor="text1"/>
        </w:rPr>
      </w:pPr>
      <w:r w:rsidRPr="00B265FC">
        <w:rPr>
          <w:bCs/>
          <w:color w:val="000000" w:themeColor="text1"/>
        </w:rPr>
        <w:t xml:space="preserve">Table </w:t>
      </w:r>
      <w:r w:rsidR="00E201A2">
        <w:rPr>
          <w:bCs/>
          <w:color w:val="000000" w:themeColor="text1"/>
        </w:rPr>
        <w:t>14</w:t>
      </w:r>
      <w:r w:rsidR="00FA1C84" w:rsidRPr="00B265FC">
        <w:rPr>
          <w:bCs/>
          <w:color w:val="000000" w:themeColor="text1"/>
        </w:rPr>
        <w:t xml:space="preserve"> Total Variance Explained</w:t>
      </w:r>
    </w:p>
    <w:tbl>
      <w:tblPr>
        <w:tblStyle w:val="PlainTable2"/>
        <w:tblW w:w="9493" w:type="dxa"/>
        <w:tblLayout w:type="fixed"/>
        <w:tblLook w:val="0000" w:firstRow="0" w:lastRow="0" w:firstColumn="0" w:lastColumn="0" w:noHBand="0" w:noVBand="0"/>
      </w:tblPr>
      <w:tblGrid>
        <w:gridCol w:w="1525"/>
        <w:gridCol w:w="900"/>
        <w:gridCol w:w="1414"/>
        <w:gridCol w:w="1493"/>
        <w:gridCol w:w="1191"/>
        <w:gridCol w:w="1476"/>
        <w:gridCol w:w="1494"/>
      </w:tblGrid>
      <w:tr w:rsidR="00504F65" w:rsidRPr="00B265FC" w14:paraId="51928B8C"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vMerge w:val="restart"/>
          </w:tcPr>
          <w:p w14:paraId="502D330E"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Component</w:t>
            </w:r>
          </w:p>
        </w:tc>
        <w:tc>
          <w:tcPr>
            <w:cnfStyle w:val="000001000000" w:firstRow="0" w:lastRow="0" w:firstColumn="0" w:lastColumn="0" w:oddVBand="0" w:evenVBand="1" w:oddHBand="0" w:evenHBand="0" w:firstRowFirstColumn="0" w:firstRowLastColumn="0" w:lastRowFirstColumn="0" w:lastRowLastColumn="0"/>
            <w:tcW w:w="3807" w:type="dxa"/>
            <w:gridSpan w:val="3"/>
          </w:tcPr>
          <w:p w14:paraId="710C833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Initial Eigenvalues</w:t>
            </w:r>
          </w:p>
        </w:tc>
        <w:tc>
          <w:tcPr>
            <w:cnfStyle w:val="000010000000" w:firstRow="0" w:lastRow="0" w:firstColumn="0" w:lastColumn="0" w:oddVBand="1" w:evenVBand="0" w:oddHBand="0" w:evenHBand="0" w:firstRowFirstColumn="0" w:firstRowLastColumn="0" w:lastRowFirstColumn="0" w:lastRowLastColumn="0"/>
            <w:tcW w:w="4161" w:type="dxa"/>
            <w:gridSpan w:val="3"/>
          </w:tcPr>
          <w:p w14:paraId="0812BA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Extraction Sums of Squared Loadings</w:t>
            </w:r>
          </w:p>
        </w:tc>
      </w:tr>
      <w:tr w:rsidR="00504F65" w:rsidRPr="00B265FC" w14:paraId="5ED546AD" w14:textId="77777777" w:rsidTr="007B36D8">
        <w:trPr>
          <w:trHeight w:val="640"/>
        </w:trPr>
        <w:tc>
          <w:tcPr>
            <w:cnfStyle w:val="000010000000" w:firstRow="0" w:lastRow="0" w:firstColumn="0" w:lastColumn="0" w:oddVBand="1" w:evenVBand="0" w:oddHBand="0" w:evenHBand="0" w:firstRowFirstColumn="0" w:firstRowLastColumn="0" w:lastRowFirstColumn="0" w:lastRowLastColumn="0"/>
            <w:tcW w:w="1525" w:type="dxa"/>
            <w:vMerge/>
          </w:tcPr>
          <w:p w14:paraId="7E005E1C"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900" w:type="dxa"/>
          </w:tcPr>
          <w:p w14:paraId="6F2759B8"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414" w:type="dxa"/>
          </w:tcPr>
          <w:p w14:paraId="53A9EA4B"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01000000" w:firstRow="0" w:lastRow="0" w:firstColumn="0" w:lastColumn="0" w:oddVBand="0" w:evenVBand="1" w:oddHBand="0" w:evenHBand="0" w:firstRowFirstColumn="0" w:firstRowLastColumn="0" w:lastRowFirstColumn="0" w:lastRowLastColumn="0"/>
            <w:tcW w:w="1493" w:type="dxa"/>
          </w:tcPr>
          <w:p w14:paraId="388E223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c>
          <w:tcPr>
            <w:cnfStyle w:val="000010000000" w:firstRow="0" w:lastRow="0" w:firstColumn="0" w:lastColumn="0" w:oddVBand="1" w:evenVBand="0" w:oddHBand="0" w:evenHBand="0" w:firstRowFirstColumn="0" w:firstRowLastColumn="0" w:lastRowFirstColumn="0" w:lastRowLastColumn="0"/>
            <w:tcW w:w="1191" w:type="dxa"/>
          </w:tcPr>
          <w:p w14:paraId="3FC3E2E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01000000" w:firstRow="0" w:lastRow="0" w:firstColumn="0" w:lastColumn="0" w:oddVBand="0" w:evenVBand="1" w:oddHBand="0" w:evenHBand="0" w:firstRowFirstColumn="0" w:firstRowLastColumn="0" w:lastRowFirstColumn="0" w:lastRowLastColumn="0"/>
            <w:tcW w:w="1476" w:type="dxa"/>
          </w:tcPr>
          <w:p w14:paraId="58E3F3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10000000" w:firstRow="0" w:lastRow="0" w:firstColumn="0" w:lastColumn="0" w:oddVBand="1" w:evenVBand="0" w:oddHBand="0" w:evenHBand="0" w:firstRowFirstColumn="0" w:firstRowLastColumn="0" w:lastRowFirstColumn="0" w:lastRowLastColumn="0"/>
            <w:tcW w:w="1494" w:type="dxa"/>
          </w:tcPr>
          <w:p w14:paraId="3C0D21C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r>
      <w:tr w:rsidR="00504F65" w:rsidRPr="00B265FC" w14:paraId="371D5076"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370538F5"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w:t>
            </w:r>
          </w:p>
        </w:tc>
        <w:tc>
          <w:tcPr>
            <w:cnfStyle w:val="000001000000" w:firstRow="0" w:lastRow="0" w:firstColumn="0" w:lastColumn="0" w:oddVBand="0" w:evenVBand="1" w:oddHBand="0" w:evenHBand="0" w:firstRowFirstColumn="0" w:firstRowLastColumn="0" w:lastRowFirstColumn="0" w:lastRowLastColumn="0"/>
            <w:tcW w:w="900" w:type="dxa"/>
          </w:tcPr>
          <w:p w14:paraId="5E66EE3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5.393</w:t>
            </w:r>
          </w:p>
        </w:tc>
        <w:tc>
          <w:tcPr>
            <w:cnfStyle w:val="000010000000" w:firstRow="0" w:lastRow="0" w:firstColumn="0" w:lastColumn="0" w:oddVBand="1" w:evenVBand="0" w:oddHBand="0" w:evenHBand="0" w:firstRowFirstColumn="0" w:firstRowLastColumn="0" w:lastRowFirstColumn="0" w:lastRowLastColumn="0"/>
            <w:tcW w:w="1414" w:type="dxa"/>
          </w:tcPr>
          <w:p w14:paraId="2DCE6ED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01000000" w:firstRow="0" w:lastRow="0" w:firstColumn="0" w:lastColumn="0" w:oddVBand="0" w:evenVBand="1" w:oddHBand="0" w:evenHBand="0" w:firstRowFirstColumn="0" w:firstRowLastColumn="0" w:lastRowFirstColumn="0" w:lastRowLastColumn="0"/>
            <w:tcW w:w="1493" w:type="dxa"/>
          </w:tcPr>
          <w:p w14:paraId="637E9E9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10000000" w:firstRow="0" w:lastRow="0" w:firstColumn="0" w:lastColumn="0" w:oddVBand="1" w:evenVBand="0" w:oddHBand="0" w:evenHBand="0" w:firstRowFirstColumn="0" w:firstRowLastColumn="0" w:lastRowFirstColumn="0" w:lastRowLastColumn="0"/>
            <w:tcW w:w="1191" w:type="dxa"/>
          </w:tcPr>
          <w:p w14:paraId="0B97166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5.393</w:t>
            </w:r>
          </w:p>
        </w:tc>
        <w:tc>
          <w:tcPr>
            <w:cnfStyle w:val="000001000000" w:firstRow="0" w:lastRow="0" w:firstColumn="0" w:lastColumn="0" w:oddVBand="0" w:evenVBand="1" w:oddHBand="0" w:evenHBand="0" w:firstRowFirstColumn="0" w:firstRowLastColumn="0" w:lastRowFirstColumn="0" w:lastRowLastColumn="0"/>
            <w:tcW w:w="1476" w:type="dxa"/>
          </w:tcPr>
          <w:p w14:paraId="3E43E19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10000000" w:firstRow="0" w:lastRow="0" w:firstColumn="0" w:lastColumn="0" w:oddVBand="1" w:evenVBand="0" w:oddHBand="0" w:evenHBand="0" w:firstRowFirstColumn="0" w:firstRowLastColumn="0" w:lastRowFirstColumn="0" w:lastRowLastColumn="0"/>
            <w:tcW w:w="1494" w:type="dxa"/>
          </w:tcPr>
          <w:p w14:paraId="4D32F63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r>
      <w:tr w:rsidR="00504F65" w:rsidRPr="00B265FC" w14:paraId="67EC105B"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7AA49196"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w:t>
            </w:r>
          </w:p>
        </w:tc>
        <w:tc>
          <w:tcPr>
            <w:cnfStyle w:val="000001000000" w:firstRow="0" w:lastRow="0" w:firstColumn="0" w:lastColumn="0" w:oddVBand="0" w:evenVBand="1" w:oddHBand="0" w:evenHBand="0" w:firstRowFirstColumn="0" w:firstRowLastColumn="0" w:lastRowFirstColumn="0" w:lastRowLastColumn="0"/>
            <w:tcW w:w="900" w:type="dxa"/>
          </w:tcPr>
          <w:p w14:paraId="167215B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2.817</w:t>
            </w:r>
          </w:p>
        </w:tc>
        <w:tc>
          <w:tcPr>
            <w:cnfStyle w:val="000010000000" w:firstRow="0" w:lastRow="0" w:firstColumn="0" w:lastColumn="0" w:oddVBand="1" w:evenVBand="0" w:oddHBand="0" w:evenHBand="0" w:firstRowFirstColumn="0" w:firstRowLastColumn="0" w:lastRowFirstColumn="0" w:lastRowLastColumn="0"/>
            <w:tcW w:w="1414" w:type="dxa"/>
          </w:tcPr>
          <w:p w14:paraId="31B7C87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14.825</w:t>
            </w:r>
          </w:p>
        </w:tc>
        <w:tc>
          <w:tcPr>
            <w:cnfStyle w:val="000001000000" w:firstRow="0" w:lastRow="0" w:firstColumn="0" w:lastColumn="0" w:oddVBand="0" w:evenVBand="1" w:oddHBand="0" w:evenHBand="0" w:firstRowFirstColumn="0" w:firstRowLastColumn="0" w:lastRowFirstColumn="0" w:lastRowLastColumn="0"/>
            <w:tcW w:w="1493" w:type="dxa"/>
          </w:tcPr>
          <w:p w14:paraId="7291BBB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43.208</w:t>
            </w:r>
          </w:p>
        </w:tc>
        <w:tc>
          <w:tcPr>
            <w:cnfStyle w:val="000010000000" w:firstRow="0" w:lastRow="0" w:firstColumn="0" w:lastColumn="0" w:oddVBand="1" w:evenVBand="0" w:oddHBand="0" w:evenHBand="0" w:firstRowFirstColumn="0" w:firstRowLastColumn="0" w:lastRowFirstColumn="0" w:lastRowLastColumn="0"/>
            <w:tcW w:w="1191" w:type="dxa"/>
          </w:tcPr>
          <w:p w14:paraId="5BDC4B4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2.817</w:t>
            </w:r>
          </w:p>
        </w:tc>
        <w:tc>
          <w:tcPr>
            <w:cnfStyle w:val="000001000000" w:firstRow="0" w:lastRow="0" w:firstColumn="0" w:lastColumn="0" w:oddVBand="0" w:evenVBand="1" w:oddHBand="0" w:evenHBand="0" w:firstRowFirstColumn="0" w:firstRowLastColumn="0" w:lastRowFirstColumn="0" w:lastRowLastColumn="0"/>
            <w:tcW w:w="1476" w:type="dxa"/>
          </w:tcPr>
          <w:p w14:paraId="2D41BC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14.825</w:t>
            </w:r>
          </w:p>
        </w:tc>
        <w:tc>
          <w:tcPr>
            <w:cnfStyle w:val="000010000000" w:firstRow="0" w:lastRow="0" w:firstColumn="0" w:lastColumn="0" w:oddVBand="1" w:evenVBand="0" w:oddHBand="0" w:evenHBand="0" w:firstRowFirstColumn="0" w:firstRowLastColumn="0" w:lastRowFirstColumn="0" w:lastRowLastColumn="0"/>
            <w:tcW w:w="1494" w:type="dxa"/>
          </w:tcPr>
          <w:p w14:paraId="4DF26A7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43.208</w:t>
            </w:r>
          </w:p>
        </w:tc>
      </w:tr>
      <w:tr w:rsidR="00504F65" w:rsidRPr="00B265FC" w14:paraId="1103AE39"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663C4FD1"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w:t>
            </w:r>
          </w:p>
        </w:tc>
        <w:tc>
          <w:tcPr>
            <w:cnfStyle w:val="000001000000" w:firstRow="0" w:lastRow="0" w:firstColumn="0" w:lastColumn="0" w:oddVBand="0" w:evenVBand="1" w:oddHBand="0" w:evenHBand="0" w:firstRowFirstColumn="0" w:firstRowLastColumn="0" w:lastRowFirstColumn="0" w:lastRowLastColumn="0"/>
            <w:tcW w:w="900" w:type="dxa"/>
          </w:tcPr>
          <w:p w14:paraId="32CF002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1.831</w:t>
            </w:r>
          </w:p>
        </w:tc>
        <w:tc>
          <w:tcPr>
            <w:cnfStyle w:val="000010000000" w:firstRow="0" w:lastRow="0" w:firstColumn="0" w:lastColumn="0" w:oddVBand="1" w:evenVBand="0" w:oddHBand="0" w:evenHBand="0" w:firstRowFirstColumn="0" w:firstRowLastColumn="0" w:lastRowFirstColumn="0" w:lastRowLastColumn="0"/>
            <w:tcW w:w="1414" w:type="dxa"/>
          </w:tcPr>
          <w:p w14:paraId="4A46DD3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9.637</w:t>
            </w:r>
          </w:p>
        </w:tc>
        <w:tc>
          <w:tcPr>
            <w:cnfStyle w:val="000001000000" w:firstRow="0" w:lastRow="0" w:firstColumn="0" w:lastColumn="0" w:oddVBand="0" w:evenVBand="1" w:oddHBand="0" w:evenHBand="0" w:firstRowFirstColumn="0" w:firstRowLastColumn="0" w:lastRowFirstColumn="0" w:lastRowLastColumn="0"/>
            <w:tcW w:w="1493" w:type="dxa"/>
          </w:tcPr>
          <w:p w14:paraId="1BA0A40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52.845</w:t>
            </w:r>
          </w:p>
        </w:tc>
        <w:tc>
          <w:tcPr>
            <w:cnfStyle w:val="000010000000" w:firstRow="0" w:lastRow="0" w:firstColumn="0" w:lastColumn="0" w:oddVBand="1" w:evenVBand="0" w:oddHBand="0" w:evenHBand="0" w:firstRowFirstColumn="0" w:firstRowLastColumn="0" w:lastRowFirstColumn="0" w:lastRowLastColumn="0"/>
            <w:tcW w:w="1191" w:type="dxa"/>
          </w:tcPr>
          <w:p w14:paraId="7CC06F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1.831</w:t>
            </w:r>
          </w:p>
        </w:tc>
        <w:tc>
          <w:tcPr>
            <w:cnfStyle w:val="000001000000" w:firstRow="0" w:lastRow="0" w:firstColumn="0" w:lastColumn="0" w:oddVBand="0" w:evenVBand="1" w:oddHBand="0" w:evenHBand="0" w:firstRowFirstColumn="0" w:firstRowLastColumn="0" w:lastRowFirstColumn="0" w:lastRowLastColumn="0"/>
            <w:tcW w:w="1476" w:type="dxa"/>
          </w:tcPr>
          <w:p w14:paraId="7D903F4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9.637</w:t>
            </w:r>
          </w:p>
        </w:tc>
        <w:tc>
          <w:tcPr>
            <w:cnfStyle w:val="000010000000" w:firstRow="0" w:lastRow="0" w:firstColumn="0" w:lastColumn="0" w:oddVBand="1" w:evenVBand="0" w:oddHBand="0" w:evenHBand="0" w:firstRowFirstColumn="0" w:firstRowLastColumn="0" w:lastRowFirstColumn="0" w:lastRowLastColumn="0"/>
            <w:tcW w:w="1494" w:type="dxa"/>
          </w:tcPr>
          <w:p w14:paraId="21D8B0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52.845</w:t>
            </w:r>
          </w:p>
        </w:tc>
      </w:tr>
      <w:tr w:rsidR="00504F65" w:rsidRPr="00B265FC" w14:paraId="66EAED00"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53F7CF3"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w:t>
            </w:r>
          </w:p>
        </w:tc>
        <w:tc>
          <w:tcPr>
            <w:cnfStyle w:val="000001000000" w:firstRow="0" w:lastRow="0" w:firstColumn="0" w:lastColumn="0" w:oddVBand="0" w:evenVBand="1" w:oddHBand="0" w:evenHBand="0" w:firstRowFirstColumn="0" w:firstRowLastColumn="0" w:lastRowFirstColumn="0" w:lastRowLastColumn="0"/>
            <w:tcW w:w="900" w:type="dxa"/>
          </w:tcPr>
          <w:p w14:paraId="7FA9519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1.389</w:t>
            </w:r>
          </w:p>
        </w:tc>
        <w:tc>
          <w:tcPr>
            <w:cnfStyle w:val="000010000000" w:firstRow="0" w:lastRow="0" w:firstColumn="0" w:lastColumn="0" w:oddVBand="1" w:evenVBand="0" w:oddHBand="0" w:evenHBand="0" w:firstRowFirstColumn="0" w:firstRowLastColumn="0" w:lastRowFirstColumn="0" w:lastRowLastColumn="0"/>
            <w:tcW w:w="1414" w:type="dxa"/>
          </w:tcPr>
          <w:p w14:paraId="1DACDDF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7.310</w:t>
            </w:r>
          </w:p>
        </w:tc>
        <w:tc>
          <w:tcPr>
            <w:cnfStyle w:val="000001000000" w:firstRow="0" w:lastRow="0" w:firstColumn="0" w:lastColumn="0" w:oddVBand="0" w:evenVBand="1" w:oddHBand="0" w:evenHBand="0" w:firstRowFirstColumn="0" w:firstRowLastColumn="0" w:lastRowFirstColumn="0" w:lastRowLastColumn="0"/>
            <w:tcW w:w="1493" w:type="dxa"/>
          </w:tcPr>
          <w:p w14:paraId="0BCCE06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60.155</w:t>
            </w:r>
          </w:p>
        </w:tc>
        <w:tc>
          <w:tcPr>
            <w:cnfStyle w:val="000010000000" w:firstRow="0" w:lastRow="0" w:firstColumn="0" w:lastColumn="0" w:oddVBand="1" w:evenVBand="0" w:oddHBand="0" w:evenHBand="0" w:firstRowFirstColumn="0" w:firstRowLastColumn="0" w:lastRowFirstColumn="0" w:lastRowLastColumn="0"/>
            <w:tcW w:w="1191" w:type="dxa"/>
          </w:tcPr>
          <w:p w14:paraId="4DC93FF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1.389</w:t>
            </w:r>
          </w:p>
        </w:tc>
        <w:tc>
          <w:tcPr>
            <w:cnfStyle w:val="000001000000" w:firstRow="0" w:lastRow="0" w:firstColumn="0" w:lastColumn="0" w:oddVBand="0" w:evenVBand="1" w:oddHBand="0" w:evenHBand="0" w:firstRowFirstColumn="0" w:firstRowLastColumn="0" w:lastRowFirstColumn="0" w:lastRowLastColumn="0"/>
            <w:tcW w:w="1476" w:type="dxa"/>
          </w:tcPr>
          <w:p w14:paraId="3CA870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7.310</w:t>
            </w:r>
          </w:p>
        </w:tc>
        <w:tc>
          <w:tcPr>
            <w:cnfStyle w:val="000010000000" w:firstRow="0" w:lastRow="0" w:firstColumn="0" w:lastColumn="0" w:oddVBand="1" w:evenVBand="0" w:oddHBand="0" w:evenHBand="0" w:firstRowFirstColumn="0" w:firstRowLastColumn="0" w:lastRowFirstColumn="0" w:lastRowLastColumn="0"/>
            <w:tcW w:w="1494" w:type="dxa"/>
          </w:tcPr>
          <w:p w14:paraId="24EB0350"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60.155</w:t>
            </w:r>
          </w:p>
        </w:tc>
      </w:tr>
      <w:tr w:rsidR="00504F65" w:rsidRPr="00B265FC" w14:paraId="6A798521"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D930A2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w:t>
            </w:r>
          </w:p>
        </w:tc>
        <w:tc>
          <w:tcPr>
            <w:cnfStyle w:val="000001000000" w:firstRow="0" w:lastRow="0" w:firstColumn="0" w:lastColumn="0" w:oddVBand="0" w:evenVBand="1" w:oddHBand="0" w:evenHBand="0" w:firstRowFirstColumn="0" w:firstRowLastColumn="0" w:lastRowFirstColumn="0" w:lastRowLastColumn="0"/>
            <w:tcW w:w="900" w:type="dxa"/>
          </w:tcPr>
          <w:p w14:paraId="6CF8EB8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1.205</w:t>
            </w:r>
          </w:p>
        </w:tc>
        <w:tc>
          <w:tcPr>
            <w:cnfStyle w:val="000010000000" w:firstRow="0" w:lastRow="0" w:firstColumn="0" w:lastColumn="0" w:oddVBand="1" w:evenVBand="0" w:oddHBand="0" w:evenHBand="0" w:firstRowFirstColumn="0" w:firstRowLastColumn="0" w:lastRowFirstColumn="0" w:lastRowLastColumn="0"/>
            <w:tcW w:w="1414" w:type="dxa"/>
          </w:tcPr>
          <w:p w14:paraId="247196A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6.343</w:t>
            </w:r>
          </w:p>
        </w:tc>
        <w:tc>
          <w:tcPr>
            <w:cnfStyle w:val="000001000000" w:firstRow="0" w:lastRow="0" w:firstColumn="0" w:lastColumn="0" w:oddVBand="0" w:evenVBand="1" w:oddHBand="0" w:evenHBand="0" w:firstRowFirstColumn="0" w:firstRowLastColumn="0" w:lastRowFirstColumn="0" w:lastRowLastColumn="0"/>
            <w:tcW w:w="1493" w:type="dxa"/>
          </w:tcPr>
          <w:p w14:paraId="34AE60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66.498</w:t>
            </w:r>
          </w:p>
        </w:tc>
        <w:tc>
          <w:tcPr>
            <w:cnfStyle w:val="000010000000" w:firstRow="0" w:lastRow="0" w:firstColumn="0" w:lastColumn="0" w:oddVBand="1" w:evenVBand="0" w:oddHBand="0" w:evenHBand="0" w:firstRowFirstColumn="0" w:firstRowLastColumn="0" w:lastRowFirstColumn="0" w:lastRowLastColumn="0"/>
            <w:tcW w:w="1191" w:type="dxa"/>
          </w:tcPr>
          <w:p w14:paraId="20C6B4F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1.205</w:t>
            </w:r>
          </w:p>
        </w:tc>
        <w:tc>
          <w:tcPr>
            <w:cnfStyle w:val="000001000000" w:firstRow="0" w:lastRow="0" w:firstColumn="0" w:lastColumn="0" w:oddVBand="0" w:evenVBand="1" w:oddHBand="0" w:evenHBand="0" w:firstRowFirstColumn="0" w:firstRowLastColumn="0" w:lastRowFirstColumn="0" w:lastRowLastColumn="0"/>
            <w:tcW w:w="1476" w:type="dxa"/>
          </w:tcPr>
          <w:p w14:paraId="0219F1F4"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6.343</w:t>
            </w:r>
          </w:p>
        </w:tc>
        <w:tc>
          <w:tcPr>
            <w:cnfStyle w:val="000010000000" w:firstRow="0" w:lastRow="0" w:firstColumn="0" w:lastColumn="0" w:oddVBand="1" w:evenVBand="0" w:oddHBand="0" w:evenHBand="0" w:firstRowFirstColumn="0" w:firstRowLastColumn="0" w:lastRowFirstColumn="0" w:lastRowLastColumn="0"/>
            <w:tcW w:w="1494" w:type="dxa"/>
          </w:tcPr>
          <w:p w14:paraId="3863DF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66.498</w:t>
            </w:r>
          </w:p>
        </w:tc>
      </w:tr>
      <w:tr w:rsidR="00504F65" w:rsidRPr="00B265FC" w14:paraId="7F7A35F9"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2F527C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w:t>
            </w:r>
          </w:p>
        </w:tc>
        <w:tc>
          <w:tcPr>
            <w:cnfStyle w:val="000001000000" w:firstRow="0" w:lastRow="0" w:firstColumn="0" w:lastColumn="0" w:oddVBand="0" w:evenVBand="1" w:oddHBand="0" w:evenHBand="0" w:firstRowFirstColumn="0" w:firstRowLastColumn="0" w:lastRowFirstColumn="0" w:lastRowLastColumn="0"/>
            <w:tcW w:w="900" w:type="dxa"/>
          </w:tcPr>
          <w:p w14:paraId="22036F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1.022</w:t>
            </w:r>
          </w:p>
        </w:tc>
        <w:tc>
          <w:tcPr>
            <w:cnfStyle w:val="000010000000" w:firstRow="0" w:lastRow="0" w:firstColumn="0" w:lastColumn="0" w:oddVBand="1" w:evenVBand="0" w:oddHBand="0" w:evenHBand="0" w:firstRowFirstColumn="0" w:firstRowLastColumn="0" w:lastRowFirstColumn="0" w:lastRowLastColumn="0"/>
            <w:tcW w:w="1414" w:type="dxa"/>
          </w:tcPr>
          <w:p w14:paraId="78E5175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5.377</w:t>
            </w:r>
          </w:p>
        </w:tc>
        <w:tc>
          <w:tcPr>
            <w:cnfStyle w:val="000001000000" w:firstRow="0" w:lastRow="0" w:firstColumn="0" w:lastColumn="0" w:oddVBand="0" w:evenVBand="1" w:oddHBand="0" w:evenHBand="0" w:firstRowFirstColumn="0" w:firstRowLastColumn="0" w:lastRowFirstColumn="0" w:lastRowLastColumn="0"/>
            <w:tcW w:w="1493" w:type="dxa"/>
          </w:tcPr>
          <w:p w14:paraId="07BE295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71.874</w:t>
            </w:r>
          </w:p>
        </w:tc>
        <w:tc>
          <w:tcPr>
            <w:cnfStyle w:val="000010000000" w:firstRow="0" w:lastRow="0" w:firstColumn="0" w:lastColumn="0" w:oddVBand="1" w:evenVBand="0" w:oddHBand="0" w:evenHBand="0" w:firstRowFirstColumn="0" w:firstRowLastColumn="0" w:lastRowFirstColumn="0" w:lastRowLastColumn="0"/>
            <w:tcW w:w="1191" w:type="dxa"/>
          </w:tcPr>
          <w:p w14:paraId="2544F7C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1.022</w:t>
            </w:r>
          </w:p>
        </w:tc>
        <w:tc>
          <w:tcPr>
            <w:cnfStyle w:val="000001000000" w:firstRow="0" w:lastRow="0" w:firstColumn="0" w:lastColumn="0" w:oddVBand="0" w:evenVBand="1" w:oddHBand="0" w:evenHBand="0" w:firstRowFirstColumn="0" w:firstRowLastColumn="0" w:lastRowFirstColumn="0" w:lastRowLastColumn="0"/>
            <w:tcW w:w="1476" w:type="dxa"/>
          </w:tcPr>
          <w:p w14:paraId="61E33D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5.377</w:t>
            </w:r>
          </w:p>
        </w:tc>
        <w:tc>
          <w:tcPr>
            <w:cnfStyle w:val="000010000000" w:firstRow="0" w:lastRow="0" w:firstColumn="0" w:lastColumn="0" w:oddVBand="1" w:evenVBand="0" w:oddHBand="0" w:evenHBand="0" w:firstRowFirstColumn="0" w:firstRowLastColumn="0" w:lastRowFirstColumn="0" w:lastRowLastColumn="0"/>
            <w:tcW w:w="1494" w:type="dxa"/>
          </w:tcPr>
          <w:p w14:paraId="65B583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71.874</w:t>
            </w:r>
          </w:p>
        </w:tc>
      </w:tr>
      <w:tr w:rsidR="00504F65" w:rsidRPr="00B265FC" w14:paraId="3A1CA27F"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0E7582FA"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w:t>
            </w:r>
          </w:p>
        </w:tc>
        <w:tc>
          <w:tcPr>
            <w:cnfStyle w:val="000001000000" w:firstRow="0" w:lastRow="0" w:firstColumn="0" w:lastColumn="0" w:oddVBand="0" w:evenVBand="1" w:oddHBand="0" w:evenHBand="0" w:firstRowFirstColumn="0" w:firstRowLastColumn="0" w:lastRowFirstColumn="0" w:lastRowLastColumn="0"/>
            <w:tcW w:w="900" w:type="dxa"/>
          </w:tcPr>
          <w:p w14:paraId="4D2E6B7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.970</w:t>
            </w:r>
          </w:p>
        </w:tc>
        <w:tc>
          <w:tcPr>
            <w:cnfStyle w:val="000010000000" w:firstRow="0" w:lastRow="0" w:firstColumn="0" w:lastColumn="0" w:oddVBand="1" w:evenVBand="0" w:oddHBand="0" w:evenHBand="0" w:firstRowFirstColumn="0" w:firstRowLastColumn="0" w:lastRowFirstColumn="0" w:lastRowLastColumn="0"/>
            <w:tcW w:w="1414" w:type="dxa"/>
          </w:tcPr>
          <w:p w14:paraId="08DE7CD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5.105</w:t>
            </w:r>
          </w:p>
        </w:tc>
        <w:tc>
          <w:tcPr>
            <w:cnfStyle w:val="000001000000" w:firstRow="0" w:lastRow="0" w:firstColumn="0" w:lastColumn="0" w:oddVBand="0" w:evenVBand="1" w:oddHBand="0" w:evenHBand="0" w:firstRowFirstColumn="0" w:firstRowLastColumn="0" w:lastRowFirstColumn="0" w:lastRowLastColumn="0"/>
            <w:tcW w:w="1493" w:type="dxa"/>
          </w:tcPr>
          <w:p w14:paraId="5A691E0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76.980</w:t>
            </w:r>
          </w:p>
        </w:tc>
        <w:tc>
          <w:tcPr>
            <w:cnfStyle w:val="000010000000" w:firstRow="0" w:lastRow="0" w:firstColumn="0" w:lastColumn="0" w:oddVBand="1" w:evenVBand="0" w:oddHBand="0" w:evenHBand="0" w:firstRowFirstColumn="0" w:firstRowLastColumn="0" w:lastRowFirstColumn="0" w:lastRowLastColumn="0"/>
            <w:tcW w:w="1191" w:type="dxa"/>
          </w:tcPr>
          <w:p w14:paraId="0DB2A48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195F882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0F7B66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54141A78"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7792B44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w:t>
            </w:r>
          </w:p>
        </w:tc>
        <w:tc>
          <w:tcPr>
            <w:cnfStyle w:val="000001000000" w:firstRow="0" w:lastRow="0" w:firstColumn="0" w:lastColumn="0" w:oddVBand="0" w:evenVBand="1" w:oddHBand="0" w:evenHBand="0" w:firstRowFirstColumn="0" w:firstRowLastColumn="0" w:lastRowFirstColumn="0" w:lastRowLastColumn="0"/>
            <w:tcW w:w="900" w:type="dxa"/>
          </w:tcPr>
          <w:p w14:paraId="521A30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.927</w:t>
            </w:r>
          </w:p>
        </w:tc>
        <w:tc>
          <w:tcPr>
            <w:cnfStyle w:val="000010000000" w:firstRow="0" w:lastRow="0" w:firstColumn="0" w:lastColumn="0" w:oddVBand="1" w:evenVBand="0" w:oddHBand="0" w:evenHBand="0" w:firstRowFirstColumn="0" w:firstRowLastColumn="0" w:lastRowFirstColumn="0" w:lastRowLastColumn="0"/>
            <w:tcW w:w="1414" w:type="dxa"/>
          </w:tcPr>
          <w:p w14:paraId="51BAE7A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4.877</w:t>
            </w:r>
          </w:p>
        </w:tc>
        <w:tc>
          <w:tcPr>
            <w:cnfStyle w:val="000001000000" w:firstRow="0" w:lastRow="0" w:firstColumn="0" w:lastColumn="0" w:oddVBand="0" w:evenVBand="1" w:oddHBand="0" w:evenHBand="0" w:firstRowFirstColumn="0" w:firstRowLastColumn="0" w:lastRowFirstColumn="0" w:lastRowLastColumn="0"/>
            <w:tcW w:w="1493" w:type="dxa"/>
          </w:tcPr>
          <w:p w14:paraId="0A553BE0"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81.857</w:t>
            </w:r>
          </w:p>
        </w:tc>
        <w:tc>
          <w:tcPr>
            <w:cnfStyle w:val="000010000000" w:firstRow="0" w:lastRow="0" w:firstColumn="0" w:lastColumn="0" w:oddVBand="1" w:evenVBand="0" w:oddHBand="0" w:evenHBand="0" w:firstRowFirstColumn="0" w:firstRowLastColumn="0" w:lastRowFirstColumn="0" w:lastRowLastColumn="0"/>
            <w:tcW w:w="1191" w:type="dxa"/>
          </w:tcPr>
          <w:p w14:paraId="02E6A3D2"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65275F8A"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3289307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1EB279E6"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2248490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w:t>
            </w:r>
          </w:p>
        </w:tc>
        <w:tc>
          <w:tcPr>
            <w:cnfStyle w:val="000001000000" w:firstRow="0" w:lastRow="0" w:firstColumn="0" w:lastColumn="0" w:oddVBand="0" w:evenVBand="1" w:oddHBand="0" w:evenHBand="0" w:firstRowFirstColumn="0" w:firstRowLastColumn="0" w:lastRowFirstColumn="0" w:lastRowLastColumn="0"/>
            <w:tcW w:w="900" w:type="dxa"/>
          </w:tcPr>
          <w:p w14:paraId="4A259C4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.765</w:t>
            </w:r>
          </w:p>
        </w:tc>
        <w:tc>
          <w:tcPr>
            <w:cnfStyle w:val="000010000000" w:firstRow="0" w:lastRow="0" w:firstColumn="0" w:lastColumn="0" w:oddVBand="1" w:evenVBand="0" w:oddHBand="0" w:evenHBand="0" w:firstRowFirstColumn="0" w:firstRowLastColumn="0" w:lastRowFirstColumn="0" w:lastRowLastColumn="0"/>
            <w:tcW w:w="1414" w:type="dxa"/>
          </w:tcPr>
          <w:p w14:paraId="1FE945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4.027</w:t>
            </w:r>
          </w:p>
        </w:tc>
        <w:tc>
          <w:tcPr>
            <w:cnfStyle w:val="000001000000" w:firstRow="0" w:lastRow="0" w:firstColumn="0" w:lastColumn="0" w:oddVBand="0" w:evenVBand="1" w:oddHBand="0" w:evenHBand="0" w:firstRowFirstColumn="0" w:firstRowLastColumn="0" w:lastRowFirstColumn="0" w:lastRowLastColumn="0"/>
            <w:tcW w:w="1493" w:type="dxa"/>
          </w:tcPr>
          <w:p w14:paraId="5324ED06"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85.884</w:t>
            </w:r>
          </w:p>
        </w:tc>
        <w:tc>
          <w:tcPr>
            <w:cnfStyle w:val="000010000000" w:firstRow="0" w:lastRow="0" w:firstColumn="0" w:lastColumn="0" w:oddVBand="1" w:evenVBand="0" w:oddHBand="0" w:evenHBand="0" w:firstRowFirstColumn="0" w:firstRowLastColumn="0" w:lastRowFirstColumn="0" w:lastRowLastColumn="0"/>
            <w:tcW w:w="1191" w:type="dxa"/>
          </w:tcPr>
          <w:p w14:paraId="4AA5F41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5B9117CD"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684AF554"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515B280A"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1525" w:type="dxa"/>
          </w:tcPr>
          <w:p w14:paraId="3FFB32FD"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w:t>
            </w:r>
          </w:p>
        </w:tc>
        <w:tc>
          <w:tcPr>
            <w:cnfStyle w:val="000001000000" w:firstRow="0" w:lastRow="0" w:firstColumn="0" w:lastColumn="0" w:oddVBand="0" w:evenVBand="1" w:oddHBand="0" w:evenHBand="0" w:firstRowFirstColumn="0" w:firstRowLastColumn="0" w:lastRowFirstColumn="0" w:lastRowLastColumn="0"/>
            <w:tcW w:w="900" w:type="dxa"/>
          </w:tcPr>
          <w:p w14:paraId="22DFE3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.542</w:t>
            </w:r>
          </w:p>
        </w:tc>
        <w:tc>
          <w:tcPr>
            <w:cnfStyle w:val="000010000000" w:firstRow="0" w:lastRow="0" w:firstColumn="0" w:lastColumn="0" w:oddVBand="1" w:evenVBand="0" w:oddHBand="0" w:evenHBand="0" w:firstRowFirstColumn="0" w:firstRowLastColumn="0" w:lastRowFirstColumn="0" w:lastRowLastColumn="0"/>
            <w:tcW w:w="1414" w:type="dxa"/>
          </w:tcPr>
          <w:p w14:paraId="0235417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2.852</w:t>
            </w:r>
          </w:p>
        </w:tc>
        <w:tc>
          <w:tcPr>
            <w:cnfStyle w:val="000001000000" w:firstRow="0" w:lastRow="0" w:firstColumn="0" w:lastColumn="0" w:oddVBand="0" w:evenVBand="1" w:oddHBand="0" w:evenHBand="0" w:firstRowFirstColumn="0" w:firstRowLastColumn="0" w:lastRowFirstColumn="0" w:lastRowLastColumn="0"/>
            <w:tcW w:w="1493" w:type="dxa"/>
          </w:tcPr>
          <w:p w14:paraId="501E5F0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88.736</w:t>
            </w:r>
          </w:p>
        </w:tc>
        <w:tc>
          <w:tcPr>
            <w:cnfStyle w:val="000010000000" w:firstRow="0" w:lastRow="0" w:firstColumn="0" w:lastColumn="0" w:oddVBand="1" w:evenVBand="0" w:oddHBand="0" w:evenHBand="0" w:firstRowFirstColumn="0" w:firstRowLastColumn="0" w:lastRowFirstColumn="0" w:lastRowLastColumn="0"/>
            <w:tcW w:w="1191" w:type="dxa"/>
          </w:tcPr>
          <w:p w14:paraId="3831859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5EDEB2B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207C086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734405CC"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311BF28F"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11</w:t>
            </w:r>
          </w:p>
        </w:tc>
        <w:tc>
          <w:tcPr>
            <w:cnfStyle w:val="000001000000" w:firstRow="0" w:lastRow="0" w:firstColumn="0" w:lastColumn="0" w:oddVBand="0" w:evenVBand="1" w:oddHBand="0" w:evenHBand="0" w:firstRowFirstColumn="0" w:firstRowLastColumn="0" w:lastRowFirstColumn="0" w:lastRowLastColumn="0"/>
            <w:tcW w:w="900" w:type="dxa"/>
          </w:tcPr>
          <w:p w14:paraId="1835132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.466</w:t>
            </w:r>
          </w:p>
        </w:tc>
        <w:tc>
          <w:tcPr>
            <w:cnfStyle w:val="000010000000" w:firstRow="0" w:lastRow="0" w:firstColumn="0" w:lastColumn="0" w:oddVBand="1" w:evenVBand="0" w:oddHBand="0" w:evenHBand="0" w:firstRowFirstColumn="0" w:firstRowLastColumn="0" w:lastRowFirstColumn="0" w:lastRowLastColumn="0"/>
            <w:tcW w:w="1414" w:type="dxa"/>
          </w:tcPr>
          <w:p w14:paraId="472C38F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2.451</w:t>
            </w:r>
          </w:p>
        </w:tc>
        <w:tc>
          <w:tcPr>
            <w:cnfStyle w:val="000001000000" w:firstRow="0" w:lastRow="0" w:firstColumn="0" w:lastColumn="0" w:oddVBand="0" w:evenVBand="1" w:oddHBand="0" w:evenHBand="0" w:firstRowFirstColumn="0" w:firstRowLastColumn="0" w:lastRowFirstColumn="0" w:lastRowLastColumn="0"/>
            <w:tcW w:w="1493" w:type="dxa"/>
          </w:tcPr>
          <w:p w14:paraId="0691993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91.187</w:t>
            </w:r>
          </w:p>
        </w:tc>
        <w:tc>
          <w:tcPr>
            <w:cnfStyle w:val="000010000000" w:firstRow="0" w:lastRow="0" w:firstColumn="0" w:lastColumn="0" w:oddVBand="1" w:evenVBand="0" w:oddHBand="0" w:evenHBand="0" w:firstRowFirstColumn="0" w:firstRowLastColumn="0" w:lastRowFirstColumn="0" w:lastRowLastColumn="0"/>
            <w:tcW w:w="1191" w:type="dxa"/>
          </w:tcPr>
          <w:p w14:paraId="1AAEE19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421224B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D16804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6FC28F92"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139F536E"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w:t>
            </w:r>
          </w:p>
        </w:tc>
        <w:tc>
          <w:tcPr>
            <w:cnfStyle w:val="000001000000" w:firstRow="0" w:lastRow="0" w:firstColumn="0" w:lastColumn="0" w:oddVBand="0" w:evenVBand="1" w:oddHBand="0" w:evenHBand="0" w:firstRowFirstColumn="0" w:firstRowLastColumn="0" w:lastRowFirstColumn="0" w:lastRowLastColumn="0"/>
            <w:tcW w:w="900" w:type="dxa"/>
          </w:tcPr>
          <w:p w14:paraId="6250613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.428</w:t>
            </w:r>
          </w:p>
        </w:tc>
        <w:tc>
          <w:tcPr>
            <w:cnfStyle w:val="000010000000" w:firstRow="0" w:lastRow="0" w:firstColumn="0" w:lastColumn="0" w:oddVBand="1" w:evenVBand="0" w:oddHBand="0" w:evenHBand="0" w:firstRowFirstColumn="0" w:firstRowLastColumn="0" w:lastRowFirstColumn="0" w:lastRowLastColumn="0"/>
            <w:tcW w:w="1414" w:type="dxa"/>
          </w:tcPr>
          <w:p w14:paraId="40AEC5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2.251</w:t>
            </w:r>
          </w:p>
        </w:tc>
        <w:tc>
          <w:tcPr>
            <w:cnfStyle w:val="000001000000" w:firstRow="0" w:lastRow="0" w:firstColumn="0" w:lastColumn="0" w:oddVBand="0" w:evenVBand="1" w:oddHBand="0" w:evenHBand="0" w:firstRowFirstColumn="0" w:firstRowLastColumn="0" w:lastRowFirstColumn="0" w:lastRowLastColumn="0"/>
            <w:tcW w:w="1493" w:type="dxa"/>
          </w:tcPr>
          <w:p w14:paraId="0BE4AB1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93.438</w:t>
            </w:r>
          </w:p>
        </w:tc>
        <w:tc>
          <w:tcPr>
            <w:cnfStyle w:val="000010000000" w:firstRow="0" w:lastRow="0" w:firstColumn="0" w:lastColumn="0" w:oddVBand="1" w:evenVBand="0" w:oddHBand="0" w:evenHBand="0" w:firstRowFirstColumn="0" w:firstRowLastColumn="0" w:lastRowFirstColumn="0" w:lastRowLastColumn="0"/>
            <w:tcW w:w="1191" w:type="dxa"/>
          </w:tcPr>
          <w:p w14:paraId="5E8388F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772B1545"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ADBDD38"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28967AA6"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160AD94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13</w:t>
            </w:r>
          </w:p>
        </w:tc>
        <w:tc>
          <w:tcPr>
            <w:cnfStyle w:val="000001000000" w:firstRow="0" w:lastRow="0" w:firstColumn="0" w:lastColumn="0" w:oddVBand="0" w:evenVBand="1" w:oddHBand="0" w:evenHBand="0" w:firstRowFirstColumn="0" w:firstRowLastColumn="0" w:lastRowFirstColumn="0" w:lastRowLastColumn="0"/>
            <w:tcW w:w="900" w:type="dxa"/>
          </w:tcPr>
          <w:p w14:paraId="393DB7A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.307</w:t>
            </w:r>
          </w:p>
        </w:tc>
        <w:tc>
          <w:tcPr>
            <w:cnfStyle w:val="000010000000" w:firstRow="0" w:lastRow="0" w:firstColumn="0" w:lastColumn="0" w:oddVBand="1" w:evenVBand="0" w:oddHBand="0" w:evenHBand="0" w:firstRowFirstColumn="0" w:firstRowLastColumn="0" w:lastRowFirstColumn="0" w:lastRowLastColumn="0"/>
            <w:tcW w:w="1414" w:type="dxa"/>
          </w:tcPr>
          <w:p w14:paraId="0FBC6DF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1.615</w:t>
            </w:r>
          </w:p>
        </w:tc>
        <w:tc>
          <w:tcPr>
            <w:cnfStyle w:val="000001000000" w:firstRow="0" w:lastRow="0" w:firstColumn="0" w:lastColumn="0" w:oddVBand="0" w:evenVBand="1" w:oddHBand="0" w:evenHBand="0" w:firstRowFirstColumn="0" w:firstRowLastColumn="0" w:lastRowFirstColumn="0" w:lastRowLastColumn="0"/>
            <w:tcW w:w="1493" w:type="dxa"/>
          </w:tcPr>
          <w:p w14:paraId="4AD3A22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95.053</w:t>
            </w:r>
          </w:p>
        </w:tc>
        <w:tc>
          <w:tcPr>
            <w:cnfStyle w:val="000010000000" w:firstRow="0" w:lastRow="0" w:firstColumn="0" w:lastColumn="0" w:oddVBand="1" w:evenVBand="0" w:oddHBand="0" w:evenHBand="0" w:firstRowFirstColumn="0" w:firstRowLastColumn="0" w:lastRowFirstColumn="0" w:lastRowLastColumn="0"/>
            <w:tcW w:w="1191" w:type="dxa"/>
          </w:tcPr>
          <w:p w14:paraId="34018572"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39692BE0"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12C4F27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47D5C6D3"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1525" w:type="dxa"/>
          </w:tcPr>
          <w:p w14:paraId="2FEC0DB8"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w:t>
            </w:r>
          </w:p>
        </w:tc>
        <w:tc>
          <w:tcPr>
            <w:cnfStyle w:val="000001000000" w:firstRow="0" w:lastRow="0" w:firstColumn="0" w:lastColumn="0" w:oddVBand="0" w:evenVBand="1" w:oddHBand="0" w:evenHBand="0" w:firstRowFirstColumn="0" w:firstRowLastColumn="0" w:lastRowFirstColumn="0" w:lastRowLastColumn="0"/>
            <w:tcW w:w="900" w:type="dxa"/>
          </w:tcPr>
          <w:p w14:paraId="0DD7166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.292</w:t>
            </w:r>
          </w:p>
        </w:tc>
        <w:tc>
          <w:tcPr>
            <w:cnfStyle w:val="000010000000" w:firstRow="0" w:lastRow="0" w:firstColumn="0" w:lastColumn="0" w:oddVBand="1" w:evenVBand="0" w:oddHBand="0" w:evenHBand="0" w:firstRowFirstColumn="0" w:firstRowLastColumn="0" w:lastRowFirstColumn="0" w:lastRowLastColumn="0"/>
            <w:tcW w:w="1414" w:type="dxa"/>
          </w:tcPr>
          <w:p w14:paraId="0F8316A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1.539</w:t>
            </w:r>
          </w:p>
        </w:tc>
        <w:tc>
          <w:tcPr>
            <w:cnfStyle w:val="000001000000" w:firstRow="0" w:lastRow="0" w:firstColumn="0" w:lastColumn="0" w:oddVBand="0" w:evenVBand="1" w:oddHBand="0" w:evenHBand="0" w:firstRowFirstColumn="0" w:firstRowLastColumn="0" w:lastRowFirstColumn="0" w:lastRowLastColumn="0"/>
            <w:tcW w:w="1493" w:type="dxa"/>
          </w:tcPr>
          <w:p w14:paraId="3307F49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96.592</w:t>
            </w:r>
          </w:p>
        </w:tc>
        <w:tc>
          <w:tcPr>
            <w:cnfStyle w:val="000010000000" w:firstRow="0" w:lastRow="0" w:firstColumn="0" w:lastColumn="0" w:oddVBand="1" w:evenVBand="0" w:oddHBand="0" w:evenHBand="0" w:firstRowFirstColumn="0" w:firstRowLastColumn="0" w:lastRowFirstColumn="0" w:lastRowLastColumn="0"/>
            <w:tcW w:w="1191" w:type="dxa"/>
          </w:tcPr>
          <w:p w14:paraId="533EC6A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A57DC4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7AB0B1B"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909AA7E"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6F39797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15</w:t>
            </w:r>
          </w:p>
        </w:tc>
        <w:tc>
          <w:tcPr>
            <w:cnfStyle w:val="000001000000" w:firstRow="0" w:lastRow="0" w:firstColumn="0" w:lastColumn="0" w:oddVBand="0" w:evenVBand="1" w:oddHBand="0" w:evenHBand="0" w:firstRowFirstColumn="0" w:firstRowLastColumn="0" w:lastRowFirstColumn="0" w:lastRowLastColumn="0"/>
            <w:tcW w:w="900" w:type="dxa"/>
          </w:tcPr>
          <w:p w14:paraId="0AF500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.219</w:t>
            </w:r>
          </w:p>
        </w:tc>
        <w:tc>
          <w:tcPr>
            <w:cnfStyle w:val="000010000000" w:firstRow="0" w:lastRow="0" w:firstColumn="0" w:lastColumn="0" w:oddVBand="1" w:evenVBand="0" w:oddHBand="0" w:evenHBand="0" w:firstRowFirstColumn="0" w:firstRowLastColumn="0" w:lastRowFirstColumn="0" w:lastRowLastColumn="0"/>
            <w:tcW w:w="1414" w:type="dxa"/>
          </w:tcPr>
          <w:p w14:paraId="7429B23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1.152</w:t>
            </w:r>
          </w:p>
        </w:tc>
        <w:tc>
          <w:tcPr>
            <w:cnfStyle w:val="000001000000" w:firstRow="0" w:lastRow="0" w:firstColumn="0" w:lastColumn="0" w:oddVBand="0" w:evenVBand="1" w:oddHBand="0" w:evenHBand="0" w:firstRowFirstColumn="0" w:firstRowLastColumn="0" w:lastRowFirstColumn="0" w:lastRowLastColumn="0"/>
            <w:tcW w:w="1493" w:type="dxa"/>
          </w:tcPr>
          <w:p w14:paraId="7EA6CF3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97.744</w:t>
            </w:r>
          </w:p>
        </w:tc>
        <w:tc>
          <w:tcPr>
            <w:cnfStyle w:val="000010000000" w:firstRow="0" w:lastRow="0" w:firstColumn="0" w:lastColumn="0" w:oddVBand="1" w:evenVBand="0" w:oddHBand="0" w:evenHBand="0" w:firstRowFirstColumn="0" w:firstRowLastColumn="0" w:lastRowFirstColumn="0" w:lastRowLastColumn="0"/>
            <w:tcW w:w="1191" w:type="dxa"/>
          </w:tcPr>
          <w:p w14:paraId="6068EFF6"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34CA8F0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59DCDCA6"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780DA2D"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2DE639D"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w:t>
            </w:r>
          </w:p>
        </w:tc>
        <w:tc>
          <w:tcPr>
            <w:cnfStyle w:val="000001000000" w:firstRow="0" w:lastRow="0" w:firstColumn="0" w:lastColumn="0" w:oddVBand="0" w:evenVBand="1" w:oddHBand="0" w:evenHBand="0" w:firstRowFirstColumn="0" w:firstRowLastColumn="0" w:lastRowFirstColumn="0" w:lastRowLastColumn="0"/>
            <w:tcW w:w="900" w:type="dxa"/>
          </w:tcPr>
          <w:p w14:paraId="38A04E9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.172</w:t>
            </w:r>
          </w:p>
        </w:tc>
        <w:tc>
          <w:tcPr>
            <w:cnfStyle w:val="000010000000" w:firstRow="0" w:lastRow="0" w:firstColumn="0" w:lastColumn="0" w:oddVBand="1" w:evenVBand="0" w:oddHBand="0" w:evenHBand="0" w:firstRowFirstColumn="0" w:firstRowLastColumn="0" w:lastRowFirstColumn="0" w:lastRowLastColumn="0"/>
            <w:tcW w:w="1414" w:type="dxa"/>
          </w:tcPr>
          <w:p w14:paraId="78F38E1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.907</w:t>
            </w:r>
          </w:p>
        </w:tc>
        <w:tc>
          <w:tcPr>
            <w:cnfStyle w:val="000001000000" w:firstRow="0" w:lastRow="0" w:firstColumn="0" w:lastColumn="0" w:oddVBand="0" w:evenVBand="1" w:oddHBand="0" w:evenHBand="0" w:firstRowFirstColumn="0" w:firstRowLastColumn="0" w:lastRowFirstColumn="0" w:lastRowLastColumn="0"/>
            <w:tcW w:w="1493" w:type="dxa"/>
          </w:tcPr>
          <w:p w14:paraId="329EA14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98.651</w:t>
            </w:r>
          </w:p>
        </w:tc>
        <w:tc>
          <w:tcPr>
            <w:cnfStyle w:val="000010000000" w:firstRow="0" w:lastRow="0" w:firstColumn="0" w:lastColumn="0" w:oddVBand="1" w:evenVBand="0" w:oddHBand="0" w:evenHBand="0" w:firstRowFirstColumn="0" w:firstRowLastColumn="0" w:lastRowFirstColumn="0" w:lastRowLastColumn="0"/>
            <w:tcW w:w="1191" w:type="dxa"/>
          </w:tcPr>
          <w:p w14:paraId="0A9F19E9"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14B1BAB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153D0E0"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78FE5D92"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753E97AF"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w:t>
            </w:r>
          </w:p>
        </w:tc>
        <w:tc>
          <w:tcPr>
            <w:cnfStyle w:val="000001000000" w:firstRow="0" w:lastRow="0" w:firstColumn="0" w:lastColumn="0" w:oddVBand="0" w:evenVBand="1" w:oddHBand="0" w:evenHBand="0" w:firstRowFirstColumn="0" w:firstRowLastColumn="0" w:lastRowFirstColumn="0" w:lastRowLastColumn="0"/>
            <w:tcW w:w="900" w:type="dxa"/>
          </w:tcPr>
          <w:p w14:paraId="7D4E07C6"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.129</w:t>
            </w:r>
          </w:p>
        </w:tc>
        <w:tc>
          <w:tcPr>
            <w:cnfStyle w:val="000010000000" w:firstRow="0" w:lastRow="0" w:firstColumn="0" w:lastColumn="0" w:oddVBand="1" w:evenVBand="0" w:oddHBand="0" w:evenHBand="0" w:firstRowFirstColumn="0" w:firstRowLastColumn="0" w:lastRowFirstColumn="0" w:lastRowLastColumn="0"/>
            <w:tcW w:w="1414" w:type="dxa"/>
          </w:tcPr>
          <w:p w14:paraId="358D2E7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.681</w:t>
            </w:r>
          </w:p>
        </w:tc>
        <w:tc>
          <w:tcPr>
            <w:cnfStyle w:val="000001000000" w:firstRow="0" w:lastRow="0" w:firstColumn="0" w:lastColumn="0" w:oddVBand="0" w:evenVBand="1" w:oddHBand="0" w:evenHBand="0" w:firstRowFirstColumn="0" w:firstRowLastColumn="0" w:lastRowFirstColumn="0" w:lastRowLastColumn="0"/>
            <w:tcW w:w="1493" w:type="dxa"/>
          </w:tcPr>
          <w:p w14:paraId="043B741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99.332</w:t>
            </w:r>
          </w:p>
        </w:tc>
        <w:tc>
          <w:tcPr>
            <w:cnfStyle w:val="000010000000" w:firstRow="0" w:lastRow="0" w:firstColumn="0" w:lastColumn="0" w:oddVBand="1" w:evenVBand="0" w:oddHBand="0" w:evenHBand="0" w:firstRowFirstColumn="0" w:firstRowLastColumn="0" w:lastRowFirstColumn="0" w:lastRowLastColumn="0"/>
            <w:tcW w:w="1191" w:type="dxa"/>
          </w:tcPr>
          <w:p w14:paraId="77E1D51F"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DB9F1A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5177B8E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26E8CB92"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158A57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18</w:t>
            </w:r>
          </w:p>
        </w:tc>
        <w:tc>
          <w:tcPr>
            <w:cnfStyle w:val="000001000000" w:firstRow="0" w:lastRow="0" w:firstColumn="0" w:lastColumn="0" w:oddVBand="0" w:evenVBand="1" w:oddHBand="0" w:evenHBand="0" w:firstRowFirstColumn="0" w:firstRowLastColumn="0" w:lastRowFirstColumn="0" w:lastRowLastColumn="0"/>
            <w:tcW w:w="900" w:type="dxa"/>
          </w:tcPr>
          <w:p w14:paraId="50CFE68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.087</w:t>
            </w:r>
          </w:p>
        </w:tc>
        <w:tc>
          <w:tcPr>
            <w:cnfStyle w:val="000010000000" w:firstRow="0" w:lastRow="0" w:firstColumn="0" w:lastColumn="0" w:oddVBand="1" w:evenVBand="0" w:oddHBand="0" w:evenHBand="0" w:firstRowFirstColumn="0" w:firstRowLastColumn="0" w:lastRowFirstColumn="0" w:lastRowLastColumn="0"/>
            <w:tcW w:w="1414" w:type="dxa"/>
          </w:tcPr>
          <w:p w14:paraId="52CC646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.456</w:t>
            </w:r>
          </w:p>
        </w:tc>
        <w:tc>
          <w:tcPr>
            <w:cnfStyle w:val="000001000000" w:firstRow="0" w:lastRow="0" w:firstColumn="0" w:lastColumn="0" w:oddVBand="0" w:evenVBand="1" w:oddHBand="0" w:evenHBand="0" w:firstRowFirstColumn="0" w:firstRowLastColumn="0" w:lastRowFirstColumn="0" w:lastRowLastColumn="0"/>
            <w:tcW w:w="1493" w:type="dxa"/>
          </w:tcPr>
          <w:p w14:paraId="06355B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99.788</w:t>
            </w:r>
          </w:p>
        </w:tc>
        <w:tc>
          <w:tcPr>
            <w:cnfStyle w:val="000010000000" w:firstRow="0" w:lastRow="0" w:firstColumn="0" w:lastColumn="0" w:oddVBand="1" w:evenVBand="0" w:oddHBand="0" w:evenHBand="0" w:firstRowFirstColumn="0" w:firstRowLastColumn="0" w:lastRowFirstColumn="0" w:lastRowLastColumn="0"/>
            <w:tcW w:w="1191" w:type="dxa"/>
          </w:tcPr>
          <w:p w14:paraId="480CB5E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AAB35C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53A415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32297EE7"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4BD65F47"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w:t>
            </w:r>
          </w:p>
        </w:tc>
        <w:tc>
          <w:tcPr>
            <w:cnfStyle w:val="000001000000" w:firstRow="0" w:lastRow="0" w:firstColumn="0" w:lastColumn="0" w:oddVBand="0" w:evenVBand="1" w:oddHBand="0" w:evenHBand="0" w:firstRowFirstColumn="0" w:firstRowLastColumn="0" w:lastRowFirstColumn="0" w:lastRowLastColumn="0"/>
            <w:tcW w:w="900" w:type="dxa"/>
          </w:tcPr>
          <w:p w14:paraId="7A120C5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.040</w:t>
            </w:r>
          </w:p>
        </w:tc>
        <w:tc>
          <w:tcPr>
            <w:cnfStyle w:val="000010000000" w:firstRow="0" w:lastRow="0" w:firstColumn="0" w:lastColumn="0" w:oddVBand="1" w:evenVBand="0" w:oddHBand="0" w:evenHBand="0" w:firstRowFirstColumn="0" w:firstRowLastColumn="0" w:lastRowFirstColumn="0" w:lastRowLastColumn="0"/>
            <w:tcW w:w="1414" w:type="dxa"/>
          </w:tcPr>
          <w:p w14:paraId="216F84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.212</w:t>
            </w:r>
          </w:p>
        </w:tc>
        <w:tc>
          <w:tcPr>
            <w:cnfStyle w:val="000001000000" w:firstRow="0" w:lastRow="0" w:firstColumn="0" w:lastColumn="0" w:oddVBand="0" w:evenVBand="1" w:oddHBand="0" w:evenHBand="0" w:firstRowFirstColumn="0" w:firstRowLastColumn="0" w:lastRowFirstColumn="0" w:lastRowLastColumn="0"/>
            <w:tcW w:w="1493" w:type="dxa"/>
          </w:tcPr>
          <w:p w14:paraId="4E352D2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100.000</w:t>
            </w:r>
          </w:p>
        </w:tc>
        <w:tc>
          <w:tcPr>
            <w:cnfStyle w:val="000010000000" w:firstRow="0" w:lastRow="0" w:firstColumn="0" w:lastColumn="0" w:oddVBand="1" w:evenVBand="0" w:oddHBand="0" w:evenHBand="0" w:firstRowFirstColumn="0" w:firstRowLastColumn="0" w:lastRowFirstColumn="0" w:lastRowLastColumn="0"/>
            <w:tcW w:w="1191" w:type="dxa"/>
          </w:tcPr>
          <w:p w14:paraId="69126E2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0318124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D82E8CA"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C6FDB61"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9493" w:type="dxa"/>
            <w:gridSpan w:val="7"/>
          </w:tcPr>
          <w:p w14:paraId="7CF63583"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Extraction Method: Principal Component Analysis.</w:t>
            </w:r>
          </w:p>
        </w:tc>
      </w:tr>
    </w:tbl>
    <w:p w14:paraId="3A3FC439" w14:textId="77777777" w:rsidR="00FA1C84" w:rsidRDefault="00FA1C84" w:rsidP="00DC3FD6">
      <w:pP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Note:</w:t>
      </w:r>
      <w:r w:rsidRPr="00B265FC">
        <w:rPr>
          <w:rFonts w:ascii="Times New Roman" w:eastAsia="Times New Roman" w:hAnsi="Times New Roman" w:cs="Times New Roman"/>
          <w:color w:val="000000" w:themeColor="text1"/>
          <w:kern w:val="0"/>
          <w:lang w:eastAsia="en-GB" w:bidi="bn-IN"/>
          <w14:ligatures w14:val="none"/>
        </w:rPr>
        <w:t xml:space="preserve"> Extraction Method: Principal Component Analysis.</w:t>
      </w:r>
    </w:p>
    <w:p w14:paraId="659C72A1" w14:textId="77777777" w:rsidR="00F62AE4" w:rsidRPr="00B265FC" w:rsidRDefault="00F62AE4" w:rsidP="00DC3FD6">
      <w:pPr>
        <w:rPr>
          <w:rFonts w:ascii="Times New Roman" w:eastAsia="Times New Roman" w:hAnsi="Times New Roman" w:cs="Times New Roman"/>
          <w:color w:val="000000" w:themeColor="text1"/>
          <w:kern w:val="0"/>
          <w:lang w:eastAsia="en-GB" w:bidi="bn-IN"/>
          <w14:ligatures w14:val="none"/>
        </w:rPr>
      </w:pPr>
    </w:p>
    <w:p w14:paraId="478AA4AC" w14:textId="072C56EA" w:rsidR="00B411BA" w:rsidRPr="00B265FC" w:rsidRDefault="00AB0B17"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The PCA findings indicate that there are six factors that have eigenvalues above 1.0 that explain 71.874 percent of the variance in the CSR commitment items (Vaus, 2002). The contribution rate of the first factor is 28.382 percent of the variance, which implies its role as the strongest. The following factors add successively diminishing percentages</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but they are necessary to make an inclusive knowledge about CSR commitments. The retention of the six factors is supported by an analysis of the scree plot (see Figure 3). A definite break or elbow</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the sixth factor</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causes the slope of the curve to level off</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indicating that additional factors beyond this influence this factor slightly in explaining the variance (</w:t>
      </w:r>
      <w:proofErr w:type="spellStart"/>
      <w:r w:rsidRPr="00B265FC">
        <w:rPr>
          <w:rFonts w:ascii="Times New Roman" w:eastAsia="Times New Roman" w:hAnsi="Times New Roman" w:cs="Times New Roman"/>
          <w:color w:val="000000" w:themeColor="text1"/>
          <w:kern w:val="0"/>
          <w:lang w:eastAsia="en-GB" w:bidi="bn-IN"/>
          <w14:ligatures w14:val="none"/>
        </w:rPr>
        <w:t>Catell</w:t>
      </w:r>
      <w:proofErr w:type="spellEnd"/>
      <w:r w:rsidRPr="00B265FC">
        <w:rPr>
          <w:rFonts w:ascii="Times New Roman" w:eastAsia="Times New Roman" w:hAnsi="Times New Roman" w:cs="Times New Roman"/>
          <w:color w:val="000000" w:themeColor="text1"/>
          <w:kern w:val="0"/>
          <w:lang w:eastAsia="en-GB" w:bidi="bn-IN"/>
          <w14:ligatures w14:val="none"/>
        </w:rPr>
        <w:t xml:space="preserve">, 1966). The factor analysis establishes that </w:t>
      </w:r>
      <w:r w:rsidR="007B36D8">
        <w:rPr>
          <w:rFonts w:ascii="Times New Roman" w:eastAsia="Times New Roman" w:hAnsi="Times New Roman" w:cs="Times New Roman"/>
          <w:color w:val="000000" w:themeColor="text1"/>
          <w:kern w:val="0"/>
          <w:lang w:eastAsia="en-GB" w:bidi="bn-IN"/>
          <w14:ligatures w14:val="none"/>
        </w:rPr>
        <w:t>six major factors combined</w:t>
      </w:r>
      <w:r w:rsidRPr="00B265FC">
        <w:rPr>
          <w:rFonts w:ascii="Times New Roman" w:eastAsia="Times New Roman" w:hAnsi="Times New Roman" w:cs="Times New Roman"/>
          <w:color w:val="000000" w:themeColor="text1"/>
          <w:kern w:val="0"/>
          <w:lang w:eastAsia="en-GB" w:bidi="bn-IN"/>
          <w14:ligatures w14:val="none"/>
        </w:rPr>
        <w:t xml:space="preserve"> contribute a significant percentage of the variance in the CSR commitments among managers in the banking sector. </w:t>
      </w:r>
      <w:r w:rsidR="00FA1C84" w:rsidRPr="00B265FC">
        <w:rPr>
          <w:rFonts w:ascii="Times New Roman" w:eastAsia="Times New Roman" w:hAnsi="Times New Roman" w:cs="Times New Roman"/>
          <w:color w:val="000000" w:themeColor="text1"/>
          <w:kern w:val="0"/>
          <w:lang w:eastAsia="en-GB" w:bidi="bn-IN"/>
          <w14:ligatures w14:val="none"/>
        </w:rPr>
        <w:t>This reduction helps to clarify the main dimensions of CSR and enhances understanding of the key elements driving CSR practices in the sector (Pallant, 2001; Tabachnick &amp; Fidell, 1996).</w:t>
      </w:r>
    </w:p>
    <w:p w14:paraId="2CDC4868"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p>
    <w:p w14:paraId="3BFEC3BD" w14:textId="2A28DE5E" w:rsidR="00B411BA" w:rsidRPr="00F62AE4" w:rsidRDefault="00B411BA" w:rsidP="00F62AE4">
      <w:pPr>
        <w:autoSpaceDE w:val="0"/>
        <w:autoSpaceDN w:val="0"/>
        <w:adjustRightInd w:val="0"/>
        <w:jc w:val="center"/>
        <w:rPr>
          <w:rFonts w:ascii="Times New Roman" w:hAnsi="Times New Roman" w:cs="Times New Roman"/>
          <w:b/>
          <w:color w:val="000000" w:themeColor="text1"/>
        </w:rPr>
      </w:pPr>
      <w:r w:rsidRPr="00B265FC">
        <w:rPr>
          <w:rFonts w:ascii="Times New Roman" w:hAnsi="Times New Roman" w:cs="Times New Roman"/>
          <w:b/>
          <w:color w:val="000000" w:themeColor="text1"/>
        </w:rPr>
        <w:t>Figure 3</w:t>
      </w:r>
      <w:r w:rsidR="006F3DBB">
        <w:rPr>
          <w:rFonts w:ascii="Times New Roman" w:hAnsi="Times New Roman" w:cs="Times New Roman"/>
          <w:b/>
          <w:color w:val="000000" w:themeColor="text1"/>
        </w:rPr>
        <w:t xml:space="preserve">: </w:t>
      </w:r>
      <w:r w:rsidR="006F3DBB" w:rsidRPr="006F3DBB">
        <w:rPr>
          <w:rFonts w:ascii="Times New Roman" w:hAnsi="Times New Roman" w:cs="Times New Roman"/>
          <w:b/>
          <w:bCs/>
          <w:color w:val="000000" w:themeColor="text1"/>
        </w:rPr>
        <w:t>Scree Plot</w:t>
      </w:r>
    </w:p>
    <w:p w14:paraId="37A80F90"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r w:rsidRPr="00B265FC">
        <w:rPr>
          <w:rFonts w:ascii="Times New Roman" w:hAnsi="Times New Roman" w:cs="Times New Roman"/>
          <w:noProof/>
          <w:color w:val="000000" w:themeColor="text1"/>
        </w:rPr>
        <w:lastRenderedPageBreak/>
        <w:drawing>
          <wp:inline distT="0" distB="0" distL="0" distR="0" wp14:anchorId="1C624F19" wp14:editId="028120EB">
            <wp:extent cx="5943600" cy="4756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4569E25A" w14:textId="31C9D1B8" w:rsidR="00FA1C84" w:rsidRPr="00B265FC" w:rsidRDefault="00B411BA" w:rsidP="00DC3FD6">
      <w:pPr>
        <w:autoSpaceDE w:val="0"/>
        <w:autoSpaceDN w:val="0"/>
        <w:adjustRightInd w:val="0"/>
        <w:jc w:val="both"/>
        <w:rPr>
          <w:rFonts w:ascii="Times New Roman" w:hAnsi="Times New Roman" w:cs="Times New Roman"/>
          <w:b/>
          <w:color w:val="000000" w:themeColor="text1"/>
        </w:rPr>
      </w:pPr>
      <w:r w:rsidRPr="00B265FC">
        <w:rPr>
          <w:rFonts w:ascii="Times New Roman" w:hAnsi="Times New Roman" w:cs="Times New Roman"/>
          <w:b/>
          <w:color w:val="000000" w:themeColor="text1"/>
        </w:rPr>
        <w:t xml:space="preserve">4.7 Level of Social involvement of CSR in </w:t>
      </w:r>
      <w:r w:rsidR="00FE3468">
        <w:rPr>
          <w:rFonts w:ascii="Times New Roman" w:hAnsi="Times New Roman" w:cs="Times New Roman"/>
          <w:b/>
          <w:color w:val="000000" w:themeColor="text1"/>
        </w:rPr>
        <w:t xml:space="preserve">the </w:t>
      </w:r>
      <w:r w:rsidRPr="00B265FC">
        <w:rPr>
          <w:rFonts w:ascii="Times New Roman" w:hAnsi="Times New Roman" w:cs="Times New Roman"/>
          <w:b/>
          <w:color w:val="000000" w:themeColor="text1"/>
        </w:rPr>
        <w:t xml:space="preserve">banking sector in Bangladesh </w:t>
      </w:r>
    </w:p>
    <w:p w14:paraId="5373E7F6" w14:textId="7D0D9DE8" w:rsidR="006924E5" w:rsidRPr="00B265FC" w:rsidRDefault="00FE3468" w:rsidP="00DC3FD6">
      <w:pPr>
        <w:pStyle w:val="NormalWeb"/>
        <w:spacing w:before="0" w:beforeAutospacing="0" w:after="0" w:afterAutospacing="0"/>
        <w:jc w:val="both"/>
      </w:pPr>
      <w:r>
        <w:t xml:space="preserve">This chapter explores how senior and executive managers perceive the scope of social engagement in Corporate Social Responsibility (CSR) within the banking industry in Bangladesh. The ratings were conducted on a 5-point Likert scale, with 1 indicating strongly disagree and 5 indicating strongly agree. The summary of managers' responses regarding the relationship between the level of social involvement of a company and the economic situation in the country is presented in table </w:t>
      </w:r>
      <w:r w:rsidR="00E201A2">
        <w:t>15</w:t>
      </w:r>
      <w:r>
        <w:t>.</w:t>
      </w:r>
    </w:p>
    <w:p w14:paraId="23CE1CF9" w14:textId="77777777" w:rsidR="00F62AE4" w:rsidRDefault="00F62AE4" w:rsidP="00DC3FD6">
      <w:pPr>
        <w:pStyle w:val="NormalWeb"/>
        <w:spacing w:before="0" w:beforeAutospacing="0" w:after="0" w:afterAutospacing="0"/>
        <w:jc w:val="both"/>
        <w:rPr>
          <w:color w:val="000000" w:themeColor="text1"/>
        </w:rPr>
      </w:pPr>
    </w:p>
    <w:p w14:paraId="0D9672A9" w14:textId="4CFF40A9" w:rsidR="00F62AE4" w:rsidRPr="00F62AE4" w:rsidRDefault="00FA1C84" w:rsidP="00F62AE4">
      <w:pPr>
        <w:pStyle w:val="NormalWeb"/>
        <w:spacing w:before="0" w:beforeAutospacing="0" w:after="0" w:afterAutospacing="0"/>
        <w:jc w:val="center"/>
        <w:rPr>
          <w:color w:val="000000" w:themeColor="text1"/>
        </w:rPr>
      </w:pPr>
      <w:r w:rsidRPr="00B265FC">
        <w:rPr>
          <w:color w:val="000000" w:themeColor="text1"/>
        </w:rPr>
        <w:t xml:space="preserve">Table </w:t>
      </w:r>
      <w:r w:rsidR="00E201A2">
        <w:rPr>
          <w:color w:val="000000" w:themeColor="text1"/>
        </w:rPr>
        <w:t>15</w:t>
      </w:r>
      <w:r w:rsidRPr="00B265FC">
        <w:rPr>
          <w:b/>
          <w:bCs/>
          <w:color w:val="000000" w:themeColor="text1"/>
        </w:rPr>
        <w:t xml:space="preserve"> </w:t>
      </w:r>
      <w:r w:rsidRPr="00B265FC">
        <w:rPr>
          <w:rStyle w:val="Strong"/>
          <w:b w:val="0"/>
          <w:bCs w:val="0"/>
          <w:color w:val="000000" w:themeColor="text1"/>
        </w:rPr>
        <w:t>Level of Social Involvement of CSR in Banking Sector in Bangladesh</w:t>
      </w:r>
    </w:p>
    <w:tbl>
      <w:tblPr>
        <w:tblStyle w:val="PlainTable1"/>
        <w:tblW w:w="0" w:type="auto"/>
        <w:tblLook w:val="04A0" w:firstRow="1" w:lastRow="0" w:firstColumn="1" w:lastColumn="0" w:noHBand="0" w:noVBand="1"/>
      </w:tblPr>
      <w:tblGrid>
        <w:gridCol w:w="6426"/>
        <w:gridCol w:w="1412"/>
        <w:gridCol w:w="576"/>
        <w:gridCol w:w="936"/>
      </w:tblGrid>
      <w:tr w:rsidR="00504F65" w:rsidRPr="00B265FC" w14:paraId="3B957D60" w14:textId="77777777" w:rsidTr="00FA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0F1C9C" w14:textId="77777777" w:rsidR="00FA1C84" w:rsidRPr="00B265FC" w:rsidRDefault="00FA1C84"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Statement</w:t>
            </w:r>
          </w:p>
        </w:tc>
        <w:tc>
          <w:tcPr>
            <w:tcW w:w="0" w:type="auto"/>
            <w:hideMark/>
          </w:tcPr>
          <w:p w14:paraId="2FC94671"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Response Option</w:t>
            </w:r>
          </w:p>
        </w:tc>
        <w:tc>
          <w:tcPr>
            <w:tcW w:w="0" w:type="auto"/>
            <w:hideMark/>
          </w:tcPr>
          <w:p w14:paraId="57A0389D"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N</w:t>
            </w:r>
          </w:p>
        </w:tc>
        <w:tc>
          <w:tcPr>
            <w:tcW w:w="0" w:type="auto"/>
            <w:hideMark/>
          </w:tcPr>
          <w:p w14:paraId="38A8B787"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Percent</w:t>
            </w:r>
          </w:p>
        </w:tc>
      </w:tr>
      <w:tr w:rsidR="00504F65" w:rsidRPr="00B265FC" w14:paraId="0BFA6720"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F7A2B7" w14:textId="79EEE089" w:rsidR="00FA1C84" w:rsidRPr="00B265FC" w:rsidRDefault="006924E5" w:rsidP="00FE3468">
            <w:pPr>
              <w:pStyle w:val="NormalWeb"/>
              <w:spacing w:before="0" w:beforeAutospacing="0" w:after="0" w:afterAutospacing="0"/>
              <w:jc w:val="both"/>
              <w:rPr>
                <w:b w:val="0"/>
                <w:bCs w:val="0"/>
              </w:rPr>
            </w:pPr>
            <w:r w:rsidRPr="00B265FC">
              <w:rPr>
                <w:b w:val="0"/>
                <w:bCs w:val="0"/>
              </w:rPr>
              <w:t xml:space="preserve">To what extent do you support the argument that the </w:t>
            </w:r>
            <w:r w:rsidR="00FE3468">
              <w:rPr>
                <w:b w:val="0"/>
                <w:bCs w:val="0"/>
              </w:rPr>
              <w:t>company's social engagement depends on the country's economic state of affairs with higher engagement</w:t>
            </w:r>
            <w:r w:rsidRPr="00B265FC">
              <w:rPr>
                <w:b w:val="0"/>
                <w:bCs w:val="0"/>
              </w:rPr>
              <w:t xml:space="preserve"> when the economy is on the rise and lower engagement when the economy is in decline?</w:t>
            </w:r>
          </w:p>
        </w:tc>
        <w:tc>
          <w:tcPr>
            <w:tcW w:w="0" w:type="auto"/>
            <w:hideMark/>
          </w:tcPr>
          <w:p w14:paraId="672A3453"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Strongly Disagree</w:t>
            </w:r>
          </w:p>
        </w:tc>
        <w:tc>
          <w:tcPr>
            <w:tcW w:w="0" w:type="auto"/>
            <w:hideMark/>
          </w:tcPr>
          <w:p w14:paraId="59263914"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2A68A7CF"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04534DDD"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2052EF93" w14:textId="77777777" w:rsidR="00FA1C84" w:rsidRPr="00B265FC" w:rsidRDefault="00FA1C84" w:rsidP="00DC3FD6">
            <w:pPr>
              <w:rPr>
                <w:rFonts w:ascii="Times New Roman" w:hAnsi="Times New Roman" w:cs="Times New Roman"/>
                <w:color w:val="000000" w:themeColor="text1"/>
              </w:rPr>
            </w:pPr>
          </w:p>
        </w:tc>
        <w:tc>
          <w:tcPr>
            <w:tcW w:w="0" w:type="auto"/>
            <w:hideMark/>
          </w:tcPr>
          <w:p w14:paraId="28BD8FAE"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Disagree</w:t>
            </w:r>
          </w:p>
        </w:tc>
        <w:tc>
          <w:tcPr>
            <w:tcW w:w="0" w:type="auto"/>
            <w:hideMark/>
          </w:tcPr>
          <w:p w14:paraId="0B3DBF4F"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5AE0FCE9"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57E56213"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DEDB40" w14:textId="77777777" w:rsidR="00FA1C84" w:rsidRPr="00B265FC" w:rsidRDefault="00FA1C84" w:rsidP="00DC3FD6">
            <w:pPr>
              <w:rPr>
                <w:rFonts w:ascii="Times New Roman" w:hAnsi="Times New Roman" w:cs="Times New Roman"/>
                <w:color w:val="000000" w:themeColor="text1"/>
              </w:rPr>
            </w:pPr>
          </w:p>
        </w:tc>
        <w:tc>
          <w:tcPr>
            <w:tcW w:w="0" w:type="auto"/>
            <w:hideMark/>
          </w:tcPr>
          <w:p w14:paraId="228DD010"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Undecided</w:t>
            </w:r>
          </w:p>
        </w:tc>
        <w:tc>
          <w:tcPr>
            <w:tcW w:w="0" w:type="auto"/>
            <w:hideMark/>
          </w:tcPr>
          <w:p w14:paraId="3573B6ED"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333D760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49CFD67B"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15F05EF4" w14:textId="77777777" w:rsidR="00FA1C84" w:rsidRPr="00B265FC" w:rsidRDefault="00FA1C84" w:rsidP="00DC3FD6">
            <w:pPr>
              <w:rPr>
                <w:rFonts w:ascii="Times New Roman" w:hAnsi="Times New Roman" w:cs="Times New Roman"/>
                <w:color w:val="000000" w:themeColor="text1"/>
              </w:rPr>
            </w:pPr>
          </w:p>
        </w:tc>
        <w:tc>
          <w:tcPr>
            <w:tcW w:w="0" w:type="auto"/>
            <w:hideMark/>
          </w:tcPr>
          <w:p w14:paraId="41776745"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Aware</w:t>
            </w:r>
          </w:p>
        </w:tc>
        <w:tc>
          <w:tcPr>
            <w:tcW w:w="0" w:type="auto"/>
            <w:hideMark/>
          </w:tcPr>
          <w:p w14:paraId="1CC1977D"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220</w:t>
            </w:r>
          </w:p>
        </w:tc>
        <w:tc>
          <w:tcPr>
            <w:tcW w:w="0" w:type="auto"/>
            <w:hideMark/>
          </w:tcPr>
          <w:p w14:paraId="49DD4C95"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44%</w:t>
            </w:r>
          </w:p>
        </w:tc>
      </w:tr>
      <w:tr w:rsidR="00504F65" w:rsidRPr="00B265FC" w14:paraId="4451B4F9"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640B2B" w14:textId="77777777" w:rsidR="00FA1C84" w:rsidRPr="00B265FC" w:rsidRDefault="00FA1C84" w:rsidP="00DC3FD6">
            <w:pPr>
              <w:rPr>
                <w:rFonts w:ascii="Times New Roman" w:hAnsi="Times New Roman" w:cs="Times New Roman"/>
                <w:color w:val="000000" w:themeColor="text1"/>
              </w:rPr>
            </w:pPr>
          </w:p>
        </w:tc>
        <w:tc>
          <w:tcPr>
            <w:tcW w:w="0" w:type="auto"/>
            <w:hideMark/>
          </w:tcPr>
          <w:p w14:paraId="2A0D4C56"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Strongly Agree</w:t>
            </w:r>
          </w:p>
        </w:tc>
        <w:tc>
          <w:tcPr>
            <w:tcW w:w="0" w:type="auto"/>
            <w:hideMark/>
          </w:tcPr>
          <w:p w14:paraId="5B363F4E"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280</w:t>
            </w:r>
          </w:p>
        </w:tc>
        <w:tc>
          <w:tcPr>
            <w:tcW w:w="0" w:type="auto"/>
            <w:hideMark/>
          </w:tcPr>
          <w:p w14:paraId="4B2778CA"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56%</w:t>
            </w:r>
          </w:p>
        </w:tc>
      </w:tr>
    </w:tbl>
    <w:p w14:paraId="176CBB8D" w14:textId="77777777" w:rsidR="006924E5" w:rsidRPr="00B265FC" w:rsidRDefault="006924E5" w:rsidP="00DC3FD6">
      <w:pPr>
        <w:rPr>
          <w:rFonts w:ascii="Times New Roman" w:eastAsia="Times New Roman" w:hAnsi="Times New Roman" w:cs="Times New Roman"/>
          <w:color w:val="000000" w:themeColor="text1"/>
          <w:kern w:val="0"/>
          <w:lang w:eastAsia="en-GB" w:bidi="bn-IN"/>
          <w14:ligatures w14:val="none"/>
        </w:rPr>
      </w:pPr>
    </w:p>
    <w:p w14:paraId="2A7966E9" w14:textId="444A1B1D" w:rsidR="006924E5" w:rsidRPr="00B265FC" w:rsidRDefault="006924E5"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As Table </w:t>
      </w:r>
      <w:r w:rsidR="00E201A2">
        <w:rPr>
          <w:rFonts w:ascii="Times New Roman" w:eastAsia="Times New Roman" w:hAnsi="Times New Roman" w:cs="Times New Roman"/>
          <w:color w:val="000000" w:themeColor="text1"/>
          <w:kern w:val="0"/>
          <w:lang w:eastAsia="en-GB" w:bidi="bn-IN"/>
          <w14:ligatures w14:val="none"/>
        </w:rPr>
        <w:t>15</w:t>
      </w:r>
      <w:r w:rsidRPr="00B265FC">
        <w:rPr>
          <w:rFonts w:ascii="Times New Roman" w:eastAsia="Times New Roman" w:hAnsi="Times New Roman" w:cs="Times New Roman"/>
          <w:color w:val="000000" w:themeColor="text1"/>
          <w:kern w:val="0"/>
          <w:lang w:eastAsia="en-GB" w:bidi="bn-IN"/>
          <w14:ligatures w14:val="none"/>
        </w:rPr>
        <w:t xml:space="preserve"> indicates</w:t>
      </w:r>
      <w:r w:rsidR="00FE346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w:t>
      </w:r>
      <w:r w:rsidR="00FE3468">
        <w:rPr>
          <w:rFonts w:ascii="Times New Roman" w:eastAsia="Times New Roman" w:hAnsi="Times New Roman" w:cs="Times New Roman"/>
          <w:color w:val="000000" w:themeColor="text1"/>
          <w:kern w:val="0"/>
          <w:lang w:eastAsia="en-GB" w:bidi="bn-IN"/>
          <w14:ligatures w14:val="none"/>
        </w:rPr>
        <w:t>most</w:t>
      </w:r>
      <w:r w:rsidRPr="00B265FC">
        <w:rPr>
          <w:rFonts w:ascii="Times New Roman" w:eastAsia="Times New Roman" w:hAnsi="Times New Roman" w:cs="Times New Roman"/>
          <w:color w:val="000000" w:themeColor="text1"/>
          <w:kern w:val="0"/>
          <w:lang w:eastAsia="en-GB" w:bidi="bn-IN"/>
          <w14:ligatures w14:val="none"/>
        </w:rPr>
        <w:t xml:space="preserve"> of the respondents (a total of 56) have strongly indicated that the level of social participation at the bank in CSR in Bangladesh can be directly linked with the national economic condition. The remaining 44 percent of interviewees were also aware of this relationship, </w:t>
      </w:r>
      <w:r w:rsidR="00FE3468">
        <w:rPr>
          <w:rFonts w:ascii="Times New Roman" w:eastAsia="Times New Roman" w:hAnsi="Times New Roman" w:cs="Times New Roman"/>
          <w:color w:val="000000" w:themeColor="text1"/>
          <w:kern w:val="0"/>
          <w:lang w:eastAsia="en-GB" w:bidi="bn-IN"/>
          <w14:ligatures w14:val="none"/>
        </w:rPr>
        <w:t>implying that the banking institutions are more likely to change</w:t>
      </w:r>
      <w:r w:rsidRPr="00B265FC">
        <w:rPr>
          <w:rFonts w:ascii="Times New Roman" w:eastAsia="Times New Roman" w:hAnsi="Times New Roman" w:cs="Times New Roman"/>
          <w:color w:val="000000" w:themeColor="text1"/>
          <w:kern w:val="0"/>
          <w:lang w:eastAsia="en-GB" w:bidi="bn-IN"/>
          <w14:ligatures w14:val="none"/>
        </w:rPr>
        <w:t xml:space="preserve"> their CSR activities based on the prevailing economic conditions. </w:t>
      </w:r>
      <w:r w:rsidR="00FE3468">
        <w:rPr>
          <w:rFonts w:ascii="Times New Roman" w:eastAsia="Times New Roman" w:hAnsi="Times New Roman" w:cs="Times New Roman"/>
          <w:color w:val="000000" w:themeColor="text1"/>
          <w:kern w:val="0"/>
          <w:lang w:eastAsia="en-GB" w:bidi="bn-IN"/>
          <w14:ligatures w14:val="none"/>
        </w:rPr>
        <w:t>This means that the banking sector of Bangladesh is highly dynamic in terms of economic cycles, which makes it</w:t>
      </w:r>
      <w:r w:rsidRPr="00B265FC">
        <w:rPr>
          <w:rFonts w:ascii="Times New Roman" w:eastAsia="Times New Roman" w:hAnsi="Times New Roman" w:cs="Times New Roman"/>
          <w:color w:val="000000" w:themeColor="text1"/>
          <w:kern w:val="0"/>
          <w:lang w:eastAsia="en-GB" w:bidi="bn-IN"/>
          <w14:ligatures w14:val="none"/>
        </w:rPr>
        <w:t xml:space="preserve"> more involved in CSR activities during prosperity and perhaps less involved during decline periods.</w:t>
      </w:r>
    </w:p>
    <w:p w14:paraId="2587185A" w14:textId="77777777" w:rsidR="006924E5" w:rsidRPr="00B265FC" w:rsidRDefault="006924E5" w:rsidP="00DC3FD6">
      <w:pPr>
        <w:rPr>
          <w:rFonts w:ascii="Times New Roman" w:eastAsia="Times New Roman" w:hAnsi="Times New Roman" w:cs="Times New Roman"/>
          <w:color w:val="000000" w:themeColor="text1"/>
          <w:kern w:val="0"/>
          <w:lang w:eastAsia="en-GB" w:bidi="bn-IN"/>
          <w14:ligatures w14:val="none"/>
        </w:rPr>
      </w:pPr>
    </w:p>
    <w:p w14:paraId="328914E9" w14:textId="0E6DCE11" w:rsidR="00B411BA" w:rsidRPr="00B265FC" w:rsidRDefault="00FA1C84"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5.0 Conclusion </w:t>
      </w:r>
    </w:p>
    <w:p w14:paraId="6CDAB82D" w14:textId="7A755F08" w:rsidR="00504F65" w:rsidRDefault="003C785A"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This research aimed to evaluate Corporate Social Responsibility (CSR) in Bangladesh's banking industry through quantitative methods. The study used a descriptive cross-sectional design with a sample of 500 top and executive managers from various banks across Bangladesh. The results show that most respondents perceive CSR practices in the banking sector as moderate, indicating a general interest in CSR activities. This supports the observation that Bangladeshi banks are increasingly implementing CSR policies and are expected to continue expanding in this area. However, there is mixed consensus on CSR awareness; many managers agree that companies should address social responsibility issues for competitive advantage, but there is less agreement on CSR-related expenses. Factor analysis identified four key drivers of CSR in the banking industry: local and global forces, corporate image, economic performance, and cultural awareness. Notably, the study found that religious background did not significantly influence perceptions of corporate image, suggesting other factors may have a stronger impact on CSR practices. The research also indicates that the level of social participation in CSR activities is tied to the national economic situation; higher economic performance correlates with greater participation by banks. Additionally, opinions differ regarding CSR activities related to alcohol and drugs, with commercial banks and large public fund companies showing strong support for avoiding such activities. In summary, this study shows that while top and executive management in Bangladesh's banking sector are generally concerned with and positively disposed toward CSR, perceptions vary across different facets. The findings highlight the influence of cultural and economic factors on attitudes toward CSR and suggest that further investigation into these issues could provide valuable insights into CSR processes in multicultural and developing environments like Bangladesh.</w:t>
      </w:r>
    </w:p>
    <w:p w14:paraId="1989393C" w14:textId="77777777" w:rsidR="00F62AE4" w:rsidRPr="00B265FC" w:rsidRDefault="00F62AE4" w:rsidP="00DC3FD6">
      <w:pPr>
        <w:jc w:val="both"/>
        <w:rPr>
          <w:rFonts w:ascii="Times New Roman" w:eastAsia="Times New Roman" w:hAnsi="Times New Roman" w:cs="Times New Roman"/>
          <w:color w:val="000000" w:themeColor="text1"/>
          <w:kern w:val="0"/>
          <w:lang w:eastAsia="en-GB" w:bidi="bn-IN"/>
          <w14:ligatures w14:val="none"/>
        </w:rPr>
      </w:pPr>
    </w:p>
    <w:p w14:paraId="1DD88864" w14:textId="77777777"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5.3 Research Implication</w:t>
      </w:r>
    </w:p>
    <w:p w14:paraId="32391A1D" w14:textId="58CF4CA7" w:rsidR="006924E5" w:rsidRPr="00B265FC" w:rsidRDefault="003C785A" w:rsidP="00DC3FD6">
      <w:pPr>
        <w:pStyle w:val="NormalWeb"/>
        <w:spacing w:before="0" w:beforeAutospacing="0" w:after="0" w:afterAutospacing="0"/>
        <w:jc w:val="both"/>
        <w:rPr>
          <w:color w:val="000000" w:themeColor="text1"/>
        </w:rPr>
      </w:pPr>
      <w:r>
        <w:rPr>
          <w:color w:val="000000" w:themeColor="text1"/>
        </w:rPr>
        <w:t>This section discusses the practical implications of the study's findings on Corporate Social Responsibility (CSR) in the banking industry in Bangladesh. The analysis will present the theoretical contributions, practical applications in banking organizations, and lessons for educators and practitioners. These implications are important because they reveal how CSR can improve organizational performance, enhance educational content, and inform practical decision-making.</w:t>
      </w:r>
    </w:p>
    <w:p w14:paraId="7A8BAB85" w14:textId="77777777" w:rsidR="006924E5" w:rsidRPr="00B265FC" w:rsidRDefault="006924E5" w:rsidP="00DC3FD6">
      <w:pPr>
        <w:pStyle w:val="NormalWeb"/>
        <w:spacing w:before="0" w:beforeAutospacing="0" w:after="0" w:afterAutospacing="0"/>
        <w:rPr>
          <w:color w:val="000000" w:themeColor="text1"/>
        </w:rPr>
      </w:pPr>
    </w:p>
    <w:p w14:paraId="56456CFC" w14:textId="53ABA2A6"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.1 Theoretical Implications</w:t>
      </w:r>
    </w:p>
    <w:p w14:paraId="7DC87285" w14:textId="67A57BFD" w:rsidR="006924E5" w:rsidRPr="00B265FC" w:rsidRDefault="003C785A" w:rsidP="00DC3FD6">
      <w:pPr>
        <w:pStyle w:val="NormalWeb"/>
        <w:spacing w:before="0" w:beforeAutospacing="0" w:after="0" w:afterAutospacing="0"/>
        <w:jc w:val="both"/>
        <w:rPr>
          <w:color w:val="000000" w:themeColor="text1"/>
        </w:rPr>
      </w:pPr>
      <w:r>
        <w:rPr>
          <w:color w:val="000000" w:themeColor="text1"/>
        </w:rPr>
        <w:t xml:space="preserve">The findings of this research are significant within the existing body of literature on Corporate Social Responsibility (CSR), as they expand the theoretical framework and supplement the discipline's literature. The study broadens the perspective on CSR in the banking sector, specifically in Bangladesh. It also provides a wide view of CSR across different banking </w:t>
      </w:r>
      <w:r>
        <w:rPr>
          <w:color w:val="000000" w:themeColor="text1"/>
        </w:rPr>
        <w:lastRenderedPageBreak/>
        <w:t>institutions by including a diverse sample consisting of a private commercial bank, a government commercial bank, and specialized banks. This varied sampling approach enhances the generalizability of the results and contributes to the ongoing debate regarding the different ways in which various types of banks implement CSR. Furthermore, the discussion of key drivers of CSR, such as local and global influences, corporate image, economic performance, and cultural awareness, offers new insights into the forces that can shape CSR practices. This hypothetical development highlights the need for further research to explore these drivers in other contexts and sectors, in order to establish a solid foundation for future CSR studies.</w:t>
      </w:r>
    </w:p>
    <w:p w14:paraId="2707CBDB" w14:textId="77777777" w:rsidR="006924E5" w:rsidRPr="00B265FC" w:rsidRDefault="006924E5" w:rsidP="00DC3FD6">
      <w:pPr>
        <w:pStyle w:val="NormalWeb"/>
        <w:spacing w:before="0" w:beforeAutospacing="0" w:after="0" w:afterAutospacing="0"/>
        <w:rPr>
          <w:color w:val="000000" w:themeColor="text1"/>
        </w:rPr>
      </w:pPr>
    </w:p>
    <w:p w14:paraId="14B3927B" w14:textId="0DDE5FA4"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.2 Implications for Banking Organizations</w:t>
      </w:r>
    </w:p>
    <w:p w14:paraId="2416E38B" w14:textId="2A8C83DA" w:rsidR="006924E5" w:rsidRPr="00B265FC" w:rsidRDefault="00EA696B" w:rsidP="00DC3FD6">
      <w:pPr>
        <w:pStyle w:val="NormalWeb"/>
        <w:spacing w:before="0" w:beforeAutospacing="0" w:after="0" w:afterAutospacing="0"/>
        <w:jc w:val="both"/>
        <w:rPr>
          <w:color w:val="000000" w:themeColor="text1"/>
        </w:rPr>
      </w:pPr>
      <w:r>
        <w:rPr>
          <w:color w:val="000000" w:themeColor="text1"/>
        </w:rPr>
        <w:t>The study has numerous implications for banking organizations operating in Bangladesh in real life. First of all, it emphasizes the importance of focusing on the ethical obligations of CSR policies. Ethical considerations are also encouraged as the top priority of CSR for banking institutions. This means they should treat employees fairly and avoid engaging in acts that may harm society, such as alcohol and drug abuse. According to the findings, banks should pay greater attention to community-based CSR activities. According to the CSR model given by Carroll (1979), banks planning to operate in Bangladesh should focus on activities that help locals by providing access to education, medical services, environmental conservation, and support for workers. By aligning their CSR efforts with these priorities, banks can strengthen their competitive advantage, improve their reputation, and become profitable in the long run. The research provides an effective guide on how banks can develop and implement CSR policies that better meet community needs and promote sustainable development.</w:t>
      </w:r>
    </w:p>
    <w:p w14:paraId="0A2CFA4B" w14:textId="77777777" w:rsidR="006924E5" w:rsidRPr="00B265FC" w:rsidRDefault="006924E5" w:rsidP="00DC3FD6">
      <w:pPr>
        <w:pStyle w:val="NormalWeb"/>
        <w:spacing w:before="0" w:beforeAutospacing="0" w:after="0" w:afterAutospacing="0"/>
        <w:jc w:val="both"/>
        <w:rPr>
          <w:color w:val="000000" w:themeColor="text1"/>
        </w:rPr>
      </w:pPr>
    </w:p>
    <w:p w14:paraId="5607F4A2" w14:textId="1D2406FE" w:rsidR="00AD691F" w:rsidRPr="00B265FC" w:rsidRDefault="00AD691F" w:rsidP="00DC3FD6">
      <w:pPr>
        <w:pStyle w:val="NormalWeb"/>
        <w:spacing w:before="0" w:beforeAutospacing="0" w:after="0" w:afterAutospacing="0"/>
        <w:jc w:val="both"/>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.3 Implications for Educators and Practitioners</w:t>
      </w:r>
    </w:p>
    <w:p w14:paraId="0ECFB21D" w14:textId="51B34B63" w:rsidR="00565B46" w:rsidRPr="00B265FC" w:rsidRDefault="00EA696B" w:rsidP="00DC3FD6">
      <w:pPr>
        <w:pStyle w:val="NormalWeb"/>
        <w:spacing w:before="0" w:beforeAutospacing="0" w:after="0" w:afterAutospacing="0"/>
        <w:jc w:val="both"/>
        <w:rPr>
          <w:color w:val="000000" w:themeColor="text1"/>
        </w:rPr>
      </w:pPr>
      <w:r>
        <w:rPr>
          <w:color w:val="000000" w:themeColor="text1"/>
        </w:rPr>
        <w:t xml:space="preserve">The study has significant implications for teachers and practitioners in the field of CSR. It complements the CSR curriculum by including lessons on the diverse banking industry and highlighting the complexities involved in practicing CSR in developing countries. These findings enable teachers to improve their instructional materials, helping students gain a clearer understanding of CSR frameworks and how to apply them in real-life situations. An additional benefit of the research is that educators can stay updated on the latest concerns and developments related to CSR, allowing them to adapt their teaching to current trends and issues in the field. </w:t>
      </w:r>
    </w:p>
    <w:p w14:paraId="7BED1F60" w14:textId="56ABE279" w:rsidR="00565B46" w:rsidRPr="00B265FC" w:rsidRDefault="00EA696B" w:rsidP="00DC3FD6">
      <w:pPr>
        <w:pStyle w:val="NormalWeb"/>
        <w:spacing w:before="0" w:beforeAutospacing="0" w:after="0" w:afterAutospacing="0"/>
        <w:jc w:val="both"/>
        <w:rPr>
          <w:color w:val="000000" w:themeColor="text1"/>
        </w:rPr>
      </w:pPr>
      <w:r>
        <w:rPr>
          <w:color w:val="000000" w:themeColor="text1"/>
        </w:rPr>
        <w:t>The study provides valuable information for practitioners on strategies and decision-making related to CSR. With this understanding of the main drivers of CSR and societal demands, practitioners will be able to make informed decisions that not only meet societal expectations but also enhance their organization's social responsibility within the community. The research offers practical concepts on how banks can leverage CSR to stabilize operations, build long-term relationships with stakeholders, and achieve competitive advantages. Both local and international practitioners can apply the study's findings because they shed light on the needs and expectations of CSR in the Bangladeshi banking sector. This knowledge can help practitioners develop CSR plans that better satisfy societal expectations and support sustainable development.</w:t>
      </w:r>
    </w:p>
    <w:p w14:paraId="0143F059" w14:textId="77777777" w:rsidR="00565B46" w:rsidRPr="00B265FC" w:rsidRDefault="00565B46" w:rsidP="00DC3FD6">
      <w:pPr>
        <w:pStyle w:val="NormalWeb"/>
        <w:spacing w:before="0" w:beforeAutospacing="0" w:after="0" w:afterAutospacing="0"/>
        <w:rPr>
          <w:color w:val="000000" w:themeColor="text1"/>
        </w:rPr>
      </w:pPr>
    </w:p>
    <w:p w14:paraId="58866544" w14:textId="52D99C09"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2</w:t>
      </w:r>
      <w:r w:rsidRPr="00B265FC">
        <w:rPr>
          <w:rStyle w:val="Strong"/>
          <w:color w:val="000000" w:themeColor="text1"/>
        </w:rPr>
        <w:t xml:space="preserve"> Limitations and Future Directions</w:t>
      </w:r>
    </w:p>
    <w:p w14:paraId="0EF728D3" w14:textId="396A215E" w:rsidR="00565B46" w:rsidRPr="00B265FC" w:rsidRDefault="00EA696B"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Despite the thoroughness of the study, several limitations should be noted. First, since the focus was primarily on the banking sector in Bangladesh, the findings may not be applicable to other sectors and regions. Being a localized form of CSR practice, CSR strategies in Bangladesh might not reflect the international variations of CSR. Additionally, although the study employed a </w:t>
      </w:r>
      <w:r>
        <w:rPr>
          <w:rFonts w:ascii="Times New Roman" w:eastAsia="Times New Roman" w:hAnsi="Times New Roman" w:cs="Times New Roman"/>
          <w:color w:val="000000" w:themeColor="text1"/>
          <w:kern w:val="0"/>
          <w:lang w:eastAsia="en-GB" w:bidi="bn-IN"/>
          <w14:ligatures w14:val="none"/>
        </w:rPr>
        <w:lastRenderedPageBreak/>
        <w:t>quantitative approach with a sample of 500 managers, there is a potential for response bias due to self-reporting. Managers’ desire to present their organizations positively could influence the accuracy of their reported CSR efforts. The cross-sectional design of the research provides only a snapshot of CSR practices at a single time point, which is another limitation. This approach does not account for how attitudes or practices of CSR may evolve over time, an important consideration in a developing field like CSR. Moreover, while the factor analysis used to identify CSR drivers was informative, it likely overlooks the multidimensional nature of relationships among various CSR variables and their changing effects on organizational behavior.</w:t>
      </w:r>
    </w:p>
    <w:p w14:paraId="4A8B9493" w14:textId="77777777" w:rsidR="00565B46" w:rsidRPr="00B265FC" w:rsidRDefault="00565B46"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7E5A6F77" w14:textId="6AEA6DEA" w:rsidR="00EE69A8" w:rsidRDefault="00CC72FB" w:rsidP="00F62AE4">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These results may serve as a foundation for future research initiatives, including the expansion of the study to encompass additional industries, thereby aiding in the externalization of the banking sector and facilitating comparative analyses. Such efforts could further enhance understanding of Corporate Social Responsibility (CSR) practices across diverse contexts. Conducting longitudinal studies would be particularly valuable, as they enable the examination of how CSR practices and attitudes evolve over time, offering a more comprehensive perspective on the implementation of changes and their subsequent effects. Moreover, qualitative methods, such as in-depth interviews or case studies, could uncover underlying motivations and obstacles to CSR initiatives, as well as managerial viewpoints often not fully captured by quantitative data. Investigating CSR across various cultural and economic environments would improve the generalizability of the findings. Comparative analyses across different countries or regions could illuminate the impact of local factors on CSR strategies and contribute to the development of universal CSR frameworks. Finally, assessing the long-term effects of CSR on organizational performance, employee satisfaction, and community well-being could provide valuable insights for organizations aiming to refine their CSR strategies and attain more sustainable outcomes.</w:t>
      </w:r>
    </w:p>
    <w:p w14:paraId="39C48F15" w14:textId="77777777" w:rsidR="00CC72FB" w:rsidRPr="00F62AE4" w:rsidRDefault="00CC72FB" w:rsidP="00F62AE4">
      <w:pPr>
        <w:autoSpaceDE w:val="0"/>
        <w:autoSpaceDN w:val="0"/>
        <w:adjustRightInd w:val="0"/>
        <w:jc w:val="both"/>
        <w:rPr>
          <w:rFonts w:ascii="Times New Roman" w:hAnsi="Times New Roman" w:cs="Times New Roman"/>
          <w:b/>
          <w:color w:val="000000" w:themeColor="text1"/>
        </w:rPr>
      </w:pPr>
    </w:p>
    <w:p w14:paraId="3912AB8F" w14:textId="77777777" w:rsidR="00504F65" w:rsidRPr="00B265FC" w:rsidRDefault="00F353F1" w:rsidP="00DC3FD6">
      <w:pPr>
        <w:pStyle w:val="Heading3"/>
        <w:spacing w:before="0" w:beforeAutospacing="0" w:after="0" w:afterAutospacing="0"/>
        <w:rPr>
          <w:color w:val="000000" w:themeColor="text1"/>
          <w:sz w:val="24"/>
          <w:szCs w:val="24"/>
        </w:rPr>
      </w:pPr>
      <w:r w:rsidRPr="00B265FC">
        <w:rPr>
          <w:color w:val="000000" w:themeColor="text1"/>
          <w:sz w:val="24"/>
          <w:szCs w:val="24"/>
        </w:rPr>
        <w:t>References</w:t>
      </w:r>
    </w:p>
    <w:p w14:paraId="25312194" w14:textId="037D95AD"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Acuff, D. (2005). Taking the guesswork out of responsible marketing. Young Consumers: Insight and Ideas for Responsible Marketers, 6(4), 68-71. </w:t>
      </w:r>
      <w:hyperlink r:id="rId10" w:history="1">
        <w:r w:rsidRPr="00817998">
          <w:rPr>
            <w:rStyle w:val="Hyperlink"/>
            <w:rFonts w:ascii="Times New Roman" w:hAnsi="Times New Roman" w:cs="Times New Roman"/>
          </w:rPr>
          <w:t>https://doi.org/10.1108/17473610510701331</w:t>
        </w:r>
      </w:hyperlink>
    </w:p>
    <w:p w14:paraId="18AF1956" w14:textId="0DA1511E" w:rsidR="0036368A" w:rsidRPr="00817998" w:rsidRDefault="0036368A" w:rsidP="00817998">
      <w:pPr>
        <w:autoSpaceDE w:val="0"/>
        <w:autoSpaceDN w:val="0"/>
        <w:adjustRightInd w:val="0"/>
        <w:ind w:left="450"/>
        <w:jc w:val="both"/>
        <w:rPr>
          <w:rFonts w:ascii="Times New Roman" w:hAnsi="Times New Roman" w:cs="Times New Roman"/>
        </w:rPr>
      </w:pPr>
      <w:r w:rsidRPr="00817998">
        <w:rPr>
          <w:rFonts w:ascii="Times New Roman" w:hAnsi="Times New Roman" w:cs="Times New Roman"/>
        </w:rPr>
        <w:t xml:space="preserve">Agudelo, M. A. L., Jóhannsdóttir, L., &amp; </w:t>
      </w:r>
      <w:proofErr w:type="spellStart"/>
      <w:r w:rsidRPr="00817998">
        <w:rPr>
          <w:rFonts w:ascii="Times New Roman" w:hAnsi="Times New Roman" w:cs="Times New Roman"/>
        </w:rPr>
        <w:t>Davídsdóttir</w:t>
      </w:r>
      <w:proofErr w:type="spellEnd"/>
      <w:r w:rsidRPr="00817998">
        <w:rPr>
          <w:rFonts w:ascii="Times New Roman" w:hAnsi="Times New Roman" w:cs="Times New Roman"/>
        </w:rPr>
        <w:t xml:space="preserve">, B. (2019). A literature review of the history and evolution of corporate social responsibility. International Journal of Corporate Social Responsibility, 4(1), 1-23. </w:t>
      </w:r>
      <w:hyperlink r:id="rId11" w:history="1">
        <w:r w:rsidRPr="00817998">
          <w:rPr>
            <w:rStyle w:val="Hyperlink"/>
            <w:rFonts w:ascii="Times New Roman" w:hAnsi="Times New Roman" w:cs="Times New Roman"/>
          </w:rPr>
          <w:t>https://doi.org/10.1186/s40991-018-0039-y</w:t>
        </w:r>
      </w:hyperlink>
    </w:p>
    <w:p w14:paraId="46ABDBB1" w14:textId="7923B9C2"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rPr>
        <w:t xml:space="preserve">Aguinis, H., &amp; Glavas, A. (2019). On corporate social responsibility, sensemaking, and the search for meaningfulness through work. Journal of Management. </w:t>
      </w:r>
      <w:hyperlink r:id="rId12" w:history="1">
        <w:r w:rsidRPr="00817998">
          <w:rPr>
            <w:rStyle w:val="Hyperlink"/>
            <w:rFonts w:ascii="Times New Roman" w:hAnsi="Times New Roman" w:cs="Times New Roman"/>
          </w:rPr>
          <w:t>https://doi.org/10.1177/0149206317691575</w:t>
        </w:r>
      </w:hyperlink>
    </w:p>
    <w:p w14:paraId="10750AD7" w14:textId="193A0ADC"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rPr>
        <w:t xml:space="preserve">Ahmed, N. (2024). Recent trends in corporate social responsibility. INTERLOOP. </w:t>
      </w:r>
      <w:hyperlink r:id="rId13" w:history="1">
        <w:r w:rsidRPr="00817998">
          <w:rPr>
            <w:rStyle w:val="Hyperlink"/>
            <w:rFonts w:ascii="Times New Roman" w:hAnsi="Times New Roman" w:cs="Times New Roman"/>
          </w:rPr>
          <w:t>https://inlps.com/recent-trends-in-corporate-social-responsibility/</w:t>
        </w:r>
      </w:hyperlink>
    </w:p>
    <w:p w14:paraId="4FD501BC" w14:textId="68D4D1D8"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Ali, W., </w:t>
      </w:r>
      <w:proofErr w:type="spellStart"/>
      <w:r w:rsidRPr="00817998">
        <w:rPr>
          <w:rFonts w:ascii="Times New Roman" w:hAnsi="Times New Roman" w:cs="Times New Roman"/>
        </w:rPr>
        <w:t>Frynas</w:t>
      </w:r>
      <w:proofErr w:type="spellEnd"/>
      <w:r w:rsidRPr="00817998">
        <w:rPr>
          <w:rFonts w:ascii="Times New Roman" w:hAnsi="Times New Roman" w:cs="Times New Roman"/>
        </w:rPr>
        <w:t xml:space="preserve">, J. G., &amp; Mahmood, Z. (2017). Determinants of Corporate Social Responsibility (CSR) Disclosure in Developed and Developing Countries: A Literature Review. Corporate Social Responsibility and Environmental Management, 24(4), 273–294. </w:t>
      </w:r>
      <w:hyperlink r:id="rId14" w:history="1">
        <w:r w:rsidRPr="00817998">
          <w:rPr>
            <w:rStyle w:val="Hyperlink"/>
            <w:rFonts w:ascii="Times New Roman" w:hAnsi="Times New Roman" w:cs="Times New Roman"/>
          </w:rPr>
          <w:t>https://doi.org/10.1002/csr.1410</w:t>
        </w:r>
      </w:hyperlink>
    </w:p>
    <w:p w14:paraId="5B8C67A9" w14:textId="31FE9062" w:rsidR="0036368A" w:rsidRPr="00817998" w:rsidRDefault="0036368A" w:rsidP="00817998">
      <w:pPr>
        <w:ind w:left="450"/>
        <w:jc w:val="both"/>
        <w:rPr>
          <w:rFonts w:ascii="Times New Roman" w:hAnsi="Times New Roman" w:cs="Times New Roman"/>
        </w:rPr>
      </w:pPr>
      <w:proofErr w:type="spellStart"/>
      <w:r w:rsidRPr="00817998">
        <w:rPr>
          <w:rFonts w:ascii="Times New Roman" w:hAnsi="Times New Roman" w:cs="Times New Roman"/>
          <w:color w:val="000000" w:themeColor="text1"/>
        </w:rPr>
        <w:t>Amaeshi</w:t>
      </w:r>
      <w:proofErr w:type="spellEnd"/>
      <w:r w:rsidRPr="00817998">
        <w:rPr>
          <w:rFonts w:ascii="Times New Roman" w:hAnsi="Times New Roman" w:cs="Times New Roman"/>
          <w:color w:val="000000" w:themeColor="text1"/>
        </w:rPr>
        <w:t xml:space="preserve">, K. M., Adi, B. C., Ogbechie, C., &amp; Amao, O. O. (2006). Corporate Social Responsibility in Nigeria: Western Mimicry or Indigenous Influences? Journal of Corporate Citizenship, 24(Winter), 83-99. </w:t>
      </w:r>
      <w:hyperlink r:id="rId15" w:history="1">
        <w:r w:rsidRPr="00817998">
          <w:rPr>
            <w:rStyle w:val="Hyperlink"/>
            <w:rFonts w:ascii="Times New Roman" w:hAnsi="Times New Roman" w:cs="Times New Roman"/>
          </w:rPr>
          <w:t>https://doi.org/10.1108/JCC-24-01-2006-B005</w:t>
        </w:r>
      </w:hyperlink>
    </w:p>
    <w:p w14:paraId="5EAAF68A" w14:textId="42159B38" w:rsidR="0036368A" w:rsidRPr="00817998" w:rsidRDefault="0036368A"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rPr>
        <w:t xml:space="preserve">Afrin, S., Sehreen, F., </w:t>
      </w:r>
      <w:proofErr w:type="spellStart"/>
      <w:r w:rsidRPr="00817998">
        <w:rPr>
          <w:rFonts w:ascii="Times New Roman" w:hAnsi="Times New Roman" w:cs="Times New Roman"/>
        </w:rPr>
        <w:t>Polas</w:t>
      </w:r>
      <w:proofErr w:type="spellEnd"/>
      <w:r w:rsidRPr="00817998">
        <w:rPr>
          <w:rFonts w:ascii="Times New Roman" w:hAnsi="Times New Roman" w:cs="Times New Roman"/>
        </w:rPr>
        <w:t xml:space="preserve">, M. R. H., &amp; Sharin, R. (2020). Corporate Social Responsibility (CSR) practices of financial institution in Bangladesh: the case of United Commercial Bank. </w:t>
      </w:r>
      <w:r w:rsidRPr="00817998">
        <w:rPr>
          <w:rFonts w:ascii="Times New Roman" w:hAnsi="Times New Roman" w:cs="Times New Roman"/>
        </w:rPr>
        <w:lastRenderedPageBreak/>
        <w:t xml:space="preserve">Journal of Sustainable Tourism and Entrepreneurship, 2(2), 69-82. </w:t>
      </w:r>
      <w:hyperlink r:id="rId16" w:history="1">
        <w:r w:rsidRPr="00817998">
          <w:rPr>
            <w:rStyle w:val="Hyperlink"/>
            <w:rFonts w:ascii="Times New Roman" w:hAnsi="Times New Roman" w:cs="Times New Roman"/>
          </w:rPr>
          <w:t>https://doi.org/10.35912/joste.v2i2.539</w:t>
        </w:r>
      </w:hyperlink>
    </w:p>
    <w:p w14:paraId="6B25BBD6" w14:textId="1D6A0F19"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Arjoon, S. (2000). Virtue Theory as a Dynamic Theory of Business. Journal of Business Ethics, 28(2), 159-178. </w:t>
      </w:r>
      <w:hyperlink r:id="rId17" w:history="1">
        <w:r w:rsidRPr="00817998">
          <w:rPr>
            <w:rStyle w:val="Hyperlink"/>
            <w:rFonts w:ascii="Times New Roman" w:hAnsi="Times New Roman" w:cs="Times New Roman"/>
          </w:rPr>
          <w:t>https://doi.org/10.1023/A:1006339112331</w:t>
        </w:r>
      </w:hyperlink>
    </w:p>
    <w:p w14:paraId="22488F3D" w14:textId="21C3497F"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Arora, B., &amp; Puranik, R. (2004). A Review of Corporate Social Responsibility in India. Development, 47(3), 93-100. </w:t>
      </w:r>
      <w:hyperlink r:id="rId18" w:history="1">
        <w:r w:rsidRPr="00817998">
          <w:rPr>
            <w:rStyle w:val="Hyperlink"/>
            <w:rFonts w:ascii="Times New Roman" w:hAnsi="Times New Roman" w:cs="Times New Roman"/>
          </w:rPr>
          <w:t>https://doi.org/10.1057/palgrave.development.1100057</w:t>
        </w:r>
      </w:hyperlink>
    </w:p>
    <w:p w14:paraId="15549794" w14:textId="29ED1197" w:rsidR="0036368A" w:rsidRPr="00817998" w:rsidRDefault="0036368A" w:rsidP="00817998">
      <w:pPr>
        <w:ind w:left="450"/>
        <w:jc w:val="both"/>
        <w:rPr>
          <w:rFonts w:ascii="Times New Roman" w:hAnsi="Times New Roman" w:cs="Times New Roman"/>
          <w:color w:val="0563C1" w:themeColor="hyperlink"/>
          <w:u w:val="single"/>
        </w:rPr>
      </w:pPr>
      <w:r w:rsidRPr="00817998">
        <w:rPr>
          <w:rFonts w:ascii="Times New Roman" w:hAnsi="Times New Roman" w:cs="Times New Roman"/>
          <w:color w:val="000000" w:themeColor="text1"/>
        </w:rPr>
        <w:t xml:space="preserve">Backhaus, K. B., Stone, B. A., &amp; Heiner, K. W. (2002). Exploring the Relationship Between Corporate Social Performance and Employer Attractiveness. Business &amp; Society, 41(3), 292-318. </w:t>
      </w:r>
      <w:hyperlink r:id="rId19" w:history="1">
        <w:r w:rsidRPr="00817998">
          <w:rPr>
            <w:rStyle w:val="Hyperlink"/>
            <w:rFonts w:ascii="Times New Roman" w:hAnsi="Times New Roman" w:cs="Times New Roman"/>
          </w:rPr>
          <w:t>https://doi.org/10.1177/0007650302041003003</w:t>
        </w:r>
      </w:hyperlink>
    </w:p>
    <w:p w14:paraId="578E6D39" w14:textId="65375D80"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rPr>
        <w:t xml:space="preserve">Bahman, S. P., Naji, K., &amp; Emami, M. (2014). Corporate social responsibility: A literature review. African Journal of Business Management </w:t>
      </w:r>
      <w:hyperlink r:id="rId20" w:history="1">
        <w:r w:rsidRPr="00817998">
          <w:rPr>
            <w:rStyle w:val="Hyperlink"/>
            <w:rFonts w:ascii="Times New Roman" w:hAnsi="Times New Roman" w:cs="Times New Roman"/>
          </w:rPr>
          <w:t>https://doi.org/10.5897/AJBM12.106</w:t>
        </w:r>
      </w:hyperlink>
    </w:p>
    <w:p w14:paraId="32AD54D6" w14:textId="5688C22F" w:rsidR="00C442A8" w:rsidRPr="00817998" w:rsidRDefault="0096654F" w:rsidP="00817998">
      <w:pPr>
        <w:ind w:left="450"/>
        <w:jc w:val="both"/>
        <w:rPr>
          <w:rStyle w:val="Hyperlink"/>
          <w:rFonts w:ascii="Times New Roman" w:hAnsi="Times New Roman" w:cs="Times New Roman"/>
          <w:color w:val="auto"/>
          <w:u w:val="none"/>
        </w:rPr>
      </w:pPr>
      <w:r w:rsidRPr="00817998">
        <w:rPr>
          <w:rFonts w:ascii="Times New Roman" w:hAnsi="Times New Roman" w:cs="Times New Roman"/>
        </w:rPr>
        <w:t xml:space="preserve">Bhattacharjee, A., </w:t>
      </w:r>
      <w:proofErr w:type="spellStart"/>
      <w:r w:rsidRPr="00817998">
        <w:rPr>
          <w:rFonts w:ascii="Times New Roman" w:hAnsi="Times New Roman" w:cs="Times New Roman"/>
        </w:rPr>
        <w:t>Polas</w:t>
      </w:r>
      <w:proofErr w:type="spellEnd"/>
      <w:r w:rsidRPr="00817998">
        <w:rPr>
          <w:rFonts w:ascii="Times New Roman" w:hAnsi="Times New Roman" w:cs="Times New Roman"/>
        </w:rPr>
        <w:t xml:space="preserve">, M.R.H., Ahmed, M., and Eshita, K.F.  (2020). “Alternative Concern on the Remittance    Increases    Investments    and    Financial    Sustainability”, IIUB    Studies, </w:t>
      </w:r>
      <w:r w:rsidRPr="00817998">
        <w:rPr>
          <w:rFonts w:ascii="Times New Roman" w:hAnsi="Times New Roman" w:cs="Times New Roman"/>
          <w:i/>
          <w:iCs/>
        </w:rPr>
        <w:t>A Multidisciplinary Research Journal, Vol. 2</w:t>
      </w:r>
      <w:r w:rsidRPr="00817998">
        <w:rPr>
          <w:rFonts w:ascii="Times New Roman" w:hAnsi="Times New Roman" w:cs="Times New Roman"/>
        </w:rPr>
        <w:t>, No.1, pp. 29-46.</w:t>
      </w:r>
    </w:p>
    <w:p w14:paraId="6C3C52D1" w14:textId="39B761EA"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Barauskaite</w:t>
      </w:r>
      <w:proofErr w:type="spellEnd"/>
      <w:r w:rsidRPr="00817998">
        <w:rPr>
          <w:rFonts w:ascii="Times New Roman" w:hAnsi="Times New Roman" w:cs="Times New Roman"/>
        </w:rPr>
        <w:t xml:space="preserve">, G., &amp; </w:t>
      </w:r>
      <w:proofErr w:type="spellStart"/>
      <w:r w:rsidRPr="00817998">
        <w:rPr>
          <w:rFonts w:ascii="Times New Roman" w:hAnsi="Times New Roman" w:cs="Times New Roman"/>
        </w:rPr>
        <w:t>Streimikiene</w:t>
      </w:r>
      <w:proofErr w:type="spellEnd"/>
      <w:r w:rsidRPr="00817998">
        <w:rPr>
          <w:rFonts w:ascii="Times New Roman" w:hAnsi="Times New Roman" w:cs="Times New Roman"/>
        </w:rPr>
        <w:t xml:space="preserve">, D. (2021). Corporate social responsibility and financial performance of companies: The puzzle of concepts, definitions and assessment methods. Corporate Social Responsibility and Environmental Management, 28(1), 278-287. </w:t>
      </w:r>
      <w:hyperlink r:id="rId21" w:history="1">
        <w:r w:rsidRPr="00817998">
          <w:rPr>
            <w:rStyle w:val="Hyperlink"/>
            <w:rFonts w:ascii="Times New Roman" w:hAnsi="Times New Roman" w:cs="Times New Roman"/>
          </w:rPr>
          <w:t>https://doi.org/10.1002/csr.2048</w:t>
        </w:r>
      </w:hyperlink>
    </w:p>
    <w:p w14:paraId="0A29C6F4" w14:textId="12088754"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Barnett, T. and </w:t>
      </w:r>
      <w:proofErr w:type="spellStart"/>
      <w:r w:rsidRPr="00817998">
        <w:rPr>
          <w:rFonts w:ascii="Times New Roman" w:hAnsi="Times New Roman" w:cs="Times New Roman"/>
          <w:color w:val="000000" w:themeColor="text1"/>
        </w:rPr>
        <w:t>Vaicys</w:t>
      </w:r>
      <w:proofErr w:type="spellEnd"/>
      <w:r w:rsidRPr="00817998">
        <w:rPr>
          <w:rFonts w:ascii="Times New Roman" w:hAnsi="Times New Roman" w:cs="Times New Roman"/>
          <w:color w:val="000000" w:themeColor="text1"/>
        </w:rPr>
        <w:t xml:space="preserve">, C. (2000). The Moderating Effect of Individuals‟ Perceptions of Ethical Work Climate on Ethical Judgments and Behavioral Intentions. </w:t>
      </w:r>
      <w:r w:rsidRPr="00817998">
        <w:rPr>
          <w:rFonts w:ascii="Times New Roman" w:hAnsi="Times New Roman" w:cs="Times New Roman"/>
          <w:i/>
          <w:iCs/>
          <w:color w:val="000000" w:themeColor="text1"/>
        </w:rPr>
        <w:t>Journal of</w:t>
      </w:r>
      <w:r w:rsidRPr="00817998">
        <w:rPr>
          <w:rFonts w:ascii="Times New Roman" w:hAnsi="Times New Roman" w:cs="Times New Roman"/>
          <w:color w:val="000000" w:themeColor="text1"/>
        </w:rPr>
        <w:t xml:space="preserve"> </w:t>
      </w:r>
      <w:r w:rsidRPr="00817998">
        <w:rPr>
          <w:rFonts w:ascii="Times New Roman" w:hAnsi="Times New Roman" w:cs="Times New Roman"/>
          <w:i/>
          <w:iCs/>
          <w:color w:val="000000" w:themeColor="text1"/>
        </w:rPr>
        <w:t>Business Ethics</w:t>
      </w:r>
      <w:r w:rsidRPr="00817998">
        <w:rPr>
          <w:rFonts w:ascii="Times New Roman" w:hAnsi="Times New Roman" w:cs="Times New Roman"/>
          <w:color w:val="000000" w:themeColor="text1"/>
        </w:rPr>
        <w:t>, 27(4), 351-362.</w:t>
      </w:r>
    </w:p>
    <w:p w14:paraId="703CE702" w14:textId="367A09A8"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Imam, S. (2000). Corporate social performance reporting in Bangladesh. Managerial Auditing Journal, 15(3), 133-142. </w:t>
      </w:r>
      <w:hyperlink r:id="rId22" w:history="1">
        <w:r w:rsidRPr="00817998">
          <w:rPr>
            <w:rStyle w:val="Hyperlink"/>
            <w:rFonts w:ascii="Times New Roman" w:hAnsi="Times New Roman" w:cs="Times New Roman"/>
          </w:rPr>
          <w:t>https://doi.org/10.1108/02686900010319384</w:t>
        </w:r>
      </w:hyperlink>
    </w:p>
    <w:p w14:paraId="64A233EC" w14:textId="2AB70095"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Belal, A. R. (2001). A study of corporate social disclosures in Bangladesh. Managerial Auditing Journal, 16(5), 274–289. </w:t>
      </w:r>
      <w:hyperlink r:id="rId23" w:history="1">
        <w:r w:rsidRPr="00817998">
          <w:rPr>
            <w:rStyle w:val="Hyperlink"/>
            <w:rFonts w:ascii="Times New Roman" w:hAnsi="Times New Roman" w:cs="Times New Roman"/>
          </w:rPr>
          <w:t>https://doi.org/10.1108/02686900110392922</w:t>
        </w:r>
      </w:hyperlink>
    </w:p>
    <w:p w14:paraId="568C979C" w14:textId="1C26F40E"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Belal, A. R. (1999). Corporate social reporting in Bangladesh. Social and Environmental Accounting, 19(1), 8–12. </w:t>
      </w:r>
      <w:hyperlink r:id="rId24" w:history="1">
        <w:r w:rsidRPr="00817998">
          <w:rPr>
            <w:rStyle w:val="Hyperlink"/>
            <w:rFonts w:ascii="Times New Roman" w:hAnsi="Times New Roman" w:cs="Times New Roman"/>
          </w:rPr>
          <w:t>https://doi.org/10.1080/0969160X.1999.9651601</w:t>
        </w:r>
      </w:hyperlink>
    </w:p>
    <w:p w14:paraId="44B0389B" w14:textId="17E14FD7"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Berens, G., van Riel, C. B. M., &amp; van Bruggen, G. H. (2005). Corporate Associations and Consumer Product Responses: The Moderating Role of Corporate Brand Dominance. Journal of Marketing, 69(3), 35-48. </w:t>
      </w:r>
      <w:hyperlink r:id="rId25" w:history="1">
        <w:r w:rsidRPr="00817998">
          <w:rPr>
            <w:rStyle w:val="Hyperlink"/>
            <w:rFonts w:ascii="Times New Roman" w:hAnsi="Times New Roman" w:cs="Times New Roman"/>
          </w:rPr>
          <w:t>https://doi.org/10.1509/jmkg.69.3.35.66357</w:t>
        </w:r>
      </w:hyperlink>
    </w:p>
    <w:p w14:paraId="05F7BD95" w14:textId="5DB6A010"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Bhuiyan, M. A. H., Darda, M. A., &amp; Hossain, M. B. (2022). Corporate social responsibility (CSR) practices in Islamic banks of Bangladesh. Social Responsibility Journal, 18(5), 968–983 </w:t>
      </w:r>
      <w:hyperlink r:id="rId26" w:history="1">
        <w:r w:rsidRPr="00817998">
          <w:rPr>
            <w:rStyle w:val="Hyperlink"/>
            <w:rFonts w:ascii="Times New Roman" w:hAnsi="Times New Roman" w:cs="Times New Roman"/>
          </w:rPr>
          <w:t>https://doi.org/10.1108/SRJ-07-2020-0280</w:t>
        </w:r>
      </w:hyperlink>
    </w:p>
    <w:p w14:paraId="126A478E" w14:textId="6A52CFB8"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Bowd et al. (2003). CSR-A Schools Approach to an Inclusive Definition: Setting the Scene for Future Public Relations and Communication Research. Paper presented at the 10th International Public Relations Symposium. Lake Bled, Slovenia.</w:t>
      </w:r>
    </w:p>
    <w:p w14:paraId="2A832143" w14:textId="7DBC2B01"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Bowen, H. R. (1953). Social Responsibilities of the Businessman. Harper. </w:t>
      </w:r>
      <w:hyperlink r:id="rId27" w:history="1">
        <w:r w:rsidRPr="00817998">
          <w:rPr>
            <w:rStyle w:val="Hyperlink"/>
            <w:rFonts w:ascii="Times New Roman" w:hAnsi="Times New Roman" w:cs="Times New Roman"/>
          </w:rPr>
          <w:t>https://doi.org/10.1353/book29080</w:t>
        </w:r>
      </w:hyperlink>
    </w:p>
    <w:p w14:paraId="1FBD4171" w14:textId="3878030D"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Brammer, S., &amp; Millington, A. (2005). Corporate reputation and philanthropy: An empirical analysis. Journal of Business Ethics, 61(1), 29-44. </w:t>
      </w:r>
      <w:hyperlink r:id="rId28" w:history="1">
        <w:r w:rsidRPr="00817998">
          <w:rPr>
            <w:rStyle w:val="Hyperlink"/>
            <w:rFonts w:ascii="Times New Roman" w:hAnsi="Times New Roman" w:cs="Times New Roman"/>
          </w:rPr>
          <w:t>https://doi.org/10.1007/s10551-005-7443-4</w:t>
        </w:r>
      </w:hyperlink>
    </w:p>
    <w:p w14:paraId="7EE77A3A" w14:textId="4CBD9300"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proofErr w:type="spellStart"/>
      <w:proofErr w:type="gramStart"/>
      <w:r w:rsidRPr="00817998">
        <w:rPr>
          <w:rFonts w:ascii="Times New Roman" w:hAnsi="Times New Roman" w:cs="Times New Roman"/>
          <w:color w:val="000000" w:themeColor="text1"/>
        </w:rPr>
        <w:t>Brown,D</w:t>
      </w:r>
      <w:proofErr w:type="spellEnd"/>
      <w:r w:rsidRPr="00817998">
        <w:rPr>
          <w:rFonts w:ascii="Times New Roman" w:hAnsi="Times New Roman" w:cs="Times New Roman"/>
          <w:color w:val="000000" w:themeColor="text1"/>
        </w:rPr>
        <w:t>.</w:t>
      </w:r>
      <w:proofErr w:type="gramEnd"/>
      <w:r w:rsidRPr="00817998">
        <w:rPr>
          <w:rFonts w:ascii="Times New Roman" w:hAnsi="Times New Roman" w:cs="Times New Roman"/>
          <w:color w:val="000000" w:themeColor="text1"/>
        </w:rPr>
        <w:t>(2000) The Accountable Business : Managing Corporate Responsibility in Practice. Cambridge: Arthur D. Little Limited.</w:t>
      </w:r>
    </w:p>
    <w:p w14:paraId="11491196" w14:textId="77777777" w:rsidR="00504F65" w:rsidRPr="00B265FC" w:rsidRDefault="00504F65" w:rsidP="00817998">
      <w:pPr>
        <w:pStyle w:val="NormalWeb"/>
        <w:spacing w:before="0" w:beforeAutospacing="0" w:after="0" w:afterAutospacing="0"/>
        <w:ind w:left="450"/>
        <w:jc w:val="both"/>
        <w:rPr>
          <w:color w:val="000000" w:themeColor="text1"/>
        </w:rPr>
      </w:pPr>
      <w:r w:rsidRPr="00B265FC">
        <w:rPr>
          <w:color w:val="000000" w:themeColor="text1"/>
        </w:rPr>
        <w:t xml:space="preserve">Bryman, A., &amp; Bell, E. (2015). </w:t>
      </w:r>
      <w:r w:rsidRPr="00B265FC">
        <w:rPr>
          <w:rStyle w:val="Emphasis"/>
          <w:color w:val="000000" w:themeColor="text1"/>
        </w:rPr>
        <w:t>Business research methods</w:t>
      </w:r>
      <w:r w:rsidRPr="00B265FC">
        <w:rPr>
          <w:color w:val="000000" w:themeColor="text1"/>
        </w:rPr>
        <w:t xml:space="preserve"> (4th ed.). Oxford University Press.</w:t>
      </w:r>
    </w:p>
    <w:p w14:paraId="19091225" w14:textId="3B7AA4A7"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lastRenderedPageBreak/>
        <w:t xml:space="preserve">Buttigieg, S. C., Tomaselli, G., Byers, V., Cassar, M., </w:t>
      </w:r>
      <w:proofErr w:type="spellStart"/>
      <w:r w:rsidRPr="00817998">
        <w:rPr>
          <w:rFonts w:ascii="Times New Roman" w:hAnsi="Times New Roman" w:cs="Times New Roman"/>
        </w:rPr>
        <w:t>Tjerbo</w:t>
      </w:r>
      <w:proofErr w:type="spellEnd"/>
      <w:r w:rsidRPr="00817998">
        <w:rPr>
          <w:rFonts w:ascii="Times New Roman" w:hAnsi="Times New Roman" w:cs="Times New Roman"/>
        </w:rPr>
        <w:t xml:space="preserve">, T., &amp; Rosano, A. (2019). Corporate social responsibility and person-centered care: a scoping review. Journal of Global Responsibility, 10(4), 289–306. </w:t>
      </w:r>
      <w:hyperlink r:id="rId29" w:history="1">
        <w:r w:rsidRPr="00817998">
          <w:rPr>
            <w:rStyle w:val="Hyperlink"/>
            <w:rFonts w:ascii="Times New Roman" w:hAnsi="Times New Roman" w:cs="Times New Roman"/>
          </w:rPr>
          <w:t>https://doi.org/10.1108/JGR-01-2019-0006</w:t>
        </w:r>
      </w:hyperlink>
    </w:p>
    <w:p w14:paraId="71AF9FAE" w14:textId="693EAEBB" w:rsidR="0036368A" w:rsidRPr="00817998" w:rsidRDefault="0036368A"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color w:val="000000" w:themeColor="text1"/>
        </w:rPr>
        <w:t xml:space="preserve">Burlingame, D. F., &amp; Young, D. R. (Eds.). (1996). Corporate philanthropy at the crossroads. Indiana University Press. </w:t>
      </w:r>
      <w:hyperlink r:id="rId30" w:history="1">
        <w:r w:rsidRPr="00817998">
          <w:rPr>
            <w:rStyle w:val="Hyperlink"/>
            <w:rFonts w:ascii="Times New Roman" w:hAnsi="Times New Roman" w:cs="Times New Roman"/>
          </w:rPr>
          <w:t>https://iupress.indiana.edu/9780253330772/corporate-philanthropy-at-the-crossroads/</w:t>
        </w:r>
      </w:hyperlink>
    </w:p>
    <w:p w14:paraId="3528D496" w14:textId="73C0C5B5"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Carroll, A. B. (1979). A Three-Dimensional Conceptual Model of Corporate Performance. Academy of Management Review, 4(4), 497-505. </w:t>
      </w:r>
      <w:hyperlink r:id="rId31" w:history="1">
        <w:r w:rsidRPr="00817998">
          <w:rPr>
            <w:rStyle w:val="Hyperlink"/>
            <w:rFonts w:ascii="Times New Roman" w:hAnsi="Times New Roman" w:cs="Times New Roman"/>
          </w:rPr>
          <w:t>https://doi.org/10.5465/AMR.1979.4498296</w:t>
        </w:r>
      </w:hyperlink>
    </w:p>
    <w:p w14:paraId="75EC44A0" w14:textId="3D38EAB4" w:rsidR="0036368A" w:rsidRPr="00817998" w:rsidRDefault="0036368A"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color w:val="000000" w:themeColor="text1"/>
        </w:rPr>
        <w:t xml:space="preserve">Carroll, A. B. (1991). The Pyramid of Corporate Social Responsibility: Toward the Moral Management of Organizational Stakeholders. Business Horizons, 34(4), 39-48. </w:t>
      </w:r>
      <w:hyperlink r:id="rId32" w:history="1">
        <w:r w:rsidRPr="00817998">
          <w:rPr>
            <w:rStyle w:val="Hyperlink"/>
            <w:rFonts w:ascii="Times New Roman" w:hAnsi="Times New Roman" w:cs="Times New Roman"/>
          </w:rPr>
          <w:t>https://doi.org/10.1016/0007-6813(91)90005-G</w:t>
        </w:r>
      </w:hyperlink>
    </w:p>
    <w:p w14:paraId="1FB6B418" w14:textId="1A26FA72"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Carroll, A. B. (1999). Corporate Social Responsibility: Evolution of a Definitional Construct. Business &amp; Society, 38(3), 268-295. </w:t>
      </w:r>
      <w:hyperlink r:id="rId33" w:history="1">
        <w:r w:rsidRPr="00817998">
          <w:rPr>
            <w:rStyle w:val="Hyperlink"/>
            <w:rFonts w:ascii="Times New Roman" w:hAnsi="Times New Roman" w:cs="Times New Roman"/>
          </w:rPr>
          <w:t>https://doi.org/10.1177/000765039903800303</w:t>
        </w:r>
      </w:hyperlink>
    </w:p>
    <w:p w14:paraId="11D62DD8" w14:textId="0A6C06E0"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Carroll, A. B. (2000). Ethical Challenges for Business in the New Millennium: Corporate Social Responsibility and Models of Management Morality. Business Ethics Quarterly, 10(1), 33-42 </w:t>
      </w:r>
      <w:hyperlink r:id="rId34" w:history="1">
        <w:r w:rsidRPr="00817998">
          <w:rPr>
            <w:rStyle w:val="Hyperlink"/>
            <w:rFonts w:ascii="Times New Roman" w:hAnsi="Times New Roman" w:cs="Times New Roman"/>
          </w:rPr>
          <w:t>https://doi.org/10.2307/3857692</w:t>
        </w:r>
      </w:hyperlink>
    </w:p>
    <w:p w14:paraId="386C0293" w14:textId="76CFE279"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Carroll, A. B. (2008). A history of corporate social responsibility: Concepts and practices. In A. Crane, A. McWilliams, D. Matten, J. Moon, &amp; D. S. Siegel (Eds.), *The Oxford handbook of corporate social responsibility* (pp. 19-46). Oxford University Press. </w:t>
      </w:r>
      <w:hyperlink r:id="rId35" w:history="1">
        <w:r w:rsidRPr="00817998">
          <w:rPr>
            <w:rStyle w:val="Hyperlink"/>
            <w:rFonts w:ascii="Times New Roman" w:hAnsi="Times New Roman" w:cs="Times New Roman"/>
          </w:rPr>
          <w:t>https://doi.org/10.1093/oxfordhb/9780199211593.003.0002</w:t>
        </w:r>
      </w:hyperlink>
    </w:p>
    <w:p w14:paraId="6D6B24A1" w14:textId="3E50AF90" w:rsidR="00504F65" w:rsidRPr="00817998" w:rsidRDefault="00C153C5" w:rsidP="00817998">
      <w:pPr>
        <w:ind w:left="450"/>
        <w:jc w:val="both"/>
        <w:rPr>
          <w:rFonts w:ascii="Times New Roman" w:hAnsi="Times New Roman" w:cs="Times New Roman"/>
        </w:rPr>
      </w:pPr>
      <w:r w:rsidRPr="00817998">
        <w:rPr>
          <w:rFonts w:ascii="Times New Roman" w:hAnsi="Times New Roman" w:cs="Times New Roman"/>
        </w:rPr>
        <w:t xml:space="preserve">Center for Training and Professional Development. (2023). Top proven CSR activities to </w:t>
      </w:r>
      <w:proofErr w:type="spellStart"/>
      <w:r w:rsidRPr="00817998">
        <w:rPr>
          <w:rFonts w:ascii="Times New Roman" w:hAnsi="Times New Roman" w:cs="Times New Roman"/>
        </w:rPr>
        <w:t>amp</w:t>
      </w:r>
      <w:proofErr w:type="spellEnd"/>
      <w:r w:rsidRPr="00817998">
        <w:rPr>
          <w:rFonts w:ascii="Times New Roman" w:hAnsi="Times New Roman" w:cs="Times New Roman"/>
        </w:rPr>
        <w:t xml:space="preserve"> up employee engagement and motivation. LinkedIn. </w:t>
      </w:r>
      <w:hyperlink r:id="rId36" w:anchor=":~:text=Companies%20can%20organize%20volunteering%20programs%20that%20align,to%20participating%20in%20a%20beach%20cleanup%20activity" w:history="1">
        <w:r w:rsidRPr="00817998">
          <w:rPr>
            <w:rStyle w:val="Hyperlink"/>
            <w:rFonts w:ascii="Times New Roman" w:hAnsi="Times New Roman" w:cs="Times New Roman"/>
          </w:rPr>
          <w:t>https://www.linkedin.com/pulse/top-proven-csr-activities-amp-up-employee-engagement#:~:text=Companies%20can%20organize%20volunteering%20programs%20that%20align,to%20participating%20in%20a%20beach%20cleanup%20activity</w:t>
        </w:r>
      </w:hyperlink>
      <w:r w:rsidRPr="00817998">
        <w:rPr>
          <w:rFonts w:ascii="Times New Roman" w:hAnsi="Times New Roman" w:cs="Times New Roman"/>
        </w:rPr>
        <w:t>.</w:t>
      </w:r>
    </w:p>
    <w:p w14:paraId="6E03985D" w14:textId="1F35C170"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Chezuba</w:t>
      </w:r>
      <w:proofErr w:type="spellEnd"/>
      <w:r w:rsidRPr="00817998">
        <w:rPr>
          <w:rFonts w:ascii="Times New Roman" w:hAnsi="Times New Roman" w:cs="Times New Roman"/>
        </w:rPr>
        <w:t xml:space="preserve">. (2024). 6 latest corporate social responsibility trends in the United States. </w:t>
      </w:r>
      <w:hyperlink r:id="rId37" w:history="1">
        <w:r w:rsidRPr="00817998">
          <w:rPr>
            <w:rStyle w:val="Hyperlink"/>
            <w:rFonts w:ascii="Times New Roman" w:hAnsi="Times New Roman" w:cs="Times New Roman"/>
          </w:rPr>
          <w:t>https://www.chezuba.com/blog/6-latest-corporate-social-responsibility-trends-in-the-united-states</w:t>
        </w:r>
      </w:hyperlink>
    </w:p>
    <w:p w14:paraId="001553A7" w14:textId="6D6550F0" w:rsidR="0036368A" w:rsidRPr="00817998" w:rsidRDefault="0036368A"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color w:val="000000" w:themeColor="text1"/>
        </w:rPr>
        <w:t xml:space="preserve">Crane, A., McWilliams, A., Matten, D., Moon, J., &amp; Siegel, D. S. (Eds.). (2008). The Oxford Handbook of Corporate Social Responsibility. Oxford University Press. </w:t>
      </w:r>
      <w:hyperlink r:id="rId38" w:history="1">
        <w:r w:rsidRPr="00817998">
          <w:rPr>
            <w:rStyle w:val="Hyperlink"/>
            <w:rFonts w:ascii="Times New Roman" w:hAnsi="Times New Roman" w:cs="Times New Roman"/>
          </w:rPr>
          <w:t>https://doi.org/10.1093/oxfordhb/9780199211593.001.0001</w:t>
        </w:r>
      </w:hyperlink>
    </w:p>
    <w:p w14:paraId="5F952581" w14:textId="57923A77"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Cattell, R. B. (1966). The Scree Test </w:t>
      </w:r>
      <w:proofErr w:type="gramStart"/>
      <w:r w:rsidRPr="00817998">
        <w:rPr>
          <w:rFonts w:ascii="Times New Roman" w:hAnsi="Times New Roman" w:cs="Times New Roman"/>
          <w:color w:val="000000" w:themeColor="text1"/>
        </w:rPr>
        <w:t>For</w:t>
      </w:r>
      <w:proofErr w:type="gramEnd"/>
      <w:r w:rsidRPr="00817998">
        <w:rPr>
          <w:rFonts w:ascii="Times New Roman" w:hAnsi="Times New Roman" w:cs="Times New Roman"/>
          <w:color w:val="000000" w:themeColor="text1"/>
        </w:rPr>
        <w:t xml:space="preserve"> The Number Of Factors. Multivariate Behavioral Research, 1, 245-276. </w:t>
      </w:r>
      <w:hyperlink r:id="rId39" w:history="1">
        <w:r w:rsidRPr="00817998">
          <w:rPr>
            <w:rStyle w:val="Hyperlink"/>
            <w:rFonts w:ascii="Times New Roman" w:hAnsi="Times New Roman" w:cs="Times New Roman"/>
          </w:rPr>
          <w:t>https://doi.org/10.1207/s15327906mbr0102_10</w:t>
        </w:r>
      </w:hyperlink>
    </w:p>
    <w:p w14:paraId="13629901" w14:textId="0DE68551"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Centre for Corporate Public Affairs in Conjunction with Business Council of Australia (2000)</w:t>
      </w:r>
    </w:p>
    <w:p w14:paraId="0072EB08" w14:textId="0CC8CC96" w:rsidR="00504F65"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Chapple, W., &amp; Moon, J. (2005). Corporate Social Responsibility (CSR) in Asia: A Seven-Country Study of CSR Web Site Reporting. Business &amp; Society, 44(4), 415–441. </w:t>
      </w:r>
      <w:hyperlink r:id="rId40" w:history="1">
        <w:r w:rsidRPr="00817998">
          <w:rPr>
            <w:rStyle w:val="Hyperlink"/>
            <w:rFonts w:ascii="Times New Roman" w:hAnsi="Times New Roman" w:cs="Times New Roman"/>
            <w:kern w:val="0"/>
            <w:sz w:val="22"/>
            <w:szCs w:val="22"/>
            <w14:ligatures w14:val="none"/>
          </w:rPr>
          <w:t>https://doi.org/10.1177/0007650305281658</w:t>
        </w:r>
      </w:hyperlink>
    </w:p>
    <w:p w14:paraId="5185C686" w14:textId="77777777" w:rsidR="0036368A" w:rsidRPr="00B265FC" w:rsidRDefault="0036368A" w:rsidP="00817998">
      <w:pPr>
        <w:autoSpaceDE w:val="0"/>
        <w:autoSpaceDN w:val="0"/>
        <w:adjustRightInd w:val="0"/>
        <w:jc w:val="both"/>
        <w:rPr>
          <w:rFonts w:ascii="Times New Roman" w:hAnsi="Times New Roman" w:cs="Times New Roman"/>
          <w:color w:val="000000" w:themeColor="text1"/>
        </w:rPr>
      </w:pPr>
    </w:p>
    <w:p w14:paraId="234C368B" w14:textId="5842DA8D"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Chapple, W., &amp; Moon, J. (2005). Corporate Social Responsibility (CSR) in Asia: A Seven-Country Study of CSR Web Site Reporting. Business &amp; Society, 44(4), 415-441. </w:t>
      </w:r>
      <w:hyperlink r:id="rId41" w:history="1">
        <w:r w:rsidRPr="00817998">
          <w:rPr>
            <w:rStyle w:val="Hyperlink"/>
            <w:rFonts w:ascii="Times New Roman" w:hAnsi="Times New Roman" w:cs="Times New Roman"/>
          </w:rPr>
          <w:t>https://doi.org/10.1177/0007650305281658</w:t>
        </w:r>
      </w:hyperlink>
    </w:p>
    <w:p w14:paraId="17C74245" w14:textId="77777777" w:rsidR="0036368A" w:rsidRPr="0036368A" w:rsidRDefault="0036368A" w:rsidP="00817998">
      <w:pPr>
        <w:pStyle w:val="ListParagraph"/>
        <w:rPr>
          <w:rFonts w:ascii="Times New Roman" w:hAnsi="Times New Roman" w:cs="Times New Roman"/>
          <w:color w:val="000000" w:themeColor="text1"/>
        </w:rPr>
      </w:pPr>
    </w:p>
    <w:p w14:paraId="64458566" w14:textId="4DDFF1CD"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Cheung, Y. L., Tan, W., Ahn, H. J. and Zhang, Z. (2010). Does Corporate Social Responsibility Matter in Asian Emerging Markets? </w:t>
      </w:r>
      <w:r w:rsidRPr="00817998">
        <w:rPr>
          <w:rFonts w:ascii="Times New Roman" w:hAnsi="Times New Roman" w:cs="Times New Roman"/>
          <w:i/>
          <w:iCs/>
          <w:color w:val="000000" w:themeColor="text1"/>
        </w:rPr>
        <w:t>Journal of Business Ethics</w:t>
      </w:r>
      <w:r w:rsidRPr="00817998">
        <w:rPr>
          <w:rFonts w:ascii="Times New Roman" w:hAnsi="Times New Roman" w:cs="Times New Roman"/>
          <w:color w:val="000000" w:themeColor="text1"/>
        </w:rPr>
        <w:t>,</w:t>
      </w:r>
    </w:p>
    <w:p w14:paraId="74E1A37D" w14:textId="59BE148B" w:rsidR="0036368A" w:rsidRPr="0036368A" w:rsidRDefault="0036368A" w:rsidP="00817998">
      <w:pPr>
        <w:pStyle w:val="NormalWeb"/>
        <w:spacing w:before="0" w:beforeAutospacing="0" w:after="0" w:afterAutospacing="0"/>
        <w:ind w:left="450"/>
        <w:jc w:val="both"/>
        <w:rPr>
          <w:color w:val="000000" w:themeColor="text1"/>
        </w:rPr>
      </w:pPr>
      <w:r w:rsidRPr="0036368A">
        <w:rPr>
          <w:rFonts w:eastAsiaTheme="minorHAnsi"/>
          <w:i/>
          <w:iCs/>
          <w:color w:val="000000" w:themeColor="text1"/>
          <w:sz w:val="22"/>
          <w:szCs w:val="22"/>
          <w:lang w:eastAsia="en-US" w:bidi="ar-SA"/>
        </w:rPr>
        <w:lastRenderedPageBreak/>
        <w:t xml:space="preserve">Cheung, Y. L., Tan, W., Ahn, H. J., &amp; Zhang, Z. (2010). Does corporate social responsibility matter in Asian emerging markets? Journal of Business Ethics, 92(3), 401-413. </w:t>
      </w:r>
      <w:hyperlink r:id="rId42" w:history="1">
        <w:r w:rsidRPr="00E13E6D">
          <w:rPr>
            <w:rStyle w:val="Hyperlink"/>
            <w:rFonts w:eastAsiaTheme="minorHAnsi"/>
            <w:i/>
            <w:iCs/>
            <w:sz w:val="22"/>
            <w:szCs w:val="22"/>
            <w:lang w:eastAsia="en-US" w:bidi="ar-SA"/>
          </w:rPr>
          <w:t>https://doi.org/10.1007/s10551-009-0164-3</w:t>
        </w:r>
      </w:hyperlink>
    </w:p>
    <w:p w14:paraId="67F9E306" w14:textId="33F7D819" w:rsidR="0036368A" w:rsidRPr="00817998" w:rsidRDefault="0036368A" w:rsidP="00817998">
      <w:pPr>
        <w:autoSpaceDE w:val="0"/>
        <w:autoSpaceDN w:val="0"/>
        <w:adjustRightInd w:val="0"/>
        <w:ind w:left="450"/>
        <w:jc w:val="both"/>
        <w:rPr>
          <w:rFonts w:ascii="Times New Roman" w:hAnsi="Times New Roman" w:cs="Times New Roman"/>
          <w:color w:val="000000" w:themeColor="text1"/>
          <w:sz w:val="22"/>
          <w:szCs w:val="22"/>
        </w:rPr>
      </w:pPr>
      <w:r w:rsidRPr="00817998">
        <w:rPr>
          <w:rFonts w:ascii="Times New Roman" w:eastAsia="Times New Roman" w:hAnsi="Times New Roman" w:cs="Times New Roman"/>
          <w:color w:val="000000" w:themeColor="text1"/>
          <w:lang w:eastAsia="en-GB" w:bidi="bn-IN"/>
        </w:rPr>
        <w:t xml:space="preserve">Creswell, J. W. (2014). Research design: Qualitative, quantitative, and mixed methods approaches (4th ed.). Sage Publications. </w:t>
      </w:r>
      <w:hyperlink r:id="rId43" w:history="1">
        <w:r w:rsidRPr="00817998">
          <w:rPr>
            <w:rStyle w:val="Hyperlink"/>
            <w:rFonts w:ascii="Times New Roman" w:eastAsia="Times New Roman" w:hAnsi="Times New Roman" w:cs="Times New Roman"/>
            <w:lang w:eastAsia="en-GB" w:bidi="bn-IN"/>
          </w:rPr>
          <w:t>https://us.sagepub.com/en-us/nam/research-design/book238068</w:t>
        </w:r>
      </w:hyperlink>
    </w:p>
    <w:p w14:paraId="5D585D52" w14:textId="7F93151B"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Crowther, D., &amp; Rayman-Bacchus, L. (Eds.). (2004). Perspectives on corporate social responsibility. Routledge. </w:t>
      </w:r>
      <w:hyperlink r:id="rId44" w:history="1">
        <w:r w:rsidRPr="00817998">
          <w:rPr>
            <w:rStyle w:val="Hyperlink"/>
            <w:rFonts w:ascii="Times New Roman" w:hAnsi="Times New Roman" w:cs="Times New Roman"/>
          </w:rPr>
          <w:t>https://doi.org/10.4324/978131547007</w:t>
        </w:r>
      </w:hyperlink>
    </w:p>
    <w:p w14:paraId="7DF34BAE" w14:textId="77777777" w:rsidR="0036368A" w:rsidRPr="00817998" w:rsidRDefault="0036368A"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Davis, I. (2005). What is the Business of Business? McKinsey Quarterly, 3(3), 104-113.</w:t>
      </w:r>
    </w:p>
    <w:p w14:paraId="563742AA" w14:textId="6CE0384A"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Davis, K. R. (1960). Can business afford to ignore social responsibilities? *California Management Review*, *2*(Spring), 70–76. </w:t>
      </w:r>
      <w:hyperlink r:id="rId45" w:history="1">
        <w:r w:rsidRPr="00817998">
          <w:rPr>
            <w:rStyle w:val="Hyperlink"/>
            <w:rFonts w:ascii="Times New Roman" w:hAnsi="Times New Roman" w:cs="Times New Roman"/>
          </w:rPr>
          <w:t>https://doi.org/10.2307/41166246</w:t>
        </w:r>
      </w:hyperlink>
    </w:p>
    <w:p w14:paraId="144C5824" w14:textId="4583C220" w:rsidR="0036368A" w:rsidRPr="00817998" w:rsidRDefault="0036368A" w:rsidP="00817998">
      <w:pPr>
        <w:ind w:left="450"/>
        <w:jc w:val="both"/>
        <w:rPr>
          <w:rFonts w:ascii="Times New Roman" w:hAnsi="Times New Roman" w:cs="Times New Roman"/>
        </w:rPr>
      </w:pPr>
      <w:r w:rsidRPr="00817998">
        <w:rPr>
          <w:rFonts w:ascii="Times New Roman" w:hAnsi="Times New Roman" w:cs="Times New Roman"/>
        </w:rPr>
        <w:t xml:space="preserve">Deegan, C. (2017). </w:t>
      </w:r>
      <w:proofErr w:type="gramStart"/>
      <w:r w:rsidRPr="00817998">
        <w:rPr>
          <w:rFonts w:ascii="Times New Roman" w:hAnsi="Times New Roman" w:cs="Times New Roman"/>
        </w:rPr>
        <w:t>Twenty five</w:t>
      </w:r>
      <w:proofErr w:type="gramEnd"/>
      <w:r w:rsidRPr="00817998">
        <w:rPr>
          <w:rFonts w:ascii="Times New Roman" w:hAnsi="Times New Roman" w:cs="Times New Roman"/>
        </w:rPr>
        <w:t xml:space="preserve"> years of social and environmental accounting research within Critical Perspectives of Accounting: Hits, misses and ways forward. Critical Perspectives on Accounting, 43, 65–87. </w:t>
      </w:r>
      <w:hyperlink r:id="rId46" w:history="1">
        <w:r w:rsidRPr="00817998">
          <w:rPr>
            <w:rStyle w:val="Hyperlink"/>
            <w:rFonts w:ascii="Times New Roman" w:hAnsi="Times New Roman" w:cs="Times New Roman"/>
          </w:rPr>
          <w:t>https://doi.org/10.1016/j.cpa.2016.06.005</w:t>
        </w:r>
      </w:hyperlink>
    </w:p>
    <w:p w14:paraId="0C122233" w14:textId="73F09990" w:rsidR="003C0F9F" w:rsidRPr="003C0F9F" w:rsidRDefault="003C0F9F" w:rsidP="00817998">
      <w:pPr>
        <w:pStyle w:val="NormalWeb"/>
        <w:spacing w:before="0" w:beforeAutospacing="0" w:after="0" w:afterAutospacing="0"/>
        <w:ind w:left="450"/>
        <w:jc w:val="both"/>
        <w:rPr>
          <w:color w:val="000000" w:themeColor="text1"/>
        </w:rPr>
      </w:pPr>
      <w:r w:rsidRPr="003C0F9F">
        <w:rPr>
          <w:rFonts w:eastAsiaTheme="minorHAnsi"/>
          <w:sz w:val="22"/>
          <w:szCs w:val="22"/>
          <w:lang w:eastAsia="en-US" w:bidi="ar-SA"/>
        </w:rPr>
        <w:t xml:space="preserve">Dillard, J., &amp; </w:t>
      </w:r>
      <w:proofErr w:type="spellStart"/>
      <w:r w:rsidRPr="003C0F9F">
        <w:rPr>
          <w:rFonts w:eastAsiaTheme="minorHAnsi"/>
          <w:sz w:val="22"/>
          <w:szCs w:val="22"/>
          <w:lang w:eastAsia="en-US" w:bidi="ar-SA"/>
        </w:rPr>
        <w:t>Vinnari</w:t>
      </w:r>
      <w:proofErr w:type="spellEnd"/>
      <w:r w:rsidRPr="003C0F9F">
        <w:rPr>
          <w:rFonts w:eastAsiaTheme="minorHAnsi"/>
          <w:sz w:val="22"/>
          <w:szCs w:val="22"/>
          <w:lang w:eastAsia="en-US" w:bidi="ar-SA"/>
        </w:rPr>
        <w:t xml:space="preserve">, E. (2019). Critical dialogical accountability: From accounting-based accountability to accountability-based accounting. Critical Perspectives on Accounting. </w:t>
      </w:r>
      <w:hyperlink r:id="rId47" w:history="1">
        <w:r w:rsidRPr="00E13E6D">
          <w:rPr>
            <w:rStyle w:val="Hyperlink"/>
            <w:rFonts w:eastAsiaTheme="minorHAnsi"/>
            <w:sz w:val="22"/>
            <w:szCs w:val="22"/>
            <w:lang w:eastAsia="en-US" w:bidi="ar-SA"/>
          </w:rPr>
          <w:t>https://doi.org/10.1016/j.cpa.2018.10.003</w:t>
        </w:r>
      </w:hyperlink>
    </w:p>
    <w:p w14:paraId="6837918C" w14:textId="057823CA" w:rsidR="003C0F9F" w:rsidRPr="00817998" w:rsidRDefault="003C0F9F" w:rsidP="00817998">
      <w:pPr>
        <w:autoSpaceDE w:val="0"/>
        <w:autoSpaceDN w:val="0"/>
        <w:adjustRightInd w:val="0"/>
        <w:ind w:left="450"/>
        <w:jc w:val="both"/>
        <w:rPr>
          <w:rFonts w:ascii="Times New Roman" w:hAnsi="Times New Roman" w:cs="Times New Roman"/>
          <w:i/>
          <w:iCs/>
          <w:color w:val="000000" w:themeColor="text1"/>
          <w:sz w:val="22"/>
          <w:szCs w:val="22"/>
        </w:rPr>
      </w:pPr>
      <w:r w:rsidRPr="00817998">
        <w:rPr>
          <w:rFonts w:ascii="Times New Roman" w:eastAsia="Times New Roman" w:hAnsi="Times New Roman" w:cs="Times New Roman"/>
          <w:color w:val="000000" w:themeColor="text1"/>
          <w:lang w:eastAsia="en-GB" w:bidi="bn-IN"/>
        </w:rPr>
        <w:t xml:space="preserve">Dillman, D. A., Smyth, J. D., &amp; Christian, L. M. (2014). Internet, phone, mail, and mixed-mode surveys: The tailored design method (4th ed.). Wiley. </w:t>
      </w:r>
      <w:hyperlink r:id="rId48" w:history="1">
        <w:r w:rsidRPr="00817998">
          <w:rPr>
            <w:rStyle w:val="Hyperlink"/>
            <w:rFonts w:ascii="Times New Roman" w:eastAsia="Times New Roman" w:hAnsi="Times New Roman" w:cs="Times New Roman"/>
            <w:lang w:eastAsia="en-GB" w:bidi="bn-IN"/>
          </w:rPr>
          <w:t>https://doi.org/10.1002/9781394260645</w:t>
        </w:r>
      </w:hyperlink>
    </w:p>
    <w:p w14:paraId="18E521D2" w14:textId="6358FEE5" w:rsidR="00504F65" w:rsidRPr="00817998" w:rsidRDefault="00504F65"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color w:val="000000" w:themeColor="text1"/>
        </w:rPr>
        <w:t xml:space="preserve">Dodson, Louise (1998) ‘Business to the Rescue’ </w:t>
      </w:r>
      <w:r w:rsidRPr="00817998">
        <w:rPr>
          <w:rFonts w:ascii="Times New Roman" w:hAnsi="Times New Roman" w:cs="Times New Roman"/>
          <w:i/>
          <w:iCs/>
          <w:color w:val="000000" w:themeColor="text1"/>
        </w:rPr>
        <w:t>The Australian Financial Review</w:t>
      </w:r>
      <w:r w:rsidRPr="00817998">
        <w:rPr>
          <w:rFonts w:ascii="Times New Roman" w:hAnsi="Times New Roman" w:cs="Times New Roman"/>
          <w:color w:val="000000" w:themeColor="text1"/>
        </w:rPr>
        <w:t>, 19 May 1998.</w:t>
      </w:r>
    </w:p>
    <w:p w14:paraId="5C771D66" w14:textId="7FC8768C"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i/>
          <w:iCs/>
          <w:color w:val="000000" w:themeColor="text1"/>
        </w:rPr>
        <w:t>A Scan, Synthesis and Scenario for Action</w:t>
      </w:r>
      <w:r w:rsidRPr="00817998">
        <w:rPr>
          <w:rFonts w:ascii="Times New Roman" w:hAnsi="Times New Roman" w:cs="Times New Roman"/>
          <w:color w:val="000000" w:themeColor="text1"/>
        </w:rPr>
        <w:t xml:space="preserve">, January 1999, Battle </w:t>
      </w:r>
      <w:proofErr w:type="gramStart"/>
      <w:r w:rsidRPr="00817998">
        <w:rPr>
          <w:rFonts w:ascii="Times New Roman" w:hAnsi="Times New Roman" w:cs="Times New Roman"/>
          <w:color w:val="000000" w:themeColor="text1"/>
        </w:rPr>
        <w:t>Creek ,</w:t>
      </w:r>
      <w:proofErr w:type="gramEnd"/>
      <w:r w:rsidRPr="00817998">
        <w:rPr>
          <w:rFonts w:ascii="Times New Roman" w:hAnsi="Times New Roman" w:cs="Times New Roman"/>
          <w:color w:val="000000" w:themeColor="text1"/>
        </w:rPr>
        <w:t xml:space="preserve"> MI: W. K. Kellogg Foundation. </w:t>
      </w:r>
    </w:p>
    <w:p w14:paraId="02C4C1EC" w14:textId="2E86EDCC"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color w:val="000000" w:themeColor="text1"/>
        </w:rPr>
        <w:t>Papasolomou-Doukakis</w:t>
      </w:r>
      <w:proofErr w:type="spellEnd"/>
      <w:r w:rsidRPr="00817998">
        <w:rPr>
          <w:rFonts w:ascii="Times New Roman" w:hAnsi="Times New Roman" w:cs="Times New Roman"/>
          <w:color w:val="000000" w:themeColor="text1"/>
        </w:rPr>
        <w:t xml:space="preserve">, I., </w:t>
      </w:r>
      <w:proofErr w:type="spellStart"/>
      <w:r w:rsidRPr="00817998">
        <w:rPr>
          <w:rFonts w:ascii="Times New Roman" w:hAnsi="Times New Roman" w:cs="Times New Roman"/>
          <w:color w:val="000000" w:themeColor="text1"/>
        </w:rPr>
        <w:t>Krambia-Kapardis</w:t>
      </w:r>
      <w:proofErr w:type="spellEnd"/>
      <w:r w:rsidRPr="00817998">
        <w:rPr>
          <w:rFonts w:ascii="Times New Roman" w:hAnsi="Times New Roman" w:cs="Times New Roman"/>
          <w:color w:val="000000" w:themeColor="text1"/>
        </w:rPr>
        <w:t xml:space="preserve">, M., &amp; </w:t>
      </w:r>
      <w:proofErr w:type="spellStart"/>
      <w:r w:rsidRPr="00817998">
        <w:rPr>
          <w:rFonts w:ascii="Times New Roman" w:hAnsi="Times New Roman" w:cs="Times New Roman"/>
          <w:color w:val="000000" w:themeColor="text1"/>
        </w:rPr>
        <w:t>Katsioloudes</w:t>
      </w:r>
      <w:proofErr w:type="spellEnd"/>
      <w:r w:rsidRPr="00817998">
        <w:rPr>
          <w:rFonts w:ascii="Times New Roman" w:hAnsi="Times New Roman" w:cs="Times New Roman"/>
          <w:color w:val="000000" w:themeColor="text1"/>
        </w:rPr>
        <w:t xml:space="preserve">, M. (2005). Corporate social responsibility: The way forward? Maybe </w:t>
      </w:r>
      <w:proofErr w:type="gramStart"/>
      <w:r w:rsidRPr="00817998">
        <w:rPr>
          <w:rFonts w:ascii="Times New Roman" w:hAnsi="Times New Roman" w:cs="Times New Roman"/>
          <w:color w:val="000000" w:themeColor="text1"/>
        </w:rPr>
        <w:t>not!:</w:t>
      </w:r>
      <w:proofErr w:type="gramEnd"/>
      <w:r w:rsidRPr="00817998">
        <w:rPr>
          <w:rFonts w:ascii="Times New Roman" w:hAnsi="Times New Roman" w:cs="Times New Roman"/>
          <w:color w:val="000000" w:themeColor="text1"/>
        </w:rPr>
        <w:t xml:space="preserve"> A preliminary study in Cyprus. European Business Review, 17(3), 263-279. </w:t>
      </w:r>
      <w:hyperlink r:id="rId49" w:history="1">
        <w:r w:rsidRPr="00817998">
          <w:rPr>
            <w:rStyle w:val="Hyperlink"/>
            <w:rFonts w:ascii="Times New Roman" w:hAnsi="Times New Roman" w:cs="Times New Roman"/>
          </w:rPr>
          <w:t>https://doi.org/10.1108/09555340510596661</w:t>
        </w:r>
      </w:hyperlink>
    </w:p>
    <w:p w14:paraId="5E6DAB03" w14:textId="2108C60A" w:rsidR="003C0F9F" w:rsidRPr="00817998" w:rsidRDefault="003C0F9F"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Dusuki, A. W. (2005). Corporate social responsibility of Islamic banks in Malaysia: A synthesis of Islamic and stakeholders' perspectives. (Unpublished doctoral thesis). Loughborough University. </w:t>
      </w:r>
      <w:hyperlink r:id="rId50" w:history="1">
        <w:r w:rsidRPr="00817998">
          <w:rPr>
            <w:rStyle w:val="Hyperlink"/>
            <w:rFonts w:ascii="Times New Roman" w:hAnsi="Times New Roman" w:cs="Times New Roman"/>
          </w:rPr>
          <w:t>https://repository.lboro.ac.uk/articles/thesis/Corporate_social_responsibility_of_Islamic_banks_in_Malaysia_a_synthesis_of_Islamic_and_stakeholders_perspectives/9369005</w:t>
        </w:r>
      </w:hyperlink>
    </w:p>
    <w:p w14:paraId="797FBCC1" w14:textId="244C74B7"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Dyduch</w:t>
      </w:r>
      <w:proofErr w:type="spellEnd"/>
      <w:r w:rsidRPr="00817998">
        <w:rPr>
          <w:rFonts w:ascii="Times New Roman" w:hAnsi="Times New Roman" w:cs="Times New Roman"/>
        </w:rPr>
        <w:t xml:space="preserve">, J., &amp; </w:t>
      </w:r>
      <w:proofErr w:type="spellStart"/>
      <w:r w:rsidRPr="00817998">
        <w:rPr>
          <w:rFonts w:ascii="Times New Roman" w:hAnsi="Times New Roman" w:cs="Times New Roman"/>
        </w:rPr>
        <w:t>Krasodomska</w:t>
      </w:r>
      <w:proofErr w:type="spellEnd"/>
      <w:r w:rsidRPr="00817998">
        <w:rPr>
          <w:rFonts w:ascii="Times New Roman" w:hAnsi="Times New Roman" w:cs="Times New Roman"/>
        </w:rPr>
        <w:t xml:space="preserve">, J. (2017). Determinants of Corporate Social Responsibility Disclosure: An Empirical Study of Polish Listed Companies. Sustainability, 9(11), 1934. </w:t>
      </w:r>
      <w:hyperlink r:id="rId51" w:history="1">
        <w:r w:rsidRPr="00817998">
          <w:rPr>
            <w:rStyle w:val="Hyperlink"/>
            <w:rFonts w:ascii="Times New Roman" w:hAnsi="Times New Roman" w:cs="Times New Roman"/>
          </w:rPr>
          <w:t>https://doi.org/10.3390/su9111934</w:t>
        </w:r>
      </w:hyperlink>
    </w:p>
    <w:p w14:paraId="2841C5EB" w14:textId="478A28DB" w:rsidR="003C0F9F" w:rsidRPr="00817998" w:rsidRDefault="003C0F9F" w:rsidP="00817998">
      <w:pPr>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Eberstadt, N. N. (1973). What history tells us about corporate responsibilities. *Business and Society Review*, *7*(Autumn), 76–81. In A. B. Carroll (Ed.), *Managing corporate social responsibility*. Little, Brown and Company. </w:t>
      </w:r>
      <w:hyperlink r:id="rId52" w:history="1">
        <w:r w:rsidRPr="00817998">
          <w:rPr>
            <w:rStyle w:val="Hyperlink"/>
            <w:rFonts w:ascii="Times New Roman" w:hAnsi="Times New Roman" w:cs="Times New Roman"/>
          </w:rPr>
          <w:t>https://www.econbiz.de/Record/what-history-tells-us-about-corporate-responsability-eberstadt-nicholas-n/10000700000</w:t>
        </w:r>
      </w:hyperlink>
    </w:p>
    <w:p w14:paraId="03519244" w14:textId="0053E255"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color w:val="000000" w:themeColor="text1"/>
        </w:rPr>
        <w:t>ElAlfy</w:t>
      </w:r>
      <w:proofErr w:type="spellEnd"/>
      <w:r w:rsidRPr="00817998">
        <w:rPr>
          <w:rFonts w:ascii="Times New Roman" w:hAnsi="Times New Roman" w:cs="Times New Roman"/>
          <w:color w:val="000000" w:themeColor="text1"/>
        </w:rPr>
        <w:t xml:space="preserve">, A., </w:t>
      </w:r>
      <w:proofErr w:type="spellStart"/>
      <w:r w:rsidRPr="00817998">
        <w:rPr>
          <w:rFonts w:ascii="Times New Roman" w:hAnsi="Times New Roman" w:cs="Times New Roman"/>
          <w:color w:val="000000" w:themeColor="text1"/>
        </w:rPr>
        <w:t>Palaschuk</w:t>
      </w:r>
      <w:proofErr w:type="spellEnd"/>
      <w:r w:rsidRPr="00817998">
        <w:rPr>
          <w:rFonts w:ascii="Times New Roman" w:hAnsi="Times New Roman" w:cs="Times New Roman"/>
          <w:color w:val="000000" w:themeColor="text1"/>
        </w:rPr>
        <w:t>, N., El-</w:t>
      </w:r>
      <w:proofErr w:type="spellStart"/>
      <w:r w:rsidRPr="00817998">
        <w:rPr>
          <w:rFonts w:ascii="Times New Roman" w:hAnsi="Times New Roman" w:cs="Times New Roman"/>
          <w:color w:val="000000" w:themeColor="text1"/>
        </w:rPr>
        <w:t>Bassiouny</w:t>
      </w:r>
      <w:proofErr w:type="spellEnd"/>
      <w:r w:rsidRPr="00817998">
        <w:rPr>
          <w:rFonts w:ascii="Times New Roman" w:hAnsi="Times New Roman" w:cs="Times New Roman"/>
          <w:color w:val="000000" w:themeColor="text1"/>
        </w:rPr>
        <w:t xml:space="preserve">, D., Wilson, J., &amp; Weber, O. (2020). Scoping the evolution of corporate social responsibility (CSR) research in the sustainable development goals (SDGs) era. Sustainability, 12(14), 5544. </w:t>
      </w:r>
      <w:hyperlink r:id="rId53" w:history="1">
        <w:r w:rsidRPr="00817998">
          <w:rPr>
            <w:rStyle w:val="Hyperlink"/>
            <w:rFonts w:ascii="Times New Roman" w:hAnsi="Times New Roman" w:cs="Times New Roman"/>
          </w:rPr>
          <w:t>https://doi.org/10.3390/su12145544</w:t>
        </w:r>
      </w:hyperlink>
    </w:p>
    <w:p w14:paraId="4D8098A2" w14:textId="7D10EB7F" w:rsidR="003C0F9F" w:rsidRPr="003C0F9F" w:rsidRDefault="003C0F9F" w:rsidP="00817998">
      <w:pPr>
        <w:pStyle w:val="NormalWeb"/>
        <w:spacing w:before="0" w:beforeAutospacing="0" w:after="0" w:afterAutospacing="0"/>
        <w:ind w:left="450"/>
        <w:jc w:val="both"/>
        <w:rPr>
          <w:color w:val="000000" w:themeColor="text1"/>
        </w:rPr>
      </w:pPr>
      <w:r w:rsidRPr="003C0F9F">
        <w:rPr>
          <w:rFonts w:eastAsiaTheme="minorHAnsi"/>
          <w:color w:val="000000" w:themeColor="text1"/>
          <w:sz w:val="22"/>
          <w:szCs w:val="22"/>
          <w:lang w:eastAsia="en-US" w:bidi="ar-SA"/>
        </w:rPr>
        <w:t xml:space="preserve">Falck, O., &amp; </w:t>
      </w:r>
      <w:proofErr w:type="spellStart"/>
      <w:r w:rsidRPr="003C0F9F">
        <w:rPr>
          <w:rFonts w:eastAsiaTheme="minorHAnsi"/>
          <w:color w:val="000000" w:themeColor="text1"/>
          <w:sz w:val="22"/>
          <w:szCs w:val="22"/>
          <w:lang w:eastAsia="en-US" w:bidi="ar-SA"/>
        </w:rPr>
        <w:t>Heblich</w:t>
      </w:r>
      <w:proofErr w:type="spellEnd"/>
      <w:r w:rsidRPr="003C0F9F">
        <w:rPr>
          <w:rFonts w:eastAsiaTheme="minorHAnsi"/>
          <w:color w:val="000000" w:themeColor="text1"/>
          <w:sz w:val="22"/>
          <w:szCs w:val="22"/>
          <w:lang w:eastAsia="en-US" w:bidi="ar-SA"/>
        </w:rPr>
        <w:t xml:space="preserve">, S. (2007). Corporate Social Responsibility: Doing Well by Doing Good. Business Horizons, 50(3), 247-254. </w:t>
      </w:r>
      <w:hyperlink r:id="rId54" w:history="1">
        <w:r w:rsidRPr="00E13E6D">
          <w:rPr>
            <w:rStyle w:val="Hyperlink"/>
            <w:rFonts w:eastAsiaTheme="minorHAnsi"/>
            <w:sz w:val="22"/>
            <w:szCs w:val="22"/>
            <w:lang w:eastAsia="en-US" w:bidi="ar-SA"/>
          </w:rPr>
          <w:t>https://doi.org/10.1016/j.bushor.2006.12.002</w:t>
        </w:r>
      </w:hyperlink>
    </w:p>
    <w:p w14:paraId="7C8F28AF" w14:textId="497B1E5F" w:rsidR="003C0F9F" w:rsidRPr="00817998" w:rsidRDefault="003C0F9F" w:rsidP="00817998">
      <w:pPr>
        <w:autoSpaceDE w:val="0"/>
        <w:autoSpaceDN w:val="0"/>
        <w:adjustRightInd w:val="0"/>
        <w:ind w:left="450"/>
        <w:jc w:val="both"/>
        <w:rPr>
          <w:rFonts w:ascii="Times New Roman" w:hAnsi="Times New Roman" w:cs="Times New Roman"/>
          <w:color w:val="000000" w:themeColor="text1"/>
          <w:sz w:val="22"/>
          <w:szCs w:val="22"/>
        </w:rPr>
      </w:pPr>
      <w:r w:rsidRPr="00817998">
        <w:rPr>
          <w:rFonts w:ascii="Times New Roman" w:eastAsia="Times New Roman" w:hAnsi="Times New Roman" w:cs="Times New Roman"/>
          <w:color w:val="000000" w:themeColor="text1"/>
          <w:lang w:eastAsia="en-GB" w:bidi="bn-IN"/>
        </w:rPr>
        <w:t xml:space="preserve">Field, A. (2013). Discovering statistics using IBM SPSS statistics (4th ed.). Sage Publications. </w:t>
      </w:r>
      <w:hyperlink r:id="rId55" w:history="1">
        <w:r w:rsidRPr="00817998">
          <w:rPr>
            <w:rStyle w:val="Hyperlink"/>
            <w:rFonts w:ascii="Times New Roman" w:eastAsia="Times New Roman" w:hAnsi="Times New Roman" w:cs="Times New Roman"/>
            <w:lang w:eastAsia="en-GB" w:bidi="bn-IN"/>
          </w:rPr>
          <w:t>https://edge.sagepub.com/field4e</w:t>
        </w:r>
      </w:hyperlink>
    </w:p>
    <w:p w14:paraId="40EA9C1D" w14:textId="4FD4B804" w:rsidR="003C0F9F" w:rsidRPr="00817998" w:rsidRDefault="003C0F9F"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color w:val="000000" w:themeColor="text1"/>
        </w:rPr>
        <w:lastRenderedPageBreak/>
        <w:t xml:space="preserve">Fox, T. (2004). Corporate Social Responsibility and Development: In quest of an agenda. Development, 47(3), 29-36. </w:t>
      </w:r>
      <w:hyperlink r:id="rId56" w:history="1">
        <w:r w:rsidRPr="00817998">
          <w:rPr>
            <w:rStyle w:val="Hyperlink"/>
            <w:rFonts w:ascii="Times New Roman" w:hAnsi="Times New Roman" w:cs="Times New Roman"/>
          </w:rPr>
          <w:t>https://doi.org/10.1057/palgrave.development.1100064</w:t>
        </w:r>
      </w:hyperlink>
    </w:p>
    <w:p w14:paraId="6C66FC35" w14:textId="496F1510"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Frederick, W. C. (1960). The growing concern over business responsibility. California Management Review, 2(4), 54-61. </w:t>
      </w:r>
      <w:hyperlink r:id="rId57" w:history="1">
        <w:r w:rsidRPr="00817998">
          <w:rPr>
            <w:rStyle w:val="Hyperlink"/>
            <w:rFonts w:ascii="Times New Roman" w:hAnsi="Times New Roman" w:cs="Times New Roman"/>
          </w:rPr>
          <w:t>https://doi.org/10.2307/41165405</w:t>
        </w:r>
      </w:hyperlink>
    </w:p>
    <w:p w14:paraId="24F1BF77" w14:textId="38AA6F75"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Frederick, W. C. (1994). From CSR1 to CSR2: The Maturing of Business-and-Society Thought. Business &amp; Society, 33(2), 150-164. </w:t>
      </w:r>
      <w:hyperlink r:id="rId58" w:history="1">
        <w:r w:rsidRPr="00817998">
          <w:rPr>
            <w:rStyle w:val="Hyperlink"/>
            <w:rFonts w:ascii="Times New Roman" w:hAnsi="Times New Roman" w:cs="Times New Roman"/>
          </w:rPr>
          <w:t>https://doi.org/10.1177/000765039403300202</w:t>
        </w:r>
      </w:hyperlink>
    </w:p>
    <w:p w14:paraId="6D4BF0B5" w14:textId="08C705E7" w:rsidR="003C0F9F" w:rsidRPr="00817998" w:rsidRDefault="003C0F9F" w:rsidP="00817998">
      <w:pPr>
        <w:ind w:left="450"/>
        <w:jc w:val="both"/>
        <w:rPr>
          <w:rFonts w:ascii="Times New Roman" w:hAnsi="Times New Roman" w:cs="Times New Roman"/>
          <w:color w:val="0563C1" w:themeColor="hyperlink"/>
          <w:u w:val="single"/>
        </w:rPr>
      </w:pPr>
      <w:r w:rsidRPr="00817998">
        <w:rPr>
          <w:rFonts w:ascii="Times New Roman" w:hAnsi="Times New Roman" w:cs="Times New Roman"/>
          <w:color w:val="000000" w:themeColor="text1"/>
        </w:rPr>
        <w:t xml:space="preserve">Friedman, A. L., &amp; Miles, S. (2006). Stakeholders: Theory and Practice. Oxford University Press. </w:t>
      </w:r>
      <w:hyperlink r:id="rId59" w:history="1">
        <w:r w:rsidRPr="00817998">
          <w:rPr>
            <w:rStyle w:val="Hyperlink"/>
            <w:rFonts w:ascii="Times New Roman" w:hAnsi="Times New Roman" w:cs="Times New Roman"/>
          </w:rPr>
          <w:t>https://doi.org/10.1093/oso/9780199269860.001.0001</w:t>
        </w:r>
      </w:hyperlink>
    </w:p>
    <w:p w14:paraId="06670BC2" w14:textId="1EFA3A7E" w:rsidR="003C0F9F" w:rsidRPr="00817998" w:rsidRDefault="003C0F9F" w:rsidP="00817998">
      <w:pPr>
        <w:ind w:left="450"/>
        <w:jc w:val="both"/>
        <w:rPr>
          <w:rFonts w:ascii="Times New Roman" w:hAnsi="Times New Roman" w:cs="Times New Roman"/>
        </w:rPr>
      </w:pPr>
      <w:proofErr w:type="spellStart"/>
      <w:r w:rsidRPr="00817998">
        <w:rPr>
          <w:rFonts w:ascii="Times New Roman" w:hAnsi="Times New Roman" w:cs="Times New Roman"/>
        </w:rPr>
        <w:t>Frynas</w:t>
      </w:r>
      <w:proofErr w:type="spellEnd"/>
      <w:r w:rsidRPr="00817998">
        <w:rPr>
          <w:rFonts w:ascii="Times New Roman" w:hAnsi="Times New Roman" w:cs="Times New Roman"/>
        </w:rPr>
        <w:t xml:space="preserve">, J. G., &amp; </w:t>
      </w:r>
      <w:proofErr w:type="spellStart"/>
      <w:r w:rsidRPr="00817998">
        <w:rPr>
          <w:rFonts w:ascii="Times New Roman" w:hAnsi="Times New Roman" w:cs="Times New Roman"/>
        </w:rPr>
        <w:t>Yamahaki</w:t>
      </w:r>
      <w:proofErr w:type="spellEnd"/>
      <w:r w:rsidRPr="00817998">
        <w:rPr>
          <w:rFonts w:ascii="Times New Roman" w:hAnsi="Times New Roman" w:cs="Times New Roman"/>
        </w:rPr>
        <w:t xml:space="preserve">, C. (2016). Corporate social responsibility: Review and roadmap of theoretical perspectives. Business Ethics: A European Review, 25(3), 258–285. </w:t>
      </w:r>
      <w:hyperlink r:id="rId60" w:history="1">
        <w:r w:rsidRPr="00817998">
          <w:rPr>
            <w:rStyle w:val="Hyperlink"/>
            <w:rFonts w:ascii="Times New Roman" w:hAnsi="Times New Roman" w:cs="Times New Roman"/>
          </w:rPr>
          <w:t>https://doi.org/10.1111/beer.12115</w:t>
        </w:r>
      </w:hyperlink>
    </w:p>
    <w:p w14:paraId="48B6881B" w14:textId="54CAA67C" w:rsidR="003C0F9F" w:rsidRPr="00817998" w:rsidRDefault="003C0F9F" w:rsidP="00817998">
      <w:pPr>
        <w:ind w:left="450"/>
        <w:jc w:val="both"/>
        <w:rPr>
          <w:rFonts w:ascii="Times New Roman" w:hAnsi="Times New Roman" w:cs="Times New Roman"/>
        </w:rPr>
      </w:pPr>
      <w:r w:rsidRPr="00817998">
        <w:rPr>
          <w:rFonts w:ascii="Times New Roman" w:hAnsi="Times New Roman" w:cs="Times New Roman"/>
        </w:rPr>
        <w:t xml:space="preserve">Gajadhur, R. (2022). Corporate social responsibility in developed as opposed to developing countries and the link to sustainability. *Athens Journal of Law*, *8*(2), 189–200. </w:t>
      </w:r>
      <w:hyperlink r:id="rId61" w:history="1">
        <w:r w:rsidRPr="00817998">
          <w:rPr>
            <w:rStyle w:val="Hyperlink"/>
            <w:rFonts w:ascii="Times New Roman" w:hAnsi="Times New Roman" w:cs="Times New Roman"/>
          </w:rPr>
          <w:t>https://doi.org/10.30958/ajl_v8i2</w:t>
        </w:r>
      </w:hyperlink>
    </w:p>
    <w:p w14:paraId="054F5077" w14:textId="499BB779"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García-Sánchez, I.-M., &amp; Araújo-Bernardo, C.-A. (2020). What </w:t>
      </w:r>
      <w:proofErr w:type="spellStart"/>
      <w:r w:rsidRPr="00817998">
        <w:rPr>
          <w:rFonts w:ascii="Times New Roman" w:hAnsi="Times New Roman" w:cs="Times New Roman"/>
        </w:rPr>
        <w:t>colour</w:t>
      </w:r>
      <w:proofErr w:type="spellEnd"/>
      <w:r w:rsidRPr="00817998">
        <w:rPr>
          <w:rFonts w:ascii="Times New Roman" w:hAnsi="Times New Roman" w:cs="Times New Roman"/>
        </w:rPr>
        <w:t xml:space="preserve"> is the corporate social responsibility report? Structural visual rhetoric, impression management strategies, and stakeholder engagement. Corporate Social Responsibility and Environmental Management, 27(2), 1117–1142. </w:t>
      </w:r>
      <w:hyperlink r:id="rId62" w:history="1">
        <w:r w:rsidRPr="00817998">
          <w:rPr>
            <w:rStyle w:val="Hyperlink"/>
            <w:rFonts w:ascii="Times New Roman" w:hAnsi="Times New Roman" w:cs="Times New Roman"/>
          </w:rPr>
          <w:t>https://doi.org/10.1002/csr.1869</w:t>
        </w:r>
      </w:hyperlink>
    </w:p>
    <w:p w14:paraId="7D4E4A68" w14:textId="7B40212A" w:rsidR="003C0F9F" w:rsidRPr="00817998" w:rsidRDefault="003C0F9F"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Garriga, E., &amp; </w:t>
      </w:r>
      <w:proofErr w:type="spellStart"/>
      <w:r w:rsidRPr="00817998">
        <w:rPr>
          <w:rFonts w:ascii="Times New Roman" w:hAnsi="Times New Roman" w:cs="Times New Roman"/>
          <w:color w:val="000000" w:themeColor="text1"/>
        </w:rPr>
        <w:t>Melé</w:t>
      </w:r>
      <w:proofErr w:type="spellEnd"/>
      <w:r w:rsidRPr="00817998">
        <w:rPr>
          <w:rFonts w:ascii="Times New Roman" w:hAnsi="Times New Roman" w:cs="Times New Roman"/>
          <w:color w:val="000000" w:themeColor="text1"/>
        </w:rPr>
        <w:t xml:space="preserve">, D. (2004). Corporate Social Responsibility Theories: Mapping the Territory. Journal of Business Ethics, 53(1/2), 51-71. </w:t>
      </w:r>
      <w:hyperlink r:id="rId63" w:history="1">
        <w:r w:rsidRPr="00817998">
          <w:rPr>
            <w:rStyle w:val="Hyperlink"/>
            <w:rFonts w:ascii="Times New Roman" w:hAnsi="Times New Roman" w:cs="Times New Roman"/>
          </w:rPr>
          <w:t>https://doi.org/10.1023/b:busi.0000039399.90587.34</w:t>
        </w:r>
      </w:hyperlink>
    </w:p>
    <w:p w14:paraId="1AE44D49" w14:textId="689417B3"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Courtnell, J. (2022). The CSR pyramid: Economic, legal, ethical, and philanthropic responsibility. </w:t>
      </w:r>
      <w:hyperlink r:id="rId64" w:history="1">
        <w:r w:rsidRPr="00817998">
          <w:rPr>
            <w:rStyle w:val="Hyperlink"/>
            <w:rFonts w:ascii="Times New Roman" w:hAnsi="Times New Roman" w:cs="Times New Roman"/>
          </w:rPr>
          <w:t>https://greenbusinessbureau.com/business-function/executive/the-csr-pyramid-economic-legal-ethical-and-philanthropic-responsibility/</w:t>
        </w:r>
      </w:hyperlink>
    </w:p>
    <w:p w14:paraId="3B0183F8" w14:textId="77777777" w:rsidR="003C0F9F" w:rsidRPr="00817998" w:rsidRDefault="003C0F9F" w:rsidP="00817998">
      <w:pPr>
        <w:ind w:left="450"/>
        <w:jc w:val="both"/>
        <w:rPr>
          <w:rFonts w:ascii="Times New Roman" w:hAnsi="Times New Roman" w:cs="Times New Roman"/>
        </w:rPr>
      </w:pPr>
      <w:r w:rsidRPr="00817998">
        <w:rPr>
          <w:rFonts w:ascii="Times New Roman" w:hAnsi="Times New Roman" w:cs="Times New Roman"/>
          <w:color w:val="000000" w:themeColor="text1"/>
        </w:rPr>
        <w:t>Hamid, F. Z. A., Fadzil, F. H. H., Ismail, M. S., &amp; Ismail, S. S. S. (2007). CSR and legitimacy strategy by Malaysian companies. In M. N. M. Ali, M. R. M. Ishak, N. Y. M. Yusof, &amp; M. Y. Yusoff (Eds.), *Corporate social responsibility: Our first look*. Malaysian Institute of Integrity.</w:t>
      </w:r>
    </w:p>
    <w:p w14:paraId="73562A34" w14:textId="1B2D7C2D" w:rsidR="003C0F9F" w:rsidRPr="00817998" w:rsidRDefault="003C0F9F" w:rsidP="00817998">
      <w:pPr>
        <w:ind w:left="450"/>
        <w:jc w:val="both"/>
        <w:rPr>
          <w:rFonts w:ascii="Times New Roman" w:hAnsi="Times New Roman" w:cs="Times New Roman"/>
        </w:rPr>
      </w:pPr>
      <w:proofErr w:type="spellStart"/>
      <w:r w:rsidRPr="00817998">
        <w:rPr>
          <w:rFonts w:ascii="Times New Roman" w:hAnsi="Times New Roman" w:cs="Times New Roman"/>
          <w:lang w:val="es-US"/>
        </w:rPr>
        <w:t>Hejjas</w:t>
      </w:r>
      <w:proofErr w:type="spellEnd"/>
      <w:r w:rsidRPr="00817998">
        <w:rPr>
          <w:rFonts w:ascii="Times New Roman" w:hAnsi="Times New Roman" w:cs="Times New Roman"/>
          <w:lang w:val="es-US"/>
        </w:rPr>
        <w:t xml:space="preserve">, K., Miller, G., &amp; </w:t>
      </w:r>
      <w:proofErr w:type="spellStart"/>
      <w:r w:rsidRPr="00817998">
        <w:rPr>
          <w:rFonts w:ascii="Times New Roman" w:hAnsi="Times New Roman" w:cs="Times New Roman"/>
          <w:lang w:val="es-US"/>
        </w:rPr>
        <w:t>Scarles</w:t>
      </w:r>
      <w:proofErr w:type="spellEnd"/>
      <w:r w:rsidRPr="00817998">
        <w:rPr>
          <w:rFonts w:ascii="Times New Roman" w:hAnsi="Times New Roman" w:cs="Times New Roman"/>
          <w:lang w:val="es-US"/>
        </w:rPr>
        <w:t>, C. (2019). "</w:t>
      </w:r>
      <w:proofErr w:type="spellStart"/>
      <w:r w:rsidRPr="00817998">
        <w:rPr>
          <w:rFonts w:ascii="Times New Roman" w:hAnsi="Times New Roman" w:cs="Times New Roman"/>
          <w:lang w:val="es-US"/>
        </w:rPr>
        <w:t>It's</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like</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hating</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puppies</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Employee</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disengagement</w:t>
      </w:r>
      <w:proofErr w:type="spellEnd"/>
      <w:r w:rsidRPr="00817998">
        <w:rPr>
          <w:rFonts w:ascii="Times New Roman" w:hAnsi="Times New Roman" w:cs="Times New Roman"/>
          <w:lang w:val="es-US"/>
        </w:rPr>
        <w:t xml:space="preserve"> and </w:t>
      </w:r>
      <w:proofErr w:type="spellStart"/>
      <w:r w:rsidRPr="00817998">
        <w:rPr>
          <w:rFonts w:ascii="Times New Roman" w:hAnsi="Times New Roman" w:cs="Times New Roman"/>
          <w:lang w:val="es-US"/>
        </w:rPr>
        <w:t>corporate</w:t>
      </w:r>
      <w:proofErr w:type="spellEnd"/>
      <w:r w:rsidRPr="00817998">
        <w:rPr>
          <w:rFonts w:ascii="Times New Roman" w:hAnsi="Times New Roman" w:cs="Times New Roman"/>
          <w:lang w:val="es-US"/>
        </w:rPr>
        <w:t xml:space="preserve"> social </w:t>
      </w:r>
      <w:proofErr w:type="spellStart"/>
      <w:r w:rsidRPr="00817998">
        <w:rPr>
          <w:rFonts w:ascii="Times New Roman" w:hAnsi="Times New Roman" w:cs="Times New Roman"/>
          <w:lang w:val="es-US"/>
        </w:rPr>
        <w:t>responsibility</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Journal</w:t>
      </w:r>
      <w:proofErr w:type="spellEnd"/>
      <w:r w:rsidRPr="00817998">
        <w:rPr>
          <w:rFonts w:ascii="Times New Roman" w:hAnsi="Times New Roman" w:cs="Times New Roman"/>
          <w:lang w:val="es-US"/>
        </w:rPr>
        <w:t xml:space="preserve"> </w:t>
      </w:r>
      <w:proofErr w:type="spellStart"/>
      <w:r w:rsidRPr="00817998">
        <w:rPr>
          <w:rFonts w:ascii="Times New Roman" w:hAnsi="Times New Roman" w:cs="Times New Roman"/>
          <w:lang w:val="es-US"/>
        </w:rPr>
        <w:t>of</w:t>
      </w:r>
      <w:proofErr w:type="spellEnd"/>
      <w:r w:rsidRPr="00817998">
        <w:rPr>
          <w:rFonts w:ascii="Times New Roman" w:hAnsi="Times New Roman" w:cs="Times New Roman"/>
          <w:lang w:val="es-US"/>
        </w:rPr>
        <w:t xml:space="preserve"> Business </w:t>
      </w:r>
      <w:proofErr w:type="spellStart"/>
      <w:r w:rsidRPr="00817998">
        <w:rPr>
          <w:rFonts w:ascii="Times New Roman" w:hAnsi="Times New Roman" w:cs="Times New Roman"/>
          <w:lang w:val="es-US"/>
        </w:rPr>
        <w:t>Ethics</w:t>
      </w:r>
      <w:proofErr w:type="spellEnd"/>
      <w:r w:rsidRPr="00817998">
        <w:rPr>
          <w:rFonts w:ascii="Times New Roman" w:hAnsi="Times New Roman" w:cs="Times New Roman"/>
          <w:lang w:val="es-US"/>
        </w:rPr>
        <w:t xml:space="preserve">, 157(2), 319–337. </w:t>
      </w:r>
      <w:hyperlink r:id="rId65" w:history="1">
        <w:r w:rsidRPr="00817998">
          <w:rPr>
            <w:rStyle w:val="Hyperlink"/>
            <w:rFonts w:ascii="Times New Roman" w:hAnsi="Times New Roman" w:cs="Times New Roman"/>
            <w:lang w:val="es-US"/>
          </w:rPr>
          <w:t>https://doi.org/10.1007/s10551-018-3791-8</w:t>
        </w:r>
      </w:hyperlink>
    </w:p>
    <w:p w14:paraId="6EFBEB34" w14:textId="45374FAC" w:rsidR="003C0F9F" w:rsidRPr="00817998" w:rsidRDefault="003C0F9F" w:rsidP="00817998">
      <w:pPr>
        <w:ind w:left="450"/>
        <w:jc w:val="both"/>
        <w:rPr>
          <w:rFonts w:ascii="Times New Roman" w:hAnsi="Times New Roman" w:cs="Times New Roman"/>
          <w:color w:val="000000" w:themeColor="text1"/>
        </w:rPr>
      </w:pPr>
      <w:r w:rsidRPr="00817998">
        <w:rPr>
          <w:rFonts w:ascii="Times New Roman" w:hAnsi="Times New Roman" w:cs="Times New Roman"/>
        </w:rPr>
        <w:t xml:space="preserve">Hossain, M. I., </w:t>
      </w:r>
      <w:proofErr w:type="spellStart"/>
      <w:r w:rsidRPr="00817998">
        <w:rPr>
          <w:rFonts w:ascii="Times New Roman" w:hAnsi="Times New Roman" w:cs="Times New Roman"/>
        </w:rPr>
        <w:t>Polas</w:t>
      </w:r>
      <w:proofErr w:type="spellEnd"/>
      <w:r w:rsidRPr="00817998">
        <w:rPr>
          <w:rFonts w:ascii="Times New Roman" w:hAnsi="Times New Roman" w:cs="Times New Roman"/>
        </w:rPr>
        <w:t xml:space="preserve">, M. R. H., Rahman, M. M., Islam, T., &amp; Jamadar, Y. (2020). An Exploration of COVID-19 Pandemic and its Consequences on FMCG Industry in Bangladesh. Journal of Management Info, 7(3), 145-155. </w:t>
      </w:r>
      <w:hyperlink r:id="rId66" w:history="1">
        <w:r w:rsidRPr="00817998">
          <w:rPr>
            <w:rStyle w:val="Hyperlink"/>
            <w:rFonts w:ascii="Times New Roman" w:hAnsi="Times New Roman" w:cs="Times New Roman"/>
          </w:rPr>
          <w:t>https://doi.org/10.31580/jmi.v7i3.1484</w:t>
        </w:r>
      </w:hyperlink>
    </w:p>
    <w:p w14:paraId="6FB063AA" w14:textId="601754FB" w:rsidR="003C0F9F" w:rsidRPr="00817998" w:rsidRDefault="003C0F9F"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Hristov, I., &amp; Chirico, A. (2019). The role of sustainability key performance indicators (KPIs) in implementing sustainable strategies. Sustainability, 11(20), 5742. </w:t>
      </w:r>
      <w:hyperlink r:id="rId67" w:history="1">
        <w:r w:rsidRPr="00817998">
          <w:rPr>
            <w:rStyle w:val="Hyperlink"/>
            <w:rFonts w:ascii="Times New Roman" w:hAnsi="Times New Roman" w:cs="Times New Roman"/>
          </w:rPr>
          <w:t>https://doi.org/10.3390/su11205742</w:t>
        </w:r>
      </w:hyperlink>
    </w:p>
    <w:p w14:paraId="359A7C36" w14:textId="59324C5F"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Hur, W. M., Kim, H., &amp; Kim, H. K. (2018). Does customer engagement in corporate social responsibility initiatives lead to customer citizenship </w:t>
      </w:r>
      <w:proofErr w:type="spellStart"/>
      <w:r w:rsidRPr="00817998">
        <w:rPr>
          <w:rFonts w:ascii="Times New Roman" w:hAnsi="Times New Roman" w:cs="Times New Roman"/>
        </w:rPr>
        <w:t>behaviour</w:t>
      </w:r>
      <w:proofErr w:type="spellEnd"/>
      <w:r w:rsidRPr="00817998">
        <w:rPr>
          <w:rFonts w:ascii="Times New Roman" w:hAnsi="Times New Roman" w:cs="Times New Roman"/>
        </w:rPr>
        <w:t xml:space="preserve">? The mediating roles of customer‐company identification and affective commitment. Corporate Social Responsibility and Environmental Management, 25(6), 1258–1269. </w:t>
      </w:r>
      <w:hyperlink r:id="rId68" w:history="1">
        <w:r w:rsidRPr="00817998">
          <w:rPr>
            <w:rStyle w:val="Hyperlink"/>
            <w:rFonts w:ascii="Times New Roman" w:hAnsi="Times New Roman" w:cs="Times New Roman"/>
          </w:rPr>
          <w:t>https://doi.org/10.1002/csr.1636</w:t>
        </w:r>
      </w:hyperlink>
    </w:p>
    <w:p w14:paraId="40CCB0FA" w14:textId="070DA299"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Imam, S. (2000). Corporate social performance reporting in Bangladesh. Managerial Auditing Journal, 15(3), 133–141. </w:t>
      </w:r>
      <w:hyperlink r:id="rId69" w:history="1">
        <w:r w:rsidRPr="00817998">
          <w:rPr>
            <w:rStyle w:val="Hyperlink"/>
            <w:rFonts w:ascii="Times New Roman" w:hAnsi="Times New Roman" w:cs="Times New Roman"/>
          </w:rPr>
          <w:t>https://doi.org/10.1108/02686900010319384</w:t>
        </w:r>
      </w:hyperlink>
    </w:p>
    <w:p w14:paraId="6D0F730C" w14:textId="6E6A6FC0" w:rsidR="003C0F9F" w:rsidRPr="00817998" w:rsidRDefault="003C0F9F"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Imam, S. (1999). Environmental reporting in Bangladesh. *Social and Environmental Accountability Journal*, *19*(2), 12–14. </w:t>
      </w:r>
      <w:hyperlink r:id="rId70" w:history="1">
        <w:r w:rsidRPr="00817998">
          <w:rPr>
            <w:rStyle w:val="Hyperlink"/>
            <w:rFonts w:ascii="Times New Roman" w:hAnsi="Times New Roman" w:cs="Times New Roman"/>
          </w:rPr>
          <w:t>https://doi.org/10.1080/0969160X.1999.9651615</w:t>
        </w:r>
      </w:hyperlink>
    </w:p>
    <w:p w14:paraId="0FFA7F5C" w14:textId="7A242969" w:rsidR="003C0F9F" w:rsidRPr="00817998" w:rsidRDefault="003C0F9F" w:rsidP="00817998">
      <w:pPr>
        <w:ind w:left="450"/>
        <w:jc w:val="both"/>
        <w:rPr>
          <w:rFonts w:ascii="Times New Roman" w:hAnsi="Times New Roman" w:cs="Times New Roman"/>
        </w:rPr>
      </w:pPr>
      <w:r w:rsidRPr="00817998">
        <w:rPr>
          <w:rFonts w:ascii="Times New Roman" w:hAnsi="Times New Roman" w:cs="Times New Roman"/>
          <w:color w:val="000000" w:themeColor="text1"/>
        </w:rPr>
        <w:lastRenderedPageBreak/>
        <w:t xml:space="preserve">International Monetary Fund. (2006). World Economic Outlook, September 2006: Financial Systems and Economic Cycles. International Monetary Fund. </w:t>
      </w:r>
      <w:hyperlink r:id="rId71" w:history="1">
        <w:r w:rsidRPr="00817998">
          <w:rPr>
            <w:rStyle w:val="Hyperlink"/>
            <w:rFonts w:ascii="Times New Roman" w:hAnsi="Times New Roman" w:cs="Times New Roman"/>
          </w:rPr>
          <w:t>https://www.imf.org/en/Publications/WEO/Issues/2016/12/31/World-Economic-Outlook-September-2006-Financial-Systems-and-Economic-Cycles-2006</w:t>
        </w:r>
      </w:hyperlink>
    </w:p>
    <w:p w14:paraId="151053F4" w14:textId="702353D5"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Javeed, S. A., &amp; </w:t>
      </w:r>
      <w:proofErr w:type="spellStart"/>
      <w:r w:rsidRPr="00817998">
        <w:rPr>
          <w:rFonts w:ascii="Times New Roman" w:hAnsi="Times New Roman" w:cs="Times New Roman"/>
        </w:rPr>
        <w:t>Lefen</w:t>
      </w:r>
      <w:proofErr w:type="spellEnd"/>
      <w:r w:rsidRPr="00817998">
        <w:rPr>
          <w:rFonts w:ascii="Times New Roman" w:hAnsi="Times New Roman" w:cs="Times New Roman"/>
        </w:rPr>
        <w:t xml:space="preserve">, L. (2019). An analysis of corporate social responsibility and firm performance with moderating effects of CEO power and ownership structure: A case study of the manufacturing sector of Pakistan. Sustainability </w:t>
      </w:r>
      <w:hyperlink r:id="rId72" w:history="1">
        <w:r w:rsidRPr="00817998">
          <w:rPr>
            <w:rStyle w:val="Hyperlink"/>
            <w:rFonts w:ascii="Times New Roman" w:hAnsi="Times New Roman" w:cs="Times New Roman"/>
          </w:rPr>
          <w:t>https://doi.org/10.3390/su11010248</w:t>
        </w:r>
      </w:hyperlink>
    </w:p>
    <w:p w14:paraId="117DD6F5" w14:textId="13168AA2"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Joyner, B. E., &amp; Payne, D. (2002). Evolution and implementation: A study of values, business ethics and corporate social responsibility. Journal of Business Ethics, 41(4), 297-311. </w:t>
      </w:r>
      <w:hyperlink r:id="rId73" w:history="1">
        <w:r w:rsidRPr="00817998">
          <w:rPr>
            <w:rStyle w:val="Hyperlink"/>
            <w:rFonts w:ascii="Times New Roman" w:hAnsi="Times New Roman" w:cs="Times New Roman"/>
          </w:rPr>
          <w:t>https://doi.org/10.1023/A:1021237420663</w:t>
        </w:r>
      </w:hyperlink>
    </w:p>
    <w:p w14:paraId="08CD2DE2" w14:textId="769B0AA6"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Kaiser, H. F. (1974). An Index of Factorial Simplicity. Psychometrika, 39, 31-36. </w:t>
      </w:r>
      <w:hyperlink r:id="rId74" w:history="1">
        <w:r w:rsidRPr="00817998">
          <w:rPr>
            <w:rStyle w:val="Hyperlink"/>
            <w:rFonts w:ascii="Times New Roman" w:hAnsi="Times New Roman" w:cs="Times New Roman"/>
          </w:rPr>
          <w:t>https://doi.org/10.1007/BF02291575</w:t>
        </w:r>
      </w:hyperlink>
    </w:p>
    <w:p w14:paraId="014A92ED" w14:textId="6A242C87"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Khanna, V. (2004). </w:t>
      </w:r>
      <w:proofErr w:type="spellStart"/>
      <w:r w:rsidRPr="00817998">
        <w:rPr>
          <w:rFonts w:ascii="Times New Roman" w:eastAsia="Times New Roman,Italic" w:hAnsi="Times New Roman" w:cs="Times New Roman"/>
          <w:i/>
          <w:iCs/>
          <w:color w:val="000000" w:themeColor="text1"/>
        </w:rPr>
        <w:t>It‟s</w:t>
      </w:r>
      <w:proofErr w:type="spellEnd"/>
      <w:r w:rsidRPr="00817998">
        <w:rPr>
          <w:rFonts w:ascii="Times New Roman" w:eastAsia="Times New Roman,Italic" w:hAnsi="Times New Roman" w:cs="Times New Roman"/>
          <w:i/>
          <w:iCs/>
          <w:color w:val="000000" w:themeColor="text1"/>
        </w:rPr>
        <w:t xml:space="preserve"> </w:t>
      </w:r>
      <w:proofErr w:type="spellStart"/>
      <w:r w:rsidRPr="00817998">
        <w:rPr>
          <w:rFonts w:ascii="Times New Roman" w:eastAsia="Times New Roman,Italic" w:hAnsi="Times New Roman" w:cs="Times New Roman"/>
          <w:i/>
          <w:iCs/>
          <w:color w:val="000000" w:themeColor="text1"/>
        </w:rPr>
        <w:t>Everybody‟s</w:t>
      </w:r>
      <w:proofErr w:type="spellEnd"/>
      <w:r w:rsidRPr="00817998">
        <w:rPr>
          <w:rFonts w:ascii="Times New Roman" w:eastAsia="Times New Roman,Italic" w:hAnsi="Times New Roman" w:cs="Times New Roman"/>
          <w:i/>
          <w:iCs/>
          <w:color w:val="000000" w:themeColor="text1"/>
        </w:rPr>
        <w:t xml:space="preserve"> Business</w:t>
      </w:r>
      <w:r w:rsidRPr="00817998">
        <w:rPr>
          <w:rFonts w:ascii="Times New Roman" w:hAnsi="Times New Roman" w:cs="Times New Roman"/>
          <w:color w:val="000000" w:themeColor="text1"/>
        </w:rPr>
        <w:t>. Http://business-times.asiaone.com/. 11 June 2004.</w:t>
      </w:r>
    </w:p>
    <w:p w14:paraId="61B7BA9F" w14:textId="1E4F2651"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rPr>
        <w:t xml:space="preserve">Kim, S. E. (2018). Corporate social responsibility in East Asia: A comparative approach. International Review of Public Administration, 23(3), 141-155. </w:t>
      </w:r>
      <w:hyperlink r:id="rId75" w:history="1">
        <w:r w:rsidRPr="00817998">
          <w:rPr>
            <w:rStyle w:val="Hyperlink"/>
            <w:rFonts w:ascii="Times New Roman" w:hAnsi="Times New Roman" w:cs="Times New Roman"/>
          </w:rPr>
          <w:t>https://doi.org/10.1080/12294659.2018.1518000</w:t>
        </w:r>
      </w:hyperlink>
    </w:p>
    <w:p w14:paraId="67A1C853" w14:textId="532586F8" w:rsidR="0096654F" w:rsidRPr="00817998" w:rsidRDefault="00504F65"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Kitchen, P. J. and Schultz, D. E. (2002). Managing Reputation: Global Issues and Problems. Paper presented at the 7th Annual Conference on Corporate and Marketing Communications, 29 30 April. </w:t>
      </w:r>
    </w:p>
    <w:p w14:paraId="7EFDE706" w14:textId="7D2999C3"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Klimchak, M., Ward, A.-K., Matthews, M., Robbins, K., &amp; Zhang, H. (2019). When does what other people think matter? The influence of age on the motivators of organizational identification. Journal of Business and Psychology, 34, 879–891. </w:t>
      </w:r>
      <w:hyperlink r:id="rId76" w:history="1">
        <w:r w:rsidRPr="00817998">
          <w:rPr>
            <w:rStyle w:val="Hyperlink"/>
            <w:rFonts w:ascii="Times New Roman" w:hAnsi="Times New Roman" w:cs="Times New Roman"/>
          </w:rPr>
          <w:t>https://doi.org/10.1007/s10869-018-9601-6</w:t>
        </w:r>
      </w:hyperlink>
    </w:p>
    <w:p w14:paraId="4C79B504" w14:textId="0B52B532" w:rsidR="0096654F"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Kumar, </w:t>
      </w:r>
      <w:proofErr w:type="spellStart"/>
      <w:proofErr w:type="gramStart"/>
      <w:r w:rsidRPr="00817998">
        <w:rPr>
          <w:rFonts w:ascii="Times New Roman" w:hAnsi="Times New Roman" w:cs="Times New Roman"/>
          <w:color w:val="000000" w:themeColor="text1"/>
        </w:rPr>
        <w:t>R.Murphy</w:t>
      </w:r>
      <w:proofErr w:type="spellEnd"/>
      <w:proofErr w:type="gramEnd"/>
      <w:r w:rsidRPr="00817998">
        <w:rPr>
          <w:rFonts w:ascii="Times New Roman" w:hAnsi="Times New Roman" w:cs="Times New Roman"/>
          <w:color w:val="000000" w:themeColor="text1"/>
        </w:rPr>
        <w:t xml:space="preserve">, D. F. and Balsari, v. (2001) Altered Images: The 2001 state of corporate social responsibility in </w:t>
      </w:r>
      <w:proofErr w:type="spellStart"/>
      <w:r w:rsidRPr="00817998">
        <w:rPr>
          <w:rFonts w:ascii="Times New Roman" w:hAnsi="Times New Roman" w:cs="Times New Roman"/>
          <w:color w:val="000000" w:themeColor="text1"/>
        </w:rPr>
        <w:t>india</w:t>
      </w:r>
      <w:proofErr w:type="spellEnd"/>
      <w:r w:rsidRPr="00817998">
        <w:rPr>
          <w:rFonts w:ascii="Times New Roman" w:hAnsi="Times New Roman" w:cs="Times New Roman"/>
          <w:color w:val="000000" w:themeColor="text1"/>
        </w:rPr>
        <w:t xml:space="preserve"> poll. New Delhi; Tata energy Research institute –India.</w:t>
      </w:r>
    </w:p>
    <w:p w14:paraId="62AEB808" w14:textId="220008E8"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rPr>
        <w:t xml:space="preserve">Kunz, J. (2020). Corporate social responsibility and employees’ motivation—broadening the perspective. Schmalenbach Business Review, 72(2), 159-191. </w:t>
      </w:r>
      <w:hyperlink r:id="rId77" w:history="1">
        <w:r w:rsidRPr="00817998">
          <w:rPr>
            <w:rStyle w:val="Hyperlink"/>
            <w:rFonts w:ascii="Times New Roman" w:hAnsi="Times New Roman" w:cs="Times New Roman"/>
          </w:rPr>
          <w:t>https://doi.org/10.1007/s41464-020-00089-9</w:t>
        </w:r>
      </w:hyperlink>
    </w:p>
    <w:p w14:paraId="2CD5A65D" w14:textId="2B5E19AB"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rPr>
        <w:t xml:space="preserve">Kuo, T. C., Kremer, G. E. O., Phuong, N. T., &amp; Hsu, C. W. (2016). Motivations and barriers for corporate social responsibility reporting: Evidence from the airline industry. Journal of Air Transport Management, 57, 184-195. </w:t>
      </w:r>
      <w:hyperlink r:id="rId78" w:history="1">
        <w:r w:rsidRPr="00817998">
          <w:rPr>
            <w:rStyle w:val="Hyperlink"/>
            <w:rFonts w:ascii="Times New Roman" w:hAnsi="Times New Roman" w:cs="Times New Roman"/>
          </w:rPr>
          <w:t>https://doi.org/10.1016/j.jairtraman.2016.08.003</w:t>
        </w:r>
      </w:hyperlink>
    </w:p>
    <w:p w14:paraId="719B74CB" w14:textId="5E81611A"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Kuvaas</w:t>
      </w:r>
      <w:proofErr w:type="spellEnd"/>
      <w:r w:rsidRPr="00817998">
        <w:rPr>
          <w:rFonts w:ascii="Times New Roman" w:hAnsi="Times New Roman" w:cs="Times New Roman"/>
        </w:rPr>
        <w:t xml:space="preserve">, B., Buch, R., Weibel, A., </w:t>
      </w:r>
      <w:proofErr w:type="spellStart"/>
      <w:r w:rsidRPr="00817998">
        <w:rPr>
          <w:rFonts w:ascii="Times New Roman" w:hAnsi="Times New Roman" w:cs="Times New Roman"/>
        </w:rPr>
        <w:t>Dysvik</w:t>
      </w:r>
      <w:proofErr w:type="spellEnd"/>
      <w:r w:rsidRPr="00817998">
        <w:rPr>
          <w:rFonts w:ascii="Times New Roman" w:hAnsi="Times New Roman" w:cs="Times New Roman"/>
        </w:rPr>
        <w:t xml:space="preserve">, A., &amp; </w:t>
      </w:r>
      <w:proofErr w:type="spellStart"/>
      <w:r w:rsidRPr="00817998">
        <w:rPr>
          <w:rFonts w:ascii="Times New Roman" w:hAnsi="Times New Roman" w:cs="Times New Roman"/>
        </w:rPr>
        <w:t>Nerstad</w:t>
      </w:r>
      <w:proofErr w:type="spellEnd"/>
      <w:r w:rsidRPr="00817998">
        <w:rPr>
          <w:rFonts w:ascii="Times New Roman" w:hAnsi="Times New Roman" w:cs="Times New Roman"/>
        </w:rPr>
        <w:t xml:space="preserve">, C. G. L. (2017). Do intrinsic and extrinsic motivation relate differently to employee outcomes? Journal of Economic Psychology, 61, 244–258. </w:t>
      </w:r>
      <w:hyperlink r:id="rId79" w:history="1">
        <w:r w:rsidRPr="00817998">
          <w:rPr>
            <w:rStyle w:val="Hyperlink"/>
            <w:rFonts w:ascii="Times New Roman" w:hAnsi="Times New Roman" w:cs="Times New Roman"/>
          </w:rPr>
          <w:t>https://doi.org/10.1016/j.joep.2017.05.004</w:t>
        </w:r>
      </w:hyperlink>
    </w:p>
    <w:p w14:paraId="675B99A4" w14:textId="4CF457A9"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Laufer, W. S. (2003). Social screening of investments: An introduction. Journal of Business Ethics, 43(3), 163–165. </w:t>
      </w:r>
      <w:hyperlink r:id="rId80" w:history="1">
        <w:r w:rsidRPr="00817998">
          <w:rPr>
            <w:rStyle w:val="Hyperlink"/>
            <w:rFonts w:ascii="Times New Roman" w:hAnsi="Times New Roman" w:cs="Times New Roman"/>
          </w:rPr>
          <w:t>https://doi.org/10.1023/A:1022982914162</w:t>
        </w:r>
      </w:hyperlink>
    </w:p>
    <w:p w14:paraId="41A29B2F" w14:textId="20AC5CC5"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rPr>
        <w:t xml:space="preserve">Loor-Zambrano, H. Y., Santos-Roldán, L., &amp; Palacios-Florencio, B. (2022). Relationship CSR and employee commitment: Mediating effects of internal motivation and trust. European Research on Management and Business Economics, 28(2), 100185. </w:t>
      </w:r>
      <w:hyperlink r:id="rId81" w:history="1">
        <w:r w:rsidRPr="00817998">
          <w:rPr>
            <w:rStyle w:val="Hyperlink"/>
            <w:rFonts w:ascii="Times New Roman" w:hAnsi="Times New Roman" w:cs="Times New Roman"/>
          </w:rPr>
          <w:t>https://doi.org/10.1016/j.iedeen.2021.100185</w:t>
        </w:r>
      </w:hyperlink>
    </w:p>
    <w:p w14:paraId="684F15BC" w14:textId="129897D8"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Luthfiani</w:t>
      </w:r>
      <w:proofErr w:type="spellEnd"/>
      <w:r w:rsidRPr="00817998">
        <w:rPr>
          <w:rFonts w:ascii="Times New Roman" w:hAnsi="Times New Roman" w:cs="Times New Roman"/>
        </w:rPr>
        <w:t xml:space="preserve">, A. D. (2024). Corporate Social Responsibility: A Conceptual Research. Indonesian Journal of Business Analytics, 4(1), 147-158. </w:t>
      </w:r>
      <w:hyperlink r:id="rId82" w:history="1">
        <w:r w:rsidRPr="00817998">
          <w:rPr>
            <w:rStyle w:val="Hyperlink"/>
            <w:rFonts w:ascii="Times New Roman" w:hAnsi="Times New Roman" w:cs="Times New Roman"/>
          </w:rPr>
          <w:t>https://doi.org/10.55927/ijba.v4i1.5323</w:t>
        </w:r>
      </w:hyperlink>
    </w:p>
    <w:p w14:paraId="16478E37" w14:textId="622CB600"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Lyons, Mark (1999) ‘What Do We Know of Corporate Support for Australian Nonprofits? A</w:t>
      </w:r>
    </w:p>
    <w:p w14:paraId="52283DCE" w14:textId="5059D544"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Mackiewicz, A. (1993). </w:t>
      </w:r>
      <w:r w:rsidRPr="00817998">
        <w:rPr>
          <w:rFonts w:ascii="Times New Roman" w:hAnsi="Times New Roman" w:cs="Times New Roman"/>
          <w:i/>
          <w:iCs/>
          <w:color w:val="000000" w:themeColor="text1"/>
        </w:rPr>
        <w:t xml:space="preserve">Guide to Building a Global Image. </w:t>
      </w:r>
      <w:r w:rsidRPr="00817998">
        <w:rPr>
          <w:rFonts w:ascii="Times New Roman" w:hAnsi="Times New Roman" w:cs="Times New Roman"/>
          <w:color w:val="000000" w:themeColor="text1"/>
        </w:rPr>
        <w:t>New York: McGraw-Hill.</w:t>
      </w:r>
    </w:p>
    <w:p w14:paraId="444C956C" w14:textId="6EF8ED1B"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lastRenderedPageBreak/>
        <w:t xml:space="preserve">Maignan, I. (2001). Consumers' perceptions of corporate social responsibilities: A cross-cultural comparison. Journal of Business Ethics, 30(1), 57–72. </w:t>
      </w:r>
      <w:hyperlink r:id="rId83" w:history="1">
        <w:r w:rsidRPr="00817998">
          <w:rPr>
            <w:rStyle w:val="Hyperlink"/>
            <w:rFonts w:ascii="Times New Roman" w:hAnsi="Times New Roman" w:cs="Times New Roman"/>
          </w:rPr>
          <w:t>https://doi.org/10.1023/A:1006433928640</w:t>
        </w:r>
      </w:hyperlink>
    </w:p>
    <w:p w14:paraId="1B1B8DC3" w14:textId="4064E34B"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Marsden, C., &amp; </w:t>
      </w:r>
      <w:proofErr w:type="spellStart"/>
      <w:r w:rsidRPr="00817998">
        <w:rPr>
          <w:rFonts w:ascii="Times New Roman" w:hAnsi="Times New Roman" w:cs="Times New Roman"/>
          <w:color w:val="000000" w:themeColor="text1"/>
        </w:rPr>
        <w:t>Andriof</w:t>
      </w:r>
      <w:proofErr w:type="spellEnd"/>
      <w:r w:rsidRPr="00817998">
        <w:rPr>
          <w:rFonts w:ascii="Times New Roman" w:hAnsi="Times New Roman" w:cs="Times New Roman"/>
          <w:color w:val="000000" w:themeColor="text1"/>
        </w:rPr>
        <w:t xml:space="preserve">, J. (1998). Towards an understanding of corporate citizenship and how to influence it. Citizenship Studies, 2(2), 329-352. </w:t>
      </w:r>
      <w:hyperlink r:id="rId84" w:history="1">
        <w:r w:rsidRPr="00817998">
          <w:rPr>
            <w:rStyle w:val="Hyperlink"/>
            <w:rFonts w:ascii="Times New Roman" w:hAnsi="Times New Roman" w:cs="Times New Roman"/>
          </w:rPr>
          <w:t>https://doi.org/10.1080/13621029808420686</w:t>
        </w:r>
      </w:hyperlink>
    </w:p>
    <w:p w14:paraId="416C855E" w14:textId="46FE0BE8"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Marshall, J. (2005). Corporate Social Responsibility. </w:t>
      </w:r>
      <w:r w:rsidRPr="00817998">
        <w:rPr>
          <w:rFonts w:ascii="Times New Roman" w:hAnsi="Times New Roman" w:cs="Times New Roman"/>
          <w:i/>
          <w:iCs/>
          <w:color w:val="000000" w:themeColor="text1"/>
        </w:rPr>
        <w:t>Financial Executive</w:t>
      </w:r>
      <w:r w:rsidRPr="00817998">
        <w:rPr>
          <w:rFonts w:ascii="Times New Roman" w:hAnsi="Times New Roman" w:cs="Times New Roman"/>
          <w:color w:val="000000" w:themeColor="text1"/>
        </w:rPr>
        <w:t xml:space="preserve">, 21(6), 44-50. </w:t>
      </w:r>
    </w:p>
    <w:p w14:paraId="2CF7DE7D" w14:textId="1BD2ACF9"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Matten, D., Crane, A., &amp; Chapple, W. (2003). Behind the mask: Revealing the true face of corporate citizenship. Journal of Business Ethics, 45(1), 109-120. </w:t>
      </w:r>
      <w:hyperlink r:id="rId85" w:history="1">
        <w:r w:rsidRPr="00817998">
          <w:rPr>
            <w:rStyle w:val="Hyperlink"/>
            <w:rFonts w:ascii="Times New Roman" w:hAnsi="Times New Roman" w:cs="Times New Roman"/>
          </w:rPr>
          <w:t>https://doi.org/10.1023/A:1024128730308</w:t>
        </w:r>
      </w:hyperlink>
    </w:p>
    <w:p w14:paraId="4BAE1D80" w14:textId="4E95289A" w:rsidR="00D1581E" w:rsidRPr="00817998" w:rsidRDefault="00D1581E" w:rsidP="00817998">
      <w:pPr>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McWilliams, A., Siegel, D. S., &amp; Wright, P. M. (2006). Corporate Social Responsibility: Strategic Implications. Journal of Management Studies, 43(1), 1-18. </w:t>
      </w:r>
      <w:hyperlink r:id="rId86" w:history="1">
        <w:r w:rsidRPr="00817998">
          <w:rPr>
            <w:rStyle w:val="Hyperlink"/>
            <w:rFonts w:ascii="Times New Roman" w:hAnsi="Times New Roman" w:cs="Times New Roman"/>
          </w:rPr>
          <w:t>https://doi.org/10.1111/j.1467-6486.2006.00580.x</w:t>
        </w:r>
      </w:hyperlink>
    </w:p>
    <w:p w14:paraId="427C8386" w14:textId="658C8DA2"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shd w:val="clear" w:color="auto" w:fill="FFFFFF"/>
        </w:rPr>
        <w:t xml:space="preserve">Miller, S. R., Eden, L., &amp; Li, D. (2020). CSR reputation and firm performance: A dynamic approach. Journal of Business Ethics, 163, 619-636. </w:t>
      </w:r>
      <w:hyperlink r:id="rId87" w:history="1">
        <w:r w:rsidRPr="00817998">
          <w:rPr>
            <w:rStyle w:val="Hyperlink"/>
            <w:rFonts w:ascii="Times New Roman" w:hAnsi="Times New Roman" w:cs="Times New Roman"/>
            <w:shd w:val="clear" w:color="auto" w:fill="FFFFFF"/>
          </w:rPr>
          <w:t>https://doi.org/10.1007/s10551-018-4057-1</w:t>
        </w:r>
      </w:hyperlink>
    </w:p>
    <w:p w14:paraId="2B615E25" w14:textId="70AF446F"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Moon, J., &amp; Vogel, D. (2008). Corporate Social Responsibility, Government, and Civil Society. In A. Crane, A. McWilliams, D. Matten, J. Moon, &amp; D. S. Siegel (Eds.), The Oxford Handbook of Corporate Social Responsibility (pp. 303–326). Oxford University Press. </w:t>
      </w:r>
      <w:hyperlink r:id="rId88" w:history="1">
        <w:r w:rsidRPr="00817998">
          <w:rPr>
            <w:rStyle w:val="Hyperlink"/>
            <w:rFonts w:ascii="Times New Roman" w:hAnsi="Times New Roman" w:cs="Times New Roman"/>
          </w:rPr>
          <w:t>https://doi.org/10.1093/OXFORDHB/9780199211593.003.0013</w:t>
        </w:r>
      </w:hyperlink>
    </w:p>
    <w:p w14:paraId="743D7540" w14:textId="5C6A6F6A"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Nabila, S. M., Huda, M. N., &amp; Mia, S. (2022). A critical review on corporate social responsibility (CSR) initiatives of commercial banks: Evidence from Bangladesh. International Journal of Management and Accounting, 4(4), 69-73. </w:t>
      </w:r>
      <w:hyperlink r:id="rId89" w:history="1">
        <w:r w:rsidRPr="00817998">
          <w:rPr>
            <w:rStyle w:val="Hyperlink"/>
            <w:rFonts w:ascii="Times New Roman" w:hAnsi="Times New Roman" w:cs="Times New Roman"/>
          </w:rPr>
          <w:t>https://doi.org/10.34104/ijma.022.00690073</w:t>
        </w:r>
      </w:hyperlink>
    </w:p>
    <w:p w14:paraId="6CC704CB" w14:textId="4E8F700C"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Nelson, J. (2003). Economic multipliers: Revisiting the core responsibility and contribution of business to development. International Business Leaders Forum. </w:t>
      </w:r>
      <w:hyperlink r:id="rId90" w:history="1">
        <w:r w:rsidRPr="00817998">
          <w:rPr>
            <w:rStyle w:val="Hyperlink"/>
            <w:rFonts w:ascii="Times New Roman" w:hAnsi="Times New Roman" w:cs="Times New Roman"/>
          </w:rPr>
          <w:t>http://commdev.org/content/document/detail/1026/</w:t>
        </w:r>
      </w:hyperlink>
    </w:p>
    <w:p w14:paraId="4D11F458" w14:textId="4B286B14" w:rsidR="00D1581E" w:rsidRPr="00817998" w:rsidRDefault="00D1581E" w:rsidP="00817998">
      <w:pPr>
        <w:ind w:left="450"/>
        <w:jc w:val="both"/>
        <w:rPr>
          <w:rFonts w:ascii="Times New Roman" w:hAnsi="Times New Roman" w:cs="Times New Roman"/>
        </w:rPr>
      </w:pPr>
      <w:proofErr w:type="spellStart"/>
      <w:r w:rsidRPr="00817998">
        <w:rPr>
          <w:rFonts w:ascii="Times New Roman" w:hAnsi="Times New Roman" w:cs="Times New Roman"/>
        </w:rPr>
        <w:t>Ngamvilaikorn</w:t>
      </w:r>
      <w:proofErr w:type="spellEnd"/>
      <w:r w:rsidRPr="00817998">
        <w:rPr>
          <w:rFonts w:ascii="Times New Roman" w:hAnsi="Times New Roman" w:cs="Times New Roman"/>
        </w:rPr>
        <w:t xml:space="preserve">, K., </w:t>
      </w:r>
      <w:proofErr w:type="spellStart"/>
      <w:r w:rsidRPr="00817998">
        <w:rPr>
          <w:rFonts w:ascii="Times New Roman" w:hAnsi="Times New Roman" w:cs="Times New Roman"/>
        </w:rPr>
        <w:t>Lhaopadchan</w:t>
      </w:r>
      <w:proofErr w:type="spellEnd"/>
      <w:r w:rsidRPr="00817998">
        <w:rPr>
          <w:rFonts w:ascii="Times New Roman" w:hAnsi="Times New Roman" w:cs="Times New Roman"/>
        </w:rPr>
        <w:t xml:space="preserve">, S., &amp; </w:t>
      </w:r>
      <w:proofErr w:type="spellStart"/>
      <w:r w:rsidRPr="00817998">
        <w:rPr>
          <w:rFonts w:ascii="Times New Roman" w:hAnsi="Times New Roman" w:cs="Times New Roman"/>
        </w:rPr>
        <w:t>Treepongkaruna</w:t>
      </w:r>
      <w:proofErr w:type="spellEnd"/>
      <w:r w:rsidRPr="00817998">
        <w:rPr>
          <w:rFonts w:ascii="Times New Roman" w:hAnsi="Times New Roman" w:cs="Times New Roman"/>
        </w:rPr>
        <w:t xml:space="preserve">, S. (2024). Corporate governance, social responsibility and sustainability commitments by banks: Impacts on credit risk and performance. Corporate Social Responsibility and Environmental Management, 31(6), 5109–5121. </w:t>
      </w:r>
      <w:hyperlink r:id="rId91" w:history="1">
        <w:r w:rsidRPr="00817998">
          <w:rPr>
            <w:rStyle w:val="Hyperlink"/>
            <w:rFonts w:ascii="Times New Roman" w:hAnsi="Times New Roman" w:cs="Times New Roman"/>
          </w:rPr>
          <w:t>https://doi.org/10.1002/csr.2852</w:t>
        </w:r>
      </w:hyperlink>
    </w:p>
    <w:p w14:paraId="09133DA8" w14:textId="7D51C599" w:rsidR="00D1581E" w:rsidRPr="00817998" w:rsidRDefault="00D1581E"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rPr>
        <w:t xml:space="preserve">Osakwe, C. N., &amp; Yusuf, T. O. (2020). CSR: A roadmap towards customer loyalty. Total Quality Management &amp; Business Excellence, 32(1), 1424–1440. </w:t>
      </w:r>
      <w:hyperlink r:id="rId92" w:history="1">
        <w:r w:rsidRPr="00817998">
          <w:rPr>
            <w:rStyle w:val="Hyperlink"/>
            <w:rFonts w:ascii="Times New Roman" w:hAnsi="Times New Roman" w:cs="Times New Roman"/>
          </w:rPr>
          <w:t>https://doi.org/10.1080/14783363.2020.1730174</w:t>
        </w:r>
      </w:hyperlink>
    </w:p>
    <w:p w14:paraId="7C45EA04" w14:textId="371F7CB2"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Pallant, J. (2001). SPSS survival manual: A step by step guide to data analysis using SPSS for Windows. Open University Press. </w:t>
      </w:r>
      <w:hyperlink r:id="rId93" w:history="1">
        <w:r w:rsidRPr="00817998">
          <w:rPr>
            <w:rStyle w:val="Hyperlink"/>
            <w:rFonts w:ascii="Times New Roman" w:hAnsi="Times New Roman" w:cs="Times New Roman"/>
          </w:rPr>
          <w:t>https://doi.org/10.4324/9781003117407</w:t>
        </w:r>
      </w:hyperlink>
    </w:p>
    <w:p w14:paraId="32E82E01" w14:textId="50EAF7F5"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Panwar, R., Rinne, T., Hansen, E., &amp; </w:t>
      </w:r>
      <w:proofErr w:type="spellStart"/>
      <w:r w:rsidRPr="00817998">
        <w:rPr>
          <w:rFonts w:ascii="Times New Roman" w:hAnsi="Times New Roman" w:cs="Times New Roman"/>
          <w:color w:val="000000" w:themeColor="text1"/>
        </w:rPr>
        <w:t>Juslin</w:t>
      </w:r>
      <w:proofErr w:type="spellEnd"/>
      <w:r w:rsidRPr="00817998">
        <w:rPr>
          <w:rFonts w:ascii="Times New Roman" w:hAnsi="Times New Roman" w:cs="Times New Roman"/>
          <w:color w:val="000000" w:themeColor="text1"/>
        </w:rPr>
        <w:t xml:space="preserve">, H. (2006). Corporate responsibility: Balancing economic, environmental, and social issues in the forest products industry. *Forest Products Journal*, *56*(2), 4–12. </w:t>
      </w:r>
      <w:hyperlink r:id="rId94" w:history="1">
        <w:r w:rsidRPr="00817998">
          <w:rPr>
            <w:rStyle w:val="Hyperlink"/>
            <w:rFonts w:ascii="Times New Roman" w:hAnsi="Times New Roman" w:cs="Times New Roman"/>
          </w:rPr>
          <w:t>https://doi.org/10.13073/0015-7473.56.2.4</w:t>
        </w:r>
      </w:hyperlink>
    </w:p>
    <w:p w14:paraId="2BD47F38" w14:textId="368F5DE0" w:rsidR="00D1581E" w:rsidRPr="00817998" w:rsidRDefault="00D1581E" w:rsidP="00817998">
      <w:pPr>
        <w:ind w:left="450"/>
        <w:jc w:val="both"/>
        <w:rPr>
          <w:rFonts w:ascii="Times New Roman" w:hAnsi="Times New Roman" w:cs="Times New Roman"/>
        </w:rPr>
      </w:pPr>
      <w:r w:rsidRPr="00817998">
        <w:rPr>
          <w:rFonts w:ascii="Times New Roman" w:hAnsi="Times New Roman" w:cs="Times New Roman"/>
        </w:rPr>
        <w:t xml:space="preserve">Pérez, A., &amp; del Bosque, I. R. (2015). How customer support for corporate social responsibility influences the image of companies: Evidence from the banking industry. Corporate Social Responsibility and Environmental Management, 22(3), 155–168. </w:t>
      </w:r>
      <w:hyperlink r:id="rId95" w:history="1">
        <w:r w:rsidRPr="00817998">
          <w:rPr>
            <w:rStyle w:val="Hyperlink"/>
            <w:rFonts w:ascii="Times New Roman" w:hAnsi="Times New Roman" w:cs="Times New Roman"/>
          </w:rPr>
          <w:t>https://doi.org/10.1002/csr.1331</w:t>
        </w:r>
      </w:hyperlink>
    </w:p>
    <w:p w14:paraId="27386CEA" w14:textId="745FBE66"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Pérez, A., &amp; Rodríguez del Bosque, I. (2014). Customer CSR expectations in the banking industry. International Journal of Bank Marketing, 32(3), 223–244. </w:t>
      </w:r>
      <w:hyperlink r:id="rId96" w:history="1">
        <w:r w:rsidRPr="00817998">
          <w:rPr>
            <w:rStyle w:val="Hyperlink"/>
            <w:rFonts w:ascii="Times New Roman" w:hAnsi="Times New Roman" w:cs="Times New Roman"/>
          </w:rPr>
          <w:t>https://doi.org/10.1108/IJBM-09-2013-0095</w:t>
        </w:r>
      </w:hyperlink>
    </w:p>
    <w:p w14:paraId="5EE09522" w14:textId="19AE6C03" w:rsidR="00D1581E" w:rsidRPr="00817998" w:rsidRDefault="00D1581E" w:rsidP="00817998">
      <w:pPr>
        <w:ind w:left="450"/>
        <w:jc w:val="both"/>
        <w:rPr>
          <w:rFonts w:ascii="Times New Roman" w:hAnsi="Times New Roman" w:cs="Times New Roman"/>
          <w:color w:val="0563C1" w:themeColor="hyperlink"/>
          <w:u w:val="single"/>
        </w:rPr>
      </w:pPr>
      <w:r w:rsidRPr="00817998">
        <w:rPr>
          <w:rFonts w:ascii="Times New Roman" w:hAnsi="Times New Roman" w:cs="Times New Roman"/>
          <w:color w:val="000000" w:themeColor="text1"/>
        </w:rPr>
        <w:lastRenderedPageBreak/>
        <w:t xml:space="preserve">Pirsch, J., Gupta, S., &amp; Grau, S. L. (2007). A framework for understanding corporate social responsibility programs as a continuum: An exploratory study. Journal of Business Ethics, 70, 125-140. </w:t>
      </w:r>
      <w:hyperlink r:id="rId97" w:history="1">
        <w:r w:rsidRPr="00817998">
          <w:rPr>
            <w:rStyle w:val="Hyperlink"/>
            <w:rFonts w:ascii="Times New Roman" w:hAnsi="Times New Roman" w:cs="Times New Roman"/>
          </w:rPr>
          <w:t>https://doi.org/10.1007/s10551-006-9100-y</w:t>
        </w:r>
      </w:hyperlink>
    </w:p>
    <w:p w14:paraId="667C11BD" w14:textId="1642F44D" w:rsidR="00D1581E" w:rsidRPr="00817998" w:rsidRDefault="00D1581E"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Polas</w:t>
      </w:r>
      <w:proofErr w:type="spellEnd"/>
      <w:r w:rsidRPr="00817998">
        <w:rPr>
          <w:rFonts w:ascii="Times New Roman" w:hAnsi="Times New Roman" w:cs="Times New Roman"/>
        </w:rPr>
        <w:t xml:space="preserve">, M. R. H., Raju, V., Hossen, S. M., Karim, A. M., &amp; Tabash, M. I. (2020). Customer’s revisit intention: Empirical evidence on Gen‐Z from Bangladesh towards halal restaurants. Journal of Public Affairs. </w:t>
      </w:r>
      <w:hyperlink r:id="rId98" w:history="1">
        <w:r w:rsidRPr="00817998">
          <w:rPr>
            <w:rStyle w:val="Hyperlink"/>
            <w:rFonts w:ascii="Times New Roman" w:hAnsi="Times New Roman" w:cs="Times New Roman"/>
          </w:rPr>
          <w:t>https://doi.org/10.1002/pa.2572</w:t>
        </w:r>
      </w:hyperlink>
    </w:p>
    <w:p w14:paraId="6E0C2210" w14:textId="7E2B8436"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Prescott, J. (1995) ‘Business in the Community: Forging a New Partnership’, Paper presented at the Centre for Corporate Public Affairs Oration, Melbourne.</w:t>
      </w:r>
    </w:p>
    <w:p w14:paraId="23493889" w14:textId="3E31728E"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Rahman, M. H., </w:t>
      </w:r>
      <w:proofErr w:type="spellStart"/>
      <w:r w:rsidRPr="00817998">
        <w:rPr>
          <w:rFonts w:ascii="Times New Roman" w:hAnsi="Times New Roman" w:cs="Times New Roman"/>
        </w:rPr>
        <w:t>Tanchangya</w:t>
      </w:r>
      <w:proofErr w:type="spellEnd"/>
      <w:r w:rsidRPr="00817998">
        <w:rPr>
          <w:rFonts w:ascii="Times New Roman" w:hAnsi="Times New Roman" w:cs="Times New Roman"/>
        </w:rPr>
        <w:t xml:space="preserve">, T., Rahman, J., Aktar, M. A., &amp; Majumder, S. C. (2024). Corporate social responsibility and green financing behavior in Bangladesh: Towards sustainable tourism. Innovation and Green Development, 3(3), 100133. </w:t>
      </w:r>
      <w:hyperlink r:id="rId99" w:history="1">
        <w:r w:rsidRPr="00817998">
          <w:rPr>
            <w:rStyle w:val="Hyperlink"/>
            <w:rFonts w:ascii="Times New Roman" w:hAnsi="Times New Roman" w:cs="Times New Roman"/>
          </w:rPr>
          <w:t>https://doi.org/10.1016/j.igd.2024.100133</w:t>
        </w:r>
      </w:hyperlink>
    </w:p>
    <w:p w14:paraId="39AA9A8C" w14:textId="1250E5C3" w:rsidR="00766CA3" w:rsidRPr="00817998" w:rsidRDefault="00766CA3"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Ramasamy, B., Yeung, M. C. H., &amp; Au, A. K. M. (2010). Consumer Support for Corporate Social Responsibility (CSR): The Role of Religion and Values. Journal of Business Ethics, 91, 61-72. </w:t>
      </w:r>
      <w:hyperlink r:id="rId100" w:history="1">
        <w:r w:rsidRPr="00817998">
          <w:rPr>
            <w:rStyle w:val="Hyperlink"/>
            <w:rFonts w:ascii="Times New Roman" w:hAnsi="Times New Roman" w:cs="Times New Roman"/>
          </w:rPr>
          <w:t>https://doi.org/10.1007/s10551-010-0568-0</w:t>
        </w:r>
      </w:hyperlink>
    </w:p>
    <w:p w14:paraId="57360161" w14:textId="2B49A8D6" w:rsidR="00766CA3" w:rsidRPr="00817998" w:rsidRDefault="00766CA3" w:rsidP="00817998">
      <w:pPr>
        <w:autoSpaceDE w:val="0"/>
        <w:autoSpaceDN w:val="0"/>
        <w:adjustRightInd w:val="0"/>
        <w:ind w:left="450"/>
        <w:jc w:val="both"/>
        <w:rPr>
          <w:rFonts w:ascii="Times New Roman" w:hAnsi="Times New Roman" w:cs="Times New Roman"/>
          <w:i/>
          <w:iCs/>
          <w:color w:val="000000" w:themeColor="text1"/>
        </w:rPr>
      </w:pPr>
      <w:r w:rsidRPr="00817998">
        <w:rPr>
          <w:rFonts w:ascii="Times New Roman" w:hAnsi="Times New Roman" w:cs="Times New Roman"/>
        </w:rPr>
        <w:t xml:space="preserve">Rashid, M. H. U., &amp; Hamid, M. A. (2022). Measurement of CSR Performance in Manufacturing Industries: A SEM Approach. International Journal of Social Ecology and Sustainable Development, 13(6), 1-18. </w:t>
      </w:r>
      <w:hyperlink r:id="rId101" w:history="1">
        <w:r w:rsidRPr="00817998">
          <w:rPr>
            <w:rStyle w:val="Hyperlink"/>
            <w:rFonts w:ascii="Times New Roman" w:hAnsi="Times New Roman" w:cs="Times New Roman"/>
          </w:rPr>
          <w:t>https://doi.org/10.4018/IJSESD.301252</w:t>
        </w:r>
      </w:hyperlink>
    </w:p>
    <w:p w14:paraId="7C4F93F4" w14:textId="77777777" w:rsidR="00766CA3" w:rsidRPr="00817998" w:rsidRDefault="00766CA3"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Reis, T. K., &amp; </w:t>
      </w:r>
      <w:proofErr w:type="spellStart"/>
      <w:r w:rsidRPr="00817998">
        <w:rPr>
          <w:rFonts w:ascii="Times New Roman" w:hAnsi="Times New Roman" w:cs="Times New Roman"/>
          <w:color w:val="000000" w:themeColor="text1"/>
        </w:rPr>
        <w:t>Clohesy</w:t>
      </w:r>
      <w:proofErr w:type="spellEnd"/>
      <w:r w:rsidRPr="00817998">
        <w:rPr>
          <w:rFonts w:ascii="Times New Roman" w:hAnsi="Times New Roman" w:cs="Times New Roman"/>
          <w:color w:val="000000" w:themeColor="text1"/>
        </w:rPr>
        <w:t>, S. J. (1999). Unleashing New Resources and Entrepreneurship for the Common Good: A Scan, Synthesis and Scenario for Action. The W. K. Kellogg Foundation.</w:t>
      </w:r>
    </w:p>
    <w:p w14:paraId="1A50B6C8" w14:textId="59325E11" w:rsidR="00C442A8" w:rsidRPr="00817998" w:rsidRDefault="00C442A8" w:rsidP="00817998">
      <w:pPr>
        <w:ind w:left="450"/>
        <w:jc w:val="both"/>
        <w:rPr>
          <w:rFonts w:ascii="Times New Roman" w:hAnsi="Times New Roman" w:cs="Times New Roman"/>
        </w:rPr>
      </w:pPr>
      <w:proofErr w:type="spellStart"/>
      <w:r w:rsidRPr="00817998">
        <w:rPr>
          <w:rFonts w:ascii="Times New Roman" w:hAnsi="Times New Roman" w:cs="Times New Roman"/>
          <w:lang w:val="es-US"/>
        </w:rPr>
        <w:t>Rodriguez-Gomez</w:t>
      </w:r>
      <w:proofErr w:type="spellEnd"/>
      <w:r w:rsidRPr="00817998">
        <w:rPr>
          <w:rFonts w:ascii="Times New Roman" w:hAnsi="Times New Roman" w:cs="Times New Roman"/>
          <w:lang w:val="es-US"/>
        </w:rPr>
        <w:t xml:space="preserve">, S., Arco-Castro, M. L., </w:t>
      </w:r>
      <w:proofErr w:type="spellStart"/>
      <w:r w:rsidRPr="00817998">
        <w:rPr>
          <w:rFonts w:ascii="Times New Roman" w:hAnsi="Times New Roman" w:cs="Times New Roman"/>
          <w:lang w:val="es-US"/>
        </w:rPr>
        <w:t>Lopez-Perez</w:t>
      </w:r>
      <w:proofErr w:type="spellEnd"/>
      <w:r w:rsidRPr="00817998">
        <w:rPr>
          <w:rFonts w:ascii="Times New Roman" w:hAnsi="Times New Roman" w:cs="Times New Roman"/>
          <w:lang w:val="es-US"/>
        </w:rPr>
        <w:t xml:space="preserve">, M. V., &amp; Rodríguez-Ariza, L. (2020). </w:t>
      </w:r>
      <w:r w:rsidRPr="00817998">
        <w:rPr>
          <w:rFonts w:ascii="Times New Roman" w:hAnsi="Times New Roman" w:cs="Times New Roman"/>
        </w:rPr>
        <w:t xml:space="preserve">Where does CSR come from and where does it go? A review of the state of the art. </w:t>
      </w:r>
      <w:r w:rsidRPr="00817998">
        <w:rPr>
          <w:rFonts w:ascii="Times New Roman" w:hAnsi="Times New Roman" w:cs="Times New Roman"/>
          <w:i/>
        </w:rPr>
        <w:t>Administrative Sciences, 10</w:t>
      </w:r>
      <w:r w:rsidRPr="00817998">
        <w:rPr>
          <w:rFonts w:ascii="Times New Roman" w:hAnsi="Times New Roman" w:cs="Times New Roman"/>
        </w:rPr>
        <w:t>(3), 60.</w:t>
      </w:r>
    </w:p>
    <w:p w14:paraId="6046BD05" w14:textId="4BE4255D" w:rsidR="00766CA3" w:rsidRPr="00766CA3" w:rsidRDefault="00766CA3" w:rsidP="00817998">
      <w:pPr>
        <w:pStyle w:val="NormalWeb"/>
        <w:spacing w:before="0" w:beforeAutospacing="0" w:after="0" w:afterAutospacing="0"/>
        <w:ind w:left="450"/>
        <w:jc w:val="both"/>
        <w:rPr>
          <w:color w:val="000000" w:themeColor="text1"/>
        </w:rPr>
      </w:pPr>
      <w:r w:rsidRPr="00766CA3">
        <w:rPr>
          <w:rFonts w:eastAsiaTheme="minorHAnsi"/>
          <w:color w:val="000000" w:themeColor="text1"/>
          <w:sz w:val="22"/>
          <w:szCs w:val="22"/>
          <w:lang w:eastAsia="en-US" w:bidi="ar-SA"/>
        </w:rPr>
        <w:t xml:space="preserve">Rodriguez-Gomez, S., Arco-Castro, M. L., Lopez-Perez, M. V., &amp; Rodríguez-Ariza, L. (2020). Where does CSR come from and where does it go? A review of the state of the art. Administrative Sciences, 10(3), 60. </w:t>
      </w:r>
      <w:hyperlink r:id="rId102" w:history="1">
        <w:r w:rsidRPr="00E13E6D">
          <w:rPr>
            <w:rStyle w:val="Hyperlink"/>
            <w:rFonts w:eastAsiaTheme="minorHAnsi"/>
            <w:sz w:val="22"/>
            <w:szCs w:val="22"/>
            <w:lang w:eastAsia="en-US" w:bidi="ar-SA"/>
          </w:rPr>
          <w:t>https://doi.org/10.3390/admsci10030060</w:t>
        </w:r>
      </w:hyperlink>
    </w:p>
    <w:p w14:paraId="28996441" w14:textId="243FC959" w:rsidR="00766CA3" w:rsidRPr="00817998" w:rsidRDefault="00766CA3" w:rsidP="00817998">
      <w:pPr>
        <w:ind w:left="450"/>
        <w:jc w:val="both"/>
        <w:rPr>
          <w:rFonts w:ascii="Times New Roman" w:hAnsi="Times New Roman" w:cs="Times New Roman"/>
          <w:color w:val="000000" w:themeColor="text1"/>
          <w:sz w:val="22"/>
          <w:szCs w:val="22"/>
        </w:rPr>
      </w:pPr>
      <w:r w:rsidRPr="00817998">
        <w:rPr>
          <w:rFonts w:ascii="Times New Roman" w:eastAsia="Times New Roman" w:hAnsi="Times New Roman" w:cs="Times New Roman"/>
          <w:color w:val="000000" w:themeColor="text1"/>
          <w:lang w:eastAsia="en-GB" w:bidi="bn-IN"/>
        </w:rPr>
        <w:t xml:space="preserve">Rupley, K. H., Brown, D., &amp; Marshall, S. (2017). Evolution of corporate reporting: From stand-alone corporate social responsibility reporting to integrated reporting. Research in Accounting Regulation, 29(2), 172–176. </w:t>
      </w:r>
      <w:hyperlink r:id="rId103" w:history="1">
        <w:r w:rsidRPr="00817998">
          <w:rPr>
            <w:rStyle w:val="Hyperlink"/>
            <w:rFonts w:ascii="Times New Roman" w:eastAsia="Times New Roman" w:hAnsi="Times New Roman" w:cs="Times New Roman"/>
            <w:lang w:eastAsia="en-GB" w:bidi="bn-IN"/>
          </w:rPr>
          <w:t>https://doi.org/10.1016/j.racreg.2017.09.010</w:t>
        </w:r>
      </w:hyperlink>
    </w:p>
    <w:p w14:paraId="2937F6D4" w14:textId="580B17D9" w:rsidR="00766CA3" w:rsidRPr="00766CA3" w:rsidRDefault="00766CA3" w:rsidP="00817998">
      <w:pPr>
        <w:pStyle w:val="NormalWeb"/>
        <w:spacing w:before="0" w:beforeAutospacing="0" w:after="0" w:afterAutospacing="0"/>
        <w:ind w:left="450"/>
        <w:jc w:val="both"/>
        <w:rPr>
          <w:color w:val="000000" w:themeColor="text1"/>
        </w:rPr>
      </w:pPr>
      <w:r w:rsidRPr="00766CA3">
        <w:rPr>
          <w:rFonts w:eastAsiaTheme="minorHAnsi"/>
          <w:color w:val="000000" w:themeColor="text1"/>
          <w:sz w:val="22"/>
          <w:szCs w:val="22"/>
          <w:lang w:eastAsia="en-US" w:bidi="ar-SA"/>
        </w:rPr>
        <w:t xml:space="preserve">Saunders, M. N. K., Lewis, P., &amp; Thornhill, A. (2016). Research methods for business students (7th ed.). Pearson Education. </w:t>
      </w:r>
      <w:hyperlink r:id="rId104" w:history="1">
        <w:r w:rsidRPr="00E13E6D">
          <w:rPr>
            <w:rStyle w:val="Hyperlink"/>
            <w:rFonts w:eastAsiaTheme="minorHAnsi"/>
            <w:sz w:val="22"/>
            <w:szCs w:val="22"/>
            <w:lang w:eastAsia="en-US" w:bidi="ar-SA"/>
          </w:rPr>
          <w:t>https://www.pearsoned.co.uk/saunders</w:t>
        </w:r>
      </w:hyperlink>
    </w:p>
    <w:p w14:paraId="5C762B6C" w14:textId="43E7B531" w:rsidR="00766CA3" w:rsidRPr="00817998" w:rsidRDefault="00766CA3" w:rsidP="00817998">
      <w:pPr>
        <w:autoSpaceDE w:val="0"/>
        <w:autoSpaceDN w:val="0"/>
        <w:adjustRightInd w:val="0"/>
        <w:ind w:left="450"/>
        <w:jc w:val="both"/>
        <w:rPr>
          <w:rFonts w:ascii="Times New Roman" w:hAnsi="Times New Roman" w:cs="Times New Roman"/>
          <w:color w:val="000000" w:themeColor="text1"/>
          <w:sz w:val="22"/>
          <w:szCs w:val="22"/>
        </w:rPr>
      </w:pPr>
      <w:proofErr w:type="spellStart"/>
      <w:r w:rsidRPr="00817998">
        <w:rPr>
          <w:rFonts w:ascii="Times New Roman" w:eastAsia="Times New Roman" w:hAnsi="Times New Roman" w:cs="Times New Roman"/>
          <w:color w:val="000000" w:themeColor="text1"/>
          <w:lang w:eastAsia="en-GB" w:bidi="bn-IN"/>
        </w:rPr>
        <w:t>Schaltegger</w:t>
      </w:r>
      <w:proofErr w:type="spellEnd"/>
      <w:r w:rsidRPr="00817998">
        <w:rPr>
          <w:rFonts w:ascii="Times New Roman" w:eastAsia="Times New Roman" w:hAnsi="Times New Roman" w:cs="Times New Roman"/>
          <w:color w:val="000000" w:themeColor="text1"/>
          <w:lang w:eastAsia="en-GB" w:bidi="bn-IN"/>
        </w:rPr>
        <w:t xml:space="preserve">, S., </w:t>
      </w:r>
      <w:proofErr w:type="spellStart"/>
      <w:r w:rsidRPr="00817998">
        <w:rPr>
          <w:rFonts w:ascii="Times New Roman" w:eastAsia="Times New Roman" w:hAnsi="Times New Roman" w:cs="Times New Roman"/>
          <w:color w:val="000000" w:themeColor="text1"/>
          <w:lang w:eastAsia="en-GB" w:bidi="bn-IN"/>
        </w:rPr>
        <w:t>Lüdeke</w:t>
      </w:r>
      <w:proofErr w:type="spellEnd"/>
      <w:r w:rsidRPr="00817998">
        <w:rPr>
          <w:rFonts w:ascii="Times New Roman" w:eastAsia="Times New Roman" w:hAnsi="Times New Roman" w:cs="Times New Roman"/>
          <w:color w:val="000000" w:themeColor="text1"/>
          <w:lang w:eastAsia="en-GB" w:bidi="bn-IN"/>
        </w:rPr>
        <w:t xml:space="preserve">-Freund, F., &amp; Hansen, E. G. (2012). Business cases for sustainability: The role of business model innovation for corporate sustainability. International Journal of Innovation and Sustainable Development, 6(2), 95-119. </w:t>
      </w:r>
      <w:hyperlink r:id="rId105" w:history="1">
        <w:r w:rsidRPr="00817998">
          <w:rPr>
            <w:rStyle w:val="Hyperlink"/>
            <w:rFonts w:ascii="Times New Roman" w:eastAsia="Times New Roman" w:hAnsi="Times New Roman" w:cs="Times New Roman"/>
            <w:lang w:eastAsia="en-GB" w:bidi="bn-IN"/>
          </w:rPr>
          <w:t>https://doi.org/10.1504/IJISD.2012.046944</w:t>
        </w:r>
      </w:hyperlink>
    </w:p>
    <w:p w14:paraId="3106C82E" w14:textId="1190FC2D"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Sekaran, U., &amp; Bougie, R. (2016). Research methods for business: A skill-building approach (7th ed.). Wiley. </w:t>
      </w:r>
      <w:hyperlink r:id="rId106" w:history="1">
        <w:r w:rsidRPr="00817998">
          <w:rPr>
            <w:rStyle w:val="Hyperlink"/>
            <w:rFonts w:ascii="Times New Roman" w:hAnsi="Times New Roman" w:cs="Times New Roman"/>
          </w:rPr>
          <w:t>https://www.wiley.com/en-us/Research+Methods+For+Business%3A+A+Skill+Building+Approach%2C+7th+Edition-p-9781119165552</w:t>
        </w:r>
      </w:hyperlink>
    </w:p>
    <w:p w14:paraId="0025A348" w14:textId="617718FF"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color w:val="000000" w:themeColor="text1"/>
        </w:rPr>
        <w:t>Signh</w:t>
      </w:r>
      <w:proofErr w:type="spellEnd"/>
      <w:r w:rsidRPr="00817998">
        <w:rPr>
          <w:rFonts w:ascii="Times New Roman" w:hAnsi="Times New Roman" w:cs="Times New Roman"/>
          <w:color w:val="000000" w:themeColor="text1"/>
        </w:rPr>
        <w:t xml:space="preserve">, D. R. and </w:t>
      </w:r>
      <w:proofErr w:type="spellStart"/>
      <w:proofErr w:type="gramStart"/>
      <w:r w:rsidRPr="00817998">
        <w:rPr>
          <w:rFonts w:ascii="Times New Roman" w:hAnsi="Times New Roman" w:cs="Times New Roman"/>
          <w:color w:val="000000" w:themeColor="text1"/>
        </w:rPr>
        <w:t>Ahuja,J</w:t>
      </w:r>
      <w:proofErr w:type="spellEnd"/>
      <w:r w:rsidRPr="00817998">
        <w:rPr>
          <w:rFonts w:ascii="Times New Roman" w:hAnsi="Times New Roman" w:cs="Times New Roman"/>
          <w:color w:val="000000" w:themeColor="text1"/>
        </w:rPr>
        <w:t>.</w:t>
      </w:r>
      <w:proofErr w:type="gramEnd"/>
      <w:r w:rsidRPr="00817998">
        <w:rPr>
          <w:rFonts w:ascii="Times New Roman" w:hAnsi="Times New Roman" w:cs="Times New Roman"/>
          <w:color w:val="000000" w:themeColor="text1"/>
        </w:rPr>
        <w:t xml:space="preserve"> M. (1983)Corporate Social Reporting in </w:t>
      </w:r>
      <w:proofErr w:type="spellStart"/>
      <w:r w:rsidRPr="00817998">
        <w:rPr>
          <w:rFonts w:ascii="Times New Roman" w:hAnsi="Times New Roman" w:cs="Times New Roman"/>
          <w:color w:val="000000" w:themeColor="text1"/>
        </w:rPr>
        <w:t>India.The</w:t>
      </w:r>
      <w:proofErr w:type="spellEnd"/>
      <w:r w:rsidRPr="00817998">
        <w:rPr>
          <w:rFonts w:ascii="Times New Roman" w:hAnsi="Times New Roman" w:cs="Times New Roman"/>
          <w:color w:val="000000" w:themeColor="text1"/>
        </w:rPr>
        <w:t xml:space="preserve"> international Journal of Accounting, 18 (2), pp.151-169. </w:t>
      </w:r>
    </w:p>
    <w:p w14:paraId="5C5635B1" w14:textId="4BC40970"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color w:val="000000" w:themeColor="text1"/>
        </w:rPr>
        <w:t>Sriramesh</w:t>
      </w:r>
      <w:proofErr w:type="spellEnd"/>
      <w:r w:rsidRPr="00817998">
        <w:rPr>
          <w:rFonts w:ascii="Times New Roman" w:hAnsi="Times New Roman" w:cs="Times New Roman"/>
          <w:color w:val="000000" w:themeColor="text1"/>
        </w:rPr>
        <w:t xml:space="preserve">, K., Ng, C. W., Ting, S. T., &amp; </w:t>
      </w:r>
      <w:proofErr w:type="spellStart"/>
      <w:r w:rsidRPr="00817998">
        <w:rPr>
          <w:rFonts w:ascii="Times New Roman" w:hAnsi="Times New Roman" w:cs="Times New Roman"/>
          <w:color w:val="000000" w:themeColor="text1"/>
        </w:rPr>
        <w:t>Wanyin</w:t>
      </w:r>
      <w:proofErr w:type="spellEnd"/>
      <w:r w:rsidRPr="00817998">
        <w:rPr>
          <w:rFonts w:ascii="Times New Roman" w:hAnsi="Times New Roman" w:cs="Times New Roman"/>
          <w:color w:val="000000" w:themeColor="text1"/>
        </w:rPr>
        <w:t xml:space="preserve">, L. (2007). Corporate Social Responsibility and Public Relations: Perceptions and Practices in Singapore. In S. May, G. Cheney, &amp; J. Roper (Eds.), The debate over corporate social responsibility (pp. 119-134). Oxford University Press. </w:t>
      </w:r>
      <w:hyperlink r:id="rId107" w:history="1">
        <w:r w:rsidRPr="00817998">
          <w:rPr>
            <w:rStyle w:val="Hyperlink"/>
            <w:rFonts w:ascii="Times New Roman" w:hAnsi="Times New Roman" w:cs="Times New Roman"/>
          </w:rPr>
          <w:t>https://doi.org/10.1093/oso/9780195178838.003.0009</w:t>
        </w:r>
      </w:hyperlink>
      <w:r w:rsidRPr="00817998">
        <w:rPr>
          <w:rFonts w:ascii="Times New Roman" w:hAnsi="Times New Roman" w:cs="Times New Roman"/>
          <w:color w:val="000000" w:themeColor="text1"/>
        </w:rPr>
        <w:t>.</w:t>
      </w:r>
    </w:p>
    <w:p w14:paraId="7E408998" w14:textId="72AC701E" w:rsidR="00504F65" w:rsidRPr="00817998" w:rsidRDefault="00504F65"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Tabachnick, B. G. and Fidell, L. S. (1996). </w:t>
      </w:r>
      <w:r w:rsidRPr="00817998">
        <w:rPr>
          <w:rFonts w:ascii="Times New Roman" w:hAnsi="Times New Roman" w:cs="Times New Roman"/>
          <w:i/>
          <w:iCs/>
          <w:color w:val="000000" w:themeColor="text1"/>
        </w:rPr>
        <w:t>Using Multivariate Statistics</w:t>
      </w:r>
      <w:r w:rsidRPr="00817998">
        <w:rPr>
          <w:rFonts w:ascii="Times New Roman" w:hAnsi="Times New Roman" w:cs="Times New Roman"/>
          <w:color w:val="000000" w:themeColor="text1"/>
        </w:rPr>
        <w:t>. New York:</w:t>
      </w:r>
    </w:p>
    <w:p w14:paraId="39593AA6" w14:textId="1592ECD5" w:rsidR="00766CA3" w:rsidRPr="00817998" w:rsidRDefault="00766CA3" w:rsidP="00817998">
      <w:pPr>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lastRenderedPageBreak/>
        <w:t xml:space="preserve">United Nations Development </w:t>
      </w:r>
      <w:proofErr w:type="spellStart"/>
      <w:r w:rsidRPr="00817998">
        <w:rPr>
          <w:rFonts w:ascii="Times New Roman" w:hAnsi="Times New Roman" w:cs="Times New Roman"/>
          <w:color w:val="000000" w:themeColor="text1"/>
        </w:rPr>
        <w:t>Programme</w:t>
      </w:r>
      <w:proofErr w:type="spellEnd"/>
      <w:r w:rsidRPr="00817998">
        <w:rPr>
          <w:rFonts w:ascii="Times New Roman" w:hAnsi="Times New Roman" w:cs="Times New Roman"/>
          <w:color w:val="000000" w:themeColor="text1"/>
        </w:rPr>
        <w:t xml:space="preserve">. (2006). Human Development Report 2006 - Beyond Scarcity: Power, Poverty and the Global Water Crisis. </w:t>
      </w:r>
      <w:hyperlink r:id="rId108" w:history="1">
        <w:r w:rsidRPr="00817998">
          <w:rPr>
            <w:rStyle w:val="Hyperlink"/>
            <w:rFonts w:ascii="Times New Roman" w:hAnsi="Times New Roman" w:cs="Times New Roman"/>
          </w:rPr>
          <w:t>https://hdr.undp.org/content/human-development-report-2006-beyond-scarcity-power-poverty-and-global-water-crisis</w:t>
        </w:r>
      </w:hyperlink>
    </w:p>
    <w:p w14:paraId="5817CF83" w14:textId="74D78331" w:rsidR="00766CA3" w:rsidRPr="00817998" w:rsidRDefault="00766CA3" w:rsidP="00817998">
      <w:pPr>
        <w:ind w:left="450"/>
        <w:jc w:val="both"/>
        <w:rPr>
          <w:rFonts w:ascii="Times New Roman" w:hAnsi="Times New Roman" w:cs="Times New Roman"/>
          <w:color w:val="0563C1" w:themeColor="hyperlink"/>
          <w:u w:val="single"/>
        </w:rPr>
      </w:pPr>
      <w:r w:rsidRPr="00817998">
        <w:rPr>
          <w:rFonts w:ascii="Times New Roman" w:hAnsi="Times New Roman" w:cs="Times New Roman"/>
          <w:color w:val="000000" w:themeColor="text1"/>
        </w:rPr>
        <w:t xml:space="preserve">Tian, Q., &amp; Robertson, J. L. (2017). How and when does perceived CSR affect employees’ engagement in voluntary pro-environmental behavior? Journal of Business Ethics, 155(2), 399–412. </w:t>
      </w:r>
      <w:hyperlink r:id="rId109" w:history="1">
        <w:r w:rsidRPr="00817998">
          <w:rPr>
            <w:rStyle w:val="Hyperlink"/>
            <w:rFonts w:ascii="Times New Roman" w:hAnsi="Times New Roman" w:cs="Times New Roman"/>
          </w:rPr>
          <w:t>https://doi.org/10.1007/s10551-017-3497-3</w:t>
        </w:r>
      </w:hyperlink>
    </w:p>
    <w:p w14:paraId="676CC5DD" w14:textId="1D66196B" w:rsidR="00766CA3" w:rsidRPr="00817998" w:rsidRDefault="00766CA3" w:rsidP="00817998">
      <w:pPr>
        <w:ind w:left="450"/>
        <w:jc w:val="both"/>
        <w:rPr>
          <w:rFonts w:ascii="Times New Roman" w:hAnsi="Times New Roman" w:cs="Times New Roman"/>
        </w:rPr>
      </w:pPr>
      <w:proofErr w:type="spellStart"/>
      <w:r w:rsidRPr="00817998">
        <w:rPr>
          <w:rFonts w:ascii="Times New Roman" w:hAnsi="Times New Roman" w:cs="Times New Roman"/>
        </w:rPr>
        <w:t>Toussi</w:t>
      </w:r>
      <w:proofErr w:type="spellEnd"/>
      <w:r w:rsidRPr="00817998">
        <w:rPr>
          <w:rFonts w:ascii="Times New Roman" w:hAnsi="Times New Roman" w:cs="Times New Roman"/>
        </w:rPr>
        <w:t xml:space="preserve">, N., Krastev, S., &amp; McKee, T. (2022). How to evaluate CSR impact: The importance of corporate social responsibility evaluation. The Decision Lab. </w:t>
      </w:r>
      <w:hyperlink r:id="rId110" w:history="1">
        <w:r w:rsidRPr="00817998">
          <w:rPr>
            <w:rStyle w:val="Hyperlink"/>
            <w:rFonts w:ascii="Times New Roman" w:hAnsi="Times New Roman" w:cs="Times New Roman"/>
          </w:rPr>
          <w:t>https://thedecisionlab.com/insights/hr/how-to-evaluate-csr-impact-the-importance-of-corporate-social-responsibility-evaluation</w:t>
        </w:r>
      </w:hyperlink>
    </w:p>
    <w:p w14:paraId="6BE70431" w14:textId="43339720" w:rsidR="00766CA3" w:rsidRPr="00817998" w:rsidRDefault="00766CA3" w:rsidP="00817998">
      <w:pPr>
        <w:ind w:left="450"/>
        <w:jc w:val="both"/>
        <w:rPr>
          <w:rFonts w:ascii="Times New Roman" w:hAnsi="Times New Roman" w:cs="Times New Roman"/>
          <w:color w:val="000000" w:themeColor="text1"/>
        </w:rPr>
      </w:pPr>
      <w:r w:rsidRPr="00817998">
        <w:rPr>
          <w:rFonts w:ascii="Times New Roman" w:hAnsi="Times New Roman" w:cs="Times New Roman"/>
        </w:rPr>
        <w:t xml:space="preserve">Uddin, S., Siddiqui, J., &amp; Islam, M. A. (2018). Corporate social responsibility disclosures, traditionalism and politics: A story from a traditional setting. Journal of Business Ethics, 151(2), 409-428. </w:t>
      </w:r>
      <w:hyperlink r:id="rId111" w:history="1">
        <w:r w:rsidRPr="00817998">
          <w:rPr>
            <w:rStyle w:val="Hyperlink"/>
            <w:rFonts w:ascii="Times New Roman" w:hAnsi="Times New Roman" w:cs="Times New Roman"/>
          </w:rPr>
          <w:t>https://doi.org/10.1007/s10551-016-3214-7</w:t>
        </w:r>
      </w:hyperlink>
    </w:p>
    <w:p w14:paraId="7567CC48" w14:textId="0D6E726D"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United Nations Global Compact &amp; Global Reporting Initiative. (2018). Integrating the Sustainable Development Goals into Corporate Reporting: A Practical Guide. </w:t>
      </w:r>
      <w:hyperlink r:id="rId112" w:history="1">
        <w:r w:rsidRPr="00817998">
          <w:rPr>
            <w:rStyle w:val="Hyperlink"/>
            <w:rFonts w:ascii="Times New Roman" w:hAnsi="Times New Roman" w:cs="Times New Roman"/>
          </w:rPr>
          <w:t>https://www.unglobalcompact.org/library/4571</w:t>
        </w:r>
      </w:hyperlink>
    </w:p>
    <w:p w14:paraId="7F64C2B2" w14:textId="56F3BE69" w:rsidR="00766CA3" w:rsidRPr="00817998" w:rsidRDefault="00766CA3"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De Vaus, D. (2002). Analyzing social science data: 50 key problems in data analysis. Sage Publications. </w:t>
      </w:r>
      <w:hyperlink r:id="rId113" w:history="1">
        <w:r w:rsidRPr="00817998">
          <w:rPr>
            <w:rStyle w:val="Hyperlink"/>
            <w:rFonts w:ascii="Times New Roman" w:hAnsi="Times New Roman" w:cs="Times New Roman"/>
          </w:rPr>
          <w:t>https://us.sagepub.com/en-us/nam/analyzing-social-science-data/book206000</w:t>
        </w:r>
      </w:hyperlink>
    </w:p>
    <w:p w14:paraId="00AADEBE" w14:textId="17CBC582" w:rsidR="00504F65" w:rsidRPr="00817998" w:rsidRDefault="0066213F" w:rsidP="00817998">
      <w:pPr>
        <w:ind w:left="450"/>
        <w:jc w:val="both"/>
        <w:rPr>
          <w:rFonts w:ascii="Times New Roman" w:hAnsi="Times New Roman" w:cs="Times New Roman"/>
        </w:rPr>
      </w:pPr>
      <w:r w:rsidRPr="00817998">
        <w:rPr>
          <w:rFonts w:ascii="Times New Roman" w:hAnsi="Times New Roman" w:cs="Times New Roman"/>
        </w:rPr>
        <w:t xml:space="preserve">Victoria University. (2023). What IS corporate social responsibility and its importance? Available at: </w:t>
      </w:r>
      <w:hyperlink r:id="rId114" w:history="1">
        <w:r w:rsidRPr="00817998">
          <w:rPr>
            <w:rStyle w:val="Hyperlink"/>
            <w:rFonts w:ascii="Times New Roman" w:hAnsi="Times New Roman" w:cs="Times New Roman"/>
          </w:rPr>
          <w:t>https://online.vu.edu.au/blog/what-is-corporate-social-responsibility</w:t>
        </w:r>
      </w:hyperlink>
      <w:r w:rsidRPr="00817998">
        <w:rPr>
          <w:rFonts w:ascii="Times New Roman" w:hAnsi="Times New Roman" w:cs="Times New Roman"/>
        </w:rPr>
        <w:t>.</w:t>
      </w:r>
    </w:p>
    <w:p w14:paraId="3C911EC7" w14:textId="50912644"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Visser, W. (2006). Revisiting Carroll's CSR Pyramid: An African Perspective. In E. R. Pedersen &amp; M. Huniche (Eds.), Corporate citizenship in a development perspective (pp. 29-56). Copenhagen Business School Press. </w:t>
      </w:r>
      <w:hyperlink r:id="rId115" w:history="1">
        <w:r w:rsidRPr="00817998">
          <w:rPr>
            <w:rStyle w:val="Hyperlink"/>
            <w:rFonts w:ascii="Times New Roman" w:hAnsi="Times New Roman" w:cs="Times New Roman"/>
          </w:rPr>
          <w:t>https://www.waynevisser.com/wp-content/uploads/2012/08/chapter_wvisser_csr_africa.pdf</w:t>
        </w:r>
      </w:hyperlink>
    </w:p>
    <w:p w14:paraId="56CE6D91" w14:textId="68CD5268"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Visser, W. (2008). Corporate Social Responsibility in Developing Countries. In A. Crane, A. McWilliams, D. Matten, J. Moon, &amp; D. S. Siegel (Eds.), The Oxford Handbook of Corporate Social Responsibility (pp. 473-500). Oxford University Press. </w:t>
      </w:r>
      <w:hyperlink r:id="rId116" w:history="1">
        <w:r w:rsidRPr="00817998">
          <w:rPr>
            <w:rStyle w:val="Hyperlink"/>
            <w:rFonts w:ascii="Times New Roman" w:hAnsi="Times New Roman" w:cs="Times New Roman"/>
          </w:rPr>
          <w:t>https://doi.org/10.1093/oxfordhb/9780199211593.003.0021</w:t>
        </w:r>
      </w:hyperlink>
    </w:p>
    <w:p w14:paraId="6EA18251" w14:textId="5DB4A03D" w:rsidR="00766CA3" w:rsidRPr="00817998" w:rsidRDefault="00766CA3" w:rsidP="00817998">
      <w:pPr>
        <w:ind w:left="450"/>
        <w:jc w:val="both"/>
        <w:rPr>
          <w:rFonts w:ascii="Times New Roman" w:hAnsi="Times New Roman" w:cs="Times New Roman"/>
          <w:lang w:val="es-US"/>
        </w:rPr>
      </w:pPr>
      <w:r w:rsidRPr="00817998">
        <w:rPr>
          <w:rFonts w:ascii="Times New Roman" w:hAnsi="Times New Roman" w:cs="Times New Roman"/>
          <w:color w:val="000000" w:themeColor="text1"/>
        </w:rPr>
        <w:t xml:space="preserve">Vogel, D. (2005). The market for virtue: The potential and limits of corporate social responsibility. Brookings Institution Press. </w:t>
      </w:r>
      <w:hyperlink r:id="rId117" w:history="1">
        <w:r w:rsidRPr="00817998">
          <w:rPr>
            <w:rStyle w:val="Hyperlink"/>
            <w:rFonts w:ascii="Times New Roman" w:hAnsi="Times New Roman" w:cs="Times New Roman"/>
          </w:rPr>
          <w:t>https://www.brookings.edu/book/the-market-for-virtue/</w:t>
        </w:r>
      </w:hyperlink>
    </w:p>
    <w:p w14:paraId="46DFE755" w14:textId="1A917249"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proofErr w:type="spellStart"/>
      <w:r w:rsidRPr="00817998">
        <w:rPr>
          <w:rFonts w:ascii="Times New Roman" w:hAnsi="Times New Roman" w:cs="Times New Roman"/>
        </w:rPr>
        <w:t>Vorecol</w:t>
      </w:r>
      <w:proofErr w:type="spellEnd"/>
      <w:r w:rsidRPr="00817998">
        <w:rPr>
          <w:rFonts w:ascii="Times New Roman" w:hAnsi="Times New Roman" w:cs="Times New Roman"/>
        </w:rPr>
        <w:t xml:space="preserve"> Editorial Team. (2024). What are the emerging trends in corporate social responsibility for 2024? </w:t>
      </w:r>
      <w:hyperlink r:id="rId118" w:history="1">
        <w:r w:rsidRPr="00817998">
          <w:rPr>
            <w:rStyle w:val="Hyperlink"/>
            <w:rFonts w:ascii="Times New Roman" w:hAnsi="Times New Roman" w:cs="Times New Roman"/>
          </w:rPr>
          <w:t>https://vorecol.com/blogs/blog-what-are-the-emerging-trends-in-corporate-social-responsibility-for-2024-159822</w:t>
        </w:r>
      </w:hyperlink>
    </w:p>
    <w:p w14:paraId="057A2BD2" w14:textId="4DED777E"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Waddock, S. (2004). Creating corporate accountability: Foundational principles to make corporate citizenship real. Journal of Business Ethics, 50(4), 313-327. </w:t>
      </w:r>
      <w:hyperlink r:id="rId119" w:history="1">
        <w:r w:rsidRPr="00817998">
          <w:rPr>
            <w:rStyle w:val="Hyperlink"/>
            <w:rFonts w:ascii="Times New Roman" w:hAnsi="Times New Roman" w:cs="Times New Roman"/>
          </w:rPr>
          <w:t>https://doi.org/10.1023/B:BUSI.0000025080.77652.a3</w:t>
        </w:r>
      </w:hyperlink>
    </w:p>
    <w:p w14:paraId="03A87694" w14:textId="4D087BE8"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t xml:space="preserve">Walton, C. C. (1967). Corporate Social Responsibilities. Wadsworth Publishing Company. </w:t>
      </w:r>
      <w:hyperlink r:id="rId120" w:history="1">
        <w:r w:rsidRPr="00817998">
          <w:rPr>
            <w:rStyle w:val="Hyperlink"/>
            <w:rFonts w:ascii="Times New Roman" w:hAnsi="Times New Roman" w:cs="Times New Roman"/>
          </w:rPr>
          <w:t>https://openlibrary.org/books/OL5490000M/Corporate_social_responsibilities</w:t>
        </w:r>
      </w:hyperlink>
    </w:p>
    <w:p w14:paraId="70908DB5" w14:textId="0E1C273D" w:rsidR="00766CA3" w:rsidRPr="00817998" w:rsidRDefault="00766CA3"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Welford, R. (2005). Corporate Social Responsibility in Europe, North America and Asia: 2004 Survey Results. Journal of Corporate Citizenship, 17(1), 33-52. </w:t>
      </w:r>
      <w:hyperlink r:id="rId121" w:history="1">
        <w:r w:rsidRPr="00817998">
          <w:rPr>
            <w:rStyle w:val="Hyperlink"/>
            <w:rFonts w:ascii="Times New Roman" w:hAnsi="Times New Roman" w:cs="Times New Roman"/>
          </w:rPr>
          <w:t>https://doi.org/10.9774/GLEAF.4700.2005.sp.00007</w:t>
        </w:r>
      </w:hyperlink>
    </w:p>
    <w:p w14:paraId="280061CF" w14:textId="6EA7BD84"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rPr>
        <w:t xml:space="preserve">Wirba, A. V. (2023). Corporate Social Responsibility (CSR): The Role of Government in promoting CSR. Journal of the Knowledge Economy, 15(2), 7428-7454. </w:t>
      </w:r>
      <w:hyperlink r:id="rId122" w:history="1">
        <w:r w:rsidRPr="00817998">
          <w:rPr>
            <w:rStyle w:val="Hyperlink"/>
            <w:rFonts w:ascii="Times New Roman" w:hAnsi="Times New Roman" w:cs="Times New Roman"/>
          </w:rPr>
          <w:t>https://doi.org/10.1007/s13132-023-01185-0</w:t>
        </w:r>
      </w:hyperlink>
    </w:p>
    <w:p w14:paraId="22E2F334" w14:textId="46599ED7" w:rsidR="00766CA3" w:rsidRPr="00817998" w:rsidRDefault="00766CA3" w:rsidP="00817998">
      <w:pPr>
        <w:autoSpaceDE w:val="0"/>
        <w:autoSpaceDN w:val="0"/>
        <w:adjustRightInd w:val="0"/>
        <w:ind w:left="450"/>
        <w:jc w:val="both"/>
        <w:rPr>
          <w:rFonts w:ascii="Times New Roman" w:hAnsi="Times New Roman" w:cs="Times New Roman"/>
          <w:color w:val="000000" w:themeColor="text1"/>
        </w:rPr>
      </w:pPr>
      <w:r w:rsidRPr="00817998">
        <w:rPr>
          <w:rFonts w:ascii="Times New Roman" w:hAnsi="Times New Roman" w:cs="Times New Roman"/>
          <w:color w:val="000000" w:themeColor="text1"/>
        </w:rPr>
        <w:lastRenderedPageBreak/>
        <w:t xml:space="preserve">Wong, A., Long, F., &amp; Elankumaran, S. (2010). Business students' perception of corporate social responsibility: The United States, China, and India. Corporate Social Responsibility and Environmental Management. </w:t>
      </w:r>
      <w:hyperlink r:id="rId123" w:history="1">
        <w:r w:rsidRPr="00817998">
          <w:rPr>
            <w:rStyle w:val="Hyperlink"/>
            <w:rFonts w:ascii="Times New Roman" w:hAnsi="Times New Roman" w:cs="Times New Roman"/>
          </w:rPr>
          <w:t>https://doi.org/10.1002/csr.216</w:t>
        </w:r>
      </w:hyperlink>
    </w:p>
    <w:p w14:paraId="33A84695" w14:textId="21D49BA9" w:rsidR="00766CA3" w:rsidRPr="00817998" w:rsidRDefault="00766CA3" w:rsidP="00817998">
      <w:pPr>
        <w:ind w:left="450"/>
        <w:jc w:val="both"/>
        <w:rPr>
          <w:rFonts w:ascii="Times New Roman" w:hAnsi="Times New Roman" w:cs="Times New Roman"/>
        </w:rPr>
      </w:pPr>
      <w:r w:rsidRPr="00817998">
        <w:rPr>
          <w:rFonts w:ascii="Times New Roman" w:hAnsi="Times New Roman" w:cs="Times New Roman"/>
          <w:color w:val="000000" w:themeColor="text1"/>
        </w:rPr>
        <w:t xml:space="preserve">Wong, A., Long, F., &amp; Elankumaran, S. (2010). Business students' perception of corporate social responsibility: The United States, China, and India. Corporate Social Responsibility and Environmental Management, 17(5), 299-310. </w:t>
      </w:r>
      <w:hyperlink r:id="rId124" w:history="1">
        <w:r w:rsidRPr="00817998">
          <w:rPr>
            <w:rStyle w:val="Hyperlink"/>
            <w:rFonts w:ascii="Times New Roman" w:hAnsi="Times New Roman" w:cs="Times New Roman"/>
          </w:rPr>
          <w:t>https://doi.org/10.1002/csr.216</w:t>
        </w:r>
      </w:hyperlink>
    </w:p>
    <w:p w14:paraId="787B6038" w14:textId="0F4D0326" w:rsidR="00766CA3" w:rsidRPr="00817998" w:rsidRDefault="00766CA3" w:rsidP="00817998">
      <w:pPr>
        <w:ind w:left="450"/>
        <w:jc w:val="both"/>
        <w:rPr>
          <w:rFonts w:ascii="Times New Roman" w:hAnsi="Times New Roman" w:cs="Times New Roman"/>
        </w:rPr>
      </w:pPr>
      <w:r w:rsidRPr="00817998">
        <w:rPr>
          <w:rFonts w:ascii="Times New Roman" w:hAnsi="Times New Roman" w:cs="Times New Roman"/>
        </w:rPr>
        <w:t xml:space="preserve">Yousaf, H. (2024). 6 CSR event ideas for better employee engagement. </w:t>
      </w:r>
      <w:proofErr w:type="spellStart"/>
      <w:r w:rsidRPr="00817998">
        <w:rPr>
          <w:rFonts w:ascii="Times New Roman" w:hAnsi="Times New Roman" w:cs="Times New Roman"/>
        </w:rPr>
        <w:t>vFAIRS</w:t>
      </w:r>
      <w:proofErr w:type="spellEnd"/>
      <w:r w:rsidRPr="00817998">
        <w:rPr>
          <w:rFonts w:ascii="Times New Roman" w:hAnsi="Times New Roman" w:cs="Times New Roman"/>
        </w:rPr>
        <w:t xml:space="preserve">. </w:t>
      </w:r>
      <w:hyperlink r:id="rId125" w:history="1">
        <w:r w:rsidRPr="00817998">
          <w:rPr>
            <w:rStyle w:val="Hyperlink"/>
            <w:rFonts w:ascii="Times New Roman" w:hAnsi="Times New Roman" w:cs="Times New Roman"/>
          </w:rPr>
          <w:t>https://www.vfairs.com/blog/csr-events/</w:t>
        </w:r>
      </w:hyperlink>
    </w:p>
    <w:p w14:paraId="0BCE01F5" w14:textId="2A6D1322" w:rsidR="0066213F" w:rsidRPr="00817998" w:rsidRDefault="00766CA3" w:rsidP="00817998">
      <w:pPr>
        <w:autoSpaceDE w:val="0"/>
        <w:autoSpaceDN w:val="0"/>
        <w:adjustRightInd w:val="0"/>
        <w:ind w:left="450"/>
        <w:jc w:val="both"/>
        <w:rPr>
          <w:rFonts w:ascii="Times New Roman" w:hAnsi="Times New Roman" w:cs="Times New Roman"/>
        </w:rPr>
      </w:pPr>
      <w:r w:rsidRPr="00817998">
        <w:rPr>
          <w:rFonts w:ascii="Times New Roman" w:hAnsi="Times New Roman" w:cs="Times New Roman"/>
        </w:rPr>
        <w:t xml:space="preserve">Yuen, K. F., Thai, V. V., Wong, Y. D., &amp; Wang, X. (2018). Interaction impacts of corporate social responsibility and service quality on shipping firms’ performance. Transportation Research Part A: Policy and Practice, 113, 397-409. </w:t>
      </w:r>
      <w:hyperlink r:id="rId126" w:history="1">
        <w:r w:rsidRPr="00817998">
          <w:rPr>
            <w:rStyle w:val="Hyperlink"/>
            <w:rFonts w:ascii="Times New Roman" w:hAnsi="Times New Roman" w:cs="Times New Roman"/>
            <w:kern w:val="0"/>
            <w:sz w:val="22"/>
            <w:szCs w:val="22"/>
            <w14:ligatures w14:val="none"/>
          </w:rPr>
          <w:t>https://doi.org/10.1016/j.tra.2018.04.008</w:t>
        </w:r>
      </w:hyperlink>
    </w:p>
    <w:p w14:paraId="1837E930" w14:textId="77777777" w:rsidR="00766CA3" w:rsidRPr="00B265FC" w:rsidRDefault="00766CA3" w:rsidP="00DC3FD6">
      <w:pPr>
        <w:autoSpaceDE w:val="0"/>
        <w:autoSpaceDN w:val="0"/>
        <w:adjustRightInd w:val="0"/>
        <w:jc w:val="both"/>
        <w:rPr>
          <w:rFonts w:ascii="Times New Roman" w:hAnsi="Times New Roman" w:cs="Times New Roman"/>
          <w:color w:val="000000" w:themeColor="text1"/>
        </w:rPr>
      </w:pPr>
    </w:p>
    <w:sectPr w:rsidR="00766CA3" w:rsidRPr="00B265FC">
      <w:headerReference w:type="even" r:id="rId127"/>
      <w:headerReference w:type="default" r:id="rId128"/>
      <w:footerReference w:type="even" r:id="rId129"/>
      <w:footerReference w:type="default" r:id="rId130"/>
      <w:headerReference w:type="first" r:id="rId131"/>
      <w:footerReference w:type="first" r:id="rId1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01636" w14:textId="77777777" w:rsidR="00665DA1" w:rsidRDefault="00665DA1" w:rsidP="008156C0">
      <w:r>
        <w:separator/>
      </w:r>
    </w:p>
  </w:endnote>
  <w:endnote w:type="continuationSeparator" w:id="0">
    <w:p w14:paraId="3B3A5BCA" w14:textId="77777777" w:rsidR="00665DA1" w:rsidRDefault="00665DA1" w:rsidP="0081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B171" w14:textId="77777777" w:rsidR="0081349B" w:rsidRDefault="0081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4CC3" w14:textId="77777777" w:rsidR="0081349B" w:rsidRDefault="00813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7A49" w14:textId="77777777" w:rsidR="0081349B" w:rsidRDefault="0081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1A7E" w14:textId="77777777" w:rsidR="00665DA1" w:rsidRDefault="00665DA1" w:rsidP="008156C0">
      <w:r>
        <w:separator/>
      </w:r>
    </w:p>
  </w:footnote>
  <w:footnote w:type="continuationSeparator" w:id="0">
    <w:p w14:paraId="23F0670C" w14:textId="77777777" w:rsidR="00665DA1" w:rsidRDefault="00665DA1" w:rsidP="0081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68ED1" w14:textId="0C03B3AA" w:rsidR="0081349B" w:rsidRDefault="0081349B">
    <w:pPr>
      <w:pStyle w:val="Header"/>
    </w:pPr>
    <w:r>
      <w:rPr>
        <w:noProof/>
      </w:rPr>
      <w:pict w14:anchorId="5CAD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712A" w14:textId="031F1569" w:rsidR="0081349B" w:rsidRDefault="0081349B">
    <w:pPr>
      <w:pStyle w:val="Header"/>
    </w:pPr>
    <w:r>
      <w:rPr>
        <w:noProof/>
      </w:rPr>
      <w:pict w14:anchorId="0CFDE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ED4F" w14:textId="2DBBB6D0" w:rsidR="0081349B" w:rsidRDefault="0081349B">
    <w:pPr>
      <w:pStyle w:val="Header"/>
    </w:pPr>
    <w:r>
      <w:rPr>
        <w:noProof/>
      </w:rPr>
      <w:pict w14:anchorId="0B649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A35"/>
    <w:multiLevelType w:val="hybridMultilevel"/>
    <w:tmpl w:val="C9706DF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4F5C"/>
    <w:multiLevelType w:val="hybridMultilevel"/>
    <w:tmpl w:val="96A24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6200"/>
    <w:multiLevelType w:val="hybridMultilevel"/>
    <w:tmpl w:val="E47CE62A"/>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12023DC"/>
    <w:multiLevelType w:val="multilevel"/>
    <w:tmpl w:val="BB064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82784"/>
    <w:multiLevelType w:val="multilevel"/>
    <w:tmpl w:val="3A5C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4141F"/>
    <w:multiLevelType w:val="hybridMultilevel"/>
    <w:tmpl w:val="42D40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B08FF"/>
    <w:multiLevelType w:val="hybridMultilevel"/>
    <w:tmpl w:val="98568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B50E3"/>
    <w:multiLevelType w:val="hybridMultilevel"/>
    <w:tmpl w:val="C024D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503C5"/>
    <w:multiLevelType w:val="multilevel"/>
    <w:tmpl w:val="962A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55B65"/>
    <w:multiLevelType w:val="multilevel"/>
    <w:tmpl w:val="DAF6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5B5514"/>
    <w:multiLevelType w:val="multilevel"/>
    <w:tmpl w:val="56E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9"/>
  </w:num>
  <w:num w:numId="5">
    <w:abstractNumId w:val="8"/>
  </w:num>
  <w:num w:numId="6">
    <w:abstractNumId w:val="3"/>
  </w:num>
  <w:num w:numId="7">
    <w:abstractNumId w:val="1"/>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2MDI2MzUzMzCyNDNT0lEKTi0uzszPAykwrAUAdsrKmywAAAA="/>
  </w:docVars>
  <w:rsids>
    <w:rsidRoot w:val="00B411BA"/>
    <w:rsid w:val="000101C2"/>
    <w:rsid w:val="00010E87"/>
    <w:rsid w:val="000206C7"/>
    <w:rsid w:val="00021EB2"/>
    <w:rsid w:val="00023BEE"/>
    <w:rsid w:val="00036DB9"/>
    <w:rsid w:val="000476D6"/>
    <w:rsid w:val="00056705"/>
    <w:rsid w:val="00073528"/>
    <w:rsid w:val="00091E57"/>
    <w:rsid w:val="000B4ED8"/>
    <w:rsid w:val="000C5E0D"/>
    <w:rsid w:val="000D2FDF"/>
    <w:rsid w:val="000D77D5"/>
    <w:rsid w:val="000E21D9"/>
    <w:rsid w:val="000E5814"/>
    <w:rsid w:val="000E5E80"/>
    <w:rsid w:val="001109B6"/>
    <w:rsid w:val="00112AAD"/>
    <w:rsid w:val="00117406"/>
    <w:rsid w:val="001257B8"/>
    <w:rsid w:val="001406A3"/>
    <w:rsid w:val="00174EA0"/>
    <w:rsid w:val="00193C5F"/>
    <w:rsid w:val="00196585"/>
    <w:rsid w:val="001C6558"/>
    <w:rsid w:val="001D098B"/>
    <w:rsid w:val="001D0C29"/>
    <w:rsid w:val="00217B05"/>
    <w:rsid w:val="002245F9"/>
    <w:rsid w:val="002325A9"/>
    <w:rsid w:val="00243B4F"/>
    <w:rsid w:val="002E1DE0"/>
    <w:rsid w:val="003024A6"/>
    <w:rsid w:val="00306C20"/>
    <w:rsid w:val="00323FCB"/>
    <w:rsid w:val="003320AD"/>
    <w:rsid w:val="00347815"/>
    <w:rsid w:val="003500B7"/>
    <w:rsid w:val="0035055C"/>
    <w:rsid w:val="0036368A"/>
    <w:rsid w:val="003801C1"/>
    <w:rsid w:val="003A0C55"/>
    <w:rsid w:val="003C0F9F"/>
    <w:rsid w:val="003C6EF3"/>
    <w:rsid w:val="003C785A"/>
    <w:rsid w:val="003D3047"/>
    <w:rsid w:val="003D68F0"/>
    <w:rsid w:val="003F72E6"/>
    <w:rsid w:val="0040172B"/>
    <w:rsid w:val="004042B2"/>
    <w:rsid w:val="00415CC8"/>
    <w:rsid w:val="004411E6"/>
    <w:rsid w:val="00441F6D"/>
    <w:rsid w:val="00455BA5"/>
    <w:rsid w:val="0045682A"/>
    <w:rsid w:val="00464690"/>
    <w:rsid w:val="0048701F"/>
    <w:rsid w:val="00490C5D"/>
    <w:rsid w:val="004B5578"/>
    <w:rsid w:val="004B699A"/>
    <w:rsid w:val="004E3F60"/>
    <w:rsid w:val="00504F65"/>
    <w:rsid w:val="00516505"/>
    <w:rsid w:val="005265E7"/>
    <w:rsid w:val="00557BD5"/>
    <w:rsid w:val="00565B46"/>
    <w:rsid w:val="00573B8F"/>
    <w:rsid w:val="00574E87"/>
    <w:rsid w:val="00595AA6"/>
    <w:rsid w:val="005B118F"/>
    <w:rsid w:val="005B2E8A"/>
    <w:rsid w:val="005D08E9"/>
    <w:rsid w:val="005F0FFF"/>
    <w:rsid w:val="005F5E9E"/>
    <w:rsid w:val="00611EB7"/>
    <w:rsid w:val="00615E46"/>
    <w:rsid w:val="00624DA1"/>
    <w:rsid w:val="006312C6"/>
    <w:rsid w:val="00633B47"/>
    <w:rsid w:val="00635D84"/>
    <w:rsid w:val="00637918"/>
    <w:rsid w:val="00640D89"/>
    <w:rsid w:val="0066213F"/>
    <w:rsid w:val="00665DA1"/>
    <w:rsid w:val="00671C1E"/>
    <w:rsid w:val="0068676D"/>
    <w:rsid w:val="006924E5"/>
    <w:rsid w:val="006953F1"/>
    <w:rsid w:val="006A0C2C"/>
    <w:rsid w:val="006B21D1"/>
    <w:rsid w:val="006D7D95"/>
    <w:rsid w:val="006F3DBB"/>
    <w:rsid w:val="006F40EC"/>
    <w:rsid w:val="006F454D"/>
    <w:rsid w:val="006F535E"/>
    <w:rsid w:val="0070142E"/>
    <w:rsid w:val="007111D0"/>
    <w:rsid w:val="00713BA1"/>
    <w:rsid w:val="00717607"/>
    <w:rsid w:val="00734397"/>
    <w:rsid w:val="00757B15"/>
    <w:rsid w:val="00766CA3"/>
    <w:rsid w:val="007812AB"/>
    <w:rsid w:val="00785B3C"/>
    <w:rsid w:val="007B05C5"/>
    <w:rsid w:val="007B11AB"/>
    <w:rsid w:val="007B36D8"/>
    <w:rsid w:val="007D2566"/>
    <w:rsid w:val="007D57CC"/>
    <w:rsid w:val="007D5CCB"/>
    <w:rsid w:val="007F7458"/>
    <w:rsid w:val="0081349B"/>
    <w:rsid w:val="008156C0"/>
    <w:rsid w:val="00817998"/>
    <w:rsid w:val="00831685"/>
    <w:rsid w:val="00834D37"/>
    <w:rsid w:val="00875C1B"/>
    <w:rsid w:val="008A51E2"/>
    <w:rsid w:val="008B1DDC"/>
    <w:rsid w:val="008B3F8F"/>
    <w:rsid w:val="008C4624"/>
    <w:rsid w:val="008E6EC7"/>
    <w:rsid w:val="008F4503"/>
    <w:rsid w:val="0092005C"/>
    <w:rsid w:val="0094170C"/>
    <w:rsid w:val="00943161"/>
    <w:rsid w:val="0096654F"/>
    <w:rsid w:val="00971F2E"/>
    <w:rsid w:val="00980291"/>
    <w:rsid w:val="009E4E74"/>
    <w:rsid w:val="009F2D5F"/>
    <w:rsid w:val="00A01767"/>
    <w:rsid w:val="00A110D2"/>
    <w:rsid w:val="00A20820"/>
    <w:rsid w:val="00A34E12"/>
    <w:rsid w:val="00A414B2"/>
    <w:rsid w:val="00A60CDF"/>
    <w:rsid w:val="00A622F0"/>
    <w:rsid w:val="00A6408D"/>
    <w:rsid w:val="00A712FC"/>
    <w:rsid w:val="00A74F2A"/>
    <w:rsid w:val="00A8001C"/>
    <w:rsid w:val="00A92C61"/>
    <w:rsid w:val="00A95187"/>
    <w:rsid w:val="00AB0B17"/>
    <w:rsid w:val="00AC15AD"/>
    <w:rsid w:val="00AC1F93"/>
    <w:rsid w:val="00AD691F"/>
    <w:rsid w:val="00B036D0"/>
    <w:rsid w:val="00B0693C"/>
    <w:rsid w:val="00B10EE1"/>
    <w:rsid w:val="00B15A26"/>
    <w:rsid w:val="00B16FA0"/>
    <w:rsid w:val="00B22AC1"/>
    <w:rsid w:val="00B265FC"/>
    <w:rsid w:val="00B411BA"/>
    <w:rsid w:val="00B442F0"/>
    <w:rsid w:val="00B51603"/>
    <w:rsid w:val="00B543F9"/>
    <w:rsid w:val="00B64049"/>
    <w:rsid w:val="00B81539"/>
    <w:rsid w:val="00B90D11"/>
    <w:rsid w:val="00B925EF"/>
    <w:rsid w:val="00B92863"/>
    <w:rsid w:val="00B94528"/>
    <w:rsid w:val="00BC7AC7"/>
    <w:rsid w:val="00BD6A3C"/>
    <w:rsid w:val="00BF686F"/>
    <w:rsid w:val="00C06271"/>
    <w:rsid w:val="00C153C5"/>
    <w:rsid w:val="00C24800"/>
    <w:rsid w:val="00C27BD5"/>
    <w:rsid w:val="00C32773"/>
    <w:rsid w:val="00C41383"/>
    <w:rsid w:val="00C442A8"/>
    <w:rsid w:val="00C50252"/>
    <w:rsid w:val="00C6383C"/>
    <w:rsid w:val="00C67E8D"/>
    <w:rsid w:val="00C915CD"/>
    <w:rsid w:val="00C94381"/>
    <w:rsid w:val="00CB4053"/>
    <w:rsid w:val="00CC5600"/>
    <w:rsid w:val="00CC72FB"/>
    <w:rsid w:val="00D01301"/>
    <w:rsid w:val="00D03C0E"/>
    <w:rsid w:val="00D1581E"/>
    <w:rsid w:val="00D24084"/>
    <w:rsid w:val="00D41A11"/>
    <w:rsid w:val="00D75B5A"/>
    <w:rsid w:val="00D97641"/>
    <w:rsid w:val="00DA62CC"/>
    <w:rsid w:val="00DC369A"/>
    <w:rsid w:val="00DC3FD6"/>
    <w:rsid w:val="00DE6EC6"/>
    <w:rsid w:val="00DF070B"/>
    <w:rsid w:val="00E201A2"/>
    <w:rsid w:val="00E33F5C"/>
    <w:rsid w:val="00E46D8A"/>
    <w:rsid w:val="00E71684"/>
    <w:rsid w:val="00E9008F"/>
    <w:rsid w:val="00E91ACD"/>
    <w:rsid w:val="00E934E0"/>
    <w:rsid w:val="00E93578"/>
    <w:rsid w:val="00EA696B"/>
    <w:rsid w:val="00EC5CA3"/>
    <w:rsid w:val="00ED2ECF"/>
    <w:rsid w:val="00EE100E"/>
    <w:rsid w:val="00EE69A8"/>
    <w:rsid w:val="00F02F76"/>
    <w:rsid w:val="00F05154"/>
    <w:rsid w:val="00F1033E"/>
    <w:rsid w:val="00F1313F"/>
    <w:rsid w:val="00F30A52"/>
    <w:rsid w:val="00F353F1"/>
    <w:rsid w:val="00F46C5D"/>
    <w:rsid w:val="00F62AE4"/>
    <w:rsid w:val="00F66956"/>
    <w:rsid w:val="00F67FC8"/>
    <w:rsid w:val="00FA1C84"/>
    <w:rsid w:val="00FA2FE8"/>
    <w:rsid w:val="00FB29E4"/>
    <w:rsid w:val="00FD664B"/>
    <w:rsid w:val="00FE07B0"/>
    <w:rsid w:val="00FE3468"/>
    <w:rsid w:val="00FE6AA6"/>
    <w:rsid w:val="00FF0A0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E52476"/>
  <w15:chartTrackingRefBased/>
  <w15:docId w15:val="{8E9958F7-284F-D440-BDF8-7213DD9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C5CA3"/>
    <w:pPr>
      <w:spacing w:before="100" w:beforeAutospacing="1" w:after="100" w:afterAutospacing="1"/>
      <w:outlineLvl w:val="2"/>
    </w:pPr>
    <w:rPr>
      <w:rFonts w:ascii="Times New Roman" w:eastAsia="Times New Roman" w:hAnsi="Times New Roman" w:cs="Times New Roman"/>
      <w:b/>
      <w:bCs/>
      <w:kern w:val="0"/>
      <w:sz w:val="27"/>
      <w:szCs w:val="27"/>
      <w:lang w:eastAsia="en-GB" w:bidi="bn-IN"/>
      <w14:ligatures w14:val="none"/>
    </w:rPr>
  </w:style>
  <w:style w:type="paragraph" w:styleId="Heading4">
    <w:name w:val="heading 4"/>
    <w:basedOn w:val="Normal"/>
    <w:next w:val="Normal"/>
    <w:link w:val="Heading4Char"/>
    <w:uiPriority w:val="9"/>
    <w:semiHidden/>
    <w:unhideWhenUsed/>
    <w:qFormat/>
    <w:rsid w:val="00B640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qFormat/>
    <w:rsid w:val="007B05C5"/>
    <w:rPr>
      <w:rFonts w:ascii="Times New Roman" w:eastAsia="Times New Roman" w:hAnsi="Times New Roman" w:cs="Times New Roman"/>
      <w:kern w:val="0"/>
      <w:szCs w:val="30"/>
      <w:lang w:eastAsia="en-GB" w:bidi="bn-IN"/>
      <w14:ligatures w14:val="none"/>
    </w:rPr>
  </w:style>
  <w:style w:type="paragraph" w:styleId="Caption">
    <w:name w:val="caption"/>
    <w:basedOn w:val="Normal"/>
    <w:next w:val="Normal"/>
    <w:autoRedefine/>
    <w:uiPriority w:val="35"/>
    <w:unhideWhenUsed/>
    <w:qFormat/>
    <w:rsid w:val="00C67E8D"/>
    <w:pPr>
      <w:spacing w:after="200"/>
      <w:jc w:val="center"/>
    </w:pPr>
    <w:rPr>
      <w:rFonts w:ascii="Times New Roman" w:eastAsia="Times New Roman" w:hAnsi="Times New Roman" w:cs="Times New Roman"/>
      <w:iCs/>
      <w:color w:val="000000" w:themeColor="text1"/>
      <w:kern w:val="0"/>
      <w:sz w:val="20"/>
      <w:szCs w:val="22"/>
      <w:lang w:eastAsia="en-GB" w:bidi="bn-IN"/>
      <w14:ligatures w14:val="none"/>
    </w:rPr>
  </w:style>
  <w:style w:type="paragraph" w:customStyle="1" w:styleId="Default">
    <w:name w:val="Default"/>
    <w:rsid w:val="00B411BA"/>
    <w:pPr>
      <w:autoSpaceDE w:val="0"/>
      <w:autoSpaceDN w:val="0"/>
      <w:adjustRightInd w:val="0"/>
    </w:pPr>
    <w:rPr>
      <w:rFonts w:ascii="Arial" w:hAnsi="Arial" w:cs="Arial"/>
      <w:color w:val="000000"/>
      <w:kern w:val="0"/>
      <w14:ligatures w14:val="none"/>
    </w:rPr>
  </w:style>
  <w:style w:type="paragraph" w:styleId="ListParagraph">
    <w:name w:val="List Paragraph"/>
    <w:basedOn w:val="Normal"/>
    <w:uiPriority w:val="34"/>
    <w:qFormat/>
    <w:rsid w:val="00B411BA"/>
    <w:pPr>
      <w:spacing w:after="200" w:line="276" w:lineRule="auto"/>
      <w:ind w:left="720"/>
      <w:contextualSpacing/>
    </w:pPr>
    <w:rPr>
      <w:kern w:val="0"/>
      <w:sz w:val="22"/>
      <w:szCs w:val="22"/>
      <w14:ligatures w14:val="none"/>
    </w:rPr>
  </w:style>
  <w:style w:type="table" w:styleId="TableGrid">
    <w:name w:val="Table Grid"/>
    <w:basedOn w:val="TableNormal"/>
    <w:uiPriority w:val="59"/>
    <w:rsid w:val="00B411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1BA"/>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411BA"/>
    <w:rPr>
      <w:rFonts w:ascii="Tahoma" w:hAnsi="Tahoma" w:cs="Tahoma"/>
      <w:kern w:val="0"/>
      <w:sz w:val="16"/>
      <w:szCs w:val="16"/>
      <w14:ligatures w14:val="none"/>
    </w:rPr>
  </w:style>
  <w:style w:type="paragraph" w:styleId="NormalWeb">
    <w:name w:val="Normal (Web)"/>
    <w:basedOn w:val="Normal"/>
    <w:uiPriority w:val="99"/>
    <w:unhideWhenUsed/>
    <w:rsid w:val="00785B3C"/>
    <w:pPr>
      <w:spacing w:before="100" w:beforeAutospacing="1" w:after="100" w:afterAutospacing="1"/>
    </w:pPr>
    <w:rPr>
      <w:rFonts w:ascii="Times New Roman" w:eastAsia="Times New Roman" w:hAnsi="Times New Roman" w:cs="Times New Roman"/>
      <w:kern w:val="0"/>
      <w:lang w:eastAsia="en-GB" w:bidi="bn-IN"/>
      <w14:ligatures w14:val="none"/>
    </w:rPr>
  </w:style>
  <w:style w:type="character" w:customStyle="1" w:styleId="overflow-hidden">
    <w:name w:val="overflow-hidden"/>
    <w:basedOn w:val="DefaultParagraphFont"/>
    <w:rsid w:val="00785B3C"/>
  </w:style>
  <w:style w:type="character" w:styleId="Strong">
    <w:name w:val="Strong"/>
    <w:basedOn w:val="DefaultParagraphFont"/>
    <w:uiPriority w:val="22"/>
    <w:qFormat/>
    <w:rsid w:val="00EC5CA3"/>
    <w:rPr>
      <w:b/>
      <w:bCs/>
    </w:rPr>
  </w:style>
  <w:style w:type="character" w:customStyle="1" w:styleId="Heading3Char">
    <w:name w:val="Heading 3 Char"/>
    <w:basedOn w:val="DefaultParagraphFont"/>
    <w:link w:val="Heading3"/>
    <w:uiPriority w:val="9"/>
    <w:rsid w:val="00EC5CA3"/>
    <w:rPr>
      <w:rFonts w:ascii="Times New Roman" w:eastAsia="Times New Roman" w:hAnsi="Times New Roman" w:cs="Times New Roman"/>
      <w:b/>
      <w:bCs/>
      <w:kern w:val="0"/>
      <w:sz w:val="27"/>
      <w:szCs w:val="27"/>
      <w:lang w:eastAsia="en-GB" w:bidi="bn-IN"/>
      <w14:ligatures w14:val="none"/>
    </w:rPr>
  </w:style>
  <w:style w:type="character" w:styleId="Emphasis">
    <w:name w:val="Emphasis"/>
    <w:basedOn w:val="DefaultParagraphFont"/>
    <w:uiPriority w:val="20"/>
    <w:qFormat/>
    <w:rsid w:val="00F353F1"/>
    <w:rPr>
      <w:i/>
      <w:iCs/>
    </w:rPr>
  </w:style>
  <w:style w:type="table" w:styleId="PlainTable1">
    <w:name w:val="Plain Table 1"/>
    <w:basedOn w:val="TableNormal"/>
    <w:uiPriority w:val="41"/>
    <w:rsid w:val="000E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B6404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156C0"/>
    <w:pPr>
      <w:tabs>
        <w:tab w:val="center" w:pos="4513"/>
        <w:tab w:val="right" w:pos="9026"/>
      </w:tabs>
    </w:pPr>
  </w:style>
  <w:style w:type="character" w:customStyle="1" w:styleId="HeaderChar">
    <w:name w:val="Header Char"/>
    <w:basedOn w:val="DefaultParagraphFont"/>
    <w:link w:val="Header"/>
    <w:uiPriority w:val="99"/>
    <w:rsid w:val="008156C0"/>
  </w:style>
  <w:style w:type="paragraph" w:styleId="Footer">
    <w:name w:val="footer"/>
    <w:basedOn w:val="Normal"/>
    <w:link w:val="FooterChar"/>
    <w:uiPriority w:val="99"/>
    <w:unhideWhenUsed/>
    <w:rsid w:val="008156C0"/>
    <w:pPr>
      <w:tabs>
        <w:tab w:val="center" w:pos="4513"/>
        <w:tab w:val="right" w:pos="9026"/>
      </w:tabs>
    </w:pPr>
  </w:style>
  <w:style w:type="character" w:customStyle="1" w:styleId="FooterChar">
    <w:name w:val="Footer Char"/>
    <w:basedOn w:val="DefaultParagraphFont"/>
    <w:link w:val="Footer"/>
    <w:uiPriority w:val="99"/>
    <w:rsid w:val="008156C0"/>
  </w:style>
  <w:style w:type="character" w:styleId="Hyperlink">
    <w:name w:val="Hyperlink"/>
    <w:basedOn w:val="DefaultParagraphFont"/>
    <w:uiPriority w:val="99"/>
    <w:unhideWhenUsed/>
    <w:rsid w:val="00504F65"/>
    <w:rPr>
      <w:color w:val="0563C1" w:themeColor="hyperlink"/>
      <w:u w:val="single"/>
    </w:rPr>
  </w:style>
  <w:style w:type="character" w:customStyle="1" w:styleId="UnresolvedMention1">
    <w:name w:val="Unresolved Mention1"/>
    <w:basedOn w:val="DefaultParagraphFont"/>
    <w:uiPriority w:val="99"/>
    <w:semiHidden/>
    <w:unhideWhenUsed/>
    <w:rsid w:val="00504F65"/>
    <w:rPr>
      <w:color w:val="605E5C"/>
      <w:shd w:val="clear" w:color="auto" w:fill="E1DFDD"/>
    </w:rPr>
  </w:style>
  <w:style w:type="table" w:styleId="TableGridLight">
    <w:name w:val="Grid Table Light"/>
    <w:basedOn w:val="TableNormal"/>
    <w:uiPriority w:val="40"/>
    <w:rsid w:val="00FB29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BC7AC7"/>
    <w:rPr>
      <w:color w:val="605E5C"/>
      <w:shd w:val="clear" w:color="auto" w:fill="E1DFDD"/>
    </w:rPr>
  </w:style>
  <w:style w:type="character" w:customStyle="1" w:styleId="UnresolvedMention3">
    <w:name w:val="Unresolved Mention3"/>
    <w:basedOn w:val="DefaultParagraphFont"/>
    <w:uiPriority w:val="99"/>
    <w:semiHidden/>
    <w:unhideWhenUsed/>
    <w:rsid w:val="00036DB9"/>
    <w:rPr>
      <w:color w:val="605E5C"/>
      <w:shd w:val="clear" w:color="auto" w:fill="E1DFDD"/>
    </w:rPr>
  </w:style>
  <w:style w:type="table" w:styleId="PlainTable2">
    <w:name w:val="Plain Table 2"/>
    <w:basedOn w:val="TableNormal"/>
    <w:uiPriority w:val="42"/>
    <w:rsid w:val="005F5E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6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331">
      <w:bodyDiv w:val="1"/>
      <w:marLeft w:val="0"/>
      <w:marRight w:val="0"/>
      <w:marTop w:val="0"/>
      <w:marBottom w:val="0"/>
      <w:divBdr>
        <w:top w:val="none" w:sz="0" w:space="0" w:color="auto"/>
        <w:left w:val="none" w:sz="0" w:space="0" w:color="auto"/>
        <w:bottom w:val="none" w:sz="0" w:space="0" w:color="auto"/>
        <w:right w:val="none" w:sz="0" w:space="0" w:color="auto"/>
      </w:divBdr>
    </w:div>
    <w:div w:id="33972134">
      <w:bodyDiv w:val="1"/>
      <w:marLeft w:val="0"/>
      <w:marRight w:val="0"/>
      <w:marTop w:val="0"/>
      <w:marBottom w:val="0"/>
      <w:divBdr>
        <w:top w:val="none" w:sz="0" w:space="0" w:color="auto"/>
        <w:left w:val="none" w:sz="0" w:space="0" w:color="auto"/>
        <w:bottom w:val="none" w:sz="0" w:space="0" w:color="auto"/>
        <w:right w:val="none" w:sz="0" w:space="0" w:color="auto"/>
      </w:divBdr>
      <w:divsChild>
        <w:div w:id="971399738">
          <w:marLeft w:val="0"/>
          <w:marRight w:val="0"/>
          <w:marTop w:val="0"/>
          <w:marBottom w:val="0"/>
          <w:divBdr>
            <w:top w:val="none" w:sz="0" w:space="0" w:color="auto"/>
            <w:left w:val="none" w:sz="0" w:space="0" w:color="auto"/>
            <w:bottom w:val="none" w:sz="0" w:space="0" w:color="auto"/>
            <w:right w:val="none" w:sz="0" w:space="0" w:color="auto"/>
          </w:divBdr>
          <w:divsChild>
            <w:div w:id="575021603">
              <w:marLeft w:val="0"/>
              <w:marRight w:val="0"/>
              <w:marTop w:val="0"/>
              <w:marBottom w:val="0"/>
              <w:divBdr>
                <w:top w:val="none" w:sz="0" w:space="0" w:color="auto"/>
                <w:left w:val="none" w:sz="0" w:space="0" w:color="auto"/>
                <w:bottom w:val="none" w:sz="0" w:space="0" w:color="auto"/>
                <w:right w:val="none" w:sz="0" w:space="0" w:color="auto"/>
              </w:divBdr>
              <w:divsChild>
                <w:div w:id="851725048">
                  <w:marLeft w:val="0"/>
                  <w:marRight w:val="0"/>
                  <w:marTop w:val="0"/>
                  <w:marBottom w:val="0"/>
                  <w:divBdr>
                    <w:top w:val="none" w:sz="0" w:space="0" w:color="auto"/>
                    <w:left w:val="none" w:sz="0" w:space="0" w:color="auto"/>
                    <w:bottom w:val="none" w:sz="0" w:space="0" w:color="auto"/>
                    <w:right w:val="none" w:sz="0" w:space="0" w:color="auto"/>
                  </w:divBdr>
                  <w:divsChild>
                    <w:div w:id="1345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4928">
      <w:bodyDiv w:val="1"/>
      <w:marLeft w:val="0"/>
      <w:marRight w:val="0"/>
      <w:marTop w:val="0"/>
      <w:marBottom w:val="0"/>
      <w:divBdr>
        <w:top w:val="none" w:sz="0" w:space="0" w:color="auto"/>
        <w:left w:val="none" w:sz="0" w:space="0" w:color="auto"/>
        <w:bottom w:val="none" w:sz="0" w:space="0" w:color="auto"/>
        <w:right w:val="none" w:sz="0" w:space="0" w:color="auto"/>
      </w:divBdr>
    </w:div>
    <w:div w:id="81411221">
      <w:bodyDiv w:val="1"/>
      <w:marLeft w:val="0"/>
      <w:marRight w:val="0"/>
      <w:marTop w:val="0"/>
      <w:marBottom w:val="0"/>
      <w:divBdr>
        <w:top w:val="none" w:sz="0" w:space="0" w:color="auto"/>
        <w:left w:val="none" w:sz="0" w:space="0" w:color="auto"/>
        <w:bottom w:val="none" w:sz="0" w:space="0" w:color="auto"/>
        <w:right w:val="none" w:sz="0" w:space="0" w:color="auto"/>
      </w:divBdr>
      <w:divsChild>
        <w:div w:id="403257968">
          <w:marLeft w:val="0"/>
          <w:marRight w:val="0"/>
          <w:marTop w:val="0"/>
          <w:marBottom w:val="0"/>
          <w:divBdr>
            <w:top w:val="none" w:sz="0" w:space="0" w:color="auto"/>
            <w:left w:val="none" w:sz="0" w:space="0" w:color="auto"/>
            <w:bottom w:val="none" w:sz="0" w:space="0" w:color="auto"/>
            <w:right w:val="none" w:sz="0" w:space="0" w:color="auto"/>
          </w:divBdr>
          <w:divsChild>
            <w:div w:id="1185553801">
              <w:marLeft w:val="0"/>
              <w:marRight w:val="0"/>
              <w:marTop w:val="0"/>
              <w:marBottom w:val="0"/>
              <w:divBdr>
                <w:top w:val="none" w:sz="0" w:space="0" w:color="auto"/>
                <w:left w:val="none" w:sz="0" w:space="0" w:color="auto"/>
                <w:bottom w:val="none" w:sz="0" w:space="0" w:color="auto"/>
                <w:right w:val="none" w:sz="0" w:space="0" w:color="auto"/>
              </w:divBdr>
              <w:divsChild>
                <w:div w:id="545407526">
                  <w:marLeft w:val="0"/>
                  <w:marRight w:val="0"/>
                  <w:marTop w:val="0"/>
                  <w:marBottom w:val="0"/>
                  <w:divBdr>
                    <w:top w:val="none" w:sz="0" w:space="0" w:color="auto"/>
                    <w:left w:val="none" w:sz="0" w:space="0" w:color="auto"/>
                    <w:bottom w:val="none" w:sz="0" w:space="0" w:color="auto"/>
                    <w:right w:val="none" w:sz="0" w:space="0" w:color="auto"/>
                  </w:divBdr>
                  <w:divsChild>
                    <w:div w:id="21427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0843">
      <w:bodyDiv w:val="1"/>
      <w:marLeft w:val="0"/>
      <w:marRight w:val="0"/>
      <w:marTop w:val="0"/>
      <w:marBottom w:val="0"/>
      <w:divBdr>
        <w:top w:val="none" w:sz="0" w:space="0" w:color="auto"/>
        <w:left w:val="none" w:sz="0" w:space="0" w:color="auto"/>
        <w:bottom w:val="none" w:sz="0" w:space="0" w:color="auto"/>
        <w:right w:val="none" w:sz="0" w:space="0" w:color="auto"/>
      </w:divBdr>
    </w:div>
    <w:div w:id="112789362">
      <w:bodyDiv w:val="1"/>
      <w:marLeft w:val="0"/>
      <w:marRight w:val="0"/>
      <w:marTop w:val="0"/>
      <w:marBottom w:val="0"/>
      <w:divBdr>
        <w:top w:val="none" w:sz="0" w:space="0" w:color="auto"/>
        <w:left w:val="none" w:sz="0" w:space="0" w:color="auto"/>
        <w:bottom w:val="none" w:sz="0" w:space="0" w:color="auto"/>
        <w:right w:val="none" w:sz="0" w:space="0" w:color="auto"/>
      </w:divBdr>
    </w:div>
    <w:div w:id="135681788">
      <w:bodyDiv w:val="1"/>
      <w:marLeft w:val="0"/>
      <w:marRight w:val="0"/>
      <w:marTop w:val="0"/>
      <w:marBottom w:val="0"/>
      <w:divBdr>
        <w:top w:val="none" w:sz="0" w:space="0" w:color="auto"/>
        <w:left w:val="none" w:sz="0" w:space="0" w:color="auto"/>
        <w:bottom w:val="none" w:sz="0" w:space="0" w:color="auto"/>
        <w:right w:val="none" w:sz="0" w:space="0" w:color="auto"/>
      </w:divBdr>
      <w:divsChild>
        <w:div w:id="470292582">
          <w:marLeft w:val="0"/>
          <w:marRight w:val="0"/>
          <w:marTop w:val="0"/>
          <w:marBottom w:val="0"/>
          <w:divBdr>
            <w:top w:val="none" w:sz="0" w:space="0" w:color="auto"/>
            <w:left w:val="none" w:sz="0" w:space="0" w:color="auto"/>
            <w:bottom w:val="none" w:sz="0" w:space="0" w:color="auto"/>
            <w:right w:val="none" w:sz="0" w:space="0" w:color="auto"/>
          </w:divBdr>
          <w:divsChild>
            <w:div w:id="1973511279">
              <w:marLeft w:val="0"/>
              <w:marRight w:val="0"/>
              <w:marTop w:val="0"/>
              <w:marBottom w:val="0"/>
              <w:divBdr>
                <w:top w:val="none" w:sz="0" w:space="0" w:color="auto"/>
                <w:left w:val="none" w:sz="0" w:space="0" w:color="auto"/>
                <w:bottom w:val="none" w:sz="0" w:space="0" w:color="auto"/>
                <w:right w:val="none" w:sz="0" w:space="0" w:color="auto"/>
              </w:divBdr>
              <w:divsChild>
                <w:div w:id="1161045955">
                  <w:marLeft w:val="0"/>
                  <w:marRight w:val="0"/>
                  <w:marTop w:val="0"/>
                  <w:marBottom w:val="0"/>
                  <w:divBdr>
                    <w:top w:val="none" w:sz="0" w:space="0" w:color="auto"/>
                    <w:left w:val="none" w:sz="0" w:space="0" w:color="auto"/>
                    <w:bottom w:val="none" w:sz="0" w:space="0" w:color="auto"/>
                    <w:right w:val="none" w:sz="0" w:space="0" w:color="auto"/>
                  </w:divBdr>
                  <w:divsChild>
                    <w:div w:id="8988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5511">
      <w:bodyDiv w:val="1"/>
      <w:marLeft w:val="0"/>
      <w:marRight w:val="0"/>
      <w:marTop w:val="0"/>
      <w:marBottom w:val="0"/>
      <w:divBdr>
        <w:top w:val="none" w:sz="0" w:space="0" w:color="auto"/>
        <w:left w:val="none" w:sz="0" w:space="0" w:color="auto"/>
        <w:bottom w:val="none" w:sz="0" w:space="0" w:color="auto"/>
        <w:right w:val="none" w:sz="0" w:space="0" w:color="auto"/>
      </w:divBdr>
      <w:divsChild>
        <w:div w:id="1034425015">
          <w:marLeft w:val="0"/>
          <w:marRight w:val="0"/>
          <w:marTop w:val="0"/>
          <w:marBottom w:val="0"/>
          <w:divBdr>
            <w:top w:val="none" w:sz="0" w:space="0" w:color="auto"/>
            <w:left w:val="none" w:sz="0" w:space="0" w:color="auto"/>
            <w:bottom w:val="none" w:sz="0" w:space="0" w:color="auto"/>
            <w:right w:val="none" w:sz="0" w:space="0" w:color="auto"/>
          </w:divBdr>
          <w:divsChild>
            <w:div w:id="251084799">
              <w:marLeft w:val="0"/>
              <w:marRight w:val="0"/>
              <w:marTop w:val="0"/>
              <w:marBottom w:val="0"/>
              <w:divBdr>
                <w:top w:val="none" w:sz="0" w:space="0" w:color="auto"/>
                <w:left w:val="none" w:sz="0" w:space="0" w:color="auto"/>
                <w:bottom w:val="none" w:sz="0" w:space="0" w:color="auto"/>
                <w:right w:val="none" w:sz="0" w:space="0" w:color="auto"/>
              </w:divBdr>
              <w:divsChild>
                <w:div w:id="238713358">
                  <w:marLeft w:val="0"/>
                  <w:marRight w:val="0"/>
                  <w:marTop w:val="0"/>
                  <w:marBottom w:val="0"/>
                  <w:divBdr>
                    <w:top w:val="none" w:sz="0" w:space="0" w:color="auto"/>
                    <w:left w:val="none" w:sz="0" w:space="0" w:color="auto"/>
                    <w:bottom w:val="none" w:sz="0" w:space="0" w:color="auto"/>
                    <w:right w:val="none" w:sz="0" w:space="0" w:color="auto"/>
                  </w:divBdr>
                  <w:divsChild>
                    <w:div w:id="5731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2354">
      <w:bodyDiv w:val="1"/>
      <w:marLeft w:val="0"/>
      <w:marRight w:val="0"/>
      <w:marTop w:val="0"/>
      <w:marBottom w:val="0"/>
      <w:divBdr>
        <w:top w:val="none" w:sz="0" w:space="0" w:color="auto"/>
        <w:left w:val="none" w:sz="0" w:space="0" w:color="auto"/>
        <w:bottom w:val="none" w:sz="0" w:space="0" w:color="auto"/>
        <w:right w:val="none" w:sz="0" w:space="0" w:color="auto"/>
      </w:divBdr>
      <w:divsChild>
        <w:div w:id="1906718364">
          <w:marLeft w:val="0"/>
          <w:marRight w:val="0"/>
          <w:marTop w:val="0"/>
          <w:marBottom w:val="0"/>
          <w:divBdr>
            <w:top w:val="none" w:sz="0" w:space="0" w:color="auto"/>
            <w:left w:val="none" w:sz="0" w:space="0" w:color="auto"/>
            <w:bottom w:val="none" w:sz="0" w:space="0" w:color="auto"/>
            <w:right w:val="none" w:sz="0" w:space="0" w:color="auto"/>
          </w:divBdr>
          <w:divsChild>
            <w:div w:id="1283608911">
              <w:marLeft w:val="0"/>
              <w:marRight w:val="0"/>
              <w:marTop w:val="0"/>
              <w:marBottom w:val="0"/>
              <w:divBdr>
                <w:top w:val="none" w:sz="0" w:space="0" w:color="auto"/>
                <w:left w:val="none" w:sz="0" w:space="0" w:color="auto"/>
                <w:bottom w:val="none" w:sz="0" w:space="0" w:color="auto"/>
                <w:right w:val="none" w:sz="0" w:space="0" w:color="auto"/>
              </w:divBdr>
              <w:divsChild>
                <w:div w:id="651297901">
                  <w:marLeft w:val="0"/>
                  <w:marRight w:val="0"/>
                  <w:marTop w:val="0"/>
                  <w:marBottom w:val="0"/>
                  <w:divBdr>
                    <w:top w:val="none" w:sz="0" w:space="0" w:color="auto"/>
                    <w:left w:val="none" w:sz="0" w:space="0" w:color="auto"/>
                    <w:bottom w:val="none" w:sz="0" w:space="0" w:color="auto"/>
                    <w:right w:val="none" w:sz="0" w:space="0" w:color="auto"/>
                  </w:divBdr>
                  <w:divsChild>
                    <w:div w:id="934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8524">
          <w:marLeft w:val="0"/>
          <w:marRight w:val="0"/>
          <w:marTop w:val="0"/>
          <w:marBottom w:val="0"/>
          <w:divBdr>
            <w:top w:val="none" w:sz="0" w:space="0" w:color="auto"/>
            <w:left w:val="none" w:sz="0" w:space="0" w:color="auto"/>
            <w:bottom w:val="none" w:sz="0" w:space="0" w:color="auto"/>
            <w:right w:val="none" w:sz="0" w:space="0" w:color="auto"/>
          </w:divBdr>
          <w:divsChild>
            <w:div w:id="343629327">
              <w:marLeft w:val="0"/>
              <w:marRight w:val="0"/>
              <w:marTop w:val="0"/>
              <w:marBottom w:val="0"/>
              <w:divBdr>
                <w:top w:val="none" w:sz="0" w:space="0" w:color="auto"/>
                <w:left w:val="none" w:sz="0" w:space="0" w:color="auto"/>
                <w:bottom w:val="none" w:sz="0" w:space="0" w:color="auto"/>
                <w:right w:val="none" w:sz="0" w:space="0" w:color="auto"/>
              </w:divBdr>
              <w:divsChild>
                <w:div w:id="604465427">
                  <w:marLeft w:val="0"/>
                  <w:marRight w:val="0"/>
                  <w:marTop w:val="0"/>
                  <w:marBottom w:val="0"/>
                  <w:divBdr>
                    <w:top w:val="none" w:sz="0" w:space="0" w:color="auto"/>
                    <w:left w:val="none" w:sz="0" w:space="0" w:color="auto"/>
                    <w:bottom w:val="none" w:sz="0" w:space="0" w:color="auto"/>
                    <w:right w:val="none" w:sz="0" w:space="0" w:color="auto"/>
                  </w:divBdr>
                  <w:divsChild>
                    <w:div w:id="1365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9332">
      <w:bodyDiv w:val="1"/>
      <w:marLeft w:val="0"/>
      <w:marRight w:val="0"/>
      <w:marTop w:val="0"/>
      <w:marBottom w:val="0"/>
      <w:divBdr>
        <w:top w:val="none" w:sz="0" w:space="0" w:color="auto"/>
        <w:left w:val="none" w:sz="0" w:space="0" w:color="auto"/>
        <w:bottom w:val="none" w:sz="0" w:space="0" w:color="auto"/>
        <w:right w:val="none" w:sz="0" w:space="0" w:color="auto"/>
      </w:divBdr>
      <w:divsChild>
        <w:div w:id="819351725">
          <w:marLeft w:val="0"/>
          <w:marRight w:val="0"/>
          <w:marTop w:val="0"/>
          <w:marBottom w:val="0"/>
          <w:divBdr>
            <w:top w:val="none" w:sz="0" w:space="0" w:color="auto"/>
            <w:left w:val="none" w:sz="0" w:space="0" w:color="auto"/>
            <w:bottom w:val="none" w:sz="0" w:space="0" w:color="auto"/>
            <w:right w:val="none" w:sz="0" w:space="0" w:color="auto"/>
          </w:divBdr>
          <w:divsChild>
            <w:div w:id="593897900">
              <w:marLeft w:val="0"/>
              <w:marRight w:val="0"/>
              <w:marTop w:val="0"/>
              <w:marBottom w:val="0"/>
              <w:divBdr>
                <w:top w:val="none" w:sz="0" w:space="0" w:color="auto"/>
                <w:left w:val="none" w:sz="0" w:space="0" w:color="auto"/>
                <w:bottom w:val="none" w:sz="0" w:space="0" w:color="auto"/>
                <w:right w:val="none" w:sz="0" w:space="0" w:color="auto"/>
              </w:divBdr>
              <w:divsChild>
                <w:div w:id="675577292">
                  <w:marLeft w:val="0"/>
                  <w:marRight w:val="0"/>
                  <w:marTop w:val="0"/>
                  <w:marBottom w:val="0"/>
                  <w:divBdr>
                    <w:top w:val="none" w:sz="0" w:space="0" w:color="auto"/>
                    <w:left w:val="none" w:sz="0" w:space="0" w:color="auto"/>
                    <w:bottom w:val="none" w:sz="0" w:space="0" w:color="auto"/>
                    <w:right w:val="none" w:sz="0" w:space="0" w:color="auto"/>
                  </w:divBdr>
                  <w:divsChild>
                    <w:div w:id="13533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93052">
      <w:bodyDiv w:val="1"/>
      <w:marLeft w:val="0"/>
      <w:marRight w:val="0"/>
      <w:marTop w:val="0"/>
      <w:marBottom w:val="0"/>
      <w:divBdr>
        <w:top w:val="none" w:sz="0" w:space="0" w:color="auto"/>
        <w:left w:val="none" w:sz="0" w:space="0" w:color="auto"/>
        <w:bottom w:val="none" w:sz="0" w:space="0" w:color="auto"/>
        <w:right w:val="none" w:sz="0" w:space="0" w:color="auto"/>
      </w:divBdr>
      <w:divsChild>
        <w:div w:id="756096196">
          <w:marLeft w:val="0"/>
          <w:marRight w:val="0"/>
          <w:marTop w:val="0"/>
          <w:marBottom w:val="0"/>
          <w:divBdr>
            <w:top w:val="none" w:sz="0" w:space="0" w:color="auto"/>
            <w:left w:val="none" w:sz="0" w:space="0" w:color="auto"/>
            <w:bottom w:val="none" w:sz="0" w:space="0" w:color="auto"/>
            <w:right w:val="none" w:sz="0" w:space="0" w:color="auto"/>
          </w:divBdr>
          <w:divsChild>
            <w:div w:id="1052652779">
              <w:marLeft w:val="0"/>
              <w:marRight w:val="0"/>
              <w:marTop w:val="0"/>
              <w:marBottom w:val="0"/>
              <w:divBdr>
                <w:top w:val="none" w:sz="0" w:space="0" w:color="auto"/>
                <w:left w:val="none" w:sz="0" w:space="0" w:color="auto"/>
                <w:bottom w:val="none" w:sz="0" w:space="0" w:color="auto"/>
                <w:right w:val="none" w:sz="0" w:space="0" w:color="auto"/>
              </w:divBdr>
              <w:divsChild>
                <w:div w:id="912198401">
                  <w:marLeft w:val="0"/>
                  <w:marRight w:val="0"/>
                  <w:marTop w:val="0"/>
                  <w:marBottom w:val="0"/>
                  <w:divBdr>
                    <w:top w:val="none" w:sz="0" w:space="0" w:color="auto"/>
                    <w:left w:val="none" w:sz="0" w:space="0" w:color="auto"/>
                    <w:bottom w:val="none" w:sz="0" w:space="0" w:color="auto"/>
                    <w:right w:val="none" w:sz="0" w:space="0" w:color="auto"/>
                  </w:divBdr>
                  <w:divsChild>
                    <w:div w:id="812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8857">
      <w:bodyDiv w:val="1"/>
      <w:marLeft w:val="0"/>
      <w:marRight w:val="0"/>
      <w:marTop w:val="0"/>
      <w:marBottom w:val="0"/>
      <w:divBdr>
        <w:top w:val="none" w:sz="0" w:space="0" w:color="auto"/>
        <w:left w:val="none" w:sz="0" w:space="0" w:color="auto"/>
        <w:bottom w:val="none" w:sz="0" w:space="0" w:color="auto"/>
        <w:right w:val="none" w:sz="0" w:space="0" w:color="auto"/>
      </w:divBdr>
      <w:divsChild>
        <w:div w:id="1552882884">
          <w:marLeft w:val="0"/>
          <w:marRight w:val="0"/>
          <w:marTop w:val="0"/>
          <w:marBottom w:val="0"/>
          <w:divBdr>
            <w:top w:val="none" w:sz="0" w:space="0" w:color="auto"/>
            <w:left w:val="none" w:sz="0" w:space="0" w:color="auto"/>
            <w:bottom w:val="none" w:sz="0" w:space="0" w:color="auto"/>
            <w:right w:val="none" w:sz="0" w:space="0" w:color="auto"/>
          </w:divBdr>
          <w:divsChild>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sChild>
                    <w:div w:id="1650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5179">
      <w:bodyDiv w:val="1"/>
      <w:marLeft w:val="0"/>
      <w:marRight w:val="0"/>
      <w:marTop w:val="0"/>
      <w:marBottom w:val="0"/>
      <w:divBdr>
        <w:top w:val="none" w:sz="0" w:space="0" w:color="auto"/>
        <w:left w:val="none" w:sz="0" w:space="0" w:color="auto"/>
        <w:bottom w:val="none" w:sz="0" w:space="0" w:color="auto"/>
        <w:right w:val="none" w:sz="0" w:space="0" w:color="auto"/>
      </w:divBdr>
    </w:div>
    <w:div w:id="339240738">
      <w:bodyDiv w:val="1"/>
      <w:marLeft w:val="0"/>
      <w:marRight w:val="0"/>
      <w:marTop w:val="0"/>
      <w:marBottom w:val="0"/>
      <w:divBdr>
        <w:top w:val="none" w:sz="0" w:space="0" w:color="auto"/>
        <w:left w:val="none" w:sz="0" w:space="0" w:color="auto"/>
        <w:bottom w:val="none" w:sz="0" w:space="0" w:color="auto"/>
        <w:right w:val="none" w:sz="0" w:space="0" w:color="auto"/>
      </w:divBdr>
    </w:div>
    <w:div w:id="423691043">
      <w:bodyDiv w:val="1"/>
      <w:marLeft w:val="0"/>
      <w:marRight w:val="0"/>
      <w:marTop w:val="0"/>
      <w:marBottom w:val="0"/>
      <w:divBdr>
        <w:top w:val="none" w:sz="0" w:space="0" w:color="auto"/>
        <w:left w:val="none" w:sz="0" w:space="0" w:color="auto"/>
        <w:bottom w:val="none" w:sz="0" w:space="0" w:color="auto"/>
        <w:right w:val="none" w:sz="0" w:space="0" w:color="auto"/>
      </w:divBdr>
    </w:div>
    <w:div w:id="449327871">
      <w:bodyDiv w:val="1"/>
      <w:marLeft w:val="0"/>
      <w:marRight w:val="0"/>
      <w:marTop w:val="0"/>
      <w:marBottom w:val="0"/>
      <w:divBdr>
        <w:top w:val="none" w:sz="0" w:space="0" w:color="auto"/>
        <w:left w:val="none" w:sz="0" w:space="0" w:color="auto"/>
        <w:bottom w:val="none" w:sz="0" w:space="0" w:color="auto"/>
        <w:right w:val="none" w:sz="0" w:space="0" w:color="auto"/>
      </w:divBdr>
    </w:div>
    <w:div w:id="454830934">
      <w:bodyDiv w:val="1"/>
      <w:marLeft w:val="0"/>
      <w:marRight w:val="0"/>
      <w:marTop w:val="0"/>
      <w:marBottom w:val="0"/>
      <w:divBdr>
        <w:top w:val="none" w:sz="0" w:space="0" w:color="auto"/>
        <w:left w:val="none" w:sz="0" w:space="0" w:color="auto"/>
        <w:bottom w:val="none" w:sz="0" w:space="0" w:color="auto"/>
        <w:right w:val="none" w:sz="0" w:space="0" w:color="auto"/>
      </w:divBdr>
    </w:div>
    <w:div w:id="490365603">
      <w:bodyDiv w:val="1"/>
      <w:marLeft w:val="0"/>
      <w:marRight w:val="0"/>
      <w:marTop w:val="0"/>
      <w:marBottom w:val="0"/>
      <w:divBdr>
        <w:top w:val="none" w:sz="0" w:space="0" w:color="auto"/>
        <w:left w:val="none" w:sz="0" w:space="0" w:color="auto"/>
        <w:bottom w:val="none" w:sz="0" w:space="0" w:color="auto"/>
        <w:right w:val="none" w:sz="0" w:space="0" w:color="auto"/>
      </w:divBdr>
      <w:divsChild>
        <w:div w:id="269968178">
          <w:marLeft w:val="0"/>
          <w:marRight w:val="0"/>
          <w:marTop w:val="0"/>
          <w:marBottom w:val="0"/>
          <w:divBdr>
            <w:top w:val="none" w:sz="0" w:space="0" w:color="auto"/>
            <w:left w:val="none" w:sz="0" w:space="0" w:color="auto"/>
            <w:bottom w:val="none" w:sz="0" w:space="0" w:color="auto"/>
            <w:right w:val="none" w:sz="0" w:space="0" w:color="auto"/>
          </w:divBdr>
          <w:divsChild>
            <w:div w:id="197008680">
              <w:marLeft w:val="0"/>
              <w:marRight w:val="0"/>
              <w:marTop w:val="0"/>
              <w:marBottom w:val="0"/>
              <w:divBdr>
                <w:top w:val="none" w:sz="0" w:space="0" w:color="auto"/>
                <w:left w:val="none" w:sz="0" w:space="0" w:color="auto"/>
                <w:bottom w:val="none" w:sz="0" w:space="0" w:color="auto"/>
                <w:right w:val="none" w:sz="0" w:space="0" w:color="auto"/>
              </w:divBdr>
              <w:divsChild>
                <w:div w:id="201868066">
                  <w:marLeft w:val="0"/>
                  <w:marRight w:val="0"/>
                  <w:marTop w:val="0"/>
                  <w:marBottom w:val="0"/>
                  <w:divBdr>
                    <w:top w:val="none" w:sz="0" w:space="0" w:color="auto"/>
                    <w:left w:val="none" w:sz="0" w:space="0" w:color="auto"/>
                    <w:bottom w:val="none" w:sz="0" w:space="0" w:color="auto"/>
                    <w:right w:val="none" w:sz="0" w:space="0" w:color="auto"/>
                  </w:divBdr>
                  <w:divsChild>
                    <w:div w:id="12104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85678">
      <w:bodyDiv w:val="1"/>
      <w:marLeft w:val="0"/>
      <w:marRight w:val="0"/>
      <w:marTop w:val="0"/>
      <w:marBottom w:val="0"/>
      <w:divBdr>
        <w:top w:val="none" w:sz="0" w:space="0" w:color="auto"/>
        <w:left w:val="none" w:sz="0" w:space="0" w:color="auto"/>
        <w:bottom w:val="none" w:sz="0" w:space="0" w:color="auto"/>
        <w:right w:val="none" w:sz="0" w:space="0" w:color="auto"/>
      </w:divBdr>
    </w:div>
    <w:div w:id="543563268">
      <w:bodyDiv w:val="1"/>
      <w:marLeft w:val="0"/>
      <w:marRight w:val="0"/>
      <w:marTop w:val="0"/>
      <w:marBottom w:val="0"/>
      <w:divBdr>
        <w:top w:val="none" w:sz="0" w:space="0" w:color="auto"/>
        <w:left w:val="none" w:sz="0" w:space="0" w:color="auto"/>
        <w:bottom w:val="none" w:sz="0" w:space="0" w:color="auto"/>
        <w:right w:val="none" w:sz="0" w:space="0" w:color="auto"/>
      </w:divBdr>
    </w:div>
    <w:div w:id="569195885">
      <w:bodyDiv w:val="1"/>
      <w:marLeft w:val="0"/>
      <w:marRight w:val="0"/>
      <w:marTop w:val="0"/>
      <w:marBottom w:val="0"/>
      <w:divBdr>
        <w:top w:val="none" w:sz="0" w:space="0" w:color="auto"/>
        <w:left w:val="none" w:sz="0" w:space="0" w:color="auto"/>
        <w:bottom w:val="none" w:sz="0" w:space="0" w:color="auto"/>
        <w:right w:val="none" w:sz="0" w:space="0" w:color="auto"/>
      </w:divBdr>
      <w:divsChild>
        <w:div w:id="535194199">
          <w:marLeft w:val="0"/>
          <w:marRight w:val="0"/>
          <w:marTop w:val="0"/>
          <w:marBottom w:val="0"/>
          <w:divBdr>
            <w:top w:val="none" w:sz="0" w:space="0" w:color="auto"/>
            <w:left w:val="none" w:sz="0" w:space="0" w:color="auto"/>
            <w:bottom w:val="none" w:sz="0" w:space="0" w:color="auto"/>
            <w:right w:val="none" w:sz="0" w:space="0" w:color="auto"/>
          </w:divBdr>
          <w:divsChild>
            <w:div w:id="1896622834">
              <w:marLeft w:val="0"/>
              <w:marRight w:val="0"/>
              <w:marTop w:val="0"/>
              <w:marBottom w:val="0"/>
              <w:divBdr>
                <w:top w:val="none" w:sz="0" w:space="0" w:color="auto"/>
                <w:left w:val="none" w:sz="0" w:space="0" w:color="auto"/>
                <w:bottom w:val="none" w:sz="0" w:space="0" w:color="auto"/>
                <w:right w:val="none" w:sz="0" w:space="0" w:color="auto"/>
              </w:divBdr>
              <w:divsChild>
                <w:div w:id="1917284590">
                  <w:marLeft w:val="0"/>
                  <w:marRight w:val="0"/>
                  <w:marTop w:val="0"/>
                  <w:marBottom w:val="0"/>
                  <w:divBdr>
                    <w:top w:val="none" w:sz="0" w:space="0" w:color="auto"/>
                    <w:left w:val="none" w:sz="0" w:space="0" w:color="auto"/>
                    <w:bottom w:val="none" w:sz="0" w:space="0" w:color="auto"/>
                    <w:right w:val="none" w:sz="0" w:space="0" w:color="auto"/>
                  </w:divBdr>
                  <w:divsChild>
                    <w:div w:id="20423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4977">
      <w:bodyDiv w:val="1"/>
      <w:marLeft w:val="0"/>
      <w:marRight w:val="0"/>
      <w:marTop w:val="0"/>
      <w:marBottom w:val="0"/>
      <w:divBdr>
        <w:top w:val="none" w:sz="0" w:space="0" w:color="auto"/>
        <w:left w:val="none" w:sz="0" w:space="0" w:color="auto"/>
        <w:bottom w:val="none" w:sz="0" w:space="0" w:color="auto"/>
        <w:right w:val="none" w:sz="0" w:space="0" w:color="auto"/>
      </w:divBdr>
      <w:divsChild>
        <w:div w:id="1017732243">
          <w:marLeft w:val="0"/>
          <w:marRight w:val="0"/>
          <w:marTop w:val="0"/>
          <w:marBottom w:val="0"/>
          <w:divBdr>
            <w:top w:val="none" w:sz="0" w:space="0" w:color="auto"/>
            <w:left w:val="none" w:sz="0" w:space="0" w:color="auto"/>
            <w:bottom w:val="none" w:sz="0" w:space="0" w:color="auto"/>
            <w:right w:val="none" w:sz="0" w:space="0" w:color="auto"/>
          </w:divBdr>
          <w:divsChild>
            <w:div w:id="1312059545">
              <w:marLeft w:val="0"/>
              <w:marRight w:val="0"/>
              <w:marTop w:val="0"/>
              <w:marBottom w:val="0"/>
              <w:divBdr>
                <w:top w:val="none" w:sz="0" w:space="0" w:color="auto"/>
                <w:left w:val="none" w:sz="0" w:space="0" w:color="auto"/>
                <w:bottom w:val="none" w:sz="0" w:space="0" w:color="auto"/>
                <w:right w:val="none" w:sz="0" w:space="0" w:color="auto"/>
              </w:divBdr>
              <w:divsChild>
                <w:div w:id="1046174902">
                  <w:marLeft w:val="0"/>
                  <w:marRight w:val="0"/>
                  <w:marTop w:val="0"/>
                  <w:marBottom w:val="0"/>
                  <w:divBdr>
                    <w:top w:val="none" w:sz="0" w:space="0" w:color="auto"/>
                    <w:left w:val="none" w:sz="0" w:space="0" w:color="auto"/>
                    <w:bottom w:val="none" w:sz="0" w:space="0" w:color="auto"/>
                    <w:right w:val="none" w:sz="0" w:space="0" w:color="auto"/>
                  </w:divBdr>
                  <w:divsChild>
                    <w:div w:id="1912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0598">
      <w:bodyDiv w:val="1"/>
      <w:marLeft w:val="0"/>
      <w:marRight w:val="0"/>
      <w:marTop w:val="0"/>
      <w:marBottom w:val="0"/>
      <w:divBdr>
        <w:top w:val="none" w:sz="0" w:space="0" w:color="auto"/>
        <w:left w:val="none" w:sz="0" w:space="0" w:color="auto"/>
        <w:bottom w:val="none" w:sz="0" w:space="0" w:color="auto"/>
        <w:right w:val="none" w:sz="0" w:space="0" w:color="auto"/>
      </w:divBdr>
      <w:divsChild>
        <w:div w:id="513106465">
          <w:marLeft w:val="0"/>
          <w:marRight w:val="0"/>
          <w:marTop w:val="0"/>
          <w:marBottom w:val="0"/>
          <w:divBdr>
            <w:top w:val="none" w:sz="0" w:space="0" w:color="auto"/>
            <w:left w:val="none" w:sz="0" w:space="0" w:color="auto"/>
            <w:bottom w:val="none" w:sz="0" w:space="0" w:color="auto"/>
            <w:right w:val="none" w:sz="0" w:space="0" w:color="auto"/>
          </w:divBdr>
          <w:divsChild>
            <w:div w:id="164633853">
              <w:marLeft w:val="0"/>
              <w:marRight w:val="0"/>
              <w:marTop w:val="0"/>
              <w:marBottom w:val="0"/>
              <w:divBdr>
                <w:top w:val="none" w:sz="0" w:space="0" w:color="auto"/>
                <w:left w:val="none" w:sz="0" w:space="0" w:color="auto"/>
                <w:bottom w:val="none" w:sz="0" w:space="0" w:color="auto"/>
                <w:right w:val="none" w:sz="0" w:space="0" w:color="auto"/>
              </w:divBdr>
              <w:divsChild>
                <w:div w:id="1042558275">
                  <w:marLeft w:val="0"/>
                  <w:marRight w:val="0"/>
                  <w:marTop w:val="0"/>
                  <w:marBottom w:val="0"/>
                  <w:divBdr>
                    <w:top w:val="none" w:sz="0" w:space="0" w:color="auto"/>
                    <w:left w:val="none" w:sz="0" w:space="0" w:color="auto"/>
                    <w:bottom w:val="none" w:sz="0" w:space="0" w:color="auto"/>
                    <w:right w:val="none" w:sz="0" w:space="0" w:color="auto"/>
                  </w:divBdr>
                  <w:divsChild>
                    <w:div w:id="86050031">
                      <w:marLeft w:val="0"/>
                      <w:marRight w:val="0"/>
                      <w:marTop w:val="0"/>
                      <w:marBottom w:val="0"/>
                      <w:divBdr>
                        <w:top w:val="none" w:sz="0" w:space="0" w:color="auto"/>
                        <w:left w:val="none" w:sz="0" w:space="0" w:color="auto"/>
                        <w:bottom w:val="none" w:sz="0" w:space="0" w:color="auto"/>
                        <w:right w:val="none" w:sz="0" w:space="0" w:color="auto"/>
                      </w:divBdr>
                      <w:divsChild>
                        <w:div w:id="1811166322">
                          <w:marLeft w:val="0"/>
                          <w:marRight w:val="0"/>
                          <w:marTop w:val="0"/>
                          <w:marBottom w:val="0"/>
                          <w:divBdr>
                            <w:top w:val="none" w:sz="0" w:space="0" w:color="auto"/>
                            <w:left w:val="none" w:sz="0" w:space="0" w:color="auto"/>
                            <w:bottom w:val="none" w:sz="0" w:space="0" w:color="auto"/>
                            <w:right w:val="none" w:sz="0" w:space="0" w:color="auto"/>
                          </w:divBdr>
                          <w:divsChild>
                            <w:div w:id="1779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8581">
      <w:bodyDiv w:val="1"/>
      <w:marLeft w:val="0"/>
      <w:marRight w:val="0"/>
      <w:marTop w:val="0"/>
      <w:marBottom w:val="0"/>
      <w:divBdr>
        <w:top w:val="none" w:sz="0" w:space="0" w:color="auto"/>
        <w:left w:val="none" w:sz="0" w:space="0" w:color="auto"/>
        <w:bottom w:val="none" w:sz="0" w:space="0" w:color="auto"/>
        <w:right w:val="none" w:sz="0" w:space="0" w:color="auto"/>
      </w:divBdr>
      <w:divsChild>
        <w:div w:id="1461339515">
          <w:marLeft w:val="0"/>
          <w:marRight w:val="0"/>
          <w:marTop w:val="0"/>
          <w:marBottom w:val="0"/>
          <w:divBdr>
            <w:top w:val="none" w:sz="0" w:space="0" w:color="auto"/>
            <w:left w:val="none" w:sz="0" w:space="0" w:color="auto"/>
            <w:bottom w:val="none" w:sz="0" w:space="0" w:color="auto"/>
            <w:right w:val="none" w:sz="0" w:space="0" w:color="auto"/>
          </w:divBdr>
          <w:divsChild>
            <w:div w:id="1177497562">
              <w:marLeft w:val="0"/>
              <w:marRight w:val="0"/>
              <w:marTop w:val="0"/>
              <w:marBottom w:val="0"/>
              <w:divBdr>
                <w:top w:val="none" w:sz="0" w:space="0" w:color="auto"/>
                <w:left w:val="none" w:sz="0" w:space="0" w:color="auto"/>
                <w:bottom w:val="none" w:sz="0" w:space="0" w:color="auto"/>
                <w:right w:val="none" w:sz="0" w:space="0" w:color="auto"/>
              </w:divBdr>
              <w:divsChild>
                <w:div w:id="269119404">
                  <w:marLeft w:val="0"/>
                  <w:marRight w:val="0"/>
                  <w:marTop w:val="0"/>
                  <w:marBottom w:val="0"/>
                  <w:divBdr>
                    <w:top w:val="none" w:sz="0" w:space="0" w:color="auto"/>
                    <w:left w:val="none" w:sz="0" w:space="0" w:color="auto"/>
                    <w:bottom w:val="none" w:sz="0" w:space="0" w:color="auto"/>
                    <w:right w:val="none" w:sz="0" w:space="0" w:color="auto"/>
                  </w:divBdr>
                  <w:divsChild>
                    <w:div w:id="18090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666566">
      <w:bodyDiv w:val="1"/>
      <w:marLeft w:val="0"/>
      <w:marRight w:val="0"/>
      <w:marTop w:val="0"/>
      <w:marBottom w:val="0"/>
      <w:divBdr>
        <w:top w:val="none" w:sz="0" w:space="0" w:color="auto"/>
        <w:left w:val="none" w:sz="0" w:space="0" w:color="auto"/>
        <w:bottom w:val="none" w:sz="0" w:space="0" w:color="auto"/>
        <w:right w:val="none" w:sz="0" w:space="0" w:color="auto"/>
      </w:divBdr>
      <w:divsChild>
        <w:div w:id="1717049770">
          <w:marLeft w:val="0"/>
          <w:marRight w:val="0"/>
          <w:marTop w:val="0"/>
          <w:marBottom w:val="0"/>
          <w:divBdr>
            <w:top w:val="none" w:sz="0" w:space="0" w:color="auto"/>
            <w:left w:val="none" w:sz="0" w:space="0" w:color="auto"/>
            <w:bottom w:val="none" w:sz="0" w:space="0" w:color="auto"/>
            <w:right w:val="none" w:sz="0" w:space="0" w:color="auto"/>
          </w:divBdr>
          <w:divsChild>
            <w:div w:id="1067075615">
              <w:marLeft w:val="0"/>
              <w:marRight w:val="0"/>
              <w:marTop w:val="0"/>
              <w:marBottom w:val="0"/>
              <w:divBdr>
                <w:top w:val="none" w:sz="0" w:space="0" w:color="auto"/>
                <w:left w:val="none" w:sz="0" w:space="0" w:color="auto"/>
                <w:bottom w:val="none" w:sz="0" w:space="0" w:color="auto"/>
                <w:right w:val="none" w:sz="0" w:space="0" w:color="auto"/>
              </w:divBdr>
              <w:divsChild>
                <w:div w:id="536895510">
                  <w:marLeft w:val="0"/>
                  <w:marRight w:val="0"/>
                  <w:marTop w:val="0"/>
                  <w:marBottom w:val="0"/>
                  <w:divBdr>
                    <w:top w:val="none" w:sz="0" w:space="0" w:color="auto"/>
                    <w:left w:val="none" w:sz="0" w:space="0" w:color="auto"/>
                    <w:bottom w:val="none" w:sz="0" w:space="0" w:color="auto"/>
                    <w:right w:val="none" w:sz="0" w:space="0" w:color="auto"/>
                  </w:divBdr>
                  <w:divsChild>
                    <w:div w:id="3053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6379">
      <w:bodyDiv w:val="1"/>
      <w:marLeft w:val="0"/>
      <w:marRight w:val="0"/>
      <w:marTop w:val="0"/>
      <w:marBottom w:val="0"/>
      <w:divBdr>
        <w:top w:val="none" w:sz="0" w:space="0" w:color="auto"/>
        <w:left w:val="none" w:sz="0" w:space="0" w:color="auto"/>
        <w:bottom w:val="none" w:sz="0" w:space="0" w:color="auto"/>
        <w:right w:val="none" w:sz="0" w:space="0" w:color="auto"/>
      </w:divBdr>
      <w:divsChild>
        <w:div w:id="1400057170">
          <w:marLeft w:val="0"/>
          <w:marRight w:val="0"/>
          <w:marTop w:val="0"/>
          <w:marBottom w:val="0"/>
          <w:divBdr>
            <w:top w:val="none" w:sz="0" w:space="0" w:color="auto"/>
            <w:left w:val="none" w:sz="0" w:space="0" w:color="auto"/>
            <w:bottom w:val="none" w:sz="0" w:space="0" w:color="auto"/>
            <w:right w:val="none" w:sz="0" w:space="0" w:color="auto"/>
          </w:divBdr>
          <w:divsChild>
            <w:div w:id="737245945">
              <w:marLeft w:val="0"/>
              <w:marRight w:val="0"/>
              <w:marTop w:val="0"/>
              <w:marBottom w:val="0"/>
              <w:divBdr>
                <w:top w:val="none" w:sz="0" w:space="0" w:color="auto"/>
                <w:left w:val="none" w:sz="0" w:space="0" w:color="auto"/>
                <w:bottom w:val="none" w:sz="0" w:space="0" w:color="auto"/>
                <w:right w:val="none" w:sz="0" w:space="0" w:color="auto"/>
              </w:divBdr>
              <w:divsChild>
                <w:div w:id="1154222565">
                  <w:marLeft w:val="0"/>
                  <w:marRight w:val="0"/>
                  <w:marTop w:val="0"/>
                  <w:marBottom w:val="0"/>
                  <w:divBdr>
                    <w:top w:val="none" w:sz="0" w:space="0" w:color="auto"/>
                    <w:left w:val="none" w:sz="0" w:space="0" w:color="auto"/>
                    <w:bottom w:val="none" w:sz="0" w:space="0" w:color="auto"/>
                    <w:right w:val="none" w:sz="0" w:space="0" w:color="auto"/>
                  </w:divBdr>
                  <w:divsChild>
                    <w:div w:id="6230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952">
      <w:bodyDiv w:val="1"/>
      <w:marLeft w:val="0"/>
      <w:marRight w:val="0"/>
      <w:marTop w:val="0"/>
      <w:marBottom w:val="0"/>
      <w:divBdr>
        <w:top w:val="none" w:sz="0" w:space="0" w:color="auto"/>
        <w:left w:val="none" w:sz="0" w:space="0" w:color="auto"/>
        <w:bottom w:val="none" w:sz="0" w:space="0" w:color="auto"/>
        <w:right w:val="none" w:sz="0" w:space="0" w:color="auto"/>
      </w:divBdr>
      <w:divsChild>
        <w:div w:id="985742455">
          <w:marLeft w:val="0"/>
          <w:marRight w:val="0"/>
          <w:marTop w:val="0"/>
          <w:marBottom w:val="0"/>
          <w:divBdr>
            <w:top w:val="none" w:sz="0" w:space="0" w:color="auto"/>
            <w:left w:val="none" w:sz="0" w:space="0" w:color="auto"/>
            <w:bottom w:val="none" w:sz="0" w:space="0" w:color="auto"/>
            <w:right w:val="none" w:sz="0" w:space="0" w:color="auto"/>
          </w:divBdr>
          <w:divsChild>
            <w:div w:id="1804928886">
              <w:marLeft w:val="0"/>
              <w:marRight w:val="0"/>
              <w:marTop w:val="0"/>
              <w:marBottom w:val="0"/>
              <w:divBdr>
                <w:top w:val="none" w:sz="0" w:space="0" w:color="auto"/>
                <w:left w:val="none" w:sz="0" w:space="0" w:color="auto"/>
                <w:bottom w:val="none" w:sz="0" w:space="0" w:color="auto"/>
                <w:right w:val="none" w:sz="0" w:space="0" w:color="auto"/>
              </w:divBdr>
              <w:divsChild>
                <w:div w:id="2068605352">
                  <w:marLeft w:val="0"/>
                  <w:marRight w:val="0"/>
                  <w:marTop w:val="0"/>
                  <w:marBottom w:val="0"/>
                  <w:divBdr>
                    <w:top w:val="none" w:sz="0" w:space="0" w:color="auto"/>
                    <w:left w:val="none" w:sz="0" w:space="0" w:color="auto"/>
                    <w:bottom w:val="none" w:sz="0" w:space="0" w:color="auto"/>
                    <w:right w:val="none" w:sz="0" w:space="0" w:color="auto"/>
                  </w:divBdr>
                  <w:divsChild>
                    <w:div w:id="13197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40887">
      <w:bodyDiv w:val="1"/>
      <w:marLeft w:val="0"/>
      <w:marRight w:val="0"/>
      <w:marTop w:val="0"/>
      <w:marBottom w:val="0"/>
      <w:divBdr>
        <w:top w:val="none" w:sz="0" w:space="0" w:color="auto"/>
        <w:left w:val="none" w:sz="0" w:space="0" w:color="auto"/>
        <w:bottom w:val="none" w:sz="0" w:space="0" w:color="auto"/>
        <w:right w:val="none" w:sz="0" w:space="0" w:color="auto"/>
      </w:divBdr>
      <w:divsChild>
        <w:div w:id="1122919119">
          <w:marLeft w:val="0"/>
          <w:marRight w:val="0"/>
          <w:marTop w:val="0"/>
          <w:marBottom w:val="0"/>
          <w:divBdr>
            <w:top w:val="none" w:sz="0" w:space="0" w:color="auto"/>
            <w:left w:val="none" w:sz="0" w:space="0" w:color="auto"/>
            <w:bottom w:val="none" w:sz="0" w:space="0" w:color="auto"/>
            <w:right w:val="none" w:sz="0" w:space="0" w:color="auto"/>
          </w:divBdr>
          <w:divsChild>
            <w:div w:id="1504280537">
              <w:marLeft w:val="0"/>
              <w:marRight w:val="0"/>
              <w:marTop w:val="0"/>
              <w:marBottom w:val="0"/>
              <w:divBdr>
                <w:top w:val="none" w:sz="0" w:space="0" w:color="auto"/>
                <w:left w:val="none" w:sz="0" w:space="0" w:color="auto"/>
                <w:bottom w:val="none" w:sz="0" w:space="0" w:color="auto"/>
                <w:right w:val="none" w:sz="0" w:space="0" w:color="auto"/>
              </w:divBdr>
              <w:divsChild>
                <w:div w:id="1551843305">
                  <w:marLeft w:val="0"/>
                  <w:marRight w:val="0"/>
                  <w:marTop w:val="0"/>
                  <w:marBottom w:val="0"/>
                  <w:divBdr>
                    <w:top w:val="none" w:sz="0" w:space="0" w:color="auto"/>
                    <w:left w:val="none" w:sz="0" w:space="0" w:color="auto"/>
                    <w:bottom w:val="none" w:sz="0" w:space="0" w:color="auto"/>
                    <w:right w:val="none" w:sz="0" w:space="0" w:color="auto"/>
                  </w:divBdr>
                  <w:divsChild>
                    <w:div w:id="75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7334">
      <w:bodyDiv w:val="1"/>
      <w:marLeft w:val="0"/>
      <w:marRight w:val="0"/>
      <w:marTop w:val="0"/>
      <w:marBottom w:val="0"/>
      <w:divBdr>
        <w:top w:val="none" w:sz="0" w:space="0" w:color="auto"/>
        <w:left w:val="none" w:sz="0" w:space="0" w:color="auto"/>
        <w:bottom w:val="none" w:sz="0" w:space="0" w:color="auto"/>
        <w:right w:val="none" w:sz="0" w:space="0" w:color="auto"/>
      </w:divBdr>
      <w:divsChild>
        <w:div w:id="212547072">
          <w:marLeft w:val="0"/>
          <w:marRight w:val="0"/>
          <w:marTop w:val="0"/>
          <w:marBottom w:val="0"/>
          <w:divBdr>
            <w:top w:val="none" w:sz="0" w:space="0" w:color="auto"/>
            <w:left w:val="none" w:sz="0" w:space="0" w:color="auto"/>
            <w:bottom w:val="none" w:sz="0" w:space="0" w:color="auto"/>
            <w:right w:val="none" w:sz="0" w:space="0" w:color="auto"/>
          </w:divBdr>
          <w:divsChild>
            <w:div w:id="290018567">
              <w:marLeft w:val="0"/>
              <w:marRight w:val="0"/>
              <w:marTop w:val="0"/>
              <w:marBottom w:val="0"/>
              <w:divBdr>
                <w:top w:val="none" w:sz="0" w:space="0" w:color="auto"/>
                <w:left w:val="none" w:sz="0" w:space="0" w:color="auto"/>
                <w:bottom w:val="none" w:sz="0" w:space="0" w:color="auto"/>
                <w:right w:val="none" w:sz="0" w:space="0" w:color="auto"/>
              </w:divBdr>
              <w:divsChild>
                <w:div w:id="1187719668">
                  <w:marLeft w:val="0"/>
                  <w:marRight w:val="0"/>
                  <w:marTop w:val="0"/>
                  <w:marBottom w:val="0"/>
                  <w:divBdr>
                    <w:top w:val="none" w:sz="0" w:space="0" w:color="auto"/>
                    <w:left w:val="none" w:sz="0" w:space="0" w:color="auto"/>
                    <w:bottom w:val="none" w:sz="0" w:space="0" w:color="auto"/>
                    <w:right w:val="none" w:sz="0" w:space="0" w:color="auto"/>
                  </w:divBdr>
                  <w:divsChild>
                    <w:div w:id="14175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021">
      <w:bodyDiv w:val="1"/>
      <w:marLeft w:val="0"/>
      <w:marRight w:val="0"/>
      <w:marTop w:val="0"/>
      <w:marBottom w:val="0"/>
      <w:divBdr>
        <w:top w:val="none" w:sz="0" w:space="0" w:color="auto"/>
        <w:left w:val="none" w:sz="0" w:space="0" w:color="auto"/>
        <w:bottom w:val="none" w:sz="0" w:space="0" w:color="auto"/>
        <w:right w:val="none" w:sz="0" w:space="0" w:color="auto"/>
      </w:divBdr>
    </w:div>
    <w:div w:id="978149338">
      <w:bodyDiv w:val="1"/>
      <w:marLeft w:val="0"/>
      <w:marRight w:val="0"/>
      <w:marTop w:val="0"/>
      <w:marBottom w:val="0"/>
      <w:divBdr>
        <w:top w:val="none" w:sz="0" w:space="0" w:color="auto"/>
        <w:left w:val="none" w:sz="0" w:space="0" w:color="auto"/>
        <w:bottom w:val="none" w:sz="0" w:space="0" w:color="auto"/>
        <w:right w:val="none" w:sz="0" w:space="0" w:color="auto"/>
      </w:divBdr>
      <w:divsChild>
        <w:div w:id="1277634197">
          <w:marLeft w:val="0"/>
          <w:marRight w:val="0"/>
          <w:marTop w:val="0"/>
          <w:marBottom w:val="0"/>
          <w:divBdr>
            <w:top w:val="none" w:sz="0" w:space="0" w:color="auto"/>
            <w:left w:val="none" w:sz="0" w:space="0" w:color="auto"/>
            <w:bottom w:val="none" w:sz="0" w:space="0" w:color="auto"/>
            <w:right w:val="none" w:sz="0" w:space="0" w:color="auto"/>
          </w:divBdr>
          <w:divsChild>
            <w:div w:id="547690570">
              <w:marLeft w:val="0"/>
              <w:marRight w:val="0"/>
              <w:marTop w:val="0"/>
              <w:marBottom w:val="0"/>
              <w:divBdr>
                <w:top w:val="none" w:sz="0" w:space="0" w:color="auto"/>
                <w:left w:val="none" w:sz="0" w:space="0" w:color="auto"/>
                <w:bottom w:val="none" w:sz="0" w:space="0" w:color="auto"/>
                <w:right w:val="none" w:sz="0" w:space="0" w:color="auto"/>
              </w:divBdr>
              <w:divsChild>
                <w:div w:id="307898929">
                  <w:marLeft w:val="0"/>
                  <w:marRight w:val="0"/>
                  <w:marTop w:val="0"/>
                  <w:marBottom w:val="0"/>
                  <w:divBdr>
                    <w:top w:val="none" w:sz="0" w:space="0" w:color="auto"/>
                    <w:left w:val="none" w:sz="0" w:space="0" w:color="auto"/>
                    <w:bottom w:val="none" w:sz="0" w:space="0" w:color="auto"/>
                    <w:right w:val="none" w:sz="0" w:space="0" w:color="auto"/>
                  </w:divBdr>
                  <w:divsChild>
                    <w:div w:id="846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05841">
      <w:bodyDiv w:val="1"/>
      <w:marLeft w:val="0"/>
      <w:marRight w:val="0"/>
      <w:marTop w:val="0"/>
      <w:marBottom w:val="0"/>
      <w:divBdr>
        <w:top w:val="none" w:sz="0" w:space="0" w:color="auto"/>
        <w:left w:val="none" w:sz="0" w:space="0" w:color="auto"/>
        <w:bottom w:val="none" w:sz="0" w:space="0" w:color="auto"/>
        <w:right w:val="none" w:sz="0" w:space="0" w:color="auto"/>
      </w:divBdr>
      <w:divsChild>
        <w:div w:id="555556130">
          <w:marLeft w:val="0"/>
          <w:marRight w:val="0"/>
          <w:marTop w:val="0"/>
          <w:marBottom w:val="0"/>
          <w:divBdr>
            <w:top w:val="none" w:sz="0" w:space="0" w:color="auto"/>
            <w:left w:val="none" w:sz="0" w:space="0" w:color="auto"/>
            <w:bottom w:val="none" w:sz="0" w:space="0" w:color="auto"/>
            <w:right w:val="none" w:sz="0" w:space="0" w:color="auto"/>
          </w:divBdr>
          <w:divsChild>
            <w:div w:id="1649818112">
              <w:marLeft w:val="0"/>
              <w:marRight w:val="0"/>
              <w:marTop w:val="0"/>
              <w:marBottom w:val="0"/>
              <w:divBdr>
                <w:top w:val="none" w:sz="0" w:space="0" w:color="auto"/>
                <w:left w:val="none" w:sz="0" w:space="0" w:color="auto"/>
                <w:bottom w:val="none" w:sz="0" w:space="0" w:color="auto"/>
                <w:right w:val="none" w:sz="0" w:space="0" w:color="auto"/>
              </w:divBdr>
              <w:divsChild>
                <w:div w:id="961157761">
                  <w:marLeft w:val="0"/>
                  <w:marRight w:val="0"/>
                  <w:marTop w:val="0"/>
                  <w:marBottom w:val="0"/>
                  <w:divBdr>
                    <w:top w:val="none" w:sz="0" w:space="0" w:color="auto"/>
                    <w:left w:val="none" w:sz="0" w:space="0" w:color="auto"/>
                    <w:bottom w:val="none" w:sz="0" w:space="0" w:color="auto"/>
                    <w:right w:val="none" w:sz="0" w:space="0" w:color="auto"/>
                  </w:divBdr>
                  <w:divsChild>
                    <w:div w:id="359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9608">
      <w:bodyDiv w:val="1"/>
      <w:marLeft w:val="0"/>
      <w:marRight w:val="0"/>
      <w:marTop w:val="0"/>
      <w:marBottom w:val="0"/>
      <w:divBdr>
        <w:top w:val="none" w:sz="0" w:space="0" w:color="auto"/>
        <w:left w:val="none" w:sz="0" w:space="0" w:color="auto"/>
        <w:bottom w:val="none" w:sz="0" w:space="0" w:color="auto"/>
        <w:right w:val="none" w:sz="0" w:space="0" w:color="auto"/>
      </w:divBdr>
      <w:divsChild>
        <w:div w:id="1733699311">
          <w:marLeft w:val="0"/>
          <w:marRight w:val="0"/>
          <w:marTop w:val="0"/>
          <w:marBottom w:val="0"/>
          <w:divBdr>
            <w:top w:val="none" w:sz="0" w:space="0" w:color="auto"/>
            <w:left w:val="none" w:sz="0" w:space="0" w:color="auto"/>
            <w:bottom w:val="none" w:sz="0" w:space="0" w:color="auto"/>
            <w:right w:val="none" w:sz="0" w:space="0" w:color="auto"/>
          </w:divBdr>
          <w:divsChild>
            <w:div w:id="1400444729">
              <w:marLeft w:val="0"/>
              <w:marRight w:val="0"/>
              <w:marTop w:val="0"/>
              <w:marBottom w:val="0"/>
              <w:divBdr>
                <w:top w:val="none" w:sz="0" w:space="0" w:color="auto"/>
                <w:left w:val="none" w:sz="0" w:space="0" w:color="auto"/>
                <w:bottom w:val="none" w:sz="0" w:space="0" w:color="auto"/>
                <w:right w:val="none" w:sz="0" w:space="0" w:color="auto"/>
              </w:divBdr>
              <w:divsChild>
                <w:div w:id="1621105448">
                  <w:marLeft w:val="0"/>
                  <w:marRight w:val="0"/>
                  <w:marTop w:val="0"/>
                  <w:marBottom w:val="0"/>
                  <w:divBdr>
                    <w:top w:val="none" w:sz="0" w:space="0" w:color="auto"/>
                    <w:left w:val="none" w:sz="0" w:space="0" w:color="auto"/>
                    <w:bottom w:val="none" w:sz="0" w:space="0" w:color="auto"/>
                    <w:right w:val="none" w:sz="0" w:space="0" w:color="auto"/>
                  </w:divBdr>
                  <w:divsChild>
                    <w:div w:id="10554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50857">
      <w:bodyDiv w:val="1"/>
      <w:marLeft w:val="0"/>
      <w:marRight w:val="0"/>
      <w:marTop w:val="0"/>
      <w:marBottom w:val="0"/>
      <w:divBdr>
        <w:top w:val="none" w:sz="0" w:space="0" w:color="auto"/>
        <w:left w:val="none" w:sz="0" w:space="0" w:color="auto"/>
        <w:bottom w:val="none" w:sz="0" w:space="0" w:color="auto"/>
        <w:right w:val="none" w:sz="0" w:space="0" w:color="auto"/>
      </w:divBdr>
    </w:div>
    <w:div w:id="1058094735">
      <w:bodyDiv w:val="1"/>
      <w:marLeft w:val="0"/>
      <w:marRight w:val="0"/>
      <w:marTop w:val="0"/>
      <w:marBottom w:val="0"/>
      <w:divBdr>
        <w:top w:val="none" w:sz="0" w:space="0" w:color="auto"/>
        <w:left w:val="none" w:sz="0" w:space="0" w:color="auto"/>
        <w:bottom w:val="none" w:sz="0" w:space="0" w:color="auto"/>
        <w:right w:val="none" w:sz="0" w:space="0" w:color="auto"/>
      </w:divBdr>
    </w:div>
    <w:div w:id="1058238519">
      <w:bodyDiv w:val="1"/>
      <w:marLeft w:val="0"/>
      <w:marRight w:val="0"/>
      <w:marTop w:val="0"/>
      <w:marBottom w:val="0"/>
      <w:divBdr>
        <w:top w:val="none" w:sz="0" w:space="0" w:color="auto"/>
        <w:left w:val="none" w:sz="0" w:space="0" w:color="auto"/>
        <w:bottom w:val="none" w:sz="0" w:space="0" w:color="auto"/>
        <w:right w:val="none" w:sz="0" w:space="0" w:color="auto"/>
      </w:divBdr>
      <w:divsChild>
        <w:div w:id="1703675328">
          <w:marLeft w:val="0"/>
          <w:marRight w:val="0"/>
          <w:marTop w:val="0"/>
          <w:marBottom w:val="0"/>
          <w:divBdr>
            <w:top w:val="none" w:sz="0" w:space="0" w:color="auto"/>
            <w:left w:val="none" w:sz="0" w:space="0" w:color="auto"/>
            <w:bottom w:val="none" w:sz="0" w:space="0" w:color="auto"/>
            <w:right w:val="none" w:sz="0" w:space="0" w:color="auto"/>
          </w:divBdr>
          <w:divsChild>
            <w:div w:id="1566915848">
              <w:marLeft w:val="0"/>
              <w:marRight w:val="0"/>
              <w:marTop w:val="0"/>
              <w:marBottom w:val="0"/>
              <w:divBdr>
                <w:top w:val="none" w:sz="0" w:space="0" w:color="auto"/>
                <w:left w:val="none" w:sz="0" w:space="0" w:color="auto"/>
                <w:bottom w:val="none" w:sz="0" w:space="0" w:color="auto"/>
                <w:right w:val="none" w:sz="0" w:space="0" w:color="auto"/>
              </w:divBdr>
              <w:divsChild>
                <w:div w:id="754472084">
                  <w:marLeft w:val="0"/>
                  <w:marRight w:val="0"/>
                  <w:marTop w:val="0"/>
                  <w:marBottom w:val="0"/>
                  <w:divBdr>
                    <w:top w:val="none" w:sz="0" w:space="0" w:color="auto"/>
                    <w:left w:val="none" w:sz="0" w:space="0" w:color="auto"/>
                    <w:bottom w:val="none" w:sz="0" w:space="0" w:color="auto"/>
                    <w:right w:val="none" w:sz="0" w:space="0" w:color="auto"/>
                  </w:divBdr>
                  <w:divsChild>
                    <w:div w:id="17319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2781">
          <w:marLeft w:val="0"/>
          <w:marRight w:val="0"/>
          <w:marTop w:val="0"/>
          <w:marBottom w:val="0"/>
          <w:divBdr>
            <w:top w:val="none" w:sz="0" w:space="0" w:color="auto"/>
            <w:left w:val="none" w:sz="0" w:space="0" w:color="auto"/>
            <w:bottom w:val="none" w:sz="0" w:space="0" w:color="auto"/>
            <w:right w:val="none" w:sz="0" w:space="0" w:color="auto"/>
          </w:divBdr>
          <w:divsChild>
            <w:div w:id="350225519">
              <w:marLeft w:val="0"/>
              <w:marRight w:val="0"/>
              <w:marTop w:val="0"/>
              <w:marBottom w:val="0"/>
              <w:divBdr>
                <w:top w:val="none" w:sz="0" w:space="0" w:color="auto"/>
                <w:left w:val="none" w:sz="0" w:space="0" w:color="auto"/>
                <w:bottom w:val="none" w:sz="0" w:space="0" w:color="auto"/>
                <w:right w:val="none" w:sz="0" w:space="0" w:color="auto"/>
              </w:divBdr>
              <w:divsChild>
                <w:div w:id="779106365">
                  <w:marLeft w:val="0"/>
                  <w:marRight w:val="0"/>
                  <w:marTop w:val="0"/>
                  <w:marBottom w:val="0"/>
                  <w:divBdr>
                    <w:top w:val="none" w:sz="0" w:space="0" w:color="auto"/>
                    <w:left w:val="none" w:sz="0" w:space="0" w:color="auto"/>
                    <w:bottom w:val="none" w:sz="0" w:space="0" w:color="auto"/>
                    <w:right w:val="none" w:sz="0" w:space="0" w:color="auto"/>
                  </w:divBdr>
                  <w:divsChild>
                    <w:div w:id="7047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0650">
      <w:bodyDiv w:val="1"/>
      <w:marLeft w:val="0"/>
      <w:marRight w:val="0"/>
      <w:marTop w:val="0"/>
      <w:marBottom w:val="0"/>
      <w:divBdr>
        <w:top w:val="none" w:sz="0" w:space="0" w:color="auto"/>
        <w:left w:val="none" w:sz="0" w:space="0" w:color="auto"/>
        <w:bottom w:val="none" w:sz="0" w:space="0" w:color="auto"/>
        <w:right w:val="none" w:sz="0" w:space="0" w:color="auto"/>
      </w:divBdr>
      <w:divsChild>
        <w:div w:id="770248405">
          <w:marLeft w:val="0"/>
          <w:marRight w:val="0"/>
          <w:marTop w:val="0"/>
          <w:marBottom w:val="0"/>
          <w:divBdr>
            <w:top w:val="none" w:sz="0" w:space="0" w:color="auto"/>
            <w:left w:val="none" w:sz="0" w:space="0" w:color="auto"/>
            <w:bottom w:val="none" w:sz="0" w:space="0" w:color="auto"/>
            <w:right w:val="none" w:sz="0" w:space="0" w:color="auto"/>
          </w:divBdr>
          <w:divsChild>
            <w:div w:id="389889663">
              <w:marLeft w:val="0"/>
              <w:marRight w:val="0"/>
              <w:marTop w:val="0"/>
              <w:marBottom w:val="0"/>
              <w:divBdr>
                <w:top w:val="none" w:sz="0" w:space="0" w:color="auto"/>
                <w:left w:val="none" w:sz="0" w:space="0" w:color="auto"/>
                <w:bottom w:val="none" w:sz="0" w:space="0" w:color="auto"/>
                <w:right w:val="none" w:sz="0" w:space="0" w:color="auto"/>
              </w:divBdr>
              <w:divsChild>
                <w:div w:id="1905483012">
                  <w:marLeft w:val="0"/>
                  <w:marRight w:val="0"/>
                  <w:marTop w:val="0"/>
                  <w:marBottom w:val="0"/>
                  <w:divBdr>
                    <w:top w:val="none" w:sz="0" w:space="0" w:color="auto"/>
                    <w:left w:val="none" w:sz="0" w:space="0" w:color="auto"/>
                    <w:bottom w:val="none" w:sz="0" w:space="0" w:color="auto"/>
                    <w:right w:val="none" w:sz="0" w:space="0" w:color="auto"/>
                  </w:divBdr>
                  <w:divsChild>
                    <w:div w:id="12442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38392">
          <w:marLeft w:val="0"/>
          <w:marRight w:val="0"/>
          <w:marTop w:val="0"/>
          <w:marBottom w:val="0"/>
          <w:divBdr>
            <w:top w:val="none" w:sz="0" w:space="0" w:color="auto"/>
            <w:left w:val="none" w:sz="0" w:space="0" w:color="auto"/>
            <w:bottom w:val="none" w:sz="0" w:space="0" w:color="auto"/>
            <w:right w:val="none" w:sz="0" w:space="0" w:color="auto"/>
          </w:divBdr>
          <w:divsChild>
            <w:div w:id="701976544">
              <w:marLeft w:val="0"/>
              <w:marRight w:val="0"/>
              <w:marTop w:val="0"/>
              <w:marBottom w:val="0"/>
              <w:divBdr>
                <w:top w:val="none" w:sz="0" w:space="0" w:color="auto"/>
                <w:left w:val="none" w:sz="0" w:space="0" w:color="auto"/>
                <w:bottom w:val="none" w:sz="0" w:space="0" w:color="auto"/>
                <w:right w:val="none" w:sz="0" w:space="0" w:color="auto"/>
              </w:divBdr>
              <w:divsChild>
                <w:div w:id="1005323379">
                  <w:marLeft w:val="0"/>
                  <w:marRight w:val="0"/>
                  <w:marTop w:val="0"/>
                  <w:marBottom w:val="0"/>
                  <w:divBdr>
                    <w:top w:val="none" w:sz="0" w:space="0" w:color="auto"/>
                    <w:left w:val="none" w:sz="0" w:space="0" w:color="auto"/>
                    <w:bottom w:val="none" w:sz="0" w:space="0" w:color="auto"/>
                    <w:right w:val="none" w:sz="0" w:space="0" w:color="auto"/>
                  </w:divBdr>
                  <w:divsChild>
                    <w:div w:id="1351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19140">
      <w:bodyDiv w:val="1"/>
      <w:marLeft w:val="0"/>
      <w:marRight w:val="0"/>
      <w:marTop w:val="0"/>
      <w:marBottom w:val="0"/>
      <w:divBdr>
        <w:top w:val="none" w:sz="0" w:space="0" w:color="auto"/>
        <w:left w:val="none" w:sz="0" w:space="0" w:color="auto"/>
        <w:bottom w:val="none" w:sz="0" w:space="0" w:color="auto"/>
        <w:right w:val="none" w:sz="0" w:space="0" w:color="auto"/>
      </w:divBdr>
    </w:div>
    <w:div w:id="1232304981">
      <w:bodyDiv w:val="1"/>
      <w:marLeft w:val="0"/>
      <w:marRight w:val="0"/>
      <w:marTop w:val="0"/>
      <w:marBottom w:val="0"/>
      <w:divBdr>
        <w:top w:val="none" w:sz="0" w:space="0" w:color="auto"/>
        <w:left w:val="none" w:sz="0" w:space="0" w:color="auto"/>
        <w:bottom w:val="none" w:sz="0" w:space="0" w:color="auto"/>
        <w:right w:val="none" w:sz="0" w:space="0" w:color="auto"/>
      </w:divBdr>
      <w:divsChild>
        <w:div w:id="1973092767">
          <w:marLeft w:val="0"/>
          <w:marRight w:val="0"/>
          <w:marTop w:val="0"/>
          <w:marBottom w:val="0"/>
          <w:divBdr>
            <w:top w:val="none" w:sz="0" w:space="0" w:color="auto"/>
            <w:left w:val="none" w:sz="0" w:space="0" w:color="auto"/>
            <w:bottom w:val="none" w:sz="0" w:space="0" w:color="auto"/>
            <w:right w:val="none" w:sz="0" w:space="0" w:color="auto"/>
          </w:divBdr>
          <w:divsChild>
            <w:div w:id="229124355">
              <w:marLeft w:val="0"/>
              <w:marRight w:val="0"/>
              <w:marTop w:val="0"/>
              <w:marBottom w:val="0"/>
              <w:divBdr>
                <w:top w:val="none" w:sz="0" w:space="0" w:color="auto"/>
                <w:left w:val="none" w:sz="0" w:space="0" w:color="auto"/>
                <w:bottom w:val="none" w:sz="0" w:space="0" w:color="auto"/>
                <w:right w:val="none" w:sz="0" w:space="0" w:color="auto"/>
              </w:divBdr>
              <w:divsChild>
                <w:div w:id="705134328">
                  <w:marLeft w:val="0"/>
                  <w:marRight w:val="0"/>
                  <w:marTop w:val="0"/>
                  <w:marBottom w:val="0"/>
                  <w:divBdr>
                    <w:top w:val="none" w:sz="0" w:space="0" w:color="auto"/>
                    <w:left w:val="none" w:sz="0" w:space="0" w:color="auto"/>
                    <w:bottom w:val="none" w:sz="0" w:space="0" w:color="auto"/>
                    <w:right w:val="none" w:sz="0" w:space="0" w:color="auto"/>
                  </w:divBdr>
                  <w:divsChild>
                    <w:div w:id="274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8074">
      <w:bodyDiv w:val="1"/>
      <w:marLeft w:val="0"/>
      <w:marRight w:val="0"/>
      <w:marTop w:val="0"/>
      <w:marBottom w:val="0"/>
      <w:divBdr>
        <w:top w:val="none" w:sz="0" w:space="0" w:color="auto"/>
        <w:left w:val="none" w:sz="0" w:space="0" w:color="auto"/>
        <w:bottom w:val="none" w:sz="0" w:space="0" w:color="auto"/>
        <w:right w:val="none" w:sz="0" w:space="0" w:color="auto"/>
      </w:divBdr>
      <w:divsChild>
        <w:div w:id="1537082259">
          <w:marLeft w:val="0"/>
          <w:marRight w:val="0"/>
          <w:marTop w:val="0"/>
          <w:marBottom w:val="0"/>
          <w:divBdr>
            <w:top w:val="none" w:sz="0" w:space="0" w:color="auto"/>
            <w:left w:val="none" w:sz="0" w:space="0" w:color="auto"/>
            <w:bottom w:val="none" w:sz="0" w:space="0" w:color="auto"/>
            <w:right w:val="none" w:sz="0" w:space="0" w:color="auto"/>
          </w:divBdr>
          <w:divsChild>
            <w:div w:id="120147389">
              <w:marLeft w:val="0"/>
              <w:marRight w:val="0"/>
              <w:marTop w:val="0"/>
              <w:marBottom w:val="0"/>
              <w:divBdr>
                <w:top w:val="none" w:sz="0" w:space="0" w:color="auto"/>
                <w:left w:val="none" w:sz="0" w:space="0" w:color="auto"/>
                <w:bottom w:val="none" w:sz="0" w:space="0" w:color="auto"/>
                <w:right w:val="none" w:sz="0" w:space="0" w:color="auto"/>
              </w:divBdr>
              <w:divsChild>
                <w:div w:id="1190413837">
                  <w:marLeft w:val="0"/>
                  <w:marRight w:val="0"/>
                  <w:marTop w:val="0"/>
                  <w:marBottom w:val="0"/>
                  <w:divBdr>
                    <w:top w:val="none" w:sz="0" w:space="0" w:color="auto"/>
                    <w:left w:val="none" w:sz="0" w:space="0" w:color="auto"/>
                    <w:bottom w:val="none" w:sz="0" w:space="0" w:color="auto"/>
                    <w:right w:val="none" w:sz="0" w:space="0" w:color="auto"/>
                  </w:divBdr>
                  <w:divsChild>
                    <w:div w:id="607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7442">
          <w:marLeft w:val="0"/>
          <w:marRight w:val="0"/>
          <w:marTop w:val="0"/>
          <w:marBottom w:val="0"/>
          <w:divBdr>
            <w:top w:val="none" w:sz="0" w:space="0" w:color="auto"/>
            <w:left w:val="none" w:sz="0" w:space="0" w:color="auto"/>
            <w:bottom w:val="none" w:sz="0" w:space="0" w:color="auto"/>
            <w:right w:val="none" w:sz="0" w:space="0" w:color="auto"/>
          </w:divBdr>
          <w:divsChild>
            <w:div w:id="1792288524">
              <w:marLeft w:val="0"/>
              <w:marRight w:val="0"/>
              <w:marTop w:val="0"/>
              <w:marBottom w:val="0"/>
              <w:divBdr>
                <w:top w:val="none" w:sz="0" w:space="0" w:color="auto"/>
                <w:left w:val="none" w:sz="0" w:space="0" w:color="auto"/>
                <w:bottom w:val="none" w:sz="0" w:space="0" w:color="auto"/>
                <w:right w:val="none" w:sz="0" w:space="0" w:color="auto"/>
              </w:divBdr>
              <w:divsChild>
                <w:div w:id="201285922">
                  <w:marLeft w:val="0"/>
                  <w:marRight w:val="0"/>
                  <w:marTop w:val="0"/>
                  <w:marBottom w:val="0"/>
                  <w:divBdr>
                    <w:top w:val="none" w:sz="0" w:space="0" w:color="auto"/>
                    <w:left w:val="none" w:sz="0" w:space="0" w:color="auto"/>
                    <w:bottom w:val="none" w:sz="0" w:space="0" w:color="auto"/>
                    <w:right w:val="none" w:sz="0" w:space="0" w:color="auto"/>
                  </w:divBdr>
                  <w:divsChild>
                    <w:div w:id="7735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81026">
      <w:bodyDiv w:val="1"/>
      <w:marLeft w:val="0"/>
      <w:marRight w:val="0"/>
      <w:marTop w:val="0"/>
      <w:marBottom w:val="0"/>
      <w:divBdr>
        <w:top w:val="none" w:sz="0" w:space="0" w:color="auto"/>
        <w:left w:val="none" w:sz="0" w:space="0" w:color="auto"/>
        <w:bottom w:val="none" w:sz="0" w:space="0" w:color="auto"/>
        <w:right w:val="none" w:sz="0" w:space="0" w:color="auto"/>
      </w:divBdr>
    </w:div>
    <w:div w:id="1274898242">
      <w:bodyDiv w:val="1"/>
      <w:marLeft w:val="0"/>
      <w:marRight w:val="0"/>
      <w:marTop w:val="0"/>
      <w:marBottom w:val="0"/>
      <w:divBdr>
        <w:top w:val="none" w:sz="0" w:space="0" w:color="auto"/>
        <w:left w:val="none" w:sz="0" w:space="0" w:color="auto"/>
        <w:bottom w:val="none" w:sz="0" w:space="0" w:color="auto"/>
        <w:right w:val="none" w:sz="0" w:space="0" w:color="auto"/>
      </w:divBdr>
      <w:divsChild>
        <w:div w:id="321666144">
          <w:marLeft w:val="0"/>
          <w:marRight w:val="0"/>
          <w:marTop w:val="0"/>
          <w:marBottom w:val="0"/>
          <w:divBdr>
            <w:top w:val="none" w:sz="0" w:space="0" w:color="auto"/>
            <w:left w:val="none" w:sz="0" w:space="0" w:color="auto"/>
            <w:bottom w:val="none" w:sz="0" w:space="0" w:color="auto"/>
            <w:right w:val="none" w:sz="0" w:space="0" w:color="auto"/>
          </w:divBdr>
          <w:divsChild>
            <w:div w:id="55131611">
              <w:marLeft w:val="0"/>
              <w:marRight w:val="0"/>
              <w:marTop w:val="0"/>
              <w:marBottom w:val="0"/>
              <w:divBdr>
                <w:top w:val="none" w:sz="0" w:space="0" w:color="auto"/>
                <w:left w:val="none" w:sz="0" w:space="0" w:color="auto"/>
                <w:bottom w:val="none" w:sz="0" w:space="0" w:color="auto"/>
                <w:right w:val="none" w:sz="0" w:space="0" w:color="auto"/>
              </w:divBdr>
              <w:divsChild>
                <w:div w:id="130951114">
                  <w:marLeft w:val="0"/>
                  <w:marRight w:val="0"/>
                  <w:marTop w:val="0"/>
                  <w:marBottom w:val="0"/>
                  <w:divBdr>
                    <w:top w:val="none" w:sz="0" w:space="0" w:color="auto"/>
                    <w:left w:val="none" w:sz="0" w:space="0" w:color="auto"/>
                    <w:bottom w:val="none" w:sz="0" w:space="0" w:color="auto"/>
                    <w:right w:val="none" w:sz="0" w:space="0" w:color="auto"/>
                  </w:divBdr>
                  <w:divsChild>
                    <w:div w:id="2263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69633">
      <w:bodyDiv w:val="1"/>
      <w:marLeft w:val="0"/>
      <w:marRight w:val="0"/>
      <w:marTop w:val="0"/>
      <w:marBottom w:val="0"/>
      <w:divBdr>
        <w:top w:val="none" w:sz="0" w:space="0" w:color="auto"/>
        <w:left w:val="none" w:sz="0" w:space="0" w:color="auto"/>
        <w:bottom w:val="none" w:sz="0" w:space="0" w:color="auto"/>
        <w:right w:val="none" w:sz="0" w:space="0" w:color="auto"/>
      </w:divBdr>
      <w:divsChild>
        <w:div w:id="1785803585">
          <w:marLeft w:val="0"/>
          <w:marRight w:val="0"/>
          <w:marTop w:val="0"/>
          <w:marBottom w:val="0"/>
          <w:divBdr>
            <w:top w:val="none" w:sz="0" w:space="0" w:color="auto"/>
            <w:left w:val="none" w:sz="0" w:space="0" w:color="auto"/>
            <w:bottom w:val="none" w:sz="0" w:space="0" w:color="auto"/>
            <w:right w:val="none" w:sz="0" w:space="0" w:color="auto"/>
          </w:divBdr>
          <w:divsChild>
            <w:div w:id="436608251">
              <w:marLeft w:val="0"/>
              <w:marRight w:val="0"/>
              <w:marTop w:val="0"/>
              <w:marBottom w:val="0"/>
              <w:divBdr>
                <w:top w:val="none" w:sz="0" w:space="0" w:color="auto"/>
                <w:left w:val="none" w:sz="0" w:space="0" w:color="auto"/>
                <w:bottom w:val="none" w:sz="0" w:space="0" w:color="auto"/>
                <w:right w:val="none" w:sz="0" w:space="0" w:color="auto"/>
              </w:divBdr>
              <w:divsChild>
                <w:div w:id="303051013">
                  <w:marLeft w:val="0"/>
                  <w:marRight w:val="0"/>
                  <w:marTop w:val="0"/>
                  <w:marBottom w:val="0"/>
                  <w:divBdr>
                    <w:top w:val="none" w:sz="0" w:space="0" w:color="auto"/>
                    <w:left w:val="none" w:sz="0" w:space="0" w:color="auto"/>
                    <w:bottom w:val="none" w:sz="0" w:space="0" w:color="auto"/>
                    <w:right w:val="none" w:sz="0" w:space="0" w:color="auto"/>
                  </w:divBdr>
                  <w:divsChild>
                    <w:div w:id="14288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66203">
      <w:bodyDiv w:val="1"/>
      <w:marLeft w:val="0"/>
      <w:marRight w:val="0"/>
      <w:marTop w:val="0"/>
      <w:marBottom w:val="0"/>
      <w:divBdr>
        <w:top w:val="none" w:sz="0" w:space="0" w:color="auto"/>
        <w:left w:val="none" w:sz="0" w:space="0" w:color="auto"/>
        <w:bottom w:val="none" w:sz="0" w:space="0" w:color="auto"/>
        <w:right w:val="none" w:sz="0" w:space="0" w:color="auto"/>
      </w:divBdr>
      <w:divsChild>
        <w:div w:id="335154522">
          <w:marLeft w:val="0"/>
          <w:marRight w:val="0"/>
          <w:marTop w:val="0"/>
          <w:marBottom w:val="0"/>
          <w:divBdr>
            <w:top w:val="none" w:sz="0" w:space="0" w:color="auto"/>
            <w:left w:val="none" w:sz="0" w:space="0" w:color="auto"/>
            <w:bottom w:val="none" w:sz="0" w:space="0" w:color="auto"/>
            <w:right w:val="none" w:sz="0" w:space="0" w:color="auto"/>
          </w:divBdr>
          <w:divsChild>
            <w:div w:id="18091059">
              <w:marLeft w:val="0"/>
              <w:marRight w:val="0"/>
              <w:marTop w:val="0"/>
              <w:marBottom w:val="0"/>
              <w:divBdr>
                <w:top w:val="none" w:sz="0" w:space="0" w:color="auto"/>
                <w:left w:val="none" w:sz="0" w:space="0" w:color="auto"/>
                <w:bottom w:val="none" w:sz="0" w:space="0" w:color="auto"/>
                <w:right w:val="none" w:sz="0" w:space="0" w:color="auto"/>
              </w:divBdr>
              <w:divsChild>
                <w:div w:id="1740252052">
                  <w:marLeft w:val="0"/>
                  <w:marRight w:val="0"/>
                  <w:marTop w:val="0"/>
                  <w:marBottom w:val="0"/>
                  <w:divBdr>
                    <w:top w:val="none" w:sz="0" w:space="0" w:color="auto"/>
                    <w:left w:val="none" w:sz="0" w:space="0" w:color="auto"/>
                    <w:bottom w:val="none" w:sz="0" w:space="0" w:color="auto"/>
                    <w:right w:val="none" w:sz="0" w:space="0" w:color="auto"/>
                  </w:divBdr>
                  <w:divsChild>
                    <w:div w:id="17146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11796">
      <w:bodyDiv w:val="1"/>
      <w:marLeft w:val="0"/>
      <w:marRight w:val="0"/>
      <w:marTop w:val="0"/>
      <w:marBottom w:val="0"/>
      <w:divBdr>
        <w:top w:val="none" w:sz="0" w:space="0" w:color="auto"/>
        <w:left w:val="none" w:sz="0" w:space="0" w:color="auto"/>
        <w:bottom w:val="none" w:sz="0" w:space="0" w:color="auto"/>
        <w:right w:val="none" w:sz="0" w:space="0" w:color="auto"/>
      </w:divBdr>
    </w:div>
    <w:div w:id="1329483533">
      <w:bodyDiv w:val="1"/>
      <w:marLeft w:val="0"/>
      <w:marRight w:val="0"/>
      <w:marTop w:val="0"/>
      <w:marBottom w:val="0"/>
      <w:divBdr>
        <w:top w:val="none" w:sz="0" w:space="0" w:color="auto"/>
        <w:left w:val="none" w:sz="0" w:space="0" w:color="auto"/>
        <w:bottom w:val="none" w:sz="0" w:space="0" w:color="auto"/>
        <w:right w:val="none" w:sz="0" w:space="0" w:color="auto"/>
      </w:divBdr>
    </w:div>
    <w:div w:id="1375689576">
      <w:bodyDiv w:val="1"/>
      <w:marLeft w:val="0"/>
      <w:marRight w:val="0"/>
      <w:marTop w:val="0"/>
      <w:marBottom w:val="0"/>
      <w:divBdr>
        <w:top w:val="none" w:sz="0" w:space="0" w:color="auto"/>
        <w:left w:val="none" w:sz="0" w:space="0" w:color="auto"/>
        <w:bottom w:val="none" w:sz="0" w:space="0" w:color="auto"/>
        <w:right w:val="none" w:sz="0" w:space="0" w:color="auto"/>
      </w:divBdr>
    </w:div>
    <w:div w:id="1381977223">
      <w:bodyDiv w:val="1"/>
      <w:marLeft w:val="0"/>
      <w:marRight w:val="0"/>
      <w:marTop w:val="0"/>
      <w:marBottom w:val="0"/>
      <w:divBdr>
        <w:top w:val="none" w:sz="0" w:space="0" w:color="auto"/>
        <w:left w:val="none" w:sz="0" w:space="0" w:color="auto"/>
        <w:bottom w:val="none" w:sz="0" w:space="0" w:color="auto"/>
        <w:right w:val="none" w:sz="0" w:space="0" w:color="auto"/>
      </w:divBdr>
      <w:divsChild>
        <w:div w:id="1885287123">
          <w:marLeft w:val="0"/>
          <w:marRight w:val="0"/>
          <w:marTop w:val="0"/>
          <w:marBottom w:val="0"/>
          <w:divBdr>
            <w:top w:val="none" w:sz="0" w:space="0" w:color="auto"/>
            <w:left w:val="none" w:sz="0" w:space="0" w:color="auto"/>
            <w:bottom w:val="none" w:sz="0" w:space="0" w:color="auto"/>
            <w:right w:val="none" w:sz="0" w:space="0" w:color="auto"/>
          </w:divBdr>
          <w:divsChild>
            <w:div w:id="1173111092">
              <w:marLeft w:val="0"/>
              <w:marRight w:val="0"/>
              <w:marTop w:val="0"/>
              <w:marBottom w:val="0"/>
              <w:divBdr>
                <w:top w:val="none" w:sz="0" w:space="0" w:color="auto"/>
                <w:left w:val="none" w:sz="0" w:space="0" w:color="auto"/>
                <w:bottom w:val="none" w:sz="0" w:space="0" w:color="auto"/>
                <w:right w:val="none" w:sz="0" w:space="0" w:color="auto"/>
              </w:divBdr>
              <w:divsChild>
                <w:div w:id="1976719802">
                  <w:marLeft w:val="0"/>
                  <w:marRight w:val="0"/>
                  <w:marTop w:val="0"/>
                  <w:marBottom w:val="0"/>
                  <w:divBdr>
                    <w:top w:val="none" w:sz="0" w:space="0" w:color="auto"/>
                    <w:left w:val="none" w:sz="0" w:space="0" w:color="auto"/>
                    <w:bottom w:val="none" w:sz="0" w:space="0" w:color="auto"/>
                    <w:right w:val="none" w:sz="0" w:space="0" w:color="auto"/>
                  </w:divBdr>
                  <w:divsChild>
                    <w:div w:id="21287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4574">
      <w:bodyDiv w:val="1"/>
      <w:marLeft w:val="0"/>
      <w:marRight w:val="0"/>
      <w:marTop w:val="0"/>
      <w:marBottom w:val="0"/>
      <w:divBdr>
        <w:top w:val="none" w:sz="0" w:space="0" w:color="auto"/>
        <w:left w:val="none" w:sz="0" w:space="0" w:color="auto"/>
        <w:bottom w:val="none" w:sz="0" w:space="0" w:color="auto"/>
        <w:right w:val="none" w:sz="0" w:space="0" w:color="auto"/>
      </w:divBdr>
      <w:divsChild>
        <w:div w:id="484198741">
          <w:marLeft w:val="0"/>
          <w:marRight w:val="0"/>
          <w:marTop w:val="0"/>
          <w:marBottom w:val="0"/>
          <w:divBdr>
            <w:top w:val="none" w:sz="0" w:space="0" w:color="auto"/>
            <w:left w:val="none" w:sz="0" w:space="0" w:color="auto"/>
            <w:bottom w:val="none" w:sz="0" w:space="0" w:color="auto"/>
            <w:right w:val="none" w:sz="0" w:space="0" w:color="auto"/>
          </w:divBdr>
          <w:divsChild>
            <w:div w:id="1294601134">
              <w:marLeft w:val="0"/>
              <w:marRight w:val="0"/>
              <w:marTop w:val="0"/>
              <w:marBottom w:val="0"/>
              <w:divBdr>
                <w:top w:val="none" w:sz="0" w:space="0" w:color="auto"/>
                <w:left w:val="none" w:sz="0" w:space="0" w:color="auto"/>
                <w:bottom w:val="none" w:sz="0" w:space="0" w:color="auto"/>
                <w:right w:val="none" w:sz="0" w:space="0" w:color="auto"/>
              </w:divBdr>
              <w:divsChild>
                <w:div w:id="322587685">
                  <w:marLeft w:val="0"/>
                  <w:marRight w:val="0"/>
                  <w:marTop w:val="0"/>
                  <w:marBottom w:val="0"/>
                  <w:divBdr>
                    <w:top w:val="none" w:sz="0" w:space="0" w:color="auto"/>
                    <w:left w:val="none" w:sz="0" w:space="0" w:color="auto"/>
                    <w:bottom w:val="none" w:sz="0" w:space="0" w:color="auto"/>
                    <w:right w:val="none" w:sz="0" w:space="0" w:color="auto"/>
                  </w:divBdr>
                  <w:divsChild>
                    <w:div w:id="5572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67">
      <w:bodyDiv w:val="1"/>
      <w:marLeft w:val="0"/>
      <w:marRight w:val="0"/>
      <w:marTop w:val="0"/>
      <w:marBottom w:val="0"/>
      <w:divBdr>
        <w:top w:val="none" w:sz="0" w:space="0" w:color="auto"/>
        <w:left w:val="none" w:sz="0" w:space="0" w:color="auto"/>
        <w:bottom w:val="none" w:sz="0" w:space="0" w:color="auto"/>
        <w:right w:val="none" w:sz="0" w:space="0" w:color="auto"/>
      </w:divBdr>
      <w:divsChild>
        <w:div w:id="1351639165">
          <w:marLeft w:val="0"/>
          <w:marRight w:val="0"/>
          <w:marTop w:val="0"/>
          <w:marBottom w:val="0"/>
          <w:divBdr>
            <w:top w:val="none" w:sz="0" w:space="0" w:color="auto"/>
            <w:left w:val="none" w:sz="0" w:space="0" w:color="auto"/>
            <w:bottom w:val="none" w:sz="0" w:space="0" w:color="auto"/>
            <w:right w:val="none" w:sz="0" w:space="0" w:color="auto"/>
          </w:divBdr>
          <w:divsChild>
            <w:div w:id="1330324688">
              <w:marLeft w:val="0"/>
              <w:marRight w:val="0"/>
              <w:marTop w:val="0"/>
              <w:marBottom w:val="0"/>
              <w:divBdr>
                <w:top w:val="none" w:sz="0" w:space="0" w:color="auto"/>
                <w:left w:val="none" w:sz="0" w:space="0" w:color="auto"/>
                <w:bottom w:val="none" w:sz="0" w:space="0" w:color="auto"/>
                <w:right w:val="none" w:sz="0" w:space="0" w:color="auto"/>
              </w:divBdr>
              <w:divsChild>
                <w:div w:id="1676683169">
                  <w:marLeft w:val="0"/>
                  <w:marRight w:val="0"/>
                  <w:marTop w:val="0"/>
                  <w:marBottom w:val="0"/>
                  <w:divBdr>
                    <w:top w:val="none" w:sz="0" w:space="0" w:color="auto"/>
                    <w:left w:val="none" w:sz="0" w:space="0" w:color="auto"/>
                    <w:bottom w:val="none" w:sz="0" w:space="0" w:color="auto"/>
                    <w:right w:val="none" w:sz="0" w:space="0" w:color="auto"/>
                  </w:divBdr>
                  <w:divsChild>
                    <w:div w:id="6286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18902">
      <w:bodyDiv w:val="1"/>
      <w:marLeft w:val="0"/>
      <w:marRight w:val="0"/>
      <w:marTop w:val="0"/>
      <w:marBottom w:val="0"/>
      <w:divBdr>
        <w:top w:val="none" w:sz="0" w:space="0" w:color="auto"/>
        <w:left w:val="none" w:sz="0" w:space="0" w:color="auto"/>
        <w:bottom w:val="none" w:sz="0" w:space="0" w:color="auto"/>
        <w:right w:val="none" w:sz="0" w:space="0" w:color="auto"/>
      </w:divBdr>
      <w:divsChild>
        <w:div w:id="529269078">
          <w:marLeft w:val="0"/>
          <w:marRight w:val="0"/>
          <w:marTop w:val="0"/>
          <w:marBottom w:val="0"/>
          <w:divBdr>
            <w:top w:val="none" w:sz="0" w:space="0" w:color="auto"/>
            <w:left w:val="none" w:sz="0" w:space="0" w:color="auto"/>
            <w:bottom w:val="none" w:sz="0" w:space="0" w:color="auto"/>
            <w:right w:val="none" w:sz="0" w:space="0" w:color="auto"/>
          </w:divBdr>
          <w:divsChild>
            <w:div w:id="1579242246">
              <w:marLeft w:val="0"/>
              <w:marRight w:val="0"/>
              <w:marTop w:val="0"/>
              <w:marBottom w:val="0"/>
              <w:divBdr>
                <w:top w:val="none" w:sz="0" w:space="0" w:color="auto"/>
                <w:left w:val="none" w:sz="0" w:space="0" w:color="auto"/>
                <w:bottom w:val="none" w:sz="0" w:space="0" w:color="auto"/>
                <w:right w:val="none" w:sz="0" w:space="0" w:color="auto"/>
              </w:divBdr>
              <w:divsChild>
                <w:div w:id="527524676">
                  <w:marLeft w:val="0"/>
                  <w:marRight w:val="0"/>
                  <w:marTop w:val="0"/>
                  <w:marBottom w:val="0"/>
                  <w:divBdr>
                    <w:top w:val="none" w:sz="0" w:space="0" w:color="auto"/>
                    <w:left w:val="none" w:sz="0" w:space="0" w:color="auto"/>
                    <w:bottom w:val="none" w:sz="0" w:space="0" w:color="auto"/>
                    <w:right w:val="none" w:sz="0" w:space="0" w:color="auto"/>
                  </w:divBdr>
                  <w:divsChild>
                    <w:div w:id="1749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4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6961">
          <w:marLeft w:val="0"/>
          <w:marRight w:val="0"/>
          <w:marTop w:val="0"/>
          <w:marBottom w:val="0"/>
          <w:divBdr>
            <w:top w:val="none" w:sz="0" w:space="0" w:color="auto"/>
            <w:left w:val="none" w:sz="0" w:space="0" w:color="auto"/>
            <w:bottom w:val="none" w:sz="0" w:space="0" w:color="auto"/>
            <w:right w:val="none" w:sz="0" w:space="0" w:color="auto"/>
          </w:divBdr>
          <w:divsChild>
            <w:div w:id="775563992">
              <w:marLeft w:val="0"/>
              <w:marRight w:val="0"/>
              <w:marTop w:val="0"/>
              <w:marBottom w:val="0"/>
              <w:divBdr>
                <w:top w:val="none" w:sz="0" w:space="0" w:color="auto"/>
                <w:left w:val="none" w:sz="0" w:space="0" w:color="auto"/>
                <w:bottom w:val="none" w:sz="0" w:space="0" w:color="auto"/>
                <w:right w:val="none" w:sz="0" w:space="0" w:color="auto"/>
              </w:divBdr>
              <w:divsChild>
                <w:div w:id="1667594223">
                  <w:marLeft w:val="0"/>
                  <w:marRight w:val="0"/>
                  <w:marTop w:val="0"/>
                  <w:marBottom w:val="0"/>
                  <w:divBdr>
                    <w:top w:val="none" w:sz="0" w:space="0" w:color="auto"/>
                    <w:left w:val="none" w:sz="0" w:space="0" w:color="auto"/>
                    <w:bottom w:val="none" w:sz="0" w:space="0" w:color="auto"/>
                    <w:right w:val="none" w:sz="0" w:space="0" w:color="auto"/>
                  </w:divBdr>
                  <w:divsChild>
                    <w:div w:id="1219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02923">
      <w:bodyDiv w:val="1"/>
      <w:marLeft w:val="0"/>
      <w:marRight w:val="0"/>
      <w:marTop w:val="0"/>
      <w:marBottom w:val="0"/>
      <w:divBdr>
        <w:top w:val="none" w:sz="0" w:space="0" w:color="auto"/>
        <w:left w:val="none" w:sz="0" w:space="0" w:color="auto"/>
        <w:bottom w:val="none" w:sz="0" w:space="0" w:color="auto"/>
        <w:right w:val="none" w:sz="0" w:space="0" w:color="auto"/>
      </w:divBdr>
    </w:div>
    <w:div w:id="1489201932">
      <w:bodyDiv w:val="1"/>
      <w:marLeft w:val="0"/>
      <w:marRight w:val="0"/>
      <w:marTop w:val="0"/>
      <w:marBottom w:val="0"/>
      <w:divBdr>
        <w:top w:val="none" w:sz="0" w:space="0" w:color="auto"/>
        <w:left w:val="none" w:sz="0" w:space="0" w:color="auto"/>
        <w:bottom w:val="none" w:sz="0" w:space="0" w:color="auto"/>
        <w:right w:val="none" w:sz="0" w:space="0" w:color="auto"/>
      </w:divBdr>
      <w:divsChild>
        <w:div w:id="661860227">
          <w:marLeft w:val="0"/>
          <w:marRight w:val="0"/>
          <w:marTop w:val="0"/>
          <w:marBottom w:val="0"/>
          <w:divBdr>
            <w:top w:val="none" w:sz="0" w:space="0" w:color="auto"/>
            <w:left w:val="none" w:sz="0" w:space="0" w:color="auto"/>
            <w:bottom w:val="none" w:sz="0" w:space="0" w:color="auto"/>
            <w:right w:val="none" w:sz="0" w:space="0" w:color="auto"/>
          </w:divBdr>
          <w:divsChild>
            <w:div w:id="1580677792">
              <w:marLeft w:val="0"/>
              <w:marRight w:val="0"/>
              <w:marTop w:val="0"/>
              <w:marBottom w:val="0"/>
              <w:divBdr>
                <w:top w:val="none" w:sz="0" w:space="0" w:color="auto"/>
                <w:left w:val="none" w:sz="0" w:space="0" w:color="auto"/>
                <w:bottom w:val="none" w:sz="0" w:space="0" w:color="auto"/>
                <w:right w:val="none" w:sz="0" w:space="0" w:color="auto"/>
              </w:divBdr>
              <w:divsChild>
                <w:div w:id="526411972">
                  <w:marLeft w:val="0"/>
                  <w:marRight w:val="0"/>
                  <w:marTop w:val="0"/>
                  <w:marBottom w:val="0"/>
                  <w:divBdr>
                    <w:top w:val="none" w:sz="0" w:space="0" w:color="auto"/>
                    <w:left w:val="none" w:sz="0" w:space="0" w:color="auto"/>
                    <w:bottom w:val="none" w:sz="0" w:space="0" w:color="auto"/>
                    <w:right w:val="none" w:sz="0" w:space="0" w:color="auto"/>
                  </w:divBdr>
                  <w:divsChild>
                    <w:div w:id="20629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13212">
      <w:bodyDiv w:val="1"/>
      <w:marLeft w:val="0"/>
      <w:marRight w:val="0"/>
      <w:marTop w:val="0"/>
      <w:marBottom w:val="0"/>
      <w:divBdr>
        <w:top w:val="none" w:sz="0" w:space="0" w:color="auto"/>
        <w:left w:val="none" w:sz="0" w:space="0" w:color="auto"/>
        <w:bottom w:val="none" w:sz="0" w:space="0" w:color="auto"/>
        <w:right w:val="none" w:sz="0" w:space="0" w:color="auto"/>
      </w:divBdr>
      <w:divsChild>
        <w:div w:id="1767529571">
          <w:marLeft w:val="0"/>
          <w:marRight w:val="0"/>
          <w:marTop w:val="0"/>
          <w:marBottom w:val="0"/>
          <w:divBdr>
            <w:top w:val="none" w:sz="0" w:space="0" w:color="auto"/>
            <w:left w:val="none" w:sz="0" w:space="0" w:color="auto"/>
            <w:bottom w:val="none" w:sz="0" w:space="0" w:color="auto"/>
            <w:right w:val="none" w:sz="0" w:space="0" w:color="auto"/>
          </w:divBdr>
          <w:divsChild>
            <w:div w:id="1187058242">
              <w:marLeft w:val="0"/>
              <w:marRight w:val="0"/>
              <w:marTop w:val="0"/>
              <w:marBottom w:val="0"/>
              <w:divBdr>
                <w:top w:val="none" w:sz="0" w:space="0" w:color="auto"/>
                <w:left w:val="none" w:sz="0" w:space="0" w:color="auto"/>
                <w:bottom w:val="none" w:sz="0" w:space="0" w:color="auto"/>
                <w:right w:val="none" w:sz="0" w:space="0" w:color="auto"/>
              </w:divBdr>
              <w:divsChild>
                <w:div w:id="1047296387">
                  <w:marLeft w:val="0"/>
                  <w:marRight w:val="0"/>
                  <w:marTop w:val="0"/>
                  <w:marBottom w:val="0"/>
                  <w:divBdr>
                    <w:top w:val="none" w:sz="0" w:space="0" w:color="auto"/>
                    <w:left w:val="none" w:sz="0" w:space="0" w:color="auto"/>
                    <w:bottom w:val="none" w:sz="0" w:space="0" w:color="auto"/>
                    <w:right w:val="none" w:sz="0" w:space="0" w:color="auto"/>
                  </w:divBdr>
                  <w:divsChild>
                    <w:div w:id="11569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9460">
      <w:bodyDiv w:val="1"/>
      <w:marLeft w:val="0"/>
      <w:marRight w:val="0"/>
      <w:marTop w:val="0"/>
      <w:marBottom w:val="0"/>
      <w:divBdr>
        <w:top w:val="none" w:sz="0" w:space="0" w:color="auto"/>
        <w:left w:val="none" w:sz="0" w:space="0" w:color="auto"/>
        <w:bottom w:val="none" w:sz="0" w:space="0" w:color="auto"/>
        <w:right w:val="none" w:sz="0" w:space="0" w:color="auto"/>
      </w:divBdr>
      <w:divsChild>
        <w:div w:id="915750628">
          <w:marLeft w:val="0"/>
          <w:marRight w:val="0"/>
          <w:marTop w:val="0"/>
          <w:marBottom w:val="0"/>
          <w:divBdr>
            <w:top w:val="none" w:sz="0" w:space="0" w:color="auto"/>
            <w:left w:val="none" w:sz="0" w:space="0" w:color="auto"/>
            <w:bottom w:val="none" w:sz="0" w:space="0" w:color="auto"/>
            <w:right w:val="none" w:sz="0" w:space="0" w:color="auto"/>
          </w:divBdr>
          <w:divsChild>
            <w:div w:id="1157960330">
              <w:marLeft w:val="0"/>
              <w:marRight w:val="0"/>
              <w:marTop w:val="0"/>
              <w:marBottom w:val="0"/>
              <w:divBdr>
                <w:top w:val="none" w:sz="0" w:space="0" w:color="auto"/>
                <w:left w:val="none" w:sz="0" w:space="0" w:color="auto"/>
                <w:bottom w:val="none" w:sz="0" w:space="0" w:color="auto"/>
                <w:right w:val="none" w:sz="0" w:space="0" w:color="auto"/>
              </w:divBdr>
              <w:divsChild>
                <w:div w:id="337929158">
                  <w:marLeft w:val="0"/>
                  <w:marRight w:val="0"/>
                  <w:marTop w:val="0"/>
                  <w:marBottom w:val="0"/>
                  <w:divBdr>
                    <w:top w:val="none" w:sz="0" w:space="0" w:color="auto"/>
                    <w:left w:val="none" w:sz="0" w:space="0" w:color="auto"/>
                    <w:bottom w:val="none" w:sz="0" w:space="0" w:color="auto"/>
                    <w:right w:val="none" w:sz="0" w:space="0" w:color="auto"/>
                  </w:divBdr>
                  <w:divsChild>
                    <w:div w:id="6014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471">
      <w:bodyDiv w:val="1"/>
      <w:marLeft w:val="0"/>
      <w:marRight w:val="0"/>
      <w:marTop w:val="0"/>
      <w:marBottom w:val="0"/>
      <w:divBdr>
        <w:top w:val="none" w:sz="0" w:space="0" w:color="auto"/>
        <w:left w:val="none" w:sz="0" w:space="0" w:color="auto"/>
        <w:bottom w:val="none" w:sz="0" w:space="0" w:color="auto"/>
        <w:right w:val="none" w:sz="0" w:space="0" w:color="auto"/>
      </w:divBdr>
    </w:div>
    <w:div w:id="1638216780">
      <w:bodyDiv w:val="1"/>
      <w:marLeft w:val="0"/>
      <w:marRight w:val="0"/>
      <w:marTop w:val="0"/>
      <w:marBottom w:val="0"/>
      <w:divBdr>
        <w:top w:val="none" w:sz="0" w:space="0" w:color="auto"/>
        <w:left w:val="none" w:sz="0" w:space="0" w:color="auto"/>
        <w:bottom w:val="none" w:sz="0" w:space="0" w:color="auto"/>
        <w:right w:val="none" w:sz="0" w:space="0" w:color="auto"/>
      </w:divBdr>
    </w:div>
    <w:div w:id="1732538505">
      <w:bodyDiv w:val="1"/>
      <w:marLeft w:val="0"/>
      <w:marRight w:val="0"/>
      <w:marTop w:val="0"/>
      <w:marBottom w:val="0"/>
      <w:divBdr>
        <w:top w:val="none" w:sz="0" w:space="0" w:color="auto"/>
        <w:left w:val="none" w:sz="0" w:space="0" w:color="auto"/>
        <w:bottom w:val="none" w:sz="0" w:space="0" w:color="auto"/>
        <w:right w:val="none" w:sz="0" w:space="0" w:color="auto"/>
      </w:divBdr>
      <w:divsChild>
        <w:div w:id="429161880">
          <w:marLeft w:val="0"/>
          <w:marRight w:val="0"/>
          <w:marTop w:val="0"/>
          <w:marBottom w:val="0"/>
          <w:divBdr>
            <w:top w:val="none" w:sz="0" w:space="0" w:color="auto"/>
            <w:left w:val="none" w:sz="0" w:space="0" w:color="auto"/>
            <w:bottom w:val="none" w:sz="0" w:space="0" w:color="auto"/>
            <w:right w:val="none" w:sz="0" w:space="0" w:color="auto"/>
          </w:divBdr>
          <w:divsChild>
            <w:div w:id="693920962">
              <w:marLeft w:val="0"/>
              <w:marRight w:val="0"/>
              <w:marTop w:val="0"/>
              <w:marBottom w:val="0"/>
              <w:divBdr>
                <w:top w:val="none" w:sz="0" w:space="0" w:color="auto"/>
                <w:left w:val="none" w:sz="0" w:space="0" w:color="auto"/>
                <w:bottom w:val="none" w:sz="0" w:space="0" w:color="auto"/>
                <w:right w:val="none" w:sz="0" w:space="0" w:color="auto"/>
              </w:divBdr>
              <w:divsChild>
                <w:div w:id="1210386036">
                  <w:marLeft w:val="0"/>
                  <w:marRight w:val="0"/>
                  <w:marTop w:val="0"/>
                  <w:marBottom w:val="0"/>
                  <w:divBdr>
                    <w:top w:val="none" w:sz="0" w:space="0" w:color="auto"/>
                    <w:left w:val="none" w:sz="0" w:space="0" w:color="auto"/>
                    <w:bottom w:val="none" w:sz="0" w:space="0" w:color="auto"/>
                    <w:right w:val="none" w:sz="0" w:space="0" w:color="auto"/>
                  </w:divBdr>
                  <w:divsChild>
                    <w:div w:id="776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33852">
      <w:bodyDiv w:val="1"/>
      <w:marLeft w:val="0"/>
      <w:marRight w:val="0"/>
      <w:marTop w:val="0"/>
      <w:marBottom w:val="0"/>
      <w:divBdr>
        <w:top w:val="none" w:sz="0" w:space="0" w:color="auto"/>
        <w:left w:val="none" w:sz="0" w:space="0" w:color="auto"/>
        <w:bottom w:val="none" w:sz="0" w:space="0" w:color="auto"/>
        <w:right w:val="none" w:sz="0" w:space="0" w:color="auto"/>
      </w:divBdr>
      <w:divsChild>
        <w:div w:id="858663531">
          <w:marLeft w:val="0"/>
          <w:marRight w:val="0"/>
          <w:marTop w:val="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sChild>
                <w:div w:id="1612584805">
                  <w:marLeft w:val="0"/>
                  <w:marRight w:val="0"/>
                  <w:marTop w:val="0"/>
                  <w:marBottom w:val="0"/>
                  <w:divBdr>
                    <w:top w:val="none" w:sz="0" w:space="0" w:color="auto"/>
                    <w:left w:val="none" w:sz="0" w:space="0" w:color="auto"/>
                    <w:bottom w:val="none" w:sz="0" w:space="0" w:color="auto"/>
                    <w:right w:val="none" w:sz="0" w:space="0" w:color="auto"/>
                  </w:divBdr>
                  <w:divsChild>
                    <w:div w:id="8520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499951">
      <w:bodyDiv w:val="1"/>
      <w:marLeft w:val="0"/>
      <w:marRight w:val="0"/>
      <w:marTop w:val="0"/>
      <w:marBottom w:val="0"/>
      <w:divBdr>
        <w:top w:val="none" w:sz="0" w:space="0" w:color="auto"/>
        <w:left w:val="none" w:sz="0" w:space="0" w:color="auto"/>
        <w:bottom w:val="none" w:sz="0" w:space="0" w:color="auto"/>
        <w:right w:val="none" w:sz="0" w:space="0" w:color="auto"/>
      </w:divBdr>
      <w:divsChild>
        <w:div w:id="953900121">
          <w:marLeft w:val="0"/>
          <w:marRight w:val="0"/>
          <w:marTop w:val="0"/>
          <w:marBottom w:val="0"/>
          <w:divBdr>
            <w:top w:val="none" w:sz="0" w:space="0" w:color="auto"/>
            <w:left w:val="none" w:sz="0" w:space="0" w:color="auto"/>
            <w:bottom w:val="none" w:sz="0" w:space="0" w:color="auto"/>
            <w:right w:val="none" w:sz="0" w:space="0" w:color="auto"/>
          </w:divBdr>
          <w:divsChild>
            <w:div w:id="712310942">
              <w:marLeft w:val="0"/>
              <w:marRight w:val="0"/>
              <w:marTop w:val="0"/>
              <w:marBottom w:val="0"/>
              <w:divBdr>
                <w:top w:val="none" w:sz="0" w:space="0" w:color="auto"/>
                <w:left w:val="none" w:sz="0" w:space="0" w:color="auto"/>
                <w:bottom w:val="none" w:sz="0" w:space="0" w:color="auto"/>
                <w:right w:val="none" w:sz="0" w:space="0" w:color="auto"/>
              </w:divBdr>
              <w:divsChild>
                <w:div w:id="797644069">
                  <w:marLeft w:val="0"/>
                  <w:marRight w:val="0"/>
                  <w:marTop w:val="0"/>
                  <w:marBottom w:val="0"/>
                  <w:divBdr>
                    <w:top w:val="none" w:sz="0" w:space="0" w:color="auto"/>
                    <w:left w:val="none" w:sz="0" w:space="0" w:color="auto"/>
                    <w:bottom w:val="none" w:sz="0" w:space="0" w:color="auto"/>
                    <w:right w:val="none" w:sz="0" w:space="0" w:color="auto"/>
                  </w:divBdr>
                  <w:divsChild>
                    <w:div w:id="17162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68251">
      <w:bodyDiv w:val="1"/>
      <w:marLeft w:val="0"/>
      <w:marRight w:val="0"/>
      <w:marTop w:val="0"/>
      <w:marBottom w:val="0"/>
      <w:divBdr>
        <w:top w:val="none" w:sz="0" w:space="0" w:color="auto"/>
        <w:left w:val="none" w:sz="0" w:space="0" w:color="auto"/>
        <w:bottom w:val="none" w:sz="0" w:space="0" w:color="auto"/>
        <w:right w:val="none" w:sz="0" w:space="0" w:color="auto"/>
      </w:divBdr>
    </w:div>
    <w:div w:id="1806661350">
      <w:bodyDiv w:val="1"/>
      <w:marLeft w:val="0"/>
      <w:marRight w:val="0"/>
      <w:marTop w:val="0"/>
      <w:marBottom w:val="0"/>
      <w:divBdr>
        <w:top w:val="none" w:sz="0" w:space="0" w:color="auto"/>
        <w:left w:val="none" w:sz="0" w:space="0" w:color="auto"/>
        <w:bottom w:val="none" w:sz="0" w:space="0" w:color="auto"/>
        <w:right w:val="none" w:sz="0" w:space="0" w:color="auto"/>
      </w:divBdr>
      <w:divsChild>
        <w:div w:id="1211191131">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40441408">
                  <w:marLeft w:val="0"/>
                  <w:marRight w:val="0"/>
                  <w:marTop w:val="0"/>
                  <w:marBottom w:val="0"/>
                  <w:divBdr>
                    <w:top w:val="none" w:sz="0" w:space="0" w:color="auto"/>
                    <w:left w:val="none" w:sz="0" w:space="0" w:color="auto"/>
                    <w:bottom w:val="none" w:sz="0" w:space="0" w:color="auto"/>
                    <w:right w:val="none" w:sz="0" w:space="0" w:color="auto"/>
                  </w:divBdr>
                  <w:divsChild>
                    <w:div w:id="13465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2322">
      <w:bodyDiv w:val="1"/>
      <w:marLeft w:val="0"/>
      <w:marRight w:val="0"/>
      <w:marTop w:val="0"/>
      <w:marBottom w:val="0"/>
      <w:divBdr>
        <w:top w:val="none" w:sz="0" w:space="0" w:color="auto"/>
        <w:left w:val="none" w:sz="0" w:space="0" w:color="auto"/>
        <w:bottom w:val="none" w:sz="0" w:space="0" w:color="auto"/>
        <w:right w:val="none" w:sz="0" w:space="0" w:color="auto"/>
      </w:divBdr>
      <w:divsChild>
        <w:div w:id="1965231870">
          <w:marLeft w:val="0"/>
          <w:marRight w:val="0"/>
          <w:marTop w:val="0"/>
          <w:marBottom w:val="0"/>
          <w:divBdr>
            <w:top w:val="none" w:sz="0" w:space="0" w:color="auto"/>
            <w:left w:val="none" w:sz="0" w:space="0" w:color="auto"/>
            <w:bottom w:val="none" w:sz="0" w:space="0" w:color="auto"/>
            <w:right w:val="none" w:sz="0" w:space="0" w:color="auto"/>
          </w:divBdr>
          <w:divsChild>
            <w:div w:id="1377126051">
              <w:marLeft w:val="0"/>
              <w:marRight w:val="0"/>
              <w:marTop w:val="0"/>
              <w:marBottom w:val="0"/>
              <w:divBdr>
                <w:top w:val="none" w:sz="0" w:space="0" w:color="auto"/>
                <w:left w:val="none" w:sz="0" w:space="0" w:color="auto"/>
                <w:bottom w:val="none" w:sz="0" w:space="0" w:color="auto"/>
                <w:right w:val="none" w:sz="0" w:space="0" w:color="auto"/>
              </w:divBdr>
              <w:divsChild>
                <w:div w:id="1310666644">
                  <w:marLeft w:val="0"/>
                  <w:marRight w:val="0"/>
                  <w:marTop w:val="0"/>
                  <w:marBottom w:val="0"/>
                  <w:divBdr>
                    <w:top w:val="none" w:sz="0" w:space="0" w:color="auto"/>
                    <w:left w:val="none" w:sz="0" w:space="0" w:color="auto"/>
                    <w:bottom w:val="none" w:sz="0" w:space="0" w:color="auto"/>
                    <w:right w:val="none" w:sz="0" w:space="0" w:color="auto"/>
                  </w:divBdr>
                  <w:divsChild>
                    <w:div w:id="945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934">
          <w:marLeft w:val="0"/>
          <w:marRight w:val="0"/>
          <w:marTop w:val="0"/>
          <w:marBottom w:val="0"/>
          <w:divBdr>
            <w:top w:val="none" w:sz="0" w:space="0" w:color="auto"/>
            <w:left w:val="none" w:sz="0" w:space="0" w:color="auto"/>
            <w:bottom w:val="none" w:sz="0" w:space="0" w:color="auto"/>
            <w:right w:val="none" w:sz="0" w:space="0" w:color="auto"/>
          </w:divBdr>
          <w:divsChild>
            <w:div w:id="814571322">
              <w:marLeft w:val="0"/>
              <w:marRight w:val="0"/>
              <w:marTop w:val="0"/>
              <w:marBottom w:val="0"/>
              <w:divBdr>
                <w:top w:val="none" w:sz="0" w:space="0" w:color="auto"/>
                <w:left w:val="none" w:sz="0" w:space="0" w:color="auto"/>
                <w:bottom w:val="none" w:sz="0" w:space="0" w:color="auto"/>
                <w:right w:val="none" w:sz="0" w:space="0" w:color="auto"/>
              </w:divBdr>
              <w:divsChild>
                <w:div w:id="1660814784">
                  <w:marLeft w:val="0"/>
                  <w:marRight w:val="0"/>
                  <w:marTop w:val="0"/>
                  <w:marBottom w:val="0"/>
                  <w:divBdr>
                    <w:top w:val="none" w:sz="0" w:space="0" w:color="auto"/>
                    <w:left w:val="none" w:sz="0" w:space="0" w:color="auto"/>
                    <w:bottom w:val="none" w:sz="0" w:space="0" w:color="auto"/>
                    <w:right w:val="none" w:sz="0" w:space="0" w:color="auto"/>
                  </w:divBdr>
                  <w:divsChild>
                    <w:div w:id="9033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21676">
      <w:bodyDiv w:val="1"/>
      <w:marLeft w:val="0"/>
      <w:marRight w:val="0"/>
      <w:marTop w:val="0"/>
      <w:marBottom w:val="0"/>
      <w:divBdr>
        <w:top w:val="none" w:sz="0" w:space="0" w:color="auto"/>
        <w:left w:val="none" w:sz="0" w:space="0" w:color="auto"/>
        <w:bottom w:val="none" w:sz="0" w:space="0" w:color="auto"/>
        <w:right w:val="none" w:sz="0" w:space="0" w:color="auto"/>
      </w:divBdr>
      <w:divsChild>
        <w:div w:id="530463010">
          <w:marLeft w:val="0"/>
          <w:marRight w:val="0"/>
          <w:marTop w:val="0"/>
          <w:marBottom w:val="0"/>
          <w:divBdr>
            <w:top w:val="none" w:sz="0" w:space="0" w:color="auto"/>
            <w:left w:val="none" w:sz="0" w:space="0" w:color="auto"/>
            <w:bottom w:val="none" w:sz="0" w:space="0" w:color="auto"/>
            <w:right w:val="none" w:sz="0" w:space="0" w:color="auto"/>
          </w:divBdr>
          <w:divsChild>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sChild>
                    <w:div w:id="6830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28979">
      <w:bodyDiv w:val="1"/>
      <w:marLeft w:val="0"/>
      <w:marRight w:val="0"/>
      <w:marTop w:val="0"/>
      <w:marBottom w:val="0"/>
      <w:divBdr>
        <w:top w:val="none" w:sz="0" w:space="0" w:color="auto"/>
        <w:left w:val="none" w:sz="0" w:space="0" w:color="auto"/>
        <w:bottom w:val="none" w:sz="0" w:space="0" w:color="auto"/>
        <w:right w:val="none" w:sz="0" w:space="0" w:color="auto"/>
      </w:divBdr>
      <w:divsChild>
        <w:div w:id="1851483896">
          <w:marLeft w:val="0"/>
          <w:marRight w:val="0"/>
          <w:marTop w:val="0"/>
          <w:marBottom w:val="0"/>
          <w:divBdr>
            <w:top w:val="none" w:sz="0" w:space="0" w:color="auto"/>
            <w:left w:val="none" w:sz="0" w:space="0" w:color="auto"/>
            <w:bottom w:val="none" w:sz="0" w:space="0" w:color="auto"/>
            <w:right w:val="none" w:sz="0" w:space="0" w:color="auto"/>
          </w:divBdr>
          <w:divsChild>
            <w:div w:id="738133866">
              <w:marLeft w:val="0"/>
              <w:marRight w:val="0"/>
              <w:marTop w:val="0"/>
              <w:marBottom w:val="0"/>
              <w:divBdr>
                <w:top w:val="none" w:sz="0" w:space="0" w:color="auto"/>
                <w:left w:val="none" w:sz="0" w:space="0" w:color="auto"/>
                <w:bottom w:val="none" w:sz="0" w:space="0" w:color="auto"/>
                <w:right w:val="none" w:sz="0" w:space="0" w:color="auto"/>
              </w:divBdr>
              <w:divsChild>
                <w:div w:id="1173494110">
                  <w:marLeft w:val="0"/>
                  <w:marRight w:val="0"/>
                  <w:marTop w:val="0"/>
                  <w:marBottom w:val="0"/>
                  <w:divBdr>
                    <w:top w:val="none" w:sz="0" w:space="0" w:color="auto"/>
                    <w:left w:val="none" w:sz="0" w:space="0" w:color="auto"/>
                    <w:bottom w:val="none" w:sz="0" w:space="0" w:color="auto"/>
                    <w:right w:val="none" w:sz="0" w:space="0" w:color="auto"/>
                  </w:divBdr>
                  <w:divsChild>
                    <w:div w:id="961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10998">
      <w:bodyDiv w:val="1"/>
      <w:marLeft w:val="0"/>
      <w:marRight w:val="0"/>
      <w:marTop w:val="0"/>
      <w:marBottom w:val="0"/>
      <w:divBdr>
        <w:top w:val="none" w:sz="0" w:space="0" w:color="auto"/>
        <w:left w:val="none" w:sz="0" w:space="0" w:color="auto"/>
        <w:bottom w:val="none" w:sz="0" w:space="0" w:color="auto"/>
        <w:right w:val="none" w:sz="0" w:space="0" w:color="auto"/>
      </w:divBdr>
      <w:divsChild>
        <w:div w:id="974722696">
          <w:marLeft w:val="0"/>
          <w:marRight w:val="0"/>
          <w:marTop w:val="0"/>
          <w:marBottom w:val="0"/>
          <w:divBdr>
            <w:top w:val="none" w:sz="0" w:space="0" w:color="auto"/>
            <w:left w:val="none" w:sz="0" w:space="0" w:color="auto"/>
            <w:bottom w:val="none" w:sz="0" w:space="0" w:color="auto"/>
            <w:right w:val="none" w:sz="0" w:space="0" w:color="auto"/>
          </w:divBdr>
          <w:divsChild>
            <w:div w:id="310985404">
              <w:marLeft w:val="0"/>
              <w:marRight w:val="0"/>
              <w:marTop w:val="0"/>
              <w:marBottom w:val="0"/>
              <w:divBdr>
                <w:top w:val="none" w:sz="0" w:space="0" w:color="auto"/>
                <w:left w:val="none" w:sz="0" w:space="0" w:color="auto"/>
                <w:bottom w:val="none" w:sz="0" w:space="0" w:color="auto"/>
                <w:right w:val="none" w:sz="0" w:space="0" w:color="auto"/>
              </w:divBdr>
              <w:divsChild>
                <w:div w:id="147478234">
                  <w:marLeft w:val="0"/>
                  <w:marRight w:val="0"/>
                  <w:marTop w:val="0"/>
                  <w:marBottom w:val="0"/>
                  <w:divBdr>
                    <w:top w:val="none" w:sz="0" w:space="0" w:color="auto"/>
                    <w:left w:val="none" w:sz="0" w:space="0" w:color="auto"/>
                    <w:bottom w:val="none" w:sz="0" w:space="0" w:color="auto"/>
                    <w:right w:val="none" w:sz="0" w:space="0" w:color="auto"/>
                  </w:divBdr>
                  <w:divsChild>
                    <w:div w:id="982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281">
      <w:bodyDiv w:val="1"/>
      <w:marLeft w:val="0"/>
      <w:marRight w:val="0"/>
      <w:marTop w:val="0"/>
      <w:marBottom w:val="0"/>
      <w:divBdr>
        <w:top w:val="none" w:sz="0" w:space="0" w:color="auto"/>
        <w:left w:val="none" w:sz="0" w:space="0" w:color="auto"/>
        <w:bottom w:val="none" w:sz="0" w:space="0" w:color="auto"/>
        <w:right w:val="none" w:sz="0" w:space="0" w:color="auto"/>
      </w:divBdr>
      <w:divsChild>
        <w:div w:id="1970239983">
          <w:marLeft w:val="0"/>
          <w:marRight w:val="0"/>
          <w:marTop w:val="0"/>
          <w:marBottom w:val="0"/>
          <w:divBdr>
            <w:top w:val="none" w:sz="0" w:space="0" w:color="auto"/>
            <w:left w:val="none" w:sz="0" w:space="0" w:color="auto"/>
            <w:bottom w:val="none" w:sz="0" w:space="0" w:color="auto"/>
            <w:right w:val="none" w:sz="0" w:space="0" w:color="auto"/>
          </w:divBdr>
          <w:divsChild>
            <w:div w:id="1205676939">
              <w:marLeft w:val="0"/>
              <w:marRight w:val="0"/>
              <w:marTop w:val="0"/>
              <w:marBottom w:val="0"/>
              <w:divBdr>
                <w:top w:val="none" w:sz="0" w:space="0" w:color="auto"/>
                <w:left w:val="none" w:sz="0" w:space="0" w:color="auto"/>
                <w:bottom w:val="none" w:sz="0" w:space="0" w:color="auto"/>
                <w:right w:val="none" w:sz="0" w:space="0" w:color="auto"/>
              </w:divBdr>
              <w:divsChild>
                <w:div w:id="612784186">
                  <w:marLeft w:val="0"/>
                  <w:marRight w:val="0"/>
                  <w:marTop w:val="0"/>
                  <w:marBottom w:val="0"/>
                  <w:divBdr>
                    <w:top w:val="none" w:sz="0" w:space="0" w:color="auto"/>
                    <w:left w:val="none" w:sz="0" w:space="0" w:color="auto"/>
                    <w:bottom w:val="none" w:sz="0" w:space="0" w:color="auto"/>
                    <w:right w:val="none" w:sz="0" w:space="0" w:color="auto"/>
                  </w:divBdr>
                  <w:divsChild>
                    <w:div w:id="16501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2026">
          <w:marLeft w:val="0"/>
          <w:marRight w:val="0"/>
          <w:marTop w:val="0"/>
          <w:marBottom w:val="0"/>
          <w:divBdr>
            <w:top w:val="none" w:sz="0" w:space="0" w:color="auto"/>
            <w:left w:val="none" w:sz="0" w:space="0" w:color="auto"/>
            <w:bottom w:val="none" w:sz="0" w:space="0" w:color="auto"/>
            <w:right w:val="none" w:sz="0" w:space="0" w:color="auto"/>
          </w:divBdr>
          <w:divsChild>
            <w:div w:id="1702783596">
              <w:marLeft w:val="0"/>
              <w:marRight w:val="0"/>
              <w:marTop w:val="0"/>
              <w:marBottom w:val="0"/>
              <w:divBdr>
                <w:top w:val="none" w:sz="0" w:space="0" w:color="auto"/>
                <w:left w:val="none" w:sz="0" w:space="0" w:color="auto"/>
                <w:bottom w:val="none" w:sz="0" w:space="0" w:color="auto"/>
                <w:right w:val="none" w:sz="0" w:space="0" w:color="auto"/>
              </w:divBdr>
              <w:divsChild>
                <w:div w:id="350693181">
                  <w:marLeft w:val="0"/>
                  <w:marRight w:val="0"/>
                  <w:marTop w:val="0"/>
                  <w:marBottom w:val="0"/>
                  <w:divBdr>
                    <w:top w:val="none" w:sz="0" w:space="0" w:color="auto"/>
                    <w:left w:val="none" w:sz="0" w:space="0" w:color="auto"/>
                    <w:bottom w:val="none" w:sz="0" w:space="0" w:color="auto"/>
                    <w:right w:val="none" w:sz="0" w:space="0" w:color="auto"/>
                  </w:divBdr>
                  <w:divsChild>
                    <w:div w:id="16941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1842">
      <w:bodyDiv w:val="1"/>
      <w:marLeft w:val="0"/>
      <w:marRight w:val="0"/>
      <w:marTop w:val="0"/>
      <w:marBottom w:val="0"/>
      <w:divBdr>
        <w:top w:val="none" w:sz="0" w:space="0" w:color="auto"/>
        <w:left w:val="none" w:sz="0" w:space="0" w:color="auto"/>
        <w:bottom w:val="none" w:sz="0" w:space="0" w:color="auto"/>
        <w:right w:val="none" w:sz="0" w:space="0" w:color="auto"/>
      </w:divBdr>
      <w:divsChild>
        <w:div w:id="1753161945">
          <w:marLeft w:val="0"/>
          <w:marRight w:val="0"/>
          <w:marTop w:val="0"/>
          <w:marBottom w:val="0"/>
          <w:divBdr>
            <w:top w:val="none" w:sz="0" w:space="0" w:color="auto"/>
            <w:left w:val="none" w:sz="0" w:space="0" w:color="auto"/>
            <w:bottom w:val="none" w:sz="0" w:space="0" w:color="auto"/>
            <w:right w:val="none" w:sz="0" w:space="0" w:color="auto"/>
          </w:divBdr>
          <w:divsChild>
            <w:div w:id="154229892">
              <w:marLeft w:val="0"/>
              <w:marRight w:val="0"/>
              <w:marTop w:val="0"/>
              <w:marBottom w:val="0"/>
              <w:divBdr>
                <w:top w:val="none" w:sz="0" w:space="0" w:color="auto"/>
                <w:left w:val="none" w:sz="0" w:space="0" w:color="auto"/>
                <w:bottom w:val="none" w:sz="0" w:space="0" w:color="auto"/>
                <w:right w:val="none" w:sz="0" w:space="0" w:color="auto"/>
              </w:divBdr>
              <w:divsChild>
                <w:div w:id="2012953187">
                  <w:marLeft w:val="0"/>
                  <w:marRight w:val="0"/>
                  <w:marTop w:val="0"/>
                  <w:marBottom w:val="0"/>
                  <w:divBdr>
                    <w:top w:val="none" w:sz="0" w:space="0" w:color="auto"/>
                    <w:left w:val="none" w:sz="0" w:space="0" w:color="auto"/>
                    <w:bottom w:val="none" w:sz="0" w:space="0" w:color="auto"/>
                    <w:right w:val="none" w:sz="0" w:space="0" w:color="auto"/>
                  </w:divBdr>
                  <w:divsChild>
                    <w:div w:id="1686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2139">
          <w:marLeft w:val="0"/>
          <w:marRight w:val="0"/>
          <w:marTop w:val="0"/>
          <w:marBottom w:val="0"/>
          <w:divBdr>
            <w:top w:val="none" w:sz="0" w:space="0" w:color="auto"/>
            <w:left w:val="none" w:sz="0" w:space="0" w:color="auto"/>
            <w:bottom w:val="none" w:sz="0" w:space="0" w:color="auto"/>
            <w:right w:val="none" w:sz="0" w:space="0" w:color="auto"/>
          </w:divBdr>
          <w:divsChild>
            <w:div w:id="781605347">
              <w:marLeft w:val="0"/>
              <w:marRight w:val="0"/>
              <w:marTop w:val="0"/>
              <w:marBottom w:val="0"/>
              <w:divBdr>
                <w:top w:val="none" w:sz="0" w:space="0" w:color="auto"/>
                <w:left w:val="none" w:sz="0" w:space="0" w:color="auto"/>
                <w:bottom w:val="none" w:sz="0" w:space="0" w:color="auto"/>
                <w:right w:val="none" w:sz="0" w:space="0" w:color="auto"/>
              </w:divBdr>
              <w:divsChild>
                <w:div w:id="4403848">
                  <w:marLeft w:val="0"/>
                  <w:marRight w:val="0"/>
                  <w:marTop w:val="0"/>
                  <w:marBottom w:val="0"/>
                  <w:divBdr>
                    <w:top w:val="none" w:sz="0" w:space="0" w:color="auto"/>
                    <w:left w:val="none" w:sz="0" w:space="0" w:color="auto"/>
                    <w:bottom w:val="none" w:sz="0" w:space="0" w:color="auto"/>
                    <w:right w:val="none" w:sz="0" w:space="0" w:color="auto"/>
                  </w:divBdr>
                  <w:divsChild>
                    <w:div w:id="816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3771">
      <w:bodyDiv w:val="1"/>
      <w:marLeft w:val="0"/>
      <w:marRight w:val="0"/>
      <w:marTop w:val="0"/>
      <w:marBottom w:val="0"/>
      <w:divBdr>
        <w:top w:val="none" w:sz="0" w:space="0" w:color="auto"/>
        <w:left w:val="none" w:sz="0" w:space="0" w:color="auto"/>
        <w:bottom w:val="none" w:sz="0" w:space="0" w:color="auto"/>
        <w:right w:val="none" w:sz="0" w:space="0" w:color="auto"/>
      </w:divBdr>
    </w:div>
    <w:div w:id="2013726610">
      <w:bodyDiv w:val="1"/>
      <w:marLeft w:val="0"/>
      <w:marRight w:val="0"/>
      <w:marTop w:val="0"/>
      <w:marBottom w:val="0"/>
      <w:divBdr>
        <w:top w:val="none" w:sz="0" w:space="0" w:color="auto"/>
        <w:left w:val="none" w:sz="0" w:space="0" w:color="auto"/>
        <w:bottom w:val="none" w:sz="0" w:space="0" w:color="auto"/>
        <w:right w:val="none" w:sz="0" w:space="0" w:color="auto"/>
      </w:divBdr>
    </w:div>
    <w:div w:id="2026707413">
      <w:bodyDiv w:val="1"/>
      <w:marLeft w:val="0"/>
      <w:marRight w:val="0"/>
      <w:marTop w:val="0"/>
      <w:marBottom w:val="0"/>
      <w:divBdr>
        <w:top w:val="none" w:sz="0" w:space="0" w:color="auto"/>
        <w:left w:val="none" w:sz="0" w:space="0" w:color="auto"/>
        <w:bottom w:val="none" w:sz="0" w:space="0" w:color="auto"/>
        <w:right w:val="none" w:sz="0" w:space="0" w:color="auto"/>
      </w:divBdr>
      <w:divsChild>
        <w:div w:id="1229338668">
          <w:marLeft w:val="0"/>
          <w:marRight w:val="0"/>
          <w:marTop w:val="0"/>
          <w:marBottom w:val="0"/>
          <w:divBdr>
            <w:top w:val="none" w:sz="0" w:space="0" w:color="auto"/>
            <w:left w:val="none" w:sz="0" w:space="0" w:color="auto"/>
            <w:bottom w:val="none" w:sz="0" w:space="0" w:color="auto"/>
            <w:right w:val="none" w:sz="0" w:space="0" w:color="auto"/>
          </w:divBdr>
          <w:divsChild>
            <w:div w:id="864712457">
              <w:marLeft w:val="0"/>
              <w:marRight w:val="0"/>
              <w:marTop w:val="0"/>
              <w:marBottom w:val="0"/>
              <w:divBdr>
                <w:top w:val="none" w:sz="0" w:space="0" w:color="auto"/>
                <w:left w:val="none" w:sz="0" w:space="0" w:color="auto"/>
                <w:bottom w:val="none" w:sz="0" w:space="0" w:color="auto"/>
                <w:right w:val="none" w:sz="0" w:space="0" w:color="auto"/>
              </w:divBdr>
              <w:divsChild>
                <w:div w:id="464395404">
                  <w:marLeft w:val="0"/>
                  <w:marRight w:val="0"/>
                  <w:marTop w:val="0"/>
                  <w:marBottom w:val="0"/>
                  <w:divBdr>
                    <w:top w:val="none" w:sz="0" w:space="0" w:color="auto"/>
                    <w:left w:val="none" w:sz="0" w:space="0" w:color="auto"/>
                    <w:bottom w:val="none" w:sz="0" w:space="0" w:color="auto"/>
                    <w:right w:val="none" w:sz="0" w:space="0" w:color="auto"/>
                  </w:divBdr>
                  <w:divsChild>
                    <w:div w:id="4672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9829">
      <w:bodyDiv w:val="1"/>
      <w:marLeft w:val="0"/>
      <w:marRight w:val="0"/>
      <w:marTop w:val="0"/>
      <w:marBottom w:val="0"/>
      <w:divBdr>
        <w:top w:val="none" w:sz="0" w:space="0" w:color="auto"/>
        <w:left w:val="none" w:sz="0" w:space="0" w:color="auto"/>
        <w:bottom w:val="none" w:sz="0" w:space="0" w:color="auto"/>
        <w:right w:val="none" w:sz="0" w:space="0" w:color="auto"/>
      </w:divBdr>
    </w:div>
    <w:div w:id="2046909223">
      <w:bodyDiv w:val="1"/>
      <w:marLeft w:val="0"/>
      <w:marRight w:val="0"/>
      <w:marTop w:val="0"/>
      <w:marBottom w:val="0"/>
      <w:divBdr>
        <w:top w:val="none" w:sz="0" w:space="0" w:color="auto"/>
        <w:left w:val="none" w:sz="0" w:space="0" w:color="auto"/>
        <w:bottom w:val="none" w:sz="0" w:space="0" w:color="auto"/>
        <w:right w:val="none" w:sz="0" w:space="0" w:color="auto"/>
      </w:divBdr>
    </w:div>
    <w:div w:id="2072120188">
      <w:bodyDiv w:val="1"/>
      <w:marLeft w:val="0"/>
      <w:marRight w:val="0"/>
      <w:marTop w:val="0"/>
      <w:marBottom w:val="0"/>
      <w:divBdr>
        <w:top w:val="none" w:sz="0" w:space="0" w:color="auto"/>
        <w:left w:val="none" w:sz="0" w:space="0" w:color="auto"/>
        <w:bottom w:val="none" w:sz="0" w:space="0" w:color="auto"/>
        <w:right w:val="none" w:sz="0" w:space="0" w:color="auto"/>
      </w:divBdr>
    </w:div>
    <w:div w:id="21178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ookings.edu/book/the-market-for-virtue/" TargetMode="External"/><Relationship Id="rId21" Type="http://schemas.openxmlformats.org/officeDocument/2006/relationships/hyperlink" Target="https://doi.org/10.1002/csr.2048" TargetMode="External"/><Relationship Id="rId42" Type="http://schemas.openxmlformats.org/officeDocument/2006/relationships/hyperlink" Target="https://doi.org/10.1007/s10551-009-0164-3" TargetMode="External"/><Relationship Id="rId63" Type="http://schemas.openxmlformats.org/officeDocument/2006/relationships/hyperlink" Target="https://doi.org/10.1023/b:busi.0000039399.90587.34" TargetMode="External"/><Relationship Id="rId84" Type="http://schemas.openxmlformats.org/officeDocument/2006/relationships/hyperlink" Target="https://doi.org/10.1080/13621029808420686" TargetMode="External"/><Relationship Id="rId16" Type="http://schemas.openxmlformats.org/officeDocument/2006/relationships/hyperlink" Target="https://doi.org/10.35912/joste.v2i2.539" TargetMode="External"/><Relationship Id="rId107" Type="http://schemas.openxmlformats.org/officeDocument/2006/relationships/hyperlink" Target="https://doi.org/10.1093/oso/9780195178838.003.0009" TargetMode="External"/><Relationship Id="rId11" Type="http://schemas.openxmlformats.org/officeDocument/2006/relationships/hyperlink" Target="https://doi.org/10.1186/s40991-018-0039-y" TargetMode="External"/><Relationship Id="rId32" Type="http://schemas.openxmlformats.org/officeDocument/2006/relationships/hyperlink" Target="https://doi.org/10.1016/0007-6813(91)90005-G" TargetMode="External"/><Relationship Id="rId37" Type="http://schemas.openxmlformats.org/officeDocument/2006/relationships/hyperlink" Target="https://www.chezuba.com/blog/6-latest-corporate-social-responsibility-trends-in-the-united-states" TargetMode="External"/><Relationship Id="rId53" Type="http://schemas.openxmlformats.org/officeDocument/2006/relationships/hyperlink" Target="https://doi.org/10.3390/su12145544" TargetMode="External"/><Relationship Id="rId58" Type="http://schemas.openxmlformats.org/officeDocument/2006/relationships/hyperlink" Target="https://doi.org/10.1177/000765039403300202" TargetMode="External"/><Relationship Id="rId74" Type="http://schemas.openxmlformats.org/officeDocument/2006/relationships/hyperlink" Target="https://doi.org/10.1007/BF02291575" TargetMode="External"/><Relationship Id="rId79" Type="http://schemas.openxmlformats.org/officeDocument/2006/relationships/hyperlink" Target="https://doi.org/10.1016/j.joep.2017.05.004" TargetMode="External"/><Relationship Id="rId102" Type="http://schemas.openxmlformats.org/officeDocument/2006/relationships/hyperlink" Target="https://doi.org/10.3390/admsci10030060" TargetMode="External"/><Relationship Id="rId123" Type="http://schemas.openxmlformats.org/officeDocument/2006/relationships/hyperlink" Target="https://doi.org/10.1002/csr.216"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commdev.org/content/document/detail/1026/" TargetMode="External"/><Relationship Id="rId95" Type="http://schemas.openxmlformats.org/officeDocument/2006/relationships/hyperlink" Target="https://doi.org/10.1002/csr.1331" TargetMode="External"/><Relationship Id="rId22" Type="http://schemas.openxmlformats.org/officeDocument/2006/relationships/hyperlink" Target="https://doi.org/10.1108/02686900010319384" TargetMode="External"/><Relationship Id="rId27" Type="http://schemas.openxmlformats.org/officeDocument/2006/relationships/hyperlink" Target="https://doi.org/10.1353/book29080" TargetMode="External"/><Relationship Id="rId43" Type="http://schemas.openxmlformats.org/officeDocument/2006/relationships/hyperlink" Target="https://us.sagepub.com/en-us/nam/research-design/book238068" TargetMode="External"/><Relationship Id="rId48" Type="http://schemas.openxmlformats.org/officeDocument/2006/relationships/hyperlink" Target="https://doi.org/10.1002/9781394260645" TargetMode="External"/><Relationship Id="rId64" Type="http://schemas.openxmlformats.org/officeDocument/2006/relationships/hyperlink" Target="https://greenbusinessbureau.com/business-function/executive/the-csr-pyramid-economic-legal-ethical-and-philanthropic-responsibility/" TargetMode="External"/><Relationship Id="rId69" Type="http://schemas.openxmlformats.org/officeDocument/2006/relationships/hyperlink" Target="https://doi.org/10.1108/02686900010319384" TargetMode="External"/><Relationship Id="rId113" Type="http://schemas.openxmlformats.org/officeDocument/2006/relationships/hyperlink" Target="https://us.sagepub.com/en-us/nam/analyzing-social-science-data/book206000" TargetMode="External"/><Relationship Id="rId118" Type="http://schemas.openxmlformats.org/officeDocument/2006/relationships/hyperlink" Target="https://vorecol.com/blogs/blog-what-are-the-emerging-trends-in-corporate-social-responsibility-for-2024-159822" TargetMode="External"/><Relationship Id="rId134" Type="http://schemas.openxmlformats.org/officeDocument/2006/relationships/theme" Target="theme/theme1.xml"/><Relationship Id="rId80" Type="http://schemas.openxmlformats.org/officeDocument/2006/relationships/hyperlink" Target="https://doi.org/10.1023/A:1022982914162" TargetMode="External"/><Relationship Id="rId85" Type="http://schemas.openxmlformats.org/officeDocument/2006/relationships/hyperlink" Target="https://doi.org/10.1023/A:1024128730308" TargetMode="External"/><Relationship Id="rId12" Type="http://schemas.openxmlformats.org/officeDocument/2006/relationships/hyperlink" Target="https://doi.org/10.1177/0149206317691575" TargetMode="External"/><Relationship Id="rId17" Type="http://schemas.openxmlformats.org/officeDocument/2006/relationships/hyperlink" Target="https://doi.org/10.1023/A:1006339112331" TargetMode="External"/><Relationship Id="rId33" Type="http://schemas.openxmlformats.org/officeDocument/2006/relationships/hyperlink" Target="https://doi.org/10.1177/000765039903800303" TargetMode="External"/><Relationship Id="rId38" Type="http://schemas.openxmlformats.org/officeDocument/2006/relationships/hyperlink" Target="https://doi.org/10.1093/oxfordhb/9780199211593.001.0001" TargetMode="External"/><Relationship Id="rId59" Type="http://schemas.openxmlformats.org/officeDocument/2006/relationships/hyperlink" Target="https://doi.org/10.1093/oso/9780199269860.001.0001" TargetMode="External"/><Relationship Id="rId103" Type="http://schemas.openxmlformats.org/officeDocument/2006/relationships/hyperlink" Target="https://doi.org/10.1016/j.racreg.2017.09.010" TargetMode="External"/><Relationship Id="rId108" Type="http://schemas.openxmlformats.org/officeDocument/2006/relationships/hyperlink" Target="https://hdr.undp.org/content/human-development-report-2006-beyond-scarcity-power-poverty-and-global-water-crisis" TargetMode="External"/><Relationship Id="rId124" Type="http://schemas.openxmlformats.org/officeDocument/2006/relationships/hyperlink" Target="https://doi.org/10.1002/csr.216" TargetMode="External"/><Relationship Id="rId129" Type="http://schemas.openxmlformats.org/officeDocument/2006/relationships/footer" Target="footer1.xml"/><Relationship Id="rId54" Type="http://schemas.openxmlformats.org/officeDocument/2006/relationships/hyperlink" Target="https://doi.org/10.1016/j.bushor.2006.12.002" TargetMode="External"/><Relationship Id="rId70" Type="http://schemas.openxmlformats.org/officeDocument/2006/relationships/hyperlink" Target="https://doi.org/10.1080/0969160X.1999.9651615" TargetMode="External"/><Relationship Id="rId75" Type="http://schemas.openxmlformats.org/officeDocument/2006/relationships/hyperlink" Target="https://doi.org/10.1080/12294659.2018.1518000" TargetMode="External"/><Relationship Id="rId91" Type="http://schemas.openxmlformats.org/officeDocument/2006/relationships/hyperlink" Target="https://doi.org/10.1002/csr.2852" TargetMode="External"/><Relationship Id="rId96" Type="http://schemas.openxmlformats.org/officeDocument/2006/relationships/hyperlink" Target="https://doi.org/10.1108/IJBM-09-2013-009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08/02686900110392922" TargetMode="External"/><Relationship Id="rId28" Type="http://schemas.openxmlformats.org/officeDocument/2006/relationships/hyperlink" Target="https://doi.org/10.1007/s10551-005-7443-4" TargetMode="External"/><Relationship Id="rId49" Type="http://schemas.openxmlformats.org/officeDocument/2006/relationships/hyperlink" Target="https://doi.org/10.1108/09555340510596661" TargetMode="External"/><Relationship Id="rId114" Type="http://schemas.openxmlformats.org/officeDocument/2006/relationships/hyperlink" Target="https://online.vu.edu.au/blog/what-is-corporate-social-responsibility" TargetMode="External"/><Relationship Id="rId119" Type="http://schemas.openxmlformats.org/officeDocument/2006/relationships/hyperlink" Target="https://doi.org/10.1023/B:BUSI.0000025080.77652.a3" TargetMode="External"/><Relationship Id="rId44" Type="http://schemas.openxmlformats.org/officeDocument/2006/relationships/hyperlink" Target="https://doi.org/10.4324/978131547007" TargetMode="External"/><Relationship Id="rId60" Type="http://schemas.openxmlformats.org/officeDocument/2006/relationships/hyperlink" Target="https://doi.org/10.1111/beer.12115" TargetMode="External"/><Relationship Id="rId65" Type="http://schemas.openxmlformats.org/officeDocument/2006/relationships/hyperlink" Target="https://doi.org/10.1007/s10551-018-3791-8" TargetMode="External"/><Relationship Id="rId81" Type="http://schemas.openxmlformats.org/officeDocument/2006/relationships/hyperlink" Target="https://doi.org/10.1016/j.iedeen.2021.100185" TargetMode="External"/><Relationship Id="rId86" Type="http://schemas.openxmlformats.org/officeDocument/2006/relationships/hyperlink" Target="https://doi.org/10.1111/j.1467-6486.2006.00580.x" TargetMode="External"/><Relationship Id="rId130" Type="http://schemas.openxmlformats.org/officeDocument/2006/relationships/footer" Target="footer2.xml"/><Relationship Id="rId13" Type="http://schemas.openxmlformats.org/officeDocument/2006/relationships/hyperlink" Target="https://inlps.com/recent-trends-in-corporate-social-responsibility/" TargetMode="External"/><Relationship Id="rId18" Type="http://schemas.openxmlformats.org/officeDocument/2006/relationships/hyperlink" Target="https://doi.org/10.1057/palgrave.development.1100057" TargetMode="External"/><Relationship Id="rId39" Type="http://schemas.openxmlformats.org/officeDocument/2006/relationships/hyperlink" Target="https://doi.org/10.1207/s15327906mbr0102_10" TargetMode="External"/><Relationship Id="rId109" Type="http://schemas.openxmlformats.org/officeDocument/2006/relationships/hyperlink" Target="https://doi.org/10.1007/s10551-017-3497-3" TargetMode="External"/><Relationship Id="rId34" Type="http://schemas.openxmlformats.org/officeDocument/2006/relationships/hyperlink" Target="https://doi.org/10.2307/3857692" TargetMode="External"/><Relationship Id="rId50" Type="http://schemas.openxmlformats.org/officeDocument/2006/relationships/hyperlink" Target="https://repository.lboro.ac.uk/articles/thesis/Corporate_social_responsibility_of_Islamic_banks_in_Malaysia_a_synthesis_of_Islamic_and_stakeholders_perspectives/9369005" TargetMode="External"/><Relationship Id="rId55" Type="http://schemas.openxmlformats.org/officeDocument/2006/relationships/hyperlink" Target="https://edge.sagepub.com/field4e" TargetMode="External"/><Relationship Id="rId76" Type="http://schemas.openxmlformats.org/officeDocument/2006/relationships/hyperlink" Target="https://doi.org/10.1007/s10869-018-9601-6" TargetMode="External"/><Relationship Id="rId97" Type="http://schemas.openxmlformats.org/officeDocument/2006/relationships/hyperlink" Target="https://doi.org/10.1007/s10551-006-9100-y" TargetMode="External"/><Relationship Id="rId104" Type="http://schemas.openxmlformats.org/officeDocument/2006/relationships/hyperlink" Target="https://www.pearsoned.co.uk/saunders" TargetMode="External"/><Relationship Id="rId120" Type="http://schemas.openxmlformats.org/officeDocument/2006/relationships/hyperlink" Target="https://openlibrary.org/books/OL5490000M/Corporate_social_responsibilities" TargetMode="External"/><Relationship Id="rId125" Type="http://schemas.openxmlformats.org/officeDocument/2006/relationships/hyperlink" Target="https://www.vfairs.com/blog/csr-events/" TargetMode="External"/><Relationship Id="rId7" Type="http://schemas.openxmlformats.org/officeDocument/2006/relationships/endnotes" Target="endnotes.xml"/><Relationship Id="rId71" Type="http://schemas.openxmlformats.org/officeDocument/2006/relationships/hyperlink" Target="https://www.imf.org/en/Publications/WEO/Issues/2016/12/31/World-Economic-Outlook-September-2006-Financial-Systems-and-Economic-Cycles-2006" TargetMode="External"/><Relationship Id="rId92" Type="http://schemas.openxmlformats.org/officeDocument/2006/relationships/hyperlink" Target="https://doi.org/10.1080/14783363.2020.1730174" TargetMode="External"/><Relationship Id="rId2" Type="http://schemas.openxmlformats.org/officeDocument/2006/relationships/numbering" Target="numbering.xml"/><Relationship Id="rId29" Type="http://schemas.openxmlformats.org/officeDocument/2006/relationships/hyperlink" Target="https://doi.org/10.1108/JGR-01-2019-0006" TargetMode="External"/><Relationship Id="rId24" Type="http://schemas.openxmlformats.org/officeDocument/2006/relationships/hyperlink" Target="https://doi.org/10.1080/0969160X.1999.9651601" TargetMode="External"/><Relationship Id="rId40" Type="http://schemas.openxmlformats.org/officeDocument/2006/relationships/hyperlink" Target="https://doi.org/10.1177/0007650305281658" TargetMode="External"/><Relationship Id="rId45" Type="http://schemas.openxmlformats.org/officeDocument/2006/relationships/hyperlink" Target="https://doi.org/10.2307/41166246" TargetMode="External"/><Relationship Id="rId66" Type="http://schemas.openxmlformats.org/officeDocument/2006/relationships/hyperlink" Target="https://doi.org/10.31580/jmi.v7i3.1484" TargetMode="External"/><Relationship Id="rId87" Type="http://schemas.openxmlformats.org/officeDocument/2006/relationships/hyperlink" Target="https://doi.org/10.1007/s10551-018-4057-1" TargetMode="External"/><Relationship Id="rId110" Type="http://schemas.openxmlformats.org/officeDocument/2006/relationships/hyperlink" Target="https://thedecisionlab.com/insights/hr/how-to-evaluate-csr-impact-the-importance-of-corporate-social-responsibility-evaluation" TargetMode="External"/><Relationship Id="rId115" Type="http://schemas.openxmlformats.org/officeDocument/2006/relationships/hyperlink" Target="https://www.waynevisser.com/wp-content/uploads/2012/08/chapter_wvisser_csr_africa.pdf" TargetMode="External"/><Relationship Id="rId131" Type="http://schemas.openxmlformats.org/officeDocument/2006/relationships/header" Target="header3.xml"/><Relationship Id="rId61" Type="http://schemas.openxmlformats.org/officeDocument/2006/relationships/hyperlink" Target="https://doi.org/10.30958/ajl_v8i2" TargetMode="External"/><Relationship Id="rId82" Type="http://schemas.openxmlformats.org/officeDocument/2006/relationships/hyperlink" Target="https://doi.org/10.55927/ijba.v4i1.5323" TargetMode="External"/><Relationship Id="rId19" Type="http://schemas.openxmlformats.org/officeDocument/2006/relationships/hyperlink" Target="https://doi.org/10.1177/0007650302041003003" TargetMode="External"/><Relationship Id="rId14" Type="http://schemas.openxmlformats.org/officeDocument/2006/relationships/hyperlink" Target="https://doi.org/10.1002/csr.1410" TargetMode="External"/><Relationship Id="rId30" Type="http://schemas.openxmlformats.org/officeDocument/2006/relationships/hyperlink" Target="https://iupress.indiana.edu/9780253330772/corporate-philanthropy-at-the-crossroads/" TargetMode="External"/><Relationship Id="rId35" Type="http://schemas.openxmlformats.org/officeDocument/2006/relationships/hyperlink" Target="https://doi.org/10.1093/oxfordhb/9780199211593.003.0002" TargetMode="External"/><Relationship Id="rId56" Type="http://schemas.openxmlformats.org/officeDocument/2006/relationships/hyperlink" Target="https://doi.org/10.1057/palgrave.development.1100064" TargetMode="External"/><Relationship Id="rId77" Type="http://schemas.openxmlformats.org/officeDocument/2006/relationships/hyperlink" Target="https://doi.org/10.1007/s41464-020-00089-9" TargetMode="External"/><Relationship Id="rId100" Type="http://schemas.openxmlformats.org/officeDocument/2006/relationships/hyperlink" Target="https://doi.org/10.1007/s10551-010-0568-0" TargetMode="External"/><Relationship Id="rId105" Type="http://schemas.openxmlformats.org/officeDocument/2006/relationships/hyperlink" Target="https://doi.org/10.1504/IJISD.2012.046944" TargetMode="External"/><Relationship Id="rId126" Type="http://schemas.openxmlformats.org/officeDocument/2006/relationships/hyperlink" Target="https://doi.org/10.1016/j.tra.2018.04.008" TargetMode="External"/><Relationship Id="rId8" Type="http://schemas.openxmlformats.org/officeDocument/2006/relationships/image" Target="media/image1.png"/><Relationship Id="rId51" Type="http://schemas.openxmlformats.org/officeDocument/2006/relationships/hyperlink" Target="https://doi.org/10.3390/su9111934" TargetMode="External"/><Relationship Id="rId72" Type="http://schemas.openxmlformats.org/officeDocument/2006/relationships/hyperlink" Target="https://doi.org/10.3390/su11010248" TargetMode="External"/><Relationship Id="rId93" Type="http://schemas.openxmlformats.org/officeDocument/2006/relationships/hyperlink" Target="https://doi.org/10.4324/9781003117407" TargetMode="External"/><Relationship Id="rId98" Type="http://schemas.openxmlformats.org/officeDocument/2006/relationships/hyperlink" Target="https://doi.org/10.1002/pa.2572" TargetMode="External"/><Relationship Id="rId121" Type="http://schemas.openxmlformats.org/officeDocument/2006/relationships/hyperlink" Target="https://doi.org/10.9774/GLEAF.4700.2005.sp.00007" TargetMode="External"/><Relationship Id="rId3" Type="http://schemas.openxmlformats.org/officeDocument/2006/relationships/styles" Target="styles.xml"/><Relationship Id="rId25" Type="http://schemas.openxmlformats.org/officeDocument/2006/relationships/hyperlink" Target="https://doi.org/10.1509/jmkg.69.3.35.66357" TargetMode="External"/><Relationship Id="rId46" Type="http://schemas.openxmlformats.org/officeDocument/2006/relationships/hyperlink" Target="https://doi.org/10.1016/j.cpa.2016.06.005" TargetMode="External"/><Relationship Id="rId67" Type="http://schemas.openxmlformats.org/officeDocument/2006/relationships/hyperlink" Target="https://doi.org/10.3390/su11205742" TargetMode="External"/><Relationship Id="rId116" Type="http://schemas.openxmlformats.org/officeDocument/2006/relationships/hyperlink" Target="https://doi.org/10.1093/oxfordhb/9780199211593.003.0021" TargetMode="External"/><Relationship Id="rId20" Type="http://schemas.openxmlformats.org/officeDocument/2006/relationships/hyperlink" Target="https://doi.org/10.5897/AJBM12.106" TargetMode="External"/><Relationship Id="rId41" Type="http://schemas.openxmlformats.org/officeDocument/2006/relationships/hyperlink" Target="https://doi.org/10.1177/0007650305281658" TargetMode="External"/><Relationship Id="rId62" Type="http://schemas.openxmlformats.org/officeDocument/2006/relationships/hyperlink" Target="https://doi.org/10.1002/csr.1869" TargetMode="External"/><Relationship Id="rId83" Type="http://schemas.openxmlformats.org/officeDocument/2006/relationships/hyperlink" Target="https://doi.org/10.1023/A:1006433928640" TargetMode="External"/><Relationship Id="rId88" Type="http://schemas.openxmlformats.org/officeDocument/2006/relationships/hyperlink" Target="https://doi.org/10.1093/OXFORDHB/9780199211593.003.0013" TargetMode="External"/><Relationship Id="rId111" Type="http://schemas.openxmlformats.org/officeDocument/2006/relationships/hyperlink" Target="https://doi.org/10.1007/s10551-016-3214-7" TargetMode="External"/><Relationship Id="rId132" Type="http://schemas.openxmlformats.org/officeDocument/2006/relationships/footer" Target="footer3.xml"/><Relationship Id="rId15" Type="http://schemas.openxmlformats.org/officeDocument/2006/relationships/hyperlink" Target="https://doi.org/10.1108/JCC-24-01-2006-B005" TargetMode="External"/><Relationship Id="rId36" Type="http://schemas.openxmlformats.org/officeDocument/2006/relationships/hyperlink" Target="https://www.linkedin.com/pulse/top-proven-csr-activities-amp-up-employee-engagement" TargetMode="External"/><Relationship Id="rId57" Type="http://schemas.openxmlformats.org/officeDocument/2006/relationships/hyperlink" Target="https://doi.org/10.2307/41165405" TargetMode="External"/><Relationship Id="rId106" Type="http://schemas.openxmlformats.org/officeDocument/2006/relationships/hyperlink" Target="https://www.wiley.com/en-us/Research+Methods+For+Business%3A+A+Skill+Building+Approach%2C+7th+Edition-p-9781119165552" TargetMode="External"/><Relationship Id="rId127" Type="http://schemas.openxmlformats.org/officeDocument/2006/relationships/header" Target="header1.xml"/><Relationship Id="rId10" Type="http://schemas.openxmlformats.org/officeDocument/2006/relationships/hyperlink" Target="https://doi.org/10.1108/17473610510701331" TargetMode="External"/><Relationship Id="rId31" Type="http://schemas.openxmlformats.org/officeDocument/2006/relationships/hyperlink" Target="https://doi.org/10.5465/AMR.1979.4498296" TargetMode="External"/><Relationship Id="rId52" Type="http://schemas.openxmlformats.org/officeDocument/2006/relationships/hyperlink" Target="https://www.econbiz.de/Record/what-history-tells-us-about-corporate-responsability-eberstadt-nicholas-n/10000700000" TargetMode="External"/><Relationship Id="rId73" Type="http://schemas.openxmlformats.org/officeDocument/2006/relationships/hyperlink" Target="https://doi.org/10.1023/A:1021237420663" TargetMode="External"/><Relationship Id="rId78" Type="http://schemas.openxmlformats.org/officeDocument/2006/relationships/hyperlink" Target="https://doi.org/10.1016/j.jairtraman.2016.08.003" TargetMode="External"/><Relationship Id="rId94" Type="http://schemas.openxmlformats.org/officeDocument/2006/relationships/hyperlink" Target="https://doi.org/10.13073/0015-7473.56.2.4" TargetMode="External"/><Relationship Id="rId99" Type="http://schemas.openxmlformats.org/officeDocument/2006/relationships/hyperlink" Target="https://doi.org/10.1016/j.igd.2024.100133" TargetMode="External"/><Relationship Id="rId101" Type="http://schemas.openxmlformats.org/officeDocument/2006/relationships/hyperlink" Target="https://doi.org/10.4018/IJSESD.301252" TargetMode="External"/><Relationship Id="rId122" Type="http://schemas.openxmlformats.org/officeDocument/2006/relationships/hyperlink" Target="https://doi.org/10.1007/s13132-023-01185-0"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doi.org/10.1108/SRJ-07-2020-0280" TargetMode="External"/><Relationship Id="rId47" Type="http://schemas.openxmlformats.org/officeDocument/2006/relationships/hyperlink" Target="https://doi.org/10.1016/j.cpa.2018.10.003" TargetMode="External"/><Relationship Id="rId68" Type="http://schemas.openxmlformats.org/officeDocument/2006/relationships/hyperlink" Target="https://doi.org/10.1002/csr.1636" TargetMode="External"/><Relationship Id="rId89" Type="http://schemas.openxmlformats.org/officeDocument/2006/relationships/hyperlink" Target="https://doi.org/10.34104/ijma.022.00690073" TargetMode="External"/><Relationship Id="rId112" Type="http://schemas.openxmlformats.org/officeDocument/2006/relationships/hyperlink" Target="https://www.unglobalcompact.org/library/4571"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4C088-8FD3-4153-AAFC-81E9DF3C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17836</Words>
  <Characters>101668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Md.Mehedi Hasan</dc:creator>
  <cp:keywords/>
  <dc:description/>
  <cp:lastModifiedBy>SDI 1084</cp:lastModifiedBy>
  <cp:revision>7</cp:revision>
  <dcterms:created xsi:type="dcterms:W3CDTF">2025-12-26T20:04:00Z</dcterms:created>
  <dcterms:modified xsi:type="dcterms:W3CDTF">2025-12-27T12:16:00Z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0d86393f-3624-4129-a4f0-bccdefea76eb</vt:lpwstr>
  </property>
</Properties>
</file>