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8701B15" w14:textId="4DF36350" w:rsidR="00A00845" w:rsidRDefault="00077CDA" w:rsidP="00CC6C24">
      <w:pPr>
        <w:rPr>
          <w:rFonts w:ascii="Arial" w:hAnsi="Arial" w:cs="Arial"/>
          <w:b/>
          <w:sz w:val="36"/>
          <w:szCs w:val="36"/>
          <w:lang w:val="en-GB"/>
        </w:rPr>
      </w:pPr>
      <w:r>
        <w:rPr>
          <w:rFonts w:ascii="Arial" w:hAnsi="Arial" w:cs="Arial"/>
          <w:b/>
          <w:sz w:val="36"/>
          <w:szCs w:val="36"/>
          <w:lang w:val="en-GB"/>
        </w:rPr>
        <w:t>JONES-DOLE COEFFICIENTS OF ELECTROLYTE SOLUTIONS OF ZnCl</w:t>
      </w:r>
      <w:r w:rsidR="00B644BE" w:rsidRPr="00B644BE">
        <w:rPr>
          <w:rFonts w:ascii="Arial" w:hAnsi="Arial" w:cs="Arial"/>
          <w:b/>
          <w:sz w:val="36"/>
          <w:szCs w:val="36"/>
          <w:vertAlign w:val="subscript"/>
          <w:lang w:val="en-GB"/>
        </w:rPr>
        <w:t>2</w:t>
      </w:r>
      <w:r>
        <w:rPr>
          <w:rFonts w:ascii="Arial" w:hAnsi="Arial" w:cs="Arial"/>
          <w:b/>
          <w:sz w:val="36"/>
          <w:szCs w:val="36"/>
          <w:lang w:val="en-GB"/>
        </w:rPr>
        <w:t xml:space="preserve"> IN MI</w:t>
      </w:r>
      <w:r w:rsidR="00CC6C24">
        <w:rPr>
          <w:rFonts w:ascii="Arial" w:hAnsi="Arial" w:cs="Arial"/>
          <w:b/>
          <w:sz w:val="36"/>
          <w:szCs w:val="36"/>
          <w:lang w:val="en-GB"/>
        </w:rPr>
        <w:t>X</w:t>
      </w:r>
      <w:r>
        <w:rPr>
          <w:rFonts w:ascii="Arial" w:hAnsi="Arial" w:cs="Arial"/>
          <w:b/>
          <w:sz w:val="36"/>
          <w:szCs w:val="36"/>
          <w:lang w:val="en-GB"/>
        </w:rPr>
        <w:t xml:space="preserve">TURES OF </w:t>
      </w:r>
      <w:r w:rsidR="00CC6C24">
        <w:rPr>
          <w:rFonts w:ascii="Arial" w:hAnsi="Arial" w:cs="Arial"/>
          <w:b/>
          <w:sz w:val="36"/>
          <w:szCs w:val="36"/>
          <w:lang w:val="en-GB"/>
        </w:rPr>
        <w:t>PROPYLENE-CARBONATE AND 1,2-DIMETHOXYETHANE</w:t>
      </w:r>
    </w:p>
    <w:p w14:paraId="7C6F0745" w14:textId="4A76E664" w:rsidR="00CC6C24" w:rsidRDefault="00CC6C24" w:rsidP="00CC6C24">
      <w:pPr>
        <w:rPr>
          <w:rFonts w:ascii="Arial" w:hAnsi="Arial" w:cs="Arial"/>
          <w:b/>
          <w:sz w:val="36"/>
          <w:szCs w:val="36"/>
          <w:lang w:val="en-GB"/>
        </w:rPr>
      </w:pPr>
    </w:p>
    <w:p w14:paraId="5E92A4CA" w14:textId="77777777" w:rsidR="00CC6C24" w:rsidRPr="00CC2B48" w:rsidRDefault="00CC6C24" w:rsidP="00CC6C24">
      <w:pPr>
        <w:rPr>
          <w:i/>
          <w:sz w:val="20"/>
          <w:szCs w:val="20"/>
          <w:lang w:val="en-GB"/>
        </w:rPr>
      </w:pPr>
    </w:p>
    <w:p w14:paraId="3AC8B745" w14:textId="77777777" w:rsidR="00CC6C24" w:rsidRDefault="00CC6C24" w:rsidP="00CC6C24">
      <w:pPr>
        <w:rPr>
          <w:rFonts w:ascii="Arial" w:hAnsi="Arial" w:cs="Arial"/>
          <w:b/>
          <w:lang w:val="en-GB"/>
        </w:rPr>
      </w:pPr>
      <w:r w:rsidRPr="007A6A63">
        <w:rPr>
          <w:rFonts w:ascii="Arial" w:hAnsi="Arial" w:cs="Arial"/>
          <w:b/>
          <w:lang w:val="en-GB"/>
        </w:rPr>
        <w:t>ABSTRACT</w:t>
      </w:r>
    </w:p>
    <w:p w14:paraId="7AA5EEE4" w14:textId="27BA2B57" w:rsidR="002C0CD3" w:rsidRDefault="00D830A8" w:rsidP="00335F34">
      <w:pPr>
        <w:rPr>
          <w:rFonts w:ascii="Arial" w:hAnsi="Arial" w:cs="Arial"/>
          <w:bCs/>
          <w:sz w:val="20"/>
          <w:szCs w:val="20"/>
        </w:rPr>
      </w:pPr>
      <w:r w:rsidRPr="00D830A8">
        <w:rPr>
          <w:rFonts w:ascii="Arial" w:hAnsi="Arial" w:cs="Arial"/>
          <w:bCs/>
          <w:sz w:val="20"/>
          <w:szCs w:val="20"/>
          <w:lang w:val="en-GB"/>
        </w:rPr>
        <w:t>The p</w:t>
      </w:r>
      <w:r>
        <w:rPr>
          <w:rFonts w:ascii="Arial" w:hAnsi="Arial" w:cs="Arial"/>
          <w:bCs/>
          <w:sz w:val="20"/>
          <w:szCs w:val="20"/>
          <w:lang w:val="en-GB"/>
        </w:rPr>
        <w:t xml:space="preserve">aper reports the </w:t>
      </w:r>
      <w:r w:rsidR="00136D2C">
        <w:rPr>
          <w:rFonts w:ascii="Arial" w:hAnsi="Arial" w:cs="Arial"/>
          <w:bCs/>
          <w:sz w:val="20"/>
          <w:szCs w:val="20"/>
          <w:lang w:val="en-GB"/>
        </w:rPr>
        <w:t>contrasting impact of non-bonding electrostatic interactions</w:t>
      </w:r>
      <w:r w:rsidR="007953A0">
        <w:rPr>
          <w:rFonts w:ascii="Arial" w:hAnsi="Arial" w:cs="Arial"/>
          <w:bCs/>
          <w:sz w:val="20"/>
          <w:szCs w:val="20"/>
          <w:lang w:val="en-GB"/>
        </w:rPr>
        <w:t xml:space="preserve"> - </w:t>
      </w:r>
      <w:r w:rsidR="00136D2C">
        <w:rPr>
          <w:rFonts w:ascii="Arial" w:hAnsi="Arial" w:cs="Arial"/>
          <w:bCs/>
          <w:sz w:val="20"/>
          <w:szCs w:val="20"/>
          <w:lang w:val="en-GB"/>
        </w:rPr>
        <w:t>dipole-dipole</w:t>
      </w:r>
      <w:r w:rsidR="00F63F4C">
        <w:rPr>
          <w:rFonts w:ascii="Arial" w:hAnsi="Arial" w:cs="Arial"/>
          <w:bCs/>
          <w:sz w:val="20"/>
          <w:szCs w:val="20"/>
          <w:lang w:val="en-GB"/>
        </w:rPr>
        <w:t xml:space="preserve"> and </w:t>
      </w:r>
      <w:r w:rsidR="00136D2C">
        <w:rPr>
          <w:rFonts w:ascii="Arial" w:hAnsi="Arial" w:cs="Arial"/>
          <w:bCs/>
          <w:sz w:val="20"/>
          <w:szCs w:val="20"/>
          <w:lang w:val="en-GB"/>
        </w:rPr>
        <w:t xml:space="preserve">ion-dipole interactions </w:t>
      </w:r>
      <w:r w:rsidR="00B644BE">
        <w:rPr>
          <w:rFonts w:ascii="Arial" w:hAnsi="Arial" w:cs="Arial"/>
          <w:bCs/>
          <w:sz w:val="20"/>
          <w:szCs w:val="20"/>
          <w:lang w:val="en-GB"/>
        </w:rPr>
        <w:t xml:space="preserve">in </w:t>
      </w:r>
      <w:bookmarkStart w:id="0" w:name="_Hlk213338955"/>
      <w:r w:rsidR="00B644BE">
        <w:rPr>
          <w:rFonts w:ascii="Arial" w:hAnsi="Arial" w:cs="Arial"/>
          <w:bCs/>
          <w:sz w:val="20"/>
          <w:szCs w:val="20"/>
          <w:lang w:val="en-GB"/>
        </w:rPr>
        <w:t>ZnCl</w:t>
      </w:r>
      <w:r w:rsidR="00B644BE" w:rsidRPr="00B644BE">
        <w:rPr>
          <w:rFonts w:ascii="Arial" w:hAnsi="Arial" w:cs="Arial"/>
          <w:bCs/>
          <w:sz w:val="20"/>
          <w:szCs w:val="20"/>
          <w:vertAlign w:val="subscript"/>
          <w:lang w:val="en-GB"/>
        </w:rPr>
        <w:t>2</w:t>
      </w:r>
      <w:bookmarkEnd w:id="0"/>
      <w:r w:rsidRPr="00D830A8">
        <w:rPr>
          <w:rFonts w:ascii="Arial" w:hAnsi="Arial" w:cs="Arial"/>
          <w:bCs/>
          <w:sz w:val="20"/>
          <w:szCs w:val="20"/>
          <w:lang w:val="en-GB"/>
        </w:rPr>
        <w:t xml:space="preserve"> </w:t>
      </w:r>
      <w:r w:rsidR="00B644BE">
        <w:rPr>
          <w:rFonts w:ascii="Arial" w:hAnsi="Arial" w:cs="Arial"/>
          <w:bCs/>
          <w:sz w:val="20"/>
          <w:szCs w:val="20"/>
          <w:lang w:val="en-GB"/>
        </w:rPr>
        <w:t>electrolytes</w:t>
      </w:r>
      <w:r w:rsidR="007953A0">
        <w:rPr>
          <w:rFonts w:ascii="Arial" w:hAnsi="Arial" w:cs="Arial"/>
          <w:bCs/>
          <w:sz w:val="20"/>
          <w:szCs w:val="20"/>
          <w:lang w:val="en-GB"/>
        </w:rPr>
        <w:t>;</w:t>
      </w:r>
      <w:r w:rsidR="00B644BE">
        <w:rPr>
          <w:rFonts w:ascii="Arial" w:hAnsi="Arial" w:cs="Arial"/>
          <w:bCs/>
          <w:sz w:val="20"/>
          <w:szCs w:val="20"/>
          <w:lang w:val="en-GB"/>
        </w:rPr>
        <w:t xml:space="preserve"> prepared in mixed solvents of propylene carbonate and 1,2-Dimethoxyehane. </w:t>
      </w:r>
      <w:r w:rsidR="0044139E">
        <w:rPr>
          <w:rFonts w:ascii="Arial" w:hAnsi="Arial" w:cs="Arial"/>
          <w:bCs/>
          <w:sz w:val="20"/>
          <w:szCs w:val="20"/>
          <w:lang w:val="en-GB"/>
        </w:rPr>
        <w:t xml:space="preserve">The organic electrolyte solutions were constituted by incorporating </w:t>
      </w:r>
      <w:r w:rsidR="0044139E" w:rsidRPr="0044139E">
        <w:rPr>
          <w:rFonts w:ascii="Arial" w:hAnsi="Arial" w:cs="Arial"/>
          <w:bCs/>
          <w:sz w:val="20"/>
          <w:szCs w:val="20"/>
          <w:lang w:val="en-GB"/>
        </w:rPr>
        <w:t>ZnCl</w:t>
      </w:r>
      <w:r w:rsidR="0044139E" w:rsidRPr="0044139E">
        <w:rPr>
          <w:rFonts w:ascii="Arial" w:hAnsi="Arial" w:cs="Arial"/>
          <w:bCs/>
          <w:sz w:val="20"/>
          <w:szCs w:val="20"/>
          <w:vertAlign w:val="subscript"/>
          <w:lang w:val="en-GB"/>
        </w:rPr>
        <w:t>2</w:t>
      </w:r>
      <w:r w:rsidR="0044139E">
        <w:rPr>
          <w:rFonts w:ascii="Arial" w:hAnsi="Arial" w:cs="Arial"/>
          <w:bCs/>
          <w:sz w:val="20"/>
          <w:szCs w:val="20"/>
          <w:lang w:val="en-GB"/>
        </w:rPr>
        <w:t xml:space="preserve"> salts in the mixed solvents at concentrations of 0.01 M, 0.05 M and 0.10 M</w:t>
      </w:r>
      <w:r w:rsidR="00766678">
        <w:rPr>
          <w:rFonts w:ascii="Arial" w:hAnsi="Arial" w:cs="Arial"/>
          <w:bCs/>
          <w:sz w:val="20"/>
          <w:szCs w:val="20"/>
          <w:lang w:val="en-GB"/>
        </w:rPr>
        <w:t xml:space="preserve"> at 298.15 K.</w:t>
      </w:r>
      <w:r w:rsidR="0044139E">
        <w:rPr>
          <w:rFonts w:ascii="Arial" w:hAnsi="Arial" w:cs="Arial"/>
          <w:bCs/>
          <w:sz w:val="20"/>
          <w:szCs w:val="20"/>
          <w:lang w:val="en-GB"/>
        </w:rPr>
        <w:t xml:space="preserve"> </w:t>
      </w:r>
      <w:r w:rsidR="00E566F3">
        <w:rPr>
          <w:rFonts w:ascii="Arial" w:hAnsi="Arial" w:cs="Arial"/>
          <w:bCs/>
          <w:sz w:val="20"/>
          <w:szCs w:val="20"/>
          <w:lang w:val="en-GB"/>
        </w:rPr>
        <w:t>D</w:t>
      </w:r>
      <w:r w:rsidR="00B811B5">
        <w:rPr>
          <w:rFonts w:ascii="Arial" w:hAnsi="Arial" w:cs="Arial"/>
          <w:bCs/>
          <w:sz w:val="20"/>
          <w:szCs w:val="20"/>
          <w:lang w:val="en-GB"/>
        </w:rPr>
        <w:t xml:space="preserve">ensity and viscosity </w:t>
      </w:r>
      <w:r w:rsidR="00E566F3">
        <w:rPr>
          <w:rFonts w:ascii="Arial" w:hAnsi="Arial" w:cs="Arial"/>
          <w:bCs/>
          <w:sz w:val="20"/>
          <w:szCs w:val="20"/>
          <w:lang w:val="en-GB"/>
        </w:rPr>
        <w:t xml:space="preserve">measurements </w:t>
      </w:r>
      <w:r w:rsidR="00335F34">
        <w:rPr>
          <w:rFonts w:ascii="Arial" w:hAnsi="Arial" w:cs="Arial"/>
          <w:bCs/>
          <w:sz w:val="20"/>
          <w:szCs w:val="20"/>
          <w:lang w:val="en-GB"/>
        </w:rPr>
        <w:t>were</w:t>
      </w:r>
      <w:r w:rsidR="00B811B5">
        <w:rPr>
          <w:rFonts w:ascii="Arial" w:hAnsi="Arial" w:cs="Arial"/>
          <w:bCs/>
          <w:sz w:val="20"/>
          <w:szCs w:val="20"/>
          <w:lang w:val="en-GB"/>
        </w:rPr>
        <w:t xml:space="preserve"> determined at different solvent compositions</w:t>
      </w:r>
      <w:r w:rsidR="00766678">
        <w:rPr>
          <w:rFonts w:ascii="Arial" w:hAnsi="Arial" w:cs="Arial"/>
          <w:bCs/>
          <w:sz w:val="20"/>
          <w:szCs w:val="20"/>
          <w:lang w:val="en-GB"/>
        </w:rPr>
        <w:t xml:space="preserve"> at 298.15 K.</w:t>
      </w:r>
      <w:r w:rsidR="00B811B5">
        <w:rPr>
          <w:rFonts w:ascii="Arial" w:hAnsi="Arial" w:cs="Arial"/>
          <w:bCs/>
          <w:sz w:val="20"/>
          <w:szCs w:val="20"/>
          <w:lang w:val="en-GB"/>
        </w:rPr>
        <w:t xml:space="preserve"> </w:t>
      </w:r>
      <w:r w:rsidR="00335F34">
        <w:rPr>
          <w:rFonts w:ascii="Arial" w:hAnsi="Arial" w:cs="Arial"/>
          <w:bCs/>
          <w:sz w:val="20"/>
          <w:szCs w:val="20"/>
          <w:lang w:val="en-GB"/>
        </w:rPr>
        <w:t>The viscosity data was fitted to the Jones-Dole equation and coefficient</w:t>
      </w:r>
      <w:r w:rsidR="009E74A1">
        <w:rPr>
          <w:rFonts w:ascii="Arial" w:hAnsi="Arial" w:cs="Arial"/>
          <w:bCs/>
          <w:sz w:val="20"/>
          <w:szCs w:val="20"/>
          <w:lang w:val="en-GB"/>
        </w:rPr>
        <w:t xml:space="preserve"> values for</w:t>
      </w:r>
      <w:r w:rsidR="00335F34">
        <w:rPr>
          <w:rFonts w:ascii="Arial" w:hAnsi="Arial" w:cs="Arial"/>
          <w:bCs/>
          <w:sz w:val="20"/>
          <w:szCs w:val="20"/>
          <w:lang w:val="en-GB"/>
        </w:rPr>
        <w:t xml:space="preserve"> </w:t>
      </w:r>
      <w:r w:rsidR="00335F34" w:rsidRPr="00335F34">
        <w:rPr>
          <w:rFonts w:ascii="Arial" w:hAnsi="Arial" w:cs="Arial"/>
          <w:bCs/>
          <w:i/>
          <w:iCs/>
          <w:sz w:val="20"/>
          <w:szCs w:val="20"/>
          <w:lang w:val="en-GB"/>
        </w:rPr>
        <w:t>A</w:t>
      </w:r>
      <w:r w:rsidR="00335F34">
        <w:rPr>
          <w:rFonts w:ascii="Arial" w:hAnsi="Arial" w:cs="Arial"/>
          <w:bCs/>
          <w:sz w:val="20"/>
          <w:szCs w:val="20"/>
          <w:lang w:val="en-GB"/>
        </w:rPr>
        <w:t xml:space="preserve"> and </w:t>
      </w:r>
      <w:r w:rsidR="00335F34" w:rsidRPr="00335F34">
        <w:rPr>
          <w:rFonts w:ascii="Arial" w:hAnsi="Arial" w:cs="Arial"/>
          <w:bCs/>
          <w:i/>
          <w:iCs/>
          <w:sz w:val="20"/>
          <w:szCs w:val="20"/>
          <w:lang w:val="en-GB"/>
        </w:rPr>
        <w:t>B</w:t>
      </w:r>
      <w:r w:rsidR="00335F34">
        <w:rPr>
          <w:rFonts w:ascii="Arial" w:hAnsi="Arial" w:cs="Arial"/>
          <w:bCs/>
          <w:sz w:val="20"/>
          <w:szCs w:val="20"/>
          <w:lang w:val="en-GB"/>
        </w:rPr>
        <w:t xml:space="preserve"> extrapolated from plots of </w:t>
      </w:r>
      <w:r w:rsidR="00335F34" w:rsidRPr="00335F34">
        <w:rPr>
          <w:rFonts w:ascii="Arial" w:hAnsi="Arial" w:cs="Arial"/>
          <w:bCs/>
          <w:sz w:val="20"/>
          <w:szCs w:val="20"/>
        </w:rPr>
        <w:t>of (</w:t>
      </w:r>
      <w:r w:rsidR="00335F34" w:rsidRPr="00335F34">
        <w:rPr>
          <w:rFonts w:ascii="Arial" w:hAnsi="Arial" w:cs="Arial"/>
          <w:bCs/>
          <w:i/>
          <w:sz w:val="20"/>
          <w:szCs w:val="20"/>
        </w:rPr>
        <w:sym w:font="Symbol" w:char="F068"/>
      </w:r>
      <w:r w:rsidR="00335F34" w:rsidRPr="00335F34">
        <w:rPr>
          <w:rFonts w:ascii="Arial" w:hAnsi="Arial" w:cs="Arial"/>
          <w:bCs/>
          <w:sz w:val="20"/>
          <w:szCs w:val="20"/>
        </w:rPr>
        <w:t xml:space="preserve"> </w:t>
      </w:r>
      <w:r w:rsidR="00335F34" w:rsidRPr="00335F34">
        <w:rPr>
          <w:rFonts w:ascii="Arial" w:hAnsi="Arial" w:cs="Arial"/>
          <w:bCs/>
          <w:i/>
          <w:sz w:val="20"/>
          <w:szCs w:val="20"/>
          <w:vertAlign w:val="subscript"/>
        </w:rPr>
        <w:t>r</w:t>
      </w:r>
      <w:r w:rsidR="00335F34" w:rsidRPr="00335F34">
        <w:rPr>
          <w:rFonts w:ascii="Arial" w:hAnsi="Arial" w:cs="Arial"/>
          <w:bCs/>
          <w:sz w:val="20"/>
          <w:szCs w:val="20"/>
        </w:rPr>
        <w:t xml:space="preserve"> − 1)/</w:t>
      </w:r>
      <w:bookmarkStart w:id="1" w:name="_Hlk213339902"/>
      <m:oMath>
        <m:rad>
          <m:radPr>
            <m:degHide m:val="1"/>
            <m:ctrlPr>
              <w:rPr>
                <w:rFonts w:ascii="Cambria Math" w:hAnsi="Cambria Math" w:cs="Arial"/>
                <w:bCs/>
                <w:i/>
                <w:sz w:val="20"/>
                <w:szCs w:val="20"/>
              </w:rPr>
            </m:ctrlPr>
          </m:radPr>
          <m:deg/>
          <m:e>
            <m:r>
              <w:rPr>
                <w:rFonts w:ascii="Cambria Math" w:hAnsi="Cambria Math" w:cs="Arial"/>
                <w:sz w:val="20"/>
                <w:szCs w:val="20"/>
              </w:rPr>
              <m:t>C</m:t>
            </m:r>
          </m:e>
        </m:rad>
      </m:oMath>
      <w:bookmarkEnd w:id="1"/>
      <w:r w:rsidR="00335F34">
        <w:rPr>
          <w:rFonts w:ascii="Arial" w:hAnsi="Arial" w:cs="Arial"/>
          <w:bCs/>
          <w:sz w:val="20"/>
          <w:szCs w:val="20"/>
        </w:rPr>
        <w:t xml:space="preserve"> versus </w:t>
      </w:r>
      <m:oMath>
        <m:rad>
          <m:radPr>
            <m:degHide m:val="1"/>
            <m:ctrlPr>
              <w:rPr>
                <w:rFonts w:ascii="Cambria Math" w:hAnsi="Cambria Math" w:cs="Arial"/>
                <w:bCs/>
                <w:i/>
                <w:sz w:val="20"/>
                <w:szCs w:val="20"/>
              </w:rPr>
            </m:ctrlPr>
          </m:radPr>
          <m:deg/>
          <m:e>
            <m:r>
              <w:rPr>
                <w:rFonts w:ascii="Cambria Math" w:hAnsi="Cambria Math" w:cs="Arial"/>
                <w:sz w:val="20"/>
                <w:szCs w:val="20"/>
              </w:rPr>
              <m:t>C</m:t>
            </m:r>
          </m:e>
        </m:rad>
        <m:r>
          <w:rPr>
            <w:rFonts w:ascii="Cambria Math" w:hAnsi="Arial" w:cs="Arial"/>
            <w:sz w:val="20"/>
            <w:szCs w:val="20"/>
          </w:rPr>
          <m:t>.</m:t>
        </m:r>
      </m:oMath>
      <w:r w:rsidR="00335F34">
        <w:rPr>
          <w:rFonts w:ascii="Arial" w:hAnsi="Arial" w:cs="Arial"/>
          <w:bCs/>
          <w:sz w:val="20"/>
          <w:szCs w:val="20"/>
        </w:rPr>
        <w:t xml:space="preserve"> </w:t>
      </w:r>
      <w:r w:rsidR="002C0CD3">
        <w:rPr>
          <w:rFonts w:ascii="Arial" w:hAnsi="Arial" w:cs="Arial"/>
          <w:bCs/>
          <w:sz w:val="20"/>
          <w:szCs w:val="20"/>
        </w:rPr>
        <w:t xml:space="preserve">The </w:t>
      </w:r>
      <w:r w:rsidR="002C0CD3" w:rsidRPr="002C0CD3">
        <w:rPr>
          <w:rFonts w:ascii="Arial" w:hAnsi="Arial" w:cs="Arial"/>
          <w:bCs/>
          <w:i/>
          <w:iCs/>
          <w:sz w:val="20"/>
          <w:szCs w:val="20"/>
        </w:rPr>
        <w:t>A</w:t>
      </w:r>
      <w:r w:rsidR="002C0CD3">
        <w:rPr>
          <w:rFonts w:ascii="Arial" w:hAnsi="Arial" w:cs="Arial"/>
          <w:bCs/>
          <w:sz w:val="20"/>
          <w:szCs w:val="20"/>
        </w:rPr>
        <w:t xml:space="preserve"> coefficient values </w:t>
      </w:r>
      <w:r w:rsidR="00766678">
        <w:rPr>
          <w:rFonts w:ascii="Arial" w:hAnsi="Arial" w:cs="Arial"/>
          <w:bCs/>
          <w:sz w:val="20"/>
          <w:szCs w:val="20"/>
        </w:rPr>
        <w:t>de</w:t>
      </w:r>
      <w:r w:rsidR="002C0CD3">
        <w:rPr>
          <w:rFonts w:ascii="Arial" w:hAnsi="Arial" w:cs="Arial"/>
          <w:bCs/>
          <w:sz w:val="20"/>
          <w:szCs w:val="20"/>
        </w:rPr>
        <w:t xml:space="preserve">creased from </w:t>
      </w:r>
      <w:r w:rsidR="00766678">
        <w:rPr>
          <w:rFonts w:ascii="Arial" w:hAnsi="Arial" w:cs="Arial"/>
          <w:bCs/>
          <w:sz w:val="20"/>
          <w:szCs w:val="20"/>
        </w:rPr>
        <w:t>0.784 to 0.079</w:t>
      </w:r>
      <w:r w:rsidR="002C0CD3">
        <w:rPr>
          <w:rFonts w:ascii="Arial" w:hAnsi="Arial" w:cs="Arial"/>
          <w:bCs/>
          <w:sz w:val="20"/>
          <w:szCs w:val="20"/>
        </w:rPr>
        <w:t xml:space="preserve"> over the </w:t>
      </w:r>
      <w:r w:rsidR="00EF11E1">
        <w:rPr>
          <w:rFonts w:ascii="Arial" w:hAnsi="Arial" w:cs="Arial"/>
          <w:bCs/>
          <w:sz w:val="20"/>
          <w:szCs w:val="20"/>
        </w:rPr>
        <w:t xml:space="preserve">composition (0-100% DME). </w:t>
      </w:r>
      <w:r w:rsidR="002C0CD3">
        <w:rPr>
          <w:rFonts w:ascii="Arial" w:hAnsi="Arial" w:cs="Arial"/>
          <w:bCs/>
          <w:sz w:val="20"/>
          <w:szCs w:val="20"/>
        </w:rPr>
        <w:t xml:space="preserve">The B coefficient values increased from </w:t>
      </w:r>
      <w:r w:rsidR="00EF11E1">
        <w:rPr>
          <w:rFonts w:ascii="Arial" w:hAnsi="Arial" w:cs="Arial"/>
          <w:bCs/>
          <w:sz w:val="20"/>
          <w:szCs w:val="20"/>
        </w:rPr>
        <w:t xml:space="preserve">5.033 to 5.775 and </w:t>
      </w:r>
      <w:r w:rsidR="00672E4B">
        <w:rPr>
          <w:rFonts w:ascii="Arial" w:hAnsi="Arial" w:cs="Arial"/>
          <w:bCs/>
          <w:sz w:val="20"/>
          <w:szCs w:val="20"/>
        </w:rPr>
        <w:t xml:space="preserve">from </w:t>
      </w:r>
      <w:r w:rsidR="00EF11E1">
        <w:rPr>
          <w:rFonts w:ascii="Arial" w:hAnsi="Arial" w:cs="Arial"/>
          <w:bCs/>
          <w:sz w:val="20"/>
          <w:szCs w:val="20"/>
        </w:rPr>
        <w:t>5.436 to 5.623 over the composition (0-25% DME) and (50-75% DME) respectively.</w:t>
      </w:r>
      <w:r w:rsidR="00757F20">
        <w:rPr>
          <w:rFonts w:ascii="Arial" w:hAnsi="Arial" w:cs="Arial"/>
          <w:bCs/>
          <w:sz w:val="20"/>
          <w:szCs w:val="20"/>
        </w:rPr>
        <w:t xml:space="preserve"> The B coefficient values decreased from 5.775 to 5.436 and </w:t>
      </w:r>
      <w:r w:rsidR="00672E4B">
        <w:rPr>
          <w:rFonts w:ascii="Arial" w:hAnsi="Arial" w:cs="Arial"/>
          <w:bCs/>
          <w:sz w:val="20"/>
          <w:szCs w:val="20"/>
        </w:rPr>
        <w:t xml:space="preserve">from </w:t>
      </w:r>
      <w:r w:rsidR="00757F20">
        <w:rPr>
          <w:rFonts w:ascii="Arial" w:hAnsi="Arial" w:cs="Arial"/>
          <w:bCs/>
          <w:sz w:val="20"/>
          <w:szCs w:val="20"/>
        </w:rPr>
        <w:t>5.623 to 3.490 over the composition (25-50% DME) and (75-100% DME)</w:t>
      </w:r>
      <w:r w:rsidR="002C0CD3">
        <w:rPr>
          <w:rFonts w:ascii="Arial" w:hAnsi="Arial" w:cs="Arial"/>
          <w:bCs/>
          <w:sz w:val="20"/>
          <w:szCs w:val="20"/>
        </w:rPr>
        <w:t xml:space="preserve"> </w:t>
      </w:r>
      <w:r w:rsidR="00757F20">
        <w:rPr>
          <w:rFonts w:ascii="Arial" w:hAnsi="Arial" w:cs="Arial"/>
          <w:bCs/>
          <w:sz w:val="20"/>
          <w:szCs w:val="20"/>
        </w:rPr>
        <w:t xml:space="preserve">respectively. </w:t>
      </w:r>
    </w:p>
    <w:p w14:paraId="78C99E0A" w14:textId="77777777" w:rsidR="002C0CD3" w:rsidRDefault="002C0CD3" w:rsidP="00335F34">
      <w:pPr>
        <w:rPr>
          <w:rFonts w:ascii="Arial" w:hAnsi="Arial" w:cs="Arial"/>
          <w:bCs/>
          <w:sz w:val="20"/>
          <w:szCs w:val="20"/>
        </w:rPr>
      </w:pPr>
    </w:p>
    <w:p w14:paraId="4E715BC6" w14:textId="3F76F200" w:rsidR="00CC6C24" w:rsidRPr="0044139E" w:rsidRDefault="002C0CD3" w:rsidP="00335F34">
      <w:pPr>
        <w:rPr>
          <w:rFonts w:ascii="Arial" w:hAnsi="Arial" w:cs="Arial"/>
          <w:bCs/>
          <w:sz w:val="20"/>
          <w:szCs w:val="20"/>
          <w:lang w:val="en-GB"/>
        </w:rPr>
      </w:pPr>
      <w:r>
        <w:rPr>
          <w:rFonts w:ascii="Arial" w:hAnsi="Arial" w:cs="Arial"/>
          <w:bCs/>
          <w:sz w:val="20"/>
          <w:szCs w:val="20"/>
        </w:rPr>
        <w:t xml:space="preserve">Keywords: </w:t>
      </w:r>
      <w:r w:rsidR="009259D1">
        <w:rPr>
          <w:rFonts w:ascii="Arial" w:hAnsi="Arial" w:cs="Arial"/>
          <w:bCs/>
          <w:sz w:val="20"/>
          <w:szCs w:val="20"/>
        </w:rPr>
        <w:t xml:space="preserve">Battery, Cycle life, Passivation, </w:t>
      </w:r>
      <w:r>
        <w:rPr>
          <w:rFonts w:ascii="Arial" w:hAnsi="Arial" w:cs="Arial"/>
          <w:bCs/>
          <w:sz w:val="20"/>
          <w:szCs w:val="20"/>
        </w:rPr>
        <w:t xml:space="preserve">Dipole-dipole interactions, </w:t>
      </w:r>
      <w:r w:rsidR="009259D1">
        <w:rPr>
          <w:rFonts w:ascii="Arial" w:hAnsi="Arial" w:cs="Arial"/>
          <w:bCs/>
          <w:sz w:val="20"/>
          <w:szCs w:val="20"/>
        </w:rPr>
        <w:t>O</w:t>
      </w:r>
      <w:r>
        <w:rPr>
          <w:rFonts w:ascii="Arial" w:hAnsi="Arial" w:cs="Arial"/>
          <w:bCs/>
          <w:sz w:val="20"/>
          <w:szCs w:val="20"/>
        </w:rPr>
        <w:t>rganic electrolytes, Jones-Dole coefficients</w:t>
      </w:r>
      <w:r w:rsidR="00806D92">
        <w:rPr>
          <w:rFonts w:ascii="Arial" w:hAnsi="Arial" w:cs="Arial"/>
          <w:bCs/>
          <w:sz w:val="20"/>
          <w:szCs w:val="20"/>
        </w:rPr>
        <w:t>, plating/stripping</w:t>
      </w:r>
      <w:r>
        <w:rPr>
          <w:rFonts w:ascii="Arial" w:hAnsi="Arial" w:cs="Arial"/>
          <w:bCs/>
          <w:sz w:val="20"/>
          <w:szCs w:val="20"/>
        </w:rPr>
        <w:t xml:space="preserve">.  </w:t>
      </w:r>
    </w:p>
    <w:p w14:paraId="36946F2C" w14:textId="7779AE1E" w:rsidR="00CC6C24" w:rsidRPr="00D830A8" w:rsidRDefault="00CC6C24" w:rsidP="00CC6C24">
      <w:pPr>
        <w:rPr>
          <w:rFonts w:ascii="Arial" w:hAnsi="Arial" w:cs="Arial"/>
          <w:bCs/>
          <w:sz w:val="20"/>
          <w:szCs w:val="20"/>
          <w:lang w:val="en-GB"/>
        </w:rPr>
      </w:pPr>
    </w:p>
    <w:p w14:paraId="089FB7E3" w14:textId="77777777" w:rsidR="002C0CD3" w:rsidRPr="007A6A63" w:rsidRDefault="002C0CD3" w:rsidP="002C0CD3">
      <w:pPr>
        <w:rPr>
          <w:rFonts w:ascii="Arial" w:hAnsi="Arial" w:cs="Arial"/>
          <w:b/>
        </w:rPr>
      </w:pPr>
      <w:r>
        <w:rPr>
          <w:rFonts w:ascii="Arial" w:hAnsi="Arial" w:cs="Arial"/>
          <w:b/>
        </w:rPr>
        <w:t xml:space="preserve">1. </w:t>
      </w:r>
      <w:r w:rsidRPr="007A6A63">
        <w:rPr>
          <w:rFonts w:ascii="Arial" w:hAnsi="Arial" w:cs="Arial"/>
          <w:b/>
        </w:rPr>
        <w:t>INTRODUCTION</w:t>
      </w:r>
    </w:p>
    <w:p w14:paraId="268CEE5D" w14:textId="78BA7563" w:rsidR="00627C85" w:rsidRDefault="00D6515D" w:rsidP="00CC6C24">
      <w:pPr>
        <w:rPr>
          <w:rFonts w:ascii="Arial" w:hAnsi="Arial" w:cs="Arial"/>
          <w:bCs/>
          <w:sz w:val="20"/>
          <w:szCs w:val="20"/>
        </w:rPr>
      </w:pPr>
      <w:r>
        <w:rPr>
          <w:rFonts w:ascii="Arial" w:hAnsi="Arial" w:cs="Arial"/>
          <w:bCs/>
          <w:sz w:val="20"/>
          <w:szCs w:val="20"/>
        </w:rPr>
        <w:t xml:space="preserve">Zinc is foremost cheap, </w:t>
      </w:r>
      <w:r w:rsidR="00F243D9">
        <w:rPr>
          <w:rFonts w:ascii="Arial" w:hAnsi="Arial" w:cs="Arial"/>
          <w:bCs/>
          <w:sz w:val="20"/>
          <w:szCs w:val="20"/>
        </w:rPr>
        <w:t xml:space="preserve">benign and naturally abundant. The cost of rechargeable zinc batteries, </w:t>
      </w:r>
      <w:r w:rsidR="00165D90">
        <w:rPr>
          <w:rFonts w:ascii="Arial" w:hAnsi="Arial" w:cs="Arial"/>
          <w:bCs/>
          <w:sz w:val="20"/>
          <w:szCs w:val="20"/>
        </w:rPr>
        <w:t>subsuming</w:t>
      </w:r>
      <w:r w:rsidR="00F243D9">
        <w:rPr>
          <w:rFonts w:ascii="Arial" w:hAnsi="Arial" w:cs="Arial"/>
          <w:bCs/>
          <w:sz w:val="20"/>
          <w:szCs w:val="20"/>
        </w:rPr>
        <w:t xml:space="preserve"> zinc-ion batteries is comparatively lower than conventional lithium-ion batteries. </w:t>
      </w:r>
      <w:r w:rsidR="00946A8A">
        <w:rPr>
          <w:rFonts w:ascii="Arial" w:hAnsi="Arial" w:cs="Arial"/>
          <w:bCs/>
          <w:sz w:val="20"/>
          <w:szCs w:val="20"/>
        </w:rPr>
        <w:t>Several rechargeable battery designs have emerged following the discovery of the compatibility of zinc metal in aqueous medi</w:t>
      </w:r>
      <w:r w:rsidR="000F79B3">
        <w:rPr>
          <w:rFonts w:ascii="Arial" w:hAnsi="Arial" w:cs="Arial"/>
          <w:bCs/>
          <w:sz w:val="20"/>
          <w:szCs w:val="20"/>
        </w:rPr>
        <w:t>a</w:t>
      </w:r>
      <w:r w:rsidR="00946A8A">
        <w:rPr>
          <w:rFonts w:ascii="Arial" w:hAnsi="Arial" w:cs="Arial"/>
          <w:bCs/>
          <w:sz w:val="20"/>
          <w:szCs w:val="20"/>
        </w:rPr>
        <w:t xml:space="preserve">. </w:t>
      </w:r>
      <w:r w:rsidR="000F79B3">
        <w:rPr>
          <w:rFonts w:ascii="Arial" w:hAnsi="Arial" w:cs="Arial"/>
          <w:bCs/>
          <w:sz w:val="20"/>
          <w:szCs w:val="20"/>
        </w:rPr>
        <w:t xml:space="preserve">However, commercialization of these technologies has been impeded based on the complexity of battery chemistry. </w:t>
      </w:r>
      <w:r w:rsidR="008250B9" w:rsidRPr="008250B9">
        <w:rPr>
          <w:rFonts w:ascii="Arial" w:hAnsi="Arial" w:cs="Arial"/>
          <w:bCs/>
          <w:sz w:val="20"/>
          <w:szCs w:val="20"/>
        </w:rPr>
        <w:t>For instance, the presence of water in Zn</w:t>
      </w:r>
      <w:r w:rsidR="008250B9">
        <w:rPr>
          <w:rFonts w:ascii="Arial" w:hAnsi="Arial" w:cs="Arial"/>
          <w:bCs/>
          <w:sz w:val="20"/>
          <w:szCs w:val="20"/>
        </w:rPr>
        <w:t>-</w:t>
      </w:r>
      <w:r w:rsidR="008250B9" w:rsidRPr="008250B9">
        <w:rPr>
          <w:rFonts w:ascii="Arial" w:hAnsi="Arial" w:cs="Arial"/>
          <w:bCs/>
          <w:sz w:val="20"/>
          <w:szCs w:val="20"/>
        </w:rPr>
        <w:t>MnO</w:t>
      </w:r>
      <w:r w:rsidR="008250B9" w:rsidRPr="008250B9">
        <w:rPr>
          <w:rFonts w:ascii="Arial" w:hAnsi="Arial" w:cs="Arial"/>
          <w:bCs/>
          <w:sz w:val="20"/>
          <w:szCs w:val="20"/>
          <w:vertAlign w:val="subscript"/>
        </w:rPr>
        <w:t>2</w:t>
      </w:r>
      <w:r w:rsidR="008250B9" w:rsidRPr="008250B9">
        <w:rPr>
          <w:rFonts w:ascii="Arial" w:hAnsi="Arial" w:cs="Arial"/>
          <w:bCs/>
          <w:sz w:val="20"/>
          <w:szCs w:val="20"/>
        </w:rPr>
        <w:t xml:space="preserve"> batteries can </w:t>
      </w:r>
      <w:r w:rsidR="00B70786">
        <w:rPr>
          <w:rFonts w:ascii="Arial" w:hAnsi="Arial" w:cs="Arial"/>
          <w:bCs/>
          <w:sz w:val="20"/>
          <w:szCs w:val="20"/>
        </w:rPr>
        <w:t>generate</w:t>
      </w:r>
      <w:r w:rsidR="008250B9" w:rsidRPr="008250B9">
        <w:rPr>
          <w:rFonts w:ascii="Arial" w:hAnsi="Arial" w:cs="Arial"/>
          <w:bCs/>
          <w:sz w:val="20"/>
          <w:szCs w:val="20"/>
        </w:rPr>
        <w:t xml:space="preserve"> </w:t>
      </w:r>
      <w:r w:rsidR="00993FC6">
        <w:rPr>
          <w:rFonts w:ascii="Arial" w:hAnsi="Arial" w:cs="Arial"/>
          <w:bCs/>
          <w:sz w:val="20"/>
          <w:szCs w:val="20"/>
        </w:rPr>
        <w:t>adverse</w:t>
      </w:r>
      <w:r w:rsidR="008250B9" w:rsidRPr="008250B9">
        <w:rPr>
          <w:rFonts w:ascii="Arial" w:hAnsi="Arial" w:cs="Arial"/>
          <w:bCs/>
          <w:sz w:val="20"/>
          <w:szCs w:val="20"/>
        </w:rPr>
        <w:t xml:space="preserve"> side reactions and</w:t>
      </w:r>
      <w:r w:rsidR="008250B9">
        <w:rPr>
          <w:rFonts w:ascii="Arial" w:hAnsi="Arial" w:cs="Arial"/>
          <w:bCs/>
          <w:sz w:val="20"/>
          <w:szCs w:val="20"/>
        </w:rPr>
        <w:t xml:space="preserve"> </w:t>
      </w:r>
      <w:r w:rsidR="008250B9" w:rsidRPr="008250B9">
        <w:rPr>
          <w:rFonts w:ascii="Arial" w:hAnsi="Arial" w:cs="Arial"/>
          <w:bCs/>
          <w:sz w:val="20"/>
          <w:szCs w:val="20"/>
        </w:rPr>
        <w:t xml:space="preserve">passivating products </w:t>
      </w:r>
      <w:r w:rsidR="00B70786">
        <w:rPr>
          <w:rFonts w:ascii="Arial" w:hAnsi="Arial" w:cs="Arial"/>
          <w:bCs/>
          <w:sz w:val="20"/>
          <w:szCs w:val="20"/>
        </w:rPr>
        <w:t xml:space="preserve">by dint of </w:t>
      </w:r>
      <w:r w:rsidR="008250B9" w:rsidRPr="008250B9">
        <w:rPr>
          <w:rFonts w:ascii="Arial" w:hAnsi="Arial" w:cs="Arial"/>
          <w:bCs/>
          <w:sz w:val="20"/>
          <w:szCs w:val="20"/>
        </w:rPr>
        <w:t>MnO</w:t>
      </w:r>
      <w:r w:rsidR="008250B9" w:rsidRPr="008250B9">
        <w:rPr>
          <w:rFonts w:ascii="Arial" w:hAnsi="Arial" w:cs="Arial"/>
          <w:bCs/>
          <w:sz w:val="20"/>
          <w:szCs w:val="20"/>
          <w:vertAlign w:val="subscript"/>
        </w:rPr>
        <w:t>2</w:t>
      </w:r>
      <w:r w:rsidR="008250B9" w:rsidRPr="008250B9">
        <w:rPr>
          <w:rFonts w:ascii="Arial" w:hAnsi="Arial" w:cs="Arial"/>
          <w:bCs/>
          <w:sz w:val="20"/>
          <w:szCs w:val="20"/>
        </w:rPr>
        <w:t xml:space="preserve"> dissolution </w:t>
      </w:r>
      <w:r w:rsidR="00D105B7">
        <w:rPr>
          <w:rFonts w:ascii="Arial" w:hAnsi="Arial" w:cs="Arial"/>
          <w:bCs/>
          <w:sz w:val="20"/>
          <w:szCs w:val="20"/>
        </w:rPr>
        <w:t>(</w:t>
      </w:r>
      <w:r w:rsidR="00D105B7" w:rsidRPr="00D105B7">
        <w:rPr>
          <w:rFonts w:ascii="Arial" w:hAnsi="Arial" w:cs="Arial"/>
          <w:bCs/>
          <w:sz w:val="20"/>
          <w:szCs w:val="20"/>
        </w:rPr>
        <w:t>Xue, T. &amp; Fan, H.J.</w:t>
      </w:r>
      <w:r w:rsidR="00D105B7">
        <w:rPr>
          <w:rFonts w:ascii="Arial" w:hAnsi="Arial" w:cs="Arial"/>
          <w:bCs/>
          <w:sz w:val="20"/>
          <w:szCs w:val="20"/>
        </w:rPr>
        <w:t>, 2021).</w:t>
      </w:r>
      <w:r w:rsidR="008250B9" w:rsidRPr="008250B9">
        <w:rPr>
          <w:rFonts w:ascii="Arial" w:hAnsi="Arial" w:cs="Arial"/>
          <w:bCs/>
          <w:sz w:val="20"/>
          <w:szCs w:val="20"/>
        </w:rPr>
        <w:t xml:space="preserve"> </w:t>
      </w:r>
      <w:r w:rsidR="00101780">
        <w:rPr>
          <w:rFonts w:ascii="Arial" w:hAnsi="Arial" w:cs="Arial"/>
          <w:bCs/>
          <w:sz w:val="20"/>
          <w:szCs w:val="20"/>
        </w:rPr>
        <w:t xml:space="preserve">Furthermore, the formation of insoluble carbonates owing to </w:t>
      </w:r>
      <w:r w:rsidR="00D205EC">
        <w:rPr>
          <w:rFonts w:ascii="Arial" w:hAnsi="Arial" w:cs="Arial"/>
          <w:bCs/>
          <w:sz w:val="20"/>
          <w:szCs w:val="20"/>
        </w:rPr>
        <w:t xml:space="preserve">the </w:t>
      </w:r>
      <w:r w:rsidR="00101780">
        <w:rPr>
          <w:rFonts w:ascii="Arial" w:hAnsi="Arial" w:cs="Arial"/>
          <w:bCs/>
          <w:sz w:val="20"/>
          <w:szCs w:val="20"/>
        </w:rPr>
        <w:t xml:space="preserve">intrinsic </w:t>
      </w:r>
      <w:r w:rsidR="0031487D">
        <w:rPr>
          <w:rFonts w:ascii="Arial" w:hAnsi="Arial" w:cs="Arial"/>
          <w:bCs/>
          <w:sz w:val="20"/>
          <w:szCs w:val="20"/>
        </w:rPr>
        <w:t>presence</w:t>
      </w:r>
      <w:r w:rsidR="00D205EC">
        <w:rPr>
          <w:rFonts w:ascii="Arial" w:hAnsi="Arial" w:cs="Arial"/>
          <w:bCs/>
          <w:sz w:val="20"/>
          <w:szCs w:val="20"/>
        </w:rPr>
        <w:t>,</w:t>
      </w:r>
      <w:r w:rsidR="00101780">
        <w:rPr>
          <w:rFonts w:ascii="Arial" w:hAnsi="Arial" w:cs="Arial"/>
          <w:bCs/>
          <w:sz w:val="20"/>
          <w:szCs w:val="20"/>
        </w:rPr>
        <w:t xml:space="preserve"> during battery operation of environmental CO</w:t>
      </w:r>
      <w:r w:rsidR="00101780" w:rsidRPr="00101780">
        <w:rPr>
          <w:rFonts w:ascii="Arial" w:hAnsi="Arial" w:cs="Arial"/>
          <w:bCs/>
          <w:sz w:val="20"/>
          <w:szCs w:val="20"/>
          <w:vertAlign w:val="subscript"/>
        </w:rPr>
        <w:t>2</w:t>
      </w:r>
      <w:r w:rsidR="00101780">
        <w:rPr>
          <w:rFonts w:ascii="Arial" w:hAnsi="Arial" w:cs="Arial"/>
          <w:bCs/>
          <w:sz w:val="20"/>
          <w:szCs w:val="20"/>
        </w:rPr>
        <w:t xml:space="preserve"> </w:t>
      </w:r>
      <w:r w:rsidR="00F220A1">
        <w:rPr>
          <w:rFonts w:ascii="Arial" w:hAnsi="Arial" w:cs="Arial"/>
          <w:bCs/>
          <w:sz w:val="20"/>
          <w:szCs w:val="20"/>
        </w:rPr>
        <w:t>has been</w:t>
      </w:r>
      <w:r w:rsidR="0031487D">
        <w:rPr>
          <w:rFonts w:ascii="Arial" w:hAnsi="Arial" w:cs="Arial"/>
          <w:bCs/>
          <w:sz w:val="20"/>
          <w:szCs w:val="20"/>
        </w:rPr>
        <w:t xml:space="preserve"> associated with </w:t>
      </w:r>
      <w:r w:rsidR="00277FA9">
        <w:rPr>
          <w:rFonts w:ascii="Arial" w:hAnsi="Arial" w:cs="Arial"/>
          <w:bCs/>
          <w:sz w:val="20"/>
          <w:szCs w:val="20"/>
        </w:rPr>
        <w:t xml:space="preserve">the </w:t>
      </w:r>
      <w:r w:rsidR="0031487D">
        <w:rPr>
          <w:rFonts w:ascii="Arial" w:hAnsi="Arial" w:cs="Arial"/>
          <w:bCs/>
          <w:sz w:val="20"/>
          <w:szCs w:val="20"/>
        </w:rPr>
        <w:t xml:space="preserve">short cycle-life of zinc-air batteries </w:t>
      </w:r>
      <w:r w:rsidR="00D2261D">
        <w:rPr>
          <w:rFonts w:ascii="Arial" w:hAnsi="Arial" w:cs="Arial"/>
          <w:bCs/>
          <w:sz w:val="20"/>
          <w:szCs w:val="20"/>
        </w:rPr>
        <w:t>(</w:t>
      </w:r>
      <w:r w:rsidR="00D2261D" w:rsidRPr="00D2261D">
        <w:rPr>
          <w:rFonts w:ascii="Arial" w:hAnsi="Arial" w:cs="Arial"/>
          <w:bCs/>
          <w:sz w:val="20"/>
          <w:szCs w:val="20"/>
        </w:rPr>
        <w:t xml:space="preserve">Chen </w:t>
      </w:r>
      <w:bookmarkStart w:id="2" w:name="_Hlk213426036"/>
      <w:r w:rsidR="00714718" w:rsidRPr="008E784A">
        <w:rPr>
          <w:rFonts w:ascii="Arial" w:hAnsi="Arial" w:cs="Arial"/>
          <w:i/>
          <w:iCs/>
          <w:sz w:val="20"/>
          <w:szCs w:val="20"/>
        </w:rPr>
        <w:t>et</w:t>
      </w:r>
      <w:r w:rsidR="00714718">
        <w:rPr>
          <w:rFonts w:ascii="Arial" w:hAnsi="Arial" w:cs="Arial"/>
          <w:i/>
          <w:iCs/>
          <w:sz w:val="20"/>
          <w:szCs w:val="20"/>
        </w:rPr>
        <w:t xml:space="preserve"> </w:t>
      </w:r>
      <w:r w:rsidR="00D2261D" w:rsidRPr="00D2261D">
        <w:rPr>
          <w:rFonts w:ascii="Arial" w:hAnsi="Arial" w:cs="Arial"/>
          <w:bCs/>
          <w:i/>
          <w:iCs/>
          <w:sz w:val="20"/>
          <w:szCs w:val="20"/>
        </w:rPr>
        <w:t>al</w:t>
      </w:r>
      <w:r w:rsidR="00D2261D" w:rsidRPr="00D2261D">
        <w:rPr>
          <w:rFonts w:ascii="Arial" w:hAnsi="Arial" w:cs="Arial"/>
          <w:bCs/>
          <w:sz w:val="20"/>
          <w:szCs w:val="20"/>
        </w:rPr>
        <w:t xml:space="preserve">., </w:t>
      </w:r>
      <w:bookmarkEnd w:id="2"/>
      <w:r w:rsidR="00D2261D" w:rsidRPr="00D2261D">
        <w:rPr>
          <w:rFonts w:ascii="Arial" w:hAnsi="Arial" w:cs="Arial"/>
          <w:bCs/>
          <w:sz w:val="20"/>
          <w:szCs w:val="20"/>
        </w:rPr>
        <w:t>2020</w:t>
      </w:r>
      <w:r w:rsidR="00D2261D">
        <w:rPr>
          <w:rFonts w:ascii="Arial" w:hAnsi="Arial" w:cs="Arial"/>
          <w:bCs/>
          <w:sz w:val="20"/>
          <w:szCs w:val="20"/>
        </w:rPr>
        <w:t>)</w:t>
      </w:r>
      <w:r w:rsidR="00101780">
        <w:rPr>
          <w:rFonts w:ascii="Arial" w:hAnsi="Arial" w:cs="Arial"/>
          <w:bCs/>
          <w:sz w:val="20"/>
          <w:szCs w:val="20"/>
        </w:rPr>
        <w:t xml:space="preserve">. </w:t>
      </w:r>
      <w:r w:rsidR="00CB7898">
        <w:rPr>
          <w:rFonts w:ascii="Arial" w:hAnsi="Arial" w:cs="Arial"/>
          <w:bCs/>
          <w:sz w:val="20"/>
          <w:szCs w:val="20"/>
        </w:rPr>
        <w:t xml:space="preserve">The zinc anode suffers significant setback during operation in aqueous media. </w:t>
      </w:r>
      <w:r w:rsidR="00065FAB">
        <w:rPr>
          <w:rFonts w:ascii="Arial" w:hAnsi="Arial" w:cs="Arial"/>
          <w:bCs/>
          <w:sz w:val="20"/>
          <w:szCs w:val="20"/>
        </w:rPr>
        <w:t xml:space="preserve">As a result, </w:t>
      </w:r>
      <w:r w:rsidR="004F282C">
        <w:rPr>
          <w:rFonts w:ascii="Arial" w:hAnsi="Arial" w:cs="Arial"/>
          <w:bCs/>
          <w:sz w:val="20"/>
          <w:szCs w:val="20"/>
        </w:rPr>
        <w:t>enduring</w:t>
      </w:r>
      <w:r w:rsidR="00065FAB">
        <w:rPr>
          <w:rFonts w:ascii="Arial" w:hAnsi="Arial" w:cs="Arial"/>
          <w:bCs/>
          <w:sz w:val="20"/>
          <w:szCs w:val="20"/>
        </w:rPr>
        <w:t xml:space="preserve"> reversibility in such environment is </w:t>
      </w:r>
      <w:r w:rsidR="004F282C">
        <w:rPr>
          <w:rFonts w:ascii="Arial" w:hAnsi="Arial" w:cs="Arial"/>
          <w:bCs/>
          <w:sz w:val="20"/>
          <w:szCs w:val="20"/>
        </w:rPr>
        <w:t>hampe</w:t>
      </w:r>
      <w:r w:rsidR="00065FAB">
        <w:rPr>
          <w:rFonts w:ascii="Arial" w:hAnsi="Arial" w:cs="Arial"/>
          <w:bCs/>
          <w:sz w:val="20"/>
          <w:szCs w:val="20"/>
        </w:rPr>
        <w:t>red primarily due to the formation of Zn dendrites during the charging cycle</w:t>
      </w:r>
      <w:r w:rsidR="004F282C">
        <w:rPr>
          <w:rFonts w:ascii="Arial" w:hAnsi="Arial" w:cs="Arial"/>
          <w:bCs/>
          <w:sz w:val="20"/>
          <w:szCs w:val="20"/>
        </w:rPr>
        <w:t xml:space="preserve"> -</w:t>
      </w:r>
      <w:r w:rsidR="00065FAB">
        <w:rPr>
          <w:rFonts w:ascii="Arial" w:hAnsi="Arial" w:cs="Arial"/>
          <w:bCs/>
          <w:sz w:val="20"/>
          <w:szCs w:val="20"/>
        </w:rPr>
        <w:t xml:space="preserve"> with the consequence of battery capacity loss and </w:t>
      </w:r>
      <w:r w:rsidR="004F282C">
        <w:rPr>
          <w:rFonts w:ascii="Arial" w:hAnsi="Arial" w:cs="Arial"/>
          <w:bCs/>
          <w:sz w:val="20"/>
          <w:szCs w:val="20"/>
        </w:rPr>
        <w:t>dismal</w:t>
      </w:r>
      <w:r w:rsidR="00065FAB">
        <w:rPr>
          <w:rFonts w:ascii="Arial" w:hAnsi="Arial" w:cs="Arial"/>
          <w:bCs/>
          <w:sz w:val="20"/>
          <w:szCs w:val="20"/>
        </w:rPr>
        <w:t xml:space="preserve"> life-cycle of the cell (</w:t>
      </w:r>
      <w:r w:rsidR="00E003D0" w:rsidRPr="00E003D0">
        <w:rPr>
          <w:rFonts w:ascii="Arial" w:hAnsi="Arial" w:cs="Arial"/>
          <w:bCs/>
          <w:sz w:val="20"/>
          <w:szCs w:val="20"/>
        </w:rPr>
        <w:t>Shang</w:t>
      </w:r>
      <w:r w:rsidR="00E003D0">
        <w:rPr>
          <w:rFonts w:ascii="Arial" w:hAnsi="Arial" w:cs="Arial"/>
          <w:bCs/>
          <w:sz w:val="20"/>
          <w:szCs w:val="20"/>
        </w:rPr>
        <w:t xml:space="preserve"> </w:t>
      </w:r>
      <w:r w:rsidR="00E003D0" w:rsidRPr="00E003D0">
        <w:rPr>
          <w:rFonts w:ascii="Arial" w:hAnsi="Arial" w:cs="Arial"/>
          <w:bCs/>
          <w:i/>
          <w:iCs/>
          <w:sz w:val="20"/>
          <w:szCs w:val="20"/>
        </w:rPr>
        <w:t>et al</w:t>
      </w:r>
      <w:r w:rsidR="00E003D0">
        <w:rPr>
          <w:rFonts w:ascii="Arial" w:hAnsi="Arial" w:cs="Arial"/>
          <w:bCs/>
          <w:sz w:val="20"/>
          <w:szCs w:val="20"/>
        </w:rPr>
        <w:t>., 2020</w:t>
      </w:r>
      <w:r w:rsidR="00065FAB">
        <w:rPr>
          <w:rFonts w:ascii="Arial" w:hAnsi="Arial" w:cs="Arial"/>
          <w:bCs/>
          <w:sz w:val="20"/>
          <w:szCs w:val="20"/>
        </w:rPr>
        <w:t xml:space="preserve">). </w:t>
      </w:r>
      <w:r w:rsidR="005863D2" w:rsidRPr="005863D2">
        <w:rPr>
          <w:rFonts w:ascii="Arial" w:hAnsi="Arial" w:cs="Arial"/>
          <w:bCs/>
          <w:sz w:val="20"/>
          <w:szCs w:val="20"/>
        </w:rPr>
        <w:t>Th</w:t>
      </w:r>
      <w:r w:rsidR="00D205EC">
        <w:rPr>
          <w:rFonts w:ascii="Arial" w:hAnsi="Arial" w:cs="Arial"/>
          <w:bCs/>
          <w:sz w:val="20"/>
          <w:szCs w:val="20"/>
        </w:rPr>
        <w:t>is</w:t>
      </w:r>
      <w:r w:rsidR="005863D2" w:rsidRPr="005863D2">
        <w:rPr>
          <w:rFonts w:ascii="Arial" w:hAnsi="Arial" w:cs="Arial"/>
          <w:bCs/>
          <w:sz w:val="20"/>
          <w:szCs w:val="20"/>
        </w:rPr>
        <w:t xml:space="preserve"> instability of the zinc anode in aqueous media limit battery</w:t>
      </w:r>
      <w:hyperlink r:id="rId7" w:tooltip="Learn more about battery from ScienceDirect's AI-generated Topic Pages" w:history="1"/>
      <w:r w:rsidR="005863D2" w:rsidRPr="005863D2">
        <w:rPr>
          <w:rFonts w:ascii="Arial" w:hAnsi="Arial" w:cs="Arial"/>
          <w:bCs/>
          <w:sz w:val="20"/>
          <w:szCs w:val="20"/>
        </w:rPr>
        <w:t xml:space="preserve"> cycle life and current capacity, leading to early short-circuiting and surface passivation that hinder electrochemical reversibility, </w:t>
      </w:r>
      <w:r w:rsidR="00927CE9" w:rsidRPr="00927CE9">
        <w:rPr>
          <w:rFonts w:ascii="Arial" w:hAnsi="Arial" w:cs="Arial"/>
          <w:bCs/>
          <w:sz w:val="20"/>
          <w:szCs w:val="20"/>
        </w:rPr>
        <w:t xml:space="preserve">chemical stability </w:t>
      </w:r>
      <w:r w:rsidR="005863D2" w:rsidRPr="005863D2">
        <w:rPr>
          <w:rFonts w:ascii="Arial" w:hAnsi="Arial" w:cs="Arial"/>
          <w:bCs/>
          <w:sz w:val="20"/>
          <w:szCs w:val="20"/>
        </w:rPr>
        <w:t xml:space="preserve">and practical implementations of reversible zinc batteries. Organic electrolytes on the other hand offer a theoretical solution to zinc anode thermodynamic instability, </w:t>
      </w:r>
      <w:r w:rsidR="001F1C1B">
        <w:rPr>
          <w:rFonts w:ascii="Arial" w:hAnsi="Arial" w:cs="Arial"/>
          <w:bCs/>
          <w:sz w:val="20"/>
          <w:szCs w:val="20"/>
        </w:rPr>
        <w:t>present</w:t>
      </w:r>
      <w:r w:rsidR="005863D2" w:rsidRPr="005863D2">
        <w:rPr>
          <w:rFonts w:ascii="Arial" w:hAnsi="Arial" w:cs="Arial"/>
          <w:bCs/>
          <w:sz w:val="20"/>
          <w:szCs w:val="20"/>
        </w:rPr>
        <w:t xml:space="preserve">ing undemanding electrochemistry at the electrode-electrolyte-interface (EEI) </w:t>
      </w:r>
      <w:r w:rsidR="001F1C1B">
        <w:rPr>
          <w:rFonts w:ascii="Arial" w:hAnsi="Arial" w:cs="Arial"/>
          <w:bCs/>
          <w:sz w:val="20"/>
          <w:szCs w:val="20"/>
        </w:rPr>
        <w:t>in consort with</w:t>
      </w:r>
      <w:r w:rsidR="005863D2" w:rsidRPr="005863D2">
        <w:rPr>
          <w:rFonts w:ascii="Arial" w:hAnsi="Arial" w:cs="Arial"/>
          <w:bCs/>
          <w:sz w:val="20"/>
          <w:szCs w:val="20"/>
        </w:rPr>
        <w:t xml:space="preserve"> enhanced reversibility and cycling stability. </w:t>
      </w:r>
      <w:r w:rsidR="0023758E">
        <w:rPr>
          <w:rFonts w:ascii="Arial" w:hAnsi="Arial" w:cs="Arial"/>
          <w:bCs/>
          <w:sz w:val="20"/>
          <w:szCs w:val="20"/>
        </w:rPr>
        <w:t xml:space="preserve">Amongst the major challenges to the zinc anode is the competing and rather parasitic reaction of the evolution of hydrogen which occludes the electrochemical reversibility of zinc batteries in aqueous media. </w:t>
      </w:r>
      <w:r w:rsidR="00EB5C50">
        <w:rPr>
          <w:rFonts w:ascii="Arial" w:hAnsi="Arial" w:cs="Arial"/>
          <w:bCs/>
          <w:sz w:val="20"/>
          <w:szCs w:val="20"/>
        </w:rPr>
        <w:t>C</w:t>
      </w:r>
      <w:r w:rsidR="00115AB7">
        <w:rPr>
          <w:rFonts w:ascii="Arial" w:hAnsi="Arial" w:cs="Arial"/>
          <w:bCs/>
          <w:sz w:val="20"/>
          <w:szCs w:val="20"/>
        </w:rPr>
        <w:t xml:space="preserve">urrent researchers </w:t>
      </w:r>
      <w:r w:rsidR="00625387" w:rsidRPr="00625387">
        <w:rPr>
          <w:rFonts w:ascii="Arial" w:hAnsi="Arial" w:cs="Arial"/>
          <w:bCs/>
          <w:sz w:val="20"/>
          <w:szCs w:val="20"/>
        </w:rPr>
        <w:t xml:space="preserve">have </w:t>
      </w:r>
      <w:r w:rsidR="00115AB7">
        <w:rPr>
          <w:rFonts w:ascii="Arial" w:hAnsi="Arial" w:cs="Arial"/>
          <w:bCs/>
          <w:sz w:val="20"/>
          <w:szCs w:val="20"/>
        </w:rPr>
        <w:t>contrived means of</w:t>
      </w:r>
      <w:r w:rsidR="00625387" w:rsidRPr="00625387">
        <w:rPr>
          <w:rFonts w:ascii="Arial" w:hAnsi="Arial" w:cs="Arial"/>
          <w:bCs/>
          <w:sz w:val="20"/>
          <w:szCs w:val="20"/>
        </w:rPr>
        <w:t xml:space="preserve"> </w:t>
      </w:r>
      <w:r w:rsidR="00115AB7">
        <w:rPr>
          <w:rFonts w:ascii="Arial" w:hAnsi="Arial" w:cs="Arial"/>
          <w:bCs/>
          <w:sz w:val="20"/>
          <w:szCs w:val="20"/>
        </w:rPr>
        <w:t>stifling</w:t>
      </w:r>
      <w:r w:rsidR="00625387" w:rsidRPr="00625387">
        <w:rPr>
          <w:rFonts w:ascii="Arial" w:hAnsi="Arial" w:cs="Arial"/>
          <w:bCs/>
          <w:sz w:val="20"/>
          <w:szCs w:val="20"/>
        </w:rPr>
        <w:t xml:space="preserve"> dendrite formation, </w:t>
      </w:r>
      <w:r w:rsidR="00115AB7">
        <w:rPr>
          <w:rFonts w:ascii="Arial" w:hAnsi="Arial" w:cs="Arial"/>
          <w:bCs/>
          <w:sz w:val="20"/>
          <w:szCs w:val="20"/>
        </w:rPr>
        <w:t xml:space="preserve">along with improving </w:t>
      </w:r>
      <w:r w:rsidR="00625387" w:rsidRPr="00625387">
        <w:rPr>
          <w:rFonts w:ascii="Arial" w:hAnsi="Arial" w:cs="Arial"/>
          <w:bCs/>
          <w:sz w:val="20"/>
          <w:szCs w:val="20"/>
        </w:rPr>
        <w:t>the coulombic efficiency and hence</w:t>
      </w:r>
      <w:r w:rsidR="00115AB7">
        <w:rPr>
          <w:rFonts w:ascii="Arial" w:hAnsi="Arial" w:cs="Arial"/>
          <w:bCs/>
          <w:sz w:val="20"/>
          <w:szCs w:val="20"/>
        </w:rPr>
        <w:t>, the</w:t>
      </w:r>
      <w:r w:rsidR="00625387" w:rsidRPr="00625387">
        <w:rPr>
          <w:rFonts w:ascii="Arial" w:hAnsi="Arial" w:cs="Arial"/>
          <w:bCs/>
          <w:sz w:val="20"/>
          <w:szCs w:val="20"/>
        </w:rPr>
        <w:t xml:space="preserve"> cycle</w:t>
      </w:r>
      <w:r w:rsidR="00115AB7">
        <w:rPr>
          <w:rFonts w:ascii="Arial" w:hAnsi="Arial" w:cs="Arial"/>
          <w:bCs/>
          <w:sz w:val="20"/>
          <w:szCs w:val="20"/>
        </w:rPr>
        <w:t>-</w:t>
      </w:r>
      <w:r w:rsidR="00625387" w:rsidRPr="00625387">
        <w:rPr>
          <w:rFonts w:ascii="Arial" w:hAnsi="Arial" w:cs="Arial"/>
          <w:bCs/>
          <w:sz w:val="20"/>
          <w:szCs w:val="20"/>
        </w:rPr>
        <w:t xml:space="preserve">life of </w:t>
      </w:r>
      <w:r w:rsidR="00115AB7">
        <w:rPr>
          <w:rFonts w:ascii="Arial" w:hAnsi="Arial" w:cs="Arial"/>
          <w:bCs/>
          <w:sz w:val="20"/>
          <w:szCs w:val="20"/>
        </w:rPr>
        <w:t xml:space="preserve">rechargeable zinc batteries by adopting </w:t>
      </w:r>
      <w:r w:rsidR="00625387" w:rsidRPr="00625387">
        <w:rPr>
          <w:rFonts w:ascii="Arial" w:hAnsi="Arial" w:cs="Arial"/>
          <w:bCs/>
          <w:sz w:val="20"/>
          <w:szCs w:val="20"/>
        </w:rPr>
        <w:lastRenderedPageBreak/>
        <w:t xml:space="preserve">nonaqueous media, </w:t>
      </w:r>
      <w:r w:rsidR="007D2A43">
        <w:rPr>
          <w:rFonts w:ascii="Arial" w:hAnsi="Arial" w:cs="Arial"/>
          <w:bCs/>
          <w:sz w:val="20"/>
          <w:szCs w:val="20"/>
        </w:rPr>
        <w:t>including</w:t>
      </w:r>
      <w:r w:rsidR="00625387" w:rsidRPr="00625387">
        <w:rPr>
          <w:rFonts w:ascii="Arial" w:hAnsi="Arial" w:cs="Arial"/>
          <w:bCs/>
          <w:sz w:val="20"/>
          <w:szCs w:val="20"/>
        </w:rPr>
        <w:t xml:space="preserve"> organic solvents </w:t>
      </w:r>
      <w:r w:rsidR="00625387">
        <w:rPr>
          <w:rFonts w:ascii="Arial" w:hAnsi="Arial" w:cs="Arial"/>
          <w:bCs/>
          <w:sz w:val="20"/>
          <w:szCs w:val="20"/>
        </w:rPr>
        <w:t>(</w:t>
      </w:r>
      <w:r w:rsidR="004F0A3A" w:rsidRPr="004F0A3A">
        <w:rPr>
          <w:rFonts w:ascii="Arial" w:hAnsi="Arial" w:cs="Arial"/>
          <w:bCs/>
          <w:sz w:val="20"/>
          <w:szCs w:val="20"/>
        </w:rPr>
        <w:t>Chae</w:t>
      </w:r>
      <w:r w:rsidR="004F0A3A">
        <w:rPr>
          <w:rFonts w:ascii="Arial" w:hAnsi="Arial" w:cs="Arial"/>
          <w:bCs/>
          <w:sz w:val="20"/>
          <w:szCs w:val="20"/>
        </w:rPr>
        <w:t xml:space="preserve"> </w:t>
      </w:r>
      <w:bookmarkStart w:id="3" w:name="_Hlk213436030"/>
      <w:bookmarkStart w:id="4" w:name="_Hlk215768386"/>
      <w:r w:rsidR="004F0A3A" w:rsidRPr="004F0A3A">
        <w:rPr>
          <w:rFonts w:ascii="Arial" w:hAnsi="Arial" w:cs="Arial"/>
          <w:bCs/>
          <w:i/>
          <w:iCs/>
          <w:sz w:val="20"/>
          <w:szCs w:val="20"/>
        </w:rPr>
        <w:t>et al</w:t>
      </w:r>
      <w:r w:rsidR="004F0A3A" w:rsidRPr="004F0A3A">
        <w:rPr>
          <w:rFonts w:ascii="Arial" w:hAnsi="Arial" w:cs="Arial"/>
          <w:bCs/>
          <w:sz w:val="20"/>
          <w:szCs w:val="20"/>
        </w:rPr>
        <w:t xml:space="preserve">., </w:t>
      </w:r>
      <w:bookmarkEnd w:id="3"/>
      <w:r w:rsidR="004F0A3A">
        <w:rPr>
          <w:rFonts w:ascii="Arial" w:hAnsi="Arial" w:cs="Arial"/>
          <w:bCs/>
          <w:sz w:val="20"/>
          <w:szCs w:val="20"/>
        </w:rPr>
        <w:t>2017</w:t>
      </w:r>
      <w:bookmarkEnd w:id="4"/>
      <w:r w:rsidR="00625387">
        <w:rPr>
          <w:rFonts w:ascii="Arial" w:hAnsi="Arial" w:cs="Arial"/>
          <w:bCs/>
          <w:sz w:val="20"/>
          <w:szCs w:val="20"/>
        </w:rPr>
        <w:t>).</w:t>
      </w:r>
      <w:r w:rsidR="00625387" w:rsidRPr="00625387">
        <w:rPr>
          <w:rFonts w:ascii="Arial" w:hAnsi="Arial" w:cs="Arial"/>
          <w:bCs/>
          <w:sz w:val="20"/>
          <w:szCs w:val="20"/>
        </w:rPr>
        <w:t xml:space="preserve"> </w:t>
      </w:r>
      <w:r w:rsidR="00065FAB">
        <w:rPr>
          <w:rFonts w:ascii="Arial" w:hAnsi="Arial" w:cs="Arial"/>
          <w:bCs/>
          <w:sz w:val="20"/>
          <w:szCs w:val="20"/>
        </w:rPr>
        <w:t xml:space="preserve"> </w:t>
      </w:r>
      <w:bookmarkStart w:id="5" w:name="_Hlk214009668"/>
      <w:r w:rsidR="00931C0E" w:rsidRPr="00931C0E">
        <w:rPr>
          <w:rFonts w:ascii="Arial" w:hAnsi="Arial" w:cs="Arial"/>
          <w:bCs/>
          <w:sz w:val="20"/>
          <w:szCs w:val="20"/>
        </w:rPr>
        <w:t>ZnCl</w:t>
      </w:r>
      <w:r w:rsidR="00931C0E" w:rsidRPr="00931C0E">
        <w:rPr>
          <w:rFonts w:ascii="Arial" w:hAnsi="Arial" w:cs="Arial"/>
          <w:bCs/>
          <w:sz w:val="20"/>
          <w:szCs w:val="20"/>
          <w:vertAlign w:val="subscript"/>
        </w:rPr>
        <w:t>2</w:t>
      </w:r>
      <w:bookmarkEnd w:id="5"/>
      <w:r w:rsidR="00931C0E" w:rsidRPr="00931C0E">
        <w:rPr>
          <w:rFonts w:ascii="Arial" w:hAnsi="Arial" w:cs="Arial"/>
          <w:bCs/>
          <w:sz w:val="20"/>
          <w:szCs w:val="20"/>
        </w:rPr>
        <w:t xml:space="preserve"> </w:t>
      </w:r>
      <w:r w:rsidR="00931C0E">
        <w:rPr>
          <w:rFonts w:ascii="Arial" w:hAnsi="Arial" w:cs="Arial"/>
          <w:bCs/>
          <w:sz w:val="20"/>
          <w:szCs w:val="20"/>
        </w:rPr>
        <w:t xml:space="preserve">electrolytes constituted with organic solvents have been employed in energy storage devices. They offer the benefit of excellent cycling stability, </w:t>
      </w:r>
      <w:r w:rsidR="002C75D7">
        <w:rPr>
          <w:rFonts w:ascii="Arial" w:hAnsi="Arial" w:cs="Arial"/>
          <w:bCs/>
          <w:sz w:val="20"/>
          <w:szCs w:val="20"/>
        </w:rPr>
        <w:t>reversibility</w:t>
      </w:r>
      <w:r w:rsidR="00931C0E">
        <w:rPr>
          <w:rFonts w:ascii="Arial" w:hAnsi="Arial" w:cs="Arial"/>
          <w:bCs/>
          <w:sz w:val="20"/>
          <w:szCs w:val="20"/>
        </w:rPr>
        <w:t xml:space="preserve"> and higher coulombic efficiency. </w:t>
      </w:r>
      <w:r w:rsidR="004C4B3B" w:rsidRPr="004C4B3B">
        <w:rPr>
          <w:rFonts w:ascii="Arial" w:hAnsi="Arial" w:cs="Arial"/>
          <w:bCs/>
          <w:sz w:val="20"/>
          <w:szCs w:val="20"/>
        </w:rPr>
        <w:t xml:space="preserve">Zn anodes </w:t>
      </w:r>
      <w:r w:rsidR="00EB5C50">
        <w:rPr>
          <w:rFonts w:ascii="Arial" w:hAnsi="Arial" w:cs="Arial"/>
          <w:bCs/>
          <w:sz w:val="20"/>
          <w:szCs w:val="20"/>
        </w:rPr>
        <w:t xml:space="preserve">have proven compatible </w:t>
      </w:r>
      <w:r w:rsidR="004C4B3B" w:rsidRPr="004C4B3B">
        <w:rPr>
          <w:rFonts w:ascii="Arial" w:hAnsi="Arial" w:cs="Arial"/>
          <w:bCs/>
          <w:sz w:val="20"/>
          <w:szCs w:val="20"/>
        </w:rPr>
        <w:br/>
      </w:r>
      <w:r w:rsidR="00EB5C50">
        <w:rPr>
          <w:rFonts w:ascii="Arial" w:hAnsi="Arial" w:cs="Arial"/>
          <w:bCs/>
          <w:sz w:val="20"/>
          <w:szCs w:val="20"/>
        </w:rPr>
        <w:t>w</w:t>
      </w:r>
      <w:r w:rsidR="004C4B3B" w:rsidRPr="004C4B3B">
        <w:rPr>
          <w:rFonts w:ascii="Arial" w:hAnsi="Arial" w:cs="Arial"/>
          <w:bCs/>
          <w:sz w:val="20"/>
          <w:szCs w:val="20"/>
        </w:rPr>
        <w:t>i</w:t>
      </w:r>
      <w:r w:rsidR="00EB5C50">
        <w:rPr>
          <w:rFonts w:ascii="Arial" w:hAnsi="Arial" w:cs="Arial"/>
          <w:bCs/>
          <w:sz w:val="20"/>
          <w:szCs w:val="20"/>
        </w:rPr>
        <w:t>th</w:t>
      </w:r>
      <w:r w:rsidR="004C4B3B" w:rsidRPr="004C4B3B">
        <w:rPr>
          <w:rFonts w:ascii="Arial" w:hAnsi="Arial" w:cs="Arial"/>
          <w:bCs/>
          <w:sz w:val="20"/>
          <w:szCs w:val="20"/>
        </w:rPr>
        <w:t xml:space="preserve"> non-aqueous electrolyte cells, presenting the benefit of </w:t>
      </w:r>
      <w:r w:rsidR="00EB5C50">
        <w:rPr>
          <w:rFonts w:ascii="Arial" w:hAnsi="Arial" w:cs="Arial"/>
          <w:bCs/>
          <w:sz w:val="20"/>
          <w:szCs w:val="20"/>
        </w:rPr>
        <w:t>convey</w:t>
      </w:r>
      <w:r w:rsidR="004C4B3B" w:rsidRPr="004C4B3B">
        <w:rPr>
          <w:rFonts w:ascii="Arial" w:hAnsi="Arial" w:cs="Arial"/>
          <w:bCs/>
          <w:sz w:val="20"/>
          <w:szCs w:val="20"/>
        </w:rPr>
        <w:t>ing higher</w:t>
      </w:r>
      <w:r w:rsidR="004C4B3B">
        <w:rPr>
          <w:rFonts w:ascii="Arial" w:hAnsi="Arial" w:cs="Arial"/>
          <w:bCs/>
          <w:sz w:val="20"/>
          <w:szCs w:val="20"/>
        </w:rPr>
        <w:t xml:space="preserve"> </w:t>
      </w:r>
      <w:r w:rsidR="004C4B3B" w:rsidRPr="004C4B3B">
        <w:rPr>
          <w:rFonts w:ascii="Arial" w:hAnsi="Arial" w:cs="Arial"/>
          <w:bCs/>
          <w:sz w:val="20"/>
          <w:szCs w:val="20"/>
        </w:rPr>
        <w:t xml:space="preserve">volumetric and </w:t>
      </w:r>
      <w:r w:rsidR="004C4B3B">
        <w:rPr>
          <w:rFonts w:ascii="Arial" w:hAnsi="Arial" w:cs="Arial"/>
          <w:bCs/>
          <w:sz w:val="20"/>
          <w:szCs w:val="20"/>
        </w:rPr>
        <w:t>g</w:t>
      </w:r>
      <w:r w:rsidR="004C4B3B" w:rsidRPr="004C4B3B">
        <w:rPr>
          <w:rFonts w:ascii="Arial" w:hAnsi="Arial" w:cs="Arial"/>
          <w:bCs/>
          <w:sz w:val="20"/>
          <w:szCs w:val="20"/>
        </w:rPr>
        <w:t xml:space="preserve">ravimetric capacities (5,851 </w:t>
      </w:r>
      <w:proofErr w:type="spellStart"/>
      <w:r w:rsidR="004C4B3B" w:rsidRPr="004C4B3B">
        <w:rPr>
          <w:rFonts w:ascii="Arial" w:hAnsi="Arial" w:cs="Arial"/>
          <w:bCs/>
          <w:sz w:val="20"/>
          <w:szCs w:val="20"/>
        </w:rPr>
        <w:t>mAh</w:t>
      </w:r>
      <w:proofErr w:type="spellEnd"/>
      <w:r w:rsidR="004C4B3B" w:rsidRPr="004C4B3B">
        <w:rPr>
          <w:rFonts w:ascii="Arial" w:hAnsi="Arial" w:cs="Arial"/>
          <w:bCs/>
          <w:sz w:val="20"/>
          <w:szCs w:val="20"/>
        </w:rPr>
        <w:t xml:space="preserve"> m</w:t>
      </w:r>
      <m:oMath>
        <m:sSup>
          <m:sSupPr>
            <m:ctrlPr>
              <w:rPr>
                <w:rFonts w:ascii="Cambria Math" w:hAnsi="Cambria Math" w:cs="Arial"/>
                <w:bCs/>
                <w:i/>
                <w:sz w:val="20"/>
                <w:szCs w:val="20"/>
              </w:rPr>
            </m:ctrlPr>
          </m:sSupPr>
          <m:e>
            <m:r>
              <w:rPr>
                <w:rFonts w:ascii="Cambria Math" w:hAnsi="Cambria Math" w:cs="Arial"/>
                <w:sz w:val="20"/>
                <w:szCs w:val="20"/>
              </w:rPr>
              <m:t>L</m:t>
            </m:r>
          </m:e>
          <m:sup>
            <m:r>
              <w:rPr>
                <w:rFonts w:ascii="Cambria Math" w:hAnsi="Cambria Math" w:cs="Arial"/>
                <w:sz w:val="20"/>
                <w:szCs w:val="20"/>
              </w:rPr>
              <m:t>-1</m:t>
            </m:r>
          </m:sup>
        </m:sSup>
      </m:oMath>
      <w:r w:rsidR="004C4B3B" w:rsidRPr="004C4B3B">
        <w:rPr>
          <w:rFonts w:ascii="Arial" w:hAnsi="Arial" w:cs="Arial"/>
          <w:bCs/>
          <w:sz w:val="20"/>
          <w:szCs w:val="20"/>
        </w:rPr>
        <w:t xml:space="preserve"> and 820 mAh </w:t>
      </w:r>
      <m:oMath>
        <m:sSup>
          <m:sSupPr>
            <m:ctrlPr>
              <w:rPr>
                <w:rFonts w:ascii="Cambria Math" w:hAnsi="Cambria Math" w:cs="Arial"/>
                <w:bCs/>
                <w:i/>
                <w:sz w:val="20"/>
                <w:szCs w:val="20"/>
              </w:rPr>
            </m:ctrlPr>
          </m:sSupPr>
          <m:e>
            <m:r>
              <w:rPr>
                <w:rFonts w:ascii="Cambria Math" w:hAnsi="Cambria Math" w:cs="Arial"/>
                <w:sz w:val="20"/>
                <w:szCs w:val="20"/>
              </w:rPr>
              <m:t>g</m:t>
            </m:r>
          </m:e>
          <m:sup>
            <m:r>
              <w:rPr>
                <w:rFonts w:ascii="Cambria Math" w:hAnsi="Cambria Math" w:cs="Arial"/>
                <w:sz w:val="20"/>
                <w:szCs w:val="20"/>
              </w:rPr>
              <m:t>-1</m:t>
            </m:r>
          </m:sup>
        </m:sSup>
      </m:oMath>
      <w:r w:rsidR="004C4B3B" w:rsidRPr="004C4B3B">
        <w:rPr>
          <w:rFonts w:ascii="Arial" w:hAnsi="Arial" w:cs="Arial"/>
          <w:bCs/>
          <w:sz w:val="20"/>
          <w:szCs w:val="20"/>
        </w:rPr>
        <w:t xml:space="preserve">, respectively) than those for the graphite anode materials </w:t>
      </w:r>
      <w:r w:rsidR="00EB5C50" w:rsidRPr="004C4B3B">
        <w:rPr>
          <w:rFonts w:ascii="Arial" w:hAnsi="Arial" w:cs="Arial"/>
          <w:bCs/>
          <w:sz w:val="20"/>
          <w:szCs w:val="20"/>
        </w:rPr>
        <w:t>u</w:t>
      </w:r>
      <w:r w:rsidR="00EB5C50">
        <w:rPr>
          <w:rFonts w:ascii="Arial" w:hAnsi="Arial" w:cs="Arial"/>
          <w:bCs/>
          <w:sz w:val="20"/>
          <w:szCs w:val="20"/>
        </w:rPr>
        <w:t>tilized</w:t>
      </w:r>
      <w:r w:rsidR="004C4B3B" w:rsidRPr="004C4B3B">
        <w:rPr>
          <w:rFonts w:ascii="Arial" w:hAnsi="Arial" w:cs="Arial"/>
          <w:bCs/>
          <w:sz w:val="20"/>
          <w:szCs w:val="20"/>
        </w:rPr>
        <w:t xml:space="preserve"> in Li-ion batteries</w:t>
      </w:r>
      <w:r w:rsidR="007645AF">
        <w:rPr>
          <w:rFonts w:ascii="Arial" w:hAnsi="Arial" w:cs="Arial"/>
          <w:bCs/>
          <w:sz w:val="20"/>
          <w:szCs w:val="20"/>
        </w:rPr>
        <w:t xml:space="preserve"> </w:t>
      </w:r>
      <w:r w:rsidR="004C4B3B" w:rsidRPr="004C4B3B">
        <w:rPr>
          <w:rFonts w:ascii="Arial" w:hAnsi="Arial" w:cs="Arial"/>
          <w:bCs/>
          <w:sz w:val="20"/>
          <w:szCs w:val="20"/>
        </w:rPr>
        <w:t xml:space="preserve">(756 </w:t>
      </w:r>
      <w:proofErr w:type="spellStart"/>
      <w:r w:rsidR="004C4B3B" w:rsidRPr="004C4B3B">
        <w:rPr>
          <w:rFonts w:ascii="Arial" w:hAnsi="Arial" w:cs="Arial"/>
          <w:bCs/>
          <w:sz w:val="20"/>
          <w:szCs w:val="20"/>
        </w:rPr>
        <w:t>mAh</w:t>
      </w:r>
      <w:proofErr w:type="spellEnd"/>
      <w:r w:rsidR="004C4B3B" w:rsidRPr="004C4B3B">
        <w:rPr>
          <w:rFonts w:ascii="Arial" w:hAnsi="Arial" w:cs="Arial"/>
          <w:bCs/>
          <w:sz w:val="20"/>
          <w:szCs w:val="20"/>
        </w:rPr>
        <w:t xml:space="preserve"> m</w:t>
      </w:r>
      <m:oMath>
        <m:sSup>
          <m:sSupPr>
            <m:ctrlPr>
              <w:rPr>
                <w:rFonts w:ascii="Cambria Math" w:hAnsi="Cambria Math" w:cs="Arial"/>
                <w:bCs/>
                <w:i/>
                <w:sz w:val="20"/>
                <w:szCs w:val="20"/>
              </w:rPr>
            </m:ctrlPr>
          </m:sSupPr>
          <m:e>
            <m:r>
              <w:rPr>
                <w:rFonts w:ascii="Cambria Math" w:hAnsi="Cambria Math" w:cs="Arial"/>
                <w:sz w:val="20"/>
                <w:szCs w:val="20"/>
              </w:rPr>
              <m:t>L</m:t>
            </m:r>
          </m:e>
          <m:sup>
            <m:r>
              <w:rPr>
                <w:rFonts w:ascii="Cambria Math" w:hAnsi="Cambria Math" w:cs="Arial"/>
                <w:sz w:val="20"/>
                <w:szCs w:val="20"/>
              </w:rPr>
              <m:t>-1</m:t>
            </m:r>
          </m:sup>
        </m:sSup>
      </m:oMath>
      <w:r w:rsidR="004C4B3B" w:rsidRPr="004C4B3B">
        <w:rPr>
          <w:rFonts w:ascii="Arial" w:hAnsi="Arial" w:cs="Arial"/>
          <w:bCs/>
          <w:sz w:val="20"/>
          <w:szCs w:val="20"/>
        </w:rPr>
        <w:t xml:space="preserve"> and 372 mAh </w:t>
      </w:r>
      <m:oMath>
        <m:sSup>
          <m:sSupPr>
            <m:ctrlPr>
              <w:rPr>
                <w:rFonts w:ascii="Cambria Math" w:hAnsi="Cambria Math" w:cs="Arial"/>
                <w:bCs/>
                <w:i/>
                <w:sz w:val="20"/>
                <w:szCs w:val="20"/>
              </w:rPr>
            </m:ctrlPr>
          </m:sSupPr>
          <m:e>
            <m:r>
              <w:rPr>
                <w:rFonts w:ascii="Cambria Math" w:hAnsi="Cambria Math" w:cs="Arial"/>
                <w:sz w:val="20"/>
                <w:szCs w:val="20"/>
              </w:rPr>
              <m:t>g</m:t>
            </m:r>
          </m:e>
          <m:sup>
            <m:r>
              <w:rPr>
                <w:rFonts w:ascii="Cambria Math" w:hAnsi="Cambria Math" w:cs="Arial"/>
                <w:sz w:val="20"/>
                <w:szCs w:val="20"/>
              </w:rPr>
              <m:t>-1</m:t>
            </m:r>
          </m:sup>
        </m:sSup>
      </m:oMath>
      <w:r w:rsidR="004C4B3B" w:rsidRPr="004C4B3B">
        <w:rPr>
          <w:rFonts w:ascii="Arial" w:hAnsi="Arial" w:cs="Arial"/>
          <w:bCs/>
          <w:sz w:val="20"/>
          <w:szCs w:val="20"/>
        </w:rPr>
        <w:t>)</w:t>
      </w:r>
      <w:r w:rsidR="004C4B3B">
        <w:rPr>
          <w:rFonts w:ascii="Arial" w:hAnsi="Arial" w:cs="Arial"/>
          <w:bCs/>
          <w:sz w:val="20"/>
          <w:szCs w:val="20"/>
        </w:rPr>
        <w:t xml:space="preserve"> </w:t>
      </w:r>
      <w:r w:rsidR="007645AF">
        <w:rPr>
          <w:rFonts w:ascii="Arial" w:hAnsi="Arial" w:cs="Arial"/>
          <w:bCs/>
          <w:sz w:val="20"/>
          <w:szCs w:val="20"/>
        </w:rPr>
        <w:t>(</w:t>
      </w:r>
      <w:r w:rsidR="007645AF" w:rsidRPr="007645AF">
        <w:rPr>
          <w:rFonts w:ascii="Arial" w:hAnsi="Arial" w:cs="Arial"/>
          <w:bCs/>
          <w:sz w:val="20"/>
          <w:szCs w:val="20"/>
        </w:rPr>
        <w:t>Blanc</w:t>
      </w:r>
      <w:r w:rsidR="007645AF">
        <w:rPr>
          <w:rFonts w:ascii="Arial" w:hAnsi="Arial" w:cs="Arial"/>
          <w:bCs/>
          <w:sz w:val="20"/>
          <w:szCs w:val="20"/>
        </w:rPr>
        <w:t xml:space="preserve"> </w:t>
      </w:r>
      <w:r w:rsidR="007645AF" w:rsidRPr="007645AF">
        <w:rPr>
          <w:rFonts w:ascii="Arial" w:hAnsi="Arial" w:cs="Arial"/>
          <w:bCs/>
          <w:i/>
          <w:iCs/>
          <w:sz w:val="20"/>
          <w:szCs w:val="20"/>
        </w:rPr>
        <w:t>et al</w:t>
      </w:r>
      <w:r w:rsidR="007645AF" w:rsidRPr="007645AF">
        <w:rPr>
          <w:rFonts w:ascii="Arial" w:hAnsi="Arial" w:cs="Arial"/>
          <w:bCs/>
          <w:sz w:val="20"/>
          <w:szCs w:val="20"/>
        </w:rPr>
        <w:t xml:space="preserve">., </w:t>
      </w:r>
      <w:r w:rsidR="007645AF">
        <w:rPr>
          <w:rFonts w:ascii="Arial" w:hAnsi="Arial" w:cs="Arial"/>
          <w:bCs/>
          <w:sz w:val="20"/>
          <w:szCs w:val="20"/>
        </w:rPr>
        <w:t>2020).</w:t>
      </w:r>
      <w:r w:rsidR="00EB5C50">
        <w:rPr>
          <w:rFonts w:ascii="Arial" w:hAnsi="Arial" w:cs="Arial"/>
          <w:bCs/>
          <w:sz w:val="20"/>
          <w:szCs w:val="20"/>
        </w:rPr>
        <w:t xml:space="preserve"> </w:t>
      </w:r>
      <w:r w:rsidR="005A3F4D">
        <w:rPr>
          <w:rFonts w:ascii="Arial" w:hAnsi="Arial" w:cs="Arial"/>
          <w:bCs/>
          <w:sz w:val="20"/>
          <w:szCs w:val="20"/>
        </w:rPr>
        <w:t>A superior electrolyte should essentially</w:t>
      </w:r>
      <w:r w:rsidR="003D69D8" w:rsidRPr="003D69D8">
        <w:rPr>
          <w:rFonts w:ascii="Arial" w:hAnsi="Arial" w:cs="Arial"/>
          <w:bCs/>
          <w:sz w:val="20"/>
          <w:szCs w:val="20"/>
        </w:rPr>
        <w:t xml:space="preserve"> establish benign physical interaction at the EEI, </w:t>
      </w:r>
      <w:r w:rsidR="005A3F4D">
        <w:rPr>
          <w:rFonts w:ascii="Arial" w:hAnsi="Arial" w:cs="Arial"/>
          <w:bCs/>
          <w:sz w:val="20"/>
          <w:szCs w:val="20"/>
        </w:rPr>
        <w:t>enabl</w:t>
      </w:r>
      <w:r w:rsidR="003D69D8" w:rsidRPr="003D69D8">
        <w:rPr>
          <w:rFonts w:ascii="Arial" w:hAnsi="Arial" w:cs="Arial"/>
          <w:bCs/>
          <w:sz w:val="20"/>
          <w:szCs w:val="20"/>
        </w:rPr>
        <w:t>ing rapid ion diffusion and electron transfer</w:t>
      </w:r>
      <w:r w:rsidR="005A3F4D">
        <w:rPr>
          <w:rFonts w:ascii="Arial" w:hAnsi="Arial" w:cs="Arial"/>
          <w:bCs/>
          <w:sz w:val="20"/>
          <w:szCs w:val="20"/>
        </w:rPr>
        <w:t xml:space="preserve">. </w:t>
      </w:r>
      <w:r w:rsidR="007F7CBD">
        <w:rPr>
          <w:rFonts w:ascii="Arial" w:hAnsi="Arial" w:cs="Arial"/>
          <w:bCs/>
          <w:sz w:val="20"/>
          <w:szCs w:val="20"/>
        </w:rPr>
        <w:t xml:space="preserve">As a consequence, </w:t>
      </w:r>
      <w:r w:rsidR="00063B2A" w:rsidRPr="00063B2A">
        <w:rPr>
          <w:rFonts w:ascii="Arial" w:hAnsi="Arial" w:cs="Arial"/>
          <w:bCs/>
          <w:sz w:val="20"/>
          <w:szCs w:val="20"/>
        </w:rPr>
        <w:t xml:space="preserve">in recent years, electrolyte systems containing </w:t>
      </w:r>
      <w:r w:rsidR="00797E3F">
        <w:rPr>
          <w:rFonts w:ascii="Arial" w:hAnsi="Arial" w:cs="Arial"/>
          <w:bCs/>
          <w:sz w:val="20"/>
          <w:szCs w:val="20"/>
        </w:rPr>
        <w:t>marginal</w:t>
      </w:r>
      <w:r w:rsidR="00063B2A" w:rsidRPr="00063B2A">
        <w:rPr>
          <w:rFonts w:ascii="Arial" w:hAnsi="Arial" w:cs="Arial"/>
          <w:bCs/>
          <w:sz w:val="20"/>
          <w:szCs w:val="20"/>
        </w:rPr>
        <w:t xml:space="preserve"> </w:t>
      </w:r>
      <w:r w:rsidR="00797E3F">
        <w:rPr>
          <w:rFonts w:ascii="Arial" w:hAnsi="Arial" w:cs="Arial"/>
          <w:bCs/>
          <w:sz w:val="20"/>
          <w:szCs w:val="20"/>
        </w:rPr>
        <w:t>to</w:t>
      </w:r>
      <w:r w:rsidR="00063B2A" w:rsidRPr="00063B2A">
        <w:rPr>
          <w:rFonts w:ascii="Arial" w:hAnsi="Arial" w:cs="Arial"/>
          <w:bCs/>
          <w:sz w:val="20"/>
          <w:szCs w:val="20"/>
        </w:rPr>
        <w:t xml:space="preserve"> </w:t>
      </w:r>
      <w:r w:rsidR="00797E3F">
        <w:rPr>
          <w:rFonts w:ascii="Arial" w:hAnsi="Arial" w:cs="Arial"/>
          <w:bCs/>
          <w:sz w:val="20"/>
          <w:szCs w:val="20"/>
        </w:rPr>
        <w:t>zero</w:t>
      </w:r>
      <w:r w:rsidR="00063B2A" w:rsidRPr="00063B2A">
        <w:rPr>
          <w:rFonts w:ascii="Arial" w:hAnsi="Arial" w:cs="Arial"/>
          <w:bCs/>
          <w:sz w:val="20"/>
          <w:szCs w:val="20"/>
        </w:rPr>
        <w:t xml:space="preserve"> water molecules </w:t>
      </w:r>
      <w:r w:rsidR="00931CDD">
        <w:rPr>
          <w:rFonts w:ascii="Arial" w:hAnsi="Arial" w:cs="Arial"/>
          <w:bCs/>
          <w:sz w:val="20"/>
          <w:szCs w:val="20"/>
        </w:rPr>
        <w:t>(</w:t>
      </w:r>
      <w:r w:rsidR="005B0E61">
        <w:rPr>
          <w:rFonts w:ascii="Arial" w:hAnsi="Arial" w:cs="Arial"/>
          <w:bCs/>
          <w:sz w:val="20"/>
          <w:szCs w:val="20"/>
        </w:rPr>
        <w:t>o</w:t>
      </w:r>
      <w:r w:rsidR="00063B2A" w:rsidRPr="00063B2A">
        <w:rPr>
          <w:rFonts w:ascii="Arial" w:hAnsi="Arial" w:cs="Arial"/>
          <w:bCs/>
          <w:sz w:val="20"/>
          <w:szCs w:val="20"/>
        </w:rPr>
        <w:t>rganic electrolytes</w:t>
      </w:r>
      <w:r w:rsidR="00931CDD">
        <w:rPr>
          <w:rFonts w:ascii="Arial" w:hAnsi="Arial" w:cs="Arial"/>
          <w:bCs/>
          <w:sz w:val="20"/>
          <w:szCs w:val="20"/>
        </w:rPr>
        <w:t>)</w:t>
      </w:r>
      <w:r w:rsidR="00063B2A" w:rsidRPr="00063B2A">
        <w:rPr>
          <w:rFonts w:ascii="Arial" w:hAnsi="Arial" w:cs="Arial"/>
          <w:bCs/>
          <w:sz w:val="20"/>
          <w:szCs w:val="20"/>
        </w:rPr>
        <w:t xml:space="preserve"> have </w:t>
      </w:r>
      <w:r w:rsidR="00931CDD">
        <w:rPr>
          <w:rFonts w:ascii="Arial" w:hAnsi="Arial" w:cs="Arial"/>
          <w:bCs/>
          <w:sz w:val="20"/>
          <w:szCs w:val="20"/>
        </w:rPr>
        <w:t>become prominent</w:t>
      </w:r>
      <w:r w:rsidR="00063B2A" w:rsidRPr="00063B2A">
        <w:rPr>
          <w:rFonts w:ascii="Arial" w:hAnsi="Arial" w:cs="Arial"/>
          <w:bCs/>
          <w:sz w:val="20"/>
          <w:szCs w:val="20"/>
        </w:rPr>
        <w:t xml:space="preserve"> for their potential to enhance the chemical stability of Zn anode and </w:t>
      </w:r>
      <w:r w:rsidR="005B0E61">
        <w:rPr>
          <w:rFonts w:ascii="Arial" w:hAnsi="Arial" w:cs="Arial"/>
          <w:bCs/>
          <w:sz w:val="20"/>
          <w:szCs w:val="20"/>
        </w:rPr>
        <w:t>extend</w:t>
      </w:r>
      <w:r w:rsidR="00063B2A" w:rsidRPr="00063B2A">
        <w:rPr>
          <w:rFonts w:ascii="Arial" w:hAnsi="Arial" w:cs="Arial"/>
          <w:bCs/>
          <w:sz w:val="20"/>
          <w:szCs w:val="20"/>
        </w:rPr>
        <w:t xml:space="preserve"> the </w:t>
      </w:r>
      <w:r w:rsidR="005B0E61">
        <w:rPr>
          <w:rFonts w:ascii="Arial" w:hAnsi="Arial" w:cs="Arial"/>
          <w:bCs/>
          <w:sz w:val="20"/>
          <w:szCs w:val="20"/>
        </w:rPr>
        <w:t>life cycle of batteries</w:t>
      </w:r>
      <w:r w:rsidR="007C4D37">
        <w:rPr>
          <w:rFonts w:ascii="Arial" w:hAnsi="Arial" w:cs="Arial"/>
          <w:bCs/>
          <w:sz w:val="20"/>
          <w:szCs w:val="20"/>
        </w:rPr>
        <w:t xml:space="preserve"> (</w:t>
      </w:r>
      <w:r w:rsidR="00683DA4" w:rsidRPr="00683DA4">
        <w:rPr>
          <w:rFonts w:ascii="Arial" w:hAnsi="Arial" w:cs="Arial"/>
          <w:bCs/>
          <w:sz w:val="20"/>
          <w:szCs w:val="20"/>
        </w:rPr>
        <w:t>Yuan</w:t>
      </w:r>
      <w:r w:rsidR="00683DA4">
        <w:rPr>
          <w:rFonts w:ascii="Arial" w:hAnsi="Arial" w:cs="Arial"/>
          <w:bCs/>
          <w:sz w:val="20"/>
          <w:szCs w:val="20"/>
        </w:rPr>
        <w:t xml:space="preserve"> </w:t>
      </w:r>
      <w:r w:rsidR="00A808AC" w:rsidRPr="00A808AC">
        <w:rPr>
          <w:rFonts w:ascii="Arial" w:hAnsi="Arial" w:cs="Arial"/>
          <w:bCs/>
          <w:i/>
          <w:iCs/>
          <w:sz w:val="20"/>
          <w:szCs w:val="20"/>
        </w:rPr>
        <w:t>et al</w:t>
      </w:r>
      <w:r w:rsidR="00A808AC">
        <w:rPr>
          <w:rFonts w:ascii="Arial" w:hAnsi="Arial" w:cs="Arial"/>
          <w:bCs/>
          <w:sz w:val="20"/>
          <w:szCs w:val="20"/>
        </w:rPr>
        <w:t>., 2021</w:t>
      </w:r>
      <w:r w:rsidR="007C4D37">
        <w:rPr>
          <w:rFonts w:ascii="Arial" w:hAnsi="Arial" w:cs="Arial"/>
          <w:bCs/>
          <w:sz w:val="20"/>
          <w:szCs w:val="20"/>
        </w:rPr>
        <w:t>)</w:t>
      </w:r>
      <w:r w:rsidR="00063B2A" w:rsidRPr="00063B2A">
        <w:rPr>
          <w:rFonts w:ascii="Arial" w:hAnsi="Arial" w:cs="Arial"/>
          <w:bCs/>
          <w:sz w:val="20"/>
          <w:szCs w:val="20"/>
        </w:rPr>
        <w:t xml:space="preserve">. </w:t>
      </w:r>
      <w:r w:rsidR="005A3F4D" w:rsidRPr="005A3F4D">
        <w:rPr>
          <w:rFonts w:ascii="Arial" w:hAnsi="Arial" w:cs="Arial"/>
          <w:bCs/>
          <w:sz w:val="20"/>
          <w:szCs w:val="20"/>
        </w:rPr>
        <w:t xml:space="preserve">Preliminary findings </w:t>
      </w:r>
      <w:r w:rsidR="00D30168">
        <w:rPr>
          <w:rFonts w:ascii="Arial" w:hAnsi="Arial" w:cs="Arial"/>
          <w:bCs/>
          <w:sz w:val="20"/>
          <w:szCs w:val="20"/>
        </w:rPr>
        <w:t>have</w:t>
      </w:r>
      <w:r w:rsidR="005A3F4D" w:rsidRPr="005A3F4D">
        <w:rPr>
          <w:rFonts w:ascii="Arial" w:hAnsi="Arial" w:cs="Arial"/>
          <w:bCs/>
          <w:sz w:val="20"/>
          <w:szCs w:val="20"/>
        </w:rPr>
        <w:t xml:space="preserve"> show</w:t>
      </w:r>
      <w:r w:rsidR="00D30168">
        <w:rPr>
          <w:rFonts w:ascii="Arial" w:hAnsi="Arial" w:cs="Arial"/>
          <w:bCs/>
          <w:sz w:val="20"/>
          <w:szCs w:val="20"/>
        </w:rPr>
        <w:t>n</w:t>
      </w:r>
      <w:r w:rsidR="005A3F4D" w:rsidRPr="005A3F4D">
        <w:rPr>
          <w:rFonts w:ascii="Arial" w:hAnsi="Arial" w:cs="Arial"/>
          <w:bCs/>
          <w:sz w:val="20"/>
          <w:szCs w:val="20"/>
        </w:rPr>
        <w:t xml:space="preserve"> that both</w:t>
      </w:r>
      <w:r w:rsidR="005A3F4D">
        <w:rPr>
          <w:rFonts w:ascii="Arial" w:hAnsi="Arial" w:cs="Arial"/>
          <w:bCs/>
          <w:sz w:val="20"/>
          <w:szCs w:val="20"/>
        </w:rPr>
        <w:t xml:space="preserve"> </w:t>
      </w:r>
      <w:r w:rsidR="005A3F4D" w:rsidRPr="005A3F4D">
        <w:rPr>
          <w:rFonts w:ascii="Arial" w:hAnsi="Arial" w:cs="Arial"/>
          <w:bCs/>
          <w:sz w:val="20"/>
          <w:szCs w:val="20"/>
        </w:rPr>
        <w:t xml:space="preserve">the solvent and solute play a </w:t>
      </w:r>
      <w:bookmarkStart w:id="6" w:name="_Hlk214732643"/>
      <w:r w:rsidR="005A3F4D" w:rsidRPr="005A3F4D">
        <w:rPr>
          <w:rFonts w:ascii="Arial" w:hAnsi="Arial" w:cs="Arial"/>
          <w:bCs/>
          <w:sz w:val="20"/>
          <w:szCs w:val="20"/>
        </w:rPr>
        <w:t>significant role in the</w:t>
      </w:r>
      <w:r w:rsidR="005A3F4D">
        <w:rPr>
          <w:rFonts w:ascii="Arial" w:hAnsi="Arial" w:cs="Arial"/>
          <w:bCs/>
          <w:sz w:val="20"/>
          <w:szCs w:val="20"/>
        </w:rPr>
        <w:t xml:space="preserve"> </w:t>
      </w:r>
      <w:r w:rsidR="005A3F4D" w:rsidRPr="005A3F4D">
        <w:rPr>
          <w:rFonts w:ascii="Arial" w:hAnsi="Arial" w:cs="Arial"/>
          <w:bCs/>
          <w:sz w:val="20"/>
          <w:szCs w:val="20"/>
        </w:rPr>
        <w:t xml:space="preserve">interaction and solvation of </w:t>
      </w:r>
      <w:bookmarkStart w:id="7" w:name="_Hlk213501175"/>
      <m:oMath>
        <m:sSup>
          <m:sSupPr>
            <m:ctrlPr>
              <w:rPr>
                <w:rFonts w:ascii="Cambria Math" w:hAnsi="Cambria Math" w:cs="Arial"/>
                <w:bCs/>
                <w:i/>
                <w:sz w:val="20"/>
                <w:szCs w:val="20"/>
              </w:rPr>
            </m:ctrlPr>
          </m:sSupPr>
          <m:e>
            <m:r>
              <w:rPr>
                <w:rFonts w:ascii="Cambria Math" w:hAnsi="Cambria Math" w:cs="Arial"/>
                <w:sz w:val="20"/>
                <w:szCs w:val="20"/>
              </w:rPr>
              <m:t>Zn</m:t>
            </m:r>
          </m:e>
          <m:sup>
            <m:r>
              <w:rPr>
                <w:rFonts w:ascii="Cambria Math" w:hAnsi="Cambria Math" w:cs="Arial"/>
                <w:sz w:val="20"/>
                <w:szCs w:val="20"/>
              </w:rPr>
              <m:t>2+</m:t>
            </m:r>
          </m:sup>
        </m:sSup>
      </m:oMath>
      <w:bookmarkEnd w:id="7"/>
      <w:r w:rsidR="005A3F4D" w:rsidRPr="005A3F4D">
        <w:rPr>
          <w:rFonts w:ascii="Arial" w:hAnsi="Arial" w:cs="Arial"/>
          <w:bCs/>
          <w:sz w:val="20"/>
          <w:szCs w:val="20"/>
        </w:rPr>
        <w:t xml:space="preserve"> ions </w:t>
      </w:r>
      <w:bookmarkEnd w:id="6"/>
      <w:r w:rsidR="00027454">
        <w:rPr>
          <w:rFonts w:ascii="Arial" w:hAnsi="Arial" w:cs="Arial"/>
          <w:bCs/>
          <w:sz w:val="20"/>
          <w:szCs w:val="20"/>
        </w:rPr>
        <w:t>(</w:t>
      </w:r>
      <w:r w:rsidR="00027454" w:rsidRPr="00027454">
        <w:rPr>
          <w:rFonts w:ascii="Arial" w:hAnsi="Arial" w:cs="Arial"/>
          <w:bCs/>
          <w:sz w:val="20"/>
          <w:szCs w:val="20"/>
        </w:rPr>
        <w:t>Rajput</w:t>
      </w:r>
      <w:r w:rsidR="00027454">
        <w:rPr>
          <w:rFonts w:ascii="Arial" w:hAnsi="Arial" w:cs="Arial"/>
          <w:bCs/>
          <w:sz w:val="20"/>
          <w:szCs w:val="20"/>
        </w:rPr>
        <w:t xml:space="preserve"> </w:t>
      </w:r>
      <w:bookmarkStart w:id="8" w:name="_Hlk213753194"/>
      <w:r w:rsidR="00027454" w:rsidRPr="00A808AC">
        <w:rPr>
          <w:rFonts w:ascii="Arial" w:hAnsi="Arial" w:cs="Arial"/>
          <w:bCs/>
          <w:i/>
          <w:iCs/>
          <w:sz w:val="20"/>
          <w:szCs w:val="20"/>
        </w:rPr>
        <w:t>et al</w:t>
      </w:r>
      <w:r w:rsidR="00027454">
        <w:rPr>
          <w:rFonts w:ascii="Arial" w:hAnsi="Arial" w:cs="Arial"/>
          <w:bCs/>
          <w:sz w:val="20"/>
          <w:szCs w:val="20"/>
        </w:rPr>
        <w:t>., 2018</w:t>
      </w:r>
      <w:bookmarkEnd w:id="8"/>
      <w:r w:rsidR="00027454">
        <w:rPr>
          <w:rFonts w:ascii="Arial" w:hAnsi="Arial" w:cs="Arial"/>
          <w:bCs/>
          <w:sz w:val="20"/>
          <w:szCs w:val="20"/>
        </w:rPr>
        <w:t>)</w:t>
      </w:r>
      <w:r w:rsidR="003D69D8" w:rsidRPr="003D69D8">
        <w:rPr>
          <w:rFonts w:ascii="Arial" w:hAnsi="Arial" w:cs="Arial"/>
          <w:bCs/>
          <w:sz w:val="20"/>
          <w:szCs w:val="20"/>
        </w:rPr>
        <w:t xml:space="preserve">. </w:t>
      </w:r>
      <w:r w:rsidR="00063B2A" w:rsidRPr="00063B2A">
        <w:rPr>
          <w:rFonts w:ascii="Arial" w:hAnsi="Arial" w:cs="Arial"/>
          <w:bCs/>
          <w:sz w:val="20"/>
          <w:szCs w:val="20"/>
        </w:rPr>
        <w:t xml:space="preserve">Faster dynamics of </w:t>
      </w:r>
      <m:oMath>
        <m:sSup>
          <m:sSupPr>
            <m:ctrlPr>
              <w:rPr>
                <w:rFonts w:ascii="Cambria Math" w:hAnsi="Cambria Math" w:cs="Arial"/>
                <w:bCs/>
                <w:i/>
                <w:sz w:val="20"/>
                <w:szCs w:val="20"/>
              </w:rPr>
            </m:ctrlPr>
          </m:sSupPr>
          <m:e>
            <m:r>
              <w:rPr>
                <w:rFonts w:ascii="Cambria Math" w:hAnsi="Cambria Math" w:cs="Arial"/>
                <w:sz w:val="20"/>
                <w:szCs w:val="20"/>
              </w:rPr>
              <m:t>Zn</m:t>
            </m:r>
          </m:e>
          <m:sup>
            <m:r>
              <w:rPr>
                <w:rFonts w:ascii="Cambria Math" w:hAnsi="Cambria Math" w:cs="Arial"/>
                <w:sz w:val="20"/>
                <w:szCs w:val="20"/>
              </w:rPr>
              <m:t>2+</m:t>
            </m:r>
          </m:sup>
        </m:sSup>
      </m:oMath>
      <w:r w:rsidR="00063B2A" w:rsidRPr="00063B2A">
        <w:rPr>
          <w:rFonts w:ascii="Arial" w:hAnsi="Arial" w:cs="Arial"/>
          <w:bCs/>
          <w:sz w:val="20"/>
          <w:szCs w:val="20"/>
        </w:rPr>
        <w:t xml:space="preserve"> ions </w:t>
      </w:r>
      <w:r w:rsidR="00222FCE">
        <w:rPr>
          <w:rFonts w:ascii="Arial" w:hAnsi="Arial" w:cs="Arial"/>
          <w:bCs/>
          <w:sz w:val="20"/>
          <w:szCs w:val="20"/>
        </w:rPr>
        <w:t>transpire</w:t>
      </w:r>
      <w:r w:rsidR="00063B2A" w:rsidRPr="00063B2A">
        <w:rPr>
          <w:rFonts w:ascii="Arial" w:hAnsi="Arial" w:cs="Arial"/>
          <w:bCs/>
          <w:sz w:val="20"/>
          <w:szCs w:val="20"/>
        </w:rPr>
        <w:t xml:space="preserve"> in weakly coordinating, low</w:t>
      </w:r>
      <w:r w:rsidR="00A737B2">
        <w:rPr>
          <w:rFonts w:ascii="Arial" w:hAnsi="Arial" w:cs="Arial"/>
          <w:bCs/>
          <w:sz w:val="20"/>
          <w:szCs w:val="20"/>
        </w:rPr>
        <w:t xml:space="preserve"> </w:t>
      </w:r>
      <w:r w:rsidR="00063B2A" w:rsidRPr="00063B2A">
        <w:rPr>
          <w:rFonts w:ascii="Arial" w:hAnsi="Arial" w:cs="Arial"/>
          <w:bCs/>
          <w:sz w:val="20"/>
          <w:szCs w:val="20"/>
        </w:rPr>
        <w:t>viscous solvents such as acetonitrile (AN), w</w:t>
      </w:r>
      <w:r w:rsidR="00222FCE">
        <w:rPr>
          <w:rFonts w:ascii="Arial" w:hAnsi="Arial" w:cs="Arial"/>
          <w:bCs/>
          <w:sz w:val="20"/>
          <w:szCs w:val="20"/>
        </w:rPr>
        <w:t>hereas</w:t>
      </w:r>
      <w:r w:rsidR="00063B2A" w:rsidRPr="00063B2A">
        <w:rPr>
          <w:rFonts w:ascii="Arial" w:hAnsi="Arial" w:cs="Arial"/>
          <w:bCs/>
          <w:sz w:val="20"/>
          <w:szCs w:val="20"/>
        </w:rPr>
        <w:t xml:space="preserve"> the</w:t>
      </w:r>
      <w:r w:rsidR="00A737B2">
        <w:rPr>
          <w:rFonts w:ascii="Arial" w:hAnsi="Arial" w:cs="Arial"/>
          <w:bCs/>
          <w:sz w:val="20"/>
          <w:szCs w:val="20"/>
        </w:rPr>
        <w:t xml:space="preserve"> </w:t>
      </w:r>
      <w:r w:rsidR="00063B2A" w:rsidRPr="00063B2A">
        <w:rPr>
          <w:rFonts w:ascii="Arial" w:hAnsi="Arial" w:cs="Arial"/>
          <w:bCs/>
          <w:sz w:val="20"/>
          <w:szCs w:val="20"/>
        </w:rPr>
        <w:t xml:space="preserve">high </w:t>
      </w:r>
      <w:r w:rsidR="00222FCE">
        <w:rPr>
          <w:rFonts w:ascii="Arial" w:hAnsi="Arial" w:cs="Arial"/>
          <w:bCs/>
          <w:sz w:val="20"/>
          <w:szCs w:val="20"/>
        </w:rPr>
        <w:t xml:space="preserve">oxygen </w:t>
      </w:r>
      <w:r w:rsidR="00063B2A" w:rsidRPr="00063B2A">
        <w:rPr>
          <w:rFonts w:ascii="Arial" w:hAnsi="Arial" w:cs="Arial"/>
          <w:bCs/>
          <w:sz w:val="20"/>
          <w:szCs w:val="20"/>
        </w:rPr>
        <w:t xml:space="preserve">donor denticity in solvents as diglyme </w:t>
      </w:r>
      <w:r w:rsidR="00222FCE">
        <w:rPr>
          <w:rFonts w:ascii="Arial" w:hAnsi="Arial" w:cs="Arial"/>
          <w:bCs/>
          <w:sz w:val="20"/>
          <w:szCs w:val="20"/>
        </w:rPr>
        <w:t>facilitates</w:t>
      </w:r>
      <w:r w:rsidR="00063B2A" w:rsidRPr="00063B2A">
        <w:rPr>
          <w:rFonts w:ascii="Arial" w:hAnsi="Arial" w:cs="Arial"/>
          <w:bCs/>
          <w:sz w:val="20"/>
          <w:szCs w:val="20"/>
        </w:rPr>
        <w:t xml:space="preserve"> stronger chelation with </w:t>
      </w:r>
      <m:oMath>
        <m:sSup>
          <m:sSupPr>
            <m:ctrlPr>
              <w:rPr>
                <w:rFonts w:ascii="Cambria Math" w:hAnsi="Cambria Math" w:cs="Arial"/>
                <w:bCs/>
                <w:i/>
                <w:sz w:val="20"/>
                <w:szCs w:val="20"/>
              </w:rPr>
            </m:ctrlPr>
          </m:sSupPr>
          <m:e>
            <m:r>
              <w:rPr>
                <w:rFonts w:ascii="Cambria Math" w:hAnsi="Cambria Math" w:cs="Arial"/>
                <w:sz w:val="20"/>
                <w:szCs w:val="20"/>
              </w:rPr>
              <m:t>Zn</m:t>
            </m:r>
          </m:e>
          <m:sup>
            <m:r>
              <w:rPr>
                <w:rFonts w:ascii="Cambria Math" w:hAnsi="Cambria Math" w:cs="Arial"/>
                <w:sz w:val="20"/>
                <w:szCs w:val="20"/>
              </w:rPr>
              <m:t>2+</m:t>
            </m:r>
          </m:sup>
        </m:sSup>
      </m:oMath>
      <w:r w:rsidR="00063B2A" w:rsidRPr="00063B2A">
        <w:rPr>
          <w:rFonts w:ascii="Arial" w:hAnsi="Arial" w:cs="Arial"/>
          <w:bCs/>
          <w:sz w:val="20"/>
          <w:szCs w:val="20"/>
        </w:rPr>
        <w:t xml:space="preserve"> ions</w:t>
      </w:r>
      <w:r w:rsidR="00222FCE">
        <w:rPr>
          <w:rFonts w:ascii="Arial" w:hAnsi="Arial" w:cs="Arial"/>
          <w:bCs/>
          <w:sz w:val="20"/>
          <w:szCs w:val="20"/>
        </w:rPr>
        <w:t>. This</w:t>
      </w:r>
      <w:r w:rsidR="00063B2A" w:rsidRPr="00063B2A">
        <w:rPr>
          <w:rFonts w:ascii="Arial" w:hAnsi="Arial" w:cs="Arial"/>
          <w:bCs/>
          <w:sz w:val="20"/>
          <w:szCs w:val="20"/>
        </w:rPr>
        <w:t xml:space="preserve"> </w:t>
      </w:r>
      <w:r w:rsidR="00222FCE">
        <w:rPr>
          <w:rFonts w:ascii="Arial" w:hAnsi="Arial" w:cs="Arial"/>
          <w:bCs/>
          <w:sz w:val="20"/>
          <w:szCs w:val="20"/>
        </w:rPr>
        <w:t>facilitates</w:t>
      </w:r>
      <w:r w:rsidR="00A737B2">
        <w:rPr>
          <w:rFonts w:ascii="Arial" w:hAnsi="Arial" w:cs="Arial"/>
          <w:bCs/>
          <w:sz w:val="20"/>
          <w:szCs w:val="20"/>
        </w:rPr>
        <w:t xml:space="preserve"> </w:t>
      </w:r>
      <w:r w:rsidR="00063B2A" w:rsidRPr="00063B2A">
        <w:rPr>
          <w:rFonts w:ascii="Arial" w:hAnsi="Arial" w:cs="Arial"/>
          <w:bCs/>
          <w:sz w:val="20"/>
          <w:szCs w:val="20"/>
        </w:rPr>
        <w:t>cation</w:t>
      </w:r>
      <w:r w:rsidR="00A737B2">
        <w:rPr>
          <w:rFonts w:ascii="Arial" w:hAnsi="Arial" w:cs="Arial"/>
          <w:bCs/>
          <w:sz w:val="20"/>
          <w:szCs w:val="20"/>
        </w:rPr>
        <w:t>-</w:t>
      </w:r>
      <w:r w:rsidR="00063B2A" w:rsidRPr="00063B2A">
        <w:rPr>
          <w:rFonts w:ascii="Arial" w:hAnsi="Arial" w:cs="Arial"/>
          <w:bCs/>
          <w:sz w:val="20"/>
          <w:szCs w:val="20"/>
        </w:rPr>
        <w:t xml:space="preserve">anion dissociation in the presence of </w:t>
      </w:r>
      <w:r w:rsidR="00222FCE">
        <w:rPr>
          <w:rFonts w:ascii="Arial" w:hAnsi="Arial" w:cs="Arial"/>
          <w:bCs/>
          <w:sz w:val="20"/>
          <w:szCs w:val="20"/>
        </w:rPr>
        <w:t>diver</w:t>
      </w:r>
      <w:r w:rsidR="00063B2A" w:rsidRPr="00063B2A">
        <w:rPr>
          <w:rFonts w:ascii="Arial" w:hAnsi="Arial" w:cs="Arial"/>
          <w:bCs/>
          <w:sz w:val="20"/>
          <w:szCs w:val="20"/>
        </w:rPr>
        <w:t>s</w:t>
      </w:r>
      <w:r w:rsidR="00222FCE">
        <w:rPr>
          <w:rFonts w:ascii="Arial" w:hAnsi="Arial" w:cs="Arial"/>
          <w:bCs/>
          <w:sz w:val="20"/>
          <w:szCs w:val="20"/>
        </w:rPr>
        <w:t>e</w:t>
      </w:r>
      <w:r w:rsidR="00063B2A" w:rsidRPr="00063B2A">
        <w:rPr>
          <w:rFonts w:ascii="Arial" w:hAnsi="Arial" w:cs="Arial"/>
          <w:bCs/>
          <w:sz w:val="20"/>
          <w:szCs w:val="20"/>
        </w:rPr>
        <w:t xml:space="preserve"> zinc</w:t>
      </w:r>
      <w:r w:rsidR="00A737B2">
        <w:rPr>
          <w:rFonts w:ascii="Arial" w:hAnsi="Arial" w:cs="Arial"/>
          <w:bCs/>
          <w:sz w:val="20"/>
          <w:szCs w:val="20"/>
        </w:rPr>
        <w:t xml:space="preserve"> </w:t>
      </w:r>
      <w:r w:rsidR="00063B2A" w:rsidRPr="00063B2A">
        <w:rPr>
          <w:rFonts w:ascii="Arial" w:hAnsi="Arial" w:cs="Arial"/>
          <w:bCs/>
          <w:sz w:val="20"/>
          <w:szCs w:val="20"/>
        </w:rPr>
        <w:t>salts [</w:t>
      </w:r>
      <w:r w:rsidR="00DF6595" w:rsidRPr="00DF6595">
        <w:rPr>
          <w:rFonts w:ascii="Arial" w:hAnsi="Arial" w:cs="Arial"/>
          <w:bCs/>
          <w:sz w:val="20"/>
          <w:szCs w:val="20"/>
        </w:rPr>
        <w:t xml:space="preserve">Rajput </w:t>
      </w:r>
      <w:r w:rsidR="00DF6595" w:rsidRPr="00DF6595">
        <w:rPr>
          <w:rFonts w:ascii="Arial" w:hAnsi="Arial" w:cs="Arial"/>
          <w:bCs/>
          <w:i/>
          <w:iCs/>
          <w:sz w:val="20"/>
          <w:szCs w:val="20"/>
        </w:rPr>
        <w:t>et al</w:t>
      </w:r>
      <w:r w:rsidR="00DF6595" w:rsidRPr="00DF6595">
        <w:rPr>
          <w:rFonts w:ascii="Arial" w:hAnsi="Arial" w:cs="Arial"/>
          <w:bCs/>
          <w:sz w:val="20"/>
          <w:szCs w:val="20"/>
        </w:rPr>
        <w:t>., 2018</w:t>
      </w:r>
      <w:r w:rsidR="00A737B2">
        <w:rPr>
          <w:rFonts w:ascii="Arial" w:hAnsi="Arial" w:cs="Arial"/>
          <w:bCs/>
          <w:sz w:val="20"/>
          <w:szCs w:val="20"/>
        </w:rPr>
        <w:t>].</w:t>
      </w:r>
      <w:r w:rsidR="0046145C">
        <w:rPr>
          <w:rFonts w:ascii="Arial" w:hAnsi="Arial" w:cs="Arial"/>
          <w:bCs/>
          <w:sz w:val="20"/>
          <w:szCs w:val="20"/>
        </w:rPr>
        <w:t xml:space="preserve"> </w:t>
      </w:r>
      <w:r w:rsidR="00BC1452">
        <w:rPr>
          <w:rFonts w:ascii="Arial" w:hAnsi="Arial" w:cs="Arial"/>
          <w:bCs/>
          <w:sz w:val="20"/>
          <w:szCs w:val="20"/>
        </w:rPr>
        <w:t xml:space="preserve">The choice of the </w:t>
      </w:r>
      <w:r w:rsidR="00D1386C">
        <w:rPr>
          <w:rFonts w:ascii="Arial" w:hAnsi="Arial" w:cs="Arial"/>
          <w:bCs/>
          <w:sz w:val="20"/>
          <w:szCs w:val="20"/>
        </w:rPr>
        <w:t>solvent’s</w:t>
      </w:r>
      <w:r w:rsidR="00BC1452">
        <w:rPr>
          <w:rFonts w:ascii="Arial" w:hAnsi="Arial" w:cs="Arial"/>
          <w:bCs/>
          <w:sz w:val="20"/>
          <w:szCs w:val="20"/>
        </w:rPr>
        <w:t xml:space="preserve"> propylene carbonate and 1,2-dimethoxyethane </w:t>
      </w:r>
      <w:r w:rsidR="00B15E2D">
        <w:rPr>
          <w:rFonts w:ascii="Arial" w:hAnsi="Arial" w:cs="Arial"/>
          <w:bCs/>
          <w:sz w:val="20"/>
          <w:szCs w:val="20"/>
        </w:rPr>
        <w:t xml:space="preserve">(PC-DME), </w:t>
      </w:r>
      <w:r w:rsidR="00BC1452">
        <w:rPr>
          <w:rFonts w:ascii="Arial" w:hAnsi="Arial" w:cs="Arial"/>
          <w:bCs/>
          <w:sz w:val="20"/>
          <w:szCs w:val="20"/>
        </w:rPr>
        <w:t xml:space="preserve">stem from </w:t>
      </w:r>
      <w:r w:rsidR="0096630E">
        <w:rPr>
          <w:rFonts w:ascii="Arial" w:hAnsi="Arial" w:cs="Arial"/>
          <w:bCs/>
          <w:sz w:val="20"/>
          <w:szCs w:val="20"/>
        </w:rPr>
        <w:t xml:space="preserve">the </w:t>
      </w:r>
      <w:r w:rsidR="00BC1452" w:rsidRPr="00BC1452">
        <w:rPr>
          <w:rFonts w:ascii="Arial" w:hAnsi="Arial" w:cs="Arial"/>
          <w:bCs/>
          <w:sz w:val="20"/>
          <w:szCs w:val="20"/>
        </w:rPr>
        <w:t xml:space="preserve">crucial role they play in optimizing and stabilizing </w:t>
      </w:r>
      <w:r w:rsidR="0096630E">
        <w:rPr>
          <w:rFonts w:ascii="Arial" w:hAnsi="Arial" w:cs="Arial"/>
          <w:bCs/>
          <w:sz w:val="20"/>
          <w:szCs w:val="20"/>
        </w:rPr>
        <w:t>the</w:t>
      </w:r>
      <w:r w:rsidR="00BC1452" w:rsidRPr="00BC1452">
        <w:rPr>
          <w:rFonts w:ascii="Arial" w:hAnsi="Arial" w:cs="Arial"/>
          <w:bCs/>
          <w:sz w:val="20"/>
          <w:szCs w:val="20"/>
        </w:rPr>
        <w:t xml:space="preserve"> Zn battery – fundamental </w:t>
      </w:r>
      <w:r w:rsidR="0096630E">
        <w:rPr>
          <w:rFonts w:ascii="Arial" w:hAnsi="Arial" w:cs="Arial"/>
          <w:bCs/>
          <w:sz w:val="20"/>
          <w:szCs w:val="20"/>
        </w:rPr>
        <w:t>to</w:t>
      </w:r>
      <w:r w:rsidR="00BC1452" w:rsidRPr="00BC1452">
        <w:rPr>
          <w:rFonts w:ascii="Arial" w:hAnsi="Arial" w:cs="Arial"/>
          <w:bCs/>
          <w:sz w:val="20"/>
          <w:szCs w:val="20"/>
        </w:rPr>
        <w:t xml:space="preserve"> mo</w:t>
      </w:r>
      <w:r w:rsidR="00BC1452">
        <w:rPr>
          <w:rFonts w:ascii="Arial" w:hAnsi="Arial" w:cs="Arial"/>
          <w:bCs/>
          <w:sz w:val="20"/>
          <w:szCs w:val="20"/>
        </w:rPr>
        <w:t>d</w:t>
      </w:r>
      <w:r w:rsidR="00BC1452" w:rsidRPr="00BC1452">
        <w:rPr>
          <w:rFonts w:ascii="Arial" w:hAnsi="Arial" w:cs="Arial"/>
          <w:bCs/>
          <w:sz w:val="20"/>
          <w:szCs w:val="20"/>
        </w:rPr>
        <w:t>ifying the properties of the EEI.</w:t>
      </w:r>
      <w:r w:rsidR="00BC1452">
        <w:rPr>
          <w:rFonts w:ascii="Arial" w:hAnsi="Arial" w:cs="Arial"/>
          <w:bCs/>
          <w:sz w:val="20"/>
          <w:szCs w:val="20"/>
        </w:rPr>
        <w:t xml:space="preserve"> </w:t>
      </w:r>
      <w:r w:rsidR="00B15E2D" w:rsidRPr="00B15E2D">
        <w:rPr>
          <w:rFonts w:ascii="Arial" w:hAnsi="Arial" w:cs="Arial"/>
          <w:bCs/>
          <w:sz w:val="20"/>
          <w:szCs w:val="20"/>
          <w:lang w:val="en-GB"/>
        </w:rPr>
        <w:t xml:space="preserve">Technically, the need for solubility remains the principal factor for utilizing mixed solvents. In this study, </w:t>
      </w:r>
      <w:r w:rsidR="002F62A2" w:rsidRPr="002F62A2">
        <w:rPr>
          <w:rFonts w:ascii="Arial" w:hAnsi="Arial" w:cs="Arial"/>
          <w:bCs/>
          <w:sz w:val="20"/>
          <w:szCs w:val="20"/>
          <w:lang w:val="en-GB"/>
        </w:rPr>
        <w:t>PC-DME</w:t>
      </w:r>
      <w:r w:rsidR="002F62A2">
        <w:rPr>
          <w:rFonts w:ascii="Arial" w:hAnsi="Arial" w:cs="Arial"/>
          <w:bCs/>
          <w:sz w:val="20"/>
          <w:szCs w:val="20"/>
          <w:lang w:val="en-GB"/>
        </w:rPr>
        <w:t xml:space="preserve"> </w:t>
      </w:r>
      <w:r w:rsidR="005D4EBE">
        <w:rPr>
          <w:rFonts w:ascii="Arial" w:hAnsi="Arial" w:cs="Arial"/>
          <w:bCs/>
          <w:sz w:val="20"/>
          <w:szCs w:val="20"/>
          <w:lang w:val="en-GB"/>
        </w:rPr>
        <w:t xml:space="preserve">were </w:t>
      </w:r>
      <w:r w:rsidR="00B15E2D" w:rsidRPr="00B15E2D">
        <w:rPr>
          <w:rFonts w:ascii="Arial" w:hAnsi="Arial" w:cs="Arial"/>
          <w:bCs/>
          <w:sz w:val="20"/>
          <w:szCs w:val="20"/>
          <w:lang w:val="en-GB"/>
        </w:rPr>
        <w:t>the organic solvent mixtures utilized</w:t>
      </w:r>
      <w:r w:rsidR="00B15E2D">
        <w:rPr>
          <w:rFonts w:ascii="Arial" w:hAnsi="Arial" w:cs="Arial"/>
          <w:bCs/>
          <w:sz w:val="20"/>
          <w:szCs w:val="20"/>
          <w:lang w:val="en-GB"/>
        </w:rPr>
        <w:t xml:space="preserve">. </w:t>
      </w:r>
      <w:r w:rsidR="00B15E2D" w:rsidRPr="00B15E2D">
        <w:rPr>
          <w:rFonts w:ascii="Arial" w:hAnsi="Arial" w:cs="Arial"/>
          <w:bCs/>
          <w:sz w:val="20"/>
          <w:szCs w:val="20"/>
          <w:lang w:val="en-GB"/>
        </w:rPr>
        <w:t xml:space="preserve">The two components were taken in varying proportions so as to permit the continuous adjustment of the viscosity and dielectric constant of the medium. </w:t>
      </w:r>
      <w:r w:rsidR="00F37C24" w:rsidRPr="00807217">
        <w:rPr>
          <w:rFonts w:ascii="Arial" w:hAnsi="Arial" w:cs="Arial"/>
          <w:bCs/>
          <w:sz w:val="20"/>
          <w:szCs w:val="20"/>
        </w:rPr>
        <w:t xml:space="preserve">Constituting mixtures of organic solvents in such a way offers the benefit </w:t>
      </w:r>
      <w:r w:rsidR="00502C09" w:rsidRPr="00807217">
        <w:rPr>
          <w:rFonts w:ascii="Arial" w:hAnsi="Arial" w:cs="Arial"/>
          <w:bCs/>
          <w:sz w:val="20"/>
          <w:szCs w:val="20"/>
        </w:rPr>
        <w:t>of generating</w:t>
      </w:r>
      <w:r w:rsidR="00F37C24" w:rsidRPr="00807217">
        <w:rPr>
          <w:rFonts w:ascii="Arial" w:hAnsi="Arial" w:cs="Arial"/>
          <w:bCs/>
          <w:sz w:val="20"/>
          <w:szCs w:val="20"/>
        </w:rPr>
        <w:t xml:space="preserve"> electrolytes with a </w:t>
      </w:r>
      <w:r w:rsidR="00602688" w:rsidRPr="00807217">
        <w:rPr>
          <w:rFonts w:ascii="Arial" w:hAnsi="Arial" w:cs="Arial"/>
          <w:bCs/>
          <w:sz w:val="20"/>
          <w:szCs w:val="20"/>
        </w:rPr>
        <w:t>robust</w:t>
      </w:r>
      <w:r w:rsidR="00F37C24" w:rsidRPr="00807217">
        <w:rPr>
          <w:rFonts w:ascii="Arial" w:hAnsi="Arial" w:cs="Arial"/>
          <w:bCs/>
          <w:sz w:val="20"/>
          <w:szCs w:val="20"/>
        </w:rPr>
        <w:t xml:space="preserve"> electrochemical </w:t>
      </w:r>
      <w:r w:rsidR="00807217" w:rsidRPr="00050ACD">
        <w:rPr>
          <w:rFonts w:ascii="Arial" w:hAnsi="Arial" w:cs="Arial"/>
          <w:bCs/>
          <w:sz w:val="20"/>
          <w:szCs w:val="20"/>
        </w:rPr>
        <w:t xml:space="preserve">window </w:t>
      </w:r>
      <w:r w:rsidR="0096398F">
        <w:rPr>
          <w:rFonts w:ascii="Arial" w:hAnsi="Arial" w:cs="Arial"/>
          <w:bCs/>
          <w:sz w:val="20"/>
          <w:szCs w:val="20"/>
        </w:rPr>
        <w:t>–</w:t>
      </w:r>
      <w:r w:rsidR="00807217" w:rsidRPr="00050ACD">
        <w:rPr>
          <w:rFonts w:ascii="Arial" w:hAnsi="Arial" w:cs="Arial"/>
          <w:bCs/>
          <w:sz w:val="20"/>
          <w:szCs w:val="20"/>
        </w:rPr>
        <w:t xml:space="preserve"> </w:t>
      </w:r>
      <w:r w:rsidR="00F37C24" w:rsidRPr="00050ACD">
        <w:rPr>
          <w:rFonts w:ascii="Arial" w:hAnsi="Arial" w:cs="Arial"/>
          <w:bCs/>
          <w:sz w:val="20"/>
          <w:szCs w:val="20"/>
        </w:rPr>
        <w:t>stability</w:t>
      </w:r>
      <w:r w:rsidR="0096398F">
        <w:rPr>
          <w:rFonts w:ascii="Arial" w:hAnsi="Arial" w:cs="Arial"/>
          <w:bCs/>
          <w:sz w:val="20"/>
          <w:szCs w:val="20"/>
        </w:rPr>
        <w:t xml:space="preserve"> and</w:t>
      </w:r>
      <w:r w:rsidR="00F37C24" w:rsidRPr="00050ACD">
        <w:rPr>
          <w:rFonts w:ascii="Arial" w:hAnsi="Arial" w:cs="Arial"/>
          <w:bCs/>
          <w:sz w:val="20"/>
          <w:szCs w:val="20"/>
        </w:rPr>
        <w:t xml:space="preserve"> </w:t>
      </w:r>
      <w:r w:rsidR="00B15E2D" w:rsidRPr="00050ACD">
        <w:rPr>
          <w:rFonts w:ascii="Arial" w:hAnsi="Arial" w:cs="Arial"/>
          <w:bCs/>
          <w:sz w:val="20"/>
          <w:szCs w:val="20"/>
        </w:rPr>
        <w:t>enhance</w:t>
      </w:r>
      <w:r w:rsidR="00807217" w:rsidRPr="00050ACD">
        <w:rPr>
          <w:rFonts w:ascii="Arial" w:hAnsi="Arial" w:cs="Arial"/>
          <w:bCs/>
          <w:sz w:val="20"/>
          <w:szCs w:val="20"/>
        </w:rPr>
        <w:t>d</w:t>
      </w:r>
      <w:r w:rsidR="00B15E2D" w:rsidRPr="00050ACD">
        <w:rPr>
          <w:rFonts w:ascii="Arial" w:hAnsi="Arial" w:cs="Arial"/>
          <w:bCs/>
          <w:sz w:val="20"/>
          <w:szCs w:val="20"/>
        </w:rPr>
        <w:t xml:space="preserve"> ionic conductivity</w:t>
      </w:r>
      <w:r w:rsidR="00165572">
        <w:rPr>
          <w:rFonts w:ascii="Arial" w:hAnsi="Arial" w:cs="Arial"/>
          <w:bCs/>
          <w:sz w:val="20"/>
          <w:szCs w:val="20"/>
        </w:rPr>
        <w:t xml:space="preserve">; key factors </w:t>
      </w:r>
      <w:r w:rsidR="0096398F">
        <w:rPr>
          <w:rFonts w:ascii="Arial" w:hAnsi="Arial" w:cs="Arial"/>
          <w:bCs/>
          <w:sz w:val="20"/>
          <w:szCs w:val="20"/>
        </w:rPr>
        <w:t>which</w:t>
      </w:r>
      <w:r w:rsidR="00807217" w:rsidRPr="00050ACD">
        <w:rPr>
          <w:rFonts w:ascii="Arial" w:hAnsi="Arial" w:cs="Arial"/>
          <w:bCs/>
          <w:sz w:val="20"/>
          <w:szCs w:val="20"/>
        </w:rPr>
        <w:t xml:space="preserve"> facilitat</w:t>
      </w:r>
      <w:r w:rsidR="00165572">
        <w:rPr>
          <w:rFonts w:ascii="Arial" w:hAnsi="Arial" w:cs="Arial"/>
          <w:bCs/>
          <w:sz w:val="20"/>
          <w:szCs w:val="20"/>
        </w:rPr>
        <w:t>e</w:t>
      </w:r>
      <w:r w:rsidR="00B15E2D" w:rsidRPr="00050ACD">
        <w:rPr>
          <w:rFonts w:ascii="Arial" w:hAnsi="Arial" w:cs="Arial"/>
          <w:bCs/>
          <w:sz w:val="20"/>
          <w:szCs w:val="20"/>
        </w:rPr>
        <w:t xml:space="preserve"> ion transport</w:t>
      </w:r>
      <w:r w:rsidR="00807217" w:rsidRPr="00050ACD">
        <w:rPr>
          <w:rFonts w:ascii="Arial" w:hAnsi="Arial" w:cs="Arial"/>
          <w:bCs/>
          <w:sz w:val="20"/>
          <w:szCs w:val="20"/>
        </w:rPr>
        <w:t xml:space="preserve"> </w:t>
      </w:r>
      <w:r w:rsidR="003A29AE">
        <w:rPr>
          <w:rFonts w:ascii="Arial" w:hAnsi="Arial" w:cs="Arial"/>
          <w:bCs/>
          <w:sz w:val="20"/>
          <w:szCs w:val="20"/>
        </w:rPr>
        <w:t>by</w:t>
      </w:r>
      <w:r w:rsidR="00B15E2D" w:rsidRPr="00050ACD">
        <w:rPr>
          <w:rFonts w:ascii="Arial" w:hAnsi="Arial" w:cs="Arial"/>
          <w:bCs/>
          <w:sz w:val="20"/>
          <w:szCs w:val="20"/>
        </w:rPr>
        <w:t xml:space="preserve"> reduc</w:t>
      </w:r>
      <w:r w:rsidR="003A29AE">
        <w:rPr>
          <w:rFonts w:ascii="Arial" w:hAnsi="Arial" w:cs="Arial"/>
          <w:bCs/>
          <w:sz w:val="20"/>
          <w:szCs w:val="20"/>
        </w:rPr>
        <w:t>ing</w:t>
      </w:r>
      <w:r w:rsidR="00B15E2D" w:rsidRPr="00050ACD">
        <w:rPr>
          <w:rFonts w:ascii="Arial" w:hAnsi="Arial" w:cs="Arial"/>
          <w:bCs/>
          <w:sz w:val="20"/>
          <w:szCs w:val="20"/>
        </w:rPr>
        <w:t xml:space="preserve"> internal </w:t>
      </w:r>
      <w:r w:rsidR="00050ACD" w:rsidRPr="00050ACD">
        <w:rPr>
          <w:rFonts w:ascii="Arial" w:hAnsi="Arial" w:cs="Arial"/>
          <w:bCs/>
          <w:sz w:val="20"/>
          <w:szCs w:val="20"/>
        </w:rPr>
        <w:t>resistance</w:t>
      </w:r>
      <w:r w:rsidR="003A29AE">
        <w:rPr>
          <w:rFonts w:ascii="Arial" w:hAnsi="Arial" w:cs="Arial"/>
          <w:bCs/>
          <w:sz w:val="20"/>
          <w:szCs w:val="20"/>
        </w:rPr>
        <w:t>,</w:t>
      </w:r>
      <w:r w:rsidR="00050ACD" w:rsidRPr="00050ACD">
        <w:rPr>
          <w:rFonts w:ascii="Arial" w:hAnsi="Arial" w:cs="Arial"/>
          <w:bCs/>
          <w:sz w:val="20"/>
          <w:szCs w:val="20"/>
        </w:rPr>
        <w:t xml:space="preserve"> </w:t>
      </w:r>
      <w:r w:rsidR="003A29AE">
        <w:rPr>
          <w:rFonts w:ascii="Arial" w:hAnsi="Arial" w:cs="Arial"/>
          <w:bCs/>
          <w:sz w:val="20"/>
          <w:szCs w:val="20"/>
        </w:rPr>
        <w:t>thereby expediting</w:t>
      </w:r>
      <w:r w:rsidR="00B15E2D" w:rsidRPr="00050ACD">
        <w:rPr>
          <w:rFonts w:ascii="Arial" w:hAnsi="Arial" w:cs="Arial"/>
          <w:bCs/>
          <w:sz w:val="20"/>
          <w:szCs w:val="20"/>
        </w:rPr>
        <w:t xml:space="preserve"> </w:t>
      </w:r>
      <w:r w:rsidR="007C1FC5">
        <w:rPr>
          <w:rFonts w:ascii="Arial" w:hAnsi="Arial" w:cs="Arial"/>
          <w:bCs/>
          <w:sz w:val="20"/>
          <w:szCs w:val="20"/>
        </w:rPr>
        <w:t xml:space="preserve">battery </w:t>
      </w:r>
      <w:r w:rsidR="00B15E2D" w:rsidRPr="00050ACD">
        <w:rPr>
          <w:rFonts w:ascii="Arial" w:hAnsi="Arial" w:cs="Arial"/>
          <w:bCs/>
          <w:sz w:val="20"/>
          <w:szCs w:val="20"/>
        </w:rPr>
        <w:t>cycl</w:t>
      </w:r>
      <w:r w:rsidR="00050ACD" w:rsidRPr="00050ACD">
        <w:rPr>
          <w:rFonts w:ascii="Arial" w:hAnsi="Arial" w:cs="Arial"/>
          <w:bCs/>
          <w:sz w:val="20"/>
          <w:szCs w:val="20"/>
        </w:rPr>
        <w:t>e</w:t>
      </w:r>
      <w:r w:rsidR="00B15E2D" w:rsidRPr="00050ACD">
        <w:rPr>
          <w:rFonts w:ascii="Arial" w:hAnsi="Arial" w:cs="Arial"/>
          <w:bCs/>
          <w:sz w:val="20"/>
          <w:szCs w:val="20"/>
        </w:rPr>
        <w:t xml:space="preserve"> rates.</w:t>
      </w:r>
      <w:r w:rsidR="006772ED">
        <w:rPr>
          <w:rFonts w:ascii="Arial" w:hAnsi="Arial" w:cs="Arial"/>
          <w:bCs/>
          <w:sz w:val="20"/>
          <w:szCs w:val="20"/>
        </w:rPr>
        <w:t xml:space="preserve"> </w:t>
      </w:r>
      <w:r w:rsidR="00B15E2D" w:rsidRPr="00F22DE6">
        <w:rPr>
          <w:rFonts w:ascii="Arial" w:hAnsi="Arial" w:cs="Arial"/>
          <w:bCs/>
          <w:sz w:val="20"/>
          <w:szCs w:val="20"/>
        </w:rPr>
        <w:t>The</w:t>
      </w:r>
      <w:r w:rsidR="00F22DE6" w:rsidRPr="00F22DE6">
        <w:rPr>
          <w:rFonts w:ascii="Arial" w:hAnsi="Arial" w:cs="Arial"/>
          <w:bCs/>
          <w:sz w:val="20"/>
          <w:szCs w:val="20"/>
        </w:rPr>
        <w:t>se</w:t>
      </w:r>
      <w:r w:rsidR="00B15E2D" w:rsidRPr="00F22DE6">
        <w:rPr>
          <w:rFonts w:ascii="Arial" w:hAnsi="Arial" w:cs="Arial"/>
          <w:bCs/>
          <w:sz w:val="20"/>
          <w:szCs w:val="20"/>
        </w:rPr>
        <w:t xml:space="preserve"> solvent</w:t>
      </w:r>
      <w:r w:rsidR="00F22DE6" w:rsidRPr="00F22DE6">
        <w:rPr>
          <w:rFonts w:ascii="Arial" w:hAnsi="Arial" w:cs="Arial"/>
          <w:bCs/>
          <w:sz w:val="20"/>
          <w:szCs w:val="20"/>
        </w:rPr>
        <w:t>s</w:t>
      </w:r>
      <w:r w:rsidR="00B15E2D" w:rsidRPr="00F22DE6">
        <w:rPr>
          <w:rFonts w:ascii="Arial" w:hAnsi="Arial" w:cs="Arial"/>
          <w:bCs/>
          <w:sz w:val="20"/>
          <w:szCs w:val="20"/>
        </w:rPr>
        <w:t xml:space="preserve"> also ha</w:t>
      </w:r>
      <w:r w:rsidR="006772ED">
        <w:rPr>
          <w:rFonts w:ascii="Arial" w:hAnsi="Arial" w:cs="Arial"/>
          <w:bCs/>
          <w:sz w:val="20"/>
          <w:szCs w:val="20"/>
        </w:rPr>
        <w:t>ve</w:t>
      </w:r>
      <w:r w:rsidR="00B15E2D" w:rsidRPr="00F22DE6">
        <w:rPr>
          <w:rFonts w:ascii="Arial" w:hAnsi="Arial" w:cs="Arial"/>
          <w:bCs/>
          <w:sz w:val="20"/>
          <w:szCs w:val="20"/>
        </w:rPr>
        <w:t xml:space="preserve"> a significant impact on the electrochemical behavior of Zn anode, as the size and structure of the solvent molecules influence the ability to dissolve salts</w:t>
      </w:r>
      <w:r w:rsidR="00B15E2D" w:rsidRPr="001B23D4">
        <w:rPr>
          <w:rFonts w:ascii="Arial" w:hAnsi="Arial" w:cs="Arial"/>
          <w:bCs/>
          <w:sz w:val="20"/>
          <w:szCs w:val="20"/>
        </w:rPr>
        <w:t xml:space="preserve">. </w:t>
      </w:r>
      <w:r w:rsidR="00035E63" w:rsidRPr="001B23D4">
        <w:rPr>
          <w:rFonts w:ascii="Arial" w:hAnsi="Arial" w:cs="Arial"/>
          <w:bCs/>
          <w:sz w:val="20"/>
          <w:szCs w:val="20"/>
        </w:rPr>
        <w:t>For example</w:t>
      </w:r>
      <w:r w:rsidR="00B15E2D" w:rsidRPr="001B23D4">
        <w:rPr>
          <w:rFonts w:ascii="Arial" w:hAnsi="Arial" w:cs="Arial"/>
          <w:bCs/>
          <w:sz w:val="20"/>
          <w:szCs w:val="20"/>
        </w:rPr>
        <w:t>, smaller</w:t>
      </w:r>
      <w:r w:rsidR="009868C4" w:rsidRPr="009868C4">
        <w:rPr>
          <w:rFonts w:ascii="Arial" w:hAnsi="Arial" w:cs="Arial"/>
          <w:bCs/>
          <w:sz w:val="20"/>
          <w:szCs w:val="20"/>
        </w:rPr>
        <w:t xml:space="preserve"> </w:t>
      </w:r>
      <w:r w:rsidR="00B15E2D" w:rsidRPr="007F3B20">
        <w:rPr>
          <w:rFonts w:ascii="Arial" w:hAnsi="Arial" w:cs="Arial"/>
          <w:bCs/>
          <w:sz w:val="20"/>
          <w:szCs w:val="20"/>
        </w:rPr>
        <w:t xml:space="preserve">solvent molecules </w:t>
      </w:r>
      <w:r w:rsidR="007F3B20" w:rsidRPr="007F3B20">
        <w:rPr>
          <w:rFonts w:ascii="Arial" w:hAnsi="Arial" w:cs="Arial"/>
          <w:bCs/>
          <w:sz w:val="20"/>
          <w:szCs w:val="20"/>
        </w:rPr>
        <w:t>are inclined</w:t>
      </w:r>
      <w:r w:rsidR="00B15E2D" w:rsidRPr="007F3B20">
        <w:rPr>
          <w:rFonts w:ascii="Arial" w:hAnsi="Arial" w:cs="Arial"/>
          <w:bCs/>
          <w:sz w:val="20"/>
          <w:szCs w:val="20"/>
        </w:rPr>
        <w:t xml:space="preserve"> to have higher polarity and </w:t>
      </w:r>
      <w:r w:rsidR="009868C4">
        <w:rPr>
          <w:rFonts w:ascii="Arial" w:hAnsi="Arial" w:cs="Arial"/>
          <w:bCs/>
          <w:sz w:val="20"/>
          <w:szCs w:val="20"/>
        </w:rPr>
        <w:t>moderate to high</w:t>
      </w:r>
      <w:r w:rsidR="00B15E2D" w:rsidRPr="007F3B20">
        <w:rPr>
          <w:rFonts w:ascii="Arial" w:hAnsi="Arial" w:cs="Arial"/>
          <w:bCs/>
          <w:sz w:val="20"/>
          <w:szCs w:val="20"/>
        </w:rPr>
        <w:t xml:space="preserve"> dielectric constants</w:t>
      </w:r>
      <w:r w:rsidR="00B304D8">
        <w:rPr>
          <w:rFonts w:ascii="Arial" w:hAnsi="Arial" w:cs="Arial"/>
          <w:bCs/>
          <w:sz w:val="20"/>
          <w:szCs w:val="20"/>
        </w:rPr>
        <w:t>;</w:t>
      </w:r>
      <w:r w:rsidR="00B15E2D" w:rsidRPr="007F3B20">
        <w:rPr>
          <w:rFonts w:ascii="Arial" w:hAnsi="Arial" w:cs="Arial"/>
          <w:bCs/>
          <w:sz w:val="20"/>
          <w:szCs w:val="20"/>
        </w:rPr>
        <w:t xml:space="preserve"> </w:t>
      </w:r>
      <w:r w:rsidR="007F3B20" w:rsidRPr="007F3B20">
        <w:rPr>
          <w:rFonts w:ascii="Arial" w:hAnsi="Arial" w:cs="Arial"/>
          <w:bCs/>
          <w:sz w:val="20"/>
          <w:szCs w:val="20"/>
        </w:rPr>
        <w:t xml:space="preserve">features </w:t>
      </w:r>
      <w:r w:rsidR="00B15E2D" w:rsidRPr="007F3B20">
        <w:rPr>
          <w:rFonts w:ascii="Arial" w:hAnsi="Arial" w:cs="Arial"/>
          <w:bCs/>
          <w:sz w:val="20"/>
          <w:szCs w:val="20"/>
        </w:rPr>
        <w:t xml:space="preserve">which can </w:t>
      </w:r>
      <w:r w:rsidR="007F3B20" w:rsidRPr="007F3B20">
        <w:rPr>
          <w:rFonts w:ascii="Arial" w:hAnsi="Arial" w:cs="Arial"/>
          <w:bCs/>
          <w:sz w:val="20"/>
          <w:szCs w:val="20"/>
        </w:rPr>
        <w:t>facilitate the</w:t>
      </w:r>
      <w:r w:rsidR="00B15E2D" w:rsidRPr="007F3B20">
        <w:rPr>
          <w:rFonts w:ascii="Arial" w:hAnsi="Arial" w:cs="Arial"/>
          <w:bCs/>
          <w:sz w:val="20"/>
          <w:szCs w:val="20"/>
        </w:rPr>
        <w:t xml:space="preserve"> </w:t>
      </w:r>
      <w:r w:rsidR="007F3B20" w:rsidRPr="007F3B20">
        <w:rPr>
          <w:rFonts w:ascii="Arial" w:hAnsi="Arial" w:cs="Arial"/>
          <w:bCs/>
          <w:sz w:val="20"/>
          <w:szCs w:val="20"/>
        </w:rPr>
        <w:t>solvation of</w:t>
      </w:r>
      <w:r w:rsidR="00B15E2D" w:rsidRPr="007F3B20">
        <w:rPr>
          <w:rFonts w:ascii="Arial" w:hAnsi="Arial" w:cs="Arial"/>
          <w:bCs/>
          <w:sz w:val="20"/>
          <w:szCs w:val="20"/>
        </w:rPr>
        <w:t xml:space="preserve"> metal ions, </w:t>
      </w:r>
      <w:r w:rsidR="007F3B20" w:rsidRPr="007F3B20">
        <w:rPr>
          <w:rFonts w:ascii="Arial" w:hAnsi="Arial" w:cs="Arial"/>
          <w:bCs/>
          <w:sz w:val="20"/>
          <w:szCs w:val="20"/>
        </w:rPr>
        <w:t>improv</w:t>
      </w:r>
      <w:r w:rsidR="00271045">
        <w:rPr>
          <w:rFonts w:ascii="Arial" w:hAnsi="Arial" w:cs="Arial"/>
          <w:bCs/>
          <w:sz w:val="20"/>
          <w:szCs w:val="20"/>
        </w:rPr>
        <w:t>e</w:t>
      </w:r>
      <w:r w:rsidR="00B15E2D" w:rsidRPr="007F3B20">
        <w:rPr>
          <w:rFonts w:ascii="Arial" w:hAnsi="Arial" w:cs="Arial"/>
          <w:bCs/>
          <w:sz w:val="20"/>
          <w:szCs w:val="20"/>
        </w:rPr>
        <w:t xml:space="preserve"> the ionization of the Zn salt and </w:t>
      </w:r>
      <w:r w:rsidR="007F3B20" w:rsidRPr="007F3B20">
        <w:rPr>
          <w:rFonts w:ascii="Arial" w:hAnsi="Arial" w:cs="Arial"/>
          <w:bCs/>
          <w:sz w:val="20"/>
          <w:szCs w:val="20"/>
        </w:rPr>
        <w:t>optimiz</w:t>
      </w:r>
      <w:r w:rsidR="00271045">
        <w:rPr>
          <w:rFonts w:ascii="Arial" w:hAnsi="Arial" w:cs="Arial"/>
          <w:bCs/>
          <w:sz w:val="20"/>
          <w:szCs w:val="20"/>
        </w:rPr>
        <w:t>e</w:t>
      </w:r>
      <w:r w:rsidR="00B15E2D" w:rsidRPr="007F3B20">
        <w:rPr>
          <w:rFonts w:ascii="Arial" w:hAnsi="Arial" w:cs="Arial"/>
          <w:bCs/>
          <w:sz w:val="20"/>
          <w:szCs w:val="20"/>
        </w:rPr>
        <w:t xml:space="preserve"> the ionic conductivity of the electrolyte. </w:t>
      </w:r>
      <w:r w:rsidR="00B304D8" w:rsidRPr="00B304D8">
        <w:rPr>
          <w:rFonts w:ascii="Arial" w:hAnsi="Arial" w:cs="Arial"/>
          <w:bCs/>
          <w:sz w:val="20"/>
          <w:szCs w:val="20"/>
        </w:rPr>
        <w:t>Conversely</w:t>
      </w:r>
      <w:r w:rsidR="00B15E2D" w:rsidRPr="00B304D8">
        <w:rPr>
          <w:rFonts w:ascii="Arial" w:hAnsi="Arial" w:cs="Arial"/>
          <w:bCs/>
          <w:sz w:val="20"/>
          <w:szCs w:val="20"/>
        </w:rPr>
        <w:t xml:space="preserve">, smaller solvents can lead to stronger interactions with the </w:t>
      </w:r>
      <w:bookmarkStart w:id="9" w:name="_Hlk214960120"/>
      <w:r w:rsidR="00B15E2D" w:rsidRPr="00B304D8">
        <w:rPr>
          <w:rFonts w:ascii="Arial" w:hAnsi="Arial" w:cs="Arial"/>
          <w:bCs/>
          <w:sz w:val="20"/>
          <w:szCs w:val="20"/>
        </w:rPr>
        <w:t>Zn</w:t>
      </w:r>
      <w:r w:rsidR="00B15E2D" w:rsidRPr="00B304D8">
        <w:rPr>
          <w:rFonts w:ascii="Arial" w:hAnsi="Arial" w:cs="Arial"/>
          <w:bCs/>
          <w:sz w:val="20"/>
          <w:szCs w:val="20"/>
          <w:vertAlign w:val="superscript"/>
        </w:rPr>
        <w:t>2+</w:t>
      </w:r>
      <w:r w:rsidR="00B15E2D" w:rsidRPr="00B304D8">
        <w:rPr>
          <w:rFonts w:ascii="Arial" w:hAnsi="Arial" w:cs="Arial"/>
          <w:bCs/>
          <w:sz w:val="20"/>
          <w:szCs w:val="20"/>
        </w:rPr>
        <w:t> ions</w:t>
      </w:r>
      <w:bookmarkEnd w:id="9"/>
      <w:r w:rsidR="00B15E2D" w:rsidRPr="00B304D8">
        <w:rPr>
          <w:rFonts w:ascii="Arial" w:hAnsi="Arial" w:cs="Arial"/>
          <w:bCs/>
          <w:sz w:val="20"/>
          <w:szCs w:val="20"/>
        </w:rPr>
        <w:t xml:space="preserve">, potentially affecting the stability of the </w:t>
      </w:r>
      <w:r w:rsidR="00806D92">
        <w:rPr>
          <w:rFonts w:ascii="Arial" w:hAnsi="Arial" w:cs="Arial"/>
          <w:bCs/>
          <w:sz w:val="20"/>
          <w:szCs w:val="20"/>
        </w:rPr>
        <w:t xml:space="preserve">(solid electrolyte interphase) </w:t>
      </w:r>
      <w:r w:rsidR="00B15E2D" w:rsidRPr="00B304D8">
        <w:rPr>
          <w:rFonts w:ascii="Arial" w:hAnsi="Arial" w:cs="Arial"/>
          <w:bCs/>
          <w:sz w:val="20"/>
          <w:szCs w:val="20"/>
        </w:rPr>
        <w:t xml:space="preserve">SEI and the rate of Zn plating/stripping. </w:t>
      </w:r>
      <w:r w:rsidR="00CC4D10">
        <w:rPr>
          <w:rFonts w:ascii="Arial" w:hAnsi="Arial" w:cs="Arial"/>
          <w:bCs/>
          <w:sz w:val="20"/>
          <w:szCs w:val="20"/>
        </w:rPr>
        <w:t xml:space="preserve">The drawback of this strong solvation is seen in the complexity and difficulty of </w:t>
      </w:r>
      <w:r w:rsidR="004109FC" w:rsidRPr="004109FC">
        <w:rPr>
          <w:rFonts w:ascii="Arial" w:hAnsi="Arial" w:cs="Arial"/>
          <w:bCs/>
          <w:sz w:val="20"/>
          <w:szCs w:val="20"/>
        </w:rPr>
        <w:t xml:space="preserve">the </w:t>
      </w:r>
      <w:bookmarkStart w:id="10" w:name="_Hlk213860284"/>
      <w:r w:rsidR="004109FC" w:rsidRPr="004109FC">
        <w:rPr>
          <w:rFonts w:ascii="Arial" w:hAnsi="Arial" w:cs="Arial"/>
          <w:bCs/>
          <w:sz w:val="20"/>
          <w:szCs w:val="20"/>
        </w:rPr>
        <w:t>Zn</w:t>
      </w:r>
      <w:r w:rsidR="004109FC" w:rsidRPr="004109FC">
        <w:rPr>
          <w:rFonts w:ascii="Arial" w:hAnsi="Arial" w:cs="Arial"/>
          <w:bCs/>
          <w:sz w:val="20"/>
          <w:szCs w:val="20"/>
          <w:vertAlign w:val="superscript"/>
        </w:rPr>
        <w:t>2+</w:t>
      </w:r>
      <w:bookmarkEnd w:id="10"/>
      <w:r w:rsidR="004109FC" w:rsidRPr="004109FC">
        <w:rPr>
          <w:rFonts w:ascii="Arial" w:hAnsi="Arial" w:cs="Arial"/>
          <w:bCs/>
          <w:sz w:val="20"/>
          <w:szCs w:val="20"/>
        </w:rPr>
        <w:t xml:space="preserve"> ions to </w:t>
      </w:r>
      <w:proofErr w:type="spellStart"/>
      <w:r w:rsidR="00CC4D10">
        <w:rPr>
          <w:rFonts w:ascii="Arial" w:hAnsi="Arial" w:cs="Arial"/>
          <w:bCs/>
          <w:sz w:val="20"/>
          <w:szCs w:val="20"/>
        </w:rPr>
        <w:t>desolva</w:t>
      </w:r>
      <w:r w:rsidR="0090613B">
        <w:rPr>
          <w:rFonts w:ascii="Arial" w:hAnsi="Arial" w:cs="Arial"/>
          <w:bCs/>
          <w:sz w:val="20"/>
          <w:szCs w:val="20"/>
        </w:rPr>
        <w:t>te</w:t>
      </w:r>
      <w:proofErr w:type="spellEnd"/>
      <w:r w:rsidR="00CC4D10">
        <w:rPr>
          <w:rFonts w:ascii="Arial" w:hAnsi="Arial" w:cs="Arial"/>
          <w:bCs/>
          <w:sz w:val="20"/>
          <w:szCs w:val="20"/>
        </w:rPr>
        <w:t xml:space="preserve"> upon reaching the anode surface, slowing down the plating/stripping processes which causes inefficient Zn deposition and may promote dendrite formation by dint of uneven plating</w:t>
      </w:r>
      <w:r w:rsidR="00BD0894">
        <w:rPr>
          <w:rFonts w:ascii="Arial" w:hAnsi="Arial" w:cs="Arial"/>
          <w:bCs/>
          <w:sz w:val="20"/>
          <w:szCs w:val="20"/>
        </w:rPr>
        <w:t xml:space="preserve"> </w:t>
      </w:r>
      <w:r w:rsidR="00BD0894" w:rsidRPr="00BD0894">
        <w:rPr>
          <w:rFonts w:ascii="Arial" w:hAnsi="Arial" w:cs="Arial"/>
          <w:bCs/>
          <w:sz w:val="20"/>
          <w:szCs w:val="20"/>
        </w:rPr>
        <w:t>(</w:t>
      </w:r>
      <w:proofErr w:type="spellStart"/>
      <w:r w:rsidR="00BD0894" w:rsidRPr="00BD0894">
        <w:rPr>
          <w:rFonts w:ascii="Arial" w:hAnsi="Arial" w:cs="Arial"/>
          <w:bCs/>
          <w:sz w:val="20"/>
          <w:szCs w:val="20"/>
        </w:rPr>
        <w:t>Kakoty</w:t>
      </w:r>
      <w:proofErr w:type="spellEnd"/>
      <w:r w:rsidR="00BD0894" w:rsidRPr="00BD0894">
        <w:rPr>
          <w:rFonts w:ascii="Arial" w:hAnsi="Arial" w:cs="Arial"/>
          <w:bCs/>
          <w:sz w:val="20"/>
          <w:szCs w:val="20"/>
        </w:rPr>
        <w:t xml:space="preserve"> </w:t>
      </w:r>
      <w:r w:rsidR="00BD0894" w:rsidRPr="00BD0894">
        <w:rPr>
          <w:rFonts w:ascii="Arial" w:hAnsi="Arial" w:cs="Arial"/>
          <w:bCs/>
          <w:i/>
          <w:iCs/>
          <w:sz w:val="20"/>
          <w:szCs w:val="20"/>
        </w:rPr>
        <w:t>et al</w:t>
      </w:r>
      <w:r w:rsidR="00BD0894" w:rsidRPr="00BD0894">
        <w:rPr>
          <w:rFonts w:ascii="Arial" w:hAnsi="Arial" w:cs="Arial"/>
          <w:bCs/>
          <w:sz w:val="20"/>
          <w:szCs w:val="20"/>
        </w:rPr>
        <w:t>., 2022)</w:t>
      </w:r>
      <w:r w:rsidR="0090613B">
        <w:rPr>
          <w:rFonts w:ascii="Arial" w:hAnsi="Arial" w:cs="Arial"/>
          <w:bCs/>
          <w:sz w:val="20"/>
          <w:szCs w:val="20"/>
        </w:rPr>
        <w:t xml:space="preserve">. </w:t>
      </w:r>
      <w:r w:rsidR="00901C49">
        <w:rPr>
          <w:rFonts w:ascii="Arial" w:hAnsi="Arial" w:cs="Arial"/>
          <w:bCs/>
          <w:sz w:val="20"/>
          <w:szCs w:val="20"/>
        </w:rPr>
        <w:t xml:space="preserve">This </w:t>
      </w:r>
      <w:proofErr w:type="spellStart"/>
      <w:r w:rsidR="00901C49">
        <w:rPr>
          <w:rFonts w:ascii="Arial" w:hAnsi="Arial" w:cs="Arial"/>
          <w:bCs/>
          <w:sz w:val="20"/>
          <w:szCs w:val="20"/>
        </w:rPr>
        <w:t>behaviour</w:t>
      </w:r>
      <w:proofErr w:type="spellEnd"/>
      <w:r w:rsidR="00901C49">
        <w:rPr>
          <w:rFonts w:ascii="Arial" w:hAnsi="Arial" w:cs="Arial"/>
          <w:bCs/>
          <w:sz w:val="20"/>
          <w:szCs w:val="20"/>
        </w:rPr>
        <w:t xml:space="preserve"> is similar to results in aqueous electrolyte mixtures, where ions with small radii and high charge densities promote stronger coordination with </w:t>
      </w:r>
      <w:r w:rsidR="00B232B3">
        <w:rPr>
          <w:rFonts w:ascii="Arial" w:hAnsi="Arial" w:cs="Arial"/>
          <w:bCs/>
          <w:sz w:val="20"/>
          <w:szCs w:val="20"/>
        </w:rPr>
        <w:t>water molecules – leading to larger hydrated complexes with high viscosities in solution (</w:t>
      </w:r>
      <w:proofErr w:type="spellStart"/>
      <w:r w:rsidR="00B232B3">
        <w:t>Kambarova</w:t>
      </w:r>
      <w:proofErr w:type="spellEnd"/>
      <w:r w:rsidR="00B232B3">
        <w:t xml:space="preserve"> </w:t>
      </w:r>
      <w:r w:rsidR="00B232B3" w:rsidRPr="00B232B3">
        <w:rPr>
          <w:i/>
          <w:iCs/>
        </w:rPr>
        <w:t>et al</w:t>
      </w:r>
      <w:r w:rsidR="00B232B3">
        <w:t>., 2025).</w:t>
      </w:r>
      <w:r w:rsidR="00901C49">
        <w:rPr>
          <w:rFonts w:ascii="Arial" w:hAnsi="Arial" w:cs="Arial"/>
          <w:bCs/>
          <w:sz w:val="20"/>
          <w:szCs w:val="20"/>
        </w:rPr>
        <w:t xml:space="preserve"> </w:t>
      </w:r>
      <w:r w:rsidR="00B15E2D" w:rsidRPr="00DB36EA">
        <w:rPr>
          <w:rFonts w:ascii="Arial" w:hAnsi="Arial" w:cs="Arial"/>
          <w:bCs/>
          <w:sz w:val="20"/>
          <w:szCs w:val="20"/>
        </w:rPr>
        <w:t>On the other hand, larger solvent molecules tend to solvate Zn</w:t>
      </w:r>
      <w:r w:rsidR="00B15E2D" w:rsidRPr="00DB36EA">
        <w:rPr>
          <w:rFonts w:ascii="Arial" w:hAnsi="Arial" w:cs="Arial"/>
          <w:bCs/>
          <w:sz w:val="20"/>
          <w:szCs w:val="20"/>
          <w:vertAlign w:val="superscript"/>
        </w:rPr>
        <w:t>2+</w:t>
      </w:r>
      <w:r w:rsidR="00B15E2D" w:rsidRPr="00DB36EA">
        <w:rPr>
          <w:rFonts w:ascii="Arial" w:hAnsi="Arial" w:cs="Arial"/>
          <w:bCs/>
          <w:sz w:val="20"/>
          <w:szCs w:val="20"/>
        </w:rPr>
        <w:t> ions less strongly, making de-solvation easier and promoting more efficient Zn deposition</w:t>
      </w:r>
      <w:r w:rsidR="00B15E2D" w:rsidRPr="00765664">
        <w:rPr>
          <w:rFonts w:ascii="Arial" w:hAnsi="Arial" w:cs="Arial"/>
          <w:bCs/>
          <w:sz w:val="20"/>
          <w:szCs w:val="20"/>
        </w:rPr>
        <w:t>. These solvents typically have lower polarity but higher dielectric constants, which can help maintain good ionic conductivity without hindering the de-solvation process, hence facilitating smoother and uniform plating</w:t>
      </w:r>
      <w:bookmarkStart w:id="11" w:name="_Hlk213758814"/>
      <w:r w:rsidR="0012102A">
        <w:rPr>
          <w:rFonts w:ascii="Arial" w:hAnsi="Arial" w:cs="Arial"/>
          <w:bCs/>
          <w:sz w:val="20"/>
          <w:szCs w:val="20"/>
        </w:rPr>
        <w:t xml:space="preserve"> </w:t>
      </w:r>
      <w:r w:rsidR="0012102A" w:rsidRPr="0012102A">
        <w:rPr>
          <w:rFonts w:ascii="Arial" w:hAnsi="Arial" w:cs="Arial"/>
          <w:bCs/>
          <w:sz w:val="20"/>
          <w:szCs w:val="20"/>
        </w:rPr>
        <w:t>(</w:t>
      </w:r>
      <w:proofErr w:type="spellStart"/>
      <w:r w:rsidR="0012102A" w:rsidRPr="0012102A">
        <w:rPr>
          <w:rFonts w:ascii="Arial" w:hAnsi="Arial" w:cs="Arial"/>
          <w:bCs/>
          <w:sz w:val="20"/>
          <w:szCs w:val="20"/>
        </w:rPr>
        <w:t>Kakoty</w:t>
      </w:r>
      <w:proofErr w:type="spellEnd"/>
      <w:r w:rsidR="0012102A" w:rsidRPr="0012102A">
        <w:rPr>
          <w:rFonts w:ascii="Arial" w:hAnsi="Arial" w:cs="Arial"/>
          <w:bCs/>
          <w:sz w:val="20"/>
          <w:szCs w:val="20"/>
        </w:rPr>
        <w:t xml:space="preserve"> </w:t>
      </w:r>
      <w:r w:rsidR="0012102A" w:rsidRPr="0012102A">
        <w:rPr>
          <w:rFonts w:ascii="Arial" w:hAnsi="Arial" w:cs="Arial"/>
          <w:bCs/>
          <w:i/>
          <w:iCs/>
          <w:sz w:val="20"/>
          <w:szCs w:val="20"/>
        </w:rPr>
        <w:t>et al</w:t>
      </w:r>
      <w:r w:rsidR="0012102A" w:rsidRPr="0012102A">
        <w:rPr>
          <w:rFonts w:ascii="Arial" w:hAnsi="Arial" w:cs="Arial"/>
          <w:bCs/>
          <w:sz w:val="20"/>
          <w:szCs w:val="20"/>
        </w:rPr>
        <w:t>., 2022)</w:t>
      </w:r>
      <w:bookmarkEnd w:id="11"/>
      <w:r w:rsidR="00B15E2D" w:rsidRPr="00151AE6">
        <w:rPr>
          <w:rFonts w:ascii="Arial" w:hAnsi="Arial" w:cs="Arial"/>
          <w:bCs/>
          <w:sz w:val="20"/>
          <w:szCs w:val="20"/>
        </w:rPr>
        <w:t>.</w:t>
      </w:r>
      <w:r w:rsidR="00FF5465" w:rsidRPr="00151AE6">
        <w:rPr>
          <w:rFonts w:ascii="Arial" w:hAnsi="Arial" w:cs="Arial"/>
          <w:bCs/>
          <w:sz w:val="20"/>
          <w:szCs w:val="20"/>
        </w:rPr>
        <w:t xml:space="preserve"> </w:t>
      </w:r>
      <w:r w:rsidR="00151AE6" w:rsidRPr="00CD35FA">
        <w:rPr>
          <w:rFonts w:ascii="Arial" w:hAnsi="Arial" w:cs="Arial"/>
          <w:bCs/>
          <w:sz w:val="20"/>
          <w:szCs w:val="20"/>
        </w:rPr>
        <w:t>Therefore</w:t>
      </w:r>
      <w:r w:rsidR="00B15E2D" w:rsidRPr="00CD35FA">
        <w:rPr>
          <w:rFonts w:ascii="Arial" w:hAnsi="Arial" w:cs="Arial"/>
          <w:bCs/>
          <w:sz w:val="20"/>
          <w:szCs w:val="20"/>
        </w:rPr>
        <w:t xml:space="preserve">, the selection of favorable </w:t>
      </w:r>
      <w:r w:rsidR="00151AE6" w:rsidRPr="00CD35FA">
        <w:rPr>
          <w:rFonts w:ascii="Arial" w:hAnsi="Arial" w:cs="Arial"/>
          <w:bCs/>
          <w:sz w:val="20"/>
          <w:szCs w:val="20"/>
        </w:rPr>
        <w:t>o</w:t>
      </w:r>
      <w:r w:rsidR="00B15E2D" w:rsidRPr="00CD35FA">
        <w:rPr>
          <w:rFonts w:ascii="Arial" w:hAnsi="Arial" w:cs="Arial"/>
          <w:bCs/>
          <w:sz w:val="20"/>
          <w:szCs w:val="20"/>
        </w:rPr>
        <w:t xml:space="preserve">rganic solvent </w:t>
      </w:r>
      <w:r w:rsidR="00151AE6" w:rsidRPr="00CD35FA">
        <w:rPr>
          <w:rFonts w:ascii="Arial" w:hAnsi="Arial" w:cs="Arial"/>
          <w:bCs/>
          <w:sz w:val="20"/>
          <w:szCs w:val="20"/>
        </w:rPr>
        <w:t xml:space="preserve">mixtures </w:t>
      </w:r>
      <w:r w:rsidR="00B15E2D" w:rsidRPr="00CD35FA">
        <w:rPr>
          <w:rFonts w:ascii="Arial" w:hAnsi="Arial" w:cs="Arial"/>
          <w:bCs/>
          <w:sz w:val="20"/>
          <w:szCs w:val="20"/>
        </w:rPr>
        <w:t xml:space="preserve">is critical because of their varying solvation properties </w:t>
      </w:r>
      <w:r w:rsidR="00583493">
        <w:rPr>
          <w:rFonts w:ascii="Arial" w:hAnsi="Arial" w:cs="Arial"/>
          <w:bCs/>
          <w:sz w:val="20"/>
          <w:szCs w:val="20"/>
        </w:rPr>
        <w:t>-</w:t>
      </w:r>
      <w:r w:rsidR="00B15E2D" w:rsidRPr="00CD35FA">
        <w:rPr>
          <w:rFonts w:ascii="Arial" w:hAnsi="Arial" w:cs="Arial"/>
          <w:bCs/>
          <w:sz w:val="20"/>
          <w:szCs w:val="20"/>
        </w:rPr>
        <w:t xml:space="preserve"> polarity, viscosity, dielectric constant, and chemical stability</w:t>
      </w:r>
      <w:r w:rsidR="00CD35FA" w:rsidRPr="00CD35FA">
        <w:rPr>
          <w:rFonts w:ascii="Arial" w:hAnsi="Arial" w:cs="Arial"/>
          <w:bCs/>
          <w:sz w:val="20"/>
          <w:szCs w:val="20"/>
        </w:rPr>
        <w:t>.</w:t>
      </w:r>
      <w:r w:rsidR="00C41A24">
        <w:rPr>
          <w:rFonts w:ascii="Arial" w:hAnsi="Arial" w:cs="Arial"/>
          <w:bCs/>
          <w:sz w:val="20"/>
          <w:szCs w:val="20"/>
        </w:rPr>
        <w:t xml:space="preserve"> </w:t>
      </w:r>
    </w:p>
    <w:p w14:paraId="7D963F6A" w14:textId="37BB0B81" w:rsidR="004E2A11" w:rsidRPr="004E2A11" w:rsidRDefault="004E2A11" w:rsidP="004E2A11">
      <w:pPr>
        <w:rPr>
          <w:rFonts w:ascii="Arial" w:hAnsi="Arial" w:cs="Arial"/>
          <w:b/>
          <w:bCs/>
          <w:sz w:val="20"/>
          <w:szCs w:val="20"/>
          <w:lang w:val="en-GB"/>
        </w:rPr>
      </w:pPr>
      <w:r w:rsidRPr="004E2A11">
        <w:rPr>
          <w:rFonts w:ascii="Arial" w:hAnsi="Arial" w:cs="Arial"/>
          <w:b/>
          <w:bCs/>
          <w:sz w:val="20"/>
          <w:szCs w:val="20"/>
          <w:lang w:val="en-GB"/>
        </w:rPr>
        <w:t>2. EXPERIMENTAL</w:t>
      </w:r>
      <w:r w:rsidR="00DB3AD6">
        <w:rPr>
          <w:rFonts w:ascii="Arial" w:hAnsi="Arial" w:cs="Arial"/>
          <w:b/>
          <w:bCs/>
          <w:sz w:val="20"/>
          <w:szCs w:val="20"/>
          <w:lang w:val="en-GB"/>
        </w:rPr>
        <w:t xml:space="preserve"> METHODLOGY</w:t>
      </w:r>
    </w:p>
    <w:p w14:paraId="50072F50" w14:textId="401CECB6" w:rsidR="00627C85" w:rsidRDefault="00D40496" w:rsidP="00CC6C24">
      <w:pPr>
        <w:rPr>
          <w:rFonts w:ascii="Arial" w:hAnsi="Arial" w:cs="Arial"/>
          <w:bCs/>
          <w:sz w:val="20"/>
          <w:szCs w:val="20"/>
        </w:rPr>
      </w:pPr>
      <w:r>
        <w:rPr>
          <w:rFonts w:ascii="Arial" w:hAnsi="Arial" w:cs="Arial"/>
          <w:bCs/>
          <w:sz w:val="20"/>
          <w:szCs w:val="20"/>
        </w:rPr>
        <w:t xml:space="preserve">The solvents, Propylene carbonate (99.5%) product of BASF, 1,2-Dimethoxyethane (99.5%) product of Sigma-Aldrich and anhydrous </w:t>
      </w:r>
      <w:r w:rsidRPr="00D40496">
        <w:rPr>
          <w:rFonts w:ascii="Arial" w:hAnsi="Arial" w:cs="Arial"/>
          <w:bCs/>
          <w:sz w:val="20"/>
          <w:szCs w:val="20"/>
        </w:rPr>
        <w:t>ZnCl</w:t>
      </w:r>
      <w:bookmarkStart w:id="12" w:name="_Hlk214117015"/>
      <w:r w:rsidRPr="00D40496">
        <w:rPr>
          <w:rFonts w:ascii="Arial" w:hAnsi="Arial" w:cs="Arial"/>
          <w:bCs/>
          <w:sz w:val="20"/>
          <w:szCs w:val="20"/>
          <w:vertAlign w:val="subscript"/>
        </w:rPr>
        <w:t>2</w:t>
      </w:r>
      <w:bookmarkEnd w:id="12"/>
      <w:r>
        <w:rPr>
          <w:rFonts w:ascii="Arial" w:hAnsi="Arial" w:cs="Arial"/>
          <w:bCs/>
          <w:sz w:val="20"/>
          <w:szCs w:val="20"/>
          <w:vertAlign w:val="subscript"/>
        </w:rPr>
        <w:t xml:space="preserve"> </w:t>
      </w:r>
      <w:r>
        <w:rPr>
          <w:rFonts w:ascii="Arial" w:hAnsi="Arial" w:cs="Arial"/>
          <w:bCs/>
          <w:sz w:val="20"/>
          <w:szCs w:val="20"/>
        </w:rPr>
        <w:t xml:space="preserve">(97%) product of Sigma-Aldrich were sourced and used without further purification. </w:t>
      </w:r>
      <w:r w:rsidR="005F39CE">
        <w:rPr>
          <w:rFonts w:ascii="Arial" w:hAnsi="Arial" w:cs="Arial"/>
          <w:bCs/>
          <w:sz w:val="20"/>
          <w:szCs w:val="20"/>
        </w:rPr>
        <w:t>All the solutions were prepared in solvents at concentrations of 0.01 M, 0.05M and 0.1 M</w:t>
      </w:r>
      <w:r w:rsidR="004220A6">
        <w:rPr>
          <w:rFonts w:ascii="Arial" w:hAnsi="Arial" w:cs="Arial"/>
          <w:bCs/>
          <w:sz w:val="20"/>
          <w:szCs w:val="20"/>
        </w:rPr>
        <w:t xml:space="preserve"> at 298.15 K</w:t>
      </w:r>
      <w:r w:rsidR="005F39CE">
        <w:rPr>
          <w:rFonts w:ascii="Arial" w:hAnsi="Arial" w:cs="Arial"/>
          <w:bCs/>
          <w:sz w:val="20"/>
          <w:szCs w:val="20"/>
        </w:rPr>
        <w:t>.</w:t>
      </w:r>
      <w:r w:rsidR="004220A6">
        <w:rPr>
          <w:rFonts w:ascii="Arial" w:hAnsi="Arial" w:cs="Arial"/>
          <w:bCs/>
          <w:sz w:val="20"/>
          <w:szCs w:val="20"/>
        </w:rPr>
        <w:t xml:space="preserve"> The mixed solvents PC-DME were </w:t>
      </w:r>
      <w:r w:rsidR="00E1416D">
        <w:rPr>
          <w:rFonts w:ascii="Arial" w:hAnsi="Arial" w:cs="Arial"/>
          <w:bCs/>
          <w:sz w:val="20"/>
          <w:szCs w:val="20"/>
        </w:rPr>
        <w:t xml:space="preserve">prepared in volume percent (0%, 25%, 50%, 75% and 100%). </w:t>
      </w:r>
      <w:r w:rsidR="007146E0">
        <w:rPr>
          <w:rFonts w:ascii="Arial" w:hAnsi="Arial" w:cs="Arial"/>
          <w:bCs/>
          <w:sz w:val="20"/>
          <w:szCs w:val="20"/>
        </w:rPr>
        <w:t xml:space="preserve">Density measurements were made using single stem pycnometer bottle at </w:t>
      </w:r>
      <w:bookmarkStart w:id="13" w:name="_Hlk214118035"/>
      <w:r w:rsidR="004C0A33">
        <w:rPr>
          <w:rFonts w:ascii="Arial" w:hAnsi="Arial" w:cs="Arial"/>
          <w:bCs/>
          <w:sz w:val="20"/>
          <w:szCs w:val="20"/>
        </w:rPr>
        <w:t xml:space="preserve">298.15 </w:t>
      </w:r>
      <w:r w:rsidR="007304E1" w:rsidRPr="007304E1">
        <w:rPr>
          <w:rFonts w:ascii="Arial" w:hAnsi="Arial" w:cs="Arial"/>
          <w:bCs/>
          <w:sz w:val="20"/>
          <w:szCs w:val="20"/>
        </w:rPr>
        <w:t>±</w:t>
      </w:r>
      <w:r w:rsidR="004C0A33">
        <w:rPr>
          <w:rFonts w:ascii="Arial" w:hAnsi="Arial" w:cs="Arial"/>
          <w:bCs/>
          <w:sz w:val="20"/>
          <w:szCs w:val="20"/>
        </w:rPr>
        <w:t xml:space="preserve"> 0.001 K</w:t>
      </w:r>
      <w:bookmarkEnd w:id="13"/>
      <w:r w:rsidR="004C0A33">
        <w:rPr>
          <w:rFonts w:ascii="Arial" w:hAnsi="Arial" w:cs="Arial"/>
          <w:bCs/>
          <w:sz w:val="20"/>
          <w:szCs w:val="20"/>
        </w:rPr>
        <w:t>.</w:t>
      </w:r>
      <w:r w:rsidR="00671F43">
        <w:rPr>
          <w:rFonts w:ascii="Arial" w:hAnsi="Arial" w:cs="Arial"/>
          <w:bCs/>
          <w:sz w:val="20"/>
          <w:szCs w:val="20"/>
        </w:rPr>
        <w:t xml:space="preserve"> </w:t>
      </w:r>
      <w:r w:rsidR="00671F43" w:rsidRPr="00671F43">
        <w:rPr>
          <w:rFonts w:ascii="Arial" w:hAnsi="Arial" w:cs="Arial"/>
          <w:bCs/>
          <w:sz w:val="20"/>
          <w:szCs w:val="20"/>
        </w:rPr>
        <w:t xml:space="preserve">The solution viscosities were measured in the order of increasing concentrations and measurements were made within few hours of preparing the solutions. Special care was taken to remove air bubbles </w:t>
      </w:r>
      <w:r w:rsidR="00671F43">
        <w:rPr>
          <w:rFonts w:ascii="Arial" w:hAnsi="Arial" w:cs="Arial"/>
          <w:bCs/>
          <w:sz w:val="20"/>
          <w:szCs w:val="20"/>
        </w:rPr>
        <w:t xml:space="preserve">to minimize foaming </w:t>
      </w:r>
      <w:r w:rsidR="00671F43" w:rsidRPr="00671F43">
        <w:rPr>
          <w:rFonts w:ascii="Arial" w:hAnsi="Arial" w:cs="Arial"/>
          <w:bCs/>
          <w:sz w:val="20"/>
          <w:szCs w:val="20"/>
        </w:rPr>
        <w:t xml:space="preserve">while loading the solution in viscometer. </w:t>
      </w:r>
      <w:r w:rsidR="00F54AA1" w:rsidRPr="00F54AA1">
        <w:rPr>
          <w:rFonts w:ascii="Arial" w:hAnsi="Arial" w:cs="Arial"/>
          <w:bCs/>
          <w:sz w:val="20"/>
          <w:szCs w:val="20"/>
        </w:rPr>
        <w:t>For the calibration of the viscometer</w:t>
      </w:r>
      <w:r w:rsidR="00F54AA1">
        <w:rPr>
          <w:rFonts w:ascii="Arial" w:hAnsi="Arial" w:cs="Arial"/>
          <w:bCs/>
          <w:sz w:val="20"/>
          <w:szCs w:val="20"/>
        </w:rPr>
        <w:t xml:space="preserve">, </w:t>
      </w:r>
      <w:r w:rsidR="00F54AA1" w:rsidRPr="00F54AA1">
        <w:rPr>
          <w:rFonts w:ascii="Arial" w:hAnsi="Arial" w:cs="Arial"/>
          <w:bCs/>
          <w:sz w:val="20"/>
          <w:szCs w:val="20"/>
        </w:rPr>
        <w:t>distilled</w:t>
      </w:r>
      <w:r w:rsidR="00F54AA1">
        <w:rPr>
          <w:rFonts w:ascii="Arial" w:hAnsi="Arial" w:cs="Arial"/>
          <w:bCs/>
          <w:sz w:val="20"/>
          <w:szCs w:val="20"/>
        </w:rPr>
        <w:t xml:space="preserve"> </w:t>
      </w:r>
      <w:r w:rsidR="00F54AA1" w:rsidRPr="00F54AA1">
        <w:rPr>
          <w:rFonts w:ascii="Arial" w:hAnsi="Arial" w:cs="Arial"/>
          <w:bCs/>
          <w:sz w:val="20"/>
          <w:szCs w:val="20"/>
        </w:rPr>
        <w:t xml:space="preserve">water was used as a standard sample for measurements. The flow time of water for the </w:t>
      </w:r>
      <w:r w:rsidR="00893FDA">
        <w:rPr>
          <w:rFonts w:ascii="Arial" w:hAnsi="Arial" w:cs="Arial"/>
          <w:bCs/>
          <w:sz w:val="20"/>
          <w:szCs w:val="20"/>
        </w:rPr>
        <w:t>Cannon-Fenske</w:t>
      </w:r>
      <w:r w:rsidR="00F54AA1" w:rsidRPr="00F54AA1">
        <w:rPr>
          <w:rFonts w:ascii="Arial" w:hAnsi="Arial" w:cs="Arial"/>
          <w:bCs/>
          <w:sz w:val="20"/>
          <w:szCs w:val="20"/>
        </w:rPr>
        <w:t xml:space="preserve"> </w:t>
      </w:r>
      <w:r w:rsidR="00F54AA1" w:rsidRPr="00F54AA1">
        <w:rPr>
          <w:rFonts w:ascii="Arial" w:hAnsi="Arial" w:cs="Arial"/>
          <w:bCs/>
          <w:sz w:val="20"/>
          <w:szCs w:val="20"/>
        </w:rPr>
        <w:lastRenderedPageBreak/>
        <w:t xml:space="preserve">viscometer </w:t>
      </w:r>
      <w:r w:rsidR="00782D66">
        <w:rPr>
          <w:rFonts w:ascii="Arial" w:hAnsi="Arial" w:cs="Arial"/>
          <w:bCs/>
          <w:sz w:val="20"/>
          <w:szCs w:val="20"/>
        </w:rPr>
        <w:t xml:space="preserve">(size 50) </w:t>
      </w:r>
      <w:r w:rsidR="00AF7120">
        <w:rPr>
          <w:rFonts w:ascii="Arial" w:hAnsi="Arial" w:cs="Arial"/>
          <w:bCs/>
          <w:sz w:val="20"/>
          <w:szCs w:val="20"/>
        </w:rPr>
        <w:t>wa</w:t>
      </w:r>
      <w:r w:rsidR="00F54AA1" w:rsidRPr="00F54AA1">
        <w:rPr>
          <w:rFonts w:ascii="Arial" w:hAnsi="Arial" w:cs="Arial"/>
          <w:bCs/>
          <w:sz w:val="20"/>
          <w:szCs w:val="20"/>
        </w:rPr>
        <w:t>s 19</w:t>
      </w:r>
      <w:r w:rsidR="007304E1">
        <w:rPr>
          <w:rFonts w:ascii="Arial" w:hAnsi="Arial" w:cs="Arial"/>
          <w:bCs/>
          <w:sz w:val="20"/>
          <w:szCs w:val="20"/>
        </w:rPr>
        <w:t>2</w:t>
      </w:r>
      <w:r w:rsidR="00F54AA1" w:rsidRPr="00F54AA1">
        <w:rPr>
          <w:rFonts w:ascii="Arial" w:hAnsi="Arial" w:cs="Arial"/>
          <w:bCs/>
          <w:sz w:val="20"/>
          <w:szCs w:val="20"/>
        </w:rPr>
        <w:t xml:space="preserve">.2 </w:t>
      </w:r>
      <w:bookmarkStart w:id="14" w:name="_Hlk214016373"/>
      <w:r w:rsidR="00F54AA1" w:rsidRPr="00F54AA1">
        <w:rPr>
          <w:rFonts w:ascii="Arial" w:hAnsi="Arial" w:cs="Arial"/>
          <w:bCs/>
          <w:sz w:val="20"/>
          <w:szCs w:val="20"/>
        </w:rPr>
        <w:t>±</w:t>
      </w:r>
      <w:bookmarkEnd w:id="14"/>
      <w:r w:rsidR="00F54AA1" w:rsidRPr="00F54AA1">
        <w:rPr>
          <w:rFonts w:ascii="Arial" w:hAnsi="Arial" w:cs="Arial"/>
          <w:bCs/>
          <w:sz w:val="20"/>
          <w:szCs w:val="20"/>
        </w:rPr>
        <w:t xml:space="preserve"> 0.2 s at 298.15 K, the time being monitored using a stopwatch with 0.1 s as the smallest increment. This value was used for the calculations of relative viscosity of all the studied </w:t>
      </w:r>
      <w:r w:rsidR="00AF7120">
        <w:rPr>
          <w:rFonts w:ascii="Arial" w:hAnsi="Arial" w:cs="Arial"/>
          <w:bCs/>
          <w:sz w:val="20"/>
          <w:szCs w:val="20"/>
        </w:rPr>
        <w:t>solvents and solutions</w:t>
      </w:r>
      <w:r w:rsidR="00F54AA1" w:rsidRPr="00F54AA1">
        <w:rPr>
          <w:rFonts w:ascii="Arial" w:hAnsi="Arial" w:cs="Arial"/>
          <w:bCs/>
          <w:sz w:val="20"/>
          <w:szCs w:val="20"/>
        </w:rPr>
        <w:t xml:space="preserve"> at 298.15 K. All the flow time measurements reported in this work </w:t>
      </w:r>
      <w:r w:rsidR="00AF7120">
        <w:rPr>
          <w:rFonts w:ascii="Arial" w:hAnsi="Arial" w:cs="Arial"/>
          <w:bCs/>
          <w:sz w:val="20"/>
          <w:szCs w:val="20"/>
        </w:rPr>
        <w:t>were</w:t>
      </w:r>
      <w:r w:rsidR="00F54AA1" w:rsidRPr="00F54AA1">
        <w:rPr>
          <w:rFonts w:ascii="Arial" w:hAnsi="Arial" w:cs="Arial"/>
          <w:bCs/>
          <w:sz w:val="20"/>
          <w:szCs w:val="20"/>
        </w:rPr>
        <w:t xml:space="preserve"> averaged over three separate</w:t>
      </w:r>
      <w:r w:rsidR="00F54AA1">
        <w:rPr>
          <w:rFonts w:ascii="Arial" w:hAnsi="Arial" w:cs="Arial"/>
          <w:bCs/>
          <w:sz w:val="20"/>
          <w:szCs w:val="20"/>
        </w:rPr>
        <w:t xml:space="preserve"> </w:t>
      </w:r>
      <w:r w:rsidR="00F54AA1" w:rsidRPr="00F54AA1">
        <w:rPr>
          <w:rFonts w:ascii="Arial" w:hAnsi="Arial" w:cs="Arial"/>
          <w:bCs/>
          <w:sz w:val="20"/>
          <w:szCs w:val="20"/>
        </w:rPr>
        <w:t>measurements of the same s</w:t>
      </w:r>
      <w:r w:rsidR="00AF7120">
        <w:rPr>
          <w:rFonts w:ascii="Arial" w:hAnsi="Arial" w:cs="Arial"/>
          <w:bCs/>
          <w:sz w:val="20"/>
          <w:szCs w:val="20"/>
        </w:rPr>
        <w:t>ample</w:t>
      </w:r>
      <w:r w:rsidR="00F54AA1" w:rsidRPr="00F54AA1">
        <w:rPr>
          <w:rFonts w:ascii="Arial" w:hAnsi="Arial" w:cs="Arial"/>
          <w:bCs/>
          <w:sz w:val="20"/>
          <w:szCs w:val="20"/>
        </w:rPr>
        <w:t xml:space="preserve">. </w:t>
      </w:r>
      <w:r w:rsidR="007304E1">
        <w:rPr>
          <w:rFonts w:ascii="Arial" w:hAnsi="Arial" w:cs="Arial"/>
          <w:bCs/>
          <w:sz w:val="20"/>
          <w:szCs w:val="20"/>
        </w:rPr>
        <w:t xml:space="preserve"> </w:t>
      </w:r>
    </w:p>
    <w:p w14:paraId="3699BFA4" w14:textId="4359CE05" w:rsidR="00106289" w:rsidRDefault="00106289" w:rsidP="00CC6C24">
      <w:pPr>
        <w:rPr>
          <w:rFonts w:ascii="Arial" w:hAnsi="Arial" w:cs="Arial"/>
          <w:bCs/>
          <w:sz w:val="20"/>
          <w:szCs w:val="20"/>
        </w:rPr>
      </w:pPr>
    </w:p>
    <w:p w14:paraId="10596300" w14:textId="77777777" w:rsidR="00106289" w:rsidRDefault="00106289" w:rsidP="00CC6C24">
      <w:pPr>
        <w:rPr>
          <w:rFonts w:ascii="Arial" w:hAnsi="Arial" w:cs="Arial"/>
          <w:b/>
          <w:sz w:val="20"/>
          <w:szCs w:val="20"/>
        </w:rPr>
      </w:pPr>
      <w:r w:rsidRPr="00106289">
        <w:rPr>
          <w:rFonts w:ascii="Arial" w:hAnsi="Arial" w:cs="Arial"/>
          <w:b/>
          <w:sz w:val="20"/>
          <w:szCs w:val="20"/>
        </w:rPr>
        <w:t xml:space="preserve">2.1 CONTEXTUAL </w:t>
      </w:r>
      <w:r>
        <w:rPr>
          <w:rFonts w:ascii="Arial" w:hAnsi="Arial" w:cs="Arial"/>
          <w:b/>
          <w:sz w:val="20"/>
          <w:szCs w:val="20"/>
        </w:rPr>
        <w:t>EQUATIONS</w:t>
      </w:r>
    </w:p>
    <w:p w14:paraId="67416EAE" w14:textId="0E856742" w:rsidR="00106289" w:rsidRDefault="00106289" w:rsidP="00CC6C24">
      <w:pPr>
        <w:rPr>
          <w:rFonts w:ascii="Arial" w:hAnsi="Arial" w:cs="Arial"/>
          <w:bCs/>
          <w:sz w:val="20"/>
          <w:szCs w:val="20"/>
        </w:rPr>
      </w:pPr>
      <w:r w:rsidRPr="0053633F">
        <w:rPr>
          <w:rFonts w:ascii="Arial" w:hAnsi="Arial" w:cs="Arial"/>
          <w:bCs/>
          <w:sz w:val="20"/>
          <w:szCs w:val="20"/>
        </w:rPr>
        <w:t xml:space="preserve"> </w:t>
      </w:r>
      <w:r w:rsidR="0053633F">
        <w:rPr>
          <w:rFonts w:ascii="Arial" w:hAnsi="Arial" w:cs="Arial"/>
          <w:bCs/>
          <w:sz w:val="20"/>
          <w:szCs w:val="20"/>
        </w:rPr>
        <w:t>The k</w:t>
      </w:r>
      <w:r w:rsidR="0053633F" w:rsidRPr="0053633F">
        <w:rPr>
          <w:rFonts w:ascii="Arial" w:hAnsi="Arial" w:cs="Arial"/>
          <w:bCs/>
          <w:sz w:val="20"/>
          <w:szCs w:val="20"/>
        </w:rPr>
        <w:t xml:space="preserve">inematic </w:t>
      </w:r>
      <w:r w:rsidR="0053633F">
        <w:rPr>
          <w:rFonts w:ascii="Arial" w:hAnsi="Arial" w:cs="Arial"/>
          <w:bCs/>
          <w:sz w:val="20"/>
          <w:szCs w:val="20"/>
        </w:rPr>
        <w:t>viscosities were determined using the expression</w:t>
      </w:r>
      <w:r w:rsidR="00C04A9A">
        <w:rPr>
          <w:rFonts w:ascii="Arial" w:hAnsi="Arial" w:cs="Arial"/>
          <w:bCs/>
          <w:sz w:val="20"/>
          <w:szCs w:val="20"/>
        </w:rPr>
        <w:t>:</w:t>
      </w:r>
    </w:p>
    <w:p w14:paraId="29CFC2FB" w14:textId="18CD3D17" w:rsidR="0053633F" w:rsidRDefault="00B55397" w:rsidP="00CC6C24">
      <w:pPr>
        <w:rPr>
          <w:rFonts w:ascii="Arial" w:hAnsi="Arial" w:cs="Arial"/>
          <w:bCs/>
          <w:sz w:val="20"/>
          <w:szCs w:val="20"/>
        </w:rPr>
      </w:pPr>
      <m:oMath>
        <m:r>
          <w:rPr>
            <w:rFonts w:ascii="Cambria Math" w:hAnsi="Cambria Math" w:cs="Arial"/>
            <w:sz w:val="20"/>
            <w:szCs w:val="20"/>
          </w:rPr>
          <m:t>V=</m:t>
        </m:r>
        <w:bookmarkStart w:id="15" w:name="_Hlk214098914"/>
        <m:r>
          <w:rPr>
            <w:rFonts w:ascii="Cambria Math" w:hAnsi="Cambria Math" w:cs="Arial"/>
            <w:sz w:val="20"/>
            <w:szCs w:val="20"/>
          </w:rPr>
          <m:t>K</m:t>
        </m:r>
        <w:bookmarkStart w:id="16" w:name="_Hlk214099003"/>
        <w:bookmarkEnd w:id="15"/>
        <m:r>
          <w:rPr>
            <w:rFonts w:ascii="Cambria Math" w:hAnsi="Cambria Math" w:cs="Arial"/>
            <w:sz w:val="20"/>
            <w:szCs w:val="20"/>
          </w:rPr>
          <m:t>t</m:t>
        </m:r>
      </m:oMath>
      <w:bookmarkEnd w:id="16"/>
      <w:r w:rsidR="0053633F">
        <w:rPr>
          <w:rFonts w:ascii="Arial" w:hAnsi="Arial" w:cs="Arial"/>
          <w:bCs/>
          <w:sz w:val="20"/>
          <w:szCs w:val="20"/>
        </w:rPr>
        <w:tab/>
      </w:r>
      <w:r w:rsidR="0053633F">
        <w:rPr>
          <w:rFonts w:ascii="Arial" w:hAnsi="Arial" w:cs="Arial"/>
          <w:bCs/>
          <w:sz w:val="20"/>
          <w:szCs w:val="20"/>
        </w:rPr>
        <w:tab/>
      </w:r>
      <w:r w:rsidR="0053633F">
        <w:rPr>
          <w:rFonts w:ascii="Arial" w:hAnsi="Arial" w:cs="Arial"/>
          <w:bCs/>
          <w:sz w:val="20"/>
          <w:szCs w:val="20"/>
        </w:rPr>
        <w:tab/>
      </w:r>
      <w:r w:rsidR="0053633F">
        <w:rPr>
          <w:rFonts w:ascii="Arial" w:hAnsi="Arial" w:cs="Arial"/>
          <w:bCs/>
          <w:sz w:val="20"/>
          <w:szCs w:val="20"/>
        </w:rPr>
        <w:tab/>
      </w:r>
      <w:r w:rsidR="0053633F">
        <w:rPr>
          <w:rFonts w:ascii="Arial" w:hAnsi="Arial" w:cs="Arial"/>
          <w:bCs/>
          <w:sz w:val="20"/>
          <w:szCs w:val="20"/>
        </w:rPr>
        <w:tab/>
      </w:r>
      <w:r w:rsidR="0053633F">
        <w:rPr>
          <w:rFonts w:ascii="Arial" w:hAnsi="Arial" w:cs="Arial"/>
          <w:bCs/>
          <w:sz w:val="20"/>
          <w:szCs w:val="20"/>
        </w:rPr>
        <w:tab/>
      </w:r>
      <w:r w:rsidR="0053633F">
        <w:rPr>
          <w:rFonts w:ascii="Arial" w:hAnsi="Arial" w:cs="Arial"/>
          <w:bCs/>
          <w:sz w:val="20"/>
          <w:szCs w:val="20"/>
        </w:rPr>
        <w:tab/>
      </w:r>
      <w:r w:rsidR="0053633F">
        <w:rPr>
          <w:rFonts w:ascii="Arial" w:hAnsi="Arial" w:cs="Arial"/>
          <w:bCs/>
          <w:sz w:val="20"/>
          <w:szCs w:val="20"/>
        </w:rPr>
        <w:tab/>
      </w:r>
      <w:r w:rsidR="0053633F">
        <w:rPr>
          <w:rFonts w:ascii="Arial" w:hAnsi="Arial" w:cs="Arial"/>
          <w:bCs/>
          <w:sz w:val="20"/>
          <w:szCs w:val="20"/>
        </w:rPr>
        <w:tab/>
      </w:r>
      <w:r w:rsidR="0053633F">
        <w:rPr>
          <w:rFonts w:ascii="Arial" w:hAnsi="Arial" w:cs="Arial"/>
          <w:bCs/>
          <w:sz w:val="20"/>
          <w:szCs w:val="20"/>
        </w:rPr>
        <w:tab/>
      </w:r>
      <w:r w:rsidR="0053633F">
        <w:rPr>
          <w:rFonts w:ascii="Arial" w:hAnsi="Arial" w:cs="Arial"/>
          <w:bCs/>
          <w:sz w:val="20"/>
          <w:szCs w:val="20"/>
        </w:rPr>
        <w:tab/>
        <w:t>[1]</w:t>
      </w:r>
    </w:p>
    <w:p w14:paraId="3AFFB0A9" w14:textId="0CA8FC57" w:rsidR="00DD44E2" w:rsidRDefault="0053633F" w:rsidP="00CC6C24">
      <w:pPr>
        <w:rPr>
          <w:rFonts w:ascii="Arial" w:hAnsi="Arial" w:cs="Arial"/>
          <w:bCs/>
          <w:sz w:val="20"/>
          <w:szCs w:val="20"/>
        </w:rPr>
      </w:pPr>
      <w:r>
        <w:rPr>
          <w:rFonts w:ascii="Arial" w:hAnsi="Arial" w:cs="Arial"/>
          <w:bCs/>
          <w:sz w:val="20"/>
          <w:szCs w:val="20"/>
        </w:rPr>
        <w:t xml:space="preserve">Where </w:t>
      </w:r>
      <m:oMath>
        <m:r>
          <w:rPr>
            <w:rFonts w:ascii="Cambria Math" w:hAnsi="Cambria Math" w:cs="Arial"/>
            <w:sz w:val="20"/>
            <w:szCs w:val="20"/>
          </w:rPr>
          <m:t>V</m:t>
        </m:r>
      </m:oMath>
      <w:r>
        <w:rPr>
          <w:rFonts w:ascii="Arial" w:hAnsi="Arial" w:cs="Arial"/>
          <w:bCs/>
          <w:sz w:val="20"/>
          <w:szCs w:val="20"/>
        </w:rPr>
        <w:t xml:space="preserve"> is the kinematic viscosity, </w:t>
      </w:r>
      <m:oMath>
        <m:r>
          <w:rPr>
            <w:rFonts w:ascii="Cambria Math" w:hAnsi="Cambria Math" w:cs="Arial"/>
            <w:sz w:val="20"/>
            <w:szCs w:val="20"/>
          </w:rPr>
          <m:t>K</m:t>
        </m:r>
      </m:oMath>
      <w:r>
        <w:rPr>
          <w:rFonts w:ascii="Arial" w:hAnsi="Arial" w:cs="Arial"/>
          <w:bCs/>
          <w:sz w:val="20"/>
          <w:szCs w:val="20"/>
        </w:rPr>
        <w:t xml:space="preserve"> the viscometer constant and </w:t>
      </w:r>
      <m:oMath>
        <m:r>
          <w:rPr>
            <w:rFonts w:ascii="Cambria Math" w:hAnsi="Cambria Math" w:cs="Arial"/>
            <w:sz w:val="20"/>
            <w:szCs w:val="20"/>
          </w:rPr>
          <m:t>t</m:t>
        </m:r>
      </m:oMath>
      <w:r>
        <w:rPr>
          <w:rFonts w:ascii="Arial" w:hAnsi="Arial" w:cs="Arial"/>
          <w:bCs/>
          <w:sz w:val="20"/>
          <w:szCs w:val="20"/>
        </w:rPr>
        <w:t xml:space="preserve"> the flow time. </w:t>
      </w:r>
      <w:r w:rsidR="00B55397">
        <w:rPr>
          <w:rFonts w:ascii="Arial" w:hAnsi="Arial" w:cs="Arial"/>
          <w:bCs/>
          <w:sz w:val="20"/>
          <w:szCs w:val="20"/>
        </w:rPr>
        <w:t xml:space="preserve"> </w:t>
      </w:r>
    </w:p>
    <w:p w14:paraId="6030B84C" w14:textId="348BCCF7" w:rsidR="004961B4" w:rsidRDefault="004961B4" w:rsidP="00CC6C24">
      <w:pPr>
        <w:rPr>
          <w:rFonts w:ascii="Arial" w:hAnsi="Arial" w:cs="Arial"/>
          <w:bCs/>
          <w:sz w:val="20"/>
          <w:szCs w:val="20"/>
          <w:lang w:val="en-GB"/>
        </w:rPr>
      </w:pPr>
      <w:r w:rsidRPr="004961B4">
        <w:rPr>
          <w:rFonts w:ascii="Arial" w:hAnsi="Arial" w:cs="Arial"/>
          <w:bCs/>
          <w:sz w:val="20"/>
          <w:szCs w:val="20"/>
          <w:lang w:val="en-GB"/>
        </w:rPr>
        <w:t>The viscosity of dilute electrolyte solutions (</w:t>
      </w:r>
      <w:bookmarkStart w:id="17" w:name="_Hlk214114680"/>
      <w:r w:rsidRPr="004961B4">
        <w:rPr>
          <w:rFonts w:ascii="Arial" w:hAnsi="Arial" w:cs="Arial"/>
          <w:bCs/>
          <w:i/>
          <w:sz w:val="20"/>
          <w:szCs w:val="20"/>
          <w:lang w:val="en-GB"/>
        </w:rPr>
        <w:sym w:font="Symbol" w:char="F068"/>
      </w:r>
      <w:bookmarkEnd w:id="17"/>
      <w:r w:rsidRPr="004961B4">
        <w:rPr>
          <w:rFonts w:ascii="Arial" w:hAnsi="Arial" w:cs="Arial"/>
          <w:bCs/>
          <w:i/>
          <w:sz w:val="20"/>
          <w:szCs w:val="20"/>
          <w:vertAlign w:val="subscript"/>
          <w:lang w:val="en-GB"/>
        </w:rPr>
        <w:t>r</w:t>
      </w:r>
      <w:r w:rsidRPr="004961B4">
        <w:rPr>
          <w:rFonts w:ascii="Arial" w:hAnsi="Arial" w:cs="Arial"/>
          <w:bCs/>
          <w:i/>
          <w:sz w:val="20"/>
          <w:szCs w:val="20"/>
          <w:lang w:val="en-GB"/>
        </w:rPr>
        <w:t xml:space="preserve">), </w:t>
      </w:r>
      <w:r w:rsidRPr="004961B4">
        <w:rPr>
          <w:rFonts w:ascii="Arial" w:hAnsi="Arial" w:cs="Arial"/>
          <w:bCs/>
          <w:sz w:val="20"/>
          <w:szCs w:val="20"/>
          <w:lang w:val="en-GB"/>
        </w:rPr>
        <w:t>vary with concentration (</w:t>
      </w:r>
      <w:r w:rsidRPr="004961B4">
        <w:rPr>
          <w:rFonts w:ascii="Arial" w:hAnsi="Arial" w:cs="Arial"/>
          <w:bCs/>
          <w:i/>
          <w:sz w:val="20"/>
          <w:szCs w:val="20"/>
          <w:lang w:val="en-GB"/>
        </w:rPr>
        <w:t>c</w:t>
      </w:r>
      <w:r w:rsidRPr="004961B4">
        <w:rPr>
          <w:rFonts w:ascii="Arial" w:hAnsi="Arial" w:cs="Arial"/>
          <w:bCs/>
          <w:sz w:val="20"/>
          <w:szCs w:val="20"/>
          <w:lang w:val="en-GB"/>
        </w:rPr>
        <w:t>)</w:t>
      </w:r>
      <w:r w:rsidR="00240010">
        <w:rPr>
          <w:rFonts w:ascii="Arial" w:hAnsi="Arial" w:cs="Arial"/>
          <w:bCs/>
          <w:sz w:val="20"/>
          <w:szCs w:val="20"/>
          <w:lang w:val="en-GB"/>
        </w:rPr>
        <w:t>,</w:t>
      </w:r>
      <w:r w:rsidRPr="004961B4">
        <w:rPr>
          <w:rFonts w:ascii="Arial" w:hAnsi="Arial" w:cs="Arial"/>
          <w:bCs/>
          <w:sz w:val="20"/>
          <w:szCs w:val="20"/>
          <w:lang w:val="en-GB"/>
        </w:rPr>
        <w:t xml:space="preserve"> accord</w:t>
      </w:r>
      <w:r w:rsidR="00262DDE">
        <w:rPr>
          <w:rFonts w:ascii="Arial" w:hAnsi="Arial" w:cs="Arial"/>
          <w:bCs/>
          <w:sz w:val="20"/>
          <w:szCs w:val="20"/>
          <w:lang w:val="en-GB"/>
        </w:rPr>
        <w:t>ing to</w:t>
      </w:r>
      <w:r w:rsidRPr="004961B4">
        <w:rPr>
          <w:rFonts w:ascii="Arial" w:hAnsi="Arial" w:cs="Arial"/>
          <w:bCs/>
          <w:sz w:val="20"/>
          <w:szCs w:val="20"/>
          <w:lang w:val="en-GB"/>
        </w:rPr>
        <w:t xml:space="preserve"> the Jones-Dole equation (Jones &amp; Dole, 1929)</w:t>
      </w:r>
      <w:r>
        <w:rPr>
          <w:rFonts w:ascii="Arial" w:hAnsi="Arial" w:cs="Arial"/>
          <w:bCs/>
          <w:sz w:val="20"/>
          <w:szCs w:val="20"/>
          <w:lang w:val="en-GB"/>
        </w:rPr>
        <w:t xml:space="preserve">. </w:t>
      </w:r>
    </w:p>
    <w:bookmarkStart w:id="18" w:name="_Hlk214116174"/>
    <w:p w14:paraId="0F11CC6B" w14:textId="7ABBCD1C" w:rsidR="00DD44E2" w:rsidRDefault="00702B22" w:rsidP="00CC6C24">
      <w:pPr>
        <w:rPr>
          <w:rFonts w:ascii="Arial" w:hAnsi="Arial" w:cs="Arial"/>
          <w:bCs/>
          <w:sz w:val="20"/>
          <w:szCs w:val="20"/>
          <w:lang w:val="en-GB"/>
        </w:rPr>
      </w:pPr>
      <m:oMath>
        <m:sSub>
          <m:sSubPr>
            <m:ctrlPr>
              <w:rPr>
                <w:rFonts w:ascii="Cambria Math" w:hAnsi="Cambria Math" w:cs="Arial"/>
                <w:bCs/>
                <w:i/>
                <w:sz w:val="20"/>
                <w:szCs w:val="20"/>
                <w:lang w:val="en-GB"/>
              </w:rPr>
            </m:ctrlPr>
          </m:sSubPr>
          <m:e>
            <m:r>
              <w:rPr>
                <w:rFonts w:ascii="Cambria Math" w:hAnsi="Cambria Math" w:cs="Arial"/>
                <w:bCs/>
                <w:i/>
                <w:sz w:val="20"/>
                <w:szCs w:val="20"/>
                <w:lang w:val="en-GB"/>
              </w:rPr>
              <w:sym w:font="Symbol" w:char="F068"/>
            </m:r>
          </m:e>
          <m:sub>
            <m:r>
              <w:rPr>
                <w:rFonts w:ascii="Cambria Math" w:hAnsi="Cambria Math" w:cs="Arial"/>
                <w:sz w:val="20"/>
                <w:szCs w:val="20"/>
                <w:vertAlign w:val="subscript"/>
                <w:lang w:val="en-GB"/>
              </w:rPr>
              <m:t>r</m:t>
            </m:r>
          </m:sub>
        </m:sSub>
        <w:bookmarkEnd w:id="18"/>
        <m:r>
          <w:rPr>
            <w:rFonts w:ascii="Cambria Math" w:hAnsi="Cambria Math" w:cs="Arial"/>
            <w:sz w:val="20"/>
            <w:szCs w:val="20"/>
            <w:lang w:val="en-GB"/>
          </w:rPr>
          <m:t>=</m:t>
        </m:r>
        <m:f>
          <m:fPr>
            <m:ctrlPr>
              <w:rPr>
                <w:rFonts w:ascii="Cambria Math" w:hAnsi="Cambria Math" w:cs="Arial"/>
                <w:bCs/>
                <w:i/>
                <w:sz w:val="20"/>
                <w:szCs w:val="20"/>
                <w:lang w:val="en-GB"/>
              </w:rPr>
            </m:ctrlPr>
          </m:fPr>
          <m:num>
            <w:bookmarkStart w:id="19" w:name="_Hlk214114755"/>
            <m:r>
              <w:rPr>
                <w:rFonts w:ascii="Cambria Math" w:hAnsi="Cambria Math" w:cs="Arial"/>
                <w:bCs/>
                <w:i/>
                <w:sz w:val="20"/>
                <w:szCs w:val="20"/>
                <w:lang w:val="en-GB"/>
              </w:rPr>
              <w:sym w:font="Symbol" w:char="F068"/>
            </m:r>
            <w:bookmarkEnd w:id="19"/>
          </m:num>
          <m:den>
            <w:bookmarkStart w:id="20" w:name="_Hlk214115235"/>
            <m:sSub>
              <m:sSubPr>
                <m:ctrlPr>
                  <w:rPr>
                    <w:rFonts w:ascii="Cambria Math" w:hAnsi="Cambria Math" w:cs="Arial"/>
                    <w:bCs/>
                    <w:i/>
                    <w:sz w:val="20"/>
                    <w:szCs w:val="20"/>
                    <w:lang w:val="en-GB"/>
                  </w:rPr>
                </m:ctrlPr>
              </m:sSubPr>
              <m:e>
                <m:r>
                  <w:rPr>
                    <w:rFonts w:ascii="Cambria Math" w:hAnsi="Cambria Math" w:cs="Arial"/>
                    <w:bCs/>
                    <w:i/>
                    <w:sz w:val="20"/>
                    <w:szCs w:val="20"/>
                    <w:lang w:val="en-GB"/>
                  </w:rPr>
                  <w:sym w:font="Symbol" w:char="F068"/>
                </m:r>
              </m:e>
              <m:sub>
                <m:r>
                  <w:rPr>
                    <w:rFonts w:ascii="Cambria Math" w:hAnsi="Cambria Math" w:cs="Arial"/>
                    <w:sz w:val="20"/>
                    <w:szCs w:val="20"/>
                    <w:lang w:val="en-GB"/>
                  </w:rPr>
                  <m:t>ₒ</m:t>
                </m:r>
              </m:sub>
            </m:sSub>
            <w:bookmarkEnd w:id="20"/>
          </m:den>
        </m:f>
        <m:r>
          <w:rPr>
            <w:rFonts w:ascii="Cambria Math" w:hAnsi="Cambria Math" w:cs="Arial"/>
            <w:sz w:val="20"/>
            <w:szCs w:val="20"/>
            <w:lang w:val="en-GB"/>
          </w:rPr>
          <m:t>=1+</m:t>
        </m:r>
        <m:sSup>
          <m:sSupPr>
            <m:ctrlPr>
              <w:rPr>
                <w:rFonts w:ascii="Cambria Math" w:hAnsi="Cambria Math" w:cs="Arial"/>
                <w:bCs/>
                <w:i/>
                <w:sz w:val="20"/>
                <w:szCs w:val="20"/>
                <w:lang w:val="en-GB"/>
              </w:rPr>
            </m:ctrlPr>
          </m:sSupPr>
          <m:e>
            <w:bookmarkStart w:id="21" w:name="_Hlk214115475"/>
            <m:r>
              <w:rPr>
                <w:rFonts w:ascii="Cambria Math" w:hAnsi="Cambria Math" w:cs="Arial"/>
                <w:sz w:val="20"/>
                <w:szCs w:val="20"/>
                <w:lang w:val="en-GB"/>
              </w:rPr>
              <m:t>A</m:t>
            </m:r>
            <w:bookmarkEnd w:id="21"/>
            <m:r>
              <w:rPr>
                <w:rFonts w:ascii="Cambria Math" w:hAnsi="Cambria Math" w:cs="Arial"/>
                <w:sz w:val="20"/>
                <w:szCs w:val="20"/>
                <w:lang w:val="en-GB"/>
              </w:rPr>
              <m:t>C</m:t>
            </m:r>
          </m:e>
          <m:sup>
            <m:f>
              <m:fPr>
                <m:ctrlPr>
                  <w:rPr>
                    <w:rFonts w:ascii="Cambria Math" w:hAnsi="Cambria Math" w:cs="Arial"/>
                    <w:bCs/>
                    <w:i/>
                    <w:sz w:val="20"/>
                    <w:szCs w:val="20"/>
                    <w:lang w:val="en-GB"/>
                  </w:rPr>
                </m:ctrlPr>
              </m:fPr>
              <m:num>
                <m:r>
                  <w:rPr>
                    <w:rFonts w:ascii="Cambria Math" w:hAnsi="Cambria Math" w:cs="Arial"/>
                    <w:sz w:val="20"/>
                    <w:szCs w:val="20"/>
                    <w:lang w:val="en-GB"/>
                  </w:rPr>
                  <m:t>1</m:t>
                </m:r>
              </m:num>
              <m:den>
                <m:r>
                  <w:rPr>
                    <w:rFonts w:ascii="Cambria Math" w:hAnsi="Cambria Math" w:cs="Arial"/>
                    <w:sz w:val="20"/>
                    <w:szCs w:val="20"/>
                    <w:lang w:val="en-GB"/>
                  </w:rPr>
                  <m:t>2</m:t>
                </m:r>
              </m:den>
            </m:f>
          </m:sup>
        </m:sSup>
        <m:r>
          <w:rPr>
            <w:rFonts w:ascii="Cambria Math" w:hAnsi="Cambria Math" w:cs="Arial"/>
            <w:sz w:val="20"/>
            <w:szCs w:val="20"/>
            <w:lang w:val="en-GB"/>
          </w:rPr>
          <m:t>+</m:t>
        </m:r>
        <w:bookmarkStart w:id="22" w:name="_Hlk214115499"/>
        <m:r>
          <w:rPr>
            <w:rFonts w:ascii="Cambria Math" w:hAnsi="Cambria Math" w:cs="Arial"/>
            <w:sz w:val="20"/>
            <w:szCs w:val="20"/>
            <w:lang w:val="en-GB"/>
          </w:rPr>
          <m:t>B</m:t>
        </m:r>
        <w:bookmarkEnd w:id="22"/>
        <m:r>
          <w:rPr>
            <w:rFonts w:ascii="Cambria Math" w:hAnsi="Cambria Math" w:cs="Arial"/>
            <w:sz w:val="20"/>
            <w:szCs w:val="20"/>
            <w:lang w:val="en-GB"/>
          </w:rPr>
          <m:t>C</m:t>
        </m:r>
      </m:oMath>
      <w:r w:rsidR="00A26769">
        <w:rPr>
          <w:rFonts w:ascii="Arial" w:hAnsi="Arial" w:cs="Arial"/>
          <w:bCs/>
          <w:sz w:val="20"/>
          <w:szCs w:val="20"/>
          <w:lang w:val="en-GB"/>
        </w:rPr>
        <w:tab/>
      </w:r>
      <w:r w:rsidR="00A26769">
        <w:rPr>
          <w:rFonts w:ascii="Arial" w:hAnsi="Arial" w:cs="Arial"/>
          <w:bCs/>
          <w:sz w:val="20"/>
          <w:szCs w:val="20"/>
          <w:lang w:val="en-GB"/>
        </w:rPr>
        <w:tab/>
      </w:r>
      <w:r w:rsidR="00A26769">
        <w:rPr>
          <w:rFonts w:ascii="Arial" w:hAnsi="Arial" w:cs="Arial"/>
          <w:bCs/>
          <w:sz w:val="20"/>
          <w:szCs w:val="20"/>
          <w:lang w:val="en-GB"/>
        </w:rPr>
        <w:tab/>
      </w:r>
      <w:r w:rsidR="00A26769">
        <w:rPr>
          <w:rFonts w:ascii="Arial" w:hAnsi="Arial" w:cs="Arial"/>
          <w:bCs/>
          <w:sz w:val="20"/>
          <w:szCs w:val="20"/>
          <w:lang w:val="en-GB"/>
        </w:rPr>
        <w:tab/>
      </w:r>
      <w:r w:rsidR="00A26769">
        <w:rPr>
          <w:rFonts w:ascii="Arial" w:hAnsi="Arial" w:cs="Arial"/>
          <w:bCs/>
          <w:sz w:val="20"/>
          <w:szCs w:val="20"/>
          <w:lang w:val="en-GB"/>
        </w:rPr>
        <w:tab/>
      </w:r>
      <w:r w:rsidR="00A26769">
        <w:rPr>
          <w:rFonts w:ascii="Arial" w:hAnsi="Arial" w:cs="Arial"/>
          <w:bCs/>
          <w:sz w:val="20"/>
          <w:szCs w:val="20"/>
          <w:lang w:val="en-GB"/>
        </w:rPr>
        <w:tab/>
      </w:r>
      <w:r w:rsidR="00A26769">
        <w:rPr>
          <w:rFonts w:ascii="Arial" w:hAnsi="Arial" w:cs="Arial"/>
          <w:bCs/>
          <w:sz w:val="20"/>
          <w:szCs w:val="20"/>
          <w:lang w:val="en-GB"/>
        </w:rPr>
        <w:tab/>
      </w:r>
      <w:r w:rsidR="00A26769">
        <w:rPr>
          <w:rFonts w:ascii="Arial" w:hAnsi="Arial" w:cs="Arial"/>
          <w:bCs/>
          <w:sz w:val="20"/>
          <w:szCs w:val="20"/>
          <w:lang w:val="en-GB"/>
        </w:rPr>
        <w:tab/>
      </w:r>
      <w:r w:rsidR="00A26769">
        <w:rPr>
          <w:rFonts w:ascii="Arial" w:hAnsi="Arial" w:cs="Arial"/>
          <w:bCs/>
          <w:sz w:val="20"/>
          <w:szCs w:val="20"/>
          <w:lang w:val="en-GB"/>
        </w:rPr>
        <w:tab/>
        <w:t>[</w:t>
      </w:r>
      <w:r w:rsidR="0074425F">
        <w:rPr>
          <w:rFonts w:ascii="Arial" w:hAnsi="Arial" w:cs="Arial"/>
          <w:bCs/>
          <w:sz w:val="20"/>
          <w:szCs w:val="20"/>
          <w:lang w:val="en-GB"/>
        </w:rPr>
        <w:t>2</w:t>
      </w:r>
      <w:r w:rsidR="00A26769">
        <w:rPr>
          <w:rFonts w:ascii="Arial" w:hAnsi="Arial" w:cs="Arial"/>
          <w:bCs/>
          <w:sz w:val="20"/>
          <w:szCs w:val="20"/>
          <w:lang w:val="en-GB"/>
        </w:rPr>
        <w:t>]</w:t>
      </w:r>
    </w:p>
    <w:p w14:paraId="1560D2E0" w14:textId="38DBE2C3" w:rsidR="00A3207D" w:rsidRDefault="00D34D62" w:rsidP="00CC6C24">
      <w:pPr>
        <w:rPr>
          <w:rFonts w:ascii="Arial" w:hAnsi="Arial" w:cs="Arial"/>
          <w:bCs/>
          <w:sz w:val="20"/>
          <w:szCs w:val="20"/>
          <w:lang w:val="en-GB"/>
        </w:rPr>
      </w:pPr>
      <w:r>
        <w:rPr>
          <w:rFonts w:ascii="Arial" w:hAnsi="Arial" w:cs="Arial"/>
          <w:bCs/>
          <w:sz w:val="20"/>
          <w:szCs w:val="20"/>
          <w:lang w:val="en-GB"/>
        </w:rPr>
        <w:t>Where</w:t>
      </w:r>
      <w:bookmarkStart w:id="23" w:name="_Hlk214117599"/>
      <m:oMath>
        <m:sSub>
          <m:sSubPr>
            <m:ctrlPr>
              <w:rPr>
                <w:rFonts w:ascii="Cambria Math" w:hAnsi="Cambria Math" w:cs="Arial"/>
                <w:bCs/>
                <w:i/>
                <w:sz w:val="20"/>
                <w:szCs w:val="20"/>
                <w:lang w:val="en-GB"/>
              </w:rPr>
            </m:ctrlPr>
          </m:sSubPr>
          <m:e>
            <m:r>
              <w:rPr>
                <w:rFonts w:ascii="Cambria Math" w:hAnsi="Cambria Math" w:cs="Arial"/>
                <w:bCs/>
                <w:i/>
                <w:sz w:val="20"/>
                <w:szCs w:val="20"/>
                <w:lang w:val="en-GB"/>
              </w:rPr>
              <w:sym w:font="Symbol" w:char="F068"/>
            </m:r>
          </m:e>
          <m:sub>
            <m:r>
              <w:rPr>
                <w:rFonts w:ascii="Cambria Math" w:hAnsi="Cambria Math" w:cs="Arial"/>
                <w:sz w:val="20"/>
                <w:szCs w:val="20"/>
                <w:vertAlign w:val="subscript"/>
                <w:lang w:val="en-GB"/>
              </w:rPr>
              <m:t>r</m:t>
            </m:r>
          </m:sub>
        </m:sSub>
      </m:oMath>
      <w:bookmarkEnd w:id="23"/>
      <w:r w:rsidR="00E469DC">
        <w:rPr>
          <w:rFonts w:ascii="Arial" w:hAnsi="Arial" w:cs="Arial"/>
          <w:bCs/>
          <w:sz w:val="20"/>
          <w:szCs w:val="20"/>
          <w:lang w:val="en-GB"/>
        </w:rPr>
        <w:t xml:space="preserve">, </w:t>
      </w:r>
      <m:oMath>
        <m:r>
          <w:rPr>
            <w:rFonts w:ascii="Cambria Math" w:hAnsi="Cambria Math" w:cs="Arial"/>
            <w:bCs/>
            <w:i/>
            <w:sz w:val="20"/>
            <w:szCs w:val="20"/>
            <w:lang w:val="en-GB"/>
          </w:rPr>
          <w:sym w:font="Symbol" w:char="F068"/>
        </m:r>
        <m:r>
          <w:rPr>
            <w:rFonts w:ascii="Cambria Math" w:hAnsi="Arial" w:cs="Arial"/>
            <w:sz w:val="20"/>
            <w:szCs w:val="20"/>
            <w:lang w:val="en-GB"/>
          </w:rPr>
          <m:t xml:space="preserve">, </m:t>
        </m:r>
        <m:sSub>
          <m:sSubPr>
            <m:ctrlPr>
              <w:rPr>
                <w:rFonts w:ascii="Cambria Math" w:hAnsi="Cambria Math" w:cs="Arial"/>
                <w:bCs/>
                <w:i/>
                <w:sz w:val="20"/>
                <w:szCs w:val="20"/>
                <w:lang w:val="en-GB"/>
              </w:rPr>
            </m:ctrlPr>
          </m:sSubPr>
          <m:e>
            <m:r>
              <w:rPr>
                <w:rFonts w:ascii="Cambria Math" w:hAnsi="Cambria Math" w:cs="Arial"/>
                <w:bCs/>
                <w:i/>
                <w:sz w:val="20"/>
                <w:szCs w:val="20"/>
                <w:lang w:val="en-GB"/>
              </w:rPr>
              <w:sym w:font="Symbol" w:char="F068"/>
            </m:r>
          </m:e>
          <m:sub>
            <m:r>
              <w:rPr>
                <w:rFonts w:ascii="Cambria Math" w:hAnsi="Cambria Math" w:cs="Arial"/>
                <w:sz w:val="20"/>
                <w:szCs w:val="20"/>
                <w:lang w:val="en-GB"/>
              </w:rPr>
              <m:t>ₒ</m:t>
            </m:r>
          </m:sub>
        </m:sSub>
        <m:r>
          <w:rPr>
            <w:rFonts w:ascii="Cambria Math" w:hAnsi="Arial" w:cs="Arial"/>
            <w:sz w:val="20"/>
            <w:szCs w:val="20"/>
            <w:lang w:val="en-GB"/>
          </w:rPr>
          <m:t xml:space="preserve">, </m:t>
        </m:r>
        <w:bookmarkStart w:id="24" w:name="_Hlk214115982"/>
        <w:bookmarkStart w:id="25" w:name="_Hlk214117431"/>
        <m:r>
          <w:rPr>
            <w:rFonts w:ascii="Cambria Math" w:hAnsi="Cambria Math" w:cs="Arial"/>
            <w:sz w:val="20"/>
            <w:szCs w:val="20"/>
            <w:lang w:val="en-GB"/>
          </w:rPr>
          <m:t>A</m:t>
        </m:r>
      </m:oMath>
      <w:bookmarkEnd w:id="24"/>
      <w:r>
        <w:rPr>
          <w:rFonts w:ascii="Arial" w:hAnsi="Arial" w:cs="Arial"/>
          <w:bCs/>
          <w:sz w:val="20"/>
          <w:szCs w:val="20"/>
          <w:lang w:val="en-GB"/>
        </w:rPr>
        <w:t xml:space="preserve"> and </w:t>
      </w:r>
      <w:bookmarkStart w:id="26" w:name="_Hlk214115998"/>
      <m:oMath>
        <m:r>
          <w:rPr>
            <w:rFonts w:ascii="Cambria Math" w:hAnsi="Cambria Math" w:cs="Arial"/>
            <w:sz w:val="20"/>
            <w:szCs w:val="20"/>
            <w:lang w:val="en-GB"/>
          </w:rPr>
          <m:t>B</m:t>
        </m:r>
      </m:oMath>
      <w:bookmarkEnd w:id="26"/>
      <w:r>
        <w:rPr>
          <w:rFonts w:ascii="Arial" w:hAnsi="Arial" w:cs="Arial"/>
          <w:bCs/>
          <w:sz w:val="20"/>
          <w:szCs w:val="20"/>
          <w:lang w:val="en-GB"/>
        </w:rPr>
        <w:t xml:space="preserve"> </w:t>
      </w:r>
      <w:bookmarkEnd w:id="25"/>
      <w:r>
        <w:rPr>
          <w:rFonts w:ascii="Arial" w:hAnsi="Arial" w:cs="Arial"/>
          <w:bCs/>
          <w:sz w:val="20"/>
          <w:szCs w:val="20"/>
          <w:lang w:val="en-GB"/>
        </w:rPr>
        <w:t xml:space="preserve">are respectively </w:t>
      </w:r>
      <w:r w:rsidR="00E469DC">
        <w:rPr>
          <w:rFonts w:ascii="Arial" w:hAnsi="Arial" w:cs="Arial"/>
          <w:bCs/>
          <w:sz w:val="20"/>
          <w:szCs w:val="20"/>
          <w:lang w:val="en-GB"/>
        </w:rPr>
        <w:t xml:space="preserve">the relative viscosity, viscosity of solution, solvent and the viscosity </w:t>
      </w:r>
      <m:oMath>
        <m:r>
          <w:rPr>
            <w:rFonts w:ascii="Cambria Math" w:hAnsi="Cambria Math" w:cs="Arial"/>
            <w:sz w:val="20"/>
            <w:szCs w:val="20"/>
            <w:lang w:val="en-GB"/>
          </w:rPr>
          <m:t>A</m:t>
        </m:r>
      </m:oMath>
      <w:r w:rsidR="00E469DC">
        <w:rPr>
          <w:rFonts w:ascii="Arial" w:hAnsi="Arial" w:cs="Arial"/>
          <w:bCs/>
          <w:sz w:val="20"/>
          <w:szCs w:val="20"/>
          <w:lang w:val="en-GB"/>
        </w:rPr>
        <w:t xml:space="preserve"> and </w:t>
      </w:r>
      <m:oMath>
        <m:r>
          <w:rPr>
            <w:rFonts w:ascii="Cambria Math" w:hAnsi="Cambria Math" w:cs="Arial"/>
            <w:sz w:val="20"/>
            <w:szCs w:val="20"/>
            <w:lang w:val="en-GB"/>
          </w:rPr>
          <m:t>B</m:t>
        </m:r>
      </m:oMath>
      <w:r w:rsidR="00E469DC">
        <w:rPr>
          <w:rFonts w:ascii="Arial" w:hAnsi="Arial" w:cs="Arial"/>
          <w:bCs/>
          <w:sz w:val="20"/>
          <w:szCs w:val="20"/>
          <w:lang w:val="en-GB"/>
        </w:rPr>
        <w:t xml:space="preserve"> coefficients. </w:t>
      </w:r>
    </w:p>
    <w:p w14:paraId="66972E07" w14:textId="77777777" w:rsidR="00DD44E2" w:rsidRDefault="00DD44E2" w:rsidP="00CC6C24">
      <w:pPr>
        <w:rPr>
          <w:rFonts w:ascii="Arial" w:hAnsi="Arial" w:cs="Arial"/>
          <w:bCs/>
          <w:sz w:val="20"/>
          <w:szCs w:val="20"/>
          <w:lang w:val="en-GB"/>
        </w:rPr>
      </w:pPr>
    </w:p>
    <w:p w14:paraId="794D82BD" w14:textId="77777777" w:rsidR="00DD44E2" w:rsidRPr="00DD44E2" w:rsidRDefault="00DD44E2" w:rsidP="00DD44E2">
      <w:pPr>
        <w:rPr>
          <w:rFonts w:ascii="Arial" w:hAnsi="Arial" w:cs="Arial"/>
          <w:b/>
          <w:bCs/>
          <w:sz w:val="20"/>
          <w:szCs w:val="20"/>
        </w:rPr>
      </w:pPr>
      <w:r w:rsidRPr="00DD44E2">
        <w:rPr>
          <w:rFonts w:ascii="Arial" w:hAnsi="Arial" w:cs="Arial"/>
          <w:b/>
          <w:bCs/>
          <w:sz w:val="20"/>
          <w:szCs w:val="20"/>
        </w:rPr>
        <w:t>2.2 VISCOSITY MEASUREMENTS</w:t>
      </w:r>
    </w:p>
    <w:p w14:paraId="3F076F15" w14:textId="0C66EBF4" w:rsidR="00A3207D" w:rsidRDefault="00DD44E2" w:rsidP="00CC6C24">
      <w:pPr>
        <w:rPr>
          <w:rFonts w:ascii="Arial" w:hAnsi="Arial" w:cs="Arial"/>
          <w:bCs/>
          <w:sz w:val="20"/>
          <w:szCs w:val="20"/>
          <w:lang w:val="en-GB"/>
        </w:rPr>
      </w:pPr>
      <w:r w:rsidRPr="00DD44E2">
        <w:rPr>
          <w:rFonts w:ascii="Arial" w:hAnsi="Arial" w:cs="Arial"/>
          <w:bCs/>
          <w:sz w:val="20"/>
          <w:szCs w:val="20"/>
        </w:rPr>
        <w:t xml:space="preserve">The viscometer was secured with clamps in a reproducible vertical position. </w:t>
      </w:r>
      <w:r w:rsidR="002E4B28">
        <w:rPr>
          <w:rFonts w:ascii="Arial" w:hAnsi="Arial" w:cs="Arial"/>
          <w:bCs/>
          <w:sz w:val="20"/>
          <w:szCs w:val="20"/>
        </w:rPr>
        <w:t>Prior to undertaking</w:t>
      </w:r>
      <w:r w:rsidRPr="00DD44E2">
        <w:rPr>
          <w:rFonts w:ascii="Arial" w:hAnsi="Arial" w:cs="Arial"/>
          <w:bCs/>
          <w:sz w:val="20"/>
          <w:szCs w:val="20"/>
        </w:rPr>
        <w:t xml:space="preserve"> each set of measurements, the viscometer was thoroughly cleaned and solutions for measurements were filtered to remove dust before loading into the viscometer. A </w:t>
      </w:r>
      <w:r w:rsidR="009023EA">
        <w:rPr>
          <w:rFonts w:ascii="Arial" w:hAnsi="Arial" w:cs="Arial"/>
          <w:bCs/>
          <w:sz w:val="20"/>
          <w:szCs w:val="20"/>
        </w:rPr>
        <w:t>stopwatch</w:t>
      </w:r>
      <w:r w:rsidRPr="00DD44E2">
        <w:rPr>
          <w:rFonts w:ascii="Arial" w:hAnsi="Arial" w:cs="Arial"/>
          <w:bCs/>
          <w:sz w:val="20"/>
          <w:szCs w:val="20"/>
        </w:rPr>
        <w:t xml:space="preserve"> was used </w:t>
      </w:r>
      <w:r w:rsidR="00B2579F">
        <w:rPr>
          <w:rFonts w:ascii="Arial" w:hAnsi="Arial" w:cs="Arial"/>
          <w:bCs/>
          <w:sz w:val="20"/>
          <w:szCs w:val="20"/>
        </w:rPr>
        <w:t xml:space="preserve">to monitor the time </w:t>
      </w:r>
      <w:r w:rsidRPr="00DD44E2">
        <w:rPr>
          <w:rFonts w:ascii="Arial" w:hAnsi="Arial" w:cs="Arial"/>
          <w:bCs/>
          <w:sz w:val="20"/>
          <w:szCs w:val="20"/>
        </w:rPr>
        <w:t>and measurements were repeated until three sets of results</w:t>
      </w:r>
      <w:r w:rsidR="002E4B28">
        <w:rPr>
          <w:rFonts w:ascii="Arial" w:hAnsi="Arial" w:cs="Arial"/>
          <w:bCs/>
          <w:sz w:val="20"/>
          <w:szCs w:val="20"/>
        </w:rPr>
        <w:t xml:space="preserve"> were obtained</w:t>
      </w:r>
      <w:r>
        <w:rPr>
          <w:rFonts w:ascii="Arial" w:hAnsi="Arial" w:cs="Arial"/>
          <w:bCs/>
          <w:sz w:val="20"/>
          <w:szCs w:val="20"/>
        </w:rPr>
        <w:t xml:space="preserve">. </w:t>
      </w:r>
      <w:r w:rsidRPr="00DD44E2">
        <w:rPr>
          <w:rFonts w:ascii="Arial" w:hAnsi="Arial" w:cs="Arial"/>
          <w:bCs/>
          <w:sz w:val="20"/>
          <w:szCs w:val="20"/>
          <w:lang w:val="en-GB"/>
        </w:rPr>
        <w:t xml:space="preserve">The viscosity date </w:t>
      </w:r>
      <w:r w:rsidR="00B2579F">
        <w:rPr>
          <w:rFonts w:ascii="Arial" w:hAnsi="Arial" w:cs="Arial"/>
          <w:bCs/>
          <w:sz w:val="20"/>
          <w:szCs w:val="20"/>
          <w:lang w:val="en-GB"/>
        </w:rPr>
        <w:t xml:space="preserve">obtained </w:t>
      </w:r>
      <w:r w:rsidRPr="00DD44E2">
        <w:rPr>
          <w:rFonts w:ascii="Arial" w:hAnsi="Arial" w:cs="Arial"/>
          <w:bCs/>
          <w:sz w:val="20"/>
          <w:szCs w:val="20"/>
          <w:lang w:val="en-GB"/>
        </w:rPr>
        <w:t xml:space="preserve">was used to determine the </w:t>
      </w:r>
      <m:oMath>
        <m:r>
          <w:rPr>
            <w:rFonts w:ascii="Cambria Math" w:hAnsi="Cambria Math" w:cs="Arial"/>
            <w:sz w:val="20"/>
            <w:szCs w:val="20"/>
            <w:lang w:val="en-GB"/>
          </w:rPr>
          <m:t>A</m:t>
        </m:r>
      </m:oMath>
      <w:r w:rsidRPr="00DD44E2">
        <w:rPr>
          <w:rFonts w:ascii="Arial" w:hAnsi="Arial" w:cs="Arial"/>
          <w:bCs/>
          <w:sz w:val="20"/>
          <w:szCs w:val="20"/>
          <w:lang w:val="en-GB"/>
        </w:rPr>
        <w:t xml:space="preserve"> and </w:t>
      </w:r>
      <m:oMath>
        <m:r>
          <w:rPr>
            <w:rFonts w:ascii="Cambria Math" w:hAnsi="Cambria Math" w:cs="Arial"/>
            <w:sz w:val="20"/>
            <w:szCs w:val="20"/>
            <w:lang w:val="en-GB"/>
          </w:rPr>
          <m:t>B</m:t>
        </m:r>
      </m:oMath>
      <w:r w:rsidRPr="00DD44E2">
        <w:rPr>
          <w:rFonts w:ascii="Arial" w:hAnsi="Arial" w:cs="Arial"/>
          <w:bCs/>
          <w:sz w:val="20"/>
          <w:szCs w:val="20"/>
          <w:lang w:val="en-GB"/>
        </w:rPr>
        <w:t xml:space="preserve"> coefficients with the help of the plot of </w:t>
      </w:r>
      <m:oMath>
        <m:r>
          <w:rPr>
            <w:rFonts w:ascii="Cambria Math" w:hAnsi="Cambria Math" w:cs="Arial"/>
            <w:sz w:val="20"/>
            <w:szCs w:val="20"/>
            <w:lang w:val="en-GB"/>
          </w:rPr>
          <m:t>(</m:t>
        </m:r>
        <w:bookmarkStart w:id="27" w:name="_Hlk214733370"/>
        <m:sSub>
          <m:sSubPr>
            <m:ctrlPr>
              <w:rPr>
                <w:rFonts w:ascii="Cambria Math" w:hAnsi="Cambria Math" w:cs="Arial"/>
                <w:bCs/>
                <w:i/>
                <w:sz w:val="20"/>
                <w:szCs w:val="20"/>
                <w:lang w:val="en-GB"/>
              </w:rPr>
            </m:ctrlPr>
          </m:sSubPr>
          <m:e>
            <m:r>
              <w:rPr>
                <w:rFonts w:ascii="Cambria Math" w:hAnsi="Cambria Math" w:cs="Arial"/>
                <w:bCs/>
                <w:i/>
                <w:sz w:val="20"/>
                <w:szCs w:val="20"/>
                <w:lang w:val="en-GB"/>
              </w:rPr>
              <w:sym w:font="Symbol" w:char="F068"/>
            </m:r>
          </m:e>
          <m:sub>
            <m:r>
              <w:rPr>
                <w:rFonts w:ascii="Cambria Math" w:hAnsi="Cambria Math" w:cs="Arial"/>
                <w:sz w:val="20"/>
                <w:szCs w:val="20"/>
                <w:vertAlign w:val="subscript"/>
                <w:lang w:val="en-GB"/>
              </w:rPr>
              <m:t>r</m:t>
            </m:r>
          </m:sub>
        </m:sSub>
        <w:bookmarkEnd w:id="27"/>
        <m:r>
          <w:rPr>
            <w:rFonts w:ascii="Cambria Math" w:hAnsi="Cambria Math" w:cs="Arial"/>
            <w:sz w:val="20"/>
            <w:szCs w:val="20"/>
            <w:lang w:val="en-GB"/>
          </w:rPr>
          <m:t>-1)/</m:t>
        </m:r>
        <w:bookmarkStart w:id="28" w:name="_Hlk214733408"/>
        <w:bookmarkStart w:id="29" w:name="_Hlk214117738"/>
        <m:sSup>
          <m:sSupPr>
            <m:ctrlPr>
              <w:rPr>
                <w:rFonts w:ascii="Cambria Math" w:hAnsi="Cambria Math" w:cs="Arial"/>
                <w:bCs/>
                <w:i/>
                <w:sz w:val="20"/>
                <w:szCs w:val="20"/>
                <w:lang w:val="en-GB"/>
              </w:rPr>
            </m:ctrlPr>
          </m:sSupPr>
          <m:e>
            <m:r>
              <w:rPr>
                <w:rFonts w:ascii="Cambria Math" w:hAnsi="Cambria Math" w:cs="Arial"/>
                <w:sz w:val="20"/>
                <w:szCs w:val="20"/>
                <w:lang w:val="en-GB"/>
              </w:rPr>
              <m:t>C</m:t>
            </m:r>
          </m:e>
          <m:sup>
            <m:r>
              <w:rPr>
                <w:rFonts w:ascii="Cambria Math" w:hAnsi="Cambria Math" w:cs="Arial"/>
                <w:sz w:val="20"/>
                <w:szCs w:val="20"/>
                <w:lang w:val="en-GB"/>
              </w:rPr>
              <m:t>1/2</m:t>
            </m:r>
          </m:sup>
        </m:sSup>
        <w:bookmarkEnd w:id="28"/>
        <m:r>
          <w:rPr>
            <w:rFonts w:ascii="Cambria Math" w:hAnsi="Cambria Math" w:cs="Arial"/>
            <w:sz w:val="20"/>
            <w:szCs w:val="20"/>
            <w:lang w:val="en-GB"/>
          </w:rPr>
          <m:t xml:space="preserve"> </m:t>
        </m:r>
      </m:oMath>
      <w:bookmarkEnd w:id="29"/>
      <w:r w:rsidRPr="00DD44E2">
        <w:rPr>
          <w:rFonts w:ascii="Arial" w:hAnsi="Arial" w:cs="Arial"/>
          <w:bCs/>
          <w:sz w:val="20"/>
          <w:szCs w:val="20"/>
          <w:lang w:val="en-GB"/>
        </w:rPr>
        <w:t xml:space="preserve">against </w:t>
      </w:r>
      <m:oMath>
        <m:sSup>
          <m:sSupPr>
            <m:ctrlPr>
              <w:rPr>
                <w:rFonts w:ascii="Cambria Math" w:hAnsi="Cambria Math" w:cs="Arial"/>
                <w:bCs/>
                <w:i/>
                <w:sz w:val="20"/>
                <w:szCs w:val="20"/>
                <w:lang w:val="en-GB"/>
              </w:rPr>
            </m:ctrlPr>
          </m:sSupPr>
          <m:e>
            <m:r>
              <w:rPr>
                <w:rFonts w:ascii="Cambria Math" w:hAnsi="Cambria Math" w:cs="Arial"/>
                <w:sz w:val="20"/>
                <w:szCs w:val="20"/>
                <w:lang w:val="en-GB"/>
              </w:rPr>
              <m:t>C</m:t>
            </m:r>
          </m:e>
          <m:sup>
            <m:r>
              <w:rPr>
                <w:rFonts w:ascii="Cambria Math" w:hAnsi="Cambria Math" w:cs="Arial"/>
                <w:sz w:val="20"/>
                <w:szCs w:val="20"/>
                <w:lang w:val="en-GB"/>
              </w:rPr>
              <m:t>1/2</m:t>
            </m:r>
          </m:sup>
        </m:sSup>
        <m:r>
          <w:rPr>
            <w:rFonts w:ascii="Cambria Math" w:hAnsi="Cambria Math" w:cs="Arial"/>
            <w:sz w:val="20"/>
            <w:szCs w:val="20"/>
            <w:lang w:val="en-GB"/>
          </w:rPr>
          <m:t xml:space="preserve"> </m:t>
        </m:r>
      </m:oMath>
      <w:r w:rsidRPr="00DD44E2">
        <w:rPr>
          <w:rFonts w:ascii="Arial" w:hAnsi="Arial" w:cs="Arial"/>
          <w:bCs/>
          <w:sz w:val="20"/>
          <w:szCs w:val="20"/>
          <w:lang w:val="en-GB"/>
        </w:rPr>
        <w:t>for ZnCl</w:t>
      </w:r>
      <w:r w:rsidRPr="00DD44E2">
        <w:rPr>
          <w:rFonts w:ascii="Arial" w:hAnsi="Arial" w:cs="Arial"/>
          <w:bCs/>
          <w:sz w:val="20"/>
          <w:szCs w:val="20"/>
          <w:vertAlign w:val="subscript"/>
        </w:rPr>
        <w:t>2</w:t>
      </w:r>
      <w:r w:rsidRPr="00DD44E2">
        <w:rPr>
          <w:rFonts w:ascii="Arial" w:hAnsi="Arial" w:cs="Arial"/>
          <w:bCs/>
          <w:sz w:val="20"/>
          <w:szCs w:val="20"/>
        </w:rPr>
        <w:t xml:space="preserve"> solution over the composition range of PC-DME at a temperature of 298.15 ± 0.001 K. </w:t>
      </w:r>
    </w:p>
    <w:p w14:paraId="24EB67AE" w14:textId="77777777" w:rsidR="00A3207D" w:rsidRDefault="00A3207D" w:rsidP="00CC6C24">
      <w:pPr>
        <w:rPr>
          <w:rFonts w:ascii="Arial" w:hAnsi="Arial" w:cs="Arial"/>
          <w:bCs/>
          <w:sz w:val="20"/>
          <w:szCs w:val="20"/>
          <w:lang w:val="en-GB"/>
        </w:rPr>
      </w:pPr>
    </w:p>
    <w:p w14:paraId="5F8AA48A" w14:textId="77777777" w:rsidR="00A3207D" w:rsidRDefault="00A3207D" w:rsidP="00CC6C24">
      <w:pPr>
        <w:rPr>
          <w:rFonts w:ascii="Arial" w:hAnsi="Arial" w:cs="Arial"/>
          <w:bCs/>
          <w:sz w:val="20"/>
          <w:szCs w:val="20"/>
          <w:lang w:val="en-GB"/>
        </w:rPr>
      </w:pPr>
    </w:p>
    <w:p w14:paraId="7838448D" w14:textId="77777777" w:rsidR="00835645" w:rsidRPr="00835645" w:rsidRDefault="00835645" w:rsidP="00835645">
      <w:pPr>
        <w:rPr>
          <w:rFonts w:ascii="Arial" w:hAnsi="Arial" w:cs="Arial"/>
          <w:b/>
          <w:bCs/>
          <w:sz w:val="20"/>
          <w:szCs w:val="20"/>
        </w:rPr>
      </w:pPr>
      <w:r w:rsidRPr="00835645">
        <w:rPr>
          <w:rFonts w:ascii="Arial" w:hAnsi="Arial" w:cs="Arial"/>
          <w:b/>
          <w:bCs/>
          <w:sz w:val="20"/>
          <w:szCs w:val="20"/>
        </w:rPr>
        <w:t>3. RESULTS AND DISCUSSION</w:t>
      </w:r>
    </w:p>
    <w:p w14:paraId="7CCD13D0" w14:textId="7BA48AB1" w:rsidR="00A3207D" w:rsidRPr="0010138D" w:rsidRDefault="00B2579F" w:rsidP="00CC6C24">
      <w:pPr>
        <w:rPr>
          <w:rFonts w:ascii="Arial" w:hAnsi="Arial" w:cs="Arial"/>
          <w:bCs/>
          <w:sz w:val="18"/>
          <w:szCs w:val="18"/>
          <w:lang w:val="en-GB"/>
        </w:rPr>
      </w:pPr>
      <w:r w:rsidRPr="0010138D">
        <w:rPr>
          <w:rFonts w:ascii="Arial" w:hAnsi="Arial" w:cs="Arial"/>
          <w:bCs/>
          <w:sz w:val="18"/>
          <w:szCs w:val="18"/>
          <w:lang w:val="en-GB"/>
        </w:rPr>
        <w:t xml:space="preserve">Table 1: Density of PC </w:t>
      </w:r>
      <w:r w:rsidR="001930AA" w:rsidRPr="0010138D">
        <w:rPr>
          <w:rFonts w:ascii="Arial" w:hAnsi="Arial" w:cs="Arial"/>
          <w:bCs/>
          <w:sz w:val="18"/>
          <w:szCs w:val="18"/>
          <w:lang w:val="en-GB"/>
        </w:rPr>
        <w:t xml:space="preserve">and DME </w:t>
      </w:r>
      <w:r w:rsidRPr="0010138D">
        <w:rPr>
          <w:rFonts w:ascii="Arial" w:hAnsi="Arial" w:cs="Arial"/>
          <w:bCs/>
          <w:sz w:val="18"/>
          <w:szCs w:val="18"/>
          <w:lang w:val="en-GB"/>
        </w:rPr>
        <w:t>at 298.15 K</w:t>
      </w:r>
      <w:r w:rsidR="000E031F" w:rsidRPr="0010138D">
        <w:rPr>
          <w:rFonts w:ascii="Arial" w:hAnsi="Arial" w:cs="Arial"/>
          <w:bCs/>
          <w:sz w:val="18"/>
          <w:szCs w:val="18"/>
          <w:lang w:val="en-GB"/>
        </w:rPr>
        <w:t xml:space="preserve"> </w:t>
      </w:r>
    </w:p>
    <w:tbl>
      <w:tblPr>
        <w:tblStyle w:val="TableGrid"/>
        <w:tblW w:w="0" w:type="auto"/>
        <w:tblInd w:w="-5" w:type="dxa"/>
        <w:tblLook w:val="04A0" w:firstRow="1" w:lastRow="0" w:firstColumn="1" w:lastColumn="0" w:noHBand="0" w:noVBand="1"/>
      </w:tblPr>
      <w:tblGrid>
        <w:gridCol w:w="1045"/>
        <w:gridCol w:w="1036"/>
        <w:gridCol w:w="1037"/>
        <w:gridCol w:w="1037"/>
        <w:gridCol w:w="1037"/>
        <w:gridCol w:w="1037"/>
        <w:gridCol w:w="1043"/>
        <w:gridCol w:w="1327"/>
      </w:tblGrid>
      <w:tr w:rsidR="00423F5F" w:rsidRPr="0010138D" w14:paraId="2781A570" w14:textId="77777777" w:rsidTr="00423F5F">
        <w:trPr>
          <w:trHeight w:val="408"/>
        </w:trPr>
        <w:tc>
          <w:tcPr>
            <w:tcW w:w="1045" w:type="dxa"/>
            <w:vAlign w:val="center"/>
          </w:tcPr>
          <w:p w14:paraId="61053961" w14:textId="77777777" w:rsidR="00423F5F" w:rsidRPr="0010138D" w:rsidRDefault="00423F5F" w:rsidP="00423F5F">
            <w:pPr>
              <w:spacing w:after="120" w:line="240" w:lineRule="auto"/>
              <w:rPr>
                <w:rFonts w:ascii="Arial" w:hAnsi="Arial" w:cs="Arial"/>
                <w:bCs/>
                <w:sz w:val="18"/>
                <w:szCs w:val="18"/>
                <w:lang w:val="en-GB"/>
              </w:rPr>
            </w:pPr>
            <w:bookmarkStart w:id="30" w:name="_Hlk214122246"/>
            <w:r w:rsidRPr="0010138D">
              <w:rPr>
                <w:rFonts w:ascii="Arial" w:hAnsi="Arial" w:cs="Arial"/>
                <w:bCs/>
                <w:sz w:val="18"/>
                <w:szCs w:val="18"/>
                <w:lang w:val="en-GB"/>
              </w:rPr>
              <w:t>Vol. %</w:t>
            </w:r>
          </w:p>
          <w:p w14:paraId="029C9AFA" w14:textId="0325881E" w:rsidR="00423F5F" w:rsidRPr="0010138D" w:rsidRDefault="00423F5F" w:rsidP="00423F5F">
            <w:pPr>
              <w:spacing w:after="120" w:line="240" w:lineRule="auto"/>
              <w:rPr>
                <w:rFonts w:ascii="Arial" w:hAnsi="Arial" w:cs="Arial"/>
                <w:bCs/>
                <w:sz w:val="18"/>
                <w:szCs w:val="18"/>
                <w:lang w:val="en-GB"/>
              </w:rPr>
            </w:pPr>
            <w:r w:rsidRPr="0010138D">
              <w:rPr>
                <w:rFonts w:ascii="Arial" w:hAnsi="Arial" w:cs="Arial"/>
                <w:bCs/>
                <w:sz w:val="18"/>
                <w:szCs w:val="18"/>
                <w:lang w:val="en-GB"/>
              </w:rPr>
              <w:t>(100)</w:t>
            </w:r>
          </w:p>
        </w:tc>
        <w:tc>
          <w:tcPr>
            <w:tcW w:w="1036" w:type="dxa"/>
            <w:vAlign w:val="center"/>
          </w:tcPr>
          <w:p w14:paraId="4CF21361" w14:textId="720F7F6F" w:rsidR="00423F5F" w:rsidRPr="0010138D" w:rsidRDefault="00423F5F" w:rsidP="00423F5F">
            <w:pPr>
              <w:spacing w:after="120" w:line="240" w:lineRule="auto"/>
              <w:rPr>
                <w:rFonts w:ascii="Arial" w:hAnsi="Arial" w:cs="Arial"/>
                <w:bCs/>
                <w:sz w:val="18"/>
                <w:szCs w:val="18"/>
                <w:lang w:val="en-GB"/>
              </w:rPr>
            </w:pPr>
            <w:r w:rsidRPr="0010138D">
              <w:rPr>
                <w:rFonts w:ascii="Arial" w:hAnsi="Arial" w:cs="Arial"/>
                <w:bCs/>
                <w:sz w:val="18"/>
                <w:szCs w:val="18"/>
                <w:lang w:val="en-GB"/>
              </w:rPr>
              <w:t>Mole Fraction</w:t>
            </w:r>
          </w:p>
        </w:tc>
        <w:tc>
          <w:tcPr>
            <w:tcW w:w="5191" w:type="dxa"/>
            <w:gridSpan w:val="5"/>
            <w:vAlign w:val="center"/>
          </w:tcPr>
          <w:p w14:paraId="293175A4" w14:textId="04D930E8" w:rsidR="00423F5F" w:rsidRPr="0010138D" w:rsidRDefault="00423F5F" w:rsidP="00423F5F">
            <w:pPr>
              <w:spacing w:after="120"/>
              <w:jc w:val="center"/>
              <w:rPr>
                <w:rFonts w:ascii="Arial" w:hAnsi="Arial" w:cs="Arial"/>
                <w:bCs/>
                <w:sz w:val="18"/>
                <w:szCs w:val="18"/>
                <w:lang w:val="en-GB"/>
              </w:rPr>
            </w:pPr>
            <w:r w:rsidRPr="0010138D">
              <w:rPr>
                <w:rFonts w:ascii="Arial" w:hAnsi="Arial" w:cs="Arial"/>
                <w:bCs/>
                <w:sz w:val="18"/>
                <w:szCs w:val="18"/>
                <w:lang w:val="en-GB"/>
              </w:rPr>
              <w:t>Density (</w:t>
            </w:r>
            <m:oMath>
              <m:sSup>
                <m:sSupPr>
                  <m:ctrlPr>
                    <w:rPr>
                      <w:rFonts w:ascii="Cambria Math" w:hAnsi="Cambria Math" w:cs="Arial"/>
                      <w:bCs/>
                      <w:i/>
                      <w:iCs/>
                      <w:sz w:val="18"/>
                      <w:szCs w:val="18"/>
                      <w:lang w:val="en-GB"/>
                    </w:rPr>
                  </m:ctrlPr>
                </m:sSupPr>
                <m:e>
                  <m:r>
                    <w:rPr>
                      <w:rFonts w:ascii="Cambria Math" w:hAnsi="Cambria Math" w:cs="Arial"/>
                      <w:sz w:val="18"/>
                      <w:szCs w:val="18"/>
                      <w:lang w:val="en-GB"/>
                    </w:rPr>
                    <m:t>gcm</m:t>
                  </m:r>
                </m:e>
                <m:sup>
                  <m:r>
                    <w:rPr>
                      <w:rFonts w:ascii="Cambria Math" w:hAnsi="Cambria Math" w:cs="Arial"/>
                      <w:sz w:val="18"/>
                      <w:szCs w:val="18"/>
                      <w:lang w:val="en-GB"/>
                    </w:rPr>
                    <m:t>-3</m:t>
                  </m:r>
                </m:sup>
              </m:sSup>
            </m:oMath>
            <w:r w:rsidRPr="0010138D">
              <w:rPr>
                <w:rFonts w:ascii="Arial" w:hAnsi="Arial" w:cs="Arial"/>
                <w:bCs/>
                <w:sz w:val="18"/>
                <w:szCs w:val="18"/>
                <w:lang w:val="en-GB"/>
              </w:rPr>
              <w:t xml:space="preserve">) </w:t>
            </w:r>
          </w:p>
        </w:tc>
        <w:tc>
          <w:tcPr>
            <w:tcW w:w="1327" w:type="dxa"/>
            <w:vMerge w:val="restart"/>
            <w:vAlign w:val="center"/>
          </w:tcPr>
          <w:p w14:paraId="697ACFC5" w14:textId="6A56EB35" w:rsidR="00423F5F" w:rsidRPr="0010138D" w:rsidRDefault="00423F5F" w:rsidP="00423F5F">
            <w:pPr>
              <w:spacing w:after="120"/>
              <w:rPr>
                <w:rFonts w:ascii="Arial" w:hAnsi="Arial" w:cs="Arial"/>
                <w:bCs/>
                <w:sz w:val="18"/>
                <w:szCs w:val="18"/>
                <w:lang w:val="en-GB"/>
              </w:rPr>
            </w:pPr>
            <w:r w:rsidRPr="0010138D">
              <w:rPr>
                <w:rFonts w:ascii="Arial" w:hAnsi="Arial" w:cs="Arial"/>
                <w:bCs/>
                <w:sz w:val="18"/>
                <w:szCs w:val="18"/>
                <w:lang w:val="en-GB"/>
              </w:rPr>
              <w:t>Average</w:t>
            </w:r>
          </w:p>
        </w:tc>
      </w:tr>
      <w:tr w:rsidR="00423F5F" w:rsidRPr="0010138D" w14:paraId="3BDD7236" w14:textId="77777777" w:rsidTr="00423F5F">
        <w:trPr>
          <w:trHeight w:val="417"/>
        </w:trPr>
        <w:tc>
          <w:tcPr>
            <w:tcW w:w="1045" w:type="dxa"/>
            <w:vAlign w:val="center"/>
          </w:tcPr>
          <w:p w14:paraId="33B4909B" w14:textId="21BFBD76" w:rsidR="00423F5F" w:rsidRPr="0010138D" w:rsidRDefault="00423F5F" w:rsidP="00AA71D4">
            <w:pPr>
              <w:rPr>
                <w:rFonts w:ascii="Arial" w:hAnsi="Arial" w:cs="Arial"/>
                <w:bCs/>
                <w:sz w:val="18"/>
                <w:szCs w:val="18"/>
                <w:lang w:val="en-GB"/>
              </w:rPr>
            </w:pPr>
            <w:r w:rsidRPr="0010138D">
              <w:rPr>
                <w:rFonts w:ascii="Arial" w:hAnsi="Arial" w:cs="Arial"/>
                <w:bCs/>
                <w:sz w:val="18"/>
                <w:szCs w:val="18"/>
                <w:lang w:val="en-GB"/>
              </w:rPr>
              <w:t>Solvent</w:t>
            </w:r>
          </w:p>
        </w:tc>
        <w:tc>
          <w:tcPr>
            <w:tcW w:w="1036" w:type="dxa"/>
            <w:vAlign w:val="center"/>
          </w:tcPr>
          <w:p w14:paraId="311C58C2" w14:textId="07A3FFF5" w:rsidR="00423F5F" w:rsidRPr="0010138D" w:rsidRDefault="00423F5F" w:rsidP="00AA71D4">
            <w:pPr>
              <w:rPr>
                <w:rFonts w:ascii="Arial" w:hAnsi="Arial" w:cs="Arial"/>
                <w:bCs/>
                <w:sz w:val="18"/>
                <w:szCs w:val="18"/>
                <w:lang w:val="en-GB"/>
              </w:rPr>
            </w:pPr>
            <w:r w:rsidRPr="0010138D">
              <w:rPr>
                <w:rFonts w:ascii="Arial" w:hAnsi="Arial" w:cs="Arial"/>
                <w:bCs/>
                <w:sz w:val="18"/>
                <w:szCs w:val="18"/>
                <w:lang w:val="en-GB"/>
              </w:rPr>
              <w:t>X</w:t>
            </w:r>
            <w:r w:rsidRPr="0010138D">
              <w:rPr>
                <w:rFonts w:ascii="Arial" w:hAnsi="Arial" w:cs="Arial"/>
                <w:bCs/>
                <w:sz w:val="18"/>
                <w:szCs w:val="18"/>
                <w:vertAlign w:val="subscript"/>
                <w:lang w:val="en-GB"/>
              </w:rPr>
              <w:t>1</w:t>
            </w:r>
          </w:p>
        </w:tc>
        <w:tc>
          <w:tcPr>
            <w:tcW w:w="1037" w:type="dxa"/>
            <w:vAlign w:val="center"/>
          </w:tcPr>
          <w:p w14:paraId="2785EB23" w14:textId="27B901A2" w:rsidR="00423F5F" w:rsidRPr="0010138D" w:rsidRDefault="00702B22" w:rsidP="00AA71D4">
            <w:pPr>
              <w:jc w:val="center"/>
              <w:rPr>
                <w:rFonts w:ascii="Arial" w:hAnsi="Arial" w:cs="Arial"/>
                <w:sz w:val="18"/>
                <w:szCs w:val="18"/>
                <w:lang w:val="en-GB"/>
              </w:rPr>
            </w:pPr>
            <m:oMathPara>
              <m:oMath>
                <m:sSub>
                  <m:sSubPr>
                    <m:ctrlPr>
                      <w:rPr>
                        <w:rFonts w:ascii="Cambria Math" w:hAnsi="Cambria Math" w:cs="Arial"/>
                        <w:i/>
                        <w:sz w:val="18"/>
                        <w:szCs w:val="18"/>
                        <w:lang w:val="en-GB"/>
                      </w:rPr>
                    </m:ctrlPr>
                  </m:sSubPr>
                  <m:e>
                    <m:r>
                      <w:rPr>
                        <w:rFonts w:ascii="Cambria Math" w:hAnsi="Cambria Math" w:cs="Arial"/>
                        <w:sz w:val="18"/>
                        <w:szCs w:val="18"/>
                        <w:lang w:val="en-GB"/>
                      </w:rPr>
                      <m:t>ρ</m:t>
                    </m:r>
                  </m:e>
                  <m:sub>
                    <m:r>
                      <w:rPr>
                        <w:rFonts w:ascii="Cambria Math" w:hAnsi="Cambria Math" w:cs="Arial"/>
                        <w:sz w:val="18"/>
                        <w:szCs w:val="18"/>
                        <w:lang w:val="en-GB"/>
                      </w:rPr>
                      <m:t>1</m:t>
                    </m:r>
                  </m:sub>
                </m:sSub>
              </m:oMath>
            </m:oMathPara>
          </w:p>
        </w:tc>
        <w:tc>
          <w:tcPr>
            <w:tcW w:w="1037" w:type="dxa"/>
          </w:tcPr>
          <w:p w14:paraId="579A5D54" w14:textId="52925D96" w:rsidR="00423F5F" w:rsidRPr="0010138D" w:rsidRDefault="00702B22" w:rsidP="00AA71D4">
            <w:pPr>
              <w:jc w:val="center"/>
              <w:rPr>
                <w:rFonts w:ascii="Arial" w:hAnsi="Arial" w:cs="Arial"/>
                <w:sz w:val="18"/>
                <w:szCs w:val="18"/>
                <w:lang w:val="en-GB"/>
              </w:rPr>
            </w:pPr>
            <m:oMathPara>
              <m:oMath>
                <m:sSub>
                  <m:sSubPr>
                    <m:ctrlPr>
                      <w:rPr>
                        <w:rFonts w:ascii="Cambria Math" w:hAnsi="Cambria Math" w:cs="Arial"/>
                        <w:i/>
                        <w:sz w:val="18"/>
                        <w:szCs w:val="18"/>
                        <w:lang w:val="en-GB"/>
                      </w:rPr>
                    </m:ctrlPr>
                  </m:sSubPr>
                  <m:e>
                    <m:r>
                      <w:rPr>
                        <w:rFonts w:ascii="Cambria Math" w:hAnsi="Cambria Math" w:cs="Arial"/>
                        <w:sz w:val="18"/>
                        <w:szCs w:val="18"/>
                        <w:lang w:val="en-GB"/>
                      </w:rPr>
                      <m:t>ρ</m:t>
                    </m:r>
                  </m:e>
                  <m:sub>
                    <m:r>
                      <w:rPr>
                        <w:rFonts w:ascii="Cambria Math" w:hAnsi="Cambria Math" w:cs="Arial"/>
                        <w:sz w:val="18"/>
                        <w:szCs w:val="18"/>
                        <w:lang w:val="en-GB"/>
                      </w:rPr>
                      <m:t>2</m:t>
                    </m:r>
                  </m:sub>
                </m:sSub>
              </m:oMath>
            </m:oMathPara>
          </w:p>
        </w:tc>
        <w:tc>
          <w:tcPr>
            <w:tcW w:w="1037" w:type="dxa"/>
          </w:tcPr>
          <w:p w14:paraId="57FB4185" w14:textId="7FA14D84" w:rsidR="00423F5F" w:rsidRPr="0010138D" w:rsidRDefault="00702B22" w:rsidP="00AA71D4">
            <w:pPr>
              <w:jc w:val="center"/>
              <w:rPr>
                <w:rFonts w:ascii="Arial" w:hAnsi="Arial" w:cs="Arial"/>
                <w:sz w:val="18"/>
                <w:szCs w:val="18"/>
                <w:lang w:val="en-GB"/>
              </w:rPr>
            </w:pPr>
            <m:oMathPara>
              <m:oMath>
                <m:sSub>
                  <m:sSubPr>
                    <m:ctrlPr>
                      <w:rPr>
                        <w:rFonts w:ascii="Cambria Math" w:hAnsi="Cambria Math" w:cs="Arial"/>
                        <w:i/>
                        <w:sz w:val="18"/>
                        <w:szCs w:val="18"/>
                        <w:lang w:val="en-GB"/>
                      </w:rPr>
                    </m:ctrlPr>
                  </m:sSubPr>
                  <m:e>
                    <m:r>
                      <w:rPr>
                        <w:rFonts w:ascii="Cambria Math" w:hAnsi="Cambria Math" w:cs="Arial"/>
                        <w:sz w:val="18"/>
                        <w:szCs w:val="18"/>
                        <w:lang w:val="en-GB"/>
                      </w:rPr>
                      <m:t>ρ</m:t>
                    </m:r>
                  </m:e>
                  <m:sub>
                    <m:r>
                      <w:rPr>
                        <w:rFonts w:ascii="Cambria Math" w:hAnsi="Cambria Math" w:cs="Arial"/>
                        <w:sz w:val="18"/>
                        <w:szCs w:val="18"/>
                        <w:lang w:val="en-GB"/>
                      </w:rPr>
                      <m:t>3</m:t>
                    </m:r>
                  </m:sub>
                </m:sSub>
              </m:oMath>
            </m:oMathPara>
          </w:p>
        </w:tc>
        <w:tc>
          <w:tcPr>
            <w:tcW w:w="1037" w:type="dxa"/>
          </w:tcPr>
          <w:p w14:paraId="5D0D7BA2" w14:textId="129A0850" w:rsidR="00423F5F" w:rsidRPr="0010138D" w:rsidRDefault="00702B22" w:rsidP="00AA71D4">
            <w:pPr>
              <w:jc w:val="center"/>
              <w:rPr>
                <w:rFonts w:ascii="Arial" w:hAnsi="Arial" w:cs="Arial"/>
                <w:sz w:val="18"/>
                <w:szCs w:val="18"/>
                <w:lang w:val="en-GB"/>
              </w:rPr>
            </w:pPr>
            <m:oMathPara>
              <m:oMath>
                <m:sSub>
                  <m:sSubPr>
                    <m:ctrlPr>
                      <w:rPr>
                        <w:rFonts w:ascii="Cambria Math" w:hAnsi="Cambria Math" w:cs="Arial"/>
                        <w:i/>
                        <w:sz w:val="18"/>
                        <w:szCs w:val="18"/>
                        <w:lang w:val="en-GB"/>
                      </w:rPr>
                    </m:ctrlPr>
                  </m:sSubPr>
                  <m:e>
                    <m:r>
                      <w:rPr>
                        <w:rFonts w:ascii="Cambria Math" w:hAnsi="Cambria Math" w:cs="Arial"/>
                        <w:sz w:val="18"/>
                        <w:szCs w:val="18"/>
                        <w:lang w:val="en-GB"/>
                      </w:rPr>
                      <m:t>ρ</m:t>
                    </m:r>
                  </m:e>
                  <m:sub>
                    <m:r>
                      <w:rPr>
                        <w:rFonts w:ascii="Cambria Math" w:hAnsi="Cambria Math" w:cs="Arial"/>
                        <w:sz w:val="18"/>
                        <w:szCs w:val="18"/>
                        <w:lang w:val="en-GB"/>
                      </w:rPr>
                      <m:t>4</m:t>
                    </m:r>
                  </m:sub>
                </m:sSub>
              </m:oMath>
            </m:oMathPara>
          </w:p>
        </w:tc>
        <w:tc>
          <w:tcPr>
            <w:tcW w:w="1043" w:type="dxa"/>
          </w:tcPr>
          <w:p w14:paraId="694CDA67" w14:textId="69004D12" w:rsidR="00423F5F" w:rsidRPr="0010138D" w:rsidRDefault="00702B22" w:rsidP="00AA71D4">
            <w:pPr>
              <w:jc w:val="center"/>
              <w:rPr>
                <w:rFonts w:ascii="Arial" w:hAnsi="Arial" w:cs="Arial"/>
                <w:sz w:val="18"/>
                <w:szCs w:val="18"/>
                <w:lang w:val="en-GB"/>
              </w:rPr>
            </w:pPr>
            <m:oMathPara>
              <m:oMath>
                <m:sSub>
                  <m:sSubPr>
                    <m:ctrlPr>
                      <w:rPr>
                        <w:rFonts w:ascii="Cambria Math" w:hAnsi="Cambria Math" w:cs="Arial"/>
                        <w:i/>
                        <w:sz w:val="18"/>
                        <w:szCs w:val="18"/>
                        <w:lang w:val="en-GB"/>
                      </w:rPr>
                    </m:ctrlPr>
                  </m:sSubPr>
                  <m:e>
                    <m:r>
                      <w:rPr>
                        <w:rFonts w:ascii="Cambria Math" w:hAnsi="Cambria Math" w:cs="Arial"/>
                        <w:sz w:val="18"/>
                        <w:szCs w:val="18"/>
                        <w:lang w:val="en-GB"/>
                      </w:rPr>
                      <m:t>ρ</m:t>
                    </m:r>
                  </m:e>
                  <m:sub>
                    <m:r>
                      <w:rPr>
                        <w:rFonts w:ascii="Cambria Math" w:hAnsi="Cambria Math" w:cs="Arial"/>
                        <w:sz w:val="18"/>
                        <w:szCs w:val="18"/>
                        <w:lang w:val="en-GB"/>
                      </w:rPr>
                      <m:t>5</m:t>
                    </m:r>
                  </m:sub>
                </m:sSub>
              </m:oMath>
            </m:oMathPara>
          </w:p>
        </w:tc>
        <w:tc>
          <w:tcPr>
            <w:tcW w:w="1327" w:type="dxa"/>
            <w:vMerge/>
            <w:vAlign w:val="center"/>
          </w:tcPr>
          <w:p w14:paraId="4463987B" w14:textId="77777777" w:rsidR="00423F5F" w:rsidRPr="0010138D" w:rsidRDefault="00423F5F" w:rsidP="00AA71D4">
            <w:pPr>
              <w:rPr>
                <w:rFonts w:ascii="Arial" w:hAnsi="Arial" w:cs="Arial"/>
                <w:bCs/>
                <w:sz w:val="18"/>
                <w:szCs w:val="18"/>
                <w:lang w:val="en-GB"/>
              </w:rPr>
            </w:pPr>
          </w:p>
        </w:tc>
      </w:tr>
      <w:tr w:rsidR="00AA71D4" w:rsidRPr="0010138D" w14:paraId="6CDA174D" w14:textId="77777777" w:rsidTr="00423F5F">
        <w:trPr>
          <w:trHeight w:val="408"/>
        </w:trPr>
        <w:tc>
          <w:tcPr>
            <w:tcW w:w="1045" w:type="dxa"/>
            <w:vAlign w:val="center"/>
          </w:tcPr>
          <w:p w14:paraId="39735F0E" w14:textId="1728D7FA" w:rsidR="0083622A" w:rsidRPr="0010138D" w:rsidRDefault="001930AA" w:rsidP="00CC6C24">
            <w:pPr>
              <w:rPr>
                <w:rFonts w:ascii="Arial" w:hAnsi="Arial" w:cs="Arial"/>
                <w:bCs/>
                <w:sz w:val="18"/>
                <w:szCs w:val="18"/>
                <w:lang w:val="en-GB"/>
              </w:rPr>
            </w:pPr>
            <w:r w:rsidRPr="0010138D">
              <w:rPr>
                <w:rFonts w:ascii="Arial" w:hAnsi="Arial" w:cs="Arial"/>
                <w:bCs/>
                <w:sz w:val="18"/>
                <w:szCs w:val="18"/>
                <w:lang w:val="en-GB"/>
              </w:rPr>
              <w:t>PC</w:t>
            </w:r>
          </w:p>
        </w:tc>
        <w:tc>
          <w:tcPr>
            <w:tcW w:w="1036" w:type="dxa"/>
            <w:vAlign w:val="center"/>
          </w:tcPr>
          <w:p w14:paraId="1A1262F9" w14:textId="617FE8A8" w:rsidR="0083622A" w:rsidRPr="0010138D" w:rsidRDefault="00876CB4" w:rsidP="00CC6C24">
            <w:pPr>
              <w:rPr>
                <w:rFonts w:ascii="Arial" w:hAnsi="Arial" w:cs="Arial"/>
                <w:bCs/>
                <w:sz w:val="18"/>
                <w:szCs w:val="18"/>
                <w:lang w:val="en-GB"/>
              </w:rPr>
            </w:pPr>
            <w:r w:rsidRPr="0010138D">
              <w:rPr>
                <w:rFonts w:ascii="Arial" w:hAnsi="Arial" w:cs="Arial"/>
                <w:bCs/>
                <w:sz w:val="18"/>
                <w:szCs w:val="18"/>
                <w:lang w:val="en-GB"/>
              </w:rPr>
              <w:t>0.000</w:t>
            </w:r>
          </w:p>
        </w:tc>
        <w:tc>
          <w:tcPr>
            <w:tcW w:w="1037" w:type="dxa"/>
            <w:vAlign w:val="center"/>
          </w:tcPr>
          <w:p w14:paraId="4E6B977D" w14:textId="4D5CE536" w:rsidR="0083622A" w:rsidRPr="0010138D" w:rsidRDefault="002C6C28" w:rsidP="00CC6C24">
            <w:pPr>
              <w:rPr>
                <w:rFonts w:ascii="Arial" w:hAnsi="Arial" w:cs="Arial"/>
                <w:bCs/>
                <w:sz w:val="18"/>
                <w:szCs w:val="18"/>
                <w:lang w:val="en-GB"/>
              </w:rPr>
            </w:pPr>
            <w:r w:rsidRPr="0010138D">
              <w:rPr>
                <w:rFonts w:ascii="Arial" w:hAnsi="Arial" w:cs="Arial"/>
                <w:bCs/>
                <w:sz w:val="18"/>
                <w:szCs w:val="18"/>
                <w:lang w:val="en-GB"/>
              </w:rPr>
              <w:t>2.</w:t>
            </w:r>
            <w:r w:rsidR="00C45C9D" w:rsidRPr="0010138D">
              <w:rPr>
                <w:rFonts w:ascii="Arial" w:hAnsi="Arial" w:cs="Arial"/>
                <w:bCs/>
                <w:sz w:val="18"/>
                <w:szCs w:val="18"/>
                <w:lang w:val="en-GB"/>
              </w:rPr>
              <w:t>080</w:t>
            </w:r>
          </w:p>
        </w:tc>
        <w:tc>
          <w:tcPr>
            <w:tcW w:w="1037" w:type="dxa"/>
            <w:vAlign w:val="center"/>
          </w:tcPr>
          <w:p w14:paraId="109F769F" w14:textId="354DB7DF" w:rsidR="0083622A" w:rsidRPr="0010138D" w:rsidRDefault="002C6C28" w:rsidP="00CC6C24">
            <w:pPr>
              <w:rPr>
                <w:rFonts w:ascii="Arial" w:hAnsi="Arial" w:cs="Arial"/>
                <w:bCs/>
                <w:sz w:val="18"/>
                <w:szCs w:val="18"/>
                <w:lang w:val="en-GB"/>
              </w:rPr>
            </w:pPr>
            <w:r w:rsidRPr="0010138D">
              <w:rPr>
                <w:rFonts w:ascii="Arial" w:hAnsi="Arial" w:cs="Arial"/>
                <w:bCs/>
                <w:sz w:val="18"/>
                <w:szCs w:val="18"/>
                <w:lang w:val="en-GB"/>
              </w:rPr>
              <w:t>2.</w:t>
            </w:r>
            <w:r w:rsidR="00C45C9D" w:rsidRPr="0010138D">
              <w:rPr>
                <w:rFonts w:ascii="Arial" w:hAnsi="Arial" w:cs="Arial"/>
                <w:bCs/>
                <w:sz w:val="18"/>
                <w:szCs w:val="18"/>
                <w:lang w:val="en-GB"/>
              </w:rPr>
              <w:t>082</w:t>
            </w:r>
          </w:p>
        </w:tc>
        <w:tc>
          <w:tcPr>
            <w:tcW w:w="1037" w:type="dxa"/>
            <w:vAlign w:val="center"/>
          </w:tcPr>
          <w:p w14:paraId="50966DEE" w14:textId="3D46DFBE" w:rsidR="0083622A" w:rsidRPr="0010138D" w:rsidRDefault="002C6C28" w:rsidP="00CC6C24">
            <w:pPr>
              <w:rPr>
                <w:rFonts w:ascii="Arial" w:hAnsi="Arial" w:cs="Arial"/>
                <w:bCs/>
                <w:sz w:val="18"/>
                <w:szCs w:val="18"/>
                <w:lang w:val="en-GB"/>
              </w:rPr>
            </w:pPr>
            <w:r w:rsidRPr="0010138D">
              <w:rPr>
                <w:rFonts w:ascii="Arial" w:hAnsi="Arial" w:cs="Arial"/>
                <w:bCs/>
                <w:sz w:val="18"/>
                <w:szCs w:val="18"/>
                <w:lang w:val="en-GB"/>
              </w:rPr>
              <w:t>2.</w:t>
            </w:r>
            <w:r w:rsidR="00C45C9D" w:rsidRPr="0010138D">
              <w:rPr>
                <w:rFonts w:ascii="Arial" w:hAnsi="Arial" w:cs="Arial"/>
                <w:bCs/>
                <w:sz w:val="18"/>
                <w:szCs w:val="18"/>
                <w:lang w:val="en-GB"/>
              </w:rPr>
              <w:t>084</w:t>
            </w:r>
          </w:p>
        </w:tc>
        <w:tc>
          <w:tcPr>
            <w:tcW w:w="1037" w:type="dxa"/>
            <w:vAlign w:val="center"/>
          </w:tcPr>
          <w:p w14:paraId="360417D5" w14:textId="53D7129D" w:rsidR="0083622A" w:rsidRPr="0010138D" w:rsidRDefault="002C6C28" w:rsidP="00CC6C24">
            <w:pPr>
              <w:rPr>
                <w:rFonts w:ascii="Arial" w:hAnsi="Arial" w:cs="Arial"/>
                <w:bCs/>
                <w:sz w:val="18"/>
                <w:szCs w:val="18"/>
                <w:lang w:val="en-GB"/>
              </w:rPr>
            </w:pPr>
            <w:r w:rsidRPr="0010138D">
              <w:rPr>
                <w:rFonts w:ascii="Arial" w:hAnsi="Arial" w:cs="Arial"/>
                <w:bCs/>
                <w:sz w:val="18"/>
                <w:szCs w:val="18"/>
                <w:lang w:val="en-GB"/>
              </w:rPr>
              <w:t>2.</w:t>
            </w:r>
            <w:r w:rsidR="00C45C9D" w:rsidRPr="0010138D">
              <w:rPr>
                <w:rFonts w:ascii="Arial" w:hAnsi="Arial" w:cs="Arial"/>
                <w:bCs/>
                <w:sz w:val="18"/>
                <w:szCs w:val="18"/>
                <w:lang w:val="en-GB"/>
              </w:rPr>
              <w:t>083</w:t>
            </w:r>
          </w:p>
        </w:tc>
        <w:tc>
          <w:tcPr>
            <w:tcW w:w="1043" w:type="dxa"/>
            <w:vAlign w:val="center"/>
          </w:tcPr>
          <w:p w14:paraId="56130E16" w14:textId="64418A28" w:rsidR="0083622A" w:rsidRPr="0010138D" w:rsidRDefault="00C45C9D" w:rsidP="00CC6C24">
            <w:pPr>
              <w:rPr>
                <w:rFonts w:ascii="Arial" w:hAnsi="Arial" w:cs="Arial"/>
                <w:bCs/>
                <w:sz w:val="18"/>
                <w:szCs w:val="18"/>
                <w:lang w:val="en-GB"/>
              </w:rPr>
            </w:pPr>
            <w:r w:rsidRPr="0010138D">
              <w:rPr>
                <w:rFonts w:ascii="Arial" w:hAnsi="Arial" w:cs="Arial"/>
                <w:bCs/>
                <w:sz w:val="18"/>
                <w:szCs w:val="18"/>
                <w:lang w:val="en-GB"/>
              </w:rPr>
              <w:t>2.083</w:t>
            </w:r>
          </w:p>
        </w:tc>
        <w:tc>
          <w:tcPr>
            <w:tcW w:w="1327" w:type="dxa"/>
            <w:vAlign w:val="center"/>
          </w:tcPr>
          <w:p w14:paraId="34103550" w14:textId="61A06625" w:rsidR="0083622A" w:rsidRPr="0010138D" w:rsidRDefault="00470796" w:rsidP="00CC6C24">
            <w:pPr>
              <w:rPr>
                <w:rFonts w:ascii="Arial" w:hAnsi="Arial" w:cs="Arial"/>
                <w:bCs/>
                <w:sz w:val="18"/>
                <w:szCs w:val="18"/>
                <w:lang w:val="en-GB"/>
              </w:rPr>
            </w:pPr>
            <w:r w:rsidRPr="0010138D">
              <w:rPr>
                <w:rFonts w:ascii="Arial" w:hAnsi="Arial" w:cs="Arial"/>
                <w:bCs/>
                <w:sz w:val="18"/>
                <w:szCs w:val="18"/>
                <w:lang w:val="en-GB"/>
              </w:rPr>
              <w:t>2.082±0.002</w:t>
            </w:r>
          </w:p>
        </w:tc>
      </w:tr>
      <w:tr w:rsidR="00AA71D4" w:rsidRPr="0010138D" w14:paraId="2C10328E" w14:textId="77777777" w:rsidTr="00423F5F">
        <w:trPr>
          <w:trHeight w:val="426"/>
        </w:trPr>
        <w:tc>
          <w:tcPr>
            <w:tcW w:w="1045" w:type="dxa"/>
            <w:vAlign w:val="center"/>
          </w:tcPr>
          <w:p w14:paraId="0010722D" w14:textId="1DC39B58" w:rsidR="001930AA" w:rsidRPr="0010138D" w:rsidRDefault="001930AA" w:rsidP="001930AA">
            <w:pPr>
              <w:rPr>
                <w:rFonts w:ascii="Arial" w:hAnsi="Arial" w:cs="Arial"/>
                <w:bCs/>
                <w:sz w:val="18"/>
                <w:szCs w:val="18"/>
                <w:lang w:val="en-GB"/>
              </w:rPr>
            </w:pPr>
            <w:r w:rsidRPr="0010138D">
              <w:rPr>
                <w:rFonts w:ascii="Arial" w:hAnsi="Arial" w:cs="Arial"/>
                <w:bCs/>
                <w:sz w:val="18"/>
                <w:szCs w:val="18"/>
                <w:lang w:val="en-GB"/>
              </w:rPr>
              <w:t>DME</w:t>
            </w:r>
          </w:p>
        </w:tc>
        <w:tc>
          <w:tcPr>
            <w:tcW w:w="1036" w:type="dxa"/>
          </w:tcPr>
          <w:p w14:paraId="11F8D36F" w14:textId="4799F4DA" w:rsidR="001930AA" w:rsidRPr="0010138D" w:rsidRDefault="001930AA" w:rsidP="001930AA">
            <w:pPr>
              <w:rPr>
                <w:rFonts w:ascii="Arial" w:hAnsi="Arial" w:cs="Arial"/>
                <w:bCs/>
                <w:sz w:val="18"/>
                <w:szCs w:val="18"/>
                <w:lang w:val="en-GB"/>
              </w:rPr>
            </w:pPr>
            <w:r w:rsidRPr="0010138D">
              <w:rPr>
                <w:rFonts w:ascii="Arial" w:hAnsi="Arial" w:cs="Arial"/>
                <w:sz w:val="18"/>
                <w:szCs w:val="18"/>
              </w:rPr>
              <w:t>1.000</w:t>
            </w:r>
          </w:p>
        </w:tc>
        <w:tc>
          <w:tcPr>
            <w:tcW w:w="1037" w:type="dxa"/>
          </w:tcPr>
          <w:p w14:paraId="11D40DD0" w14:textId="78532476" w:rsidR="001930AA" w:rsidRPr="0010138D" w:rsidRDefault="001930AA" w:rsidP="001930AA">
            <w:pPr>
              <w:rPr>
                <w:rFonts w:ascii="Arial" w:hAnsi="Arial" w:cs="Arial"/>
                <w:bCs/>
                <w:sz w:val="18"/>
                <w:szCs w:val="18"/>
                <w:lang w:val="en-GB"/>
              </w:rPr>
            </w:pPr>
            <w:r w:rsidRPr="0010138D">
              <w:rPr>
                <w:rFonts w:ascii="Arial" w:hAnsi="Arial" w:cs="Arial"/>
                <w:sz w:val="18"/>
                <w:szCs w:val="18"/>
              </w:rPr>
              <w:t>0.881</w:t>
            </w:r>
          </w:p>
        </w:tc>
        <w:tc>
          <w:tcPr>
            <w:tcW w:w="1037" w:type="dxa"/>
          </w:tcPr>
          <w:p w14:paraId="0F22A672" w14:textId="28AAB7D5" w:rsidR="001930AA" w:rsidRPr="0010138D" w:rsidRDefault="001930AA" w:rsidP="001930AA">
            <w:pPr>
              <w:rPr>
                <w:rFonts w:ascii="Arial" w:hAnsi="Arial" w:cs="Arial"/>
                <w:bCs/>
                <w:sz w:val="18"/>
                <w:szCs w:val="18"/>
                <w:lang w:val="en-GB"/>
              </w:rPr>
            </w:pPr>
            <w:r w:rsidRPr="0010138D">
              <w:rPr>
                <w:rFonts w:ascii="Arial" w:hAnsi="Arial" w:cs="Arial"/>
                <w:sz w:val="18"/>
                <w:szCs w:val="18"/>
              </w:rPr>
              <w:t>0.872</w:t>
            </w:r>
          </w:p>
        </w:tc>
        <w:tc>
          <w:tcPr>
            <w:tcW w:w="1037" w:type="dxa"/>
          </w:tcPr>
          <w:p w14:paraId="3F582871" w14:textId="385B2EAF" w:rsidR="001930AA" w:rsidRPr="0010138D" w:rsidRDefault="001930AA" w:rsidP="001930AA">
            <w:pPr>
              <w:rPr>
                <w:rFonts w:ascii="Arial" w:hAnsi="Arial" w:cs="Arial"/>
                <w:bCs/>
                <w:sz w:val="18"/>
                <w:szCs w:val="18"/>
                <w:lang w:val="en-GB"/>
              </w:rPr>
            </w:pPr>
            <w:r w:rsidRPr="0010138D">
              <w:rPr>
                <w:rFonts w:ascii="Arial" w:hAnsi="Arial" w:cs="Arial"/>
                <w:sz w:val="18"/>
                <w:szCs w:val="18"/>
              </w:rPr>
              <w:t>0.867</w:t>
            </w:r>
          </w:p>
        </w:tc>
        <w:tc>
          <w:tcPr>
            <w:tcW w:w="1037" w:type="dxa"/>
          </w:tcPr>
          <w:p w14:paraId="34145435" w14:textId="1D1AD448" w:rsidR="001930AA" w:rsidRPr="0010138D" w:rsidRDefault="001930AA" w:rsidP="001930AA">
            <w:pPr>
              <w:rPr>
                <w:rFonts w:ascii="Arial" w:hAnsi="Arial" w:cs="Arial"/>
                <w:bCs/>
                <w:sz w:val="18"/>
                <w:szCs w:val="18"/>
                <w:lang w:val="en-GB"/>
              </w:rPr>
            </w:pPr>
            <w:r w:rsidRPr="0010138D">
              <w:rPr>
                <w:rFonts w:ascii="Arial" w:hAnsi="Arial" w:cs="Arial"/>
                <w:sz w:val="18"/>
                <w:szCs w:val="18"/>
              </w:rPr>
              <w:t>0.867</w:t>
            </w:r>
          </w:p>
        </w:tc>
        <w:tc>
          <w:tcPr>
            <w:tcW w:w="1043" w:type="dxa"/>
          </w:tcPr>
          <w:p w14:paraId="0AEF3EC3" w14:textId="294E866E" w:rsidR="001930AA" w:rsidRPr="0010138D" w:rsidRDefault="001930AA" w:rsidP="001930AA">
            <w:pPr>
              <w:rPr>
                <w:rFonts w:ascii="Arial" w:hAnsi="Arial" w:cs="Arial"/>
                <w:bCs/>
                <w:sz w:val="18"/>
                <w:szCs w:val="18"/>
                <w:lang w:val="en-GB"/>
              </w:rPr>
            </w:pPr>
            <w:r w:rsidRPr="0010138D">
              <w:rPr>
                <w:rFonts w:ascii="Arial" w:hAnsi="Arial" w:cs="Arial"/>
                <w:sz w:val="18"/>
                <w:szCs w:val="18"/>
              </w:rPr>
              <w:t>0.861</w:t>
            </w:r>
          </w:p>
        </w:tc>
        <w:tc>
          <w:tcPr>
            <w:tcW w:w="1327" w:type="dxa"/>
          </w:tcPr>
          <w:p w14:paraId="17477996" w14:textId="4487ED3F" w:rsidR="001930AA" w:rsidRPr="0010138D" w:rsidRDefault="001930AA" w:rsidP="001930AA">
            <w:pPr>
              <w:rPr>
                <w:rFonts w:ascii="Arial" w:hAnsi="Arial" w:cs="Arial"/>
                <w:bCs/>
                <w:sz w:val="18"/>
                <w:szCs w:val="18"/>
                <w:lang w:val="en-GB"/>
              </w:rPr>
            </w:pPr>
            <w:r w:rsidRPr="0010138D">
              <w:rPr>
                <w:rFonts w:ascii="Arial" w:hAnsi="Arial" w:cs="Arial"/>
                <w:sz w:val="18"/>
                <w:szCs w:val="18"/>
              </w:rPr>
              <w:t>0.869±0.007</w:t>
            </w:r>
          </w:p>
        </w:tc>
      </w:tr>
      <w:bookmarkEnd w:id="30"/>
    </w:tbl>
    <w:p w14:paraId="23940291" w14:textId="00334AD9" w:rsidR="00A4642F" w:rsidRDefault="00A4642F" w:rsidP="00CC6C24">
      <w:pPr>
        <w:rPr>
          <w:rFonts w:ascii="Arial" w:hAnsi="Arial" w:cs="Arial"/>
          <w:bCs/>
          <w:sz w:val="20"/>
          <w:szCs w:val="20"/>
          <w:lang w:val="en-GB"/>
        </w:rPr>
      </w:pPr>
    </w:p>
    <w:p w14:paraId="3CB55751" w14:textId="1BF7BE96" w:rsidR="003B0CE9" w:rsidRDefault="003B0CE9" w:rsidP="000D3CA4">
      <w:pPr>
        <w:rPr>
          <w:rFonts w:ascii="Arial" w:hAnsi="Arial" w:cs="Arial"/>
          <w:bCs/>
          <w:sz w:val="20"/>
          <w:szCs w:val="20"/>
          <w:lang w:val="en-GB"/>
        </w:rPr>
      </w:pPr>
      <w:bookmarkStart w:id="31" w:name="_Hlk214128020"/>
    </w:p>
    <w:p w14:paraId="0A5730E6" w14:textId="4DFBA811" w:rsidR="00D72466" w:rsidRDefault="00D72466" w:rsidP="000D3CA4">
      <w:pPr>
        <w:rPr>
          <w:rFonts w:ascii="Arial" w:hAnsi="Arial" w:cs="Arial"/>
          <w:bCs/>
          <w:sz w:val="20"/>
          <w:szCs w:val="20"/>
          <w:lang w:val="en-GB"/>
        </w:rPr>
      </w:pPr>
    </w:p>
    <w:p w14:paraId="4A6B7D13" w14:textId="77777777" w:rsidR="00D72466" w:rsidRDefault="00D72466" w:rsidP="000D3CA4">
      <w:pPr>
        <w:rPr>
          <w:rFonts w:ascii="Arial" w:hAnsi="Arial" w:cs="Arial"/>
          <w:bCs/>
          <w:sz w:val="20"/>
          <w:szCs w:val="20"/>
          <w:lang w:val="en-GB"/>
        </w:rPr>
      </w:pPr>
    </w:p>
    <w:p w14:paraId="730E2560" w14:textId="578E118E" w:rsidR="000D3CA4" w:rsidRPr="0010138D" w:rsidRDefault="005F0EA8" w:rsidP="000D3CA4">
      <w:pPr>
        <w:rPr>
          <w:rFonts w:ascii="Arial" w:hAnsi="Arial" w:cs="Arial"/>
          <w:bCs/>
          <w:sz w:val="18"/>
          <w:szCs w:val="18"/>
          <w:lang w:val="en-GB"/>
        </w:rPr>
      </w:pPr>
      <w:r w:rsidRPr="0010138D">
        <w:rPr>
          <w:rFonts w:ascii="Arial" w:hAnsi="Arial" w:cs="Arial"/>
          <w:bCs/>
          <w:sz w:val="18"/>
          <w:szCs w:val="18"/>
          <w:lang w:val="en-GB"/>
        </w:rPr>
        <w:lastRenderedPageBreak/>
        <w:t xml:space="preserve">Table </w:t>
      </w:r>
      <w:r w:rsidR="00380C51" w:rsidRPr="0010138D">
        <w:rPr>
          <w:rFonts w:ascii="Arial" w:hAnsi="Arial" w:cs="Arial"/>
          <w:bCs/>
          <w:sz w:val="18"/>
          <w:szCs w:val="18"/>
          <w:lang w:val="en-GB"/>
        </w:rPr>
        <w:t>2</w:t>
      </w:r>
      <w:r w:rsidRPr="0010138D">
        <w:rPr>
          <w:rFonts w:ascii="Arial" w:hAnsi="Arial" w:cs="Arial"/>
          <w:bCs/>
          <w:sz w:val="18"/>
          <w:szCs w:val="18"/>
          <w:lang w:val="en-GB"/>
        </w:rPr>
        <w:t>: Jones-Dole Parameters for 0.01 M ZnCl</w:t>
      </w:r>
      <w:r w:rsidRPr="0010138D">
        <w:rPr>
          <w:rFonts w:ascii="Arial" w:hAnsi="Arial" w:cs="Arial"/>
          <w:bCs/>
          <w:sz w:val="18"/>
          <w:szCs w:val="18"/>
          <w:vertAlign w:val="subscript"/>
          <w:lang w:val="en-GB"/>
        </w:rPr>
        <w:t>2</w:t>
      </w:r>
      <w:r w:rsidRPr="0010138D">
        <w:rPr>
          <w:rFonts w:ascii="Arial" w:hAnsi="Arial" w:cs="Arial"/>
          <w:bCs/>
          <w:sz w:val="18"/>
          <w:szCs w:val="18"/>
          <w:lang w:val="en-GB"/>
        </w:rPr>
        <w:t xml:space="preserve"> in PC-DME </w:t>
      </w:r>
      <w:r w:rsidR="000D3CA4" w:rsidRPr="0010138D">
        <w:rPr>
          <w:rFonts w:ascii="Arial" w:hAnsi="Arial" w:cs="Arial"/>
          <w:bCs/>
          <w:sz w:val="18"/>
          <w:szCs w:val="18"/>
          <w:lang w:val="en-GB"/>
        </w:rPr>
        <w:t>mixtures at 298.15 K</w:t>
      </w:r>
    </w:p>
    <w:tbl>
      <w:tblPr>
        <w:tblStyle w:val="TableGrid"/>
        <w:tblW w:w="0" w:type="auto"/>
        <w:tblLook w:val="04A0" w:firstRow="1" w:lastRow="0" w:firstColumn="1" w:lastColumn="0" w:noHBand="0" w:noVBand="1"/>
      </w:tblPr>
      <w:tblGrid>
        <w:gridCol w:w="1255"/>
        <w:gridCol w:w="1260"/>
        <w:gridCol w:w="1260"/>
        <w:gridCol w:w="1260"/>
        <w:gridCol w:w="1350"/>
        <w:gridCol w:w="1440"/>
      </w:tblGrid>
      <w:tr w:rsidR="00AE60FD" w:rsidRPr="0010138D" w14:paraId="3FC15E7D" w14:textId="77777777" w:rsidTr="00AE60FD">
        <w:tc>
          <w:tcPr>
            <w:tcW w:w="1255" w:type="dxa"/>
          </w:tcPr>
          <w:p w14:paraId="716CE2E3" w14:textId="532DBF8A" w:rsidR="00AE60FD" w:rsidRPr="0010138D" w:rsidRDefault="00AE60FD" w:rsidP="00AE60FD">
            <w:pPr>
              <w:rPr>
                <w:rFonts w:ascii="Arial" w:hAnsi="Arial" w:cs="Arial"/>
                <w:bCs/>
                <w:sz w:val="18"/>
                <w:szCs w:val="18"/>
                <w:lang w:val="en-GB"/>
              </w:rPr>
            </w:pPr>
            <w:r w:rsidRPr="0010138D">
              <w:rPr>
                <w:sz w:val="18"/>
                <w:szCs w:val="18"/>
              </w:rPr>
              <w:t>% DME</w:t>
            </w:r>
          </w:p>
        </w:tc>
        <w:tc>
          <w:tcPr>
            <w:tcW w:w="1260" w:type="dxa"/>
          </w:tcPr>
          <w:p w14:paraId="79491A18" w14:textId="1D19F7A3" w:rsidR="00AE60FD" w:rsidRPr="0010138D" w:rsidRDefault="00AE60FD" w:rsidP="00AE60FD">
            <w:pPr>
              <w:rPr>
                <w:rFonts w:ascii="Arial" w:hAnsi="Arial" w:cs="Arial"/>
                <w:bCs/>
                <w:sz w:val="18"/>
                <w:szCs w:val="18"/>
                <w:lang w:val="en-GB"/>
              </w:rPr>
            </w:pPr>
            <w:r w:rsidRPr="0010138D">
              <w:rPr>
                <w:sz w:val="18"/>
                <w:szCs w:val="18"/>
              </w:rPr>
              <w:t>X1</w:t>
            </w:r>
          </w:p>
        </w:tc>
        <w:tc>
          <w:tcPr>
            <w:tcW w:w="1260" w:type="dxa"/>
          </w:tcPr>
          <w:p w14:paraId="047AFFD6" w14:textId="3F68C407" w:rsidR="00AE60FD" w:rsidRPr="0010138D" w:rsidRDefault="00AE60FD" w:rsidP="00AE60FD">
            <w:pPr>
              <w:rPr>
                <w:rFonts w:ascii="Arial" w:hAnsi="Arial" w:cs="Arial"/>
                <w:bCs/>
                <w:sz w:val="18"/>
                <w:szCs w:val="18"/>
                <w:lang w:val="en-GB"/>
              </w:rPr>
            </w:pPr>
            <w:r w:rsidRPr="0010138D">
              <w:rPr>
                <w:bCs/>
                <w:i/>
                <w:sz w:val="18"/>
                <w:szCs w:val="18"/>
                <w:lang w:val="en-GB"/>
              </w:rPr>
              <w:sym w:font="Symbol" w:char="F068"/>
            </w:r>
          </w:p>
        </w:tc>
        <w:tc>
          <w:tcPr>
            <w:tcW w:w="1260" w:type="dxa"/>
          </w:tcPr>
          <w:p w14:paraId="7DB5649E" w14:textId="651EB5E8" w:rsidR="00AE60FD" w:rsidRPr="0010138D" w:rsidRDefault="00702B22" w:rsidP="00AE60FD">
            <w:pPr>
              <w:rPr>
                <w:rFonts w:ascii="Arial" w:hAnsi="Arial" w:cs="Arial"/>
                <w:bCs/>
                <w:sz w:val="18"/>
                <w:szCs w:val="18"/>
                <w:lang w:val="en-GB"/>
              </w:rPr>
            </w:pPr>
            <m:oMathPara>
              <m:oMath>
                <m:sSub>
                  <m:sSubPr>
                    <m:ctrlPr>
                      <w:rPr>
                        <w:rFonts w:ascii="Cambria Math" w:hAnsi="Cambria Math" w:cs="Arial"/>
                        <w:bCs/>
                        <w:i/>
                        <w:sz w:val="18"/>
                        <w:szCs w:val="18"/>
                        <w:lang w:val="en-GB"/>
                      </w:rPr>
                    </m:ctrlPr>
                  </m:sSubPr>
                  <m:e>
                    <m:r>
                      <w:rPr>
                        <w:rFonts w:ascii="Cambria Math" w:hAnsi="Cambria Math" w:cs="Arial"/>
                        <w:bCs/>
                        <w:i/>
                        <w:sz w:val="18"/>
                        <w:szCs w:val="18"/>
                        <w:lang w:val="en-GB"/>
                      </w:rPr>
                      <w:sym w:font="Symbol" w:char="F068"/>
                    </m:r>
                  </m:e>
                  <m:sub>
                    <m:r>
                      <w:rPr>
                        <w:rFonts w:ascii="Cambria Math" w:hAnsi="Cambria Math" w:cs="Arial"/>
                        <w:sz w:val="18"/>
                        <w:szCs w:val="18"/>
                        <w:lang w:val="en-GB"/>
                      </w:rPr>
                      <m:t>ₒ</m:t>
                    </m:r>
                  </m:sub>
                </m:sSub>
              </m:oMath>
            </m:oMathPara>
          </w:p>
        </w:tc>
        <w:tc>
          <w:tcPr>
            <w:tcW w:w="1350" w:type="dxa"/>
          </w:tcPr>
          <w:p w14:paraId="32E20439" w14:textId="2195D32E" w:rsidR="00AE60FD" w:rsidRPr="0010138D" w:rsidRDefault="00AE60FD" w:rsidP="00AE60FD">
            <w:pPr>
              <w:jc w:val="center"/>
              <w:rPr>
                <w:rFonts w:ascii="Arial" w:hAnsi="Arial" w:cs="Arial"/>
                <w:sz w:val="18"/>
                <w:szCs w:val="18"/>
                <w:lang w:val="en-GB"/>
              </w:rPr>
            </w:pPr>
            <w:r w:rsidRPr="0010138D">
              <w:rPr>
                <w:rFonts w:ascii="Arial" w:hAnsi="Arial" w:cs="Arial"/>
                <w:i/>
                <w:sz w:val="18"/>
                <w:szCs w:val="18"/>
                <w:lang w:val="en-GB"/>
              </w:rPr>
              <w:sym w:font="Symbol" w:char="F068"/>
            </w:r>
            <w:r w:rsidRPr="0010138D">
              <w:rPr>
                <w:rFonts w:ascii="Arial" w:hAnsi="Arial" w:cs="Arial"/>
                <w:sz w:val="18"/>
                <w:szCs w:val="18"/>
                <w:lang w:val="en-GB"/>
              </w:rPr>
              <w:t xml:space="preserve"> </w:t>
            </w:r>
            <w:r w:rsidRPr="0010138D">
              <w:rPr>
                <w:rFonts w:ascii="Arial" w:hAnsi="Arial" w:cs="Arial"/>
                <w:i/>
                <w:sz w:val="18"/>
                <w:szCs w:val="18"/>
                <w:lang w:val="en-GB"/>
              </w:rPr>
              <w:t>/</w:t>
            </w:r>
            <w:r w:rsidRPr="0010138D">
              <w:rPr>
                <w:rFonts w:ascii="Arial" w:hAnsi="Arial" w:cs="Arial"/>
                <w:i/>
                <w:sz w:val="18"/>
                <w:szCs w:val="18"/>
                <w:lang w:val="en-GB"/>
              </w:rPr>
              <w:sym w:font="Symbol" w:char="F068"/>
            </w:r>
            <w:r w:rsidRPr="0010138D">
              <w:rPr>
                <w:rFonts w:ascii="Arial" w:hAnsi="Arial" w:cs="Arial"/>
                <w:sz w:val="18"/>
                <w:szCs w:val="18"/>
                <w:lang w:val="en-GB"/>
              </w:rPr>
              <w:t xml:space="preserve"> </w:t>
            </w:r>
            <w:r w:rsidRPr="0010138D">
              <w:rPr>
                <w:rFonts w:ascii="Arial" w:hAnsi="Arial" w:cs="Arial"/>
                <w:i/>
                <w:sz w:val="18"/>
                <w:szCs w:val="18"/>
                <w:vertAlign w:val="subscript"/>
                <w:lang w:val="en-GB"/>
              </w:rPr>
              <w:t>o</w:t>
            </w:r>
          </w:p>
        </w:tc>
        <w:tc>
          <w:tcPr>
            <w:tcW w:w="1440" w:type="dxa"/>
          </w:tcPr>
          <w:p w14:paraId="6C02BAB3" w14:textId="0DA7B77B" w:rsidR="00AE60FD" w:rsidRPr="0010138D" w:rsidRDefault="00AE60FD" w:rsidP="00AE60FD">
            <w:pPr>
              <w:rPr>
                <w:rFonts w:ascii="Arial" w:hAnsi="Arial" w:cs="Arial"/>
                <w:bCs/>
                <w:sz w:val="18"/>
                <w:szCs w:val="18"/>
                <w:lang w:val="en-GB"/>
              </w:rPr>
            </w:pPr>
            <m:oMathPara>
              <m:oMath>
                <m:r>
                  <w:rPr>
                    <w:rFonts w:ascii="Cambria Math" w:hAnsi="Cambria Math" w:cs="Arial"/>
                    <w:sz w:val="18"/>
                    <w:szCs w:val="18"/>
                    <w:lang w:val="en-GB"/>
                  </w:rPr>
                  <m:t>(</m:t>
                </m:r>
                <m:sSub>
                  <m:sSubPr>
                    <m:ctrlPr>
                      <w:rPr>
                        <w:rFonts w:ascii="Cambria Math" w:hAnsi="Cambria Math" w:cs="Arial"/>
                        <w:bCs/>
                        <w:i/>
                        <w:sz w:val="18"/>
                        <w:szCs w:val="18"/>
                        <w:lang w:val="en-GB"/>
                      </w:rPr>
                    </m:ctrlPr>
                  </m:sSubPr>
                  <m:e>
                    <m:r>
                      <w:rPr>
                        <w:rFonts w:ascii="Cambria Math" w:hAnsi="Cambria Math" w:cs="Arial"/>
                        <w:bCs/>
                        <w:i/>
                        <w:sz w:val="18"/>
                        <w:szCs w:val="18"/>
                        <w:lang w:val="en-GB"/>
                      </w:rPr>
                      <w:sym w:font="Symbol" w:char="F068"/>
                    </m:r>
                  </m:e>
                  <m:sub>
                    <m:r>
                      <w:rPr>
                        <w:rFonts w:ascii="Cambria Math" w:hAnsi="Cambria Math" w:cs="Arial"/>
                        <w:sz w:val="18"/>
                        <w:szCs w:val="18"/>
                        <w:vertAlign w:val="subscript"/>
                        <w:lang w:val="en-GB"/>
                      </w:rPr>
                      <m:t>r</m:t>
                    </m:r>
                  </m:sub>
                </m:sSub>
                <m:r>
                  <w:rPr>
                    <w:rFonts w:ascii="Cambria Math" w:hAnsi="Cambria Math" w:cs="Arial"/>
                    <w:sz w:val="18"/>
                    <w:szCs w:val="18"/>
                    <w:lang w:val="en-GB"/>
                  </w:rPr>
                  <m:t>-1)/</m:t>
                </m:r>
                <m:sSup>
                  <m:sSupPr>
                    <m:ctrlPr>
                      <w:rPr>
                        <w:rFonts w:ascii="Cambria Math" w:hAnsi="Cambria Math" w:cs="Arial"/>
                        <w:bCs/>
                        <w:i/>
                        <w:sz w:val="18"/>
                        <w:szCs w:val="18"/>
                        <w:lang w:val="en-GB"/>
                      </w:rPr>
                    </m:ctrlPr>
                  </m:sSupPr>
                  <m:e>
                    <m:r>
                      <w:rPr>
                        <w:rFonts w:ascii="Cambria Math" w:hAnsi="Cambria Math" w:cs="Arial"/>
                        <w:sz w:val="18"/>
                        <w:szCs w:val="18"/>
                        <w:lang w:val="en-GB"/>
                      </w:rPr>
                      <m:t>C</m:t>
                    </m:r>
                  </m:e>
                  <m:sup>
                    <m:r>
                      <w:rPr>
                        <w:rFonts w:ascii="Cambria Math" w:hAnsi="Cambria Math" w:cs="Arial"/>
                        <w:sz w:val="18"/>
                        <w:szCs w:val="18"/>
                        <w:lang w:val="en-GB"/>
                      </w:rPr>
                      <m:t>1/2</m:t>
                    </m:r>
                  </m:sup>
                </m:sSup>
              </m:oMath>
            </m:oMathPara>
          </w:p>
        </w:tc>
      </w:tr>
      <w:tr w:rsidR="00AE60FD" w:rsidRPr="0010138D" w14:paraId="3345838A" w14:textId="77777777" w:rsidTr="00AE60FD">
        <w:tc>
          <w:tcPr>
            <w:tcW w:w="1255" w:type="dxa"/>
          </w:tcPr>
          <w:p w14:paraId="7852A5D1" w14:textId="4AEAC6E6" w:rsidR="00AE60FD" w:rsidRPr="0010138D" w:rsidRDefault="00AE60FD" w:rsidP="00AE60FD">
            <w:pPr>
              <w:rPr>
                <w:rFonts w:ascii="Arial" w:hAnsi="Arial" w:cs="Arial"/>
                <w:bCs/>
                <w:sz w:val="18"/>
                <w:szCs w:val="18"/>
                <w:lang w:val="en-GB"/>
              </w:rPr>
            </w:pPr>
            <w:r w:rsidRPr="0010138D">
              <w:rPr>
                <w:sz w:val="18"/>
                <w:szCs w:val="18"/>
              </w:rPr>
              <w:t>0</w:t>
            </w:r>
          </w:p>
        </w:tc>
        <w:tc>
          <w:tcPr>
            <w:tcW w:w="1260" w:type="dxa"/>
          </w:tcPr>
          <w:p w14:paraId="15B03CE9" w14:textId="2BDD4CBC" w:rsidR="00AE60FD" w:rsidRPr="0010138D" w:rsidRDefault="00AE60FD" w:rsidP="00AE60FD">
            <w:pPr>
              <w:rPr>
                <w:rFonts w:ascii="Arial" w:hAnsi="Arial" w:cs="Arial"/>
                <w:bCs/>
                <w:sz w:val="18"/>
                <w:szCs w:val="18"/>
                <w:lang w:val="en-GB"/>
              </w:rPr>
            </w:pPr>
            <w:r w:rsidRPr="0010138D">
              <w:rPr>
                <w:sz w:val="18"/>
                <w:szCs w:val="18"/>
              </w:rPr>
              <w:t>0.000</w:t>
            </w:r>
          </w:p>
        </w:tc>
        <w:tc>
          <w:tcPr>
            <w:tcW w:w="1260" w:type="dxa"/>
          </w:tcPr>
          <w:p w14:paraId="251D8565" w14:textId="5EBB9255" w:rsidR="00AE60FD" w:rsidRPr="0010138D" w:rsidRDefault="00AE60FD" w:rsidP="00AE60FD">
            <w:pPr>
              <w:rPr>
                <w:rFonts w:ascii="Arial" w:hAnsi="Arial" w:cs="Arial"/>
                <w:bCs/>
                <w:sz w:val="18"/>
                <w:szCs w:val="18"/>
                <w:lang w:val="en-GB"/>
              </w:rPr>
            </w:pPr>
            <w:r w:rsidRPr="0010138D">
              <w:rPr>
                <w:sz w:val="18"/>
                <w:szCs w:val="18"/>
              </w:rPr>
              <w:t>2.</w:t>
            </w:r>
            <w:r w:rsidR="002914FD" w:rsidRPr="0010138D">
              <w:rPr>
                <w:sz w:val="18"/>
                <w:szCs w:val="18"/>
              </w:rPr>
              <w:t>3</w:t>
            </w:r>
            <w:r w:rsidR="00763D6E" w:rsidRPr="0010138D">
              <w:rPr>
                <w:sz w:val="18"/>
                <w:szCs w:val="18"/>
              </w:rPr>
              <w:t>61</w:t>
            </w:r>
          </w:p>
        </w:tc>
        <w:tc>
          <w:tcPr>
            <w:tcW w:w="1260" w:type="dxa"/>
          </w:tcPr>
          <w:p w14:paraId="789349DB" w14:textId="12F9B3A0" w:rsidR="00AE60FD" w:rsidRPr="0010138D" w:rsidRDefault="00AE60FD" w:rsidP="00AE60FD">
            <w:pPr>
              <w:rPr>
                <w:rFonts w:ascii="Arial" w:hAnsi="Arial" w:cs="Arial"/>
                <w:bCs/>
                <w:sz w:val="18"/>
                <w:szCs w:val="18"/>
                <w:lang w:val="en-GB"/>
              </w:rPr>
            </w:pPr>
            <w:r w:rsidRPr="0010138D">
              <w:rPr>
                <w:sz w:val="18"/>
                <w:szCs w:val="18"/>
              </w:rPr>
              <w:t>2.080</w:t>
            </w:r>
          </w:p>
        </w:tc>
        <w:tc>
          <w:tcPr>
            <w:tcW w:w="1350" w:type="dxa"/>
          </w:tcPr>
          <w:p w14:paraId="4585526A" w14:textId="3A2F4554" w:rsidR="00AE60FD" w:rsidRPr="0010138D" w:rsidRDefault="003559EA" w:rsidP="00AE60FD">
            <w:pPr>
              <w:rPr>
                <w:rFonts w:ascii="Arial" w:hAnsi="Arial" w:cs="Arial"/>
                <w:bCs/>
                <w:sz w:val="18"/>
                <w:szCs w:val="18"/>
                <w:lang w:val="en-GB"/>
              </w:rPr>
            </w:pPr>
            <w:r w:rsidRPr="0010138D">
              <w:rPr>
                <w:rFonts w:ascii="Arial" w:hAnsi="Arial" w:cs="Arial"/>
                <w:bCs/>
                <w:sz w:val="18"/>
                <w:szCs w:val="18"/>
                <w:lang w:val="en-GB"/>
              </w:rPr>
              <w:t>1.</w:t>
            </w:r>
            <w:r w:rsidR="002914FD" w:rsidRPr="0010138D">
              <w:rPr>
                <w:rFonts w:ascii="Arial" w:hAnsi="Arial" w:cs="Arial"/>
                <w:bCs/>
                <w:sz w:val="18"/>
                <w:szCs w:val="18"/>
                <w:lang w:val="en-GB"/>
              </w:rPr>
              <w:t>135</w:t>
            </w:r>
          </w:p>
        </w:tc>
        <w:tc>
          <w:tcPr>
            <w:tcW w:w="1440" w:type="dxa"/>
          </w:tcPr>
          <w:p w14:paraId="6B1F8530" w14:textId="2C8C95E1" w:rsidR="00AE60FD" w:rsidRPr="0010138D" w:rsidRDefault="002914FD" w:rsidP="00AE60FD">
            <w:pPr>
              <w:rPr>
                <w:rFonts w:ascii="Arial" w:hAnsi="Arial" w:cs="Arial"/>
                <w:bCs/>
                <w:sz w:val="18"/>
                <w:szCs w:val="18"/>
                <w:lang w:val="en-GB"/>
              </w:rPr>
            </w:pPr>
            <w:r w:rsidRPr="0010138D">
              <w:rPr>
                <w:rFonts w:ascii="Arial" w:hAnsi="Arial" w:cs="Arial"/>
                <w:bCs/>
                <w:sz w:val="18"/>
                <w:szCs w:val="18"/>
                <w:lang w:val="en-GB"/>
              </w:rPr>
              <w:t>1.350</w:t>
            </w:r>
          </w:p>
        </w:tc>
      </w:tr>
      <w:tr w:rsidR="00AE60FD" w:rsidRPr="0010138D" w14:paraId="096AC011" w14:textId="77777777" w:rsidTr="00AE60FD">
        <w:tc>
          <w:tcPr>
            <w:tcW w:w="1255" w:type="dxa"/>
          </w:tcPr>
          <w:p w14:paraId="0CD41DC7" w14:textId="10A984B7" w:rsidR="00AE60FD" w:rsidRPr="0010138D" w:rsidRDefault="00AE60FD" w:rsidP="00AE60FD">
            <w:pPr>
              <w:rPr>
                <w:rFonts w:ascii="Arial" w:hAnsi="Arial" w:cs="Arial"/>
                <w:bCs/>
                <w:sz w:val="18"/>
                <w:szCs w:val="18"/>
                <w:lang w:val="en-GB"/>
              </w:rPr>
            </w:pPr>
            <w:r w:rsidRPr="0010138D">
              <w:rPr>
                <w:sz w:val="18"/>
                <w:szCs w:val="18"/>
              </w:rPr>
              <w:t>25</w:t>
            </w:r>
          </w:p>
        </w:tc>
        <w:tc>
          <w:tcPr>
            <w:tcW w:w="1260" w:type="dxa"/>
          </w:tcPr>
          <w:p w14:paraId="40870A33" w14:textId="525524AA" w:rsidR="00AE60FD" w:rsidRPr="0010138D" w:rsidRDefault="00AE60FD" w:rsidP="00AE60FD">
            <w:pPr>
              <w:rPr>
                <w:rFonts w:ascii="Arial" w:hAnsi="Arial" w:cs="Arial"/>
                <w:bCs/>
                <w:sz w:val="18"/>
                <w:szCs w:val="18"/>
                <w:lang w:val="en-GB"/>
              </w:rPr>
            </w:pPr>
            <w:r w:rsidRPr="0010138D">
              <w:rPr>
                <w:sz w:val="18"/>
                <w:szCs w:val="18"/>
              </w:rPr>
              <w:t>0.200</w:t>
            </w:r>
          </w:p>
        </w:tc>
        <w:tc>
          <w:tcPr>
            <w:tcW w:w="1260" w:type="dxa"/>
          </w:tcPr>
          <w:p w14:paraId="179F1521" w14:textId="5AB4DF49" w:rsidR="00AE60FD" w:rsidRPr="0010138D" w:rsidRDefault="002914FD" w:rsidP="00AE60FD">
            <w:pPr>
              <w:rPr>
                <w:rFonts w:ascii="Arial" w:hAnsi="Arial" w:cs="Arial"/>
                <w:bCs/>
                <w:sz w:val="18"/>
                <w:szCs w:val="18"/>
                <w:lang w:val="en-GB"/>
              </w:rPr>
            </w:pPr>
            <w:r w:rsidRPr="0010138D">
              <w:rPr>
                <w:sz w:val="18"/>
                <w:szCs w:val="18"/>
              </w:rPr>
              <w:t>1</w:t>
            </w:r>
            <w:r w:rsidR="00763D6E" w:rsidRPr="0010138D">
              <w:rPr>
                <w:sz w:val="18"/>
                <w:szCs w:val="18"/>
              </w:rPr>
              <w:t>.</w:t>
            </w:r>
            <w:r w:rsidRPr="0010138D">
              <w:rPr>
                <w:sz w:val="18"/>
                <w:szCs w:val="18"/>
              </w:rPr>
              <w:t>9</w:t>
            </w:r>
            <w:r w:rsidR="00763D6E" w:rsidRPr="0010138D">
              <w:rPr>
                <w:sz w:val="18"/>
                <w:szCs w:val="18"/>
              </w:rPr>
              <w:t>79</w:t>
            </w:r>
          </w:p>
        </w:tc>
        <w:tc>
          <w:tcPr>
            <w:tcW w:w="1260" w:type="dxa"/>
          </w:tcPr>
          <w:p w14:paraId="4CFA5B38" w14:textId="106CBA00" w:rsidR="00AE60FD" w:rsidRPr="0010138D" w:rsidRDefault="00AE60FD" w:rsidP="00AE60FD">
            <w:pPr>
              <w:rPr>
                <w:rFonts w:ascii="Arial" w:hAnsi="Arial" w:cs="Arial"/>
                <w:bCs/>
                <w:sz w:val="18"/>
                <w:szCs w:val="18"/>
                <w:lang w:val="en-GB"/>
              </w:rPr>
            </w:pPr>
            <w:r w:rsidRPr="0010138D">
              <w:rPr>
                <w:sz w:val="18"/>
                <w:szCs w:val="18"/>
              </w:rPr>
              <w:t>1.780</w:t>
            </w:r>
          </w:p>
        </w:tc>
        <w:tc>
          <w:tcPr>
            <w:tcW w:w="1350" w:type="dxa"/>
          </w:tcPr>
          <w:p w14:paraId="3B8A5114" w14:textId="22BAB803" w:rsidR="00AE60FD" w:rsidRPr="0010138D" w:rsidRDefault="003559EA" w:rsidP="00AE60FD">
            <w:pPr>
              <w:rPr>
                <w:rFonts w:ascii="Arial" w:hAnsi="Arial" w:cs="Arial"/>
                <w:bCs/>
                <w:sz w:val="18"/>
                <w:szCs w:val="18"/>
                <w:lang w:val="en-GB"/>
              </w:rPr>
            </w:pPr>
            <w:r w:rsidRPr="0010138D">
              <w:rPr>
                <w:rFonts w:ascii="Arial" w:hAnsi="Arial" w:cs="Arial"/>
                <w:bCs/>
                <w:sz w:val="18"/>
                <w:szCs w:val="18"/>
                <w:lang w:val="en-GB"/>
              </w:rPr>
              <w:t>1.</w:t>
            </w:r>
            <w:r w:rsidR="002914FD" w:rsidRPr="0010138D">
              <w:rPr>
                <w:rFonts w:ascii="Arial" w:hAnsi="Arial" w:cs="Arial"/>
                <w:bCs/>
                <w:sz w:val="18"/>
                <w:szCs w:val="18"/>
                <w:lang w:val="en-GB"/>
              </w:rPr>
              <w:t>112</w:t>
            </w:r>
          </w:p>
        </w:tc>
        <w:tc>
          <w:tcPr>
            <w:tcW w:w="1440" w:type="dxa"/>
          </w:tcPr>
          <w:p w14:paraId="17C55C18" w14:textId="22B767C3" w:rsidR="00AE60FD" w:rsidRPr="0010138D" w:rsidRDefault="002914FD" w:rsidP="00AE60FD">
            <w:pPr>
              <w:rPr>
                <w:rFonts w:ascii="Arial" w:hAnsi="Arial" w:cs="Arial"/>
                <w:bCs/>
                <w:sz w:val="18"/>
                <w:szCs w:val="18"/>
                <w:lang w:val="en-GB"/>
              </w:rPr>
            </w:pPr>
            <w:r w:rsidRPr="0010138D">
              <w:rPr>
                <w:rFonts w:ascii="Arial" w:hAnsi="Arial" w:cs="Arial"/>
                <w:bCs/>
                <w:sz w:val="18"/>
                <w:szCs w:val="18"/>
                <w:lang w:val="en-GB"/>
              </w:rPr>
              <w:t>1.120</w:t>
            </w:r>
          </w:p>
        </w:tc>
      </w:tr>
      <w:tr w:rsidR="00AE60FD" w:rsidRPr="0010138D" w14:paraId="7B0F0CA3" w14:textId="77777777" w:rsidTr="00AE60FD">
        <w:tc>
          <w:tcPr>
            <w:tcW w:w="1255" w:type="dxa"/>
          </w:tcPr>
          <w:p w14:paraId="5F56FA41" w14:textId="067E56DC" w:rsidR="00AE60FD" w:rsidRPr="0010138D" w:rsidRDefault="00AE60FD" w:rsidP="00AE60FD">
            <w:pPr>
              <w:rPr>
                <w:rFonts w:ascii="Arial" w:hAnsi="Arial" w:cs="Arial"/>
                <w:bCs/>
                <w:sz w:val="18"/>
                <w:szCs w:val="18"/>
                <w:lang w:val="en-GB"/>
              </w:rPr>
            </w:pPr>
            <w:r w:rsidRPr="0010138D">
              <w:rPr>
                <w:sz w:val="18"/>
                <w:szCs w:val="18"/>
              </w:rPr>
              <w:t>50</w:t>
            </w:r>
          </w:p>
        </w:tc>
        <w:tc>
          <w:tcPr>
            <w:tcW w:w="1260" w:type="dxa"/>
          </w:tcPr>
          <w:p w14:paraId="26CB84A7" w14:textId="37D6E49A" w:rsidR="00AE60FD" w:rsidRPr="0010138D" w:rsidRDefault="00AE60FD" w:rsidP="00AE60FD">
            <w:pPr>
              <w:rPr>
                <w:rFonts w:ascii="Arial" w:hAnsi="Arial" w:cs="Arial"/>
                <w:bCs/>
                <w:sz w:val="18"/>
                <w:szCs w:val="18"/>
                <w:lang w:val="en-GB"/>
              </w:rPr>
            </w:pPr>
            <w:r w:rsidRPr="0010138D">
              <w:rPr>
                <w:sz w:val="18"/>
                <w:szCs w:val="18"/>
              </w:rPr>
              <w:t>0.420</w:t>
            </w:r>
          </w:p>
        </w:tc>
        <w:tc>
          <w:tcPr>
            <w:tcW w:w="1260" w:type="dxa"/>
          </w:tcPr>
          <w:p w14:paraId="68ACC9DD" w14:textId="0E96C0CD" w:rsidR="00AE60FD" w:rsidRPr="0010138D" w:rsidRDefault="00AE60FD" w:rsidP="00AE60FD">
            <w:pPr>
              <w:rPr>
                <w:rFonts w:ascii="Arial" w:hAnsi="Arial" w:cs="Arial"/>
                <w:bCs/>
                <w:sz w:val="18"/>
                <w:szCs w:val="18"/>
                <w:lang w:val="en-GB"/>
              </w:rPr>
            </w:pPr>
            <w:r w:rsidRPr="0010138D">
              <w:rPr>
                <w:sz w:val="18"/>
                <w:szCs w:val="18"/>
              </w:rPr>
              <w:t>1.</w:t>
            </w:r>
            <w:r w:rsidR="002914FD" w:rsidRPr="0010138D">
              <w:rPr>
                <w:sz w:val="18"/>
                <w:szCs w:val="18"/>
              </w:rPr>
              <w:t>5</w:t>
            </w:r>
            <w:r w:rsidR="00763D6E" w:rsidRPr="0010138D">
              <w:rPr>
                <w:sz w:val="18"/>
                <w:szCs w:val="18"/>
              </w:rPr>
              <w:t>80</w:t>
            </w:r>
          </w:p>
        </w:tc>
        <w:tc>
          <w:tcPr>
            <w:tcW w:w="1260" w:type="dxa"/>
          </w:tcPr>
          <w:p w14:paraId="47C92343" w14:textId="3628404E" w:rsidR="00AE60FD" w:rsidRPr="0010138D" w:rsidRDefault="00AE60FD" w:rsidP="00AE60FD">
            <w:pPr>
              <w:rPr>
                <w:rFonts w:ascii="Arial" w:hAnsi="Arial" w:cs="Arial"/>
                <w:bCs/>
                <w:sz w:val="18"/>
                <w:szCs w:val="18"/>
                <w:lang w:val="en-GB"/>
              </w:rPr>
            </w:pPr>
            <w:r w:rsidRPr="0010138D">
              <w:rPr>
                <w:sz w:val="18"/>
                <w:szCs w:val="18"/>
              </w:rPr>
              <w:t>1.450</w:t>
            </w:r>
          </w:p>
        </w:tc>
        <w:tc>
          <w:tcPr>
            <w:tcW w:w="1350" w:type="dxa"/>
          </w:tcPr>
          <w:p w14:paraId="0A5AA479" w14:textId="6CBCF2AA" w:rsidR="00AE60FD" w:rsidRPr="0010138D" w:rsidRDefault="003559EA" w:rsidP="00AE60FD">
            <w:pPr>
              <w:rPr>
                <w:rFonts w:ascii="Arial" w:hAnsi="Arial" w:cs="Arial"/>
                <w:bCs/>
                <w:sz w:val="18"/>
                <w:szCs w:val="18"/>
                <w:lang w:val="en-GB"/>
              </w:rPr>
            </w:pPr>
            <w:r w:rsidRPr="0010138D">
              <w:rPr>
                <w:rFonts w:ascii="Arial" w:hAnsi="Arial" w:cs="Arial"/>
                <w:bCs/>
                <w:sz w:val="18"/>
                <w:szCs w:val="18"/>
                <w:lang w:val="en-GB"/>
              </w:rPr>
              <w:t>1.</w:t>
            </w:r>
            <w:r w:rsidR="002914FD" w:rsidRPr="0010138D">
              <w:rPr>
                <w:rFonts w:ascii="Arial" w:hAnsi="Arial" w:cs="Arial"/>
                <w:bCs/>
                <w:sz w:val="18"/>
                <w:szCs w:val="18"/>
                <w:lang w:val="en-GB"/>
              </w:rPr>
              <w:t>090</w:t>
            </w:r>
          </w:p>
        </w:tc>
        <w:tc>
          <w:tcPr>
            <w:tcW w:w="1440" w:type="dxa"/>
          </w:tcPr>
          <w:p w14:paraId="72F6A46E" w14:textId="35BA6B7B" w:rsidR="00AE60FD" w:rsidRPr="0010138D" w:rsidRDefault="00470796" w:rsidP="00AE60FD">
            <w:pPr>
              <w:rPr>
                <w:rFonts w:ascii="Arial" w:hAnsi="Arial" w:cs="Arial"/>
                <w:bCs/>
                <w:sz w:val="18"/>
                <w:szCs w:val="18"/>
                <w:lang w:val="en-GB"/>
              </w:rPr>
            </w:pPr>
            <w:r w:rsidRPr="0010138D">
              <w:rPr>
                <w:rFonts w:ascii="Arial" w:hAnsi="Arial" w:cs="Arial"/>
                <w:bCs/>
                <w:sz w:val="18"/>
                <w:szCs w:val="18"/>
                <w:lang w:val="en-GB"/>
              </w:rPr>
              <w:t>0.</w:t>
            </w:r>
            <w:r w:rsidR="002914FD" w:rsidRPr="0010138D">
              <w:rPr>
                <w:rFonts w:ascii="Arial" w:hAnsi="Arial" w:cs="Arial"/>
                <w:bCs/>
                <w:sz w:val="18"/>
                <w:szCs w:val="18"/>
                <w:lang w:val="en-GB"/>
              </w:rPr>
              <w:t>900</w:t>
            </w:r>
          </w:p>
        </w:tc>
      </w:tr>
      <w:tr w:rsidR="00AE60FD" w:rsidRPr="0010138D" w14:paraId="3EC7EE7F" w14:textId="77777777" w:rsidTr="00AE60FD">
        <w:tc>
          <w:tcPr>
            <w:tcW w:w="1255" w:type="dxa"/>
          </w:tcPr>
          <w:p w14:paraId="0B64D303" w14:textId="6761A2F5" w:rsidR="00AE60FD" w:rsidRPr="0010138D" w:rsidRDefault="00AE60FD" w:rsidP="00AE60FD">
            <w:pPr>
              <w:rPr>
                <w:rFonts w:ascii="Arial" w:hAnsi="Arial" w:cs="Arial"/>
                <w:bCs/>
                <w:sz w:val="18"/>
                <w:szCs w:val="18"/>
                <w:lang w:val="en-GB"/>
              </w:rPr>
            </w:pPr>
            <w:r w:rsidRPr="0010138D">
              <w:rPr>
                <w:sz w:val="18"/>
                <w:szCs w:val="18"/>
              </w:rPr>
              <w:t>75</w:t>
            </w:r>
          </w:p>
        </w:tc>
        <w:tc>
          <w:tcPr>
            <w:tcW w:w="1260" w:type="dxa"/>
          </w:tcPr>
          <w:p w14:paraId="35FFCF11" w14:textId="27B56D9E" w:rsidR="00AE60FD" w:rsidRPr="0010138D" w:rsidRDefault="00AE60FD" w:rsidP="00AE60FD">
            <w:pPr>
              <w:rPr>
                <w:rFonts w:ascii="Arial" w:hAnsi="Arial" w:cs="Arial"/>
                <w:bCs/>
                <w:sz w:val="18"/>
                <w:szCs w:val="18"/>
                <w:lang w:val="en-GB"/>
              </w:rPr>
            </w:pPr>
            <w:r w:rsidRPr="0010138D">
              <w:rPr>
                <w:sz w:val="18"/>
                <w:szCs w:val="18"/>
              </w:rPr>
              <w:t>0.680</w:t>
            </w:r>
          </w:p>
        </w:tc>
        <w:tc>
          <w:tcPr>
            <w:tcW w:w="1260" w:type="dxa"/>
          </w:tcPr>
          <w:p w14:paraId="31B782C3" w14:textId="0B073726" w:rsidR="00AE60FD" w:rsidRPr="0010138D" w:rsidRDefault="00AE60FD" w:rsidP="00AE60FD">
            <w:pPr>
              <w:rPr>
                <w:rFonts w:ascii="Arial" w:hAnsi="Arial" w:cs="Arial"/>
                <w:bCs/>
                <w:sz w:val="18"/>
                <w:szCs w:val="18"/>
                <w:lang w:val="en-GB"/>
              </w:rPr>
            </w:pPr>
            <w:r w:rsidRPr="0010138D">
              <w:rPr>
                <w:sz w:val="18"/>
                <w:szCs w:val="18"/>
              </w:rPr>
              <w:t>1.</w:t>
            </w:r>
            <w:r w:rsidR="002914FD" w:rsidRPr="0010138D">
              <w:rPr>
                <w:sz w:val="18"/>
                <w:szCs w:val="18"/>
              </w:rPr>
              <w:t>135</w:t>
            </w:r>
          </w:p>
        </w:tc>
        <w:tc>
          <w:tcPr>
            <w:tcW w:w="1260" w:type="dxa"/>
          </w:tcPr>
          <w:p w14:paraId="68204688" w14:textId="4137D3EA" w:rsidR="00AE60FD" w:rsidRPr="0010138D" w:rsidRDefault="00AE60FD" w:rsidP="00AE60FD">
            <w:pPr>
              <w:rPr>
                <w:rFonts w:ascii="Arial" w:hAnsi="Arial" w:cs="Arial"/>
                <w:bCs/>
                <w:sz w:val="18"/>
                <w:szCs w:val="18"/>
                <w:lang w:val="en-GB"/>
              </w:rPr>
            </w:pPr>
            <w:r w:rsidRPr="0010138D">
              <w:rPr>
                <w:sz w:val="18"/>
                <w:szCs w:val="18"/>
              </w:rPr>
              <w:t>1.050</w:t>
            </w:r>
          </w:p>
        </w:tc>
        <w:tc>
          <w:tcPr>
            <w:tcW w:w="1350" w:type="dxa"/>
          </w:tcPr>
          <w:p w14:paraId="393ECB7D" w14:textId="520054DC" w:rsidR="00AE60FD" w:rsidRPr="0010138D" w:rsidRDefault="003559EA" w:rsidP="00AE60FD">
            <w:pPr>
              <w:rPr>
                <w:rFonts w:ascii="Arial" w:hAnsi="Arial" w:cs="Arial"/>
                <w:bCs/>
                <w:sz w:val="18"/>
                <w:szCs w:val="18"/>
                <w:lang w:val="en-GB"/>
              </w:rPr>
            </w:pPr>
            <w:r w:rsidRPr="0010138D">
              <w:rPr>
                <w:rFonts w:ascii="Arial" w:hAnsi="Arial" w:cs="Arial"/>
                <w:bCs/>
                <w:sz w:val="18"/>
                <w:szCs w:val="18"/>
                <w:lang w:val="en-GB"/>
              </w:rPr>
              <w:t>1.</w:t>
            </w:r>
            <w:r w:rsidR="002914FD" w:rsidRPr="0010138D">
              <w:rPr>
                <w:rFonts w:ascii="Arial" w:hAnsi="Arial" w:cs="Arial"/>
                <w:bCs/>
                <w:sz w:val="18"/>
                <w:szCs w:val="18"/>
                <w:lang w:val="en-GB"/>
              </w:rPr>
              <w:t>081</w:t>
            </w:r>
          </w:p>
        </w:tc>
        <w:tc>
          <w:tcPr>
            <w:tcW w:w="1440" w:type="dxa"/>
          </w:tcPr>
          <w:p w14:paraId="67AEFA5F" w14:textId="6487AB53" w:rsidR="00AE60FD" w:rsidRPr="0010138D" w:rsidRDefault="00470796" w:rsidP="00AE60FD">
            <w:pPr>
              <w:rPr>
                <w:rFonts w:ascii="Arial" w:hAnsi="Arial" w:cs="Arial"/>
                <w:bCs/>
                <w:sz w:val="18"/>
                <w:szCs w:val="18"/>
                <w:lang w:val="en-GB"/>
              </w:rPr>
            </w:pPr>
            <w:r w:rsidRPr="0010138D">
              <w:rPr>
                <w:rFonts w:ascii="Arial" w:hAnsi="Arial" w:cs="Arial"/>
                <w:bCs/>
                <w:sz w:val="18"/>
                <w:szCs w:val="18"/>
                <w:lang w:val="en-GB"/>
              </w:rPr>
              <w:t>0.</w:t>
            </w:r>
            <w:r w:rsidR="000B2974" w:rsidRPr="0010138D">
              <w:rPr>
                <w:rFonts w:ascii="Arial" w:hAnsi="Arial" w:cs="Arial"/>
                <w:bCs/>
                <w:sz w:val="18"/>
                <w:szCs w:val="18"/>
                <w:lang w:val="en-GB"/>
              </w:rPr>
              <w:t>810</w:t>
            </w:r>
          </w:p>
        </w:tc>
      </w:tr>
      <w:tr w:rsidR="00AE60FD" w:rsidRPr="0010138D" w14:paraId="10DB7073" w14:textId="77777777" w:rsidTr="00AE60FD">
        <w:tc>
          <w:tcPr>
            <w:tcW w:w="1255" w:type="dxa"/>
          </w:tcPr>
          <w:p w14:paraId="17154BC4" w14:textId="527C366C" w:rsidR="00AE60FD" w:rsidRPr="0010138D" w:rsidRDefault="00AE60FD" w:rsidP="00AE60FD">
            <w:pPr>
              <w:rPr>
                <w:rFonts w:ascii="Arial" w:hAnsi="Arial" w:cs="Arial"/>
                <w:bCs/>
                <w:sz w:val="18"/>
                <w:szCs w:val="18"/>
                <w:lang w:val="en-GB"/>
              </w:rPr>
            </w:pPr>
            <w:r w:rsidRPr="0010138D">
              <w:rPr>
                <w:sz w:val="18"/>
                <w:szCs w:val="18"/>
              </w:rPr>
              <w:t>100</w:t>
            </w:r>
          </w:p>
        </w:tc>
        <w:tc>
          <w:tcPr>
            <w:tcW w:w="1260" w:type="dxa"/>
          </w:tcPr>
          <w:p w14:paraId="27085893" w14:textId="0240A97A" w:rsidR="00AE60FD" w:rsidRPr="0010138D" w:rsidRDefault="00AE60FD" w:rsidP="00AE60FD">
            <w:pPr>
              <w:rPr>
                <w:rFonts w:ascii="Arial" w:hAnsi="Arial" w:cs="Arial"/>
                <w:bCs/>
                <w:sz w:val="18"/>
                <w:szCs w:val="18"/>
                <w:lang w:val="en-GB"/>
              </w:rPr>
            </w:pPr>
            <w:r w:rsidRPr="0010138D">
              <w:rPr>
                <w:sz w:val="18"/>
                <w:szCs w:val="18"/>
              </w:rPr>
              <w:t>1.000</w:t>
            </w:r>
          </w:p>
        </w:tc>
        <w:tc>
          <w:tcPr>
            <w:tcW w:w="1260" w:type="dxa"/>
          </w:tcPr>
          <w:p w14:paraId="063AC5FD" w14:textId="328B362D" w:rsidR="00AE60FD" w:rsidRPr="0010138D" w:rsidRDefault="000B2974" w:rsidP="00AE60FD">
            <w:pPr>
              <w:rPr>
                <w:rFonts w:ascii="Arial" w:hAnsi="Arial" w:cs="Arial"/>
                <w:bCs/>
                <w:sz w:val="18"/>
                <w:szCs w:val="18"/>
                <w:lang w:val="en-GB"/>
              </w:rPr>
            </w:pPr>
            <w:r w:rsidRPr="0010138D">
              <w:rPr>
                <w:sz w:val="18"/>
                <w:szCs w:val="18"/>
              </w:rPr>
              <w:t>0.901</w:t>
            </w:r>
          </w:p>
        </w:tc>
        <w:tc>
          <w:tcPr>
            <w:tcW w:w="1260" w:type="dxa"/>
          </w:tcPr>
          <w:p w14:paraId="17CA326F" w14:textId="2DF46B25" w:rsidR="00AE60FD" w:rsidRPr="0010138D" w:rsidRDefault="000B2974" w:rsidP="00AE60FD">
            <w:pPr>
              <w:rPr>
                <w:rFonts w:ascii="Arial" w:hAnsi="Arial" w:cs="Arial"/>
                <w:bCs/>
                <w:sz w:val="18"/>
                <w:szCs w:val="18"/>
                <w:lang w:val="en-GB"/>
              </w:rPr>
            </w:pPr>
            <w:r w:rsidRPr="0010138D">
              <w:rPr>
                <w:sz w:val="18"/>
                <w:szCs w:val="18"/>
              </w:rPr>
              <w:t>1.042</w:t>
            </w:r>
          </w:p>
        </w:tc>
        <w:tc>
          <w:tcPr>
            <w:tcW w:w="1350" w:type="dxa"/>
          </w:tcPr>
          <w:p w14:paraId="42FD96A7" w14:textId="267C4105" w:rsidR="00AE60FD" w:rsidRPr="0010138D" w:rsidRDefault="003559EA" w:rsidP="00AE60FD">
            <w:pPr>
              <w:rPr>
                <w:rFonts w:ascii="Arial" w:hAnsi="Arial" w:cs="Arial"/>
                <w:bCs/>
                <w:sz w:val="18"/>
                <w:szCs w:val="18"/>
                <w:lang w:val="en-GB"/>
              </w:rPr>
            </w:pPr>
            <w:r w:rsidRPr="0010138D">
              <w:rPr>
                <w:rFonts w:ascii="Arial" w:hAnsi="Arial" w:cs="Arial"/>
                <w:bCs/>
                <w:sz w:val="18"/>
                <w:szCs w:val="18"/>
                <w:lang w:val="en-GB"/>
              </w:rPr>
              <w:t>1.</w:t>
            </w:r>
            <w:r w:rsidR="00431C06" w:rsidRPr="0010138D">
              <w:rPr>
                <w:rFonts w:ascii="Arial" w:hAnsi="Arial" w:cs="Arial"/>
                <w:bCs/>
                <w:sz w:val="18"/>
                <w:szCs w:val="18"/>
                <w:lang w:val="en-GB"/>
              </w:rPr>
              <w:t>162</w:t>
            </w:r>
          </w:p>
        </w:tc>
        <w:tc>
          <w:tcPr>
            <w:tcW w:w="1440" w:type="dxa"/>
          </w:tcPr>
          <w:p w14:paraId="530F667B" w14:textId="433F4002" w:rsidR="00AE60FD" w:rsidRPr="0010138D" w:rsidRDefault="00470796" w:rsidP="00AE60FD">
            <w:pPr>
              <w:rPr>
                <w:rFonts w:ascii="Arial" w:hAnsi="Arial" w:cs="Arial"/>
                <w:bCs/>
                <w:sz w:val="18"/>
                <w:szCs w:val="18"/>
                <w:lang w:val="en-GB"/>
              </w:rPr>
            </w:pPr>
            <w:r w:rsidRPr="0010138D">
              <w:rPr>
                <w:rFonts w:ascii="Arial" w:hAnsi="Arial" w:cs="Arial"/>
                <w:bCs/>
                <w:sz w:val="18"/>
                <w:szCs w:val="18"/>
                <w:lang w:val="en-GB"/>
              </w:rPr>
              <w:t>0.</w:t>
            </w:r>
            <w:r w:rsidR="000B2974" w:rsidRPr="0010138D">
              <w:rPr>
                <w:rFonts w:ascii="Arial" w:hAnsi="Arial" w:cs="Arial"/>
                <w:bCs/>
                <w:sz w:val="18"/>
                <w:szCs w:val="18"/>
                <w:lang w:val="en-GB"/>
              </w:rPr>
              <w:t>42</w:t>
            </w:r>
          </w:p>
        </w:tc>
      </w:tr>
      <w:bookmarkEnd w:id="31"/>
    </w:tbl>
    <w:p w14:paraId="31933578" w14:textId="77777777" w:rsidR="005C1FAE" w:rsidRDefault="005C1FAE" w:rsidP="00CC6C24">
      <w:pPr>
        <w:rPr>
          <w:rFonts w:ascii="Arial" w:hAnsi="Arial" w:cs="Arial"/>
          <w:bCs/>
          <w:sz w:val="20"/>
          <w:szCs w:val="20"/>
          <w:lang w:val="en-GB"/>
        </w:rPr>
      </w:pPr>
    </w:p>
    <w:p w14:paraId="59DDDE04" w14:textId="0EDBA9FC" w:rsidR="005842A7" w:rsidRPr="0010138D" w:rsidRDefault="005842A7" w:rsidP="005842A7">
      <w:pPr>
        <w:rPr>
          <w:rFonts w:ascii="Arial" w:hAnsi="Arial" w:cs="Arial"/>
          <w:bCs/>
          <w:sz w:val="18"/>
          <w:szCs w:val="18"/>
          <w:lang w:val="en-GB"/>
        </w:rPr>
      </w:pPr>
      <w:r w:rsidRPr="0010138D">
        <w:rPr>
          <w:rFonts w:ascii="Arial" w:hAnsi="Arial" w:cs="Arial"/>
          <w:bCs/>
          <w:sz w:val="18"/>
          <w:szCs w:val="18"/>
          <w:lang w:val="en-GB"/>
        </w:rPr>
        <w:t xml:space="preserve">Table </w:t>
      </w:r>
      <w:r w:rsidR="00723FAC">
        <w:rPr>
          <w:rFonts w:ascii="Arial" w:hAnsi="Arial" w:cs="Arial"/>
          <w:bCs/>
          <w:sz w:val="18"/>
          <w:szCs w:val="18"/>
          <w:lang w:val="en-GB"/>
        </w:rPr>
        <w:t>3</w:t>
      </w:r>
      <w:r w:rsidRPr="0010138D">
        <w:rPr>
          <w:rFonts w:ascii="Arial" w:hAnsi="Arial" w:cs="Arial"/>
          <w:bCs/>
          <w:sz w:val="18"/>
          <w:szCs w:val="18"/>
          <w:lang w:val="en-GB"/>
        </w:rPr>
        <w:t>: Jones-Dole Parameters for 0.05 M ZnCl</w:t>
      </w:r>
      <w:r w:rsidRPr="0010138D">
        <w:rPr>
          <w:rFonts w:ascii="Arial" w:hAnsi="Arial" w:cs="Arial"/>
          <w:bCs/>
          <w:sz w:val="18"/>
          <w:szCs w:val="18"/>
          <w:vertAlign w:val="subscript"/>
          <w:lang w:val="en-GB"/>
        </w:rPr>
        <w:t>2</w:t>
      </w:r>
      <w:r w:rsidRPr="0010138D">
        <w:rPr>
          <w:rFonts w:ascii="Arial" w:hAnsi="Arial" w:cs="Arial"/>
          <w:bCs/>
          <w:sz w:val="18"/>
          <w:szCs w:val="18"/>
          <w:lang w:val="en-GB"/>
        </w:rPr>
        <w:t xml:space="preserve"> in PC-DME mixtures at 298.15 K</w:t>
      </w:r>
    </w:p>
    <w:tbl>
      <w:tblPr>
        <w:tblStyle w:val="TableGrid"/>
        <w:tblW w:w="0" w:type="auto"/>
        <w:tblLook w:val="04A0" w:firstRow="1" w:lastRow="0" w:firstColumn="1" w:lastColumn="0" w:noHBand="0" w:noVBand="1"/>
      </w:tblPr>
      <w:tblGrid>
        <w:gridCol w:w="1255"/>
        <w:gridCol w:w="1260"/>
        <w:gridCol w:w="1350"/>
        <w:gridCol w:w="1170"/>
        <w:gridCol w:w="1350"/>
        <w:gridCol w:w="1440"/>
      </w:tblGrid>
      <w:tr w:rsidR="00BB08B3" w:rsidRPr="0010138D" w14:paraId="452999D6" w14:textId="77777777" w:rsidTr="00BB08B3">
        <w:tc>
          <w:tcPr>
            <w:tcW w:w="1255" w:type="dxa"/>
          </w:tcPr>
          <w:p w14:paraId="2F9B2090" w14:textId="75F9535D" w:rsidR="00BB08B3" w:rsidRPr="0010138D" w:rsidRDefault="00BB08B3" w:rsidP="00BB08B3">
            <w:pPr>
              <w:rPr>
                <w:rFonts w:ascii="Arial" w:hAnsi="Arial" w:cs="Arial"/>
                <w:bCs/>
                <w:sz w:val="18"/>
                <w:szCs w:val="18"/>
                <w:lang w:val="en-GB"/>
              </w:rPr>
            </w:pPr>
            <w:r w:rsidRPr="0010138D">
              <w:rPr>
                <w:sz w:val="18"/>
                <w:szCs w:val="18"/>
              </w:rPr>
              <w:t>% DME</w:t>
            </w:r>
          </w:p>
        </w:tc>
        <w:tc>
          <w:tcPr>
            <w:tcW w:w="1260" w:type="dxa"/>
          </w:tcPr>
          <w:p w14:paraId="6D3CF75F" w14:textId="7900121D" w:rsidR="00BB08B3" w:rsidRPr="0010138D" w:rsidRDefault="00BB08B3" w:rsidP="00BB08B3">
            <w:pPr>
              <w:rPr>
                <w:rFonts w:ascii="Arial" w:hAnsi="Arial" w:cs="Arial"/>
                <w:bCs/>
                <w:sz w:val="18"/>
                <w:szCs w:val="18"/>
                <w:lang w:val="en-GB"/>
              </w:rPr>
            </w:pPr>
            <w:r w:rsidRPr="0010138D">
              <w:rPr>
                <w:sz w:val="18"/>
                <w:szCs w:val="18"/>
              </w:rPr>
              <w:t>X1</w:t>
            </w:r>
          </w:p>
        </w:tc>
        <w:tc>
          <w:tcPr>
            <w:tcW w:w="1350" w:type="dxa"/>
          </w:tcPr>
          <w:p w14:paraId="56EAE727" w14:textId="1B2D242B" w:rsidR="00BB08B3" w:rsidRPr="0010138D" w:rsidRDefault="00BB08B3" w:rsidP="00BB08B3">
            <w:pPr>
              <w:rPr>
                <w:rFonts w:ascii="Arial" w:hAnsi="Arial" w:cs="Arial"/>
                <w:bCs/>
                <w:sz w:val="18"/>
                <w:szCs w:val="18"/>
                <w:lang w:val="en-GB"/>
              </w:rPr>
            </w:pPr>
            <w:r w:rsidRPr="0010138D">
              <w:rPr>
                <w:bCs/>
                <w:i/>
                <w:sz w:val="18"/>
                <w:szCs w:val="18"/>
                <w:lang w:val="en-GB"/>
              </w:rPr>
              <w:sym w:font="Symbol" w:char="F068"/>
            </w:r>
          </w:p>
        </w:tc>
        <w:tc>
          <w:tcPr>
            <w:tcW w:w="1170" w:type="dxa"/>
          </w:tcPr>
          <w:p w14:paraId="0CB2B5E3" w14:textId="2DD157BE" w:rsidR="00BB08B3" w:rsidRPr="0010138D" w:rsidRDefault="00702B22" w:rsidP="00BB08B3">
            <w:pPr>
              <w:rPr>
                <w:rFonts w:ascii="Arial" w:hAnsi="Arial" w:cs="Arial"/>
                <w:bCs/>
                <w:sz w:val="18"/>
                <w:szCs w:val="18"/>
                <w:lang w:val="en-GB"/>
              </w:rPr>
            </w:pPr>
            <m:oMathPara>
              <m:oMath>
                <m:sSub>
                  <m:sSubPr>
                    <m:ctrlPr>
                      <w:rPr>
                        <w:rFonts w:ascii="Cambria Math" w:hAnsi="Cambria Math" w:cs="Arial"/>
                        <w:bCs/>
                        <w:i/>
                        <w:sz w:val="18"/>
                        <w:szCs w:val="18"/>
                        <w:lang w:val="en-GB"/>
                      </w:rPr>
                    </m:ctrlPr>
                  </m:sSubPr>
                  <m:e>
                    <m:r>
                      <w:rPr>
                        <w:rFonts w:ascii="Cambria Math" w:hAnsi="Cambria Math" w:cs="Arial"/>
                        <w:bCs/>
                        <w:i/>
                        <w:sz w:val="18"/>
                        <w:szCs w:val="18"/>
                        <w:lang w:val="en-GB"/>
                      </w:rPr>
                      <w:sym w:font="Symbol" w:char="F068"/>
                    </m:r>
                  </m:e>
                  <m:sub>
                    <m:r>
                      <w:rPr>
                        <w:rFonts w:ascii="Cambria Math" w:hAnsi="Cambria Math" w:cs="Arial"/>
                        <w:sz w:val="18"/>
                        <w:szCs w:val="18"/>
                        <w:lang w:val="en-GB"/>
                      </w:rPr>
                      <m:t>ₒ</m:t>
                    </m:r>
                  </m:sub>
                </m:sSub>
              </m:oMath>
            </m:oMathPara>
          </w:p>
        </w:tc>
        <w:tc>
          <w:tcPr>
            <w:tcW w:w="1350" w:type="dxa"/>
          </w:tcPr>
          <w:p w14:paraId="3EF87C76" w14:textId="531FF0DC" w:rsidR="00BB08B3" w:rsidRPr="0010138D" w:rsidRDefault="00BB08B3" w:rsidP="00BB08B3">
            <w:pPr>
              <w:rPr>
                <w:rFonts w:ascii="Arial" w:hAnsi="Arial" w:cs="Arial"/>
                <w:bCs/>
                <w:sz w:val="18"/>
                <w:szCs w:val="18"/>
                <w:lang w:val="en-GB"/>
              </w:rPr>
            </w:pPr>
            <w:r w:rsidRPr="0010138D">
              <w:rPr>
                <w:rFonts w:ascii="Arial" w:hAnsi="Arial" w:cs="Arial"/>
                <w:i/>
                <w:sz w:val="18"/>
                <w:szCs w:val="18"/>
                <w:lang w:val="en-GB"/>
              </w:rPr>
              <w:sym w:font="Symbol" w:char="F068"/>
            </w:r>
            <w:r w:rsidRPr="0010138D">
              <w:rPr>
                <w:rFonts w:ascii="Arial" w:hAnsi="Arial" w:cs="Arial"/>
                <w:sz w:val="18"/>
                <w:szCs w:val="18"/>
                <w:lang w:val="en-GB"/>
              </w:rPr>
              <w:t xml:space="preserve"> </w:t>
            </w:r>
            <w:r w:rsidRPr="0010138D">
              <w:rPr>
                <w:rFonts w:ascii="Arial" w:hAnsi="Arial" w:cs="Arial"/>
                <w:i/>
                <w:sz w:val="18"/>
                <w:szCs w:val="18"/>
                <w:lang w:val="en-GB"/>
              </w:rPr>
              <w:t>/</w:t>
            </w:r>
            <w:r w:rsidRPr="0010138D">
              <w:rPr>
                <w:rFonts w:ascii="Arial" w:hAnsi="Arial" w:cs="Arial"/>
                <w:i/>
                <w:sz w:val="18"/>
                <w:szCs w:val="18"/>
                <w:lang w:val="en-GB"/>
              </w:rPr>
              <w:sym w:font="Symbol" w:char="F068"/>
            </w:r>
            <w:r w:rsidRPr="0010138D">
              <w:rPr>
                <w:rFonts w:ascii="Arial" w:hAnsi="Arial" w:cs="Arial"/>
                <w:sz w:val="18"/>
                <w:szCs w:val="18"/>
                <w:lang w:val="en-GB"/>
              </w:rPr>
              <w:t xml:space="preserve"> </w:t>
            </w:r>
            <w:r w:rsidRPr="0010138D">
              <w:rPr>
                <w:rFonts w:ascii="Arial" w:hAnsi="Arial" w:cs="Arial"/>
                <w:i/>
                <w:sz w:val="18"/>
                <w:szCs w:val="18"/>
                <w:vertAlign w:val="subscript"/>
                <w:lang w:val="en-GB"/>
              </w:rPr>
              <w:t>o</w:t>
            </w:r>
          </w:p>
        </w:tc>
        <w:tc>
          <w:tcPr>
            <w:tcW w:w="1440" w:type="dxa"/>
          </w:tcPr>
          <w:p w14:paraId="5DCBA125" w14:textId="0B6803CA" w:rsidR="00BB08B3" w:rsidRPr="0010138D" w:rsidRDefault="00BB08B3" w:rsidP="00BB08B3">
            <w:pPr>
              <w:rPr>
                <w:rFonts w:ascii="Arial" w:hAnsi="Arial" w:cs="Arial"/>
                <w:bCs/>
                <w:sz w:val="18"/>
                <w:szCs w:val="18"/>
                <w:lang w:val="en-GB"/>
              </w:rPr>
            </w:pPr>
            <m:oMathPara>
              <m:oMath>
                <m:r>
                  <w:rPr>
                    <w:rFonts w:ascii="Cambria Math" w:hAnsi="Cambria Math" w:cs="Arial"/>
                    <w:sz w:val="18"/>
                    <w:szCs w:val="18"/>
                    <w:lang w:val="en-GB"/>
                  </w:rPr>
                  <m:t>(</m:t>
                </m:r>
                <m:sSub>
                  <m:sSubPr>
                    <m:ctrlPr>
                      <w:rPr>
                        <w:rFonts w:ascii="Cambria Math" w:hAnsi="Cambria Math" w:cs="Arial"/>
                        <w:bCs/>
                        <w:i/>
                        <w:sz w:val="18"/>
                        <w:szCs w:val="18"/>
                        <w:lang w:val="en-GB"/>
                      </w:rPr>
                    </m:ctrlPr>
                  </m:sSubPr>
                  <m:e>
                    <m:r>
                      <w:rPr>
                        <w:rFonts w:ascii="Cambria Math" w:hAnsi="Cambria Math" w:cs="Arial"/>
                        <w:bCs/>
                        <w:i/>
                        <w:sz w:val="18"/>
                        <w:szCs w:val="18"/>
                        <w:lang w:val="en-GB"/>
                      </w:rPr>
                      <w:sym w:font="Symbol" w:char="F068"/>
                    </m:r>
                  </m:e>
                  <m:sub>
                    <m:r>
                      <w:rPr>
                        <w:rFonts w:ascii="Cambria Math" w:hAnsi="Cambria Math" w:cs="Arial"/>
                        <w:sz w:val="18"/>
                        <w:szCs w:val="18"/>
                        <w:vertAlign w:val="subscript"/>
                        <w:lang w:val="en-GB"/>
                      </w:rPr>
                      <m:t>r</m:t>
                    </m:r>
                  </m:sub>
                </m:sSub>
                <m:r>
                  <w:rPr>
                    <w:rFonts w:ascii="Cambria Math" w:hAnsi="Cambria Math" w:cs="Arial"/>
                    <w:sz w:val="18"/>
                    <w:szCs w:val="18"/>
                    <w:lang w:val="en-GB"/>
                  </w:rPr>
                  <m:t>-1)/</m:t>
                </m:r>
                <m:sSup>
                  <m:sSupPr>
                    <m:ctrlPr>
                      <w:rPr>
                        <w:rFonts w:ascii="Cambria Math" w:hAnsi="Cambria Math" w:cs="Arial"/>
                        <w:bCs/>
                        <w:i/>
                        <w:sz w:val="18"/>
                        <w:szCs w:val="18"/>
                        <w:lang w:val="en-GB"/>
                      </w:rPr>
                    </m:ctrlPr>
                  </m:sSupPr>
                  <m:e>
                    <m:r>
                      <w:rPr>
                        <w:rFonts w:ascii="Cambria Math" w:hAnsi="Cambria Math" w:cs="Arial"/>
                        <w:sz w:val="18"/>
                        <w:szCs w:val="18"/>
                        <w:lang w:val="en-GB"/>
                      </w:rPr>
                      <m:t>C</m:t>
                    </m:r>
                  </m:e>
                  <m:sup>
                    <m:r>
                      <w:rPr>
                        <w:rFonts w:ascii="Cambria Math" w:hAnsi="Cambria Math" w:cs="Arial"/>
                        <w:sz w:val="18"/>
                        <w:szCs w:val="18"/>
                        <w:lang w:val="en-GB"/>
                      </w:rPr>
                      <m:t>1/2</m:t>
                    </m:r>
                  </m:sup>
                </m:sSup>
              </m:oMath>
            </m:oMathPara>
          </w:p>
        </w:tc>
      </w:tr>
      <w:tr w:rsidR="0079451A" w:rsidRPr="0010138D" w14:paraId="2D0ECF19" w14:textId="77777777" w:rsidTr="00BB08B3">
        <w:tc>
          <w:tcPr>
            <w:tcW w:w="1255" w:type="dxa"/>
          </w:tcPr>
          <w:p w14:paraId="67FF8CCB" w14:textId="7FC73F70" w:rsidR="0079451A" w:rsidRPr="0010138D" w:rsidRDefault="0079451A" w:rsidP="0079451A">
            <w:pPr>
              <w:rPr>
                <w:rFonts w:ascii="Arial" w:hAnsi="Arial" w:cs="Arial"/>
                <w:bCs/>
                <w:sz w:val="18"/>
                <w:szCs w:val="18"/>
                <w:lang w:val="en-GB"/>
              </w:rPr>
            </w:pPr>
            <w:r w:rsidRPr="0010138D">
              <w:rPr>
                <w:sz w:val="18"/>
                <w:szCs w:val="18"/>
              </w:rPr>
              <w:t>0</w:t>
            </w:r>
          </w:p>
        </w:tc>
        <w:tc>
          <w:tcPr>
            <w:tcW w:w="1260" w:type="dxa"/>
          </w:tcPr>
          <w:p w14:paraId="51C930B8" w14:textId="19D9AD04" w:rsidR="0079451A" w:rsidRPr="0010138D" w:rsidRDefault="0079451A" w:rsidP="0079451A">
            <w:pPr>
              <w:rPr>
                <w:rFonts w:ascii="Arial" w:hAnsi="Arial" w:cs="Arial"/>
                <w:bCs/>
                <w:sz w:val="18"/>
                <w:szCs w:val="18"/>
                <w:lang w:val="en-GB"/>
              </w:rPr>
            </w:pPr>
            <w:r w:rsidRPr="0010138D">
              <w:rPr>
                <w:sz w:val="18"/>
                <w:szCs w:val="18"/>
              </w:rPr>
              <w:t>0.000</w:t>
            </w:r>
          </w:p>
        </w:tc>
        <w:tc>
          <w:tcPr>
            <w:tcW w:w="1350" w:type="dxa"/>
          </w:tcPr>
          <w:p w14:paraId="2E5EEF0B" w14:textId="66FA121D" w:rsidR="0079451A" w:rsidRPr="0010138D" w:rsidRDefault="005E423D" w:rsidP="0079451A">
            <w:pPr>
              <w:rPr>
                <w:rFonts w:ascii="Arial" w:hAnsi="Arial" w:cs="Arial"/>
                <w:bCs/>
                <w:sz w:val="18"/>
                <w:szCs w:val="18"/>
                <w:lang w:val="en-GB"/>
              </w:rPr>
            </w:pPr>
            <w:r w:rsidRPr="0010138D">
              <w:rPr>
                <w:sz w:val="18"/>
                <w:szCs w:val="18"/>
              </w:rPr>
              <w:t>2.902</w:t>
            </w:r>
          </w:p>
        </w:tc>
        <w:tc>
          <w:tcPr>
            <w:tcW w:w="1170" w:type="dxa"/>
          </w:tcPr>
          <w:p w14:paraId="0B053791" w14:textId="3B0230C9" w:rsidR="0079451A" w:rsidRPr="0010138D" w:rsidRDefault="0079451A" w:rsidP="0079451A">
            <w:pPr>
              <w:rPr>
                <w:rFonts w:ascii="Arial" w:hAnsi="Arial" w:cs="Arial"/>
                <w:bCs/>
                <w:sz w:val="18"/>
                <w:szCs w:val="18"/>
                <w:lang w:val="en-GB"/>
              </w:rPr>
            </w:pPr>
            <w:r w:rsidRPr="0010138D">
              <w:rPr>
                <w:sz w:val="18"/>
                <w:szCs w:val="18"/>
              </w:rPr>
              <w:t>2.080</w:t>
            </w:r>
          </w:p>
        </w:tc>
        <w:tc>
          <w:tcPr>
            <w:tcW w:w="1350" w:type="dxa"/>
          </w:tcPr>
          <w:p w14:paraId="62315C7D" w14:textId="14228521" w:rsidR="0079451A" w:rsidRPr="0010138D" w:rsidRDefault="0079451A" w:rsidP="0079451A">
            <w:pPr>
              <w:rPr>
                <w:rFonts w:ascii="Arial" w:hAnsi="Arial" w:cs="Arial"/>
                <w:bCs/>
                <w:sz w:val="18"/>
                <w:szCs w:val="18"/>
                <w:lang w:val="en-GB"/>
              </w:rPr>
            </w:pPr>
            <w:r w:rsidRPr="0010138D">
              <w:rPr>
                <w:rFonts w:ascii="Arial" w:hAnsi="Arial" w:cs="Arial"/>
                <w:bCs/>
                <w:sz w:val="18"/>
                <w:szCs w:val="18"/>
                <w:lang w:val="en-GB"/>
              </w:rPr>
              <w:t>1.</w:t>
            </w:r>
            <w:r w:rsidR="005E423D" w:rsidRPr="0010138D">
              <w:rPr>
                <w:rFonts w:ascii="Arial" w:hAnsi="Arial" w:cs="Arial"/>
                <w:bCs/>
                <w:sz w:val="18"/>
                <w:szCs w:val="18"/>
                <w:lang w:val="en-GB"/>
              </w:rPr>
              <w:t>395</w:t>
            </w:r>
          </w:p>
        </w:tc>
        <w:tc>
          <w:tcPr>
            <w:tcW w:w="1440" w:type="dxa"/>
          </w:tcPr>
          <w:p w14:paraId="1AB604B3" w14:textId="6403B36F" w:rsidR="0079451A" w:rsidRPr="0010138D" w:rsidRDefault="0079451A" w:rsidP="0079451A">
            <w:pPr>
              <w:rPr>
                <w:rFonts w:ascii="Arial" w:hAnsi="Arial" w:cs="Arial"/>
                <w:bCs/>
                <w:sz w:val="18"/>
                <w:szCs w:val="18"/>
                <w:lang w:val="en-GB"/>
              </w:rPr>
            </w:pPr>
            <w:r w:rsidRPr="0010138D">
              <w:rPr>
                <w:sz w:val="18"/>
                <w:szCs w:val="18"/>
              </w:rPr>
              <w:t>1.7</w:t>
            </w:r>
            <w:r w:rsidR="005E423D" w:rsidRPr="0010138D">
              <w:rPr>
                <w:sz w:val="18"/>
                <w:szCs w:val="18"/>
              </w:rPr>
              <w:t>63</w:t>
            </w:r>
          </w:p>
        </w:tc>
      </w:tr>
      <w:tr w:rsidR="0079451A" w:rsidRPr="0010138D" w14:paraId="7A406026" w14:textId="77777777" w:rsidTr="00BB08B3">
        <w:tc>
          <w:tcPr>
            <w:tcW w:w="1255" w:type="dxa"/>
          </w:tcPr>
          <w:p w14:paraId="2C2BAB2E" w14:textId="7EE5CAFD" w:rsidR="0079451A" w:rsidRPr="0010138D" w:rsidRDefault="0079451A" w:rsidP="0079451A">
            <w:pPr>
              <w:rPr>
                <w:rFonts w:ascii="Arial" w:hAnsi="Arial" w:cs="Arial"/>
                <w:bCs/>
                <w:sz w:val="18"/>
                <w:szCs w:val="18"/>
                <w:lang w:val="en-GB"/>
              </w:rPr>
            </w:pPr>
            <w:r w:rsidRPr="0010138D">
              <w:rPr>
                <w:sz w:val="18"/>
                <w:szCs w:val="18"/>
              </w:rPr>
              <w:t>25</w:t>
            </w:r>
          </w:p>
        </w:tc>
        <w:tc>
          <w:tcPr>
            <w:tcW w:w="1260" w:type="dxa"/>
          </w:tcPr>
          <w:p w14:paraId="2252C6EC" w14:textId="50A93DE0" w:rsidR="0079451A" w:rsidRPr="0010138D" w:rsidRDefault="0079451A" w:rsidP="0079451A">
            <w:pPr>
              <w:rPr>
                <w:rFonts w:ascii="Arial" w:hAnsi="Arial" w:cs="Arial"/>
                <w:bCs/>
                <w:sz w:val="18"/>
                <w:szCs w:val="18"/>
                <w:lang w:val="en-GB"/>
              </w:rPr>
            </w:pPr>
            <w:r w:rsidRPr="0010138D">
              <w:rPr>
                <w:sz w:val="18"/>
                <w:szCs w:val="18"/>
              </w:rPr>
              <w:t>0.200</w:t>
            </w:r>
          </w:p>
        </w:tc>
        <w:tc>
          <w:tcPr>
            <w:tcW w:w="1350" w:type="dxa"/>
          </w:tcPr>
          <w:p w14:paraId="5CA622F3" w14:textId="1C15CF61" w:rsidR="0079451A" w:rsidRPr="0010138D" w:rsidRDefault="0079451A" w:rsidP="0079451A">
            <w:pPr>
              <w:rPr>
                <w:rFonts w:ascii="Arial" w:hAnsi="Arial" w:cs="Arial"/>
                <w:bCs/>
                <w:sz w:val="18"/>
                <w:szCs w:val="18"/>
                <w:lang w:val="en-GB"/>
              </w:rPr>
            </w:pPr>
            <w:r w:rsidRPr="0010138D">
              <w:rPr>
                <w:rFonts w:ascii="Arial" w:hAnsi="Arial" w:cs="Arial"/>
                <w:bCs/>
                <w:sz w:val="18"/>
                <w:szCs w:val="18"/>
                <w:lang w:val="en-GB"/>
              </w:rPr>
              <w:t>2.390</w:t>
            </w:r>
          </w:p>
        </w:tc>
        <w:tc>
          <w:tcPr>
            <w:tcW w:w="1170" w:type="dxa"/>
          </w:tcPr>
          <w:p w14:paraId="6C97AE99" w14:textId="5E166CE7" w:rsidR="0079451A" w:rsidRPr="0010138D" w:rsidRDefault="0079451A" w:rsidP="0079451A">
            <w:pPr>
              <w:rPr>
                <w:rFonts w:ascii="Arial" w:hAnsi="Arial" w:cs="Arial"/>
                <w:bCs/>
                <w:sz w:val="18"/>
                <w:szCs w:val="18"/>
                <w:lang w:val="en-GB"/>
              </w:rPr>
            </w:pPr>
            <w:r w:rsidRPr="0010138D">
              <w:rPr>
                <w:sz w:val="18"/>
                <w:szCs w:val="18"/>
              </w:rPr>
              <w:t>1.780</w:t>
            </w:r>
          </w:p>
        </w:tc>
        <w:tc>
          <w:tcPr>
            <w:tcW w:w="1350" w:type="dxa"/>
          </w:tcPr>
          <w:p w14:paraId="12121A1F" w14:textId="2FEAC4B0" w:rsidR="0079451A" w:rsidRPr="0010138D" w:rsidRDefault="0079451A" w:rsidP="0079451A">
            <w:pPr>
              <w:rPr>
                <w:rFonts w:ascii="Arial" w:hAnsi="Arial" w:cs="Arial"/>
                <w:bCs/>
                <w:sz w:val="18"/>
                <w:szCs w:val="18"/>
                <w:lang w:val="en-GB"/>
              </w:rPr>
            </w:pPr>
            <w:r w:rsidRPr="0010138D">
              <w:rPr>
                <w:rFonts w:ascii="Arial" w:hAnsi="Arial" w:cs="Arial"/>
                <w:bCs/>
                <w:sz w:val="18"/>
                <w:szCs w:val="18"/>
                <w:lang w:val="en-GB"/>
              </w:rPr>
              <w:t>1.</w:t>
            </w:r>
            <w:r w:rsidR="005E423D" w:rsidRPr="0010138D">
              <w:rPr>
                <w:rFonts w:ascii="Arial" w:hAnsi="Arial" w:cs="Arial"/>
                <w:bCs/>
                <w:sz w:val="18"/>
                <w:szCs w:val="18"/>
                <w:lang w:val="en-GB"/>
              </w:rPr>
              <w:t>343</w:t>
            </w:r>
          </w:p>
        </w:tc>
        <w:tc>
          <w:tcPr>
            <w:tcW w:w="1440" w:type="dxa"/>
          </w:tcPr>
          <w:p w14:paraId="5B80D886" w14:textId="7980961B" w:rsidR="0079451A" w:rsidRPr="0010138D" w:rsidRDefault="0079451A" w:rsidP="0079451A">
            <w:pPr>
              <w:rPr>
                <w:rFonts w:ascii="Arial" w:hAnsi="Arial" w:cs="Arial"/>
                <w:bCs/>
                <w:sz w:val="18"/>
                <w:szCs w:val="18"/>
                <w:lang w:val="en-GB"/>
              </w:rPr>
            </w:pPr>
            <w:r w:rsidRPr="0010138D">
              <w:rPr>
                <w:sz w:val="18"/>
                <w:szCs w:val="18"/>
              </w:rPr>
              <w:t>1.5</w:t>
            </w:r>
            <w:r w:rsidR="005E423D" w:rsidRPr="0010138D">
              <w:rPr>
                <w:sz w:val="18"/>
                <w:szCs w:val="18"/>
              </w:rPr>
              <w:t>31</w:t>
            </w:r>
          </w:p>
        </w:tc>
      </w:tr>
      <w:tr w:rsidR="0079451A" w:rsidRPr="0010138D" w14:paraId="132C3F91" w14:textId="77777777" w:rsidTr="00BB08B3">
        <w:tc>
          <w:tcPr>
            <w:tcW w:w="1255" w:type="dxa"/>
          </w:tcPr>
          <w:p w14:paraId="12B57EAE" w14:textId="2A56014A" w:rsidR="0079451A" w:rsidRPr="0010138D" w:rsidRDefault="0079451A" w:rsidP="0079451A">
            <w:pPr>
              <w:rPr>
                <w:rFonts w:ascii="Arial" w:hAnsi="Arial" w:cs="Arial"/>
                <w:bCs/>
                <w:sz w:val="18"/>
                <w:szCs w:val="18"/>
                <w:lang w:val="en-GB"/>
              </w:rPr>
            </w:pPr>
            <w:r w:rsidRPr="0010138D">
              <w:rPr>
                <w:sz w:val="18"/>
                <w:szCs w:val="18"/>
              </w:rPr>
              <w:t>50</w:t>
            </w:r>
          </w:p>
        </w:tc>
        <w:tc>
          <w:tcPr>
            <w:tcW w:w="1260" w:type="dxa"/>
          </w:tcPr>
          <w:p w14:paraId="57C989D7" w14:textId="407C4388" w:rsidR="0079451A" w:rsidRPr="0010138D" w:rsidRDefault="0079451A" w:rsidP="0079451A">
            <w:pPr>
              <w:rPr>
                <w:rFonts w:ascii="Arial" w:hAnsi="Arial" w:cs="Arial"/>
                <w:bCs/>
                <w:sz w:val="18"/>
                <w:szCs w:val="18"/>
                <w:lang w:val="en-GB"/>
              </w:rPr>
            </w:pPr>
            <w:r w:rsidRPr="0010138D">
              <w:rPr>
                <w:sz w:val="18"/>
                <w:szCs w:val="18"/>
              </w:rPr>
              <w:t>0.420</w:t>
            </w:r>
          </w:p>
        </w:tc>
        <w:tc>
          <w:tcPr>
            <w:tcW w:w="1350" w:type="dxa"/>
          </w:tcPr>
          <w:p w14:paraId="69B9D286" w14:textId="14BE344E" w:rsidR="0079451A" w:rsidRPr="0010138D" w:rsidRDefault="0079451A" w:rsidP="0079451A">
            <w:pPr>
              <w:rPr>
                <w:rFonts w:ascii="Arial" w:hAnsi="Arial" w:cs="Arial"/>
                <w:bCs/>
                <w:sz w:val="18"/>
                <w:szCs w:val="18"/>
                <w:lang w:val="en-GB"/>
              </w:rPr>
            </w:pPr>
            <w:r w:rsidRPr="0010138D">
              <w:rPr>
                <w:rFonts w:ascii="Arial" w:hAnsi="Arial" w:cs="Arial"/>
                <w:bCs/>
                <w:sz w:val="18"/>
                <w:szCs w:val="18"/>
                <w:lang w:val="en-GB"/>
              </w:rPr>
              <w:t>1.896</w:t>
            </w:r>
          </w:p>
        </w:tc>
        <w:tc>
          <w:tcPr>
            <w:tcW w:w="1170" w:type="dxa"/>
          </w:tcPr>
          <w:p w14:paraId="18CE3B38" w14:textId="1D5CCA9D" w:rsidR="0079451A" w:rsidRPr="0010138D" w:rsidRDefault="0079451A" w:rsidP="0079451A">
            <w:pPr>
              <w:rPr>
                <w:rFonts w:ascii="Arial" w:hAnsi="Arial" w:cs="Arial"/>
                <w:bCs/>
                <w:sz w:val="18"/>
                <w:szCs w:val="18"/>
                <w:lang w:val="en-GB"/>
              </w:rPr>
            </w:pPr>
            <w:r w:rsidRPr="0010138D">
              <w:rPr>
                <w:sz w:val="18"/>
                <w:szCs w:val="18"/>
              </w:rPr>
              <w:t>1.450</w:t>
            </w:r>
          </w:p>
        </w:tc>
        <w:tc>
          <w:tcPr>
            <w:tcW w:w="1350" w:type="dxa"/>
          </w:tcPr>
          <w:p w14:paraId="3AC29355" w14:textId="4FD8AF55" w:rsidR="0079451A" w:rsidRPr="0010138D" w:rsidRDefault="0079451A" w:rsidP="0079451A">
            <w:pPr>
              <w:rPr>
                <w:rFonts w:ascii="Arial" w:hAnsi="Arial" w:cs="Arial"/>
                <w:bCs/>
                <w:sz w:val="18"/>
                <w:szCs w:val="18"/>
                <w:lang w:val="en-GB"/>
              </w:rPr>
            </w:pPr>
            <w:r w:rsidRPr="0010138D">
              <w:rPr>
                <w:rFonts w:ascii="Arial" w:hAnsi="Arial" w:cs="Arial"/>
                <w:bCs/>
                <w:sz w:val="18"/>
                <w:szCs w:val="18"/>
                <w:lang w:val="en-GB"/>
              </w:rPr>
              <w:t>1.308</w:t>
            </w:r>
          </w:p>
        </w:tc>
        <w:tc>
          <w:tcPr>
            <w:tcW w:w="1440" w:type="dxa"/>
          </w:tcPr>
          <w:p w14:paraId="559B025D" w14:textId="26BE2709" w:rsidR="0079451A" w:rsidRPr="0010138D" w:rsidRDefault="0079451A" w:rsidP="0079451A">
            <w:pPr>
              <w:rPr>
                <w:rFonts w:ascii="Arial" w:hAnsi="Arial" w:cs="Arial"/>
                <w:bCs/>
                <w:sz w:val="18"/>
                <w:szCs w:val="18"/>
                <w:lang w:val="en-GB"/>
              </w:rPr>
            </w:pPr>
            <w:r w:rsidRPr="0010138D">
              <w:rPr>
                <w:sz w:val="18"/>
                <w:szCs w:val="18"/>
              </w:rPr>
              <w:t>1.373</w:t>
            </w:r>
          </w:p>
        </w:tc>
      </w:tr>
      <w:tr w:rsidR="003D7D7E" w:rsidRPr="0010138D" w14:paraId="43BA91B0" w14:textId="77777777" w:rsidTr="00BB08B3">
        <w:tc>
          <w:tcPr>
            <w:tcW w:w="1255" w:type="dxa"/>
          </w:tcPr>
          <w:p w14:paraId="238F5CC4" w14:textId="416DE6FF" w:rsidR="003D7D7E" w:rsidRPr="0010138D" w:rsidRDefault="003D7D7E" w:rsidP="003D7D7E">
            <w:pPr>
              <w:rPr>
                <w:rFonts w:ascii="Arial" w:hAnsi="Arial" w:cs="Arial"/>
                <w:bCs/>
                <w:sz w:val="18"/>
                <w:szCs w:val="18"/>
                <w:lang w:val="en-GB"/>
              </w:rPr>
            </w:pPr>
            <w:r w:rsidRPr="0010138D">
              <w:rPr>
                <w:sz w:val="18"/>
                <w:szCs w:val="18"/>
              </w:rPr>
              <w:t>75</w:t>
            </w:r>
          </w:p>
        </w:tc>
        <w:tc>
          <w:tcPr>
            <w:tcW w:w="1260" w:type="dxa"/>
          </w:tcPr>
          <w:p w14:paraId="4DE6A2CB" w14:textId="3043ACB7" w:rsidR="003D7D7E" w:rsidRPr="0010138D" w:rsidRDefault="003D7D7E" w:rsidP="003D7D7E">
            <w:pPr>
              <w:rPr>
                <w:rFonts w:ascii="Arial" w:hAnsi="Arial" w:cs="Arial"/>
                <w:bCs/>
                <w:sz w:val="18"/>
                <w:szCs w:val="18"/>
                <w:lang w:val="en-GB"/>
              </w:rPr>
            </w:pPr>
            <w:r w:rsidRPr="0010138D">
              <w:rPr>
                <w:sz w:val="18"/>
                <w:szCs w:val="18"/>
              </w:rPr>
              <w:t>0.680</w:t>
            </w:r>
          </w:p>
        </w:tc>
        <w:tc>
          <w:tcPr>
            <w:tcW w:w="1350" w:type="dxa"/>
          </w:tcPr>
          <w:p w14:paraId="24002C8D" w14:textId="083FCE5F" w:rsidR="003D7D7E" w:rsidRPr="0010138D" w:rsidRDefault="003D7D7E" w:rsidP="003D7D7E">
            <w:pPr>
              <w:rPr>
                <w:rFonts w:ascii="Arial" w:hAnsi="Arial" w:cs="Arial"/>
                <w:bCs/>
                <w:sz w:val="18"/>
                <w:szCs w:val="18"/>
                <w:lang w:val="en-GB"/>
              </w:rPr>
            </w:pPr>
            <w:r w:rsidRPr="0010138D">
              <w:rPr>
                <w:rFonts w:ascii="Arial" w:hAnsi="Arial" w:cs="Arial"/>
                <w:bCs/>
                <w:sz w:val="18"/>
                <w:szCs w:val="18"/>
                <w:lang w:val="en-GB"/>
              </w:rPr>
              <w:t>1.410</w:t>
            </w:r>
          </w:p>
        </w:tc>
        <w:tc>
          <w:tcPr>
            <w:tcW w:w="1170" w:type="dxa"/>
          </w:tcPr>
          <w:p w14:paraId="35B9D8CB" w14:textId="0BD5A3B5" w:rsidR="003D7D7E" w:rsidRPr="0010138D" w:rsidRDefault="003D7D7E" w:rsidP="003D7D7E">
            <w:pPr>
              <w:rPr>
                <w:rFonts w:ascii="Arial" w:hAnsi="Arial" w:cs="Arial"/>
                <w:bCs/>
                <w:sz w:val="18"/>
                <w:szCs w:val="18"/>
                <w:lang w:val="en-GB"/>
              </w:rPr>
            </w:pPr>
            <w:r w:rsidRPr="0010138D">
              <w:rPr>
                <w:sz w:val="18"/>
                <w:szCs w:val="18"/>
              </w:rPr>
              <w:t>1.050</w:t>
            </w:r>
          </w:p>
        </w:tc>
        <w:tc>
          <w:tcPr>
            <w:tcW w:w="1350" w:type="dxa"/>
          </w:tcPr>
          <w:p w14:paraId="35BEA6BC" w14:textId="479D1C08" w:rsidR="003D7D7E" w:rsidRPr="0010138D" w:rsidRDefault="003D7D7E" w:rsidP="003D7D7E">
            <w:pPr>
              <w:rPr>
                <w:rFonts w:ascii="Arial" w:hAnsi="Arial" w:cs="Arial"/>
                <w:bCs/>
                <w:sz w:val="18"/>
                <w:szCs w:val="18"/>
                <w:lang w:val="en-GB"/>
              </w:rPr>
            </w:pPr>
            <w:r w:rsidRPr="0010138D">
              <w:rPr>
                <w:rFonts w:ascii="Arial" w:hAnsi="Arial" w:cs="Arial"/>
                <w:bCs/>
                <w:sz w:val="18"/>
                <w:szCs w:val="18"/>
                <w:lang w:val="en-GB"/>
              </w:rPr>
              <w:t>1.343</w:t>
            </w:r>
          </w:p>
        </w:tc>
        <w:tc>
          <w:tcPr>
            <w:tcW w:w="1440" w:type="dxa"/>
          </w:tcPr>
          <w:p w14:paraId="6E0F3C9B" w14:textId="778F5AB1" w:rsidR="003D7D7E" w:rsidRPr="0010138D" w:rsidRDefault="00106782" w:rsidP="003D7D7E">
            <w:pPr>
              <w:rPr>
                <w:rFonts w:ascii="Arial" w:hAnsi="Arial" w:cs="Arial"/>
                <w:bCs/>
                <w:sz w:val="18"/>
                <w:szCs w:val="18"/>
                <w:lang w:val="en-GB"/>
              </w:rPr>
            </w:pPr>
            <w:r w:rsidRPr="0010138D">
              <w:rPr>
                <w:rFonts w:ascii="Arial" w:hAnsi="Arial" w:cs="Arial"/>
                <w:bCs/>
                <w:sz w:val="18"/>
                <w:szCs w:val="18"/>
                <w:lang w:val="en-GB"/>
              </w:rPr>
              <w:t>1.531</w:t>
            </w:r>
          </w:p>
        </w:tc>
      </w:tr>
      <w:tr w:rsidR="003D7D7E" w:rsidRPr="0010138D" w14:paraId="7609528F" w14:textId="77777777" w:rsidTr="00BB08B3">
        <w:tc>
          <w:tcPr>
            <w:tcW w:w="1255" w:type="dxa"/>
          </w:tcPr>
          <w:p w14:paraId="6773D89D" w14:textId="1E34A3E4" w:rsidR="003D7D7E" w:rsidRPr="0010138D" w:rsidRDefault="003D7D7E" w:rsidP="003D7D7E">
            <w:pPr>
              <w:rPr>
                <w:rFonts w:ascii="Arial" w:hAnsi="Arial" w:cs="Arial"/>
                <w:bCs/>
                <w:sz w:val="18"/>
                <w:szCs w:val="18"/>
                <w:lang w:val="en-GB"/>
              </w:rPr>
            </w:pPr>
            <w:r w:rsidRPr="0010138D">
              <w:rPr>
                <w:sz w:val="18"/>
                <w:szCs w:val="18"/>
              </w:rPr>
              <w:t>100</w:t>
            </w:r>
          </w:p>
        </w:tc>
        <w:tc>
          <w:tcPr>
            <w:tcW w:w="1260" w:type="dxa"/>
          </w:tcPr>
          <w:p w14:paraId="6249EA68" w14:textId="64802A82" w:rsidR="003D7D7E" w:rsidRPr="0010138D" w:rsidRDefault="003D7D7E" w:rsidP="003D7D7E">
            <w:pPr>
              <w:rPr>
                <w:rFonts w:ascii="Arial" w:hAnsi="Arial" w:cs="Arial"/>
                <w:bCs/>
                <w:sz w:val="18"/>
                <w:szCs w:val="18"/>
                <w:lang w:val="en-GB"/>
              </w:rPr>
            </w:pPr>
            <w:r w:rsidRPr="0010138D">
              <w:rPr>
                <w:sz w:val="18"/>
                <w:szCs w:val="18"/>
              </w:rPr>
              <w:t>1.000</w:t>
            </w:r>
          </w:p>
        </w:tc>
        <w:tc>
          <w:tcPr>
            <w:tcW w:w="1350" w:type="dxa"/>
          </w:tcPr>
          <w:p w14:paraId="48B27CC9" w14:textId="31B757F2" w:rsidR="003D7D7E" w:rsidRPr="0010138D" w:rsidRDefault="003D7D7E" w:rsidP="003D7D7E">
            <w:pPr>
              <w:rPr>
                <w:rFonts w:ascii="Arial" w:hAnsi="Arial" w:cs="Arial"/>
                <w:bCs/>
                <w:sz w:val="18"/>
                <w:szCs w:val="18"/>
                <w:lang w:val="en-GB"/>
              </w:rPr>
            </w:pPr>
            <w:r w:rsidRPr="0010138D">
              <w:rPr>
                <w:rFonts w:ascii="Arial" w:hAnsi="Arial" w:cs="Arial"/>
                <w:bCs/>
                <w:sz w:val="18"/>
                <w:szCs w:val="18"/>
                <w:lang w:val="en-GB"/>
              </w:rPr>
              <w:t>1.037</w:t>
            </w:r>
          </w:p>
        </w:tc>
        <w:tc>
          <w:tcPr>
            <w:tcW w:w="1170" w:type="dxa"/>
          </w:tcPr>
          <w:p w14:paraId="0269FF2B" w14:textId="1DF612D9" w:rsidR="003D7D7E" w:rsidRPr="0010138D" w:rsidRDefault="003D7D7E" w:rsidP="003D7D7E">
            <w:pPr>
              <w:rPr>
                <w:rFonts w:ascii="Arial" w:hAnsi="Arial" w:cs="Arial"/>
                <w:bCs/>
                <w:sz w:val="18"/>
                <w:szCs w:val="18"/>
                <w:lang w:val="en-GB"/>
              </w:rPr>
            </w:pPr>
            <w:r w:rsidRPr="0010138D">
              <w:rPr>
                <w:sz w:val="18"/>
                <w:szCs w:val="18"/>
              </w:rPr>
              <w:t>0.865</w:t>
            </w:r>
          </w:p>
        </w:tc>
        <w:tc>
          <w:tcPr>
            <w:tcW w:w="1350" w:type="dxa"/>
          </w:tcPr>
          <w:p w14:paraId="376EC76C" w14:textId="1CA2536D" w:rsidR="003D7D7E" w:rsidRPr="0010138D" w:rsidRDefault="003D7D7E" w:rsidP="003D7D7E">
            <w:pPr>
              <w:rPr>
                <w:rFonts w:ascii="Arial" w:hAnsi="Arial" w:cs="Arial"/>
                <w:bCs/>
                <w:sz w:val="18"/>
                <w:szCs w:val="18"/>
                <w:lang w:val="en-GB"/>
              </w:rPr>
            </w:pPr>
            <w:r w:rsidRPr="0010138D">
              <w:rPr>
                <w:rFonts w:ascii="Arial" w:hAnsi="Arial" w:cs="Arial"/>
                <w:bCs/>
                <w:sz w:val="18"/>
                <w:szCs w:val="18"/>
                <w:lang w:val="en-GB"/>
              </w:rPr>
              <w:t>1.</w:t>
            </w:r>
            <w:r w:rsidR="009F65A9" w:rsidRPr="0010138D">
              <w:rPr>
                <w:rFonts w:ascii="Arial" w:hAnsi="Arial" w:cs="Arial"/>
                <w:bCs/>
                <w:sz w:val="18"/>
                <w:szCs w:val="18"/>
                <w:lang w:val="en-GB"/>
              </w:rPr>
              <w:t>199</w:t>
            </w:r>
          </w:p>
        </w:tc>
        <w:tc>
          <w:tcPr>
            <w:tcW w:w="1440" w:type="dxa"/>
          </w:tcPr>
          <w:p w14:paraId="2FE559EC" w14:textId="6EDFD2CA" w:rsidR="003D7D7E" w:rsidRPr="0010138D" w:rsidRDefault="009F65A9" w:rsidP="003D7D7E">
            <w:pPr>
              <w:rPr>
                <w:rFonts w:ascii="Arial" w:hAnsi="Arial" w:cs="Arial"/>
                <w:bCs/>
                <w:sz w:val="18"/>
                <w:szCs w:val="18"/>
                <w:lang w:val="en-GB"/>
              </w:rPr>
            </w:pPr>
            <w:r w:rsidRPr="0010138D">
              <w:rPr>
                <w:rFonts w:ascii="Arial" w:hAnsi="Arial" w:cs="Arial"/>
                <w:bCs/>
                <w:sz w:val="18"/>
                <w:szCs w:val="18"/>
                <w:lang w:val="en-GB"/>
              </w:rPr>
              <w:t>0.888</w:t>
            </w:r>
          </w:p>
        </w:tc>
      </w:tr>
    </w:tbl>
    <w:p w14:paraId="66D667DC" w14:textId="01E88DEE" w:rsidR="00F00FDE" w:rsidRDefault="00F00FDE" w:rsidP="00CC6C24">
      <w:pPr>
        <w:rPr>
          <w:rFonts w:ascii="Arial" w:hAnsi="Arial" w:cs="Arial"/>
          <w:bCs/>
          <w:sz w:val="20"/>
          <w:szCs w:val="20"/>
          <w:lang w:val="en-GB"/>
        </w:rPr>
      </w:pPr>
    </w:p>
    <w:p w14:paraId="463E4E2C" w14:textId="3EE57F2D" w:rsidR="005842A7" w:rsidRDefault="005842A7" w:rsidP="00CC6C24">
      <w:pPr>
        <w:rPr>
          <w:rFonts w:ascii="Arial" w:hAnsi="Arial" w:cs="Arial"/>
          <w:bCs/>
          <w:sz w:val="20"/>
          <w:szCs w:val="20"/>
          <w:lang w:val="en-GB"/>
        </w:rPr>
      </w:pPr>
    </w:p>
    <w:p w14:paraId="054CA683" w14:textId="689C95CD" w:rsidR="008A2061" w:rsidRDefault="008A2061" w:rsidP="00CC6C24">
      <w:pPr>
        <w:rPr>
          <w:rFonts w:ascii="Arial" w:hAnsi="Arial" w:cs="Arial"/>
          <w:bCs/>
          <w:sz w:val="20"/>
          <w:szCs w:val="20"/>
          <w:lang w:val="en-GB"/>
        </w:rPr>
      </w:pPr>
    </w:p>
    <w:p w14:paraId="5A2BCBBD" w14:textId="77777777" w:rsidR="008A2061" w:rsidRDefault="008A2061" w:rsidP="00CC6C24">
      <w:pPr>
        <w:rPr>
          <w:rFonts w:ascii="Arial" w:hAnsi="Arial" w:cs="Arial"/>
          <w:bCs/>
          <w:sz w:val="20"/>
          <w:szCs w:val="20"/>
          <w:lang w:val="en-GB"/>
        </w:rPr>
      </w:pPr>
    </w:p>
    <w:p w14:paraId="7465A20B" w14:textId="6A5D406A" w:rsidR="005842A7" w:rsidRPr="0010138D" w:rsidRDefault="005842A7" w:rsidP="005842A7">
      <w:pPr>
        <w:rPr>
          <w:rFonts w:ascii="Arial" w:hAnsi="Arial" w:cs="Arial"/>
          <w:bCs/>
          <w:sz w:val="18"/>
          <w:szCs w:val="18"/>
          <w:lang w:val="en-GB"/>
        </w:rPr>
      </w:pPr>
      <w:r w:rsidRPr="0010138D">
        <w:rPr>
          <w:rFonts w:ascii="Arial" w:hAnsi="Arial" w:cs="Arial"/>
          <w:bCs/>
          <w:sz w:val="18"/>
          <w:szCs w:val="18"/>
          <w:lang w:val="en-GB"/>
        </w:rPr>
        <w:t xml:space="preserve">Table </w:t>
      </w:r>
      <w:r w:rsidR="00723FAC">
        <w:rPr>
          <w:rFonts w:ascii="Arial" w:hAnsi="Arial" w:cs="Arial"/>
          <w:bCs/>
          <w:sz w:val="18"/>
          <w:szCs w:val="18"/>
          <w:lang w:val="en-GB"/>
        </w:rPr>
        <w:t>4</w:t>
      </w:r>
      <w:r w:rsidRPr="0010138D">
        <w:rPr>
          <w:rFonts w:ascii="Arial" w:hAnsi="Arial" w:cs="Arial"/>
          <w:bCs/>
          <w:sz w:val="18"/>
          <w:szCs w:val="18"/>
          <w:lang w:val="en-GB"/>
        </w:rPr>
        <w:t>: Jones-Dole Parameters for 0.10 M ZnCl</w:t>
      </w:r>
      <w:r w:rsidRPr="0010138D">
        <w:rPr>
          <w:rFonts w:ascii="Arial" w:hAnsi="Arial" w:cs="Arial"/>
          <w:bCs/>
          <w:sz w:val="18"/>
          <w:szCs w:val="18"/>
          <w:vertAlign w:val="subscript"/>
          <w:lang w:val="en-GB"/>
        </w:rPr>
        <w:t>2</w:t>
      </w:r>
      <w:r w:rsidRPr="0010138D">
        <w:rPr>
          <w:rFonts w:ascii="Arial" w:hAnsi="Arial" w:cs="Arial"/>
          <w:bCs/>
          <w:sz w:val="18"/>
          <w:szCs w:val="18"/>
          <w:lang w:val="en-GB"/>
        </w:rPr>
        <w:t xml:space="preserve"> in PC-DME mixtures at 298.15 K</w:t>
      </w:r>
    </w:p>
    <w:tbl>
      <w:tblPr>
        <w:tblStyle w:val="TableGrid"/>
        <w:tblW w:w="0" w:type="auto"/>
        <w:tblLook w:val="04A0" w:firstRow="1" w:lastRow="0" w:firstColumn="1" w:lastColumn="0" w:noHBand="0" w:noVBand="1"/>
      </w:tblPr>
      <w:tblGrid>
        <w:gridCol w:w="1255"/>
        <w:gridCol w:w="1260"/>
        <w:gridCol w:w="1350"/>
        <w:gridCol w:w="1170"/>
        <w:gridCol w:w="1350"/>
        <w:gridCol w:w="1440"/>
      </w:tblGrid>
      <w:tr w:rsidR="003D7D7E" w:rsidRPr="0010138D" w14:paraId="13CF52E3" w14:textId="77777777" w:rsidTr="0010138D">
        <w:tc>
          <w:tcPr>
            <w:tcW w:w="1255" w:type="dxa"/>
          </w:tcPr>
          <w:p w14:paraId="7A0684D7" w14:textId="2369E134" w:rsidR="003D7D7E" w:rsidRPr="0010138D" w:rsidRDefault="003D7D7E" w:rsidP="003D7D7E">
            <w:pPr>
              <w:rPr>
                <w:rFonts w:ascii="Arial" w:hAnsi="Arial" w:cs="Arial"/>
                <w:bCs/>
                <w:sz w:val="18"/>
                <w:szCs w:val="18"/>
                <w:lang w:val="en-GB"/>
              </w:rPr>
            </w:pPr>
            <w:r w:rsidRPr="0010138D">
              <w:rPr>
                <w:sz w:val="18"/>
                <w:szCs w:val="18"/>
              </w:rPr>
              <w:t>% DME</w:t>
            </w:r>
          </w:p>
        </w:tc>
        <w:tc>
          <w:tcPr>
            <w:tcW w:w="1260" w:type="dxa"/>
          </w:tcPr>
          <w:p w14:paraId="67232E41" w14:textId="2FF15DD6" w:rsidR="003D7D7E" w:rsidRPr="0010138D" w:rsidRDefault="003D7D7E" w:rsidP="003D7D7E">
            <w:pPr>
              <w:rPr>
                <w:rFonts w:ascii="Arial" w:hAnsi="Arial" w:cs="Arial"/>
                <w:bCs/>
                <w:sz w:val="18"/>
                <w:szCs w:val="18"/>
                <w:lang w:val="en-GB"/>
              </w:rPr>
            </w:pPr>
            <w:r w:rsidRPr="0010138D">
              <w:rPr>
                <w:sz w:val="18"/>
                <w:szCs w:val="18"/>
              </w:rPr>
              <w:t>X1</w:t>
            </w:r>
          </w:p>
        </w:tc>
        <w:tc>
          <w:tcPr>
            <w:tcW w:w="1350" w:type="dxa"/>
          </w:tcPr>
          <w:p w14:paraId="4BB26115" w14:textId="59A99B54" w:rsidR="003D7D7E" w:rsidRPr="0010138D" w:rsidRDefault="003D7D7E" w:rsidP="003D7D7E">
            <w:pPr>
              <w:rPr>
                <w:rFonts w:ascii="Arial" w:hAnsi="Arial" w:cs="Arial"/>
                <w:bCs/>
                <w:sz w:val="18"/>
                <w:szCs w:val="18"/>
                <w:lang w:val="en-GB"/>
              </w:rPr>
            </w:pPr>
            <w:r w:rsidRPr="0010138D">
              <w:rPr>
                <w:bCs/>
                <w:i/>
                <w:sz w:val="18"/>
                <w:szCs w:val="18"/>
                <w:lang w:val="en-GB"/>
              </w:rPr>
              <w:sym w:font="Symbol" w:char="F068"/>
            </w:r>
          </w:p>
        </w:tc>
        <w:tc>
          <w:tcPr>
            <w:tcW w:w="1170" w:type="dxa"/>
          </w:tcPr>
          <w:p w14:paraId="15434AEF" w14:textId="5AB8D562" w:rsidR="003D7D7E" w:rsidRPr="0010138D" w:rsidRDefault="00702B22" w:rsidP="003D7D7E">
            <w:pPr>
              <w:rPr>
                <w:rFonts w:ascii="Arial" w:hAnsi="Arial" w:cs="Arial"/>
                <w:bCs/>
                <w:sz w:val="18"/>
                <w:szCs w:val="18"/>
                <w:lang w:val="en-GB"/>
              </w:rPr>
            </w:pPr>
            <m:oMathPara>
              <m:oMath>
                <m:sSub>
                  <m:sSubPr>
                    <m:ctrlPr>
                      <w:rPr>
                        <w:rFonts w:ascii="Cambria Math" w:hAnsi="Cambria Math" w:cs="Arial"/>
                        <w:bCs/>
                        <w:i/>
                        <w:sz w:val="18"/>
                        <w:szCs w:val="18"/>
                        <w:lang w:val="en-GB"/>
                      </w:rPr>
                    </m:ctrlPr>
                  </m:sSubPr>
                  <m:e>
                    <m:r>
                      <w:rPr>
                        <w:rFonts w:ascii="Cambria Math" w:hAnsi="Cambria Math" w:cs="Arial"/>
                        <w:bCs/>
                        <w:i/>
                        <w:sz w:val="18"/>
                        <w:szCs w:val="18"/>
                        <w:lang w:val="en-GB"/>
                      </w:rPr>
                      <w:sym w:font="Symbol" w:char="F068"/>
                    </m:r>
                  </m:e>
                  <m:sub>
                    <m:r>
                      <w:rPr>
                        <w:rFonts w:ascii="Cambria Math" w:hAnsi="Cambria Math" w:cs="Arial"/>
                        <w:sz w:val="18"/>
                        <w:szCs w:val="18"/>
                        <w:lang w:val="en-GB"/>
                      </w:rPr>
                      <m:t>ₒ</m:t>
                    </m:r>
                  </m:sub>
                </m:sSub>
              </m:oMath>
            </m:oMathPara>
          </w:p>
        </w:tc>
        <w:tc>
          <w:tcPr>
            <w:tcW w:w="1350" w:type="dxa"/>
          </w:tcPr>
          <w:p w14:paraId="519E604E" w14:textId="7FDEF1B4" w:rsidR="003D7D7E" w:rsidRPr="0010138D" w:rsidRDefault="003D7D7E" w:rsidP="003D7D7E">
            <w:pPr>
              <w:rPr>
                <w:rFonts w:ascii="Arial" w:hAnsi="Arial" w:cs="Arial"/>
                <w:bCs/>
                <w:sz w:val="18"/>
                <w:szCs w:val="18"/>
                <w:lang w:val="en-GB"/>
              </w:rPr>
            </w:pPr>
            <w:r w:rsidRPr="0010138D">
              <w:rPr>
                <w:rFonts w:ascii="Arial" w:hAnsi="Arial" w:cs="Arial"/>
                <w:i/>
                <w:sz w:val="18"/>
                <w:szCs w:val="18"/>
                <w:lang w:val="en-GB"/>
              </w:rPr>
              <w:sym w:font="Symbol" w:char="F068"/>
            </w:r>
            <w:r w:rsidRPr="0010138D">
              <w:rPr>
                <w:rFonts w:ascii="Arial" w:hAnsi="Arial" w:cs="Arial"/>
                <w:sz w:val="18"/>
                <w:szCs w:val="18"/>
                <w:lang w:val="en-GB"/>
              </w:rPr>
              <w:t xml:space="preserve"> </w:t>
            </w:r>
            <w:r w:rsidRPr="0010138D">
              <w:rPr>
                <w:rFonts w:ascii="Arial" w:hAnsi="Arial" w:cs="Arial"/>
                <w:i/>
                <w:sz w:val="18"/>
                <w:szCs w:val="18"/>
                <w:lang w:val="en-GB"/>
              </w:rPr>
              <w:t>/</w:t>
            </w:r>
            <w:r w:rsidRPr="0010138D">
              <w:rPr>
                <w:rFonts w:ascii="Arial" w:hAnsi="Arial" w:cs="Arial"/>
                <w:i/>
                <w:sz w:val="18"/>
                <w:szCs w:val="18"/>
                <w:lang w:val="en-GB"/>
              </w:rPr>
              <w:sym w:font="Symbol" w:char="F068"/>
            </w:r>
            <w:r w:rsidRPr="0010138D">
              <w:rPr>
                <w:rFonts w:ascii="Arial" w:hAnsi="Arial" w:cs="Arial"/>
                <w:sz w:val="18"/>
                <w:szCs w:val="18"/>
                <w:lang w:val="en-GB"/>
              </w:rPr>
              <w:t xml:space="preserve"> </w:t>
            </w:r>
            <w:r w:rsidRPr="0010138D">
              <w:rPr>
                <w:rFonts w:ascii="Arial" w:hAnsi="Arial" w:cs="Arial"/>
                <w:i/>
                <w:sz w:val="18"/>
                <w:szCs w:val="18"/>
                <w:vertAlign w:val="subscript"/>
                <w:lang w:val="en-GB"/>
              </w:rPr>
              <w:t>o</w:t>
            </w:r>
          </w:p>
        </w:tc>
        <w:tc>
          <w:tcPr>
            <w:tcW w:w="1440" w:type="dxa"/>
            <w:vAlign w:val="center"/>
          </w:tcPr>
          <w:p w14:paraId="43E173FE" w14:textId="26EB962E" w:rsidR="003D7D7E" w:rsidRPr="0010138D" w:rsidRDefault="003D7D7E" w:rsidP="003D7D7E">
            <w:pPr>
              <w:rPr>
                <w:rFonts w:ascii="Arial" w:hAnsi="Arial" w:cs="Arial"/>
                <w:bCs/>
                <w:sz w:val="18"/>
                <w:szCs w:val="18"/>
                <w:lang w:val="en-GB"/>
              </w:rPr>
            </w:pPr>
            <m:oMathPara>
              <m:oMath>
                <m:r>
                  <w:rPr>
                    <w:rFonts w:ascii="Cambria Math" w:hAnsi="Cambria Math" w:cs="Arial"/>
                    <w:sz w:val="18"/>
                    <w:szCs w:val="18"/>
                    <w:lang w:val="en-GB"/>
                  </w:rPr>
                  <m:t>(</m:t>
                </m:r>
                <m:sSub>
                  <m:sSubPr>
                    <m:ctrlPr>
                      <w:rPr>
                        <w:rFonts w:ascii="Cambria Math" w:hAnsi="Cambria Math" w:cs="Arial"/>
                        <w:bCs/>
                        <w:i/>
                        <w:sz w:val="18"/>
                        <w:szCs w:val="18"/>
                        <w:lang w:val="en-GB"/>
                      </w:rPr>
                    </m:ctrlPr>
                  </m:sSubPr>
                  <m:e>
                    <m:r>
                      <w:rPr>
                        <w:rFonts w:ascii="Cambria Math" w:hAnsi="Cambria Math" w:cs="Arial"/>
                        <w:bCs/>
                        <w:i/>
                        <w:sz w:val="18"/>
                        <w:szCs w:val="18"/>
                        <w:lang w:val="en-GB"/>
                      </w:rPr>
                      <w:sym w:font="Symbol" w:char="F068"/>
                    </m:r>
                  </m:e>
                  <m:sub>
                    <m:r>
                      <w:rPr>
                        <w:rFonts w:ascii="Cambria Math" w:hAnsi="Cambria Math" w:cs="Arial"/>
                        <w:sz w:val="18"/>
                        <w:szCs w:val="18"/>
                        <w:vertAlign w:val="subscript"/>
                        <w:lang w:val="en-GB"/>
                      </w:rPr>
                      <m:t>r</m:t>
                    </m:r>
                  </m:sub>
                </m:sSub>
                <m:r>
                  <w:rPr>
                    <w:rFonts w:ascii="Cambria Math" w:hAnsi="Cambria Math" w:cs="Arial"/>
                    <w:sz w:val="18"/>
                    <w:szCs w:val="18"/>
                    <w:lang w:val="en-GB"/>
                  </w:rPr>
                  <m:t>-1)/</m:t>
                </m:r>
                <m:sSup>
                  <m:sSupPr>
                    <m:ctrlPr>
                      <w:rPr>
                        <w:rFonts w:ascii="Cambria Math" w:hAnsi="Cambria Math" w:cs="Arial"/>
                        <w:bCs/>
                        <w:i/>
                        <w:sz w:val="18"/>
                        <w:szCs w:val="18"/>
                        <w:lang w:val="en-GB"/>
                      </w:rPr>
                    </m:ctrlPr>
                  </m:sSupPr>
                  <m:e>
                    <m:r>
                      <w:rPr>
                        <w:rFonts w:ascii="Cambria Math" w:hAnsi="Cambria Math" w:cs="Arial"/>
                        <w:sz w:val="18"/>
                        <w:szCs w:val="18"/>
                        <w:lang w:val="en-GB"/>
                      </w:rPr>
                      <m:t>C</m:t>
                    </m:r>
                  </m:e>
                  <m:sup>
                    <m:r>
                      <w:rPr>
                        <w:rFonts w:ascii="Cambria Math" w:hAnsi="Cambria Math" w:cs="Arial"/>
                        <w:sz w:val="18"/>
                        <w:szCs w:val="18"/>
                        <w:lang w:val="en-GB"/>
                      </w:rPr>
                      <m:t>1/2</m:t>
                    </m:r>
                  </m:sup>
                </m:sSup>
              </m:oMath>
            </m:oMathPara>
          </w:p>
        </w:tc>
      </w:tr>
      <w:tr w:rsidR="003D7D7E" w:rsidRPr="0010138D" w14:paraId="5F2583FD" w14:textId="77777777" w:rsidTr="003D7D7E">
        <w:tc>
          <w:tcPr>
            <w:tcW w:w="1255" w:type="dxa"/>
          </w:tcPr>
          <w:p w14:paraId="13AB810B" w14:textId="50E937E4" w:rsidR="003D7D7E" w:rsidRPr="0010138D" w:rsidRDefault="003D7D7E" w:rsidP="003D7D7E">
            <w:pPr>
              <w:rPr>
                <w:rFonts w:ascii="Arial" w:hAnsi="Arial" w:cs="Arial"/>
                <w:bCs/>
                <w:sz w:val="18"/>
                <w:szCs w:val="18"/>
                <w:lang w:val="en-GB"/>
              </w:rPr>
            </w:pPr>
            <w:r w:rsidRPr="0010138D">
              <w:rPr>
                <w:sz w:val="18"/>
                <w:szCs w:val="18"/>
              </w:rPr>
              <w:t>0</w:t>
            </w:r>
          </w:p>
        </w:tc>
        <w:tc>
          <w:tcPr>
            <w:tcW w:w="1260" w:type="dxa"/>
          </w:tcPr>
          <w:p w14:paraId="35824DC7" w14:textId="1E11FD32" w:rsidR="003D7D7E" w:rsidRPr="0010138D" w:rsidRDefault="003D7D7E" w:rsidP="003D7D7E">
            <w:pPr>
              <w:rPr>
                <w:rFonts w:ascii="Arial" w:hAnsi="Arial" w:cs="Arial"/>
                <w:bCs/>
                <w:sz w:val="18"/>
                <w:szCs w:val="18"/>
                <w:lang w:val="en-GB"/>
              </w:rPr>
            </w:pPr>
            <w:r w:rsidRPr="0010138D">
              <w:rPr>
                <w:sz w:val="18"/>
                <w:szCs w:val="18"/>
              </w:rPr>
              <w:t>0.000</w:t>
            </w:r>
          </w:p>
        </w:tc>
        <w:tc>
          <w:tcPr>
            <w:tcW w:w="1350" w:type="dxa"/>
          </w:tcPr>
          <w:p w14:paraId="62EE8968" w14:textId="042AE438" w:rsidR="003D7D7E" w:rsidRPr="0010138D" w:rsidRDefault="003D7D7E" w:rsidP="003D7D7E">
            <w:pPr>
              <w:rPr>
                <w:rFonts w:ascii="Arial" w:hAnsi="Arial" w:cs="Arial"/>
                <w:bCs/>
                <w:sz w:val="18"/>
                <w:szCs w:val="18"/>
                <w:lang w:val="en-GB"/>
              </w:rPr>
            </w:pPr>
            <w:r w:rsidRPr="0010138D">
              <w:rPr>
                <w:rFonts w:ascii="Arial" w:hAnsi="Arial" w:cs="Arial"/>
                <w:bCs/>
                <w:sz w:val="18"/>
                <w:szCs w:val="18"/>
                <w:lang w:val="en-GB"/>
              </w:rPr>
              <w:t>3.697</w:t>
            </w:r>
          </w:p>
        </w:tc>
        <w:tc>
          <w:tcPr>
            <w:tcW w:w="1170" w:type="dxa"/>
          </w:tcPr>
          <w:p w14:paraId="741A4ADF" w14:textId="2BF065F2" w:rsidR="003D7D7E" w:rsidRPr="0010138D" w:rsidRDefault="003D7D7E" w:rsidP="003D7D7E">
            <w:pPr>
              <w:rPr>
                <w:rFonts w:ascii="Arial" w:hAnsi="Arial" w:cs="Arial"/>
                <w:bCs/>
                <w:sz w:val="18"/>
                <w:szCs w:val="18"/>
                <w:lang w:val="en-GB"/>
              </w:rPr>
            </w:pPr>
            <w:r w:rsidRPr="0010138D">
              <w:rPr>
                <w:sz w:val="18"/>
                <w:szCs w:val="18"/>
              </w:rPr>
              <w:t>2.080</w:t>
            </w:r>
          </w:p>
        </w:tc>
        <w:tc>
          <w:tcPr>
            <w:tcW w:w="1350" w:type="dxa"/>
          </w:tcPr>
          <w:p w14:paraId="2FB74306" w14:textId="5B042E51" w:rsidR="003D7D7E" w:rsidRPr="0010138D" w:rsidRDefault="003D5F24" w:rsidP="003D7D7E">
            <w:pPr>
              <w:rPr>
                <w:rFonts w:ascii="Arial" w:hAnsi="Arial" w:cs="Arial"/>
                <w:bCs/>
                <w:sz w:val="18"/>
                <w:szCs w:val="18"/>
                <w:lang w:val="en-GB"/>
              </w:rPr>
            </w:pPr>
            <w:r w:rsidRPr="0010138D">
              <w:rPr>
                <w:rFonts w:ascii="Arial" w:hAnsi="Arial" w:cs="Arial"/>
                <w:bCs/>
                <w:sz w:val="18"/>
                <w:szCs w:val="18"/>
                <w:lang w:val="en-GB"/>
              </w:rPr>
              <w:t>1.777</w:t>
            </w:r>
          </w:p>
        </w:tc>
        <w:tc>
          <w:tcPr>
            <w:tcW w:w="1440" w:type="dxa"/>
          </w:tcPr>
          <w:p w14:paraId="24931A51" w14:textId="085BAE8A" w:rsidR="003D7D7E" w:rsidRPr="0010138D" w:rsidRDefault="00106782" w:rsidP="003D7D7E">
            <w:pPr>
              <w:rPr>
                <w:rFonts w:ascii="Arial" w:hAnsi="Arial" w:cs="Arial"/>
                <w:bCs/>
                <w:sz w:val="18"/>
                <w:szCs w:val="18"/>
                <w:lang w:val="en-GB"/>
              </w:rPr>
            </w:pPr>
            <w:r w:rsidRPr="0010138D">
              <w:rPr>
                <w:rFonts w:ascii="Arial" w:hAnsi="Arial" w:cs="Arial"/>
                <w:bCs/>
                <w:sz w:val="18"/>
                <w:szCs w:val="18"/>
                <w:lang w:val="en-GB"/>
              </w:rPr>
              <w:t>2.459</w:t>
            </w:r>
          </w:p>
        </w:tc>
      </w:tr>
      <w:tr w:rsidR="003D7D7E" w:rsidRPr="0010138D" w14:paraId="769FA706" w14:textId="77777777" w:rsidTr="003D7D7E">
        <w:tc>
          <w:tcPr>
            <w:tcW w:w="1255" w:type="dxa"/>
          </w:tcPr>
          <w:p w14:paraId="3D455F9F" w14:textId="332B3910" w:rsidR="003D7D7E" w:rsidRPr="0010138D" w:rsidRDefault="003D7D7E" w:rsidP="003D7D7E">
            <w:pPr>
              <w:rPr>
                <w:rFonts w:ascii="Arial" w:hAnsi="Arial" w:cs="Arial"/>
                <w:bCs/>
                <w:sz w:val="18"/>
                <w:szCs w:val="18"/>
                <w:lang w:val="en-GB"/>
              </w:rPr>
            </w:pPr>
            <w:r w:rsidRPr="0010138D">
              <w:rPr>
                <w:sz w:val="18"/>
                <w:szCs w:val="18"/>
              </w:rPr>
              <w:t>25</w:t>
            </w:r>
          </w:p>
        </w:tc>
        <w:tc>
          <w:tcPr>
            <w:tcW w:w="1260" w:type="dxa"/>
          </w:tcPr>
          <w:p w14:paraId="29722104" w14:textId="1C38E2BF" w:rsidR="003D7D7E" w:rsidRPr="0010138D" w:rsidRDefault="003D7D7E" w:rsidP="003D7D7E">
            <w:pPr>
              <w:rPr>
                <w:rFonts w:ascii="Arial" w:hAnsi="Arial" w:cs="Arial"/>
                <w:bCs/>
                <w:sz w:val="18"/>
                <w:szCs w:val="18"/>
                <w:lang w:val="en-GB"/>
              </w:rPr>
            </w:pPr>
            <w:r w:rsidRPr="0010138D">
              <w:rPr>
                <w:sz w:val="18"/>
                <w:szCs w:val="18"/>
              </w:rPr>
              <w:t>0.200</w:t>
            </w:r>
          </w:p>
        </w:tc>
        <w:tc>
          <w:tcPr>
            <w:tcW w:w="1350" w:type="dxa"/>
          </w:tcPr>
          <w:p w14:paraId="1A697085" w14:textId="1BCD0D8F" w:rsidR="003D7D7E" w:rsidRPr="0010138D" w:rsidRDefault="003D7D7E" w:rsidP="003D7D7E">
            <w:pPr>
              <w:rPr>
                <w:rFonts w:ascii="Arial" w:hAnsi="Arial" w:cs="Arial"/>
                <w:bCs/>
                <w:sz w:val="18"/>
                <w:szCs w:val="18"/>
                <w:lang w:val="en-GB"/>
              </w:rPr>
            </w:pPr>
            <w:r w:rsidRPr="0010138D">
              <w:rPr>
                <w:rFonts w:ascii="Arial" w:hAnsi="Arial" w:cs="Arial"/>
                <w:bCs/>
                <w:sz w:val="18"/>
                <w:szCs w:val="18"/>
                <w:lang w:val="en-GB"/>
              </w:rPr>
              <w:t>3.130</w:t>
            </w:r>
          </w:p>
        </w:tc>
        <w:tc>
          <w:tcPr>
            <w:tcW w:w="1170" w:type="dxa"/>
          </w:tcPr>
          <w:p w14:paraId="5A0E5E87" w14:textId="4083D1E6" w:rsidR="003D7D7E" w:rsidRPr="0010138D" w:rsidRDefault="003D7D7E" w:rsidP="003D7D7E">
            <w:pPr>
              <w:rPr>
                <w:rFonts w:ascii="Arial" w:hAnsi="Arial" w:cs="Arial"/>
                <w:bCs/>
                <w:sz w:val="18"/>
                <w:szCs w:val="18"/>
                <w:lang w:val="en-GB"/>
              </w:rPr>
            </w:pPr>
            <w:r w:rsidRPr="0010138D">
              <w:rPr>
                <w:sz w:val="18"/>
                <w:szCs w:val="18"/>
              </w:rPr>
              <w:t>1.780</w:t>
            </w:r>
          </w:p>
        </w:tc>
        <w:tc>
          <w:tcPr>
            <w:tcW w:w="1350" w:type="dxa"/>
          </w:tcPr>
          <w:p w14:paraId="744D546E" w14:textId="5D73EFC5" w:rsidR="003D7D7E" w:rsidRPr="0010138D" w:rsidRDefault="003D5F24" w:rsidP="003D7D7E">
            <w:pPr>
              <w:rPr>
                <w:rFonts w:ascii="Arial" w:hAnsi="Arial" w:cs="Arial"/>
                <w:bCs/>
                <w:sz w:val="18"/>
                <w:szCs w:val="18"/>
                <w:lang w:val="en-GB"/>
              </w:rPr>
            </w:pPr>
            <w:r w:rsidRPr="0010138D">
              <w:rPr>
                <w:rFonts w:ascii="Arial" w:hAnsi="Arial" w:cs="Arial"/>
                <w:bCs/>
                <w:sz w:val="18"/>
                <w:szCs w:val="18"/>
                <w:lang w:val="en-GB"/>
              </w:rPr>
              <w:t>1.758</w:t>
            </w:r>
          </w:p>
        </w:tc>
        <w:tc>
          <w:tcPr>
            <w:tcW w:w="1440" w:type="dxa"/>
          </w:tcPr>
          <w:p w14:paraId="55ACF5AC" w14:textId="7BBC88E0" w:rsidR="003D7D7E" w:rsidRPr="0010138D" w:rsidRDefault="00106782" w:rsidP="003D7D7E">
            <w:pPr>
              <w:rPr>
                <w:rFonts w:ascii="Arial" w:hAnsi="Arial" w:cs="Arial"/>
                <w:bCs/>
                <w:sz w:val="18"/>
                <w:szCs w:val="18"/>
                <w:lang w:val="en-GB"/>
              </w:rPr>
            </w:pPr>
            <w:r w:rsidRPr="0010138D">
              <w:rPr>
                <w:rFonts w:ascii="Arial" w:hAnsi="Arial" w:cs="Arial"/>
                <w:bCs/>
                <w:sz w:val="18"/>
                <w:szCs w:val="18"/>
                <w:lang w:val="en-GB"/>
              </w:rPr>
              <w:t>2.399</w:t>
            </w:r>
          </w:p>
        </w:tc>
      </w:tr>
      <w:tr w:rsidR="003D7D7E" w:rsidRPr="0010138D" w14:paraId="08D86A1D" w14:textId="77777777" w:rsidTr="003D7D7E">
        <w:tc>
          <w:tcPr>
            <w:tcW w:w="1255" w:type="dxa"/>
          </w:tcPr>
          <w:p w14:paraId="65D799EC" w14:textId="4D5F7B40" w:rsidR="003D7D7E" w:rsidRPr="0010138D" w:rsidRDefault="003D7D7E" w:rsidP="003D7D7E">
            <w:pPr>
              <w:rPr>
                <w:rFonts w:ascii="Arial" w:hAnsi="Arial" w:cs="Arial"/>
                <w:bCs/>
                <w:sz w:val="18"/>
                <w:szCs w:val="18"/>
                <w:lang w:val="en-GB"/>
              </w:rPr>
            </w:pPr>
            <w:r w:rsidRPr="0010138D">
              <w:rPr>
                <w:sz w:val="18"/>
                <w:szCs w:val="18"/>
              </w:rPr>
              <w:t>50</w:t>
            </w:r>
          </w:p>
        </w:tc>
        <w:tc>
          <w:tcPr>
            <w:tcW w:w="1260" w:type="dxa"/>
          </w:tcPr>
          <w:p w14:paraId="1B38DF9C" w14:textId="63081320" w:rsidR="003D7D7E" w:rsidRPr="0010138D" w:rsidRDefault="003D7D7E" w:rsidP="003D7D7E">
            <w:pPr>
              <w:rPr>
                <w:rFonts w:ascii="Arial" w:hAnsi="Arial" w:cs="Arial"/>
                <w:bCs/>
                <w:sz w:val="18"/>
                <w:szCs w:val="18"/>
                <w:lang w:val="en-GB"/>
              </w:rPr>
            </w:pPr>
            <w:r w:rsidRPr="0010138D">
              <w:rPr>
                <w:sz w:val="18"/>
                <w:szCs w:val="18"/>
              </w:rPr>
              <w:t>0.420</w:t>
            </w:r>
          </w:p>
        </w:tc>
        <w:tc>
          <w:tcPr>
            <w:tcW w:w="1350" w:type="dxa"/>
          </w:tcPr>
          <w:p w14:paraId="6FE71439" w14:textId="69310826" w:rsidR="003D7D7E" w:rsidRPr="0010138D" w:rsidRDefault="003D7D7E" w:rsidP="003D7D7E">
            <w:pPr>
              <w:rPr>
                <w:rFonts w:ascii="Arial" w:hAnsi="Arial" w:cs="Arial"/>
                <w:bCs/>
                <w:sz w:val="18"/>
                <w:szCs w:val="18"/>
                <w:lang w:val="en-GB"/>
              </w:rPr>
            </w:pPr>
            <w:r w:rsidRPr="0010138D">
              <w:rPr>
                <w:rFonts w:ascii="Arial" w:hAnsi="Arial" w:cs="Arial"/>
                <w:bCs/>
                <w:sz w:val="18"/>
                <w:szCs w:val="18"/>
                <w:lang w:val="en-GB"/>
              </w:rPr>
              <w:t>2.410</w:t>
            </w:r>
          </w:p>
        </w:tc>
        <w:tc>
          <w:tcPr>
            <w:tcW w:w="1170" w:type="dxa"/>
          </w:tcPr>
          <w:p w14:paraId="0EFFC386" w14:textId="1C184E5B" w:rsidR="003D7D7E" w:rsidRPr="0010138D" w:rsidRDefault="003D7D7E" w:rsidP="003D7D7E">
            <w:pPr>
              <w:rPr>
                <w:rFonts w:ascii="Arial" w:hAnsi="Arial" w:cs="Arial"/>
                <w:bCs/>
                <w:sz w:val="18"/>
                <w:szCs w:val="18"/>
                <w:lang w:val="en-GB"/>
              </w:rPr>
            </w:pPr>
            <w:r w:rsidRPr="0010138D">
              <w:rPr>
                <w:sz w:val="18"/>
                <w:szCs w:val="18"/>
              </w:rPr>
              <w:t>1.450</w:t>
            </w:r>
          </w:p>
        </w:tc>
        <w:tc>
          <w:tcPr>
            <w:tcW w:w="1350" w:type="dxa"/>
          </w:tcPr>
          <w:p w14:paraId="04FCA60E" w14:textId="480993E3" w:rsidR="003D7D7E" w:rsidRPr="0010138D" w:rsidRDefault="003D5F24" w:rsidP="003D7D7E">
            <w:pPr>
              <w:rPr>
                <w:rFonts w:ascii="Arial" w:hAnsi="Arial" w:cs="Arial"/>
                <w:bCs/>
                <w:sz w:val="18"/>
                <w:szCs w:val="18"/>
                <w:lang w:val="en-GB"/>
              </w:rPr>
            </w:pPr>
            <w:r w:rsidRPr="0010138D">
              <w:rPr>
                <w:rFonts w:ascii="Arial" w:hAnsi="Arial" w:cs="Arial"/>
                <w:bCs/>
                <w:sz w:val="18"/>
                <w:szCs w:val="18"/>
                <w:lang w:val="en-GB"/>
              </w:rPr>
              <w:t>1.662</w:t>
            </w:r>
          </w:p>
        </w:tc>
        <w:tc>
          <w:tcPr>
            <w:tcW w:w="1440" w:type="dxa"/>
          </w:tcPr>
          <w:p w14:paraId="6B7B074E" w14:textId="74A3AB7F" w:rsidR="003D7D7E" w:rsidRPr="0010138D" w:rsidRDefault="00106782" w:rsidP="003D7D7E">
            <w:pPr>
              <w:rPr>
                <w:rFonts w:ascii="Arial" w:hAnsi="Arial" w:cs="Arial"/>
                <w:bCs/>
                <w:sz w:val="18"/>
                <w:szCs w:val="18"/>
                <w:lang w:val="en-GB"/>
              </w:rPr>
            </w:pPr>
            <w:r w:rsidRPr="0010138D">
              <w:rPr>
                <w:rFonts w:ascii="Arial" w:hAnsi="Arial" w:cs="Arial"/>
                <w:bCs/>
                <w:sz w:val="18"/>
                <w:szCs w:val="18"/>
                <w:lang w:val="en-GB"/>
              </w:rPr>
              <w:t>2.095</w:t>
            </w:r>
          </w:p>
        </w:tc>
      </w:tr>
      <w:tr w:rsidR="003D7D7E" w:rsidRPr="0010138D" w14:paraId="080EAE07" w14:textId="77777777" w:rsidTr="003D7D7E">
        <w:tc>
          <w:tcPr>
            <w:tcW w:w="1255" w:type="dxa"/>
          </w:tcPr>
          <w:p w14:paraId="716B9C2B" w14:textId="47D29A67" w:rsidR="003D7D7E" w:rsidRPr="0010138D" w:rsidRDefault="003D7D7E" w:rsidP="003D7D7E">
            <w:pPr>
              <w:rPr>
                <w:rFonts w:ascii="Arial" w:hAnsi="Arial" w:cs="Arial"/>
                <w:bCs/>
                <w:sz w:val="18"/>
                <w:szCs w:val="18"/>
                <w:lang w:val="en-GB"/>
              </w:rPr>
            </w:pPr>
            <w:r w:rsidRPr="0010138D">
              <w:rPr>
                <w:sz w:val="18"/>
                <w:szCs w:val="18"/>
              </w:rPr>
              <w:t>75</w:t>
            </w:r>
          </w:p>
        </w:tc>
        <w:tc>
          <w:tcPr>
            <w:tcW w:w="1260" w:type="dxa"/>
          </w:tcPr>
          <w:p w14:paraId="48532252" w14:textId="757A2AD8" w:rsidR="003D7D7E" w:rsidRPr="0010138D" w:rsidRDefault="003D7D7E" w:rsidP="003D7D7E">
            <w:pPr>
              <w:rPr>
                <w:rFonts w:ascii="Arial" w:hAnsi="Arial" w:cs="Arial"/>
                <w:bCs/>
                <w:sz w:val="18"/>
                <w:szCs w:val="18"/>
                <w:lang w:val="en-GB"/>
              </w:rPr>
            </w:pPr>
            <w:r w:rsidRPr="0010138D">
              <w:rPr>
                <w:sz w:val="18"/>
                <w:szCs w:val="18"/>
              </w:rPr>
              <w:t>0.680</w:t>
            </w:r>
          </w:p>
        </w:tc>
        <w:tc>
          <w:tcPr>
            <w:tcW w:w="1350" w:type="dxa"/>
          </w:tcPr>
          <w:p w14:paraId="385871A4" w14:textId="6BF51CA3" w:rsidR="003D7D7E" w:rsidRPr="0010138D" w:rsidRDefault="003D7D7E" w:rsidP="003D7D7E">
            <w:pPr>
              <w:rPr>
                <w:rFonts w:ascii="Arial" w:hAnsi="Arial" w:cs="Arial"/>
                <w:bCs/>
                <w:sz w:val="18"/>
                <w:szCs w:val="18"/>
                <w:lang w:val="en-GB"/>
              </w:rPr>
            </w:pPr>
            <w:r w:rsidRPr="0010138D">
              <w:rPr>
                <w:rFonts w:ascii="Arial" w:hAnsi="Arial" w:cs="Arial"/>
                <w:bCs/>
                <w:sz w:val="18"/>
                <w:szCs w:val="18"/>
                <w:lang w:val="en-GB"/>
              </w:rPr>
              <w:t>1.720</w:t>
            </w:r>
          </w:p>
        </w:tc>
        <w:tc>
          <w:tcPr>
            <w:tcW w:w="1170" w:type="dxa"/>
          </w:tcPr>
          <w:p w14:paraId="340C6FDA" w14:textId="6B82BED1" w:rsidR="003D7D7E" w:rsidRPr="0010138D" w:rsidRDefault="003D7D7E" w:rsidP="003D7D7E">
            <w:pPr>
              <w:rPr>
                <w:rFonts w:ascii="Arial" w:hAnsi="Arial" w:cs="Arial"/>
                <w:bCs/>
                <w:sz w:val="18"/>
                <w:szCs w:val="18"/>
                <w:lang w:val="en-GB"/>
              </w:rPr>
            </w:pPr>
            <w:r w:rsidRPr="0010138D">
              <w:rPr>
                <w:sz w:val="18"/>
                <w:szCs w:val="18"/>
              </w:rPr>
              <w:t>1.050</w:t>
            </w:r>
          </w:p>
        </w:tc>
        <w:tc>
          <w:tcPr>
            <w:tcW w:w="1350" w:type="dxa"/>
          </w:tcPr>
          <w:p w14:paraId="5C2BDEC7" w14:textId="32ECE769" w:rsidR="003D7D7E" w:rsidRPr="0010138D" w:rsidRDefault="003D5F24" w:rsidP="003D7D7E">
            <w:pPr>
              <w:rPr>
                <w:rFonts w:ascii="Arial" w:hAnsi="Arial" w:cs="Arial"/>
                <w:bCs/>
                <w:sz w:val="18"/>
                <w:szCs w:val="18"/>
                <w:lang w:val="en-GB"/>
              </w:rPr>
            </w:pPr>
            <w:r w:rsidRPr="0010138D">
              <w:rPr>
                <w:rFonts w:ascii="Arial" w:hAnsi="Arial" w:cs="Arial"/>
                <w:bCs/>
                <w:sz w:val="18"/>
                <w:szCs w:val="18"/>
                <w:lang w:val="en-GB"/>
              </w:rPr>
              <w:t>1.639</w:t>
            </w:r>
          </w:p>
        </w:tc>
        <w:tc>
          <w:tcPr>
            <w:tcW w:w="1440" w:type="dxa"/>
          </w:tcPr>
          <w:p w14:paraId="1A0E574E" w14:textId="7DE5BFDE" w:rsidR="003D7D7E" w:rsidRPr="0010138D" w:rsidRDefault="00106782" w:rsidP="003D7D7E">
            <w:pPr>
              <w:rPr>
                <w:rFonts w:ascii="Arial" w:hAnsi="Arial" w:cs="Arial"/>
                <w:bCs/>
                <w:sz w:val="18"/>
                <w:szCs w:val="18"/>
                <w:lang w:val="en-GB"/>
              </w:rPr>
            </w:pPr>
            <w:r w:rsidRPr="0010138D">
              <w:rPr>
                <w:rFonts w:ascii="Arial" w:hAnsi="Arial" w:cs="Arial"/>
                <w:bCs/>
                <w:sz w:val="18"/>
                <w:szCs w:val="18"/>
                <w:lang w:val="en-GB"/>
              </w:rPr>
              <w:t>2.022</w:t>
            </w:r>
          </w:p>
        </w:tc>
      </w:tr>
      <w:tr w:rsidR="003D7D7E" w:rsidRPr="0010138D" w14:paraId="516D65C7" w14:textId="77777777" w:rsidTr="003D7D7E">
        <w:tc>
          <w:tcPr>
            <w:tcW w:w="1255" w:type="dxa"/>
          </w:tcPr>
          <w:p w14:paraId="36370442" w14:textId="6ACAA0F8" w:rsidR="003D7D7E" w:rsidRPr="0010138D" w:rsidRDefault="003D7D7E" w:rsidP="003D7D7E">
            <w:pPr>
              <w:rPr>
                <w:rFonts w:ascii="Arial" w:hAnsi="Arial" w:cs="Arial"/>
                <w:bCs/>
                <w:sz w:val="18"/>
                <w:szCs w:val="18"/>
                <w:lang w:val="en-GB"/>
              </w:rPr>
            </w:pPr>
            <w:r w:rsidRPr="0010138D">
              <w:rPr>
                <w:sz w:val="18"/>
                <w:szCs w:val="18"/>
              </w:rPr>
              <w:t>100</w:t>
            </w:r>
          </w:p>
        </w:tc>
        <w:tc>
          <w:tcPr>
            <w:tcW w:w="1260" w:type="dxa"/>
          </w:tcPr>
          <w:p w14:paraId="77AB16EA" w14:textId="7A8E37B6" w:rsidR="003D7D7E" w:rsidRPr="0010138D" w:rsidRDefault="003D7D7E" w:rsidP="003D7D7E">
            <w:pPr>
              <w:rPr>
                <w:rFonts w:ascii="Arial" w:hAnsi="Arial" w:cs="Arial"/>
                <w:bCs/>
                <w:sz w:val="18"/>
                <w:szCs w:val="18"/>
                <w:lang w:val="en-GB"/>
              </w:rPr>
            </w:pPr>
            <w:r w:rsidRPr="0010138D">
              <w:rPr>
                <w:sz w:val="18"/>
                <w:szCs w:val="18"/>
              </w:rPr>
              <w:t>1.000</w:t>
            </w:r>
          </w:p>
        </w:tc>
        <w:tc>
          <w:tcPr>
            <w:tcW w:w="1350" w:type="dxa"/>
          </w:tcPr>
          <w:p w14:paraId="799AFF06" w14:textId="7462AE32" w:rsidR="003D7D7E" w:rsidRPr="0010138D" w:rsidRDefault="003D7D7E" w:rsidP="003D7D7E">
            <w:pPr>
              <w:rPr>
                <w:rFonts w:ascii="Arial" w:hAnsi="Arial" w:cs="Arial"/>
                <w:bCs/>
                <w:sz w:val="18"/>
                <w:szCs w:val="18"/>
                <w:lang w:val="en-GB"/>
              </w:rPr>
            </w:pPr>
            <w:r w:rsidRPr="0010138D">
              <w:rPr>
                <w:rFonts w:ascii="Arial" w:hAnsi="Arial" w:cs="Arial"/>
                <w:bCs/>
                <w:sz w:val="18"/>
                <w:szCs w:val="18"/>
                <w:lang w:val="en-GB"/>
              </w:rPr>
              <w:t>1.185</w:t>
            </w:r>
          </w:p>
        </w:tc>
        <w:tc>
          <w:tcPr>
            <w:tcW w:w="1170" w:type="dxa"/>
          </w:tcPr>
          <w:p w14:paraId="4A36784C" w14:textId="11DF35E4" w:rsidR="003D7D7E" w:rsidRPr="0010138D" w:rsidRDefault="003D7D7E" w:rsidP="003D7D7E">
            <w:pPr>
              <w:rPr>
                <w:rFonts w:ascii="Arial" w:hAnsi="Arial" w:cs="Arial"/>
                <w:bCs/>
                <w:sz w:val="18"/>
                <w:szCs w:val="18"/>
                <w:lang w:val="en-GB"/>
              </w:rPr>
            </w:pPr>
            <w:r w:rsidRPr="0010138D">
              <w:rPr>
                <w:sz w:val="18"/>
                <w:szCs w:val="18"/>
              </w:rPr>
              <w:t>0.865</w:t>
            </w:r>
          </w:p>
        </w:tc>
        <w:tc>
          <w:tcPr>
            <w:tcW w:w="1350" w:type="dxa"/>
          </w:tcPr>
          <w:p w14:paraId="26B1E3D6" w14:textId="22B765B4" w:rsidR="003D7D7E" w:rsidRPr="0010138D" w:rsidRDefault="003D5F24" w:rsidP="003D7D7E">
            <w:pPr>
              <w:rPr>
                <w:rFonts w:ascii="Arial" w:hAnsi="Arial" w:cs="Arial"/>
                <w:bCs/>
                <w:sz w:val="18"/>
                <w:szCs w:val="18"/>
                <w:lang w:val="en-GB"/>
              </w:rPr>
            </w:pPr>
            <w:r w:rsidRPr="0010138D">
              <w:rPr>
                <w:rFonts w:ascii="Arial" w:hAnsi="Arial" w:cs="Arial"/>
                <w:bCs/>
                <w:sz w:val="18"/>
                <w:szCs w:val="18"/>
                <w:lang w:val="en-GB"/>
              </w:rPr>
              <w:t>1.370</w:t>
            </w:r>
          </w:p>
        </w:tc>
        <w:tc>
          <w:tcPr>
            <w:tcW w:w="1440" w:type="dxa"/>
          </w:tcPr>
          <w:p w14:paraId="117E559F" w14:textId="1C7BDBF6" w:rsidR="003D7D7E" w:rsidRPr="0010138D" w:rsidRDefault="00106782" w:rsidP="003D7D7E">
            <w:pPr>
              <w:rPr>
                <w:rFonts w:ascii="Arial" w:hAnsi="Arial" w:cs="Arial"/>
                <w:bCs/>
                <w:sz w:val="18"/>
                <w:szCs w:val="18"/>
                <w:lang w:val="en-GB"/>
              </w:rPr>
            </w:pPr>
            <w:r w:rsidRPr="0010138D">
              <w:rPr>
                <w:rFonts w:ascii="Arial" w:hAnsi="Arial" w:cs="Arial"/>
                <w:bCs/>
                <w:sz w:val="18"/>
                <w:szCs w:val="18"/>
                <w:lang w:val="en-GB"/>
              </w:rPr>
              <w:t>1.171</w:t>
            </w:r>
          </w:p>
        </w:tc>
      </w:tr>
    </w:tbl>
    <w:p w14:paraId="1DA67A9E" w14:textId="77777777" w:rsidR="005842A7" w:rsidRDefault="005842A7" w:rsidP="00CC6C24">
      <w:pPr>
        <w:rPr>
          <w:rFonts w:ascii="Arial" w:hAnsi="Arial" w:cs="Arial"/>
          <w:bCs/>
          <w:sz w:val="20"/>
          <w:szCs w:val="20"/>
          <w:lang w:val="en-GB"/>
        </w:rPr>
      </w:pPr>
    </w:p>
    <w:p w14:paraId="140B25F0" w14:textId="571A0F46" w:rsidR="005842A7" w:rsidRPr="0010138D" w:rsidRDefault="0010138D" w:rsidP="0010138D">
      <w:pPr>
        <w:rPr>
          <w:rFonts w:ascii="Arial" w:hAnsi="Arial" w:cs="Arial"/>
          <w:bCs/>
          <w:sz w:val="18"/>
          <w:szCs w:val="18"/>
          <w:lang w:val="en-GB"/>
        </w:rPr>
      </w:pPr>
      <w:r w:rsidRPr="0010138D">
        <w:rPr>
          <w:rFonts w:ascii="Arial" w:hAnsi="Arial" w:cs="Arial"/>
          <w:bCs/>
          <w:sz w:val="18"/>
          <w:szCs w:val="18"/>
          <w:lang w:val="en-GB"/>
        </w:rPr>
        <w:t xml:space="preserve">Table </w:t>
      </w:r>
      <w:r w:rsidR="00723FAC">
        <w:rPr>
          <w:rFonts w:ascii="Arial" w:hAnsi="Arial" w:cs="Arial"/>
          <w:bCs/>
          <w:sz w:val="18"/>
          <w:szCs w:val="18"/>
          <w:lang w:val="en-GB"/>
        </w:rPr>
        <w:t>5</w:t>
      </w:r>
      <w:r w:rsidRPr="0010138D">
        <w:rPr>
          <w:rFonts w:ascii="Arial" w:hAnsi="Arial" w:cs="Arial"/>
          <w:bCs/>
          <w:sz w:val="18"/>
          <w:szCs w:val="18"/>
          <w:lang w:val="en-GB"/>
        </w:rPr>
        <w:t xml:space="preserve">: Jones-Dole A and B Coefficients at Different </w:t>
      </w:r>
      <w:r>
        <w:rPr>
          <w:rFonts w:ascii="Arial" w:hAnsi="Arial" w:cs="Arial"/>
          <w:bCs/>
          <w:sz w:val="18"/>
          <w:szCs w:val="18"/>
          <w:lang w:val="en-GB"/>
        </w:rPr>
        <w:t xml:space="preserve">Volume % DME at </w:t>
      </w:r>
      <w:r w:rsidRPr="0010138D">
        <w:rPr>
          <w:rFonts w:ascii="Arial" w:hAnsi="Arial" w:cs="Arial"/>
          <w:bCs/>
          <w:sz w:val="18"/>
          <w:szCs w:val="18"/>
          <w:lang w:val="en-GB"/>
        </w:rPr>
        <w:t xml:space="preserve">298.15 K: </w:t>
      </w:r>
    </w:p>
    <w:tbl>
      <w:tblPr>
        <w:tblStyle w:val="TableGrid"/>
        <w:tblW w:w="0" w:type="auto"/>
        <w:tblLook w:val="04A0" w:firstRow="1" w:lastRow="0" w:firstColumn="1" w:lastColumn="0" w:noHBand="0" w:noVBand="1"/>
      </w:tblPr>
      <w:tblGrid>
        <w:gridCol w:w="1255"/>
        <w:gridCol w:w="1260"/>
        <w:gridCol w:w="2700"/>
        <w:gridCol w:w="1350"/>
        <w:gridCol w:w="1265"/>
      </w:tblGrid>
      <w:tr w:rsidR="0010138D" w:rsidRPr="00680B49" w14:paraId="04E54B13" w14:textId="77777777" w:rsidTr="0010138D">
        <w:trPr>
          <w:trHeight w:val="402"/>
        </w:trPr>
        <w:tc>
          <w:tcPr>
            <w:tcW w:w="1255" w:type="dxa"/>
          </w:tcPr>
          <w:p w14:paraId="52A776B8" w14:textId="67081B2F" w:rsidR="0010138D" w:rsidRPr="00680B49" w:rsidRDefault="0010138D" w:rsidP="0010138D">
            <w:pPr>
              <w:rPr>
                <w:rFonts w:ascii="Arial" w:hAnsi="Arial" w:cs="Arial"/>
                <w:bCs/>
                <w:sz w:val="18"/>
                <w:szCs w:val="18"/>
                <w:lang w:val="en-GB"/>
              </w:rPr>
            </w:pPr>
            <w:r w:rsidRPr="00680B49">
              <w:rPr>
                <w:sz w:val="18"/>
                <w:szCs w:val="18"/>
              </w:rPr>
              <w:t>% DME</w:t>
            </w:r>
          </w:p>
        </w:tc>
        <w:tc>
          <w:tcPr>
            <w:tcW w:w="1260" w:type="dxa"/>
          </w:tcPr>
          <w:p w14:paraId="7D8247C2" w14:textId="3D07B9AF" w:rsidR="0010138D" w:rsidRPr="00680B49" w:rsidRDefault="0010138D" w:rsidP="0010138D">
            <w:pPr>
              <w:rPr>
                <w:rFonts w:ascii="Arial" w:hAnsi="Arial" w:cs="Arial"/>
                <w:bCs/>
                <w:sz w:val="18"/>
                <w:szCs w:val="18"/>
                <w:lang w:val="en-GB"/>
              </w:rPr>
            </w:pPr>
            <w:r w:rsidRPr="00680B49">
              <w:rPr>
                <w:sz w:val="18"/>
                <w:szCs w:val="18"/>
              </w:rPr>
              <w:t>X1</w:t>
            </w:r>
          </w:p>
        </w:tc>
        <w:tc>
          <w:tcPr>
            <w:tcW w:w="2700" w:type="dxa"/>
          </w:tcPr>
          <w:p w14:paraId="0A07D24B" w14:textId="7A6A15A7" w:rsidR="0010138D" w:rsidRPr="00680B49" w:rsidRDefault="0010138D" w:rsidP="0010138D">
            <w:pPr>
              <w:rPr>
                <w:rFonts w:ascii="Arial" w:hAnsi="Arial" w:cs="Arial"/>
                <w:bCs/>
                <w:sz w:val="18"/>
                <w:szCs w:val="18"/>
                <w:lang w:val="en-GB"/>
              </w:rPr>
            </w:pPr>
            <w:r w:rsidRPr="00680B49">
              <w:rPr>
                <w:rFonts w:ascii="Arial" w:hAnsi="Arial" w:cs="Arial"/>
                <w:bCs/>
                <w:sz w:val="18"/>
                <w:szCs w:val="18"/>
                <w:lang w:val="en-GB"/>
              </w:rPr>
              <w:t>Linear Equation</w:t>
            </w:r>
          </w:p>
        </w:tc>
        <w:tc>
          <w:tcPr>
            <w:tcW w:w="1350" w:type="dxa"/>
          </w:tcPr>
          <w:p w14:paraId="691B419D" w14:textId="55490E7A" w:rsidR="0010138D" w:rsidRPr="00680B49" w:rsidRDefault="0010138D" w:rsidP="0010138D">
            <w:pPr>
              <w:rPr>
                <w:rFonts w:ascii="Arial" w:hAnsi="Arial" w:cs="Arial"/>
                <w:bCs/>
                <w:sz w:val="16"/>
                <w:szCs w:val="16"/>
                <w:lang w:val="en-GB"/>
              </w:rPr>
            </w:pPr>
            <w:r w:rsidRPr="00680B49">
              <w:rPr>
                <w:rFonts w:ascii="Arial" w:hAnsi="Arial" w:cs="Arial"/>
                <w:sz w:val="16"/>
                <w:szCs w:val="16"/>
                <w:lang w:val="en-GB"/>
              </w:rPr>
              <w:t>A</w:t>
            </w:r>
            <w:r w:rsidRPr="00680B49">
              <w:rPr>
                <w:rFonts w:ascii="Arial" w:hAnsi="Arial" w:cs="Arial"/>
                <w:b/>
                <w:bCs/>
                <w:sz w:val="16"/>
                <w:szCs w:val="16"/>
                <w:lang w:val="en-GB"/>
              </w:rPr>
              <w:t xml:space="preserve"> </w:t>
            </w:r>
            <w:r w:rsidRPr="00680B49">
              <w:rPr>
                <w:rFonts w:ascii="Arial" w:hAnsi="Arial" w:cs="Arial"/>
                <w:bCs/>
                <w:sz w:val="16"/>
                <w:szCs w:val="16"/>
                <w:lang w:val="en-GB"/>
              </w:rPr>
              <w:t>(dm</w:t>
            </w:r>
            <w:r w:rsidRPr="00680B49">
              <w:rPr>
                <w:rFonts w:ascii="Arial" w:hAnsi="Arial" w:cs="Arial"/>
                <w:bCs/>
                <w:sz w:val="16"/>
                <w:szCs w:val="16"/>
                <w:vertAlign w:val="superscript"/>
                <w:lang w:val="en-GB"/>
              </w:rPr>
              <w:t xml:space="preserve">3/2 </w:t>
            </w:r>
            <w:r w:rsidRPr="00680B49">
              <w:rPr>
                <w:rFonts w:ascii="Arial" w:hAnsi="Arial" w:cs="Arial"/>
                <w:bCs/>
                <w:sz w:val="16"/>
                <w:szCs w:val="16"/>
                <w:lang w:val="en-GB"/>
              </w:rPr>
              <w:t>mol</w:t>
            </w:r>
            <w:r w:rsidRPr="00680B49">
              <w:rPr>
                <w:rFonts w:ascii="Arial" w:hAnsi="Arial" w:cs="Arial"/>
                <w:bCs/>
                <w:sz w:val="16"/>
                <w:szCs w:val="16"/>
                <w:vertAlign w:val="superscript"/>
                <w:lang w:val="en-GB"/>
              </w:rPr>
              <w:t>-1/2</w:t>
            </w:r>
            <w:r w:rsidRPr="00680B49">
              <w:rPr>
                <w:rFonts w:ascii="Arial" w:hAnsi="Arial" w:cs="Arial"/>
                <w:bCs/>
                <w:sz w:val="16"/>
                <w:szCs w:val="16"/>
                <w:lang w:val="en-GB"/>
              </w:rPr>
              <w:t>)</w:t>
            </w:r>
          </w:p>
        </w:tc>
        <w:tc>
          <w:tcPr>
            <w:tcW w:w="1265" w:type="dxa"/>
          </w:tcPr>
          <w:p w14:paraId="55B110FB" w14:textId="5A5C1B81" w:rsidR="0010138D" w:rsidRPr="00680B49" w:rsidRDefault="0010138D" w:rsidP="0010138D">
            <w:pPr>
              <w:rPr>
                <w:rFonts w:ascii="Arial" w:hAnsi="Arial" w:cs="Arial"/>
                <w:bCs/>
                <w:sz w:val="16"/>
                <w:szCs w:val="16"/>
                <w:lang w:val="en-GB"/>
              </w:rPr>
            </w:pPr>
            <w:r w:rsidRPr="00680B49">
              <w:rPr>
                <w:rFonts w:ascii="Arial" w:hAnsi="Arial" w:cs="Arial"/>
                <w:sz w:val="16"/>
                <w:szCs w:val="16"/>
                <w:lang w:val="en-GB"/>
              </w:rPr>
              <w:t>B</w:t>
            </w:r>
            <w:r w:rsidRPr="00680B49">
              <w:rPr>
                <w:rFonts w:ascii="Arial" w:hAnsi="Arial" w:cs="Arial"/>
                <w:bCs/>
                <w:sz w:val="16"/>
                <w:szCs w:val="16"/>
                <w:lang w:val="en-GB"/>
              </w:rPr>
              <w:t xml:space="preserve"> (dm</w:t>
            </w:r>
            <w:r w:rsidRPr="00680B49">
              <w:rPr>
                <w:rFonts w:ascii="Arial" w:hAnsi="Arial" w:cs="Arial"/>
                <w:bCs/>
                <w:sz w:val="16"/>
                <w:szCs w:val="16"/>
                <w:vertAlign w:val="superscript"/>
                <w:lang w:val="en-GB"/>
              </w:rPr>
              <w:t xml:space="preserve">3/2 </w:t>
            </w:r>
            <w:r w:rsidRPr="00680B49">
              <w:rPr>
                <w:rFonts w:ascii="Arial" w:hAnsi="Arial" w:cs="Arial"/>
                <w:bCs/>
                <w:sz w:val="16"/>
                <w:szCs w:val="16"/>
                <w:lang w:val="en-GB"/>
              </w:rPr>
              <w:t>mol</w:t>
            </w:r>
            <w:r w:rsidRPr="00680B49">
              <w:rPr>
                <w:rFonts w:ascii="Arial" w:hAnsi="Arial" w:cs="Arial"/>
                <w:bCs/>
                <w:sz w:val="16"/>
                <w:szCs w:val="16"/>
                <w:vertAlign w:val="superscript"/>
                <w:lang w:val="en-GB"/>
              </w:rPr>
              <w:t>1/2</w:t>
            </w:r>
            <w:r w:rsidRPr="00680B49">
              <w:rPr>
                <w:rFonts w:ascii="Arial" w:hAnsi="Arial" w:cs="Arial"/>
                <w:bCs/>
                <w:sz w:val="16"/>
                <w:szCs w:val="16"/>
                <w:lang w:val="en-GB"/>
              </w:rPr>
              <w:t>)</w:t>
            </w:r>
          </w:p>
        </w:tc>
      </w:tr>
      <w:tr w:rsidR="00BF1044" w:rsidRPr="00680B49" w14:paraId="17B6B061" w14:textId="77777777" w:rsidTr="0010138D">
        <w:trPr>
          <w:trHeight w:val="402"/>
        </w:trPr>
        <w:tc>
          <w:tcPr>
            <w:tcW w:w="1255" w:type="dxa"/>
          </w:tcPr>
          <w:p w14:paraId="6B7DBBDE" w14:textId="6941CE74" w:rsidR="00BF1044" w:rsidRPr="00680B49" w:rsidRDefault="00BF1044" w:rsidP="00BF1044">
            <w:pPr>
              <w:rPr>
                <w:rFonts w:ascii="Arial" w:hAnsi="Arial" w:cs="Arial"/>
                <w:bCs/>
                <w:sz w:val="18"/>
                <w:szCs w:val="18"/>
                <w:lang w:val="en-GB"/>
              </w:rPr>
            </w:pPr>
            <w:r w:rsidRPr="00680B49">
              <w:rPr>
                <w:sz w:val="18"/>
                <w:szCs w:val="18"/>
              </w:rPr>
              <w:t>0</w:t>
            </w:r>
          </w:p>
        </w:tc>
        <w:tc>
          <w:tcPr>
            <w:tcW w:w="1260" w:type="dxa"/>
          </w:tcPr>
          <w:p w14:paraId="519D14AE" w14:textId="7DB0F59C" w:rsidR="00BF1044" w:rsidRPr="00680B49" w:rsidRDefault="00BF1044" w:rsidP="00BF1044">
            <w:pPr>
              <w:rPr>
                <w:rFonts w:ascii="Arial" w:hAnsi="Arial" w:cs="Arial"/>
                <w:bCs/>
                <w:sz w:val="18"/>
                <w:szCs w:val="18"/>
                <w:lang w:val="en-GB"/>
              </w:rPr>
            </w:pPr>
            <w:r w:rsidRPr="00680B49">
              <w:rPr>
                <w:sz w:val="18"/>
                <w:szCs w:val="18"/>
              </w:rPr>
              <w:t>0.000</w:t>
            </w:r>
          </w:p>
        </w:tc>
        <w:tc>
          <w:tcPr>
            <w:tcW w:w="2700" w:type="dxa"/>
          </w:tcPr>
          <w:p w14:paraId="122F39BF" w14:textId="1578FF15" w:rsidR="00BF1044" w:rsidRPr="00680B49" w:rsidRDefault="00BF1044" w:rsidP="00BF1044">
            <w:pPr>
              <w:rPr>
                <w:rFonts w:ascii="Arial" w:hAnsi="Arial" w:cs="Arial"/>
                <w:bCs/>
                <w:sz w:val="18"/>
                <w:szCs w:val="18"/>
                <w:lang w:val="en-GB"/>
              </w:rPr>
            </w:pPr>
            <m:oMathPara>
              <m:oMath>
                <m:r>
                  <w:rPr>
                    <w:rFonts w:ascii="Cambria Math" w:hAnsi="Cambria Math" w:cs="Arial"/>
                    <w:sz w:val="18"/>
                    <w:szCs w:val="18"/>
                    <w:lang w:val="en-GB"/>
                  </w:rPr>
                  <m:t>y=5.033x+0.784</m:t>
                </m:r>
              </m:oMath>
            </m:oMathPara>
          </w:p>
        </w:tc>
        <w:tc>
          <w:tcPr>
            <w:tcW w:w="1350" w:type="dxa"/>
          </w:tcPr>
          <w:p w14:paraId="38C70265" w14:textId="7CE70949" w:rsidR="00BF1044" w:rsidRPr="00680B49" w:rsidRDefault="00680B49" w:rsidP="00BF1044">
            <w:pPr>
              <w:rPr>
                <w:rFonts w:ascii="Arial" w:hAnsi="Arial" w:cs="Arial"/>
                <w:bCs/>
                <w:sz w:val="18"/>
                <w:szCs w:val="18"/>
                <w:lang w:val="en-GB"/>
              </w:rPr>
            </w:pPr>
            <w:r w:rsidRPr="00680B49">
              <w:rPr>
                <w:rFonts w:ascii="Arial" w:hAnsi="Arial" w:cs="Arial"/>
                <w:bCs/>
                <w:sz w:val="18"/>
                <w:szCs w:val="18"/>
                <w:lang w:val="en-GB"/>
              </w:rPr>
              <w:t>0.784</w:t>
            </w:r>
          </w:p>
        </w:tc>
        <w:tc>
          <w:tcPr>
            <w:tcW w:w="1265" w:type="dxa"/>
          </w:tcPr>
          <w:p w14:paraId="45B3A466" w14:textId="1EB6BD65" w:rsidR="00BF1044" w:rsidRPr="00680B49" w:rsidRDefault="00680B49" w:rsidP="00BF1044">
            <w:pPr>
              <w:rPr>
                <w:rFonts w:ascii="Arial" w:hAnsi="Arial" w:cs="Arial"/>
                <w:bCs/>
                <w:sz w:val="18"/>
                <w:szCs w:val="18"/>
                <w:lang w:val="en-GB"/>
              </w:rPr>
            </w:pPr>
            <w:r w:rsidRPr="00680B49">
              <w:rPr>
                <w:rFonts w:ascii="Arial" w:hAnsi="Arial" w:cs="Arial"/>
                <w:bCs/>
                <w:sz w:val="18"/>
                <w:szCs w:val="18"/>
                <w:lang w:val="en-GB"/>
              </w:rPr>
              <w:t>5.033</w:t>
            </w:r>
          </w:p>
        </w:tc>
      </w:tr>
      <w:tr w:rsidR="00BF1044" w:rsidRPr="00680B49" w14:paraId="1E30A72C" w14:textId="77777777" w:rsidTr="0010138D">
        <w:trPr>
          <w:trHeight w:val="394"/>
        </w:trPr>
        <w:tc>
          <w:tcPr>
            <w:tcW w:w="1255" w:type="dxa"/>
          </w:tcPr>
          <w:p w14:paraId="56992C1D" w14:textId="1C9A2790" w:rsidR="00BF1044" w:rsidRPr="00680B49" w:rsidRDefault="00BF1044" w:rsidP="00BF1044">
            <w:pPr>
              <w:rPr>
                <w:rFonts w:ascii="Arial" w:hAnsi="Arial" w:cs="Arial"/>
                <w:bCs/>
                <w:sz w:val="18"/>
                <w:szCs w:val="18"/>
                <w:lang w:val="en-GB"/>
              </w:rPr>
            </w:pPr>
            <w:r w:rsidRPr="00680B49">
              <w:rPr>
                <w:sz w:val="18"/>
                <w:szCs w:val="18"/>
              </w:rPr>
              <w:t>25</w:t>
            </w:r>
          </w:p>
        </w:tc>
        <w:tc>
          <w:tcPr>
            <w:tcW w:w="1260" w:type="dxa"/>
          </w:tcPr>
          <w:p w14:paraId="4D3E3B30" w14:textId="08CB5ECE" w:rsidR="00BF1044" w:rsidRPr="00680B49" w:rsidRDefault="00BF1044" w:rsidP="00BF1044">
            <w:pPr>
              <w:rPr>
                <w:rFonts w:ascii="Arial" w:hAnsi="Arial" w:cs="Arial"/>
                <w:bCs/>
                <w:sz w:val="18"/>
                <w:szCs w:val="18"/>
                <w:lang w:val="en-GB"/>
              </w:rPr>
            </w:pPr>
            <w:r w:rsidRPr="00680B49">
              <w:rPr>
                <w:sz w:val="18"/>
                <w:szCs w:val="18"/>
              </w:rPr>
              <w:t>0.200</w:t>
            </w:r>
          </w:p>
        </w:tc>
        <w:tc>
          <w:tcPr>
            <w:tcW w:w="2700" w:type="dxa"/>
          </w:tcPr>
          <w:p w14:paraId="6771746E" w14:textId="1BF6616D" w:rsidR="00BF1044" w:rsidRPr="00680B49" w:rsidRDefault="00BF1044" w:rsidP="00BF1044">
            <w:pPr>
              <w:rPr>
                <w:rFonts w:ascii="Arial" w:hAnsi="Arial" w:cs="Arial"/>
                <w:bCs/>
                <w:sz w:val="18"/>
                <w:szCs w:val="18"/>
                <w:lang w:val="en-GB"/>
              </w:rPr>
            </w:pPr>
            <m:oMathPara>
              <m:oMath>
                <m:r>
                  <w:rPr>
                    <w:rFonts w:ascii="Cambria Math" w:hAnsi="Cambria Math" w:cs="Arial"/>
                    <w:sz w:val="18"/>
                    <w:szCs w:val="18"/>
                    <w:lang w:val="en-GB"/>
                  </w:rPr>
                  <m:t>y=5.775x+0.451</m:t>
                </m:r>
              </m:oMath>
            </m:oMathPara>
          </w:p>
        </w:tc>
        <w:tc>
          <w:tcPr>
            <w:tcW w:w="1350" w:type="dxa"/>
          </w:tcPr>
          <w:p w14:paraId="068C918E" w14:textId="41AC8A4C" w:rsidR="00BF1044" w:rsidRPr="00680B49" w:rsidRDefault="00680B49" w:rsidP="00BF1044">
            <w:pPr>
              <w:rPr>
                <w:rFonts w:ascii="Arial" w:hAnsi="Arial" w:cs="Arial"/>
                <w:bCs/>
                <w:sz w:val="18"/>
                <w:szCs w:val="18"/>
                <w:lang w:val="en-GB"/>
              </w:rPr>
            </w:pPr>
            <w:r w:rsidRPr="00680B49">
              <w:rPr>
                <w:rFonts w:ascii="Arial" w:hAnsi="Arial" w:cs="Arial"/>
                <w:bCs/>
                <w:sz w:val="18"/>
                <w:szCs w:val="18"/>
                <w:lang w:val="en-GB"/>
              </w:rPr>
              <w:t>0.451</w:t>
            </w:r>
          </w:p>
        </w:tc>
        <w:tc>
          <w:tcPr>
            <w:tcW w:w="1265" w:type="dxa"/>
          </w:tcPr>
          <w:p w14:paraId="59B8B626" w14:textId="6CBC5FFD" w:rsidR="00BF1044" w:rsidRPr="00680B49" w:rsidRDefault="00680B49" w:rsidP="00BF1044">
            <w:pPr>
              <w:rPr>
                <w:rFonts w:ascii="Arial" w:hAnsi="Arial" w:cs="Arial"/>
                <w:bCs/>
                <w:sz w:val="18"/>
                <w:szCs w:val="18"/>
                <w:lang w:val="en-GB"/>
              </w:rPr>
            </w:pPr>
            <w:r w:rsidRPr="00680B49">
              <w:rPr>
                <w:rFonts w:ascii="Arial" w:hAnsi="Arial" w:cs="Arial"/>
                <w:bCs/>
                <w:sz w:val="18"/>
                <w:szCs w:val="18"/>
                <w:lang w:val="en-GB"/>
              </w:rPr>
              <w:t>5.775</w:t>
            </w:r>
          </w:p>
        </w:tc>
      </w:tr>
      <w:tr w:rsidR="00BF1044" w:rsidRPr="00680B49" w14:paraId="6975E456" w14:textId="77777777" w:rsidTr="0010138D">
        <w:trPr>
          <w:trHeight w:val="402"/>
        </w:trPr>
        <w:tc>
          <w:tcPr>
            <w:tcW w:w="1255" w:type="dxa"/>
          </w:tcPr>
          <w:p w14:paraId="4B8A14E1" w14:textId="60EC769C" w:rsidR="00BF1044" w:rsidRPr="00680B49" w:rsidRDefault="00BF1044" w:rsidP="00BF1044">
            <w:pPr>
              <w:rPr>
                <w:rFonts w:ascii="Arial" w:hAnsi="Arial" w:cs="Arial"/>
                <w:bCs/>
                <w:sz w:val="18"/>
                <w:szCs w:val="18"/>
                <w:lang w:val="en-GB"/>
              </w:rPr>
            </w:pPr>
            <w:r w:rsidRPr="00680B49">
              <w:rPr>
                <w:sz w:val="18"/>
                <w:szCs w:val="18"/>
              </w:rPr>
              <w:lastRenderedPageBreak/>
              <w:t>50</w:t>
            </w:r>
          </w:p>
        </w:tc>
        <w:tc>
          <w:tcPr>
            <w:tcW w:w="1260" w:type="dxa"/>
          </w:tcPr>
          <w:p w14:paraId="0B4FEA09" w14:textId="7D00C57F" w:rsidR="00BF1044" w:rsidRPr="00680B49" w:rsidRDefault="00BF1044" w:rsidP="00BF1044">
            <w:pPr>
              <w:rPr>
                <w:rFonts w:ascii="Arial" w:hAnsi="Arial" w:cs="Arial"/>
                <w:bCs/>
                <w:sz w:val="18"/>
                <w:szCs w:val="18"/>
                <w:lang w:val="en-GB"/>
              </w:rPr>
            </w:pPr>
            <w:r w:rsidRPr="00680B49">
              <w:rPr>
                <w:sz w:val="18"/>
                <w:szCs w:val="18"/>
              </w:rPr>
              <w:t>0.420</w:t>
            </w:r>
          </w:p>
        </w:tc>
        <w:tc>
          <w:tcPr>
            <w:tcW w:w="2700" w:type="dxa"/>
          </w:tcPr>
          <w:p w14:paraId="13D21D22" w14:textId="73EE4D3E" w:rsidR="00BF1044" w:rsidRPr="00680B49" w:rsidRDefault="00BF1044" w:rsidP="00BF1044">
            <w:pPr>
              <w:rPr>
                <w:rFonts w:ascii="Arial" w:hAnsi="Arial" w:cs="Arial"/>
                <w:bCs/>
                <w:sz w:val="18"/>
                <w:szCs w:val="18"/>
                <w:lang w:val="en-GB"/>
              </w:rPr>
            </w:pPr>
            <m:oMathPara>
              <m:oMath>
                <m:r>
                  <w:rPr>
                    <w:rFonts w:ascii="Cambria Math" w:hAnsi="Cambria Math" w:cs="Arial"/>
                    <w:sz w:val="18"/>
                    <w:szCs w:val="18"/>
                    <w:lang w:val="en-GB"/>
                  </w:rPr>
                  <m:t>y=5.436x+0.296</m:t>
                </m:r>
              </m:oMath>
            </m:oMathPara>
          </w:p>
        </w:tc>
        <w:tc>
          <w:tcPr>
            <w:tcW w:w="1350" w:type="dxa"/>
          </w:tcPr>
          <w:p w14:paraId="7EB46E39" w14:textId="25414E21" w:rsidR="00BF1044" w:rsidRPr="00680B49" w:rsidRDefault="00680B49" w:rsidP="00BF1044">
            <w:pPr>
              <w:rPr>
                <w:rFonts w:ascii="Arial" w:hAnsi="Arial" w:cs="Arial"/>
                <w:bCs/>
                <w:sz w:val="18"/>
                <w:szCs w:val="18"/>
                <w:lang w:val="en-GB"/>
              </w:rPr>
            </w:pPr>
            <w:r w:rsidRPr="00680B49">
              <w:rPr>
                <w:rFonts w:ascii="Arial" w:hAnsi="Arial" w:cs="Arial"/>
                <w:bCs/>
                <w:sz w:val="18"/>
                <w:szCs w:val="18"/>
                <w:lang w:val="en-GB"/>
              </w:rPr>
              <w:t>0.296</w:t>
            </w:r>
          </w:p>
        </w:tc>
        <w:tc>
          <w:tcPr>
            <w:tcW w:w="1265" w:type="dxa"/>
          </w:tcPr>
          <w:p w14:paraId="6AF58ED8" w14:textId="31D9C9DD" w:rsidR="00BF1044" w:rsidRPr="00680B49" w:rsidRDefault="00680B49" w:rsidP="00BF1044">
            <w:pPr>
              <w:rPr>
                <w:rFonts w:ascii="Arial" w:hAnsi="Arial" w:cs="Arial"/>
                <w:bCs/>
                <w:sz w:val="18"/>
                <w:szCs w:val="18"/>
                <w:lang w:val="en-GB"/>
              </w:rPr>
            </w:pPr>
            <w:r w:rsidRPr="00680B49">
              <w:rPr>
                <w:rFonts w:ascii="Arial" w:hAnsi="Arial" w:cs="Arial"/>
                <w:bCs/>
                <w:sz w:val="18"/>
                <w:szCs w:val="18"/>
                <w:lang w:val="en-GB"/>
              </w:rPr>
              <w:t>5.436</w:t>
            </w:r>
          </w:p>
        </w:tc>
      </w:tr>
      <w:tr w:rsidR="00BF1044" w:rsidRPr="00680B49" w14:paraId="753A4E46" w14:textId="77777777" w:rsidTr="0010138D">
        <w:trPr>
          <w:trHeight w:val="402"/>
        </w:trPr>
        <w:tc>
          <w:tcPr>
            <w:tcW w:w="1255" w:type="dxa"/>
          </w:tcPr>
          <w:p w14:paraId="6AC5986C" w14:textId="6A8F1A75" w:rsidR="00BF1044" w:rsidRPr="00680B49" w:rsidRDefault="00BF1044" w:rsidP="00BF1044">
            <w:pPr>
              <w:rPr>
                <w:rFonts w:ascii="Arial" w:hAnsi="Arial" w:cs="Arial"/>
                <w:bCs/>
                <w:sz w:val="18"/>
                <w:szCs w:val="18"/>
                <w:lang w:val="en-GB"/>
              </w:rPr>
            </w:pPr>
            <w:r w:rsidRPr="00680B49">
              <w:rPr>
                <w:sz w:val="18"/>
                <w:szCs w:val="18"/>
              </w:rPr>
              <w:t>75</w:t>
            </w:r>
          </w:p>
        </w:tc>
        <w:tc>
          <w:tcPr>
            <w:tcW w:w="1260" w:type="dxa"/>
          </w:tcPr>
          <w:p w14:paraId="397557A1" w14:textId="21A58FFA" w:rsidR="00BF1044" w:rsidRPr="00680B49" w:rsidRDefault="00BF1044" w:rsidP="00BF1044">
            <w:pPr>
              <w:rPr>
                <w:rFonts w:ascii="Arial" w:hAnsi="Arial" w:cs="Arial"/>
                <w:bCs/>
                <w:sz w:val="18"/>
                <w:szCs w:val="18"/>
                <w:lang w:val="en-GB"/>
              </w:rPr>
            </w:pPr>
            <w:r w:rsidRPr="00680B49">
              <w:rPr>
                <w:sz w:val="18"/>
                <w:szCs w:val="18"/>
              </w:rPr>
              <w:t>0.680</w:t>
            </w:r>
          </w:p>
        </w:tc>
        <w:tc>
          <w:tcPr>
            <w:tcW w:w="2700" w:type="dxa"/>
          </w:tcPr>
          <w:p w14:paraId="65AF80A5" w14:textId="4AE4C41D" w:rsidR="00BF1044" w:rsidRPr="00680B49" w:rsidRDefault="00BF1044" w:rsidP="00BF1044">
            <w:pPr>
              <w:rPr>
                <w:rFonts w:ascii="Arial" w:hAnsi="Arial" w:cs="Arial"/>
                <w:bCs/>
                <w:sz w:val="18"/>
                <w:szCs w:val="18"/>
                <w:lang w:val="en-GB"/>
              </w:rPr>
            </w:pPr>
            <m:oMathPara>
              <m:oMath>
                <m:r>
                  <w:rPr>
                    <w:rFonts w:ascii="Cambria Math" w:hAnsi="Cambria Math" w:cs="Arial"/>
                    <w:sz w:val="18"/>
                    <w:szCs w:val="18"/>
                    <w:lang w:val="en-GB"/>
                  </w:rPr>
                  <m:t>y=5.623x+0.255</m:t>
                </m:r>
              </m:oMath>
            </m:oMathPara>
          </w:p>
        </w:tc>
        <w:tc>
          <w:tcPr>
            <w:tcW w:w="1350" w:type="dxa"/>
          </w:tcPr>
          <w:p w14:paraId="18E72CE2" w14:textId="04094FB8" w:rsidR="00BF1044" w:rsidRPr="00680B49" w:rsidRDefault="00680B49" w:rsidP="00BF1044">
            <w:pPr>
              <w:rPr>
                <w:rFonts w:ascii="Arial" w:hAnsi="Arial" w:cs="Arial"/>
                <w:bCs/>
                <w:sz w:val="18"/>
                <w:szCs w:val="18"/>
                <w:lang w:val="en-GB"/>
              </w:rPr>
            </w:pPr>
            <w:r w:rsidRPr="00680B49">
              <w:rPr>
                <w:rFonts w:ascii="Arial" w:hAnsi="Arial" w:cs="Arial"/>
                <w:bCs/>
                <w:sz w:val="18"/>
                <w:szCs w:val="18"/>
                <w:lang w:val="en-GB"/>
              </w:rPr>
              <w:t>0.255</w:t>
            </w:r>
          </w:p>
        </w:tc>
        <w:tc>
          <w:tcPr>
            <w:tcW w:w="1265" w:type="dxa"/>
          </w:tcPr>
          <w:p w14:paraId="77B1A600" w14:textId="155E3B88" w:rsidR="00BF1044" w:rsidRPr="00680B49" w:rsidRDefault="00680B49" w:rsidP="00BF1044">
            <w:pPr>
              <w:rPr>
                <w:rFonts w:ascii="Arial" w:hAnsi="Arial" w:cs="Arial"/>
                <w:bCs/>
                <w:sz w:val="18"/>
                <w:szCs w:val="18"/>
                <w:lang w:val="en-GB"/>
              </w:rPr>
            </w:pPr>
            <w:r w:rsidRPr="00680B49">
              <w:rPr>
                <w:rFonts w:ascii="Arial" w:hAnsi="Arial" w:cs="Arial"/>
                <w:bCs/>
                <w:sz w:val="18"/>
                <w:szCs w:val="18"/>
                <w:lang w:val="en-GB"/>
              </w:rPr>
              <w:t>5.623</w:t>
            </w:r>
          </w:p>
        </w:tc>
      </w:tr>
      <w:tr w:rsidR="00BF1044" w:rsidRPr="00680B49" w14:paraId="10C882DA" w14:textId="77777777" w:rsidTr="0010138D">
        <w:trPr>
          <w:trHeight w:val="402"/>
        </w:trPr>
        <w:tc>
          <w:tcPr>
            <w:tcW w:w="1255" w:type="dxa"/>
          </w:tcPr>
          <w:p w14:paraId="58D9D26F" w14:textId="0EF6E7E7" w:rsidR="00BF1044" w:rsidRPr="00680B49" w:rsidRDefault="00BF1044" w:rsidP="00BF1044">
            <w:pPr>
              <w:rPr>
                <w:rFonts w:ascii="Arial" w:hAnsi="Arial" w:cs="Arial"/>
                <w:bCs/>
                <w:sz w:val="18"/>
                <w:szCs w:val="18"/>
                <w:lang w:val="en-GB"/>
              </w:rPr>
            </w:pPr>
            <w:r w:rsidRPr="00680B49">
              <w:rPr>
                <w:sz w:val="18"/>
                <w:szCs w:val="18"/>
              </w:rPr>
              <w:t>100</w:t>
            </w:r>
          </w:p>
        </w:tc>
        <w:tc>
          <w:tcPr>
            <w:tcW w:w="1260" w:type="dxa"/>
          </w:tcPr>
          <w:p w14:paraId="376AC1AB" w14:textId="67912097" w:rsidR="00BF1044" w:rsidRPr="00680B49" w:rsidRDefault="00BF1044" w:rsidP="00BF1044">
            <w:pPr>
              <w:rPr>
                <w:rFonts w:ascii="Arial" w:hAnsi="Arial" w:cs="Arial"/>
                <w:bCs/>
                <w:sz w:val="18"/>
                <w:szCs w:val="18"/>
                <w:lang w:val="en-GB"/>
              </w:rPr>
            </w:pPr>
            <w:r w:rsidRPr="00680B49">
              <w:rPr>
                <w:sz w:val="18"/>
                <w:szCs w:val="18"/>
              </w:rPr>
              <w:t>1.000</w:t>
            </w:r>
          </w:p>
        </w:tc>
        <w:tc>
          <w:tcPr>
            <w:tcW w:w="2700" w:type="dxa"/>
          </w:tcPr>
          <w:p w14:paraId="159492B1" w14:textId="2441FC4F" w:rsidR="00BF1044" w:rsidRPr="00680B49" w:rsidRDefault="00BF1044" w:rsidP="00BF1044">
            <w:pPr>
              <w:rPr>
                <w:rFonts w:ascii="Arial" w:hAnsi="Arial" w:cs="Arial"/>
                <w:bCs/>
                <w:sz w:val="18"/>
                <w:szCs w:val="18"/>
                <w:lang w:val="en-GB"/>
              </w:rPr>
            </w:pPr>
            <m:oMathPara>
              <m:oMath>
                <m:r>
                  <w:rPr>
                    <w:rFonts w:ascii="Cambria Math" w:hAnsi="Cambria Math" w:cs="Arial"/>
                    <w:sz w:val="18"/>
                    <w:szCs w:val="18"/>
                    <w:lang w:val="en-GB"/>
                  </w:rPr>
                  <m:t>y=3.49x+0.079</m:t>
                </m:r>
              </m:oMath>
            </m:oMathPara>
          </w:p>
        </w:tc>
        <w:tc>
          <w:tcPr>
            <w:tcW w:w="1350" w:type="dxa"/>
          </w:tcPr>
          <w:p w14:paraId="7FCC5468" w14:textId="6D9928C6" w:rsidR="00BF1044" w:rsidRPr="00680B49" w:rsidRDefault="00680B49" w:rsidP="00BF1044">
            <w:pPr>
              <w:rPr>
                <w:rFonts w:ascii="Arial" w:hAnsi="Arial" w:cs="Arial"/>
                <w:bCs/>
                <w:sz w:val="18"/>
                <w:szCs w:val="18"/>
                <w:lang w:val="en-GB"/>
              </w:rPr>
            </w:pPr>
            <w:r w:rsidRPr="00680B49">
              <w:rPr>
                <w:rFonts w:ascii="Arial" w:hAnsi="Arial" w:cs="Arial"/>
                <w:bCs/>
                <w:sz w:val="18"/>
                <w:szCs w:val="18"/>
                <w:lang w:val="en-GB"/>
              </w:rPr>
              <w:t>0.079</w:t>
            </w:r>
          </w:p>
        </w:tc>
        <w:tc>
          <w:tcPr>
            <w:tcW w:w="1265" w:type="dxa"/>
          </w:tcPr>
          <w:p w14:paraId="5CCF1E41" w14:textId="44781891" w:rsidR="00BF1044" w:rsidRPr="00680B49" w:rsidRDefault="00680B49" w:rsidP="00BF1044">
            <w:pPr>
              <w:rPr>
                <w:rFonts w:ascii="Arial" w:hAnsi="Arial" w:cs="Arial"/>
                <w:bCs/>
                <w:sz w:val="18"/>
                <w:szCs w:val="18"/>
                <w:lang w:val="en-GB"/>
              </w:rPr>
            </w:pPr>
            <w:r w:rsidRPr="00680B49">
              <w:rPr>
                <w:rFonts w:ascii="Arial" w:hAnsi="Arial" w:cs="Arial"/>
                <w:bCs/>
                <w:sz w:val="18"/>
                <w:szCs w:val="18"/>
                <w:lang w:val="en-GB"/>
              </w:rPr>
              <w:t>3.490</w:t>
            </w:r>
          </w:p>
        </w:tc>
      </w:tr>
    </w:tbl>
    <w:p w14:paraId="4FEFC4EE" w14:textId="3C62AD96" w:rsidR="001B06A0" w:rsidRDefault="001B06A0" w:rsidP="00CC6C24">
      <w:pPr>
        <w:rPr>
          <w:rFonts w:ascii="Arial" w:hAnsi="Arial" w:cs="Arial"/>
          <w:bCs/>
          <w:sz w:val="20"/>
          <w:szCs w:val="20"/>
          <w:lang w:val="en-GB"/>
        </w:rPr>
      </w:pPr>
    </w:p>
    <w:p w14:paraId="30AA2624" w14:textId="77777777" w:rsidR="001B06A0" w:rsidRDefault="001B06A0" w:rsidP="00CC6C24">
      <w:pPr>
        <w:rPr>
          <w:rFonts w:ascii="Arial" w:hAnsi="Arial" w:cs="Arial"/>
          <w:bCs/>
          <w:sz w:val="20"/>
          <w:szCs w:val="20"/>
          <w:lang w:val="en-GB"/>
        </w:rPr>
      </w:pPr>
    </w:p>
    <w:p w14:paraId="5A041CA4" w14:textId="675328D4" w:rsidR="00E47858" w:rsidRPr="00E47858" w:rsidRDefault="00C7045C" w:rsidP="00E47858">
      <w:pPr>
        <w:rPr>
          <w:rFonts w:ascii="Arial" w:hAnsi="Arial" w:cs="Arial"/>
          <w:bCs/>
          <w:sz w:val="20"/>
          <w:szCs w:val="20"/>
        </w:rPr>
      </w:pPr>
      <w:r w:rsidRPr="0085211E">
        <w:rPr>
          <w:rFonts w:ascii="Arial" w:hAnsi="Arial" w:cs="Arial"/>
          <w:bCs/>
          <w:sz w:val="20"/>
          <w:szCs w:val="20"/>
          <w:lang w:val="en-GB"/>
        </w:rPr>
        <w:t xml:space="preserve">The Jones-Dole coefficients enable us gain understanding about the ion-solvent and ion interactions in the electrolyte solution. </w:t>
      </w:r>
      <w:r>
        <w:rPr>
          <w:rFonts w:ascii="Arial" w:hAnsi="Arial" w:cs="Arial"/>
          <w:bCs/>
          <w:sz w:val="20"/>
          <w:szCs w:val="20"/>
          <w:lang w:val="en-GB"/>
        </w:rPr>
        <w:t xml:space="preserve">This formed the basis for examining the results of the viscosity coefficient measurements in the electrolyte solutions of </w:t>
      </w:r>
      <w:bookmarkStart w:id="32" w:name="_Hlk214117890"/>
      <w:proofErr w:type="spellStart"/>
      <w:r>
        <w:rPr>
          <w:rFonts w:ascii="Arial" w:hAnsi="Arial" w:cs="Arial"/>
          <w:bCs/>
          <w:sz w:val="20"/>
          <w:szCs w:val="20"/>
          <w:lang w:val="en-GB"/>
        </w:rPr>
        <w:t>ZnCl</w:t>
      </w:r>
      <w:proofErr w:type="spellEnd"/>
      <w:r w:rsidRPr="000735BF">
        <w:rPr>
          <w:rFonts w:ascii="Arial" w:hAnsi="Arial" w:cs="Arial"/>
          <w:bCs/>
          <w:sz w:val="20"/>
          <w:szCs w:val="20"/>
          <w:vertAlign w:val="subscript"/>
        </w:rPr>
        <w:t>2</w:t>
      </w:r>
      <w:bookmarkEnd w:id="32"/>
      <w:r>
        <w:rPr>
          <w:rFonts w:ascii="Arial" w:hAnsi="Arial" w:cs="Arial"/>
          <w:bCs/>
          <w:sz w:val="20"/>
          <w:szCs w:val="20"/>
          <w:lang w:val="en-GB"/>
        </w:rPr>
        <w:t xml:space="preserve">. The Jones-Dole coefficients were obtained by evaluating both A and B from the experimental data using equation [2]. </w:t>
      </w:r>
      <w:r w:rsidR="0037665C">
        <w:rPr>
          <w:rFonts w:ascii="Arial" w:hAnsi="Arial" w:cs="Arial"/>
          <w:bCs/>
          <w:sz w:val="20"/>
          <w:szCs w:val="20"/>
          <w:lang w:val="en-GB"/>
        </w:rPr>
        <w:t>The data was plotted for relative viscosity</w:t>
      </w:r>
      <w:r w:rsidR="00856812">
        <w:rPr>
          <w:rFonts w:ascii="Arial" w:hAnsi="Arial" w:cs="Arial"/>
          <w:bCs/>
          <w:sz w:val="20"/>
          <w:szCs w:val="20"/>
          <w:lang w:val="en-GB"/>
        </w:rPr>
        <w:t xml:space="preserve"> </w:t>
      </w:r>
      <m:oMath>
        <m:sSub>
          <m:sSubPr>
            <m:ctrlPr>
              <w:rPr>
                <w:rFonts w:ascii="Cambria Math" w:hAnsi="Cambria Math" w:cs="Arial"/>
                <w:bCs/>
                <w:i/>
                <w:sz w:val="20"/>
                <w:szCs w:val="20"/>
                <w:lang w:val="en-GB"/>
              </w:rPr>
            </m:ctrlPr>
          </m:sSubPr>
          <m:e>
            <m:r>
              <w:rPr>
                <w:rFonts w:ascii="Cambria Math" w:hAnsi="Cambria Math" w:cs="Arial"/>
                <w:sz w:val="20"/>
                <w:szCs w:val="20"/>
                <w:lang w:val="en-GB"/>
              </w:rPr>
              <m:t>(</m:t>
            </m:r>
            <m:r>
              <w:rPr>
                <w:rFonts w:ascii="Cambria Math" w:hAnsi="Cambria Math" w:cs="Arial"/>
                <w:bCs/>
                <w:i/>
                <w:sz w:val="20"/>
                <w:szCs w:val="20"/>
                <w:lang w:val="en-GB"/>
              </w:rPr>
              <w:sym w:font="Symbol" w:char="F068"/>
            </m:r>
          </m:e>
          <m:sub>
            <m:r>
              <w:rPr>
                <w:rFonts w:ascii="Cambria Math" w:hAnsi="Cambria Math" w:cs="Arial"/>
                <w:sz w:val="20"/>
                <w:szCs w:val="20"/>
                <w:vertAlign w:val="subscript"/>
                <w:lang w:val="en-GB"/>
              </w:rPr>
              <m:t>r</m:t>
            </m:r>
          </m:sub>
        </m:sSub>
        <m:r>
          <w:rPr>
            <w:rFonts w:ascii="Cambria Math" w:hAnsi="Cambria Math" w:cs="Arial"/>
            <w:sz w:val="20"/>
            <w:szCs w:val="20"/>
            <w:lang w:val="en-GB"/>
          </w:rPr>
          <m:t>)</m:t>
        </m:r>
      </m:oMath>
      <w:r w:rsidR="0037665C">
        <w:rPr>
          <w:rFonts w:ascii="Arial" w:hAnsi="Arial" w:cs="Arial"/>
          <w:bCs/>
          <w:sz w:val="20"/>
          <w:szCs w:val="20"/>
          <w:lang w:val="en-GB"/>
        </w:rPr>
        <w:t xml:space="preserve"> as a function of the square root of concentration</w:t>
      </w:r>
      <w:r w:rsidR="00856812">
        <w:rPr>
          <w:rFonts w:ascii="Arial" w:hAnsi="Arial" w:cs="Arial"/>
          <w:bCs/>
          <w:sz w:val="20"/>
          <w:szCs w:val="20"/>
          <w:lang w:val="en-GB"/>
        </w:rPr>
        <w:t xml:space="preserve"> </w:t>
      </w:r>
      <m:oMath>
        <m:r>
          <w:rPr>
            <w:rFonts w:ascii="Cambria Math" w:hAnsi="Cambria Math" w:cs="Arial"/>
            <w:sz w:val="20"/>
            <w:szCs w:val="20"/>
            <w:lang w:val="en-GB"/>
          </w:rPr>
          <m:t>(</m:t>
        </m:r>
        <m:sSup>
          <m:sSupPr>
            <m:ctrlPr>
              <w:rPr>
                <w:rFonts w:ascii="Cambria Math" w:hAnsi="Cambria Math" w:cs="Arial"/>
                <w:bCs/>
                <w:i/>
                <w:sz w:val="20"/>
                <w:szCs w:val="20"/>
                <w:lang w:val="en-GB"/>
              </w:rPr>
            </m:ctrlPr>
          </m:sSupPr>
          <m:e>
            <m:r>
              <w:rPr>
                <w:rFonts w:ascii="Cambria Math" w:hAnsi="Cambria Math" w:cs="Arial"/>
                <w:sz w:val="20"/>
                <w:szCs w:val="20"/>
                <w:lang w:val="en-GB"/>
              </w:rPr>
              <m:t>C</m:t>
            </m:r>
          </m:e>
          <m:sup>
            <m:r>
              <w:rPr>
                <w:rFonts w:ascii="Cambria Math" w:hAnsi="Cambria Math" w:cs="Arial"/>
                <w:sz w:val="20"/>
                <w:szCs w:val="20"/>
                <w:lang w:val="en-GB"/>
              </w:rPr>
              <m:t>1/2</m:t>
            </m:r>
          </m:sup>
        </m:sSup>
        <m:r>
          <w:rPr>
            <w:rFonts w:ascii="Cambria Math" w:hAnsi="Cambria Math" w:cs="Arial"/>
            <w:sz w:val="20"/>
            <w:szCs w:val="20"/>
            <w:lang w:val="en-GB"/>
          </w:rPr>
          <m:t>)</m:t>
        </m:r>
      </m:oMath>
      <w:r w:rsidR="00AE1934">
        <w:rPr>
          <w:rFonts w:ascii="Arial" w:hAnsi="Arial" w:cs="Arial"/>
          <w:bCs/>
          <w:sz w:val="20"/>
          <w:szCs w:val="20"/>
          <w:lang w:val="en-GB"/>
        </w:rPr>
        <w:t xml:space="preserve"> (Fig</w:t>
      </w:r>
      <w:r w:rsidR="0037665C">
        <w:rPr>
          <w:rFonts w:ascii="Arial" w:hAnsi="Arial" w:cs="Arial"/>
          <w:bCs/>
          <w:sz w:val="20"/>
          <w:szCs w:val="20"/>
          <w:lang w:val="en-GB"/>
        </w:rPr>
        <w:t>.</w:t>
      </w:r>
      <w:r w:rsidR="00AE1934">
        <w:rPr>
          <w:rFonts w:ascii="Arial" w:hAnsi="Arial" w:cs="Arial"/>
          <w:bCs/>
          <w:sz w:val="20"/>
          <w:szCs w:val="20"/>
          <w:lang w:val="en-GB"/>
        </w:rPr>
        <w:t xml:space="preserve"> 1). The plots exhibited a linear relationship </w:t>
      </w:r>
      <w:r w:rsidR="002C6549">
        <w:rPr>
          <w:rFonts w:ascii="Arial" w:hAnsi="Arial" w:cs="Arial"/>
          <w:bCs/>
          <w:sz w:val="20"/>
          <w:szCs w:val="20"/>
          <w:lang w:val="en-GB"/>
        </w:rPr>
        <w:t xml:space="preserve">at </w:t>
      </w:r>
      <w:r w:rsidR="00AE1934">
        <w:rPr>
          <w:rFonts w:ascii="Arial" w:hAnsi="Arial" w:cs="Arial"/>
          <w:bCs/>
          <w:sz w:val="20"/>
          <w:szCs w:val="20"/>
          <w:lang w:val="en-GB"/>
        </w:rPr>
        <w:t xml:space="preserve">all mole fractions of DME. </w:t>
      </w:r>
      <w:r w:rsidR="00EB660C">
        <w:rPr>
          <w:rFonts w:ascii="Arial" w:hAnsi="Arial" w:cs="Arial"/>
          <w:bCs/>
          <w:sz w:val="20"/>
          <w:szCs w:val="20"/>
          <w:lang w:val="en-GB"/>
        </w:rPr>
        <w:t>Th</w:t>
      </w:r>
      <w:r w:rsidR="00AE1934">
        <w:rPr>
          <w:rFonts w:ascii="Arial" w:hAnsi="Arial" w:cs="Arial"/>
          <w:bCs/>
          <w:sz w:val="20"/>
          <w:szCs w:val="20"/>
          <w:lang w:val="en-GB"/>
        </w:rPr>
        <w:t xml:space="preserve">e value of the </w:t>
      </w:r>
      <w:r w:rsidR="00EB660C">
        <w:rPr>
          <w:rFonts w:ascii="Arial" w:hAnsi="Arial" w:cs="Arial"/>
          <w:bCs/>
          <w:sz w:val="20"/>
          <w:szCs w:val="20"/>
          <w:lang w:val="en-GB"/>
        </w:rPr>
        <w:t xml:space="preserve">A coefficient </w:t>
      </w:r>
      <w:r w:rsidR="00243064">
        <w:rPr>
          <w:rFonts w:ascii="Arial" w:hAnsi="Arial" w:cs="Arial"/>
          <w:bCs/>
          <w:sz w:val="20"/>
          <w:szCs w:val="20"/>
          <w:lang w:val="en-GB"/>
        </w:rPr>
        <w:t xml:space="preserve">which corresponds to the ion interactions </w:t>
      </w:r>
      <w:r w:rsidR="00EB660C">
        <w:rPr>
          <w:rFonts w:ascii="Arial" w:hAnsi="Arial" w:cs="Arial"/>
          <w:bCs/>
          <w:sz w:val="20"/>
          <w:szCs w:val="20"/>
          <w:lang w:val="en-GB"/>
        </w:rPr>
        <w:t xml:space="preserve">were extrapolated from the intercept </w:t>
      </w:r>
      <w:r w:rsidR="00243064">
        <w:rPr>
          <w:rFonts w:ascii="Arial" w:hAnsi="Arial" w:cs="Arial"/>
          <w:bCs/>
          <w:sz w:val="20"/>
          <w:szCs w:val="20"/>
          <w:lang w:val="en-GB"/>
        </w:rPr>
        <w:t>of the plot while that for the B coefficient w</w:t>
      </w:r>
      <w:r w:rsidR="00FE0679">
        <w:rPr>
          <w:rFonts w:ascii="Arial" w:hAnsi="Arial" w:cs="Arial"/>
          <w:bCs/>
          <w:sz w:val="20"/>
          <w:szCs w:val="20"/>
          <w:lang w:val="en-GB"/>
        </w:rPr>
        <w:t>as</w:t>
      </w:r>
      <w:r w:rsidR="00243064">
        <w:rPr>
          <w:rFonts w:ascii="Arial" w:hAnsi="Arial" w:cs="Arial"/>
          <w:bCs/>
          <w:sz w:val="20"/>
          <w:szCs w:val="20"/>
          <w:lang w:val="en-GB"/>
        </w:rPr>
        <w:t xml:space="preserve"> extrapolated from the slope.</w:t>
      </w:r>
      <w:r w:rsidR="00717B25">
        <w:rPr>
          <w:rFonts w:ascii="Arial" w:hAnsi="Arial" w:cs="Arial"/>
          <w:bCs/>
          <w:sz w:val="20"/>
          <w:szCs w:val="20"/>
          <w:lang w:val="en-GB"/>
        </w:rPr>
        <w:t xml:space="preserve"> </w:t>
      </w:r>
      <w:r w:rsidR="00A23334">
        <w:rPr>
          <w:rFonts w:ascii="Arial" w:hAnsi="Arial" w:cs="Arial"/>
          <w:bCs/>
          <w:sz w:val="20"/>
          <w:szCs w:val="20"/>
          <w:lang w:val="en-GB"/>
        </w:rPr>
        <w:t>The results obtained were positive over the entire constitution (0-100% DME), suggesting</w:t>
      </w:r>
      <w:r w:rsidR="00113307">
        <w:rPr>
          <w:rFonts w:ascii="Arial" w:hAnsi="Arial" w:cs="Arial"/>
          <w:bCs/>
          <w:sz w:val="20"/>
          <w:szCs w:val="20"/>
          <w:lang w:val="en-GB"/>
        </w:rPr>
        <w:t xml:space="preserve"> </w:t>
      </w:r>
      <w:r w:rsidR="00A23334">
        <w:rPr>
          <w:rFonts w:ascii="Arial" w:hAnsi="Arial" w:cs="Arial"/>
          <w:bCs/>
          <w:sz w:val="20"/>
          <w:szCs w:val="20"/>
          <w:lang w:val="en-GB"/>
        </w:rPr>
        <w:t xml:space="preserve">that the mixtures PC-DME </w:t>
      </w:r>
      <w:r w:rsidR="00FE0679" w:rsidRPr="005A3F4D">
        <w:rPr>
          <w:rFonts w:ascii="Arial" w:hAnsi="Arial" w:cs="Arial"/>
          <w:bCs/>
          <w:sz w:val="20"/>
          <w:szCs w:val="20"/>
        </w:rPr>
        <w:t>interact</w:t>
      </w:r>
      <w:r w:rsidR="00C36ADC">
        <w:rPr>
          <w:rFonts w:ascii="Arial" w:hAnsi="Arial" w:cs="Arial"/>
          <w:bCs/>
          <w:sz w:val="20"/>
          <w:szCs w:val="20"/>
        </w:rPr>
        <w:t>ed</w:t>
      </w:r>
      <w:r w:rsidR="00A23334">
        <w:rPr>
          <w:rFonts w:ascii="Arial" w:hAnsi="Arial" w:cs="Arial"/>
          <w:bCs/>
          <w:sz w:val="20"/>
          <w:szCs w:val="20"/>
        </w:rPr>
        <w:t xml:space="preserve"> strongly</w:t>
      </w:r>
      <w:r w:rsidR="00FE0679" w:rsidRPr="005A3F4D">
        <w:rPr>
          <w:rFonts w:ascii="Arial" w:hAnsi="Arial" w:cs="Arial"/>
          <w:bCs/>
          <w:sz w:val="20"/>
          <w:szCs w:val="20"/>
        </w:rPr>
        <w:t xml:space="preserve"> </w:t>
      </w:r>
      <w:r w:rsidR="00A23334">
        <w:rPr>
          <w:rFonts w:ascii="Arial" w:hAnsi="Arial" w:cs="Arial"/>
          <w:bCs/>
          <w:sz w:val="20"/>
          <w:szCs w:val="20"/>
        </w:rPr>
        <w:t xml:space="preserve">with the </w:t>
      </w:r>
      <m:oMath>
        <m:sSup>
          <m:sSupPr>
            <m:ctrlPr>
              <w:rPr>
                <w:rFonts w:ascii="Cambria Math" w:hAnsi="Cambria Math" w:cs="Arial"/>
                <w:bCs/>
                <w:i/>
                <w:sz w:val="20"/>
                <w:szCs w:val="20"/>
              </w:rPr>
            </m:ctrlPr>
          </m:sSupPr>
          <m:e>
            <m:r>
              <w:rPr>
                <w:rFonts w:ascii="Cambria Math" w:hAnsi="Cambria Math" w:cs="Arial"/>
                <w:sz w:val="20"/>
                <w:szCs w:val="20"/>
              </w:rPr>
              <m:t>Zn</m:t>
            </m:r>
          </m:e>
          <m:sup>
            <m:r>
              <w:rPr>
                <w:rFonts w:ascii="Cambria Math" w:hAnsi="Cambria Math" w:cs="Arial"/>
                <w:sz w:val="20"/>
                <w:szCs w:val="20"/>
              </w:rPr>
              <m:t>2+</m:t>
            </m:r>
          </m:sup>
        </m:sSup>
      </m:oMath>
      <w:r w:rsidR="00FE0679" w:rsidRPr="005A3F4D">
        <w:rPr>
          <w:rFonts w:ascii="Arial" w:hAnsi="Arial" w:cs="Arial"/>
          <w:bCs/>
          <w:sz w:val="20"/>
          <w:szCs w:val="20"/>
        </w:rPr>
        <w:t xml:space="preserve"> ions</w:t>
      </w:r>
      <w:r w:rsidR="00A23334">
        <w:rPr>
          <w:rFonts w:ascii="Arial" w:hAnsi="Arial" w:cs="Arial"/>
          <w:bCs/>
          <w:sz w:val="20"/>
          <w:szCs w:val="20"/>
        </w:rPr>
        <w:t xml:space="preserve"> </w:t>
      </w:r>
      <w:r w:rsidR="00C36ADC">
        <w:rPr>
          <w:rFonts w:ascii="Arial" w:hAnsi="Arial" w:cs="Arial"/>
          <w:bCs/>
          <w:sz w:val="20"/>
          <w:szCs w:val="20"/>
        </w:rPr>
        <w:t xml:space="preserve">with attendant </w:t>
      </w:r>
      <w:r w:rsidR="00A23334">
        <w:rPr>
          <w:rFonts w:ascii="Arial" w:hAnsi="Arial" w:cs="Arial"/>
          <w:bCs/>
          <w:sz w:val="20"/>
          <w:szCs w:val="20"/>
        </w:rPr>
        <w:t>solvat</w:t>
      </w:r>
      <w:r w:rsidR="00C36ADC">
        <w:rPr>
          <w:rFonts w:ascii="Arial" w:hAnsi="Arial" w:cs="Arial"/>
          <w:bCs/>
          <w:sz w:val="20"/>
          <w:szCs w:val="20"/>
        </w:rPr>
        <w:t>ion of</w:t>
      </w:r>
      <w:r w:rsidR="00A23334">
        <w:rPr>
          <w:rFonts w:ascii="Arial" w:hAnsi="Arial" w:cs="Arial"/>
          <w:bCs/>
          <w:sz w:val="20"/>
          <w:szCs w:val="20"/>
        </w:rPr>
        <w:t xml:space="preserve"> the cation</w:t>
      </w:r>
      <w:r w:rsidR="00C36ADC">
        <w:rPr>
          <w:rFonts w:ascii="Arial" w:hAnsi="Arial" w:cs="Arial"/>
          <w:bCs/>
          <w:sz w:val="20"/>
          <w:szCs w:val="20"/>
        </w:rPr>
        <w:t>s</w:t>
      </w:r>
      <w:r w:rsidR="005E3344">
        <w:rPr>
          <w:rFonts w:ascii="Arial" w:hAnsi="Arial" w:cs="Arial"/>
          <w:bCs/>
          <w:sz w:val="20"/>
          <w:szCs w:val="20"/>
        </w:rPr>
        <w:t xml:space="preserve"> (Table </w:t>
      </w:r>
      <w:r w:rsidR="00723FAC">
        <w:rPr>
          <w:rFonts w:ascii="Arial" w:hAnsi="Arial" w:cs="Arial"/>
          <w:bCs/>
          <w:sz w:val="20"/>
          <w:szCs w:val="20"/>
        </w:rPr>
        <w:t>5</w:t>
      </w:r>
      <w:r w:rsidR="005E3344">
        <w:rPr>
          <w:rFonts w:ascii="Arial" w:hAnsi="Arial" w:cs="Arial"/>
          <w:bCs/>
          <w:sz w:val="20"/>
          <w:szCs w:val="20"/>
        </w:rPr>
        <w:t>)</w:t>
      </w:r>
      <w:r w:rsidR="00FE0679">
        <w:rPr>
          <w:rFonts w:ascii="Arial" w:hAnsi="Arial" w:cs="Arial"/>
          <w:bCs/>
          <w:sz w:val="20"/>
          <w:szCs w:val="20"/>
        </w:rPr>
        <w:t>.</w:t>
      </w:r>
      <w:r w:rsidR="00FE0679" w:rsidRPr="005A3F4D">
        <w:rPr>
          <w:rFonts w:ascii="Arial" w:hAnsi="Arial" w:cs="Arial"/>
          <w:bCs/>
          <w:sz w:val="20"/>
          <w:szCs w:val="20"/>
        </w:rPr>
        <w:t xml:space="preserve"> </w:t>
      </w:r>
      <w:r w:rsidR="00974AF8">
        <w:rPr>
          <w:rFonts w:ascii="Arial" w:hAnsi="Arial" w:cs="Arial"/>
          <w:bCs/>
          <w:sz w:val="20"/>
          <w:szCs w:val="20"/>
        </w:rPr>
        <w:t xml:space="preserve">Properties </w:t>
      </w:r>
      <w:r w:rsidR="00974AF8" w:rsidRPr="00E86BAB">
        <w:rPr>
          <w:rFonts w:ascii="Arial" w:hAnsi="Arial" w:cs="Arial"/>
          <w:bCs/>
          <w:sz w:val="20"/>
          <w:szCs w:val="20"/>
          <w:lang w:val="en-GB"/>
        </w:rPr>
        <w:t>as</w:t>
      </w:r>
      <w:r w:rsidR="00E86BAB" w:rsidRPr="00E86BAB">
        <w:rPr>
          <w:rFonts w:ascii="Arial" w:hAnsi="Arial" w:cs="Arial"/>
          <w:bCs/>
          <w:sz w:val="20"/>
          <w:szCs w:val="20"/>
          <w:lang w:val="en-GB"/>
        </w:rPr>
        <w:t xml:space="preserve"> the ability of the solvents to bestow electron pair to the cation are invaluable to bonding. </w:t>
      </w:r>
      <w:r w:rsidR="00E86BAB" w:rsidRPr="00E86BAB">
        <w:rPr>
          <w:rFonts w:ascii="Arial" w:hAnsi="Arial" w:cs="Arial"/>
          <w:bCs/>
          <w:sz w:val="20"/>
          <w:szCs w:val="20"/>
        </w:rPr>
        <w:t>The solvent PC (larger molecule) has a higher dielectric constant which support and maintain superior ionic conductivity. Contrariwise, DME (smaller molecule) is the solvent with low viscosity, offering excellent medium for rapid ionic mobility which results in improved ionic conductivity</w:t>
      </w:r>
      <w:r w:rsidR="00E86BAB">
        <w:rPr>
          <w:rFonts w:ascii="Arial" w:hAnsi="Arial" w:cs="Arial"/>
          <w:bCs/>
          <w:sz w:val="20"/>
          <w:szCs w:val="20"/>
        </w:rPr>
        <w:t xml:space="preserve">. </w:t>
      </w:r>
      <w:r w:rsidR="00FE78FE" w:rsidRPr="00FE78FE">
        <w:rPr>
          <w:rFonts w:ascii="Arial" w:hAnsi="Arial" w:cs="Arial"/>
          <w:bCs/>
          <w:sz w:val="20"/>
          <w:szCs w:val="20"/>
        </w:rPr>
        <w:t xml:space="preserve">The values of the A coefficient showed a progressive decrease over the composition (0-100% DME). This suggests that ion interactions wane with increasing DME content. </w:t>
      </w:r>
      <w:r w:rsidR="00974AF8">
        <w:rPr>
          <w:rFonts w:ascii="Arial" w:hAnsi="Arial" w:cs="Arial"/>
          <w:bCs/>
          <w:sz w:val="20"/>
          <w:szCs w:val="20"/>
        </w:rPr>
        <w:t xml:space="preserve">The positive magnitude of the B coefficients </w:t>
      </w:r>
      <w:r w:rsidR="00D940FE">
        <w:rPr>
          <w:rFonts w:ascii="Arial" w:hAnsi="Arial" w:cs="Arial"/>
          <w:bCs/>
          <w:sz w:val="20"/>
          <w:szCs w:val="20"/>
        </w:rPr>
        <w:t xml:space="preserve">and its increase </w:t>
      </w:r>
      <w:r w:rsidR="00974AF8">
        <w:rPr>
          <w:rFonts w:ascii="Arial" w:hAnsi="Arial" w:cs="Arial"/>
          <w:bCs/>
          <w:sz w:val="20"/>
          <w:szCs w:val="20"/>
        </w:rPr>
        <w:t>over the composition (0-</w:t>
      </w:r>
      <w:r w:rsidR="00D940FE">
        <w:rPr>
          <w:rFonts w:ascii="Arial" w:hAnsi="Arial" w:cs="Arial"/>
          <w:bCs/>
          <w:sz w:val="20"/>
          <w:szCs w:val="20"/>
        </w:rPr>
        <w:t>25</w:t>
      </w:r>
      <w:r w:rsidR="00974AF8">
        <w:rPr>
          <w:rFonts w:ascii="Arial" w:hAnsi="Arial" w:cs="Arial"/>
          <w:bCs/>
          <w:sz w:val="20"/>
          <w:szCs w:val="20"/>
        </w:rPr>
        <w:t xml:space="preserve">% DME) </w:t>
      </w:r>
      <w:r w:rsidR="00D940FE">
        <w:rPr>
          <w:rFonts w:ascii="Arial" w:hAnsi="Arial" w:cs="Arial"/>
          <w:bCs/>
          <w:sz w:val="20"/>
          <w:szCs w:val="20"/>
        </w:rPr>
        <w:t xml:space="preserve">and (50-75% DME) (Table </w:t>
      </w:r>
      <w:r w:rsidR="00723FAC">
        <w:rPr>
          <w:rFonts w:ascii="Arial" w:hAnsi="Arial" w:cs="Arial"/>
          <w:bCs/>
          <w:sz w:val="20"/>
          <w:szCs w:val="20"/>
        </w:rPr>
        <w:t>5</w:t>
      </w:r>
      <w:r w:rsidR="00D940FE">
        <w:rPr>
          <w:rFonts w:ascii="Arial" w:hAnsi="Arial" w:cs="Arial"/>
          <w:bCs/>
          <w:sz w:val="20"/>
          <w:szCs w:val="20"/>
        </w:rPr>
        <w:t xml:space="preserve">), indicate the predominance of non-polar interactions. </w:t>
      </w:r>
      <w:r w:rsidR="00732234">
        <w:rPr>
          <w:rFonts w:ascii="Arial" w:hAnsi="Arial" w:cs="Arial"/>
          <w:bCs/>
          <w:sz w:val="20"/>
          <w:szCs w:val="20"/>
        </w:rPr>
        <w:t>The</w:t>
      </w:r>
      <w:r w:rsidR="00E86BAB">
        <w:rPr>
          <w:rFonts w:ascii="Arial" w:hAnsi="Arial" w:cs="Arial"/>
          <w:bCs/>
          <w:sz w:val="20"/>
          <w:szCs w:val="20"/>
        </w:rPr>
        <w:t xml:space="preserve"> </w:t>
      </w:r>
      <w:r w:rsidR="00D940FE">
        <w:rPr>
          <w:rFonts w:ascii="Arial" w:hAnsi="Arial" w:cs="Arial"/>
          <w:bCs/>
          <w:sz w:val="20"/>
          <w:szCs w:val="20"/>
        </w:rPr>
        <w:t xml:space="preserve">minimum </w:t>
      </w:r>
      <w:r w:rsidR="00E86BAB">
        <w:rPr>
          <w:rFonts w:ascii="Arial" w:hAnsi="Arial" w:cs="Arial"/>
          <w:bCs/>
          <w:sz w:val="20"/>
          <w:szCs w:val="20"/>
        </w:rPr>
        <w:t xml:space="preserve">value of </w:t>
      </w:r>
      <w:r w:rsidR="00292C77">
        <w:rPr>
          <w:rFonts w:ascii="Arial" w:hAnsi="Arial" w:cs="Arial"/>
          <w:bCs/>
          <w:sz w:val="20"/>
          <w:szCs w:val="20"/>
        </w:rPr>
        <w:t xml:space="preserve">the </w:t>
      </w:r>
      <w:r w:rsidR="00E86BAB">
        <w:rPr>
          <w:rFonts w:ascii="Arial" w:hAnsi="Arial" w:cs="Arial"/>
          <w:bCs/>
          <w:sz w:val="20"/>
          <w:szCs w:val="20"/>
        </w:rPr>
        <w:t xml:space="preserve">B </w:t>
      </w:r>
      <w:r w:rsidR="00D940FE">
        <w:rPr>
          <w:rFonts w:ascii="Arial" w:hAnsi="Arial" w:cs="Arial"/>
          <w:bCs/>
          <w:sz w:val="20"/>
          <w:szCs w:val="20"/>
        </w:rPr>
        <w:t xml:space="preserve">coefficient was observed at (100% DME). </w:t>
      </w:r>
      <w:r w:rsidR="00292C77">
        <w:rPr>
          <w:rFonts w:ascii="Arial" w:hAnsi="Arial" w:cs="Arial"/>
          <w:bCs/>
          <w:sz w:val="20"/>
          <w:szCs w:val="20"/>
        </w:rPr>
        <w:t xml:space="preserve">Previous researchers attributed this behavior to the degree of structuring of solvent molecules around </w:t>
      </w:r>
      <w:r w:rsidR="000D7360">
        <w:rPr>
          <w:rFonts w:ascii="Arial" w:hAnsi="Arial" w:cs="Arial"/>
          <w:bCs/>
          <w:sz w:val="20"/>
          <w:szCs w:val="20"/>
        </w:rPr>
        <w:t xml:space="preserve">the </w:t>
      </w:r>
      <w:r w:rsidR="00292C77">
        <w:rPr>
          <w:rFonts w:ascii="Arial" w:hAnsi="Arial" w:cs="Arial"/>
          <w:bCs/>
          <w:sz w:val="20"/>
          <w:szCs w:val="20"/>
        </w:rPr>
        <w:t xml:space="preserve">cation </w:t>
      </w:r>
      <w:r w:rsidR="008A2061">
        <w:rPr>
          <w:rFonts w:ascii="Arial" w:hAnsi="Arial" w:cs="Arial"/>
          <w:bCs/>
          <w:sz w:val="20"/>
          <w:szCs w:val="20"/>
        </w:rPr>
        <w:t>(Stokes, R. H &amp; Mills, R.,1965)</w:t>
      </w:r>
      <w:r w:rsidR="00292C77">
        <w:rPr>
          <w:rFonts w:ascii="Arial" w:hAnsi="Arial" w:cs="Arial"/>
          <w:bCs/>
          <w:sz w:val="20"/>
          <w:szCs w:val="20"/>
        </w:rPr>
        <w:t xml:space="preserve">. </w:t>
      </w:r>
      <w:r w:rsidR="00F5578E">
        <w:rPr>
          <w:rFonts w:ascii="Arial" w:hAnsi="Arial" w:cs="Arial"/>
          <w:bCs/>
          <w:sz w:val="20"/>
          <w:szCs w:val="20"/>
        </w:rPr>
        <w:t xml:space="preserve">Furthermore, </w:t>
      </w:r>
      <w:r w:rsidR="00E47858" w:rsidRPr="00E47858">
        <w:rPr>
          <w:rFonts w:ascii="Arial" w:hAnsi="Arial" w:cs="Arial"/>
          <w:bCs/>
          <w:sz w:val="20"/>
          <w:szCs w:val="20"/>
        </w:rPr>
        <w:t xml:space="preserve">the </w:t>
      </w:r>
      <w:r w:rsidR="00F47FA1">
        <w:rPr>
          <w:rFonts w:ascii="Arial" w:hAnsi="Arial" w:cs="Arial"/>
          <w:bCs/>
          <w:sz w:val="20"/>
          <w:szCs w:val="20"/>
        </w:rPr>
        <w:t>enhanced structuring and</w:t>
      </w:r>
      <w:r w:rsidR="00E47858" w:rsidRPr="00E47858">
        <w:rPr>
          <w:rFonts w:ascii="Arial" w:hAnsi="Arial" w:cs="Arial"/>
          <w:bCs/>
          <w:sz w:val="20"/>
          <w:szCs w:val="20"/>
        </w:rPr>
        <w:t xml:space="preserve"> coordination of DME molecules with the </w:t>
      </w:r>
      <w:bookmarkStart w:id="33" w:name="_Hlk215313389"/>
      <w:r w:rsidR="00E47858" w:rsidRPr="00E47858">
        <w:rPr>
          <w:rFonts w:ascii="Arial" w:hAnsi="Arial" w:cs="Arial"/>
          <w:bCs/>
          <w:sz w:val="20"/>
          <w:szCs w:val="20"/>
        </w:rPr>
        <w:t>Zn</w:t>
      </w:r>
      <w:r w:rsidR="00E47858" w:rsidRPr="00E47858">
        <w:rPr>
          <w:rFonts w:ascii="Arial" w:hAnsi="Arial" w:cs="Arial"/>
          <w:bCs/>
          <w:sz w:val="20"/>
          <w:szCs w:val="20"/>
          <w:vertAlign w:val="superscript"/>
        </w:rPr>
        <w:t>2+</w:t>
      </w:r>
      <w:r w:rsidR="00E47858" w:rsidRPr="00E47858">
        <w:rPr>
          <w:rFonts w:ascii="Arial" w:hAnsi="Arial" w:cs="Arial"/>
          <w:bCs/>
          <w:sz w:val="20"/>
          <w:szCs w:val="20"/>
        </w:rPr>
        <w:t xml:space="preserve"> ions </w:t>
      </w:r>
      <w:bookmarkEnd w:id="33"/>
      <w:r w:rsidR="00B77DE1">
        <w:rPr>
          <w:rFonts w:ascii="Arial" w:hAnsi="Arial" w:cs="Arial"/>
          <w:bCs/>
          <w:sz w:val="20"/>
          <w:szCs w:val="20"/>
        </w:rPr>
        <w:t xml:space="preserve">at (0% and </w:t>
      </w:r>
      <w:r w:rsidR="00F47FA1">
        <w:rPr>
          <w:rFonts w:ascii="Arial" w:hAnsi="Arial" w:cs="Arial"/>
          <w:bCs/>
          <w:sz w:val="20"/>
          <w:szCs w:val="20"/>
        </w:rPr>
        <w:t>100</w:t>
      </w:r>
      <w:r w:rsidR="00B77DE1">
        <w:rPr>
          <w:rFonts w:ascii="Arial" w:hAnsi="Arial" w:cs="Arial"/>
          <w:bCs/>
          <w:sz w:val="20"/>
          <w:szCs w:val="20"/>
        </w:rPr>
        <w:t xml:space="preserve">% DME) </w:t>
      </w:r>
      <w:r w:rsidR="00E47858">
        <w:rPr>
          <w:rFonts w:ascii="Arial" w:hAnsi="Arial" w:cs="Arial"/>
          <w:bCs/>
          <w:sz w:val="20"/>
          <w:szCs w:val="20"/>
        </w:rPr>
        <w:t>may a</w:t>
      </w:r>
      <w:r w:rsidR="003E687B">
        <w:rPr>
          <w:rFonts w:ascii="Arial" w:hAnsi="Arial" w:cs="Arial"/>
          <w:bCs/>
          <w:sz w:val="20"/>
          <w:szCs w:val="20"/>
        </w:rPr>
        <w:t>lter</w:t>
      </w:r>
      <w:r w:rsidR="00E47858">
        <w:rPr>
          <w:rFonts w:ascii="Arial" w:hAnsi="Arial" w:cs="Arial"/>
          <w:bCs/>
          <w:sz w:val="20"/>
          <w:szCs w:val="20"/>
        </w:rPr>
        <w:t xml:space="preserve"> the rate of Zn plating/stripping, potentially affecting the stability of the electrolyte</w:t>
      </w:r>
      <w:r w:rsidR="00D17AEC">
        <w:rPr>
          <w:rFonts w:ascii="Arial" w:hAnsi="Arial" w:cs="Arial"/>
          <w:bCs/>
          <w:sz w:val="20"/>
          <w:szCs w:val="20"/>
        </w:rPr>
        <w:t xml:space="preserve"> and in turn </w:t>
      </w:r>
      <w:r w:rsidR="00F5578E">
        <w:rPr>
          <w:rFonts w:ascii="Arial" w:hAnsi="Arial" w:cs="Arial"/>
          <w:bCs/>
          <w:sz w:val="20"/>
          <w:szCs w:val="20"/>
        </w:rPr>
        <w:t xml:space="preserve">may </w:t>
      </w:r>
      <w:r w:rsidR="003D396B">
        <w:rPr>
          <w:rFonts w:ascii="Arial" w:hAnsi="Arial" w:cs="Arial"/>
          <w:bCs/>
          <w:sz w:val="20"/>
          <w:szCs w:val="20"/>
        </w:rPr>
        <w:t>lead to</w:t>
      </w:r>
      <w:r w:rsidR="00D17AEC">
        <w:rPr>
          <w:rFonts w:ascii="Arial" w:hAnsi="Arial" w:cs="Arial"/>
          <w:bCs/>
          <w:sz w:val="20"/>
          <w:szCs w:val="20"/>
        </w:rPr>
        <w:t xml:space="preserve"> poor ionic conductivity. </w:t>
      </w:r>
      <w:r w:rsidR="002176DB">
        <w:rPr>
          <w:rFonts w:ascii="Arial" w:hAnsi="Arial" w:cs="Arial"/>
          <w:bCs/>
          <w:sz w:val="20"/>
          <w:szCs w:val="20"/>
        </w:rPr>
        <w:t>T</w:t>
      </w:r>
      <w:r w:rsidR="0084305E">
        <w:rPr>
          <w:rFonts w:ascii="Arial" w:hAnsi="Arial" w:cs="Arial"/>
          <w:bCs/>
          <w:sz w:val="20"/>
          <w:szCs w:val="20"/>
        </w:rPr>
        <w:t>he observed decrease in the B coefficients over the composition (25-50%</w:t>
      </w:r>
      <w:r w:rsidR="002176DB">
        <w:rPr>
          <w:rFonts w:ascii="Arial" w:hAnsi="Arial" w:cs="Arial"/>
          <w:bCs/>
          <w:sz w:val="20"/>
          <w:szCs w:val="20"/>
        </w:rPr>
        <w:t xml:space="preserve"> DME) and (75-100% DME) result</w:t>
      </w:r>
      <w:r w:rsidR="00ED5BA8">
        <w:rPr>
          <w:rFonts w:ascii="Arial" w:hAnsi="Arial" w:cs="Arial"/>
          <w:bCs/>
          <w:sz w:val="20"/>
          <w:szCs w:val="20"/>
        </w:rPr>
        <w:t>s</w:t>
      </w:r>
      <w:r w:rsidR="002176DB">
        <w:rPr>
          <w:rFonts w:ascii="Arial" w:hAnsi="Arial" w:cs="Arial"/>
          <w:bCs/>
          <w:sz w:val="20"/>
          <w:szCs w:val="20"/>
        </w:rPr>
        <w:t xml:space="preserve"> from the instability of the zinc complex</w:t>
      </w:r>
      <w:r w:rsidR="003D5DEA">
        <w:rPr>
          <w:rFonts w:ascii="Arial" w:hAnsi="Arial" w:cs="Arial"/>
          <w:bCs/>
          <w:sz w:val="20"/>
          <w:szCs w:val="20"/>
        </w:rPr>
        <w:t xml:space="preserve">, guaranteeing </w:t>
      </w:r>
      <w:r w:rsidR="000D7360">
        <w:rPr>
          <w:rFonts w:ascii="Arial" w:hAnsi="Arial" w:cs="Arial"/>
          <w:bCs/>
          <w:sz w:val="20"/>
          <w:szCs w:val="20"/>
        </w:rPr>
        <w:t xml:space="preserve">faster mobility of </w:t>
      </w:r>
      <w:r w:rsidR="000D7360" w:rsidRPr="000D7360">
        <w:rPr>
          <w:rFonts w:ascii="Arial" w:hAnsi="Arial" w:cs="Arial"/>
          <w:bCs/>
          <w:sz w:val="20"/>
          <w:szCs w:val="20"/>
        </w:rPr>
        <w:t>Zn</w:t>
      </w:r>
      <w:r w:rsidR="000D7360" w:rsidRPr="000D7360">
        <w:rPr>
          <w:rFonts w:ascii="Arial" w:hAnsi="Arial" w:cs="Arial"/>
          <w:bCs/>
          <w:sz w:val="20"/>
          <w:szCs w:val="20"/>
          <w:vertAlign w:val="superscript"/>
        </w:rPr>
        <w:t>2+</w:t>
      </w:r>
      <w:r w:rsidR="000D7360" w:rsidRPr="000D7360">
        <w:rPr>
          <w:rFonts w:ascii="Arial" w:hAnsi="Arial" w:cs="Arial"/>
          <w:bCs/>
          <w:sz w:val="20"/>
          <w:szCs w:val="20"/>
        </w:rPr>
        <w:t xml:space="preserve"> ions </w:t>
      </w:r>
      <w:r w:rsidR="000D7360">
        <w:rPr>
          <w:rFonts w:ascii="Arial" w:hAnsi="Arial" w:cs="Arial"/>
          <w:bCs/>
          <w:sz w:val="20"/>
          <w:szCs w:val="20"/>
        </w:rPr>
        <w:t xml:space="preserve">and improved </w:t>
      </w:r>
      <w:r w:rsidR="002176DB">
        <w:rPr>
          <w:rFonts w:ascii="Arial" w:hAnsi="Arial" w:cs="Arial"/>
          <w:bCs/>
          <w:sz w:val="20"/>
          <w:szCs w:val="20"/>
        </w:rPr>
        <w:t xml:space="preserve">rate of plating/stripping </w:t>
      </w:r>
      <w:r w:rsidR="000D7360">
        <w:rPr>
          <w:rFonts w:ascii="Arial" w:hAnsi="Arial" w:cs="Arial"/>
          <w:bCs/>
          <w:sz w:val="20"/>
          <w:szCs w:val="20"/>
        </w:rPr>
        <w:t>in the battery</w:t>
      </w:r>
      <w:r w:rsidR="00FE78FE">
        <w:rPr>
          <w:rFonts w:ascii="Arial" w:hAnsi="Arial" w:cs="Arial"/>
          <w:bCs/>
          <w:sz w:val="20"/>
          <w:szCs w:val="20"/>
        </w:rPr>
        <w:t xml:space="preserve">. </w:t>
      </w:r>
      <w:r w:rsidR="002614D7">
        <w:rPr>
          <w:rFonts w:ascii="Arial" w:hAnsi="Arial" w:cs="Arial"/>
          <w:bCs/>
          <w:sz w:val="20"/>
          <w:szCs w:val="20"/>
        </w:rPr>
        <w:t>Th</w:t>
      </w:r>
      <w:r w:rsidR="000D7360">
        <w:rPr>
          <w:rFonts w:ascii="Arial" w:hAnsi="Arial" w:cs="Arial"/>
          <w:bCs/>
          <w:sz w:val="20"/>
          <w:szCs w:val="20"/>
        </w:rPr>
        <w:t>e</w:t>
      </w:r>
      <w:r w:rsidR="002614D7">
        <w:rPr>
          <w:rFonts w:ascii="Arial" w:hAnsi="Arial" w:cs="Arial"/>
          <w:bCs/>
          <w:sz w:val="20"/>
          <w:szCs w:val="20"/>
        </w:rPr>
        <w:t xml:space="preserve"> strong </w:t>
      </w:r>
      <w:r w:rsidR="00A81949">
        <w:rPr>
          <w:rFonts w:ascii="Arial" w:hAnsi="Arial" w:cs="Arial"/>
          <w:bCs/>
          <w:sz w:val="20"/>
          <w:szCs w:val="20"/>
        </w:rPr>
        <w:t>interaction between</w:t>
      </w:r>
      <w:r w:rsidR="002614D7">
        <w:rPr>
          <w:rFonts w:ascii="Arial" w:hAnsi="Arial" w:cs="Arial"/>
          <w:bCs/>
          <w:sz w:val="20"/>
          <w:szCs w:val="20"/>
        </w:rPr>
        <w:t xml:space="preserve"> DME molecules </w:t>
      </w:r>
      <w:r w:rsidR="00A81949">
        <w:rPr>
          <w:rFonts w:ascii="Arial" w:hAnsi="Arial" w:cs="Arial"/>
          <w:bCs/>
          <w:sz w:val="20"/>
          <w:szCs w:val="20"/>
        </w:rPr>
        <w:t>and</w:t>
      </w:r>
      <w:r w:rsidR="002614D7">
        <w:rPr>
          <w:rFonts w:ascii="Arial" w:hAnsi="Arial" w:cs="Arial"/>
          <w:bCs/>
          <w:sz w:val="20"/>
          <w:szCs w:val="20"/>
        </w:rPr>
        <w:t xml:space="preserve"> </w:t>
      </w:r>
      <w:bookmarkStart w:id="34" w:name="_Hlk215417404"/>
      <w:r w:rsidR="002614D7" w:rsidRPr="002614D7">
        <w:rPr>
          <w:rFonts w:ascii="Arial" w:hAnsi="Arial" w:cs="Arial"/>
          <w:bCs/>
          <w:sz w:val="20"/>
          <w:szCs w:val="20"/>
        </w:rPr>
        <w:t>Zn</w:t>
      </w:r>
      <w:r w:rsidR="002614D7" w:rsidRPr="002614D7">
        <w:rPr>
          <w:rFonts w:ascii="Arial" w:hAnsi="Arial" w:cs="Arial"/>
          <w:bCs/>
          <w:sz w:val="20"/>
          <w:szCs w:val="20"/>
          <w:vertAlign w:val="superscript"/>
        </w:rPr>
        <w:t>2+</w:t>
      </w:r>
      <w:r w:rsidR="002614D7" w:rsidRPr="002614D7">
        <w:rPr>
          <w:rFonts w:ascii="Arial" w:hAnsi="Arial" w:cs="Arial"/>
          <w:bCs/>
          <w:sz w:val="20"/>
          <w:szCs w:val="20"/>
        </w:rPr>
        <w:t xml:space="preserve"> ions </w:t>
      </w:r>
      <w:bookmarkEnd w:id="34"/>
      <w:r w:rsidR="002614D7">
        <w:rPr>
          <w:rFonts w:ascii="Arial" w:hAnsi="Arial" w:cs="Arial"/>
          <w:bCs/>
          <w:sz w:val="20"/>
          <w:szCs w:val="20"/>
        </w:rPr>
        <w:t xml:space="preserve">may </w:t>
      </w:r>
      <w:r w:rsidR="0064729E">
        <w:rPr>
          <w:rFonts w:ascii="Arial" w:hAnsi="Arial" w:cs="Arial"/>
          <w:bCs/>
          <w:sz w:val="20"/>
          <w:szCs w:val="20"/>
        </w:rPr>
        <w:t xml:space="preserve">also </w:t>
      </w:r>
      <w:r w:rsidR="002614D7">
        <w:rPr>
          <w:rFonts w:ascii="Arial" w:hAnsi="Arial" w:cs="Arial"/>
          <w:bCs/>
          <w:sz w:val="20"/>
          <w:szCs w:val="20"/>
        </w:rPr>
        <w:t xml:space="preserve">be explained in terms of </w:t>
      </w:r>
      <w:r w:rsidR="00A81949">
        <w:rPr>
          <w:rFonts w:ascii="Arial" w:hAnsi="Arial" w:cs="Arial"/>
          <w:bCs/>
          <w:sz w:val="20"/>
          <w:szCs w:val="20"/>
        </w:rPr>
        <w:t>DME’s</w:t>
      </w:r>
      <w:r w:rsidR="002614D7">
        <w:rPr>
          <w:rFonts w:ascii="Arial" w:hAnsi="Arial" w:cs="Arial"/>
          <w:bCs/>
          <w:sz w:val="20"/>
          <w:szCs w:val="20"/>
        </w:rPr>
        <w:t xml:space="preserve"> </w:t>
      </w:r>
      <w:r w:rsidR="007426B3">
        <w:rPr>
          <w:rFonts w:ascii="Arial" w:hAnsi="Arial" w:cs="Arial"/>
          <w:bCs/>
          <w:sz w:val="20"/>
          <w:szCs w:val="20"/>
        </w:rPr>
        <w:t xml:space="preserve">higher </w:t>
      </w:r>
      <w:r w:rsidR="002614D7">
        <w:rPr>
          <w:rFonts w:ascii="Arial" w:hAnsi="Arial" w:cs="Arial"/>
          <w:bCs/>
          <w:sz w:val="20"/>
          <w:szCs w:val="20"/>
        </w:rPr>
        <w:t>denticity</w:t>
      </w:r>
      <w:r w:rsidR="00BF475E">
        <w:rPr>
          <w:rFonts w:ascii="Arial" w:hAnsi="Arial" w:cs="Arial"/>
          <w:bCs/>
          <w:sz w:val="20"/>
          <w:szCs w:val="20"/>
        </w:rPr>
        <w:t xml:space="preserve"> </w:t>
      </w:r>
      <w:r w:rsidR="007426B3">
        <w:rPr>
          <w:rFonts w:ascii="Arial" w:hAnsi="Arial" w:cs="Arial"/>
          <w:bCs/>
          <w:sz w:val="20"/>
          <w:szCs w:val="20"/>
        </w:rPr>
        <w:t xml:space="preserve">and </w:t>
      </w:r>
      <w:r w:rsidR="00A81949">
        <w:rPr>
          <w:rFonts w:ascii="Arial" w:hAnsi="Arial" w:cs="Arial"/>
          <w:bCs/>
          <w:sz w:val="20"/>
          <w:szCs w:val="20"/>
        </w:rPr>
        <w:t>its</w:t>
      </w:r>
      <w:r w:rsidR="007426B3">
        <w:rPr>
          <w:rFonts w:ascii="Arial" w:hAnsi="Arial" w:cs="Arial"/>
          <w:bCs/>
          <w:sz w:val="20"/>
          <w:szCs w:val="20"/>
        </w:rPr>
        <w:t xml:space="preserve"> </w:t>
      </w:r>
      <w:r w:rsidR="00025BA0">
        <w:rPr>
          <w:rFonts w:ascii="Arial" w:hAnsi="Arial" w:cs="Arial"/>
          <w:bCs/>
          <w:sz w:val="20"/>
          <w:szCs w:val="20"/>
        </w:rPr>
        <w:t>affinity</w:t>
      </w:r>
      <w:r w:rsidR="007426B3">
        <w:rPr>
          <w:rFonts w:ascii="Arial" w:hAnsi="Arial" w:cs="Arial"/>
          <w:bCs/>
          <w:sz w:val="20"/>
          <w:szCs w:val="20"/>
        </w:rPr>
        <w:t xml:space="preserve"> </w:t>
      </w:r>
      <w:r w:rsidR="00025BA0">
        <w:rPr>
          <w:rFonts w:ascii="Arial" w:hAnsi="Arial" w:cs="Arial"/>
          <w:bCs/>
          <w:sz w:val="20"/>
          <w:szCs w:val="20"/>
        </w:rPr>
        <w:t>for</w:t>
      </w:r>
      <w:r w:rsidR="007426B3">
        <w:rPr>
          <w:rFonts w:ascii="Arial" w:hAnsi="Arial" w:cs="Arial"/>
          <w:bCs/>
          <w:sz w:val="20"/>
          <w:szCs w:val="20"/>
        </w:rPr>
        <w:t xml:space="preserve"> ion-dipole interaction</w:t>
      </w:r>
      <w:r w:rsidR="00025BA0">
        <w:rPr>
          <w:rFonts w:ascii="Arial" w:hAnsi="Arial" w:cs="Arial"/>
          <w:bCs/>
          <w:sz w:val="20"/>
          <w:szCs w:val="20"/>
        </w:rPr>
        <w:t>s</w:t>
      </w:r>
      <w:r w:rsidR="007426B3">
        <w:rPr>
          <w:rFonts w:ascii="Arial" w:hAnsi="Arial" w:cs="Arial"/>
          <w:bCs/>
          <w:sz w:val="20"/>
          <w:szCs w:val="20"/>
        </w:rPr>
        <w:t xml:space="preserve"> </w:t>
      </w:r>
      <w:r w:rsidR="00025BA0">
        <w:rPr>
          <w:rFonts w:ascii="Arial" w:hAnsi="Arial" w:cs="Arial"/>
          <w:bCs/>
          <w:sz w:val="20"/>
          <w:szCs w:val="20"/>
        </w:rPr>
        <w:t>rather than for dipolar and</w:t>
      </w:r>
      <w:r w:rsidR="007426B3">
        <w:rPr>
          <w:rFonts w:ascii="Arial" w:hAnsi="Arial" w:cs="Arial"/>
          <w:bCs/>
          <w:sz w:val="20"/>
          <w:szCs w:val="20"/>
        </w:rPr>
        <w:t xml:space="preserve"> dispersion forces between dissimilar molecules. </w:t>
      </w:r>
      <w:r w:rsidR="004B4251">
        <w:rPr>
          <w:rFonts w:ascii="Arial" w:hAnsi="Arial" w:cs="Arial"/>
          <w:bCs/>
          <w:sz w:val="20"/>
          <w:szCs w:val="20"/>
        </w:rPr>
        <w:t>E</w:t>
      </w:r>
      <w:r w:rsidR="00732234" w:rsidRPr="00732234">
        <w:rPr>
          <w:rFonts w:ascii="Arial" w:hAnsi="Arial" w:cs="Arial"/>
          <w:bCs/>
          <w:sz w:val="20"/>
          <w:szCs w:val="20"/>
        </w:rPr>
        <w:t>lectrolyte compositions, solvation</w:t>
      </w:r>
      <w:r w:rsidR="00732234">
        <w:rPr>
          <w:rFonts w:ascii="Arial" w:hAnsi="Arial" w:cs="Arial"/>
          <w:bCs/>
          <w:sz w:val="20"/>
          <w:szCs w:val="20"/>
        </w:rPr>
        <w:t xml:space="preserve"> </w:t>
      </w:r>
      <w:r w:rsidR="00732234" w:rsidRPr="00732234">
        <w:rPr>
          <w:rFonts w:ascii="Arial" w:hAnsi="Arial" w:cs="Arial"/>
          <w:bCs/>
          <w:sz w:val="20"/>
          <w:szCs w:val="20"/>
        </w:rPr>
        <w:t xml:space="preserve">mechanism and the local dynamics, </w:t>
      </w:r>
      <w:r w:rsidR="004B4251">
        <w:rPr>
          <w:rFonts w:ascii="Arial" w:hAnsi="Arial" w:cs="Arial"/>
          <w:bCs/>
          <w:sz w:val="20"/>
          <w:szCs w:val="20"/>
        </w:rPr>
        <w:t>as well as</w:t>
      </w:r>
      <w:r w:rsidR="00732234" w:rsidRPr="00732234">
        <w:rPr>
          <w:rFonts w:ascii="Arial" w:hAnsi="Arial" w:cs="Arial"/>
          <w:bCs/>
          <w:sz w:val="20"/>
          <w:szCs w:val="20"/>
        </w:rPr>
        <w:t xml:space="preserve"> the</w:t>
      </w:r>
      <w:r w:rsidR="00732234">
        <w:rPr>
          <w:rFonts w:ascii="Arial" w:hAnsi="Arial" w:cs="Arial"/>
          <w:bCs/>
          <w:sz w:val="20"/>
          <w:szCs w:val="20"/>
        </w:rPr>
        <w:t xml:space="preserve"> </w:t>
      </w:r>
      <w:r w:rsidR="00732234" w:rsidRPr="00732234">
        <w:rPr>
          <w:rFonts w:ascii="Arial" w:hAnsi="Arial" w:cs="Arial"/>
          <w:bCs/>
          <w:sz w:val="20"/>
          <w:szCs w:val="20"/>
        </w:rPr>
        <w:t xml:space="preserve">transport properties, are </w:t>
      </w:r>
      <w:r w:rsidR="004B4251">
        <w:rPr>
          <w:rFonts w:ascii="Arial" w:hAnsi="Arial" w:cs="Arial"/>
          <w:bCs/>
          <w:sz w:val="20"/>
          <w:szCs w:val="20"/>
        </w:rPr>
        <w:t>critical</w:t>
      </w:r>
      <w:r w:rsidR="00732234">
        <w:rPr>
          <w:rFonts w:ascii="Arial" w:hAnsi="Arial" w:cs="Arial"/>
          <w:bCs/>
          <w:sz w:val="20"/>
          <w:szCs w:val="20"/>
        </w:rPr>
        <w:t xml:space="preserve"> </w:t>
      </w:r>
      <w:r w:rsidR="00732234" w:rsidRPr="00732234">
        <w:rPr>
          <w:rFonts w:ascii="Arial" w:hAnsi="Arial" w:cs="Arial"/>
          <w:bCs/>
          <w:sz w:val="20"/>
          <w:szCs w:val="20"/>
        </w:rPr>
        <w:t>to understand</w:t>
      </w:r>
      <w:r w:rsidR="004B4251">
        <w:rPr>
          <w:rFonts w:ascii="Arial" w:hAnsi="Arial" w:cs="Arial"/>
          <w:bCs/>
          <w:sz w:val="20"/>
          <w:szCs w:val="20"/>
        </w:rPr>
        <w:t>ing</w:t>
      </w:r>
      <w:r w:rsidR="00732234" w:rsidRPr="00732234">
        <w:rPr>
          <w:rFonts w:ascii="Arial" w:hAnsi="Arial" w:cs="Arial"/>
          <w:bCs/>
          <w:sz w:val="20"/>
          <w:szCs w:val="20"/>
        </w:rPr>
        <w:t xml:space="preserve"> the</w:t>
      </w:r>
      <w:r w:rsidR="004B4251">
        <w:rPr>
          <w:rFonts w:ascii="Arial" w:hAnsi="Arial" w:cs="Arial"/>
          <w:bCs/>
          <w:sz w:val="20"/>
          <w:szCs w:val="20"/>
        </w:rPr>
        <w:t xml:space="preserve"> role mixed organic solvents play in enhancing the</w:t>
      </w:r>
      <w:r w:rsidR="00732234" w:rsidRPr="00732234">
        <w:rPr>
          <w:rFonts w:ascii="Arial" w:hAnsi="Arial" w:cs="Arial"/>
          <w:bCs/>
          <w:sz w:val="20"/>
          <w:szCs w:val="20"/>
        </w:rPr>
        <w:t xml:space="preserve"> high performance </w:t>
      </w:r>
      <w:r w:rsidR="00E678C1">
        <w:rPr>
          <w:rFonts w:ascii="Arial" w:hAnsi="Arial" w:cs="Arial"/>
          <w:bCs/>
          <w:sz w:val="20"/>
          <w:szCs w:val="20"/>
        </w:rPr>
        <w:t>of the</w:t>
      </w:r>
      <w:r w:rsidR="00732234" w:rsidRPr="00732234">
        <w:rPr>
          <w:rFonts w:ascii="Arial" w:hAnsi="Arial" w:cs="Arial"/>
          <w:bCs/>
          <w:sz w:val="20"/>
          <w:szCs w:val="20"/>
        </w:rPr>
        <w:t xml:space="preserve"> zinc battery</w:t>
      </w:r>
      <w:r w:rsidR="006152D0">
        <w:rPr>
          <w:rFonts w:ascii="Arial" w:hAnsi="Arial" w:cs="Arial"/>
          <w:bCs/>
          <w:sz w:val="20"/>
          <w:szCs w:val="20"/>
        </w:rPr>
        <w:t xml:space="preserve"> (Kar, M. &amp; Pozo-Gonzalo, C</w:t>
      </w:r>
      <w:r w:rsidR="00732234">
        <w:rPr>
          <w:rFonts w:ascii="Arial" w:hAnsi="Arial" w:cs="Arial"/>
          <w:bCs/>
          <w:sz w:val="20"/>
          <w:szCs w:val="20"/>
        </w:rPr>
        <w:t>.</w:t>
      </w:r>
      <w:r w:rsidR="006152D0">
        <w:rPr>
          <w:rFonts w:ascii="Arial" w:hAnsi="Arial" w:cs="Arial"/>
          <w:bCs/>
          <w:sz w:val="20"/>
          <w:szCs w:val="20"/>
        </w:rPr>
        <w:t xml:space="preserve">, 2021). </w:t>
      </w:r>
      <w:r w:rsidR="00732234" w:rsidRPr="00732234">
        <w:rPr>
          <w:rFonts w:ascii="Arial" w:hAnsi="Arial" w:cs="Arial"/>
          <w:bCs/>
          <w:sz w:val="20"/>
          <w:szCs w:val="20"/>
        </w:rPr>
        <w:t xml:space="preserve"> </w:t>
      </w:r>
      <w:r w:rsidR="009E322D">
        <w:rPr>
          <w:rFonts w:ascii="Arial" w:hAnsi="Arial" w:cs="Arial"/>
          <w:bCs/>
          <w:sz w:val="20"/>
          <w:szCs w:val="20"/>
        </w:rPr>
        <w:t xml:space="preserve"> </w:t>
      </w:r>
    </w:p>
    <w:p w14:paraId="65F38342" w14:textId="6ACB9E23" w:rsidR="00C7045C" w:rsidRDefault="00292C77" w:rsidP="00CC6C24">
      <w:pPr>
        <w:rPr>
          <w:rFonts w:ascii="Arial" w:hAnsi="Arial" w:cs="Arial"/>
          <w:bCs/>
          <w:sz w:val="20"/>
          <w:szCs w:val="20"/>
          <w:lang w:val="en-GB"/>
        </w:rPr>
      </w:pPr>
      <w:r>
        <w:rPr>
          <w:rFonts w:ascii="Arial" w:hAnsi="Arial" w:cs="Arial"/>
          <w:bCs/>
          <w:sz w:val="20"/>
          <w:szCs w:val="20"/>
        </w:rPr>
        <w:t xml:space="preserve"> </w:t>
      </w:r>
      <w:r w:rsidR="00D940FE">
        <w:rPr>
          <w:rFonts w:ascii="Arial" w:hAnsi="Arial" w:cs="Arial"/>
          <w:bCs/>
          <w:sz w:val="20"/>
          <w:szCs w:val="20"/>
        </w:rPr>
        <w:t xml:space="preserve">  </w:t>
      </w:r>
      <w:r w:rsidR="00113307">
        <w:rPr>
          <w:rFonts w:ascii="Arial" w:hAnsi="Arial" w:cs="Arial"/>
          <w:bCs/>
          <w:sz w:val="20"/>
          <w:szCs w:val="20"/>
          <w:lang w:val="en-GB"/>
        </w:rPr>
        <w:t xml:space="preserve"> </w:t>
      </w:r>
      <w:r w:rsidR="00EB660C">
        <w:rPr>
          <w:rFonts w:ascii="Arial" w:hAnsi="Arial" w:cs="Arial"/>
          <w:bCs/>
          <w:sz w:val="20"/>
          <w:szCs w:val="20"/>
          <w:lang w:val="en-GB"/>
        </w:rPr>
        <w:t xml:space="preserve"> </w:t>
      </w:r>
      <w:r w:rsidR="0037665C">
        <w:rPr>
          <w:rFonts w:ascii="Arial" w:hAnsi="Arial" w:cs="Arial"/>
          <w:bCs/>
          <w:sz w:val="20"/>
          <w:szCs w:val="20"/>
          <w:lang w:val="en-GB"/>
        </w:rPr>
        <w:t xml:space="preserve"> </w:t>
      </w:r>
      <w:r w:rsidR="00EB660C">
        <w:rPr>
          <w:rFonts w:ascii="Arial" w:hAnsi="Arial" w:cs="Arial"/>
          <w:bCs/>
          <w:sz w:val="20"/>
          <w:szCs w:val="20"/>
          <w:lang w:val="en-GB"/>
        </w:rPr>
        <w:t xml:space="preserve"> </w:t>
      </w:r>
    </w:p>
    <w:p w14:paraId="644E8B82" w14:textId="344ADA49" w:rsidR="00C7045C" w:rsidRDefault="00C7045C" w:rsidP="00CC6C24">
      <w:pPr>
        <w:rPr>
          <w:rFonts w:ascii="Arial" w:hAnsi="Arial" w:cs="Arial"/>
          <w:bCs/>
          <w:sz w:val="20"/>
          <w:szCs w:val="20"/>
          <w:lang w:val="en-GB"/>
        </w:rPr>
      </w:pPr>
    </w:p>
    <w:p w14:paraId="36A4F71D" w14:textId="71A8F025" w:rsidR="00C7045C" w:rsidRDefault="00C7045C" w:rsidP="00CC6C24">
      <w:pPr>
        <w:rPr>
          <w:rFonts w:ascii="Arial" w:hAnsi="Arial" w:cs="Arial"/>
          <w:bCs/>
          <w:sz w:val="20"/>
          <w:szCs w:val="20"/>
          <w:lang w:val="en-GB"/>
        </w:rPr>
      </w:pPr>
    </w:p>
    <w:p w14:paraId="7911A8C2" w14:textId="35841B47" w:rsidR="00C7045C" w:rsidRDefault="00C7045C" w:rsidP="00CC6C24">
      <w:pPr>
        <w:rPr>
          <w:rFonts w:ascii="Arial" w:hAnsi="Arial" w:cs="Arial"/>
          <w:bCs/>
          <w:sz w:val="20"/>
          <w:szCs w:val="20"/>
          <w:lang w:val="en-GB"/>
        </w:rPr>
      </w:pPr>
    </w:p>
    <w:p w14:paraId="281755ED" w14:textId="2248247D" w:rsidR="00C7045C" w:rsidRDefault="00C7045C" w:rsidP="00CC6C24">
      <w:pPr>
        <w:rPr>
          <w:rFonts w:ascii="Arial" w:hAnsi="Arial" w:cs="Arial"/>
          <w:bCs/>
          <w:sz w:val="20"/>
          <w:szCs w:val="20"/>
          <w:lang w:val="en-GB"/>
        </w:rPr>
      </w:pPr>
    </w:p>
    <w:p w14:paraId="44AC9C83" w14:textId="77777777" w:rsidR="00C7045C" w:rsidRDefault="00C7045C" w:rsidP="00CC6C24">
      <w:pPr>
        <w:rPr>
          <w:rFonts w:ascii="Arial" w:hAnsi="Arial" w:cs="Arial"/>
          <w:bCs/>
          <w:sz w:val="20"/>
          <w:szCs w:val="20"/>
          <w:lang w:val="en-GB"/>
        </w:rPr>
      </w:pPr>
    </w:p>
    <w:p w14:paraId="1254D463" w14:textId="44CD6229" w:rsidR="00D01DAB" w:rsidRDefault="00D01DAB" w:rsidP="00CC6C24">
      <w:pPr>
        <w:rPr>
          <w:rFonts w:ascii="Arial" w:hAnsi="Arial" w:cs="Arial"/>
          <w:bCs/>
          <w:sz w:val="20"/>
          <w:szCs w:val="20"/>
          <w:lang w:val="en-GB"/>
        </w:rPr>
      </w:pPr>
      <w:r w:rsidRPr="00D01DAB">
        <w:rPr>
          <w:rFonts w:ascii="Arial" w:hAnsi="Arial" w:cs="Arial"/>
          <w:bCs/>
          <w:noProof/>
          <w:sz w:val="20"/>
          <w:szCs w:val="20"/>
          <w:lang w:val="en-GB"/>
        </w:rPr>
        <w:lastRenderedPageBreak/>
        <w:drawing>
          <wp:inline distT="0" distB="0" distL="0" distR="0" wp14:anchorId="163B85EE" wp14:editId="048DB66F">
            <wp:extent cx="4539462" cy="2775930"/>
            <wp:effectExtent l="0" t="0" r="0" b="571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4539462" cy="2775930"/>
                    </a:xfrm>
                    <a:prstGeom prst="rect">
                      <a:avLst/>
                    </a:prstGeom>
                  </pic:spPr>
                </pic:pic>
              </a:graphicData>
            </a:graphic>
          </wp:inline>
        </w:drawing>
      </w:r>
    </w:p>
    <w:p w14:paraId="261FBA05" w14:textId="43B2D635" w:rsidR="0037665C" w:rsidRPr="0037665C" w:rsidRDefault="0037665C" w:rsidP="00CC6C24">
      <w:pPr>
        <w:rPr>
          <w:rFonts w:ascii="Arial" w:hAnsi="Arial" w:cs="Arial"/>
          <w:bCs/>
          <w:sz w:val="16"/>
          <w:szCs w:val="16"/>
          <w:lang w:val="en-GB"/>
        </w:rPr>
      </w:pPr>
      <w:r w:rsidRPr="0037665C">
        <w:rPr>
          <w:rFonts w:ascii="Arial" w:hAnsi="Arial" w:cs="Arial"/>
          <w:bCs/>
          <w:sz w:val="16"/>
          <w:szCs w:val="16"/>
          <w:lang w:val="en-GB"/>
        </w:rPr>
        <w:t>Figure 1. Plots of relative viscosity against square root of concentration at different mole fractions of DME</w:t>
      </w:r>
    </w:p>
    <w:p w14:paraId="10C90E97" w14:textId="77777777" w:rsidR="0037665C" w:rsidRDefault="0037665C" w:rsidP="00CC6C24">
      <w:pPr>
        <w:rPr>
          <w:rFonts w:ascii="Arial" w:hAnsi="Arial" w:cs="Arial"/>
          <w:bCs/>
          <w:sz w:val="20"/>
          <w:szCs w:val="20"/>
          <w:lang w:val="en-GB"/>
        </w:rPr>
      </w:pPr>
    </w:p>
    <w:p w14:paraId="3A88012B" w14:textId="2A300F56" w:rsidR="00D01DAB" w:rsidRDefault="0037665C" w:rsidP="00CC6C24">
      <w:pPr>
        <w:rPr>
          <w:rFonts w:ascii="Arial" w:hAnsi="Arial" w:cs="Arial"/>
          <w:bCs/>
          <w:sz w:val="20"/>
          <w:szCs w:val="20"/>
          <w:lang w:val="en-GB"/>
        </w:rPr>
      </w:pPr>
      <w:r>
        <w:rPr>
          <w:rFonts w:ascii="Arial" w:hAnsi="Arial" w:cs="Arial"/>
          <w:bCs/>
          <w:sz w:val="20"/>
          <w:szCs w:val="20"/>
          <w:lang w:val="en-GB"/>
        </w:rPr>
        <w:t xml:space="preserve"> </w:t>
      </w:r>
    </w:p>
    <w:p w14:paraId="16B42BDC" w14:textId="04F18AC7" w:rsidR="00D01DAB" w:rsidRDefault="00D01DAB" w:rsidP="00CC6C24">
      <w:pPr>
        <w:rPr>
          <w:rFonts w:ascii="Arial" w:hAnsi="Arial" w:cs="Arial"/>
          <w:bCs/>
          <w:sz w:val="20"/>
          <w:szCs w:val="20"/>
          <w:lang w:val="en-GB"/>
        </w:rPr>
      </w:pPr>
    </w:p>
    <w:p w14:paraId="4165A3A6" w14:textId="4BCB7461" w:rsidR="00D01DAB" w:rsidRDefault="00D01DAB" w:rsidP="00CC6C24">
      <w:pPr>
        <w:rPr>
          <w:rFonts w:ascii="Arial" w:hAnsi="Arial" w:cs="Arial"/>
          <w:bCs/>
          <w:sz w:val="20"/>
          <w:szCs w:val="20"/>
          <w:lang w:val="en-GB"/>
        </w:rPr>
      </w:pPr>
    </w:p>
    <w:p w14:paraId="6B611EE0" w14:textId="6551E98D" w:rsidR="006362E3" w:rsidRPr="006362E3" w:rsidRDefault="006362E3" w:rsidP="006362E3">
      <w:pPr>
        <w:rPr>
          <w:rFonts w:ascii="Arial" w:hAnsi="Arial" w:cs="Arial"/>
          <w:b/>
          <w:bCs/>
          <w:sz w:val="20"/>
          <w:szCs w:val="20"/>
          <w:lang w:val="en-GB"/>
        </w:rPr>
      </w:pPr>
      <w:r w:rsidRPr="006362E3">
        <w:rPr>
          <w:rFonts w:ascii="Arial" w:hAnsi="Arial" w:cs="Arial"/>
          <w:b/>
          <w:bCs/>
          <w:sz w:val="20"/>
          <w:szCs w:val="20"/>
          <w:lang w:val="en-GB"/>
        </w:rPr>
        <w:t>4. CONCLU</w:t>
      </w:r>
      <w:r>
        <w:rPr>
          <w:rFonts w:ascii="Arial" w:hAnsi="Arial" w:cs="Arial"/>
          <w:b/>
          <w:bCs/>
          <w:sz w:val="20"/>
          <w:szCs w:val="20"/>
          <w:lang w:val="en-GB"/>
        </w:rPr>
        <w:t>S</w:t>
      </w:r>
      <w:r w:rsidRPr="006362E3">
        <w:rPr>
          <w:rFonts w:ascii="Arial" w:hAnsi="Arial" w:cs="Arial"/>
          <w:b/>
          <w:bCs/>
          <w:sz w:val="20"/>
          <w:szCs w:val="20"/>
          <w:lang w:val="en-GB"/>
        </w:rPr>
        <w:t xml:space="preserve">ION  </w:t>
      </w:r>
    </w:p>
    <w:p w14:paraId="0F5BF791" w14:textId="23EA2335" w:rsidR="00D01DAB" w:rsidRDefault="002E70DD" w:rsidP="00CC6C24">
      <w:pPr>
        <w:rPr>
          <w:rFonts w:ascii="Arial" w:hAnsi="Arial" w:cs="Arial"/>
          <w:bCs/>
          <w:sz w:val="20"/>
          <w:szCs w:val="20"/>
          <w:lang w:val="en-GB"/>
        </w:rPr>
      </w:pPr>
      <w:r>
        <w:rPr>
          <w:rFonts w:ascii="Arial" w:hAnsi="Arial" w:cs="Arial"/>
          <w:bCs/>
          <w:sz w:val="20"/>
          <w:szCs w:val="20"/>
          <w:lang w:val="en-GB"/>
        </w:rPr>
        <w:t xml:space="preserve">It has been shown that </w:t>
      </w:r>
      <w:r w:rsidR="00A01956">
        <w:rPr>
          <w:rFonts w:ascii="Arial" w:hAnsi="Arial" w:cs="Arial"/>
          <w:bCs/>
          <w:sz w:val="20"/>
          <w:szCs w:val="20"/>
        </w:rPr>
        <w:t>f</w:t>
      </w:r>
      <w:r w:rsidR="00A01956" w:rsidRPr="00A01956">
        <w:rPr>
          <w:rFonts w:ascii="Arial" w:hAnsi="Arial" w:cs="Arial"/>
          <w:bCs/>
          <w:sz w:val="20"/>
          <w:szCs w:val="20"/>
        </w:rPr>
        <w:t xml:space="preserve">aster dynamics of </w:t>
      </w:r>
      <w:bookmarkStart w:id="35" w:name="_Hlk215418055"/>
      <w:r w:rsidR="00A01956" w:rsidRPr="00A01956">
        <w:rPr>
          <w:rFonts w:ascii="Arial" w:hAnsi="Arial" w:cs="Arial"/>
          <w:bCs/>
          <w:sz w:val="20"/>
          <w:szCs w:val="20"/>
        </w:rPr>
        <w:t>Zn</w:t>
      </w:r>
      <w:r w:rsidR="00A01956" w:rsidRPr="00A01956">
        <w:rPr>
          <w:rFonts w:ascii="Arial" w:hAnsi="Arial" w:cs="Arial"/>
          <w:bCs/>
          <w:sz w:val="20"/>
          <w:szCs w:val="20"/>
          <w:vertAlign w:val="superscript"/>
        </w:rPr>
        <w:t>2+</w:t>
      </w:r>
      <w:r w:rsidR="00A01956" w:rsidRPr="00A01956">
        <w:rPr>
          <w:rFonts w:ascii="Arial" w:hAnsi="Arial" w:cs="Arial"/>
          <w:bCs/>
          <w:sz w:val="20"/>
          <w:szCs w:val="20"/>
        </w:rPr>
        <w:t xml:space="preserve"> ions </w:t>
      </w:r>
      <w:bookmarkEnd w:id="35"/>
      <w:r w:rsidR="00A01956" w:rsidRPr="00A01956">
        <w:rPr>
          <w:rFonts w:ascii="Arial" w:hAnsi="Arial" w:cs="Arial"/>
          <w:bCs/>
          <w:sz w:val="20"/>
          <w:szCs w:val="20"/>
        </w:rPr>
        <w:t xml:space="preserve">occur in </w:t>
      </w:r>
      <w:r w:rsidR="005C1084">
        <w:rPr>
          <w:rFonts w:ascii="Arial" w:hAnsi="Arial" w:cs="Arial"/>
          <w:bCs/>
          <w:sz w:val="20"/>
          <w:szCs w:val="20"/>
        </w:rPr>
        <w:t>the less structured</w:t>
      </w:r>
      <w:r w:rsidR="006C09F1">
        <w:rPr>
          <w:rFonts w:ascii="Arial" w:hAnsi="Arial" w:cs="Arial"/>
          <w:bCs/>
          <w:sz w:val="20"/>
          <w:szCs w:val="20"/>
        </w:rPr>
        <w:t xml:space="preserve"> compositions of (</w:t>
      </w:r>
      <w:r w:rsidR="00D93711">
        <w:rPr>
          <w:rFonts w:ascii="Arial" w:hAnsi="Arial" w:cs="Arial"/>
          <w:bCs/>
          <w:sz w:val="20"/>
          <w:szCs w:val="20"/>
        </w:rPr>
        <w:t>25-75</w:t>
      </w:r>
      <w:r w:rsidR="006C09F1">
        <w:rPr>
          <w:rFonts w:ascii="Arial" w:hAnsi="Arial" w:cs="Arial"/>
          <w:bCs/>
          <w:sz w:val="20"/>
          <w:szCs w:val="20"/>
        </w:rPr>
        <w:t>% DME)</w:t>
      </w:r>
      <w:r w:rsidR="00E648FF">
        <w:rPr>
          <w:rFonts w:ascii="Arial" w:hAnsi="Arial" w:cs="Arial"/>
          <w:bCs/>
          <w:sz w:val="20"/>
          <w:szCs w:val="20"/>
        </w:rPr>
        <w:t>.</w:t>
      </w:r>
      <w:r w:rsidR="006C09F1">
        <w:rPr>
          <w:rFonts w:ascii="Arial" w:hAnsi="Arial" w:cs="Arial"/>
          <w:bCs/>
          <w:sz w:val="20"/>
          <w:szCs w:val="20"/>
        </w:rPr>
        <w:t xml:space="preserve"> </w:t>
      </w:r>
      <w:r w:rsidR="00796A52">
        <w:rPr>
          <w:rFonts w:ascii="Arial" w:hAnsi="Arial" w:cs="Arial"/>
          <w:bCs/>
          <w:sz w:val="20"/>
          <w:szCs w:val="20"/>
        </w:rPr>
        <w:t xml:space="preserve">This </w:t>
      </w:r>
      <w:r w:rsidR="00796A52" w:rsidRPr="00796A52">
        <w:rPr>
          <w:rFonts w:ascii="Arial" w:hAnsi="Arial" w:cs="Arial"/>
          <w:bCs/>
          <w:sz w:val="20"/>
          <w:szCs w:val="20"/>
        </w:rPr>
        <w:t>enhanc</w:t>
      </w:r>
      <w:r w:rsidR="00796A52">
        <w:rPr>
          <w:rFonts w:ascii="Arial" w:hAnsi="Arial" w:cs="Arial"/>
          <w:bCs/>
          <w:sz w:val="20"/>
          <w:szCs w:val="20"/>
        </w:rPr>
        <w:t>ed</w:t>
      </w:r>
      <w:r w:rsidR="00796A52" w:rsidRPr="00796A52">
        <w:rPr>
          <w:rFonts w:ascii="Arial" w:hAnsi="Arial" w:cs="Arial"/>
          <w:bCs/>
          <w:sz w:val="20"/>
          <w:szCs w:val="20"/>
        </w:rPr>
        <w:t xml:space="preserve"> transport propert</w:t>
      </w:r>
      <w:r w:rsidR="00796A52">
        <w:rPr>
          <w:rFonts w:ascii="Arial" w:hAnsi="Arial" w:cs="Arial"/>
          <w:bCs/>
          <w:sz w:val="20"/>
          <w:szCs w:val="20"/>
        </w:rPr>
        <w:t>y</w:t>
      </w:r>
      <w:r w:rsidR="00796A52" w:rsidRPr="00796A52">
        <w:rPr>
          <w:rFonts w:ascii="Arial" w:hAnsi="Arial" w:cs="Arial"/>
          <w:bCs/>
          <w:sz w:val="20"/>
          <w:szCs w:val="20"/>
        </w:rPr>
        <w:t xml:space="preserve"> of the</w:t>
      </w:r>
      <w:r w:rsidR="00796A52">
        <w:rPr>
          <w:rFonts w:ascii="Arial" w:hAnsi="Arial" w:cs="Arial"/>
          <w:bCs/>
          <w:sz w:val="20"/>
          <w:szCs w:val="20"/>
        </w:rPr>
        <w:t xml:space="preserve"> </w:t>
      </w:r>
      <w:r w:rsidR="00796A52" w:rsidRPr="00796A52">
        <w:rPr>
          <w:rFonts w:ascii="Arial" w:hAnsi="Arial" w:cs="Arial"/>
          <w:bCs/>
          <w:sz w:val="20"/>
          <w:szCs w:val="20"/>
        </w:rPr>
        <w:t>Zn</w:t>
      </w:r>
      <w:r w:rsidR="00796A52" w:rsidRPr="00796A52">
        <w:rPr>
          <w:rFonts w:ascii="Arial" w:hAnsi="Arial" w:cs="Arial"/>
          <w:bCs/>
          <w:sz w:val="20"/>
          <w:szCs w:val="20"/>
          <w:vertAlign w:val="superscript"/>
        </w:rPr>
        <w:t>2+</w:t>
      </w:r>
      <w:r w:rsidR="00796A52" w:rsidRPr="00796A52">
        <w:rPr>
          <w:rFonts w:ascii="Arial" w:hAnsi="Arial" w:cs="Arial"/>
          <w:bCs/>
          <w:sz w:val="20"/>
          <w:szCs w:val="20"/>
        </w:rPr>
        <w:t xml:space="preserve"> ions </w:t>
      </w:r>
      <w:r w:rsidR="00796A52">
        <w:rPr>
          <w:rFonts w:ascii="Arial" w:hAnsi="Arial" w:cs="Arial"/>
          <w:bCs/>
          <w:sz w:val="20"/>
          <w:szCs w:val="20"/>
        </w:rPr>
        <w:t xml:space="preserve">is a direct consequence of </w:t>
      </w:r>
      <w:r w:rsidR="00796A52" w:rsidRPr="00796A52">
        <w:rPr>
          <w:rFonts w:ascii="Arial" w:hAnsi="Arial" w:cs="Arial"/>
          <w:bCs/>
          <w:sz w:val="20"/>
          <w:szCs w:val="20"/>
          <w:lang w:val="en-GB"/>
        </w:rPr>
        <w:t xml:space="preserve">the </w:t>
      </w:r>
      <w:r w:rsidR="00551DB0">
        <w:rPr>
          <w:rFonts w:ascii="Arial" w:hAnsi="Arial" w:cs="Arial"/>
          <w:bCs/>
          <w:sz w:val="20"/>
          <w:szCs w:val="20"/>
          <w:lang w:val="en-GB"/>
        </w:rPr>
        <w:t xml:space="preserve">absence of the </w:t>
      </w:r>
      <w:r w:rsidR="00796A52" w:rsidRPr="00796A52">
        <w:rPr>
          <w:rFonts w:ascii="Arial" w:hAnsi="Arial" w:cs="Arial"/>
          <w:bCs/>
          <w:sz w:val="20"/>
          <w:szCs w:val="20"/>
          <w:lang w:val="en-GB"/>
        </w:rPr>
        <w:t>enfolded solvent sheath of oriented molecules</w:t>
      </w:r>
      <w:r w:rsidR="007E6A1E">
        <w:rPr>
          <w:rFonts w:ascii="Arial" w:hAnsi="Arial" w:cs="Arial"/>
          <w:bCs/>
          <w:sz w:val="20"/>
          <w:szCs w:val="20"/>
          <w:lang w:val="en-GB"/>
        </w:rPr>
        <w:t xml:space="preserve"> which travel in consort with the </w:t>
      </w:r>
      <w:r w:rsidR="007E6A1E" w:rsidRPr="007E6A1E">
        <w:rPr>
          <w:rFonts w:ascii="Arial" w:hAnsi="Arial" w:cs="Arial"/>
          <w:bCs/>
          <w:sz w:val="20"/>
          <w:szCs w:val="20"/>
        </w:rPr>
        <w:t>Zn</w:t>
      </w:r>
      <w:r w:rsidR="007E6A1E" w:rsidRPr="007E6A1E">
        <w:rPr>
          <w:rFonts w:ascii="Arial" w:hAnsi="Arial" w:cs="Arial"/>
          <w:bCs/>
          <w:sz w:val="20"/>
          <w:szCs w:val="20"/>
          <w:vertAlign w:val="superscript"/>
        </w:rPr>
        <w:t>2+</w:t>
      </w:r>
      <w:r w:rsidR="007E6A1E" w:rsidRPr="007E6A1E">
        <w:rPr>
          <w:rFonts w:ascii="Arial" w:hAnsi="Arial" w:cs="Arial"/>
          <w:bCs/>
          <w:sz w:val="20"/>
          <w:szCs w:val="20"/>
        </w:rPr>
        <w:t> ions</w:t>
      </w:r>
      <w:r w:rsidR="007E6A1E">
        <w:rPr>
          <w:rFonts w:ascii="Arial" w:hAnsi="Arial" w:cs="Arial"/>
          <w:bCs/>
          <w:sz w:val="20"/>
          <w:szCs w:val="20"/>
        </w:rPr>
        <w:t>.</w:t>
      </w:r>
      <w:r w:rsidR="007E6A1E" w:rsidRPr="007E6A1E">
        <w:rPr>
          <w:rFonts w:ascii="Arial" w:hAnsi="Arial" w:cs="Arial"/>
          <w:bCs/>
          <w:sz w:val="20"/>
          <w:szCs w:val="20"/>
        </w:rPr>
        <w:t xml:space="preserve"> </w:t>
      </w:r>
      <w:r w:rsidR="007E6A1E">
        <w:rPr>
          <w:rFonts w:ascii="Arial" w:hAnsi="Arial" w:cs="Arial"/>
          <w:bCs/>
          <w:sz w:val="20"/>
          <w:szCs w:val="20"/>
          <w:lang w:val="en-GB"/>
        </w:rPr>
        <w:t xml:space="preserve"> </w:t>
      </w:r>
      <w:r w:rsidR="006C09F1">
        <w:rPr>
          <w:rFonts w:ascii="Arial" w:hAnsi="Arial" w:cs="Arial"/>
          <w:bCs/>
          <w:sz w:val="20"/>
          <w:szCs w:val="20"/>
        </w:rPr>
        <w:t xml:space="preserve">The </w:t>
      </w:r>
      <w:r w:rsidR="00A01956" w:rsidRPr="00A01956">
        <w:rPr>
          <w:rFonts w:ascii="Arial" w:hAnsi="Arial" w:cs="Arial"/>
          <w:bCs/>
          <w:sz w:val="20"/>
          <w:szCs w:val="20"/>
        </w:rPr>
        <w:t xml:space="preserve">high O-donor denticity </w:t>
      </w:r>
      <w:r w:rsidR="006C09F1">
        <w:rPr>
          <w:rFonts w:ascii="Arial" w:hAnsi="Arial" w:cs="Arial"/>
          <w:bCs/>
          <w:sz w:val="20"/>
          <w:szCs w:val="20"/>
        </w:rPr>
        <w:t xml:space="preserve">of DME </w:t>
      </w:r>
      <w:r w:rsidR="00A01956" w:rsidRPr="00A01956">
        <w:rPr>
          <w:rFonts w:ascii="Arial" w:hAnsi="Arial" w:cs="Arial"/>
          <w:bCs/>
          <w:sz w:val="20"/>
          <w:szCs w:val="20"/>
        </w:rPr>
        <w:t xml:space="preserve">enables </w:t>
      </w:r>
      <w:r w:rsidR="00C36ADC">
        <w:rPr>
          <w:rFonts w:ascii="Arial" w:hAnsi="Arial" w:cs="Arial"/>
          <w:bCs/>
          <w:sz w:val="20"/>
          <w:szCs w:val="20"/>
        </w:rPr>
        <w:t>s</w:t>
      </w:r>
      <w:r w:rsidR="00A01956" w:rsidRPr="00A01956">
        <w:rPr>
          <w:rFonts w:ascii="Arial" w:hAnsi="Arial" w:cs="Arial"/>
          <w:bCs/>
          <w:sz w:val="20"/>
          <w:szCs w:val="20"/>
        </w:rPr>
        <w:t xml:space="preserve">tronger chelation with </w:t>
      </w:r>
      <w:bookmarkStart w:id="36" w:name="_Hlk215419106"/>
      <w:r w:rsidR="006C09F1" w:rsidRPr="006C09F1">
        <w:rPr>
          <w:rFonts w:ascii="Arial" w:hAnsi="Arial" w:cs="Arial"/>
          <w:bCs/>
          <w:sz w:val="20"/>
          <w:szCs w:val="20"/>
        </w:rPr>
        <w:t>Zn</w:t>
      </w:r>
      <w:r w:rsidR="006C09F1" w:rsidRPr="006C09F1">
        <w:rPr>
          <w:rFonts w:ascii="Arial" w:hAnsi="Arial" w:cs="Arial"/>
          <w:bCs/>
          <w:sz w:val="20"/>
          <w:szCs w:val="20"/>
          <w:vertAlign w:val="superscript"/>
        </w:rPr>
        <w:t>2+</w:t>
      </w:r>
      <w:r w:rsidR="006C09F1" w:rsidRPr="006C09F1">
        <w:rPr>
          <w:rFonts w:ascii="Arial" w:hAnsi="Arial" w:cs="Arial"/>
          <w:bCs/>
          <w:sz w:val="20"/>
          <w:szCs w:val="20"/>
        </w:rPr>
        <w:t> ions</w:t>
      </w:r>
      <w:bookmarkEnd w:id="36"/>
      <w:r w:rsidR="006C09F1">
        <w:rPr>
          <w:rFonts w:ascii="Arial" w:hAnsi="Arial" w:cs="Arial"/>
          <w:bCs/>
          <w:sz w:val="20"/>
          <w:szCs w:val="20"/>
        </w:rPr>
        <w:t>,</w:t>
      </w:r>
      <w:r w:rsidR="006C09F1" w:rsidRPr="006C09F1">
        <w:rPr>
          <w:rFonts w:ascii="Arial" w:hAnsi="Arial" w:cs="Arial"/>
          <w:bCs/>
          <w:sz w:val="20"/>
          <w:szCs w:val="20"/>
        </w:rPr>
        <w:t xml:space="preserve"> </w:t>
      </w:r>
      <w:r w:rsidR="00A01956" w:rsidRPr="00A01956">
        <w:rPr>
          <w:rFonts w:ascii="Arial" w:hAnsi="Arial" w:cs="Arial"/>
          <w:bCs/>
          <w:sz w:val="20"/>
          <w:szCs w:val="20"/>
        </w:rPr>
        <w:t>enhancing the</w:t>
      </w:r>
      <w:r w:rsidR="006C09F1">
        <w:rPr>
          <w:rFonts w:ascii="Arial" w:hAnsi="Arial" w:cs="Arial"/>
          <w:bCs/>
          <w:sz w:val="20"/>
          <w:szCs w:val="20"/>
        </w:rPr>
        <w:t xml:space="preserve"> </w:t>
      </w:r>
      <w:r w:rsidR="00A01956" w:rsidRPr="00A01956">
        <w:rPr>
          <w:rFonts w:ascii="Arial" w:hAnsi="Arial" w:cs="Arial"/>
          <w:bCs/>
          <w:sz w:val="20"/>
          <w:szCs w:val="20"/>
        </w:rPr>
        <w:t>cation</w:t>
      </w:r>
      <w:r w:rsidR="006C09F1">
        <w:rPr>
          <w:rFonts w:ascii="Arial" w:hAnsi="Arial" w:cs="Arial"/>
          <w:bCs/>
          <w:sz w:val="20"/>
          <w:szCs w:val="20"/>
        </w:rPr>
        <w:t>-</w:t>
      </w:r>
      <w:r w:rsidR="00A01956" w:rsidRPr="00A01956">
        <w:rPr>
          <w:rFonts w:ascii="Arial" w:hAnsi="Arial" w:cs="Arial"/>
          <w:bCs/>
          <w:sz w:val="20"/>
          <w:szCs w:val="20"/>
        </w:rPr>
        <w:t xml:space="preserve">anion dissociation in the presence of </w:t>
      </w:r>
      <w:r w:rsidR="006C09F1">
        <w:rPr>
          <w:rFonts w:ascii="Arial" w:hAnsi="Arial" w:cs="Arial"/>
          <w:bCs/>
          <w:sz w:val="20"/>
          <w:szCs w:val="20"/>
        </w:rPr>
        <w:t>the</w:t>
      </w:r>
      <w:r w:rsidR="00A01956" w:rsidRPr="00A01956">
        <w:rPr>
          <w:rFonts w:ascii="Arial" w:hAnsi="Arial" w:cs="Arial"/>
          <w:bCs/>
          <w:sz w:val="20"/>
          <w:szCs w:val="20"/>
        </w:rPr>
        <w:t xml:space="preserve"> zinc</w:t>
      </w:r>
      <w:r w:rsidR="006C09F1">
        <w:rPr>
          <w:rFonts w:ascii="Arial" w:hAnsi="Arial" w:cs="Arial"/>
          <w:bCs/>
          <w:sz w:val="20"/>
          <w:szCs w:val="20"/>
        </w:rPr>
        <w:t xml:space="preserve"> </w:t>
      </w:r>
      <w:r w:rsidR="00A01956" w:rsidRPr="00A01956">
        <w:rPr>
          <w:rFonts w:ascii="Arial" w:hAnsi="Arial" w:cs="Arial"/>
          <w:bCs/>
          <w:sz w:val="20"/>
          <w:szCs w:val="20"/>
        </w:rPr>
        <w:t>salt</w:t>
      </w:r>
      <w:r w:rsidR="006C09F1">
        <w:rPr>
          <w:rFonts w:ascii="Arial" w:hAnsi="Arial" w:cs="Arial"/>
          <w:bCs/>
          <w:sz w:val="20"/>
          <w:szCs w:val="20"/>
        </w:rPr>
        <w:t xml:space="preserve">. </w:t>
      </w:r>
      <w:r w:rsidR="000E2B67">
        <w:rPr>
          <w:rFonts w:ascii="Arial" w:hAnsi="Arial" w:cs="Arial"/>
          <w:bCs/>
          <w:sz w:val="20"/>
          <w:szCs w:val="20"/>
        </w:rPr>
        <w:t xml:space="preserve">The B coefficient values for the less structured compositions (25-75% DME) are 5.775,5.436 and 5.623 respectively. </w:t>
      </w:r>
      <w:r w:rsidR="00D55418">
        <w:rPr>
          <w:rFonts w:ascii="Arial" w:hAnsi="Arial" w:cs="Arial"/>
          <w:bCs/>
          <w:sz w:val="20"/>
          <w:szCs w:val="20"/>
        </w:rPr>
        <w:t>Judging from the</w:t>
      </w:r>
      <w:r w:rsidR="009460DF">
        <w:rPr>
          <w:rFonts w:ascii="Arial" w:hAnsi="Arial" w:cs="Arial"/>
          <w:bCs/>
          <w:sz w:val="20"/>
          <w:szCs w:val="20"/>
        </w:rPr>
        <w:t xml:space="preserve"> work </w:t>
      </w:r>
      <w:r w:rsidR="003D6AE8">
        <w:rPr>
          <w:rFonts w:ascii="Arial" w:hAnsi="Arial" w:cs="Arial"/>
          <w:bCs/>
          <w:sz w:val="20"/>
          <w:szCs w:val="20"/>
        </w:rPr>
        <w:t>of p</w:t>
      </w:r>
      <w:r w:rsidR="00D55418">
        <w:rPr>
          <w:rFonts w:ascii="Arial" w:hAnsi="Arial" w:cs="Arial"/>
          <w:bCs/>
          <w:sz w:val="20"/>
          <w:szCs w:val="20"/>
        </w:rPr>
        <w:t>revious</w:t>
      </w:r>
      <w:r w:rsidR="003D6AE8">
        <w:rPr>
          <w:rFonts w:ascii="Arial" w:hAnsi="Arial" w:cs="Arial"/>
          <w:bCs/>
          <w:sz w:val="20"/>
          <w:szCs w:val="20"/>
        </w:rPr>
        <w:t xml:space="preserve"> researchers</w:t>
      </w:r>
      <w:r w:rsidR="00D55418">
        <w:rPr>
          <w:rFonts w:ascii="Arial" w:hAnsi="Arial" w:cs="Arial"/>
          <w:bCs/>
          <w:sz w:val="20"/>
          <w:szCs w:val="20"/>
        </w:rPr>
        <w:t>, we can infer that the solvent composition which offers optimal electrical conductivity would be that with a dielectric constant bordering the pure solvent PC</w:t>
      </w:r>
      <w:r w:rsidR="009836DC">
        <w:rPr>
          <w:rFonts w:ascii="Arial" w:hAnsi="Arial" w:cs="Arial"/>
          <w:bCs/>
          <w:sz w:val="20"/>
          <w:szCs w:val="20"/>
        </w:rPr>
        <w:t xml:space="preserve"> – that is, the composition (25% DME)</w:t>
      </w:r>
      <w:r w:rsidR="00D55418">
        <w:rPr>
          <w:rFonts w:ascii="Arial" w:hAnsi="Arial" w:cs="Arial"/>
          <w:bCs/>
          <w:sz w:val="20"/>
          <w:szCs w:val="20"/>
        </w:rPr>
        <w:t xml:space="preserve">. </w:t>
      </w:r>
      <w:r w:rsidR="0074271E">
        <w:rPr>
          <w:rFonts w:ascii="Arial" w:hAnsi="Arial" w:cs="Arial"/>
          <w:bCs/>
          <w:sz w:val="20"/>
          <w:szCs w:val="20"/>
        </w:rPr>
        <w:t>In s</w:t>
      </w:r>
      <w:r w:rsidR="003D6AE8" w:rsidRPr="003D6AE8">
        <w:rPr>
          <w:rFonts w:ascii="Arial" w:hAnsi="Arial" w:cs="Arial"/>
          <w:bCs/>
          <w:sz w:val="20"/>
          <w:szCs w:val="20"/>
        </w:rPr>
        <w:t>olvents of low</w:t>
      </w:r>
      <w:r w:rsidR="003D6AE8">
        <w:rPr>
          <w:rFonts w:ascii="Arial" w:hAnsi="Arial" w:cs="Arial"/>
          <w:bCs/>
          <w:sz w:val="20"/>
          <w:szCs w:val="20"/>
        </w:rPr>
        <w:t xml:space="preserve"> </w:t>
      </w:r>
      <w:r w:rsidR="003D6AE8" w:rsidRPr="003D6AE8">
        <w:rPr>
          <w:rFonts w:ascii="Arial" w:hAnsi="Arial" w:cs="Arial"/>
          <w:bCs/>
          <w:sz w:val="20"/>
          <w:szCs w:val="20"/>
        </w:rPr>
        <w:t>dielectric constants</w:t>
      </w:r>
      <w:r w:rsidR="003D6AE8">
        <w:rPr>
          <w:rFonts w:ascii="Arial" w:hAnsi="Arial" w:cs="Arial"/>
          <w:bCs/>
          <w:sz w:val="20"/>
          <w:szCs w:val="20"/>
        </w:rPr>
        <w:t xml:space="preserve"> with</w:t>
      </w:r>
      <w:r w:rsidR="003D6AE8" w:rsidRPr="003D6AE8">
        <w:rPr>
          <w:rFonts w:ascii="Arial" w:hAnsi="Arial" w:cs="Arial"/>
          <w:bCs/>
          <w:sz w:val="20"/>
          <w:szCs w:val="20"/>
        </w:rPr>
        <w:t xml:space="preserve"> diminutive ionizing influence on electrolytes, the electrostatic forces between</w:t>
      </w:r>
      <w:r w:rsidR="003D6AE8">
        <w:rPr>
          <w:rFonts w:ascii="Arial" w:hAnsi="Arial" w:cs="Arial"/>
          <w:bCs/>
          <w:sz w:val="20"/>
          <w:szCs w:val="20"/>
        </w:rPr>
        <w:t xml:space="preserve"> </w:t>
      </w:r>
      <w:r w:rsidR="003D6AE8" w:rsidRPr="003D6AE8">
        <w:rPr>
          <w:rFonts w:ascii="Arial" w:hAnsi="Arial" w:cs="Arial"/>
          <w:bCs/>
          <w:sz w:val="20"/>
          <w:szCs w:val="20"/>
        </w:rPr>
        <w:t xml:space="preserve">oppositely charged ions </w:t>
      </w:r>
      <w:r w:rsidR="0074271E">
        <w:rPr>
          <w:rFonts w:ascii="Arial" w:hAnsi="Arial" w:cs="Arial"/>
          <w:bCs/>
          <w:sz w:val="20"/>
          <w:szCs w:val="20"/>
        </w:rPr>
        <w:t>will</w:t>
      </w:r>
      <w:r w:rsidR="003D6AE8" w:rsidRPr="003D6AE8">
        <w:rPr>
          <w:rFonts w:ascii="Arial" w:hAnsi="Arial" w:cs="Arial"/>
          <w:bCs/>
          <w:sz w:val="20"/>
          <w:szCs w:val="20"/>
        </w:rPr>
        <w:t xml:space="preserve"> be substantial and conductance </w:t>
      </w:r>
      <w:r w:rsidR="0074271E">
        <w:rPr>
          <w:rFonts w:ascii="Arial" w:hAnsi="Arial" w:cs="Arial"/>
          <w:bCs/>
          <w:sz w:val="20"/>
          <w:szCs w:val="20"/>
        </w:rPr>
        <w:t xml:space="preserve">values will be </w:t>
      </w:r>
      <w:r w:rsidR="003D6AE8" w:rsidRPr="003D6AE8">
        <w:rPr>
          <w:rFonts w:ascii="Arial" w:hAnsi="Arial" w:cs="Arial"/>
          <w:bCs/>
          <w:sz w:val="20"/>
          <w:szCs w:val="20"/>
        </w:rPr>
        <w:t>diminutive</w:t>
      </w:r>
      <w:r w:rsidR="0074271E">
        <w:rPr>
          <w:rFonts w:ascii="Arial" w:hAnsi="Arial" w:cs="Arial"/>
          <w:bCs/>
          <w:sz w:val="20"/>
          <w:szCs w:val="20"/>
        </w:rPr>
        <w:t>.</w:t>
      </w:r>
      <w:r w:rsidR="003D6AE8" w:rsidRPr="003D6AE8">
        <w:rPr>
          <w:rFonts w:ascii="Arial" w:hAnsi="Arial" w:cs="Arial"/>
          <w:bCs/>
          <w:sz w:val="20"/>
          <w:szCs w:val="20"/>
        </w:rPr>
        <w:t xml:space="preserve"> (Bhattarai et al., 2011)</w:t>
      </w:r>
      <w:r w:rsidR="003D6AE8">
        <w:rPr>
          <w:rFonts w:ascii="Arial" w:hAnsi="Arial" w:cs="Arial"/>
          <w:bCs/>
          <w:sz w:val="20"/>
          <w:szCs w:val="20"/>
        </w:rPr>
        <w:t xml:space="preserve">. </w:t>
      </w:r>
      <w:r w:rsidR="000934C9">
        <w:rPr>
          <w:rFonts w:ascii="Arial" w:hAnsi="Arial" w:cs="Arial"/>
          <w:bCs/>
          <w:sz w:val="20"/>
          <w:szCs w:val="20"/>
        </w:rPr>
        <w:t>Th</w:t>
      </w:r>
      <w:r w:rsidR="008A4389">
        <w:rPr>
          <w:rFonts w:ascii="Arial" w:hAnsi="Arial" w:cs="Arial"/>
          <w:bCs/>
          <w:sz w:val="20"/>
          <w:szCs w:val="20"/>
        </w:rPr>
        <w:t>e compositions (50-75% DME) are encumbered by strong electrostatic forces</w:t>
      </w:r>
      <w:r w:rsidR="00F24789">
        <w:rPr>
          <w:rFonts w:ascii="Arial" w:hAnsi="Arial" w:cs="Arial"/>
          <w:bCs/>
          <w:sz w:val="20"/>
          <w:szCs w:val="20"/>
        </w:rPr>
        <w:t>.</w:t>
      </w:r>
      <w:r w:rsidR="008A4389">
        <w:rPr>
          <w:rFonts w:ascii="Arial" w:hAnsi="Arial" w:cs="Arial"/>
          <w:bCs/>
          <w:sz w:val="20"/>
          <w:szCs w:val="20"/>
        </w:rPr>
        <w:t xml:space="preserve"> </w:t>
      </w:r>
      <w:r w:rsidR="00F24789" w:rsidRPr="00F24789">
        <w:rPr>
          <w:rFonts w:ascii="Arial" w:hAnsi="Arial" w:cs="Arial"/>
          <w:bCs/>
          <w:sz w:val="20"/>
          <w:szCs w:val="20"/>
        </w:rPr>
        <w:t>Moreover, such ion pairs can</w:t>
      </w:r>
      <w:r w:rsidR="00F24789">
        <w:rPr>
          <w:rFonts w:ascii="Arial" w:hAnsi="Arial" w:cs="Arial"/>
          <w:bCs/>
          <w:sz w:val="20"/>
          <w:szCs w:val="20"/>
        </w:rPr>
        <w:t xml:space="preserve"> </w:t>
      </w:r>
      <w:r w:rsidR="00F24789" w:rsidRPr="00F24789">
        <w:rPr>
          <w:rFonts w:ascii="Arial" w:hAnsi="Arial" w:cs="Arial"/>
          <w:bCs/>
          <w:sz w:val="20"/>
          <w:szCs w:val="20"/>
        </w:rPr>
        <w:t>inhibit the co</w:t>
      </w:r>
      <w:r w:rsidR="00F24789">
        <w:rPr>
          <w:rFonts w:ascii="Arial" w:hAnsi="Arial" w:cs="Arial"/>
          <w:bCs/>
          <w:sz w:val="20"/>
          <w:szCs w:val="20"/>
        </w:rPr>
        <w:t>-</w:t>
      </w:r>
      <w:r w:rsidR="00F24789" w:rsidRPr="00F24789">
        <w:rPr>
          <w:rFonts w:ascii="Arial" w:hAnsi="Arial" w:cs="Arial"/>
          <w:bCs/>
          <w:sz w:val="20"/>
          <w:szCs w:val="20"/>
        </w:rPr>
        <w:t xml:space="preserve">intercalation of the </w:t>
      </w:r>
      <w:r w:rsidR="00F24789">
        <w:rPr>
          <w:rFonts w:ascii="Arial" w:hAnsi="Arial" w:cs="Arial"/>
          <w:bCs/>
          <w:sz w:val="20"/>
          <w:szCs w:val="20"/>
        </w:rPr>
        <w:t>organic</w:t>
      </w:r>
      <w:r w:rsidR="00F24789" w:rsidRPr="00F24789">
        <w:rPr>
          <w:rFonts w:ascii="Arial" w:hAnsi="Arial" w:cs="Arial"/>
          <w:bCs/>
          <w:sz w:val="20"/>
          <w:szCs w:val="20"/>
        </w:rPr>
        <w:t xml:space="preserve"> solvent</w:t>
      </w:r>
      <w:r w:rsidR="00F24789">
        <w:rPr>
          <w:rFonts w:ascii="Arial" w:hAnsi="Arial" w:cs="Arial"/>
          <w:bCs/>
          <w:sz w:val="20"/>
          <w:szCs w:val="20"/>
        </w:rPr>
        <w:t>s</w:t>
      </w:r>
      <w:r w:rsidR="00F24789" w:rsidRPr="00F24789">
        <w:rPr>
          <w:rFonts w:ascii="Arial" w:hAnsi="Arial" w:cs="Arial"/>
          <w:bCs/>
          <w:sz w:val="20"/>
          <w:szCs w:val="20"/>
        </w:rPr>
        <w:t xml:space="preserve"> with Zn</w:t>
      </w:r>
      <w:r w:rsidR="00F24789" w:rsidRPr="00F24789">
        <w:rPr>
          <w:rFonts w:ascii="Arial" w:hAnsi="Arial" w:cs="Arial"/>
          <w:bCs/>
          <w:sz w:val="20"/>
          <w:szCs w:val="20"/>
          <w:vertAlign w:val="superscript"/>
        </w:rPr>
        <w:t>2+</w:t>
      </w:r>
      <w:r w:rsidR="00F24789" w:rsidRPr="00F24789">
        <w:rPr>
          <w:rFonts w:ascii="Arial" w:hAnsi="Arial" w:cs="Arial"/>
          <w:bCs/>
          <w:sz w:val="20"/>
          <w:szCs w:val="20"/>
        </w:rPr>
        <w:t> ions</w:t>
      </w:r>
      <w:r w:rsidR="00F24789">
        <w:rPr>
          <w:rFonts w:ascii="Arial" w:hAnsi="Arial" w:cs="Arial"/>
          <w:bCs/>
          <w:sz w:val="20"/>
          <w:szCs w:val="20"/>
        </w:rPr>
        <w:t xml:space="preserve"> </w:t>
      </w:r>
      <w:r w:rsidR="00F24789" w:rsidRPr="00F24789">
        <w:rPr>
          <w:rFonts w:ascii="Arial" w:hAnsi="Arial" w:cs="Arial"/>
          <w:bCs/>
          <w:sz w:val="20"/>
          <w:szCs w:val="20"/>
        </w:rPr>
        <w:t xml:space="preserve">into the cathode </w:t>
      </w:r>
      <w:r w:rsidR="00F24789">
        <w:rPr>
          <w:rFonts w:ascii="Arial" w:hAnsi="Arial" w:cs="Arial"/>
          <w:bCs/>
          <w:sz w:val="20"/>
          <w:szCs w:val="20"/>
        </w:rPr>
        <w:t>materials of batteries (</w:t>
      </w:r>
      <w:proofErr w:type="spellStart"/>
      <w:r w:rsidR="00F24789" w:rsidRPr="00F24789">
        <w:rPr>
          <w:rFonts w:ascii="Arial" w:hAnsi="Arial" w:cs="Arial"/>
          <w:bCs/>
          <w:sz w:val="20"/>
          <w:szCs w:val="20"/>
        </w:rPr>
        <w:t>Kundu</w:t>
      </w:r>
      <w:r w:rsidR="0091131B" w:rsidRPr="0091131B">
        <w:rPr>
          <w:rFonts w:ascii="Arial" w:hAnsi="Arial" w:cs="Arial"/>
          <w:bCs/>
          <w:i/>
          <w:iCs/>
          <w:sz w:val="20"/>
          <w:szCs w:val="20"/>
        </w:rPr>
        <w:t>et</w:t>
      </w:r>
      <w:proofErr w:type="spellEnd"/>
      <w:r w:rsidR="0091131B" w:rsidRPr="0091131B">
        <w:rPr>
          <w:rFonts w:ascii="Arial" w:hAnsi="Arial" w:cs="Arial"/>
          <w:bCs/>
          <w:i/>
          <w:iCs/>
          <w:sz w:val="20"/>
          <w:szCs w:val="20"/>
        </w:rPr>
        <w:t xml:space="preserve"> al</w:t>
      </w:r>
      <w:r w:rsidR="0091131B" w:rsidRPr="0091131B">
        <w:rPr>
          <w:rFonts w:ascii="Arial" w:hAnsi="Arial" w:cs="Arial"/>
          <w:bCs/>
          <w:sz w:val="20"/>
          <w:szCs w:val="20"/>
        </w:rPr>
        <w:t>., 201</w:t>
      </w:r>
      <w:r w:rsidR="0091131B">
        <w:rPr>
          <w:rFonts w:ascii="Arial" w:hAnsi="Arial" w:cs="Arial"/>
          <w:bCs/>
          <w:sz w:val="20"/>
          <w:szCs w:val="20"/>
        </w:rPr>
        <w:t>8</w:t>
      </w:r>
      <w:r w:rsidR="00F24789">
        <w:rPr>
          <w:rFonts w:ascii="Arial" w:hAnsi="Arial" w:cs="Arial"/>
          <w:bCs/>
          <w:sz w:val="20"/>
          <w:szCs w:val="20"/>
        </w:rPr>
        <w:t>).</w:t>
      </w:r>
      <w:r w:rsidR="00510ED9">
        <w:rPr>
          <w:rFonts w:ascii="Arial" w:hAnsi="Arial" w:cs="Arial"/>
          <w:bCs/>
          <w:sz w:val="20"/>
          <w:szCs w:val="20"/>
        </w:rPr>
        <w:t xml:space="preserve"> </w:t>
      </w:r>
      <w:r w:rsidR="000C4B1C">
        <w:rPr>
          <w:rFonts w:ascii="Arial" w:hAnsi="Arial" w:cs="Arial"/>
          <w:bCs/>
          <w:sz w:val="20"/>
          <w:szCs w:val="20"/>
        </w:rPr>
        <w:t>Therefore,</w:t>
      </w:r>
      <w:r w:rsidR="00F24789" w:rsidRPr="00F24789">
        <w:rPr>
          <w:rFonts w:ascii="Arial" w:hAnsi="Arial" w:cs="Arial"/>
          <w:bCs/>
          <w:sz w:val="20"/>
          <w:szCs w:val="20"/>
        </w:rPr>
        <w:t xml:space="preserve"> the</w:t>
      </w:r>
      <w:r w:rsidR="00F24789">
        <w:rPr>
          <w:rFonts w:ascii="Arial" w:hAnsi="Arial" w:cs="Arial"/>
          <w:bCs/>
          <w:sz w:val="20"/>
          <w:szCs w:val="20"/>
        </w:rPr>
        <w:t xml:space="preserve"> </w:t>
      </w:r>
      <w:r w:rsidR="000C4B1C">
        <w:rPr>
          <w:rFonts w:ascii="Arial" w:hAnsi="Arial" w:cs="Arial"/>
          <w:bCs/>
          <w:sz w:val="20"/>
          <w:szCs w:val="20"/>
        </w:rPr>
        <w:t xml:space="preserve">study underscores the significance </w:t>
      </w:r>
      <w:r w:rsidR="00F24789" w:rsidRPr="00F24789">
        <w:rPr>
          <w:rFonts w:ascii="Arial" w:hAnsi="Arial" w:cs="Arial"/>
          <w:bCs/>
          <w:sz w:val="20"/>
          <w:szCs w:val="20"/>
        </w:rPr>
        <w:t xml:space="preserve">of understanding the </w:t>
      </w:r>
      <w:r w:rsidR="000C4B1C">
        <w:rPr>
          <w:rFonts w:ascii="Arial" w:hAnsi="Arial" w:cs="Arial"/>
          <w:bCs/>
          <w:sz w:val="20"/>
          <w:szCs w:val="20"/>
        </w:rPr>
        <w:t xml:space="preserve">mechanism of </w:t>
      </w:r>
      <w:r w:rsidR="00F24789" w:rsidRPr="00F24789">
        <w:rPr>
          <w:rFonts w:ascii="Arial" w:hAnsi="Arial" w:cs="Arial"/>
          <w:bCs/>
          <w:sz w:val="20"/>
          <w:szCs w:val="20"/>
        </w:rPr>
        <w:t xml:space="preserve">solvation and </w:t>
      </w:r>
      <w:proofErr w:type="spellStart"/>
      <w:r w:rsidR="00F24789" w:rsidRPr="00F24789">
        <w:rPr>
          <w:rFonts w:ascii="Arial" w:hAnsi="Arial" w:cs="Arial"/>
          <w:bCs/>
          <w:sz w:val="20"/>
          <w:szCs w:val="20"/>
        </w:rPr>
        <w:t>desolvation</w:t>
      </w:r>
      <w:proofErr w:type="spellEnd"/>
      <w:r w:rsidR="000C4B1C">
        <w:rPr>
          <w:rFonts w:ascii="Arial" w:hAnsi="Arial" w:cs="Arial"/>
          <w:bCs/>
          <w:sz w:val="20"/>
          <w:szCs w:val="20"/>
        </w:rPr>
        <w:t xml:space="preserve"> of</w:t>
      </w:r>
      <w:r w:rsidR="00F24789" w:rsidRPr="00F24789">
        <w:rPr>
          <w:rFonts w:ascii="Arial" w:hAnsi="Arial" w:cs="Arial"/>
          <w:bCs/>
          <w:sz w:val="20"/>
          <w:szCs w:val="20"/>
        </w:rPr>
        <w:t xml:space="preserve"> </w:t>
      </w:r>
      <w:bookmarkStart w:id="37" w:name="_Hlk215769021"/>
      <w:r w:rsidR="000C4B1C" w:rsidRPr="000C4B1C">
        <w:rPr>
          <w:rFonts w:ascii="Arial" w:hAnsi="Arial" w:cs="Arial"/>
          <w:bCs/>
          <w:sz w:val="20"/>
          <w:szCs w:val="20"/>
        </w:rPr>
        <w:t>Zn</w:t>
      </w:r>
      <w:r w:rsidR="000C4B1C" w:rsidRPr="000C4B1C">
        <w:rPr>
          <w:rFonts w:ascii="Arial" w:hAnsi="Arial" w:cs="Arial"/>
          <w:bCs/>
          <w:sz w:val="20"/>
          <w:szCs w:val="20"/>
          <w:vertAlign w:val="superscript"/>
        </w:rPr>
        <w:t>2+</w:t>
      </w:r>
      <w:r w:rsidR="000C4B1C" w:rsidRPr="000C4B1C">
        <w:rPr>
          <w:rFonts w:ascii="Arial" w:hAnsi="Arial" w:cs="Arial"/>
          <w:bCs/>
          <w:sz w:val="20"/>
          <w:szCs w:val="20"/>
        </w:rPr>
        <w:t xml:space="preserve"> ions </w:t>
      </w:r>
      <w:bookmarkEnd w:id="37"/>
      <w:r w:rsidR="00F24789" w:rsidRPr="00F24789">
        <w:rPr>
          <w:rFonts w:ascii="Arial" w:hAnsi="Arial" w:cs="Arial"/>
          <w:bCs/>
          <w:sz w:val="20"/>
          <w:szCs w:val="20"/>
        </w:rPr>
        <w:t>in</w:t>
      </w:r>
      <w:r w:rsidR="00F24789">
        <w:rPr>
          <w:rFonts w:ascii="Arial" w:hAnsi="Arial" w:cs="Arial"/>
          <w:bCs/>
          <w:sz w:val="20"/>
          <w:szCs w:val="20"/>
        </w:rPr>
        <w:t xml:space="preserve"> </w:t>
      </w:r>
      <w:r w:rsidR="00F24789" w:rsidRPr="00F24789">
        <w:rPr>
          <w:rFonts w:ascii="Arial" w:hAnsi="Arial" w:cs="Arial"/>
          <w:bCs/>
          <w:sz w:val="20"/>
          <w:szCs w:val="20"/>
        </w:rPr>
        <w:t xml:space="preserve">organic solvents to </w:t>
      </w:r>
      <w:r w:rsidR="000C4B1C">
        <w:rPr>
          <w:rFonts w:ascii="Arial" w:hAnsi="Arial" w:cs="Arial"/>
          <w:bCs/>
          <w:sz w:val="20"/>
          <w:szCs w:val="20"/>
        </w:rPr>
        <w:t>modify</w:t>
      </w:r>
      <w:r w:rsidR="00F24789" w:rsidRPr="00F24789">
        <w:rPr>
          <w:rFonts w:ascii="Arial" w:hAnsi="Arial" w:cs="Arial"/>
          <w:bCs/>
          <w:sz w:val="20"/>
          <w:szCs w:val="20"/>
        </w:rPr>
        <w:t xml:space="preserve"> the diffusion and interactions at</w:t>
      </w:r>
      <w:r w:rsidR="000C4B1C">
        <w:rPr>
          <w:rFonts w:ascii="Arial" w:hAnsi="Arial" w:cs="Arial"/>
          <w:bCs/>
          <w:sz w:val="20"/>
          <w:szCs w:val="20"/>
        </w:rPr>
        <w:t xml:space="preserve"> </w:t>
      </w:r>
      <w:r w:rsidR="00F24789" w:rsidRPr="00F24789">
        <w:rPr>
          <w:rFonts w:ascii="Arial" w:hAnsi="Arial" w:cs="Arial"/>
          <w:bCs/>
          <w:sz w:val="20"/>
          <w:szCs w:val="20"/>
        </w:rPr>
        <w:t>the electrolyte</w:t>
      </w:r>
      <w:r w:rsidR="00F24789">
        <w:rPr>
          <w:rFonts w:ascii="Arial" w:hAnsi="Arial" w:cs="Arial"/>
          <w:bCs/>
          <w:sz w:val="20"/>
          <w:szCs w:val="20"/>
        </w:rPr>
        <w:t>-</w:t>
      </w:r>
      <w:r w:rsidR="00F24789" w:rsidRPr="00F24789">
        <w:rPr>
          <w:rFonts w:ascii="Arial" w:hAnsi="Arial" w:cs="Arial"/>
          <w:bCs/>
          <w:sz w:val="20"/>
          <w:szCs w:val="20"/>
        </w:rPr>
        <w:t>electrode interface</w:t>
      </w:r>
      <w:r w:rsidR="00F24789">
        <w:rPr>
          <w:rFonts w:ascii="Arial" w:hAnsi="Arial" w:cs="Arial"/>
          <w:bCs/>
          <w:sz w:val="20"/>
          <w:szCs w:val="20"/>
        </w:rPr>
        <w:t>.</w:t>
      </w:r>
      <w:r w:rsidR="00F24789" w:rsidRPr="00F24789">
        <w:rPr>
          <w:rFonts w:ascii="Arial" w:hAnsi="Arial" w:cs="Arial"/>
          <w:bCs/>
          <w:sz w:val="20"/>
          <w:szCs w:val="20"/>
        </w:rPr>
        <w:t xml:space="preserve"> </w:t>
      </w:r>
      <w:r w:rsidR="00A90131">
        <w:rPr>
          <w:rFonts w:ascii="Arial" w:hAnsi="Arial" w:cs="Arial"/>
          <w:bCs/>
          <w:sz w:val="20"/>
          <w:szCs w:val="20"/>
        </w:rPr>
        <w:t xml:space="preserve">These are the fundamentals to </w:t>
      </w:r>
      <w:r w:rsidR="007E3236" w:rsidRPr="007E3236">
        <w:rPr>
          <w:rFonts w:ascii="Arial" w:hAnsi="Arial" w:cs="Arial"/>
          <w:bCs/>
          <w:sz w:val="20"/>
          <w:szCs w:val="20"/>
        </w:rPr>
        <w:t>improv</w:t>
      </w:r>
      <w:r w:rsidR="007E3236">
        <w:rPr>
          <w:rFonts w:ascii="Arial" w:hAnsi="Arial" w:cs="Arial"/>
          <w:bCs/>
          <w:sz w:val="20"/>
          <w:szCs w:val="20"/>
        </w:rPr>
        <w:t>ing</w:t>
      </w:r>
      <w:r w:rsidR="007E3236" w:rsidRPr="007E3236">
        <w:rPr>
          <w:rFonts w:ascii="Arial" w:hAnsi="Arial" w:cs="Arial"/>
          <w:bCs/>
          <w:sz w:val="20"/>
          <w:szCs w:val="20"/>
        </w:rPr>
        <w:t xml:space="preserve"> properties such as mass transport and</w:t>
      </w:r>
      <w:r w:rsidR="007E3236">
        <w:rPr>
          <w:rFonts w:ascii="Arial" w:hAnsi="Arial" w:cs="Arial"/>
          <w:bCs/>
          <w:sz w:val="20"/>
          <w:szCs w:val="20"/>
        </w:rPr>
        <w:t xml:space="preserve"> </w:t>
      </w:r>
      <w:r w:rsidR="000D56B6">
        <w:rPr>
          <w:rFonts w:ascii="Arial" w:hAnsi="Arial" w:cs="Arial"/>
          <w:bCs/>
          <w:sz w:val="20"/>
          <w:szCs w:val="20"/>
        </w:rPr>
        <w:t xml:space="preserve">the cycle life of </w:t>
      </w:r>
      <w:r w:rsidR="000D56B6" w:rsidRPr="000D56B6">
        <w:rPr>
          <w:rFonts w:ascii="Arial" w:hAnsi="Arial" w:cs="Arial"/>
          <w:bCs/>
          <w:sz w:val="20"/>
          <w:szCs w:val="20"/>
        </w:rPr>
        <w:t>Zn</w:t>
      </w:r>
      <w:r w:rsidR="000D56B6" w:rsidRPr="000D56B6">
        <w:rPr>
          <w:rFonts w:ascii="Arial" w:hAnsi="Arial" w:cs="Arial"/>
          <w:bCs/>
          <w:sz w:val="20"/>
          <w:szCs w:val="20"/>
          <w:vertAlign w:val="superscript"/>
        </w:rPr>
        <w:t>2+</w:t>
      </w:r>
      <w:r w:rsidR="000D56B6" w:rsidRPr="000D56B6">
        <w:rPr>
          <w:rFonts w:ascii="Arial" w:hAnsi="Arial" w:cs="Arial"/>
          <w:bCs/>
          <w:sz w:val="20"/>
          <w:szCs w:val="20"/>
        </w:rPr>
        <w:t xml:space="preserve"> ions </w:t>
      </w:r>
      <w:r w:rsidR="007E3236" w:rsidRPr="007E3236">
        <w:rPr>
          <w:rFonts w:ascii="Arial" w:hAnsi="Arial" w:cs="Arial"/>
          <w:bCs/>
          <w:sz w:val="20"/>
          <w:szCs w:val="20"/>
        </w:rPr>
        <w:t>in organic electrolyte</w:t>
      </w:r>
      <w:r w:rsidR="000D56B6">
        <w:rPr>
          <w:rFonts w:ascii="Arial" w:hAnsi="Arial" w:cs="Arial"/>
          <w:bCs/>
          <w:sz w:val="20"/>
          <w:szCs w:val="20"/>
        </w:rPr>
        <w:t>s for rechargeable batteries.</w:t>
      </w:r>
      <w:r w:rsidR="007E3236" w:rsidRPr="007E3236">
        <w:rPr>
          <w:rFonts w:ascii="Arial" w:hAnsi="Arial" w:cs="Arial"/>
          <w:bCs/>
          <w:sz w:val="20"/>
          <w:szCs w:val="20"/>
        </w:rPr>
        <w:t xml:space="preserve"> </w:t>
      </w:r>
      <w:r w:rsidR="003D6AE8" w:rsidRPr="003D6AE8">
        <w:rPr>
          <w:rFonts w:ascii="Arial" w:hAnsi="Arial" w:cs="Arial"/>
          <w:bCs/>
          <w:sz w:val="20"/>
          <w:szCs w:val="20"/>
        </w:rPr>
        <w:t xml:space="preserve"> </w:t>
      </w:r>
      <w:r w:rsidR="000E2B67">
        <w:rPr>
          <w:rFonts w:ascii="Arial" w:hAnsi="Arial" w:cs="Arial"/>
          <w:bCs/>
          <w:sz w:val="20"/>
          <w:szCs w:val="20"/>
        </w:rPr>
        <w:t xml:space="preserve">  </w:t>
      </w:r>
      <w:r w:rsidR="00A01956" w:rsidRPr="00A01956">
        <w:rPr>
          <w:rFonts w:ascii="Arial" w:hAnsi="Arial" w:cs="Arial"/>
          <w:bCs/>
          <w:sz w:val="20"/>
          <w:szCs w:val="20"/>
        </w:rPr>
        <w:t xml:space="preserve"> </w:t>
      </w:r>
      <w:r w:rsidR="00796A52">
        <w:rPr>
          <w:rFonts w:ascii="Arial" w:hAnsi="Arial" w:cs="Arial"/>
          <w:bCs/>
          <w:sz w:val="20"/>
          <w:szCs w:val="20"/>
        </w:rPr>
        <w:t xml:space="preserve"> </w:t>
      </w:r>
    </w:p>
    <w:p w14:paraId="516A03FA" w14:textId="6B27664F" w:rsidR="00D01DAB" w:rsidRDefault="00D01DAB" w:rsidP="00CC6C24">
      <w:pPr>
        <w:rPr>
          <w:rFonts w:ascii="Arial" w:hAnsi="Arial" w:cs="Arial"/>
          <w:bCs/>
          <w:sz w:val="20"/>
          <w:szCs w:val="20"/>
          <w:lang w:val="en-GB"/>
        </w:rPr>
      </w:pPr>
    </w:p>
    <w:p w14:paraId="05C09B6B" w14:textId="18AA2722" w:rsidR="00294999" w:rsidRDefault="00294999" w:rsidP="001D1630">
      <w:pPr>
        <w:rPr>
          <w:rFonts w:ascii="Arial" w:hAnsi="Arial" w:cs="Arial"/>
          <w:bCs/>
          <w:sz w:val="20"/>
          <w:szCs w:val="20"/>
          <w:lang w:val="en-GB"/>
        </w:rPr>
      </w:pPr>
    </w:p>
    <w:p w14:paraId="52AC0609" w14:textId="2C707A70" w:rsidR="00D72466" w:rsidRDefault="00D72466" w:rsidP="001D1630">
      <w:pPr>
        <w:rPr>
          <w:rFonts w:ascii="Arial" w:hAnsi="Arial" w:cs="Arial"/>
          <w:bCs/>
          <w:sz w:val="20"/>
          <w:szCs w:val="20"/>
        </w:rPr>
      </w:pPr>
    </w:p>
    <w:p w14:paraId="7215D521" w14:textId="4A9E46E7" w:rsidR="00D72466" w:rsidRDefault="00D72466" w:rsidP="001D1630">
      <w:pPr>
        <w:rPr>
          <w:rFonts w:ascii="Arial" w:hAnsi="Arial" w:cs="Arial"/>
          <w:bCs/>
          <w:sz w:val="20"/>
          <w:szCs w:val="20"/>
        </w:rPr>
      </w:pPr>
    </w:p>
    <w:p w14:paraId="3512E5C2" w14:textId="77777777" w:rsidR="00D72466" w:rsidRDefault="00D72466" w:rsidP="001D1630">
      <w:pPr>
        <w:rPr>
          <w:rFonts w:ascii="Arial" w:hAnsi="Arial" w:cs="Arial"/>
          <w:bCs/>
          <w:sz w:val="20"/>
          <w:szCs w:val="20"/>
        </w:rPr>
      </w:pPr>
      <w:bookmarkStart w:id="38" w:name="_GoBack"/>
      <w:bookmarkEnd w:id="38"/>
    </w:p>
    <w:p w14:paraId="1E768249" w14:textId="47C45498" w:rsidR="001D1630" w:rsidRPr="001D1630" w:rsidRDefault="001D1630" w:rsidP="001D1630">
      <w:pPr>
        <w:rPr>
          <w:rFonts w:ascii="Arial" w:hAnsi="Arial" w:cs="Arial"/>
          <w:b/>
          <w:bCs/>
          <w:sz w:val="20"/>
          <w:szCs w:val="20"/>
          <w:lang w:val="en-GB"/>
        </w:rPr>
      </w:pPr>
      <w:r w:rsidRPr="001D1630">
        <w:rPr>
          <w:rFonts w:ascii="Arial" w:hAnsi="Arial" w:cs="Arial"/>
          <w:b/>
          <w:bCs/>
          <w:sz w:val="20"/>
          <w:szCs w:val="20"/>
          <w:lang w:val="en-GB"/>
        </w:rPr>
        <w:lastRenderedPageBreak/>
        <w:t>REFERENCES</w:t>
      </w:r>
    </w:p>
    <w:p w14:paraId="314CE807" w14:textId="77777777" w:rsidR="0074283D" w:rsidRDefault="0074283D" w:rsidP="0074283D">
      <w:pPr>
        <w:pStyle w:val="ListParagraph"/>
        <w:ind w:left="1080"/>
        <w:rPr>
          <w:rFonts w:ascii="Arial" w:hAnsi="Arial" w:cs="Arial"/>
          <w:bCs/>
          <w:sz w:val="20"/>
          <w:szCs w:val="20"/>
        </w:rPr>
      </w:pPr>
    </w:p>
    <w:p w14:paraId="51582A52" w14:textId="77777777" w:rsidR="0074283D" w:rsidRPr="0074283D" w:rsidRDefault="0074283D" w:rsidP="0074283D">
      <w:pPr>
        <w:pStyle w:val="ListParagraph"/>
        <w:numPr>
          <w:ilvl w:val="0"/>
          <w:numId w:val="2"/>
        </w:numPr>
        <w:rPr>
          <w:rFonts w:ascii="Arial" w:hAnsi="Arial" w:cs="Arial"/>
          <w:bCs/>
          <w:sz w:val="20"/>
          <w:szCs w:val="20"/>
        </w:rPr>
      </w:pPr>
      <w:r w:rsidRPr="0074283D">
        <w:rPr>
          <w:rFonts w:ascii="Arial" w:hAnsi="Arial" w:cs="Arial"/>
          <w:bCs/>
          <w:sz w:val="20"/>
          <w:szCs w:val="20"/>
        </w:rPr>
        <w:t xml:space="preserve">Blanc, L. E., Kundu, D. &amp; Nazar, L. F. (2020). Scientific Challenges for the Implementation of Zn-Ion Batteries. Joule. 4, 771-799. </w:t>
      </w:r>
    </w:p>
    <w:p w14:paraId="27D5FF30" w14:textId="07F7322F" w:rsidR="00982E05" w:rsidRDefault="00982E05" w:rsidP="00687CD6">
      <w:pPr>
        <w:pStyle w:val="ListParagraph"/>
        <w:numPr>
          <w:ilvl w:val="0"/>
          <w:numId w:val="2"/>
        </w:numPr>
        <w:rPr>
          <w:rFonts w:ascii="Arial" w:hAnsi="Arial" w:cs="Arial"/>
          <w:bCs/>
          <w:sz w:val="20"/>
          <w:szCs w:val="20"/>
        </w:rPr>
      </w:pPr>
      <w:r w:rsidRPr="00982E05">
        <w:rPr>
          <w:rFonts w:ascii="Arial" w:hAnsi="Arial" w:cs="Arial"/>
          <w:bCs/>
          <w:sz w:val="20"/>
          <w:szCs w:val="20"/>
        </w:rPr>
        <w:t>Chae, M.S., Heo, J.W., Kwak, H.H., Lee, H., Hong, S-T. (2017). Organic electrolyte-based rechargeable zinc-ion batteries using potassium nickel hexacyanoferrate as a cathode material</w:t>
      </w:r>
      <w:r>
        <w:rPr>
          <w:rFonts w:ascii="Arial" w:hAnsi="Arial" w:cs="Arial"/>
          <w:bCs/>
          <w:sz w:val="20"/>
          <w:szCs w:val="20"/>
        </w:rPr>
        <w:t>.</w:t>
      </w:r>
      <w:r w:rsidRPr="00982E05">
        <w:rPr>
          <w:rFonts w:ascii="Arial" w:hAnsi="Arial" w:cs="Arial"/>
          <w:bCs/>
          <w:sz w:val="20"/>
          <w:szCs w:val="20"/>
        </w:rPr>
        <w:t xml:space="preserve"> </w:t>
      </w:r>
      <w:r w:rsidRPr="00982E05">
        <w:rPr>
          <w:rFonts w:ascii="Arial" w:hAnsi="Arial" w:cs="Arial"/>
          <w:bCs/>
          <w:i/>
          <w:iCs/>
          <w:sz w:val="20"/>
          <w:szCs w:val="20"/>
        </w:rPr>
        <w:t>Journal of Power Sources</w:t>
      </w:r>
      <w:r w:rsidRPr="00982E05">
        <w:rPr>
          <w:rFonts w:ascii="Arial" w:hAnsi="Arial" w:cs="Arial"/>
          <w:bCs/>
          <w:sz w:val="20"/>
          <w:szCs w:val="20"/>
        </w:rPr>
        <w:t>. 337, 204–211.</w:t>
      </w:r>
    </w:p>
    <w:p w14:paraId="366FDF60" w14:textId="77777777" w:rsidR="00281A3E" w:rsidRPr="00281A3E" w:rsidRDefault="00281A3E" w:rsidP="00281A3E">
      <w:pPr>
        <w:pStyle w:val="ListParagraph"/>
        <w:numPr>
          <w:ilvl w:val="0"/>
          <w:numId w:val="2"/>
        </w:numPr>
        <w:rPr>
          <w:rFonts w:ascii="Arial" w:hAnsi="Arial" w:cs="Arial"/>
          <w:bCs/>
          <w:sz w:val="20"/>
          <w:szCs w:val="20"/>
        </w:rPr>
      </w:pPr>
      <w:r w:rsidRPr="00281A3E">
        <w:rPr>
          <w:rFonts w:ascii="Arial" w:hAnsi="Arial" w:cs="Arial"/>
          <w:bCs/>
          <w:sz w:val="20"/>
          <w:szCs w:val="20"/>
        </w:rPr>
        <w:t xml:space="preserve">Chen, J., Naveed, A., </w:t>
      </w:r>
      <w:proofErr w:type="spellStart"/>
      <w:r w:rsidRPr="00281A3E">
        <w:rPr>
          <w:rFonts w:ascii="Arial" w:hAnsi="Arial" w:cs="Arial"/>
          <w:bCs/>
          <w:sz w:val="20"/>
          <w:szCs w:val="20"/>
        </w:rPr>
        <w:t>Nuli</w:t>
      </w:r>
      <w:proofErr w:type="spellEnd"/>
      <w:r w:rsidRPr="00281A3E">
        <w:rPr>
          <w:rFonts w:ascii="Arial" w:hAnsi="Arial" w:cs="Arial"/>
          <w:bCs/>
          <w:sz w:val="20"/>
          <w:szCs w:val="20"/>
        </w:rPr>
        <w:t xml:space="preserve">, Y., Yang, J. &amp; Wang, J. (2020). Designing an intrinsically safe organic electrolyte for rechargeable batteries. </w:t>
      </w:r>
      <w:r w:rsidRPr="00E36777">
        <w:rPr>
          <w:rFonts w:ascii="Arial" w:hAnsi="Arial" w:cs="Arial"/>
          <w:bCs/>
          <w:i/>
          <w:iCs/>
          <w:sz w:val="20"/>
          <w:szCs w:val="20"/>
        </w:rPr>
        <w:t>Energy Storage Materials</w:t>
      </w:r>
      <w:r w:rsidRPr="00281A3E">
        <w:rPr>
          <w:rFonts w:ascii="Arial" w:hAnsi="Arial" w:cs="Arial"/>
          <w:bCs/>
          <w:sz w:val="20"/>
          <w:szCs w:val="20"/>
        </w:rPr>
        <w:t>. 31, 382–400.</w:t>
      </w:r>
    </w:p>
    <w:p w14:paraId="7755F148" w14:textId="5A46ED46" w:rsidR="00240010" w:rsidRDefault="00240010" w:rsidP="000B68A0">
      <w:pPr>
        <w:pStyle w:val="ListParagraph"/>
        <w:numPr>
          <w:ilvl w:val="0"/>
          <w:numId w:val="2"/>
        </w:numPr>
        <w:rPr>
          <w:rFonts w:ascii="Arial" w:hAnsi="Arial" w:cs="Arial"/>
          <w:bCs/>
          <w:sz w:val="20"/>
          <w:szCs w:val="20"/>
        </w:rPr>
      </w:pPr>
      <w:r w:rsidRPr="00240010">
        <w:rPr>
          <w:rFonts w:ascii="Arial" w:hAnsi="Arial" w:cs="Arial"/>
          <w:bCs/>
          <w:sz w:val="20"/>
          <w:szCs w:val="20"/>
        </w:rPr>
        <w:t>Jones, G. and Dole, M. (1929).</w:t>
      </w:r>
      <w:r>
        <w:rPr>
          <w:rFonts w:ascii="Arial" w:hAnsi="Arial" w:cs="Arial"/>
          <w:bCs/>
          <w:sz w:val="20"/>
          <w:szCs w:val="20"/>
        </w:rPr>
        <w:t xml:space="preserve"> </w:t>
      </w:r>
      <w:r w:rsidRPr="00240010">
        <w:rPr>
          <w:rFonts w:ascii="Arial" w:hAnsi="Arial" w:cs="Arial"/>
          <w:bCs/>
          <w:sz w:val="20"/>
          <w:szCs w:val="20"/>
        </w:rPr>
        <w:t xml:space="preserve">The viscosity of aqueous solutions of strong electrolytes with special reference to barium chloride. </w:t>
      </w:r>
      <w:r w:rsidRPr="00240010">
        <w:rPr>
          <w:rFonts w:ascii="Arial" w:hAnsi="Arial" w:cs="Arial"/>
          <w:bCs/>
          <w:i/>
          <w:iCs/>
          <w:sz w:val="20"/>
          <w:szCs w:val="20"/>
        </w:rPr>
        <w:t>Journal of the American Chemical Society</w:t>
      </w:r>
      <w:r w:rsidRPr="00240010">
        <w:rPr>
          <w:rFonts w:ascii="Arial" w:hAnsi="Arial" w:cs="Arial"/>
          <w:bCs/>
          <w:sz w:val="20"/>
          <w:szCs w:val="20"/>
        </w:rPr>
        <w:t>. 51</w:t>
      </w:r>
      <w:r>
        <w:rPr>
          <w:rFonts w:ascii="Arial" w:hAnsi="Arial" w:cs="Arial"/>
          <w:bCs/>
          <w:sz w:val="20"/>
          <w:szCs w:val="20"/>
        </w:rPr>
        <w:t xml:space="preserve">, </w:t>
      </w:r>
      <w:r w:rsidRPr="00240010">
        <w:rPr>
          <w:rFonts w:ascii="Arial" w:hAnsi="Arial" w:cs="Arial"/>
          <w:bCs/>
          <w:sz w:val="20"/>
          <w:szCs w:val="20"/>
        </w:rPr>
        <w:t>10: 2950-2964.</w:t>
      </w:r>
    </w:p>
    <w:p w14:paraId="3CBA1845" w14:textId="294F6F66" w:rsidR="00240010" w:rsidRDefault="00240010" w:rsidP="00240010">
      <w:pPr>
        <w:pStyle w:val="ListParagraph"/>
        <w:numPr>
          <w:ilvl w:val="0"/>
          <w:numId w:val="2"/>
        </w:numPr>
        <w:rPr>
          <w:rFonts w:ascii="Arial" w:hAnsi="Arial" w:cs="Arial"/>
          <w:bCs/>
          <w:sz w:val="20"/>
          <w:szCs w:val="20"/>
        </w:rPr>
      </w:pPr>
      <w:proofErr w:type="spellStart"/>
      <w:r w:rsidRPr="00240010">
        <w:rPr>
          <w:rFonts w:ascii="Arial" w:hAnsi="Arial" w:cs="Arial"/>
          <w:bCs/>
          <w:sz w:val="20"/>
          <w:szCs w:val="20"/>
        </w:rPr>
        <w:t>Kakoty</w:t>
      </w:r>
      <w:proofErr w:type="spellEnd"/>
      <w:r w:rsidRPr="00240010">
        <w:rPr>
          <w:rFonts w:ascii="Arial" w:hAnsi="Arial" w:cs="Arial"/>
          <w:bCs/>
          <w:sz w:val="20"/>
          <w:szCs w:val="20"/>
        </w:rPr>
        <w:t xml:space="preserve">, B., </w:t>
      </w:r>
      <w:proofErr w:type="spellStart"/>
      <w:r w:rsidRPr="00240010">
        <w:rPr>
          <w:rFonts w:ascii="Arial" w:hAnsi="Arial" w:cs="Arial"/>
          <w:bCs/>
          <w:sz w:val="20"/>
          <w:szCs w:val="20"/>
        </w:rPr>
        <w:t>Vengarathody</w:t>
      </w:r>
      <w:proofErr w:type="spellEnd"/>
      <w:r w:rsidRPr="00240010">
        <w:rPr>
          <w:rFonts w:ascii="Arial" w:hAnsi="Arial" w:cs="Arial"/>
          <w:bCs/>
          <w:sz w:val="20"/>
          <w:szCs w:val="20"/>
        </w:rPr>
        <w:t>, R., Mukherji, S., Ahuja, V., Joseph, A., Narayana, C., Balasubramanian, S. &amp; Senguttuvan, P. (2022). Two for one: propylene carbonate co-solvent for high performance aqueous zinc-ion batteries – remedies for persistent issues at both electrodes. Journal of materials Chemistry A. 10, 12597-12607.</w:t>
      </w:r>
    </w:p>
    <w:p w14:paraId="67716269" w14:textId="5289AF5D" w:rsidR="00B232B3" w:rsidRDefault="00B232B3" w:rsidP="00240010">
      <w:pPr>
        <w:pStyle w:val="ListParagraph"/>
        <w:numPr>
          <w:ilvl w:val="0"/>
          <w:numId w:val="2"/>
        </w:numPr>
        <w:rPr>
          <w:rFonts w:ascii="Arial" w:hAnsi="Arial" w:cs="Arial"/>
          <w:bCs/>
          <w:sz w:val="20"/>
          <w:szCs w:val="20"/>
        </w:rPr>
      </w:pPr>
      <w:bookmarkStart w:id="39" w:name="_Hlk221616820"/>
      <w:proofErr w:type="spellStart"/>
      <w:r>
        <w:t>Kambarova</w:t>
      </w:r>
      <w:bookmarkEnd w:id="39"/>
      <w:proofErr w:type="spellEnd"/>
      <w:r>
        <w:t xml:space="preserve">, G., </w:t>
      </w:r>
      <w:proofErr w:type="spellStart"/>
      <w:r>
        <w:t>Nazarbek</w:t>
      </w:r>
      <w:proofErr w:type="spellEnd"/>
      <w:r>
        <w:t xml:space="preserve">, U., </w:t>
      </w:r>
      <w:proofErr w:type="spellStart"/>
      <w:r>
        <w:t>Nazarbekova</w:t>
      </w:r>
      <w:proofErr w:type="spellEnd"/>
      <w:r>
        <w:t xml:space="preserve">, S., Abdurazova, P. &amp; </w:t>
      </w:r>
      <w:proofErr w:type="spellStart"/>
      <w:r>
        <w:t>Raiymbekov</w:t>
      </w:r>
      <w:proofErr w:type="spellEnd"/>
      <w:r>
        <w:t xml:space="preserve">, Y. (2025). The Nature of Processes Affecting the Solubility, Viscosity, and Density Characteristics of Aqueous Electrolyte Systems. Journal of Multidisciplinary Applied Natural Science. 5, 3:  </w:t>
      </w:r>
      <w:r w:rsidRPr="00B232B3">
        <w:t>https://doi.org/10.47352/jmans.2774-3047.281</w:t>
      </w:r>
      <w:r>
        <w:t>.</w:t>
      </w:r>
    </w:p>
    <w:p w14:paraId="10A4F145" w14:textId="2CBF4361" w:rsidR="003A6B5E" w:rsidRDefault="003A6B5E" w:rsidP="00240010">
      <w:pPr>
        <w:pStyle w:val="ListParagraph"/>
        <w:numPr>
          <w:ilvl w:val="0"/>
          <w:numId w:val="2"/>
        </w:numPr>
        <w:rPr>
          <w:rFonts w:ascii="Arial" w:hAnsi="Arial" w:cs="Arial"/>
          <w:bCs/>
          <w:sz w:val="20"/>
          <w:szCs w:val="20"/>
        </w:rPr>
      </w:pPr>
      <w:r>
        <w:rPr>
          <w:rFonts w:ascii="Arial" w:hAnsi="Arial" w:cs="Arial"/>
          <w:bCs/>
          <w:sz w:val="20"/>
          <w:szCs w:val="20"/>
        </w:rPr>
        <w:t xml:space="preserve">Kar, M. &amp; Pozo-Gonzalo, C. (2021). Emergence of nonaqueous electrolytes for rechargeable zinc batteries. </w:t>
      </w:r>
      <w:r w:rsidRPr="003A6B5E">
        <w:rPr>
          <w:rFonts w:ascii="Arial" w:hAnsi="Arial" w:cs="Arial"/>
          <w:bCs/>
          <w:i/>
          <w:iCs/>
          <w:sz w:val="20"/>
          <w:szCs w:val="20"/>
        </w:rPr>
        <w:t>Current Opinion in Green and Sustainable Chemistry</w:t>
      </w:r>
      <w:r>
        <w:rPr>
          <w:rFonts w:ascii="Arial" w:hAnsi="Arial" w:cs="Arial"/>
          <w:bCs/>
          <w:sz w:val="20"/>
          <w:szCs w:val="20"/>
        </w:rPr>
        <w:t xml:space="preserve">. 28, 100426. </w:t>
      </w:r>
      <w:hyperlink r:id="rId9" w:history="1">
        <w:r w:rsidR="00F24789" w:rsidRPr="00E20EC0">
          <w:rPr>
            <w:rStyle w:val="Hyperlink"/>
            <w:rFonts w:ascii="Arial" w:hAnsi="Arial" w:cs="Arial"/>
            <w:bCs/>
            <w:sz w:val="20"/>
            <w:szCs w:val="20"/>
          </w:rPr>
          <w:t>https://doi.org/10.1016/j.cogsc.2020.1000426</w:t>
        </w:r>
      </w:hyperlink>
      <w:r>
        <w:rPr>
          <w:rFonts w:ascii="Arial" w:hAnsi="Arial" w:cs="Arial"/>
          <w:bCs/>
          <w:sz w:val="20"/>
          <w:szCs w:val="20"/>
        </w:rPr>
        <w:t>.</w:t>
      </w:r>
    </w:p>
    <w:p w14:paraId="4378C075" w14:textId="0179EFAA" w:rsidR="00F24789" w:rsidRPr="00F24789" w:rsidRDefault="00F24789" w:rsidP="00884305">
      <w:pPr>
        <w:pStyle w:val="ListParagraph"/>
        <w:numPr>
          <w:ilvl w:val="0"/>
          <w:numId w:val="2"/>
        </w:numPr>
        <w:rPr>
          <w:rFonts w:ascii="Arial" w:hAnsi="Arial" w:cs="Arial"/>
          <w:bCs/>
          <w:sz w:val="20"/>
          <w:szCs w:val="20"/>
        </w:rPr>
      </w:pPr>
      <w:bookmarkStart w:id="40" w:name="_Hlk215768337"/>
      <w:r w:rsidRPr="00F24789">
        <w:rPr>
          <w:rFonts w:ascii="Arial" w:hAnsi="Arial" w:cs="Arial"/>
          <w:bCs/>
          <w:sz w:val="20"/>
          <w:szCs w:val="20"/>
        </w:rPr>
        <w:t>Kundu</w:t>
      </w:r>
      <w:bookmarkEnd w:id="40"/>
      <w:r w:rsidRPr="00F24789">
        <w:rPr>
          <w:rFonts w:ascii="Arial" w:hAnsi="Arial" w:cs="Arial"/>
          <w:bCs/>
          <w:sz w:val="20"/>
          <w:szCs w:val="20"/>
        </w:rPr>
        <w:t>, D., Hosseini Vajargah, S., Wan, L., Adams, B., Prendergast D. &amp; Nazar</w:t>
      </w:r>
      <w:r>
        <w:rPr>
          <w:rFonts w:ascii="Arial" w:hAnsi="Arial" w:cs="Arial"/>
          <w:bCs/>
          <w:sz w:val="20"/>
          <w:szCs w:val="20"/>
        </w:rPr>
        <w:t>,</w:t>
      </w:r>
      <w:r w:rsidRPr="00F24789">
        <w:rPr>
          <w:rFonts w:ascii="Arial" w:hAnsi="Arial" w:cs="Arial"/>
          <w:bCs/>
          <w:sz w:val="20"/>
          <w:szCs w:val="20"/>
        </w:rPr>
        <w:t xml:space="preserve"> LF</w:t>
      </w:r>
      <w:r>
        <w:rPr>
          <w:rFonts w:ascii="Arial" w:hAnsi="Arial" w:cs="Arial"/>
          <w:bCs/>
          <w:sz w:val="20"/>
          <w:szCs w:val="20"/>
        </w:rPr>
        <w:t>. (</w:t>
      </w:r>
      <w:r w:rsidRPr="00F24789">
        <w:rPr>
          <w:rFonts w:ascii="Arial" w:hAnsi="Arial" w:cs="Arial"/>
          <w:bCs/>
          <w:sz w:val="20"/>
          <w:szCs w:val="20"/>
        </w:rPr>
        <w:t>2018</w:t>
      </w:r>
      <w:r>
        <w:rPr>
          <w:rFonts w:ascii="Arial" w:hAnsi="Arial" w:cs="Arial"/>
          <w:bCs/>
          <w:sz w:val="20"/>
          <w:szCs w:val="20"/>
        </w:rPr>
        <w:t>).</w:t>
      </w:r>
      <w:r w:rsidRPr="00F24789">
        <w:rPr>
          <w:rFonts w:ascii="Arial" w:hAnsi="Arial" w:cs="Arial"/>
          <w:bCs/>
          <w:sz w:val="20"/>
          <w:szCs w:val="20"/>
        </w:rPr>
        <w:t xml:space="preserve"> Energy Environ Sci</w:t>
      </w:r>
      <w:r>
        <w:rPr>
          <w:rFonts w:ascii="Arial" w:hAnsi="Arial" w:cs="Arial"/>
          <w:bCs/>
          <w:sz w:val="20"/>
          <w:szCs w:val="20"/>
        </w:rPr>
        <w:t>.</w:t>
      </w:r>
      <w:r w:rsidRPr="00F24789">
        <w:rPr>
          <w:rFonts w:ascii="Arial" w:hAnsi="Arial" w:cs="Arial"/>
          <w:bCs/>
          <w:sz w:val="20"/>
          <w:szCs w:val="20"/>
        </w:rPr>
        <w:t xml:space="preserve"> 11</w:t>
      </w:r>
      <w:r>
        <w:rPr>
          <w:rFonts w:ascii="Arial" w:hAnsi="Arial" w:cs="Arial"/>
          <w:bCs/>
          <w:sz w:val="20"/>
          <w:szCs w:val="20"/>
        </w:rPr>
        <w:t xml:space="preserve">, </w:t>
      </w:r>
      <w:r w:rsidRPr="00F24789">
        <w:rPr>
          <w:rFonts w:ascii="Arial" w:hAnsi="Arial" w:cs="Arial"/>
          <w:bCs/>
          <w:sz w:val="20"/>
          <w:szCs w:val="20"/>
        </w:rPr>
        <w:t>881–892.</w:t>
      </w:r>
    </w:p>
    <w:p w14:paraId="26F83A4D" w14:textId="4AA82E80" w:rsidR="00797958" w:rsidRDefault="005A3F4D" w:rsidP="00797958">
      <w:pPr>
        <w:pStyle w:val="ListParagraph"/>
        <w:numPr>
          <w:ilvl w:val="0"/>
          <w:numId w:val="2"/>
        </w:numPr>
        <w:rPr>
          <w:rFonts w:ascii="Arial" w:hAnsi="Arial" w:cs="Arial"/>
          <w:bCs/>
          <w:sz w:val="20"/>
          <w:szCs w:val="20"/>
        </w:rPr>
      </w:pPr>
      <w:r w:rsidRPr="005A3F4D">
        <w:rPr>
          <w:rFonts w:ascii="Arial" w:hAnsi="Arial" w:cs="Arial"/>
          <w:bCs/>
          <w:sz w:val="20"/>
          <w:szCs w:val="20"/>
        </w:rPr>
        <w:t>Rajput N</w:t>
      </w:r>
      <w:r w:rsidR="00797958">
        <w:rPr>
          <w:rFonts w:ascii="Arial" w:hAnsi="Arial" w:cs="Arial"/>
          <w:bCs/>
          <w:sz w:val="20"/>
          <w:szCs w:val="20"/>
        </w:rPr>
        <w:t>.</w:t>
      </w:r>
      <w:r w:rsidRPr="005A3F4D">
        <w:rPr>
          <w:rFonts w:ascii="Arial" w:hAnsi="Arial" w:cs="Arial"/>
          <w:bCs/>
          <w:sz w:val="20"/>
          <w:szCs w:val="20"/>
        </w:rPr>
        <w:t>N</w:t>
      </w:r>
      <w:r w:rsidR="00797958">
        <w:rPr>
          <w:rFonts w:ascii="Arial" w:hAnsi="Arial" w:cs="Arial"/>
          <w:bCs/>
          <w:sz w:val="20"/>
          <w:szCs w:val="20"/>
        </w:rPr>
        <w:t>.</w:t>
      </w:r>
      <w:r w:rsidRPr="005A3F4D">
        <w:rPr>
          <w:rFonts w:ascii="Arial" w:hAnsi="Arial" w:cs="Arial"/>
          <w:bCs/>
          <w:sz w:val="20"/>
          <w:szCs w:val="20"/>
        </w:rPr>
        <w:t>, Seguin</w:t>
      </w:r>
      <w:r w:rsidR="00797958">
        <w:rPr>
          <w:rFonts w:ascii="Arial" w:hAnsi="Arial" w:cs="Arial"/>
          <w:bCs/>
          <w:sz w:val="20"/>
          <w:szCs w:val="20"/>
        </w:rPr>
        <w:t>,</w:t>
      </w:r>
      <w:r w:rsidRPr="005A3F4D">
        <w:rPr>
          <w:rFonts w:ascii="Arial" w:hAnsi="Arial" w:cs="Arial"/>
          <w:bCs/>
          <w:sz w:val="20"/>
          <w:szCs w:val="20"/>
        </w:rPr>
        <w:t xml:space="preserve"> T</w:t>
      </w:r>
      <w:r w:rsidR="00027454">
        <w:rPr>
          <w:rFonts w:ascii="Arial" w:hAnsi="Arial" w:cs="Arial"/>
          <w:bCs/>
          <w:sz w:val="20"/>
          <w:szCs w:val="20"/>
        </w:rPr>
        <w:t>.</w:t>
      </w:r>
      <w:r w:rsidRPr="005A3F4D">
        <w:rPr>
          <w:rFonts w:ascii="Arial" w:hAnsi="Arial" w:cs="Arial"/>
          <w:bCs/>
          <w:sz w:val="20"/>
          <w:szCs w:val="20"/>
        </w:rPr>
        <w:t>J</w:t>
      </w:r>
      <w:r w:rsidR="00027454">
        <w:rPr>
          <w:rFonts w:ascii="Arial" w:hAnsi="Arial" w:cs="Arial"/>
          <w:bCs/>
          <w:sz w:val="20"/>
          <w:szCs w:val="20"/>
        </w:rPr>
        <w:t>.</w:t>
      </w:r>
      <w:r w:rsidRPr="005A3F4D">
        <w:rPr>
          <w:rFonts w:ascii="Arial" w:hAnsi="Arial" w:cs="Arial"/>
          <w:bCs/>
          <w:sz w:val="20"/>
          <w:szCs w:val="20"/>
        </w:rPr>
        <w:t>, Wood</w:t>
      </w:r>
      <w:r w:rsidR="00027454">
        <w:rPr>
          <w:rFonts w:ascii="Arial" w:hAnsi="Arial" w:cs="Arial"/>
          <w:bCs/>
          <w:sz w:val="20"/>
          <w:szCs w:val="20"/>
        </w:rPr>
        <w:t>,</w:t>
      </w:r>
      <w:r w:rsidRPr="005A3F4D">
        <w:rPr>
          <w:rFonts w:ascii="Arial" w:hAnsi="Arial" w:cs="Arial"/>
          <w:bCs/>
          <w:sz w:val="20"/>
          <w:szCs w:val="20"/>
        </w:rPr>
        <w:t xml:space="preserve"> B</w:t>
      </w:r>
      <w:r w:rsidR="00027454">
        <w:rPr>
          <w:rFonts w:ascii="Arial" w:hAnsi="Arial" w:cs="Arial"/>
          <w:bCs/>
          <w:sz w:val="20"/>
          <w:szCs w:val="20"/>
        </w:rPr>
        <w:t>.</w:t>
      </w:r>
      <w:r w:rsidRPr="005A3F4D">
        <w:rPr>
          <w:rFonts w:ascii="Arial" w:hAnsi="Arial" w:cs="Arial"/>
          <w:bCs/>
          <w:sz w:val="20"/>
          <w:szCs w:val="20"/>
        </w:rPr>
        <w:t>M</w:t>
      </w:r>
      <w:r w:rsidR="00027454">
        <w:rPr>
          <w:rFonts w:ascii="Arial" w:hAnsi="Arial" w:cs="Arial"/>
          <w:bCs/>
          <w:sz w:val="20"/>
          <w:szCs w:val="20"/>
        </w:rPr>
        <w:t>.</w:t>
      </w:r>
      <w:r w:rsidRPr="005A3F4D">
        <w:rPr>
          <w:rFonts w:ascii="Arial" w:hAnsi="Arial" w:cs="Arial"/>
          <w:bCs/>
          <w:sz w:val="20"/>
          <w:szCs w:val="20"/>
        </w:rPr>
        <w:t>, Qu</w:t>
      </w:r>
      <w:r w:rsidR="00027454">
        <w:rPr>
          <w:rFonts w:ascii="Arial" w:hAnsi="Arial" w:cs="Arial"/>
          <w:bCs/>
          <w:sz w:val="20"/>
          <w:szCs w:val="20"/>
        </w:rPr>
        <w:t>,</w:t>
      </w:r>
      <w:r w:rsidRPr="005A3F4D">
        <w:rPr>
          <w:rFonts w:ascii="Arial" w:hAnsi="Arial" w:cs="Arial"/>
          <w:bCs/>
          <w:sz w:val="20"/>
          <w:szCs w:val="20"/>
        </w:rPr>
        <w:t xml:space="preserve"> X</w:t>
      </w:r>
      <w:r w:rsidR="00027454">
        <w:rPr>
          <w:rFonts w:ascii="Arial" w:hAnsi="Arial" w:cs="Arial"/>
          <w:bCs/>
          <w:sz w:val="20"/>
          <w:szCs w:val="20"/>
        </w:rPr>
        <w:t xml:space="preserve">. &amp; </w:t>
      </w:r>
      <w:r w:rsidRPr="005A3F4D">
        <w:rPr>
          <w:rFonts w:ascii="Arial" w:hAnsi="Arial" w:cs="Arial"/>
          <w:bCs/>
          <w:sz w:val="20"/>
          <w:szCs w:val="20"/>
        </w:rPr>
        <w:t>Persson</w:t>
      </w:r>
      <w:r w:rsidR="00027454">
        <w:rPr>
          <w:rFonts w:ascii="Arial" w:hAnsi="Arial" w:cs="Arial"/>
          <w:bCs/>
          <w:sz w:val="20"/>
          <w:szCs w:val="20"/>
        </w:rPr>
        <w:t>,</w:t>
      </w:r>
      <w:r w:rsidRPr="005A3F4D">
        <w:rPr>
          <w:rFonts w:ascii="Arial" w:hAnsi="Arial" w:cs="Arial"/>
          <w:bCs/>
          <w:sz w:val="20"/>
          <w:szCs w:val="20"/>
        </w:rPr>
        <w:t xml:space="preserve"> K</w:t>
      </w:r>
      <w:r w:rsidR="00027454">
        <w:rPr>
          <w:rFonts w:ascii="Arial" w:hAnsi="Arial" w:cs="Arial"/>
          <w:bCs/>
          <w:sz w:val="20"/>
          <w:szCs w:val="20"/>
        </w:rPr>
        <w:t>.</w:t>
      </w:r>
      <w:r w:rsidRPr="005A3F4D">
        <w:rPr>
          <w:rFonts w:ascii="Arial" w:hAnsi="Arial" w:cs="Arial"/>
          <w:bCs/>
          <w:sz w:val="20"/>
          <w:szCs w:val="20"/>
        </w:rPr>
        <w:t>A</w:t>
      </w:r>
      <w:r w:rsidR="00797958">
        <w:rPr>
          <w:rFonts w:ascii="Arial" w:hAnsi="Arial" w:cs="Arial"/>
          <w:bCs/>
          <w:sz w:val="20"/>
          <w:szCs w:val="20"/>
        </w:rPr>
        <w:t xml:space="preserve">. (2018). </w:t>
      </w:r>
      <w:r w:rsidR="00797958" w:rsidRPr="00797958">
        <w:rPr>
          <w:rFonts w:ascii="Arial" w:hAnsi="Arial" w:cs="Arial"/>
          <w:bCs/>
          <w:sz w:val="20"/>
          <w:szCs w:val="20"/>
        </w:rPr>
        <w:t>Elucidating Solvation Structures for Rational Design of Multivalent Electrolytes—A Review</w:t>
      </w:r>
      <w:r w:rsidR="00797958">
        <w:rPr>
          <w:rFonts w:ascii="Arial" w:hAnsi="Arial" w:cs="Arial"/>
          <w:bCs/>
          <w:sz w:val="20"/>
          <w:szCs w:val="20"/>
        </w:rPr>
        <w:t xml:space="preserve">. </w:t>
      </w:r>
      <w:r w:rsidR="00797958" w:rsidRPr="00797958">
        <w:rPr>
          <w:rFonts w:ascii="Arial" w:hAnsi="Arial" w:cs="Arial"/>
          <w:bCs/>
          <w:i/>
          <w:iCs/>
          <w:sz w:val="20"/>
          <w:szCs w:val="20"/>
        </w:rPr>
        <w:t>Topics in Current Chemistry</w:t>
      </w:r>
      <w:r w:rsidR="00797958">
        <w:rPr>
          <w:rFonts w:ascii="Arial" w:hAnsi="Arial" w:cs="Arial"/>
          <w:bCs/>
          <w:sz w:val="20"/>
          <w:szCs w:val="20"/>
        </w:rPr>
        <w:t xml:space="preserve">. 376, 19. </w:t>
      </w:r>
    </w:p>
    <w:p w14:paraId="310CD15F" w14:textId="707D4090" w:rsidR="0074283D" w:rsidRPr="0074283D" w:rsidRDefault="0074283D" w:rsidP="0074283D">
      <w:pPr>
        <w:pStyle w:val="ListParagraph"/>
        <w:numPr>
          <w:ilvl w:val="0"/>
          <w:numId w:val="2"/>
        </w:numPr>
        <w:rPr>
          <w:rFonts w:ascii="Arial" w:hAnsi="Arial" w:cs="Arial"/>
          <w:bCs/>
          <w:sz w:val="20"/>
          <w:szCs w:val="20"/>
        </w:rPr>
      </w:pPr>
      <w:r w:rsidRPr="0074283D">
        <w:rPr>
          <w:rFonts w:ascii="Arial" w:hAnsi="Arial" w:cs="Arial"/>
          <w:bCs/>
          <w:sz w:val="20"/>
          <w:szCs w:val="20"/>
        </w:rPr>
        <w:t>Shang, W., Yu, W., Liu, Y., Li, R., Dai, Y., Cheng, C., Tan, P., &amp; Ni, M. (2020). Rechargeable alkaline zinc batteries: Progress and challenges. Energy Storage Materials. 31, 44–57.</w:t>
      </w:r>
    </w:p>
    <w:p w14:paraId="2E594964" w14:textId="48386760" w:rsidR="007C4D37" w:rsidRDefault="004E6433" w:rsidP="0050661C">
      <w:pPr>
        <w:pStyle w:val="ListParagraph"/>
        <w:numPr>
          <w:ilvl w:val="0"/>
          <w:numId w:val="2"/>
        </w:numPr>
        <w:rPr>
          <w:rFonts w:ascii="Arial" w:hAnsi="Arial" w:cs="Arial"/>
          <w:bCs/>
          <w:sz w:val="20"/>
          <w:szCs w:val="20"/>
        </w:rPr>
      </w:pPr>
      <w:r w:rsidRPr="004E6433">
        <w:rPr>
          <w:rFonts w:ascii="Arial" w:hAnsi="Arial" w:cs="Arial"/>
          <w:bCs/>
          <w:sz w:val="20"/>
          <w:szCs w:val="20"/>
        </w:rPr>
        <w:t xml:space="preserve">Yuan, </w:t>
      </w:r>
      <w:r w:rsidR="007C4D37" w:rsidRPr="004E6433">
        <w:rPr>
          <w:rFonts w:ascii="Arial" w:hAnsi="Arial" w:cs="Arial"/>
          <w:bCs/>
          <w:sz w:val="20"/>
          <w:szCs w:val="20"/>
        </w:rPr>
        <w:t xml:space="preserve">L., </w:t>
      </w:r>
      <w:r w:rsidRPr="004E6433">
        <w:rPr>
          <w:rFonts w:ascii="Arial" w:hAnsi="Arial" w:cs="Arial"/>
          <w:bCs/>
          <w:sz w:val="20"/>
          <w:szCs w:val="20"/>
        </w:rPr>
        <w:t xml:space="preserve">Hao, </w:t>
      </w:r>
      <w:r w:rsidR="007C4D37" w:rsidRPr="004E6433">
        <w:rPr>
          <w:rFonts w:ascii="Arial" w:hAnsi="Arial" w:cs="Arial"/>
          <w:bCs/>
          <w:sz w:val="20"/>
          <w:szCs w:val="20"/>
        </w:rPr>
        <w:t>J.</w:t>
      </w:r>
      <w:r w:rsidRPr="004E6433">
        <w:rPr>
          <w:rFonts w:ascii="Arial" w:hAnsi="Arial" w:cs="Arial"/>
          <w:bCs/>
          <w:sz w:val="20"/>
          <w:szCs w:val="20"/>
        </w:rPr>
        <w:t>,</w:t>
      </w:r>
      <w:r w:rsidR="007C4D37" w:rsidRPr="004E6433">
        <w:rPr>
          <w:rFonts w:ascii="Arial" w:hAnsi="Arial" w:cs="Arial"/>
          <w:bCs/>
          <w:sz w:val="20"/>
          <w:szCs w:val="20"/>
        </w:rPr>
        <w:t xml:space="preserve"> </w:t>
      </w:r>
      <w:r w:rsidRPr="004E6433">
        <w:rPr>
          <w:rFonts w:ascii="Arial" w:hAnsi="Arial" w:cs="Arial"/>
          <w:bCs/>
          <w:sz w:val="20"/>
          <w:szCs w:val="20"/>
        </w:rPr>
        <w:t xml:space="preserve">Kao, </w:t>
      </w:r>
      <w:r w:rsidR="007C4D37" w:rsidRPr="004E6433">
        <w:rPr>
          <w:rFonts w:ascii="Arial" w:hAnsi="Arial" w:cs="Arial"/>
          <w:bCs/>
          <w:sz w:val="20"/>
          <w:szCs w:val="20"/>
        </w:rPr>
        <w:t>C.-C.  C.</w:t>
      </w:r>
      <w:r w:rsidRPr="004E6433">
        <w:rPr>
          <w:rFonts w:ascii="Arial" w:hAnsi="Arial" w:cs="Arial"/>
          <w:bCs/>
          <w:sz w:val="20"/>
          <w:szCs w:val="20"/>
        </w:rPr>
        <w:t xml:space="preserve">, </w:t>
      </w:r>
      <w:r w:rsidR="007C4D37" w:rsidRPr="004E6433">
        <w:rPr>
          <w:rFonts w:ascii="Arial" w:hAnsi="Arial" w:cs="Arial"/>
          <w:bCs/>
          <w:sz w:val="20"/>
          <w:szCs w:val="20"/>
        </w:rPr>
        <w:t xml:space="preserve">Wu, </w:t>
      </w:r>
      <w:r w:rsidRPr="004E6433">
        <w:rPr>
          <w:rFonts w:ascii="Arial" w:hAnsi="Arial" w:cs="Arial"/>
          <w:bCs/>
          <w:sz w:val="20"/>
          <w:szCs w:val="20"/>
        </w:rPr>
        <w:t xml:space="preserve">C., </w:t>
      </w:r>
      <w:r w:rsidR="007C4D37" w:rsidRPr="004E6433">
        <w:rPr>
          <w:rFonts w:ascii="Arial" w:hAnsi="Arial" w:cs="Arial"/>
          <w:bCs/>
          <w:sz w:val="20"/>
          <w:szCs w:val="20"/>
        </w:rPr>
        <w:t xml:space="preserve">Liu, </w:t>
      </w:r>
      <w:r w:rsidRPr="004E6433">
        <w:rPr>
          <w:rFonts w:ascii="Arial" w:hAnsi="Arial" w:cs="Arial"/>
          <w:bCs/>
          <w:sz w:val="20"/>
          <w:szCs w:val="20"/>
        </w:rPr>
        <w:t xml:space="preserve">H.-K., </w:t>
      </w:r>
      <w:r w:rsidR="007C4D37" w:rsidRPr="004E6433">
        <w:rPr>
          <w:rFonts w:ascii="Arial" w:hAnsi="Arial" w:cs="Arial"/>
          <w:bCs/>
          <w:sz w:val="20"/>
          <w:szCs w:val="20"/>
        </w:rPr>
        <w:t>Dou, S.-</w:t>
      </w:r>
      <w:r w:rsidRPr="004E6433">
        <w:rPr>
          <w:rFonts w:ascii="Arial" w:hAnsi="Arial" w:cs="Arial"/>
          <w:bCs/>
          <w:sz w:val="20"/>
          <w:szCs w:val="20"/>
        </w:rPr>
        <w:t>X</w:t>
      </w:r>
      <w:r w:rsidR="007C4D37" w:rsidRPr="004E6433">
        <w:rPr>
          <w:rFonts w:ascii="Arial" w:hAnsi="Arial" w:cs="Arial"/>
          <w:bCs/>
          <w:sz w:val="20"/>
          <w:szCs w:val="20"/>
        </w:rPr>
        <w:t xml:space="preserve">. </w:t>
      </w:r>
      <w:r w:rsidRPr="004E6433">
        <w:rPr>
          <w:rFonts w:ascii="Arial" w:hAnsi="Arial" w:cs="Arial"/>
          <w:bCs/>
          <w:sz w:val="20"/>
          <w:szCs w:val="20"/>
        </w:rPr>
        <w:t xml:space="preserve">and </w:t>
      </w:r>
      <w:r w:rsidR="007C4D37" w:rsidRPr="004E6433">
        <w:rPr>
          <w:rFonts w:ascii="Arial" w:hAnsi="Arial" w:cs="Arial"/>
          <w:bCs/>
          <w:sz w:val="20"/>
          <w:szCs w:val="20"/>
        </w:rPr>
        <w:t xml:space="preserve">Qiao, </w:t>
      </w:r>
      <w:r w:rsidRPr="004E6433">
        <w:rPr>
          <w:rFonts w:ascii="Arial" w:hAnsi="Arial" w:cs="Arial"/>
          <w:bCs/>
          <w:sz w:val="20"/>
          <w:szCs w:val="20"/>
        </w:rPr>
        <w:t xml:space="preserve">S. Z. </w:t>
      </w:r>
      <w:r>
        <w:rPr>
          <w:rFonts w:ascii="Arial" w:hAnsi="Arial" w:cs="Arial"/>
          <w:bCs/>
          <w:sz w:val="20"/>
          <w:szCs w:val="20"/>
        </w:rPr>
        <w:t>(</w:t>
      </w:r>
      <w:r w:rsidRPr="004E6433">
        <w:rPr>
          <w:rFonts w:ascii="Arial" w:hAnsi="Arial" w:cs="Arial"/>
          <w:bCs/>
          <w:sz w:val="20"/>
          <w:szCs w:val="20"/>
        </w:rPr>
        <w:t>202</w:t>
      </w:r>
      <w:r>
        <w:rPr>
          <w:rFonts w:ascii="Arial" w:hAnsi="Arial" w:cs="Arial"/>
          <w:bCs/>
          <w:sz w:val="20"/>
          <w:szCs w:val="20"/>
        </w:rPr>
        <w:t xml:space="preserve">1). </w:t>
      </w:r>
      <w:r w:rsidRPr="004E6433">
        <w:rPr>
          <w:rFonts w:ascii="Arial" w:hAnsi="Arial" w:cs="Arial"/>
          <w:sz w:val="20"/>
          <w:szCs w:val="20"/>
        </w:rPr>
        <w:t xml:space="preserve">Regulation methods for the Zn/electrolyte interphase and the effectiveness evaluation in aqueous Zn-ion batteries. </w:t>
      </w:r>
      <w:r w:rsidR="007C4D37" w:rsidRPr="004E6433">
        <w:rPr>
          <w:rFonts w:ascii="Arial" w:hAnsi="Arial" w:cs="Arial"/>
          <w:bCs/>
          <w:i/>
          <w:iCs/>
          <w:sz w:val="20"/>
          <w:szCs w:val="20"/>
        </w:rPr>
        <w:t xml:space="preserve">Energy </w:t>
      </w:r>
      <w:r>
        <w:rPr>
          <w:rFonts w:ascii="Arial" w:hAnsi="Arial" w:cs="Arial"/>
          <w:bCs/>
          <w:i/>
          <w:iCs/>
          <w:sz w:val="20"/>
          <w:szCs w:val="20"/>
        </w:rPr>
        <w:t xml:space="preserve">&amp; </w:t>
      </w:r>
      <w:r w:rsidR="007C4D37" w:rsidRPr="004E6433">
        <w:rPr>
          <w:rFonts w:ascii="Arial" w:hAnsi="Arial" w:cs="Arial"/>
          <w:bCs/>
          <w:i/>
          <w:iCs/>
          <w:sz w:val="20"/>
          <w:szCs w:val="20"/>
        </w:rPr>
        <w:t>Environ</w:t>
      </w:r>
      <w:r>
        <w:rPr>
          <w:rFonts w:ascii="Arial" w:hAnsi="Arial" w:cs="Arial"/>
          <w:bCs/>
          <w:i/>
          <w:iCs/>
          <w:sz w:val="20"/>
          <w:szCs w:val="20"/>
        </w:rPr>
        <w:t>mental</w:t>
      </w:r>
      <w:r w:rsidR="007C4D37" w:rsidRPr="004E6433">
        <w:rPr>
          <w:rFonts w:ascii="Arial" w:hAnsi="Arial" w:cs="Arial"/>
          <w:bCs/>
          <w:i/>
          <w:iCs/>
          <w:sz w:val="20"/>
          <w:szCs w:val="20"/>
        </w:rPr>
        <w:t xml:space="preserve"> Sci</w:t>
      </w:r>
      <w:r>
        <w:rPr>
          <w:rFonts w:ascii="Arial" w:hAnsi="Arial" w:cs="Arial"/>
          <w:bCs/>
          <w:i/>
          <w:iCs/>
          <w:sz w:val="20"/>
          <w:szCs w:val="20"/>
        </w:rPr>
        <w:t>ence</w:t>
      </w:r>
      <w:r w:rsidR="007C4D37" w:rsidRPr="004E6433">
        <w:rPr>
          <w:rFonts w:ascii="Arial" w:hAnsi="Arial" w:cs="Arial"/>
          <w:bCs/>
          <w:sz w:val="20"/>
          <w:szCs w:val="20"/>
        </w:rPr>
        <w:t>. 14</w:t>
      </w:r>
      <w:r w:rsidRPr="004E6433">
        <w:rPr>
          <w:rFonts w:ascii="Arial" w:hAnsi="Arial" w:cs="Arial"/>
          <w:bCs/>
          <w:sz w:val="20"/>
          <w:szCs w:val="20"/>
        </w:rPr>
        <w:t>, 5669-5689</w:t>
      </w:r>
    </w:p>
    <w:p w14:paraId="36E29D73" w14:textId="3EFF2D39" w:rsidR="00240010" w:rsidRDefault="00240010" w:rsidP="00240010">
      <w:pPr>
        <w:pStyle w:val="ListParagraph"/>
        <w:numPr>
          <w:ilvl w:val="0"/>
          <w:numId w:val="2"/>
        </w:numPr>
        <w:rPr>
          <w:rFonts w:ascii="Arial" w:hAnsi="Arial" w:cs="Arial"/>
          <w:bCs/>
          <w:sz w:val="20"/>
          <w:szCs w:val="20"/>
        </w:rPr>
      </w:pPr>
      <w:r w:rsidRPr="00240010">
        <w:rPr>
          <w:rFonts w:ascii="Arial" w:hAnsi="Arial" w:cs="Arial"/>
          <w:bCs/>
          <w:sz w:val="20"/>
          <w:szCs w:val="20"/>
        </w:rPr>
        <w:t xml:space="preserve">Xue, T. &amp; Fan, H.J. (2021). From aqueous Zn-ion battery to Zn-MnO2 flow battery: A brief story. Journal of Energy Chemistry. 2021, 54,194–201. </w:t>
      </w:r>
    </w:p>
    <w:p w14:paraId="5E76C15E" w14:textId="7C98271C" w:rsidR="00292C77" w:rsidRPr="00240010" w:rsidRDefault="00292C77" w:rsidP="00240010">
      <w:pPr>
        <w:pStyle w:val="ListParagraph"/>
        <w:numPr>
          <w:ilvl w:val="0"/>
          <w:numId w:val="2"/>
        </w:numPr>
        <w:rPr>
          <w:rFonts w:ascii="Arial" w:hAnsi="Arial" w:cs="Arial"/>
          <w:bCs/>
          <w:sz w:val="20"/>
          <w:szCs w:val="20"/>
        </w:rPr>
      </w:pPr>
      <w:r>
        <w:rPr>
          <w:rFonts w:ascii="Arial" w:hAnsi="Arial" w:cs="Arial"/>
          <w:bCs/>
          <w:sz w:val="20"/>
          <w:szCs w:val="20"/>
        </w:rPr>
        <w:t>R. H. S</w:t>
      </w:r>
      <w:r w:rsidR="008A2061">
        <w:rPr>
          <w:rFonts w:ascii="Arial" w:hAnsi="Arial" w:cs="Arial"/>
          <w:bCs/>
          <w:sz w:val="20"/>
          <w:szCs w:val="20"/>
        </w:rPr>
        <w:t xml:space="preserve">tokes &amp; R. Mills (1965). </w:t>
      </w:r>
      <w:r w:rsidR="008A2061" w:rsidRPr="008A2061">
        <w:rPr>
          <w:rFonts w:ascii="Arial" w:hAnsi="Arial" w:cs="Arial"/>
          <w:bCs/>
          <w:sz w:val="20"/>
          <w:szCs w:val="20"/>
        </w:rPr>
        <w:t>The International Encyclopedia of Physical Chemistry and Chemical Physics,</w:t>
      </w:r>
      <w:r w:rsidR="008A2061">
        <w:rPr>
          <w:rFonts w:ascii="Arial" w:hAnsi="Arial" w:cs="Arial"/>
          <w:bCs/>
          <w:sz w:val="20"/>
          <w:szCs w:val="20"/>
        </w:rPr>
        <w:t xml:space="preserve"> </w:t>
      </w:r>
      <w:r w:rsidR="008A2061" w:rsidRPr="008A2061">
        <w:rPr>
          <w:rFonts w:ascii="Arial" w:hAnsi="Arial" w:cs="Arial"/>
          <w:bCs/>
          <w:sz w:val="20"/>
          <w:szCs w:val="20"/>
        </w:rPr>
        <w:t>London: Pergamon</w:t>
      </w:r>
      <w:r w:rsidR="008A2061">
        <w:rPr>
          <w:rFonts w:ascii="Arial" w:hAnsi="Arial" w:cs="Arial"/>
          <w:bCs/>
          <w:sz w:val="20"/>
          <w:szCs w:val="20"/>
        </w:rPr>
        <w:t>.</w:t>
      </w:r>
      <w:r w:rsidR="008A2061" w:rsidRPr="008A2061">
        <w:rPr>
          <w:rFonts w:ascii="Arial" w:hAnsi="Arial" w:cs="Arial"/>
          <w:bCs/>
          <w:sz w:val="20"/>
          <w:szCs w:val="20"/>
        </w:rPr>
        <w:t xml:space="preserve"> </w:t>
      </w:r>
    </w:p>
    <w:p w14:paraId="7871D8FE" w14:textId="429E761E" w:rsidR="00A72ED2" w:rsidRDefault="00A72ED2" w:rsidP="00A72ED2">
      <w:pPr>
        <w:rPr>
          <w:rFonts w:ascii="Arial" w:hAnsi="Arial" w:cs="Arial"/>
          <w:bCs/>
          <w:sz w:val="20"/>
          <w:szCs w:val="20"/>
        </w:rPr>
      </w:pPr>
    </w:p>
    <w:sectPr w:rsidR="00A72ED2">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F11B847" w14:textId="77777777" w:rsidR="00702B22" w:rsidRDefault="00702B22" w:rsidP="00BD3BE6">
      <w:pPr>
        <w:spacing w:after="0" w:line="240" w:lineRule="auto"/>
      </w:pPr>
      <w:r>
        <w:separator/>
      </w:r>
    </w:p>
  </w:endnote>
  <w:endnote w:type="continuationSeparator" w:id="0">
    <w:p w14:paraId="757DA5A9" w14:textId="77777777" w:rsidR="00702B22" w:rsidRDefault="00702B22" w:rsidP="00BD3B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750B06" w14:textId="77777777" w:rsidR="00BD3BE6" w:rsidRDefault="00BD3BE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0A5D19" w14:textId="77777777" w:rsidR="00BD3BE6" w:rsidRDefault="00BD3BE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7627C1" w14:textId="77777777" w:rsidR="00BD3BE6" w:rsidRDefault="00BD3BE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C63E451" w14:textId="77777777" w:rsidR="00702B22" w:rsidRDefault="00702B22" w:rsidP="00BD3BE6">
      <w:pPr>
        <w:spacing w:after="0" w:line="240" w:lineRule="auto"/>
      </w:pPr>
      <w:r>
        <w:separator/>
      </w:r>
    </w:p>
  </w:footnote>
  <w:footnote w:type="continuationSeparator" w:id="0">
    <w:p w14:paraId="3399B47A" w14:textId="77777777" w:rsidR="00702B22" w:rsidRDefault="00702B22" w:rsidP="00BD3BE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11F8EE" w14:textId="0961C521" w:rsidR="00BD3BE6" w:rsidRDefault="00BD3BE6">
    <w:pPr>
      <w:pStyle w:val="Header"/>
    </w:pPr>
    <w:r>
      <w:rPr>
        <w:noProof/>
      </w:rPr>
      <w:pict w14:anchorId="191D055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12687001"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2DCB87" w14:textId="2FF559DB" w:rsidR="00BD3BE6" w:rsidRDefault="00BD3BE6">
    <w:pPr>
      <w:pStyle w:val="Header"/>
    </w:pPr>
    <w:r>
      <w:rPr>
        <w:noProof/>
      </w:rPr>
      <w:pict w14:anchorId="0E24AC5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12687002"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F57F08" w14:textId="637005B0" w:rsidR="00BD3BE6" w:rsidRDefault="00BD3BE6">
    <w:pPr>
      <w:pStyle w:val="Header"/>
    </w:pPr>
    <w:r>
      <w:rPr>
        <w:noProof/>
      </w:rPr>
      <w:pict w14:anchorId="58D7A20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12687000"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F05372"/>
    <w:multiLevelType w:val="hybridMultilevel"/>
    <w:tmpl w:val="C8562F8E"/>
    <w:lvl w:ilvl="0" w:tplc="06901D6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79CB34A3"/>
    <w:multiLevelType w:val="hybridMultilevel"/>
    <w:tmpl w:val="6F2EACE8"/>
    <w:lvl w:ilvl="0" w:tplc="B430407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0845"/>
    <w:rsid w:val="00010E71"/>
    <w:rsid w:val="00025BA0"/>
    <w:rsid w:val="00027454"/>
    <w:rsid w:val="00035E63"/>
    <w:rsid w:val="000477FB"/>
    <w:rsid w:val="00050ACD"/>
    <w:rsid w:val="00063B2A"/>
    <w:rsid w:val="00065FAB"/>
    <w:rsid w:val="000735BF"/>
    <w:rsid w:val="00077CDA"/>
    <w:rsid w:val="000934C9"/>
    <w:rsid w:val="00093EE6"/>
    <w:rsid w:val="00097378"/>
    <w:rsid w:val="000B0A26"/>
    <w:rsid w:val="000B2974"/>
    <w:rsid w:val="000B5170"/>
    <w:rsid w:val="000C4B1C"/>
    <w:rsid w:val="000D23B2"/>
    <w:rsid w:val="000D3CA4"/>
    <w:rsid w:val="000D56B6"/>
    <w:rsid w:val="000D7360"/>
    <w:rsid w:val="000E031F"/>
    <w:rsid w:val="000E2B67"/>
    <w:rsid w:val="000F79B3"/>
    <w:rsid w:val="0010138D"/>
    <w:rsid w:val="00101780"/>
    <w:rsid w:val="00106289"/>
    <w:rsid w:val="00106782"/>
    <w:rsid w:val="00113307"/>
    <w:rsid w:val="00115AB7"/>
    <w:rsid w:val="0012102A"/>
    <w:rsid w:val="00136D2C"/>
    <w:rsid w:val="00151AE6"/>
    <w:rsid w:val="00165572"/>
    <w:rsid w:val="00165ACA"/>
    <w:rsid w:val="00165D90"/>
    <w:rsid w:val="001930AA"/>
    <w:rsid w:val="001975E9"/>
    <w:rsid w:val="001B06A0"/>
    <w:rsid w:val="001B23D4"/>
    <w:rsid w:val="001C64F0"/>
    <w:rsid w:val="001D1630"/>
    <w:rsid w:val="001F1C1B"/>
    <w:rsid w:val="002176DB"/>
    <w:rsid w:val="00222FCE"/>
    <w:rsid w:val="0023758E"/>
    <w:rsid w:val="00240010"/>
    <w:rsid w:val="00243064"/>
    <w:rsid w:val="002614D7"/>
    <w:rsid w:val="00262DDE"/>
    <w:rsid w:val="00271045"/>
    <w:rsid w:val="00277FA9"/>
    <w:rsid w:val="00281A3E"/>
    <w:rsid w:val="002914FD"/>
    <w:rsid w:val="00292C77"/>
    <w:rsid w:val="00294999"/>
    <w:rsid w:val="002C0CD3"/>
    <w:rsid w:val="002C6549"/>
    <w:rsid w:val="002C6C28"/>
    <w:rsid w:val="002C75D7"/>
    <w:rsid w:val="002E03D4"/>
    <w:rsid w:val="002E44BC"/>
    <w:rsid w:val="002E4B28"/>
    <w:rsid w:val="002E70DD"/>
    <w:rsid w:val="002F62A2"/>
    <w:rsid w:val="00312582"/>
    <w:rsid w:val="0031487D"/>
    <w:rsid w:val="00335F34"/>
    <w:rsid w:val="00341FA5"/>
    <w:rsid w:val="003559EA"/>
    <w:rsid w:val="0037665C"/>
    <w:rsid w:val="00380C51"/>
    <w:rsid w:val="003A29AE"/>
    <w:rsid w:val="003A6B5E"/>
    <w:rsid w:val="003B0CE9"/>
    <w:rsid w:val="003D396B"/>
    <w:rsid w:val="003D5DEA"/>
    <w:rsid w:val="003D5F24"/>
    <w:rsid w:val="003D69D8"/>
    <w:rsid w:val="003D6AE8"/>
    <w:rsid w:val="003D7D7E"/>
    <w:rsid w:val="003E687B"/>
    <w:rsid w:val="0040657F"/>
    <w:rsid w:val="004109FC"/>
    <w:rsid w:val="00413405"/>
    <w:rsid w:val="004220A6"/>
    <w:rsid w:val="00423F5F"/>
    <w:rsid w:val="00431C06"/>
    <w:rsid w:val="00437BEE"/>
    <w:rsid w:val="0044139E"/>
    <w:rsid w:val="0046145C"/>
    <w:rsid w:val="00470796"/>
    <w:rsid w:val="004961B4"/>
    <w:rsid w:val="004A3AE7"/>
    <w:rsid w:val="004B4251"/>
    <w:rsid w:val="004C0A33"/>
    <w:rsid w:val="004C4B3B"/>
    <w:rsid w:val="004E0AC7"/>
    <w:rsid w:val="004E2957"/>
    <w:rsid w:val="004E2A11"/>
    <w:rsid w:val="004E6433"/>
    <w:rsid w:val="004F0A3A"/>
    <w:rsid w:val="004F0BAC"/>
    <w:rsid w:val="004F0F35"/>
    <w:rsid w:val="004F282C"/>
    <w:rsid w:val="004F6C8C"/>
    <w:rsid w:val="00502C09"/>
    <w:rsid w:val="00510ED9"/>
    <w:rsid w:val="00533F47"/>
    <w:rsid w:val="0053633F"/>
    <w:rsid w:val="00551DB0"/>
    <w:rsid w:val="00583493"/>
    <w:rsid w:val="005842A7"/>
    <w:rsid w:val="005863D2"/>
    <w:rsid w:val="005A3F4D"/>
    <w:rsid w:val="005B0E61"/>
    <w:rsid w:val="005C1084"/>
    <w:rsid w:val="005C1FAE"/>
    <w:rsid w:val="005D4EBE"/>
    <w:rsid w:val="005E3344"/>
    <w:rsid w:val="005E423D"/>
    <w:rsid w:val="005E7BDD"/>
    <w:rsid w:val="005F0EA8"/>
    <w:rsid w:val="005F30CF"/>
    <w:rsid w:val="005F39CE"/>
    <w:rsid w:val="00602688"/>
    <w:rsid w:val="00606E92"/>
    <w:rsid w:val="006152D0"/>
    <w:rsid w:val="00621438"/>
    <w:rsid w:val="00625387"/>
    <w:rsid w:val="006253D6"/>
    <w:rsid w:val="00627C85"/>
    <w:rsid w:val="00635361"/>
    <w:rsid w:val="006362E3"/>
    <w:rsid w:val="0064729E"/>
    <w:rsid w:val="00671AEB"/>
    <w:rsid w:val="00671F43"/>
    <w:rsid w:val="00672E4B"/>
    <w:rsid w:val="006772ED"/>
    <w:rsid w:val="00680B49"/>
    <w:rsid w:val="00683DA4"/>
    <w:rsid w:val="006C09F1"/>
    <w:rsid w:val="006C143C"/>
    <w:rsid w:val="00702B22"/>
    <w:rsid w:val="007146E0"/>
    <w:rsid w:val="00714718"/>
    <w:rsid w:val="00717B25"/>
    <w:rsid w:val="00722AAC"/>
    <w:rsid w:val="00723FAC"/>
    <w:rsid w:val="007304E1"/>
    <w:rsid w:val="00732234"/>
    <w:rsid w:val="0073360D"/>
    <w:rsid w:val="007426B3"/>
    <w:rsid w:val="0074271E"/>
    <w:rsid w:val="0074283D"/>
    <w:rsid w:val="0074425F"/>
    <w:rsid w:val="00754A6B"/>
    <w:rsid w:val="00757F20"/>
    <w:rsid w:val="00763D6E"/>
    <w:rsid w:val="007645AF"/>
    <w:rsid w:val="00765664"/>
    <w:rsid w:val="00766678"/>
    <w:rsid w:val="007772CC"/>
    <w:rsid w:val="00782D66"/>
    <w:rsid w:val="00783874"/>
    <w:rsid w:val="0079451A"/>
    <w:rsid w:val="007953A0"/>
    <w:rsid w:val="00796A52"/>
    <w:rsid w:val="00797744"/>
    <w:rsid w:val="00797958"/>
    <w:rsid w:val="00797E3F"/>
    <w:rsid w:val="007C1FC5"/>
    <w:rsid w:val="007C4D37"/>
    <w:rsid w:val="007D2A43"/>
    <w:rsid w:val="007E157D"/>
    <w:rsid w:val="007E3236"/>
    <w:rsid w:val="007E6A1E"/>
    <w:rsid w:val="007F3B20"/>
    <w:rsid w:val="007F7CBD"/>
    <w:rsid w:val="00806D92"/>
    <w:rsid w:val="00807217"/>
    <w:rsid w:val="00810E29"/>
    <w:rsid w:val="008250B9"/>
    <w:rsid w:val="00835645"/>
    <w:rsid w:val="0083622A"/>
    <w:rsid w:val="0084305E"/>
    <w:rsid w:val="0085211E"/>
    <w:rsid w:val="00856812"/>
    <w:rsid w:val="00856A70"/>
    <w:rsid w:val="008571BB"/>
    <w:rsid w:val="00876CB4"/>
    <w:rsid w:val="00893FDA"/>
    <w:rsid w:val="008A2061"/>
    <w:rsid w:val="008A4389"/>
    <w:rsid w:val="00901C49"/>
    <w:rsid w:val="009023EA"/>
    <w:rsid w:val="0090613B"/>
    <w:rsid w:val="0091131B"/>
    <w:rsid w:val="00924ADE"/>
    <w:rsid w:val="009259D1"/>
    <w:rsid w:val="00927CE9"/>
    <w:rsid w:val="00931C0E"/>
    <w:rsid w:val="00931CDD"/>
    <w:rsid w:val="00934EDC"/>
    <w:rsid w:val="009460DF"/>
    <w:rsid w:val="00946A8A"/>
    <w:rsid w:val="0095227A"/>
    <w:rsid w:val="0096398F"/>
    <w:rsid w:val="0096630E"/>
    <w:rsid w:val="00974AF8"/>
    <w:rsid w:val="00982E05"/>
    <w:rsid w:val="009836DC"/>
    <w:rsid w:val="009868C4"/>
    <w:rsid w:val="00993FC6"/>
    <w:rsid w:val="009A129C"/>
    <w:rsid w:val="009E1668"/>
    <w:rsid w:val="009E322D"/>
    <w:rsid w:val="009E74A1"/>
    <w:rsid w:val="009F65A9"/>
    <w:rsid w:val="00A00845"/>
    <w:rsid w:val="00A01956"/>
    <w:rsid w:val="00A23334"/>
    <w:rsid w:val="00A25375"/>
    <w:rsid w:val="00A26769"/>
    <w:rsid w:val="00A3009F"/>
    <w:rsid w:val="00A3207D"/>
    <w:rsid w:val="00A4642F"/>
    <w:rsid w:val="00A514DC"/>
    <w:rsid w:val="00A5250B"/>
    <w:rsid w:val="00A7294B"/>
    <w:rsid w:val="00A72ED2"/>
    <w:rsid w:val="00A737B2"/>
    <w:rsid w:val="00A808AC"/>
    <w:rsid w:val="00A81949"/>
    <w:rsid w:val="00A82BA8"/>
    <w:rsid w:val="00A90131"/>
    <w:rsid w:val="00A9774E"/>
    <w:rsid w:val="00AA71D4"/>
    <w:rsid w:val="00AB0313"/>
    <w:rsid w:val="00AE1934"/>
    <w:rsid w:val="00AE60FD"/>
    <w:rsid w:val="00AF7120"/>
    <w:rsid w:val="00B15E2D"/>
    <w:rsid w:val="00B232B3"/>
    <w:rsid w:val="00B2579F"/>
    <w:rsid w:val="00B304D8"/>
    <w:rsid w:val="00B37ACE"/>
    <w:rsid w:val="00B55397"/>
    <w:rsid w:val="00B644BE"/>
    <w:rsid w:val="00B70786"/>
    <w:rsid w:val="00B77DE1"/>
    <w:rsid w:val="00B811B5"/>
    <w:rsid w:val="00B94B95"/>
    <w:rsid w:val="00BB08B3"/>
    <w:rsid w:val="00BC1452"/>
    <w:rsid w:val="00BD0894"/>
    <w:rsid w:val="00BD3BE6"/>
    <w:rsid w:val="00BF1044"/>
    <w:rsid w:val="00BF475E"/>
    <w:rsid w:val="00C04A9A"/>
    <w:rsid w:val="00C245D3"/>
    <w:rsid w:val="00C36ADC"/>
    <w:rsid w:val="00C41A24"/>
    <w:rsid w:val="00C45C9D"/>
    <w:rsid w:val="00C7045C"/>
    <w:rsid w:val="00C75E43"/>
    <w:rsid w:val="00CB7898"/>
    <w:rsid w:val="00CC4D10"/>
    <w:rsid w:val="00CC6C24"/>
    <w:rsid w:val="00CD35FA"/>
    <w:rsid w:val="00CE75EB"/>
    <w:rsid w:val="00CF724C"/>
    <w:rsid w:val="00CF7338"/>
    <w:rsid w:val="00D01DAB"/>
    <w:rsid w:val="00D105B7"/>
    <w:rsid w:val="00D1386C"/>
    <w:rsid w:val="00D17AEC"/>
    <w:rsid w:val="00D205EC"/>
    <w:rsid w:val="00D2261D"/>
    <w:rsid w:val="00D30168"/>
    <w:rsid w:val="00D318BF"/>
    <w:rsid w:val="00D34D62"/>
    <w:rsid w:val="00D40496"/>
    <w:rsid w:val="00D4439D"/>
    <w:rsid w:val="00D55418"/>
    <w:rsid w:val="00D6515D"/>
    <w:rsid w:val="00D72466"/>
    <w:rsid w:val="00D830A8"/>
    <w:rsid w:val="00D93711"/>
    <w:rsid w:val="00D940FE"/>
    <w:rsid w:val="00DA3114"/>
    <w:rsid w:val="00DB36EA"/>
    <w:rsid w:val="00DB3AD6"/>
    <w:rsid w:val="00DD44E2"/>
    <w:rsid w:val="00DF6595"/>
    <w:rsid w:val="00E003D0"/>
    <w:rsid w:val="00E1416D"/>
    <w:rsid w:val="00E304AB"/>
    <w:rsid w:val="00E36777"/>
    <w:rsid w:val="00E469DC"/>
    <w:rsid w:val="00E47858"/>
    <w:rsid w:val="00E55447"/>
    <w:rsid w:val="00E566F3"/>
    <w:rsid w:val="00E648FF"/>
    <w:rsid w:val="00E678C1"/>
    <w:rsid w:val="00E805B1"/>
    <w:rsid w:val="00E8268E"/>
    <w:rsid w:val="00E86BAB"/>
    <w:rsid w:val="00E914A5"/>
    <w:rsid w:val="00E97E76"/>
    <w:rsid w:val="00EA79AE"/>
    <w:rsid w:val="00EB5C50"/>
    <w:rsid w:val="00EB660C"/>
    <w:rsid w:val="00ED0C19"/>
    <w:rsid w:val="00ED5BA8"/>
    <w:rsid w:val="00EE3866"/>
    <w:rsid w:val="00EE3A7C"/>
    <w:rsid w:val="00EE6ABB"/>
    <w:rsid w:val="00EF11E1"/>
    <w:rsid w:val="00F00FDE"/>
    <w:rsid w:val="00F220A1"/>
    <w:rsid w:val="00F22DE6"/>
    <w:rsid w:val="00F243D9"/>
    <w:rsid w:val="00F24789"/>
    <w:rsid w:val="00F37C24"/>
    <w:rsid w:val="00F4251E"/>
    <w:rsid w:val="00F47FA1"/>
    <w:rsid w:val="00F54AA1"/>
    <w:rsid w:val="00F5578E"/>
    <w:rsid w:val="00F63F4C"/>
    <w:rsid w:val="00FB39B6"/>
    <w:rsid w:val="00FE0679"/>
    <w:rsid w:val="00FE6EA9"/>
    <w:rsid w:val="00FE78FE"/>
    <w:rsid w:val="00FF54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4825BEE"/>
  <w15:chartTrackingRefBased/>
  <w15:docId w15:val="{BBCE2CE0-6553-4548-AF3B-D299BFABB0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77CDA"/>
    <w:pPr>
      <w:spacing w:after="160" w:line="259" w:lineRule="auto"/>
    </w:pPr>
    <w:rPr>
      <w:rFonts w:ascii="Calibri" w:eastAsia="Calibri" w:hAnsi="Calibri" w:cs="Times New Roman"/>
    </w:rPr>
  </w:style>
  <w:style w:type="paragraph" w:styleId="Heading1">
    <w:name w:val="heading 1"/>
    <w:basedOn w:val="Normal"/>
    <w:next w:val="Normal"/>
    <w:link w:val="Heading1Char"/>
    <w:uiPriority w:val="9"/>
    <w:qFormat/>
    <w:rsid w:val="002E44BC"/>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4E6433"/>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533F47"/>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35F34"/>
    <w:rPr>
      <w:color w:val="808080"/>
    </w:rPr>
  </w:style>
  <w:style w:type="character" w:styleId="Hyperlink">
    <w:name w:val="Hyperlink"/>
    <w:basedOn w:val="DefaultParagraphFont"/>
    <w:uiPriority w:val="99"/>
    <w:unhideWhenUsed/>
    <w:rsid w:val="002C0CD3"/>
    <w:rPr>
      <w:color w:val="0000FF" w:themeColor="hyperlink"/>
      <w:u w:val="single"/>
    </w:rPr>
  </w:style>
  <w:style w:type="character" w:styleId="UnresolvedMention">
    <w:name w:val="Unresolved Mention"/>
    <w:basedOn w:val="DefaultParagraphFont"/>
    <w:uiPriority w:val="99"/>
    <w:semiHidden/>
    <w:unhideWhenUsed/>
    <w:rsid w:val="002C0CD3"/>
    <w:rPr>
      <w:color w:val="605E5C"/>
      <w:shd w:val="clear" w:color="auto" w:fill="E1DFDD"/>
    </w:rPr>
  </w:style>
  <w:style w:type="paragraph" w:styleId="ListParagraph">
    <w:name w:val="List Paragraph"/>
    <w:basedOn w:val="Normal"/>
    <w:uiPriority w:val="34"/>
    <w:qFormat/>
    <w:rsid w:val="001D1630"/>
    <w:pPr>
      <w:ind w:left="720"/>
      <w:contextualSpacing/>
    </w:pPr>
  </w:style>
  <w:style w:type="character" w:customStyle="1" w:styleId="Heading1Char">
    <w:name w:val="Heading 1 Char"/>
    <w:basedOn w:val="DefaultParagraphFont"/>
    <w:link w:val="Heading1"/>
    <w:uiPriority w:val="9"/>
    <w:rsid w:val="002E44BC"/>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semiHidden/>
    <w:rsid w:val="004E6433"/>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semiHidden/>
    <w:rsid w:val="00533F47"/>
    <w:rPr>
      <w:rFonts w:asciiTheme="majorHAnsi" w:eastAsiaTheme="majorEastAsia" w:hAnsiTheme="majorHAnsi" w:cstheme="majorBidi"/>
      <w:color w:val="243F60" w:themeColor="accent1" w:themeShade="7F"/>
      <w:sz w:val="24"/>
      <w:szCs w:val="24"/>
    </w:rPr>
  </w:style>
  <w:style w:type="table" w:styleId="TableGrid">
    <w:name w:val="Table Grid"/>
    <w:basedOn w:val="TableNormal"/>
    <w:uiPriority w:val="59"/>
    <w:rsid w:val="008362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D3BE6"/>
    <w:pPr>
      <w:tabs>
        <w:tab w:val="center" w:pos="4680"/>
        <w:tab w:val="right" w:pos="9360"/>
      </w:tabs>
      <w:spacing w:after="0" w:line="240" w:lineRule="auto"/>
    </w:pPr>
  </w:style>
  <w:style w:type="character" w:customStyle="1" w:styleId="HeaderChar">
    <w:name w:val="Header Char"/>
    <w:basedOn w:val="DefaultParagraphFont"/>
    <w:link w:val="Header"/>
    <w:uiPriority w:val="99"/>
    <w:rsid w:val="00BD3BE6"/>
    <w:rPr>
      <w:rFonts w:ascii="Calibri" w:eastAsia="Calibri" w:hAnsi="Calibri" w:cs="Times New Roman"/>
    </w:rPr>
  </w:style>
  <w:style w:type="paragraph" w:styleId="Footer">
    <w:name w:val="footer"/>
    <w:basedOn w:val="Normal"/>
    <w:link w:val="FooterChar"/>
    <w:uiPriority w:val="99"/>
    <w:unhideWhenUsed/>
    <w:rsid w:val="00BD3BE6"/>
    <w:pPr>
      <w:tabs>
        <w:tab w:val="center" w:pos="4680"/>
        <w:tab w:val="right" w:pos="9360"/>
      </w:tabs>
      <w:spacing w:after="0" w:line="240" w:lineRule="auto"/>
    </w:pPr>
  </w:style>
  <w:style w:type="character" w:customStyle="1" w:styleId="FooterChar">
    <w:name w:val="Footer Char"/>
    <w:basedOn w:val="DefaultParagraphFont"/>
    <w:link w:val="Footer"/>
    <w:uiPriority w:val="99"/>
    <w:rsid w:val="00BD3BE6"/>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276693">
      <w:bodyDiv w:val="1"/>
      <w:marLeft w:val="0"/>
      <w:marRight w:val="0"/>
      <w:marTop w:val="0"/>
      <w:marBottom w:val="0"/>
      <w:divBdr>
        <w:top w:val="none" w:sz="0" w:space="0" w:color="auto"/>
        <w:left w:val="none" w:sz="0" w:space="0" w:color="auto"/>
        <w:bottom w:val="none" w:sz="0" w:space="0" w:color="auto"/>
        <w:right w:val="none" w:sz="0" w:space="0" w:color="auto"/>
      </w:divBdr>
    </w:div>
    <w:div w:id="1383674004">
      <w:bodyDiv w:val="1"/>
      <w:marLeft w:val="0"/>
      <w:marRight w:val="0"/>
      <w:marTop w:val="0"/>
      <w:marBottom w:val="0"/>
      <w:divBdr>
        <w:top w:val="none" w:sz="0" w:space="0" w:color="auto"/>
        <w:left w:val="none" w:sz="0" w:space="0" w:color="auto"/>
        <w:bottom w:val="none" w:sz="0" w:space="0" w:color="auto"/>
        <w:right w:val="none" w:sz="0" w:space="0" w:color="auto"/>
      </w:divBdr>
    </w:div>
    <w:div w:id="1520852663">
      <w:bodyDiv w:val="1"/>
      <w:marLeft w:val="0"/>
      <w:marRight w:val="0"/>
      <w:marTop w:val="0"/>
      <w:marBottom w:val="0"/>
      <w:divBdr>
        <w:top w:val="none" w:sz="0" w:space="0" w:color="auto"/>
        <w:left w:val="none" w:sz="0" w:space="0" w:color="auto"/>
        <w:bottom w:val="none" w:sz="0" w:space="0" w:color="auto"/>
        <w:right w:val="none" w:sz="0" w:space="0" w:color="auto"/>
      </w:divBdr>
    </w:div>
    <w:div w:id="1582326696">
      <w:bodyDiv w:val="1"/>
      <w:marLeft w:val="0"/>
      <w:marRight w:val="0"/>
      <w:marTop w:val="0"/>
      <w:marBottom w:val="0"/>
      <w:divBdr>
        <w:top w:val="none" w:sz="0" w:space="0" w:color="auto"/>
        <w:left w:val="none" w:sz="0" w:space="0" w:color="auto"/>
        <w:bottom w:val="none" w:sz="0" w:space="0" w:color="auto"/>
        <w:right w:val="none" w:sz="0" w:space="0" w:color="auto"/>
      </w:divBdr>
    </w:div>
    <w:div w:id="1774595517">
      <w:bodyDiv w:val="1"/>
      <w:marLeft w:val="0"/>
      <w:marRight w:val="0"/>
      <w:marTop w:val="0"/>
      <w:marBottom w:val="0"/>
      <w:divBdr>
        <w:top w:val="none" w:sz="0" w:space="0" w:color="auto"/>
        <w:left w:val="none" w:sz="0" w:space="0" w:color="auto"/>
        <w:bottom w:val="none" w:sz="0" w:space="0" w:color="auto"/>
        <w:right w:val="none" w:sz="0" w:space="0" w:color="auto"/>
      </w:divBdr>
    </w:div>
    <w:div w:id="1953197176">
      <w:bodyDiv w:val="1"/>
      <w:marLeft w:val="0"/>
      <w:marRight w:val="0"/>
      <w:marTop w:val="0"/>
      <w:marBottom w:val="0"/>
      <w:divBdr>
        <w:top w:val="none" w:sz="0" w:space="0" w:color="auto"/>
        <w:left w:val="none" w:sz="0" w:space="0" w:color="auto"/>
        <w:bottom w:val="none" w:sz="0" w:space="0" w:color="auto"/>
        <w:right w:val="none" w:sz="0" w:space="0" w:color="auto"/>
      </w:divBdr>
      <w:divsChild>
        <w:div w:id="2114007467">
          <w:marLeft w:val="-240"/>
          <w:marRight w:val="-240"/>
          <w:marTop w:val="0"/>
          <w:marBottom w:val="240"/>
          <w:divBdr>
            <w:top w:val="none" w:sz="0" w:space="0" w:color="auto"/>
            <w:left w:val="none" w:sz="0" w:space="0" w:color="auto"/>
            <w:bottom w:val="none" w:sz="0" w:space="0" w:color="auto"/>
            <w:right w:val="none" w:sz="0" w:space="0" w:color="auto"/>
          </w:divBdr>
          <w:divsChild>
            <w:div w:id="1739129869">
              <w:marLeft w:val="0"/>
              <w:marRight w:val="0"/>
              <w:marTop w:val="0"/>
              <w:marBottom w:val="0"/>
              <w:divBdr>
                <w:top w:val="none" w:sz="0" w:space="0" w:color="auto"/>
                <w:left w:val="none" w:sz="0" w:space="0" w:color="auto"/>
                <w:bottom w:val="none" w:sz="0" w:space="0" w:color="auto"/>
                <w:right w:val="none" w:sz="0" w:space="0" w:color="auto"/>
              </w:divBdr>
              <w:divsChild>
                <w:div w:id="308368849">
                  <w:marLeft w:val="0"/>
                  <w:marRight w:val="0"/>
                  <w:marTop w:val="0"/>
                  <w:marBottom w:val="0"/>
                  <w:divBdr>
                    <w:top w:val="none" w:sz="0" w:space="0" w:color="auto"/>
                    <w:left w:val="none" w:sz="0" w:space="0" w:color="auto"/>
                    <w:bottom w:val="none" w:sz="0" w:space="0" w:color="auto"/>
                    <w:right w:val="none" w:sz="0" w:space="0" w:color="auto"/>
                  </w:divBdr>
                  <w:divsChild>
                    <w:div w:id="946934846">
                      <w:marLeft w:val="0"/>
                      <w:marRight w:val="0"/>
                      <w:marTop w:val="0"/>
                      <w:marBottom w:val="0"/>
                      <w:divBdr>
                        <w:top w:val="none" w:sz="0" w:space="0" w:color="auto"/>
                        <w:left w:val="none" w:sz="0" w:space="0" w:color="auto"/>
                        <w:bottom w:val="none" w:sz="0" w:space="0" w:color="auto"/>
                        <w:right w:val="none" w:sz="0" w:space="0" w:color="auto"/>
                      </w:divBdr>
                      <w:divsChild>
                        <w:div w:id="116879716">
                          <w:marLeft w:val="0"/>
                          <w:marRight w:val="0"/>
                          <w:marTop w:val="0"/>
                          <w:marBottom w:val="0"/>
                          <w:divBdr>
                            <w:top w:val="none" w:sz="0" w:space="0" w:color="auto"/>
                            <w:left w:val="none" w:sz="0" w:space="0" w:color="auto"/>
                            <w:bottom w:val="none" w:sz="0" w:space="0" w:color="auto"/>
                            <w:right w:val="none" w:sz="0" w:space="0" w:color="auto"/>
                          </w:divBdr>
                          <w:divsChild>
                            <w:div w:id="870803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73654406">
          <w:marLeft w:val="0"/>
          <w:marRight w:val="0"/>
          <w:marTop w:val="0"/>
          <w:marBottom w:val="0"/>
          <w:divBdr>
            <w:top w:val="none" w:sz="0" w:space="0" w:color="auto"/>
            <w:left w:val="none" w:sz="0" w:space="0" w:color="auto"/>
            <w:bottom w:val="none" w:sz="0" w:space="0" w:color="auto"/>
            <w:right w:val="none" w:sz="0" w:space="0" w:color="auto"/>
          </w:divBdr>
        </w:div>
      </w:divsChild>
    </w:div>
    <w:div w:id="20712972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www.sciencedirect.com/topics/chemistry/battery-electrochemical-energy-engineering"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doi.org/10.1016/j.cogsc.2020.1000426"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2245</TotalTime>
  <Pages>7</Pages>
  <Words>2858</Words>
  <Characters>16297</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Obowu</dc:creator>
  <cp:keywords/>
  <dc:description/>
  <cp:lastModifiedBy>SDI PC 1170</cp:lastModifiedBy>
  <cp:revision>268</cp:revision>
  <dcterms:created xsi:type="dcterms:W3CDTF">2025-11-06T12:51:00Z</dcterms:created>
  <dcterms:modified xsi:type="dcterms:W3CDTF">2026-02-11T08:28:00Z</dcterms:modified>
</cp:coreProperties>
</file>