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F06" w:rsidRDefault="00BA2F06" w:rsidP="00DD520B">
      <w:pPr>
        <w:spacing w:after="0"/>
        <w:jc w:val="both"/>
        <w:rPr>
          <w:rFonts w:ascii="Times New Roman" w:hAnsi="Times New Roman" w:cs="Times New Roman"/>
          <w:b/>
          <w:sz w:val="28"/>
          <w:szCs w:val="28"/>
        </w:rPr>
      </w:pPr>
      <w:r w:rsidRPr="003157EF">
        <w:rPr>
          <w:rFonts w:ascii="Times New Roman" w:hAnsi="Times New Roman" w:cs="Times New Roman"/>
          <w:b/>
          <w:sz w:val="28"/>
          <w:szCs w:val="28"/>
        </w:rPr>
        <w:t>Epidemiology of rotavirus group A associated with acute gastroenteritis in children under 5 when in the city of Garoua (Cameroon)</w:t>
      </w:r>
    </w:p>
    <w:p w:rsidR="00E41EEF" w:rsidRPr="003157EF" w:rsidRDefault="00E41EEF" w:rsidP="00DD520B">
      <w:pPr>
        <w:spacing w:after="0"/>
        <w:jc w:val="both"/>
        <w:rPr>
          <w:rFonts w:ascii="Times New Roman" w:hAnsi="Times New Roman" w:cs="Times New Roman"/>
          <w:b/>
          <w:sz w:val="28"/>
          <w:szCs w:val="28"/>
        </w:rPr>
      </w:pPr>
    </w:p>
    <w:p w:rsidR="00EC56A4" w:rsidRDefault="00EC56A4" w:rsidP="00A03A03">
      <w:pPr>
        <w:spacing w:after="0"/>
        <w:jc w:val="both"/>
        <w:rPr>
          <w:rFonts w:ascii="Times New Roman" w:hAnsi="Times New Roman" w:cs="Times New Roman"/>
          <w:b/>
        </w:rPr>
      </w:pPr>
    </w:p>
    <w:p w:rsidR="00BA2F06" w:rsidRPr="003157EF" w:rsidRDefault="00BA2F06" w:rsidP="00A03A03">
      <w:pPr>
        <w:spacing w:after="0"/>
        <w:jc w:val="both"/>
        <w:rPr>
          <w:rFonts w:ascii="Times New Roman" w:hAnsi="Times New Roman" w:cs="Times New Roman"/>
          <w:b/>
        </w:rPr>
      </w:pPr>
      <w:r w:rsidRPr="003157EF">
        <w:rPr>
          <w:rFonts w:ascii="Times New Roman" w:hAnsi="Times New Roman" w:cs="Times New Roman"/>
          <w:b/>
        </w:rPr>
        <w:t>Abstract</w:t>
      </w:r>
    </w:p>
    <w:p w:rsidR="00BA2F06" w:rsidRPr="003157EF" w:rsidRDefault="00BA2F06" w:rsidP="004A68FC">
      <w:pPr>
        <w:spacing w:after="0"/>
        <w:jc w:val="both"/>
        <w:rPr>
          <w:rFonts w:ascii="Times New Roman" w:hAnsi="Times New Roman" w:cs="Times New Roman"/>
        </w:rPr>
      </w:pPr>
      <w:r w:rsidRPr="003157EF">
        <w:rPr>
          <w:rFonts w:ascii="Times New Roman" w:hAnsi="Times New Roman" w:cs="Times New Roman"/>
          <w:b/>
        </w:rPr>
        <w:t>Introduction:</w:t>
      </w:r>
      <w:r w:rsidRPr="003157EF">
        <w:rPr>
          <w:rFonts w:ascii="Times New Roman" w:hAnsi="Times New Roman" w:cs="Times New Roman"/>
        </w:rPr>
        <w:t xml:space="preserve"> Rotavirus is the main viral agent involved in childhood gastroenteritis. It is a public health problem, characterized primarily by diarrhea, vomiting, and fever, spread via the fecal-oral route from contaminated water, food, and objects. It remains the leading cause of severe diarrhea with dehydration in children under 5 years of age worldwide. The World Health Organization (WHO) estimates that 527,000 children under five years of age die each year from rotavirus diarrhea, with more than 85% of these deaths occurring in low-income countries in Africa and Asia. </w:t>
      </w:r>
      <w:r w:rsidR="003E033C" w:rsidRPr="003157EF">
        <w:rPr>
          <w:rFonts w:ascii="Times New Roman" w:hAnsi="Times New Roman" w:cs="Times New Roman"/>
        </w:rPr>
        <w:t>The present study aims to determine the prevalence and seasonality of group A rotavirus (RVA) infection in children under 5 years of age admitted to hospitals in the city of Garoua for diarrhea</w:t>
      </w:r>
      <w:r w:rsidRPr="003157EF">
        <w:rPr>
          <w:rFonts w:ascii="Times New Roman" w:hAnsi="Times New Roman" w:cs="Times New Roman"/>
        </w:rPr>
        <w:t>.</w:t>
      </w:r>
    </w:p>
    <w:p w:rsidR="00BA2F06" w:rsidRPr="003157EF" w:rsidRDefault="00BA2F06" w:rsidP="004A68FC">
      <w:pPr>
        <w:spacing w:after="0"/>
        <w:jc w:val="both"/>
        <w:rPr>
          <w:rFonts w:ascii="Times New Roman" w:hAnsi="Times New Roman" w:cs="Times New Roman"/>
        </w:rPr>
      </w:pPr>
      <w:r w:rsidRPr="003157EF">
        <w:rPr>
          <w:rFonts w:ascii="Times New Roman" w:hAnsi="Times New Roman" w:cs="Times New Roman"/>
          <w:b/>
        </w:rPr>
        <w:t>Method:</w:t>
      </w:r>
      <w:r w:rsidRPr="003157EF">
        <w:rPr>
          <w:rFonts w:ascii="Times New Roman" w:hAnsi="Times New Roman" w:cs="Times New Roman"/>
        </w:rPr>
        <w:t xml:space="preserve"> This was a descriptive, cross-sectional </w:t>
      </w:r>
      <w:r w:rsidR="00980772" w:rsidRPr="003157EF">
        <w:rPr>
          <w:rFonts w:ascii="Times New Roman" w:hAnsi="Times New Roman" w:cs="Times New Roman"/>
        </w:rPr>
        <w:t>study conducted between March 2023, and February 2024</w:t>
      </w:r>
      <w:r w:rsidRPr="003157EF">
        <w:rPr>
          <w:rFonts w:ascii="Times New Roman" w:hAnsi="Times New Roman" w:cs="Times New Roman"/>
        </w:rPr>
        <w:t>. It included 110 boys and 90 girls aged 0 to 5 years, admitted for acute diarrhea to the pediatric emergency departments of health facilities in the city of Garoua. Stool samples were collected for the detection of the RVA VP6 protein using the sandwich ELISA method.</w:t>
      </w:r>
    </w:p>
    <w:p w:rsidR="00BA2F06" w:rsidRPr="003157EF" w:rsidRDefault="00BA2F06" w:rsidP="004A68FC">
      <w:pPr>
        <w:spacing w:after="0"/>
        <w:jc w:val="both"/>
        <w:rPr>
          <w:rFonts w:ascii="Times New Roman" w:hAnsi="Times New Roman" w:cs="Times New Roman"/>
        </w:rPr>
      </w:pPr>
      <w:r w:rsidRPr="00AD4EF3">
        <w:rPr>
          <w:rFonts w:ascii="Times New Roman" w:hAnsi="Times New Roman" w:cs="Times New Roman"/>
          <w:b/>
          <w:bCs/>
        </w:rPr>
        <w:t>Results</w:t>
      </w:r>
      <w:r w:rsidRPr="003157EF">
        <w:rPr>
          <w:rFonts w:ascii="Times New Roman" w:hAnsi="Times New Roman" w:cs="Times New Roman"/>
        </w:rPr>
        <w:t>: The ELISA test detected the RVA antigen in 17% (34/200) of the samples, including 26 boys and 8 girls. Children under 24 months of age were the most affected age group (44.1%), and 67.1% were malnourished. Among the 34 infected children, RVA was responsible for 73.5% of hospitalizations. 88.2% (30/34) of positive cases were vaccinated (Rotarix) children, and 11.8% (4/34) were unvaccinated. None of the children who received a dose were infected in this study. Severe acute malnutrition was found to be a significant risk factor, affecting 41.1% of infected children. Although our results showed year-round occurrence of RVA infection, the dry season appears to be more conducive to infection than the rainy season.</w:t>
      </w:r>
    </w:p>
    <w:p w:rsidR="003600FA" w:rsidRPr="003157EF" w:rsidRDefault="00BA2F06" w:rsidP="00BA2F06">
      <w:pPr>
        <w:jc w:val="both"/>
        <w:rPr>
          <w:rFonts w:ascii="Times New Roman" w:hAnsi="Times New Roman" w:cs="Times New Roman"/>
        </w:rPr>
      </w:pPr>
      <w:r w:rsidRPr="003157EF">
        <w:rPr>
          <w:rFonts w:ascii="Times New Roman" w:hAnsi="Times New Roman" w:cs="Times New Roman"/>
          <w:b/>
        </w:rPr>
        <w:t>Conclusion:</w:t>
      </w:r>
      <w:r w:rsidRPr="003157EF">
        <w:rPr>
          <w:rFonts w:ascii="Times New Roman" w:hAnsi="Times New Roman" w:cs="Times New Roman"/>
        </w:rPr>
        <w:t xml:space="preserve"> This study describes the evidence of RVA infection in diarrheal children under five years of age in the city of Garoua, despite the introduction of the Rotarix vaccine into the Expanded Program on Immunization (EPI). This indicates a serious health burden, exacerbated by severe acute malnutrition at a younger age.</w:t>
      </w:r>
    </w:p>
    <w:p w:rsidR="004A68FC" w:rsidRPr="003157EF" w:rsidRDefault="003600FA" w:rsidP="003600FA">
      <w:pPr>
        <w:rPr>
          <w:rFonts w:ascii="Times New Roman" w:hAnsi="Times New Roman" w:cs="Times New Roman"/>
        </w:rPr>
      </w:pPr>
      <w:r w:rsidRPr="004A238E">
        <w:rPr>
          <w:rFonts w:ascii="Times New Roman" w:hAnsi="Times New Roman" w:cs="Times New Roman"/>
          <w:b/>
        </w:rPr>
        <w:t>Keywords:</w:t>
      </w:r>
      <w:r w:rsidRPr="003157EF">
        <w:rPr>
          <w:rFonts w:ascii="Times New Roman" w:hAnsi="Times New Roman" w:cs="Times New Roman"/>
        </w:rPr>
        <w:t xml:space="preserve"> Epidemiology, Group A rotavirus, gastroenteritis, children, Garoua</w:t>
      </w:r>
    </w:p>
    <w:p w:rsidR="00DD520B" w:rsidRPr="003157EF" w:rsidRDefault="00DD520B" w:rsidP="004A68FC">
      <w:pPr>
        <w:spacing w:after="0"/>
        <w:jc w:val="both"/>
        <w:rPr>
          <w:rFonts w:ascii="Times New Roman" w:hAnsi="Times New Roman" w:cs="Times New Roman"/>
          <w:b/>
        </w:rPr>
      </w:pPr>
    </w:p>
    <w:p w:rsidR="00DD520B" w:rsidRDefault="00DD520B" w:rsidP="004A68FC">
      <w:pPr>
        <w:spacing w:after="0"/>
        <w:jc w:val="both"/>
        <w:rPr>
          <w:b/>
        </w:rPr>
      </w:pPr>
    </w:p>
    <w:p w:rsidR="00EC56A4" w:rsidRDefault="00EC56A4" w:rsidP="004A68FC">
      <w:pPr>
        <w:spacing w:after="0"/>
        <w:jc w:val="both"/>
        <w:rPr>
          <w:b/>
        </w:rPr>
      </w:pPr>
    </w:p>
    <w:p w:rsidR="00C72782" w:rsidRPr="003157EF" w:rsidRDefault="00C72782" w:rsidP="004A68FC">
      <w:pPr>
        <w:spacing w:after="0"/>
        <w:jc w:val="both"/>
        <w:rPr>
          <w:rFonts w:ascii="Times New Roman" w:hAnsi="Times New Roman" w:cs="Times New Roman"/>
          <w:b/>
        </w:rPr>
      </w:pPr>
      <w:r w:rsidRPr="003157EF">
        <w:rPr>
          <w:rFonts w:ascii="Times New Roman" w:hAnsi="Times New Roman" w:cs="Times New Roman"/>
          <w:b/>
        </w:rPr>
        <w:t>Introduction.</w:t>
      </w:r>
    </w:p>
    <w:p w:rsidR="00F52A0B" w:rsidRPr="003157EF" w:rsidRDefault="00C72782" w:rsidP="00C72782">
      <w:pPr>
        <w:jc w:val="both"/>
        <w:rPr>
          <w:rFonts w:ascii="Times New Roman" w:hAnsi="Times New Roman" w:cs="Times New Roman"/>
        </w:rPr>
      </w:pPr>
      <w:r w:rsidRPr="003157EF">
        <w:rPr>
          <w:rFonts w:ascii="Times New Roman" w:hAnsi="Times New Roman" w:cs="Times New Roman"/>
        </w:rPr>
        <w:t xml:space="preserve">Diarrheal diseases represent a major health problem in the world, especially in developing countries where they are endemic [1]. In industrialized countries, infectious diarrhea is the second cause of hospital admission and the most frequent cause of pediatric consultation [2]. Children under 5 have 1.3 and 2.3 annual episodes of acute diarrhea. Diarrhea is the second leading cause of death in children under five, causing 760,000 child deaths per year and there are approximately 1.7 billion cases of diarrhea each year worldwide [3] Malnutrition and stunted growth can occur if poorly managed in symptomatic cases [1] of these reported cases, 30% of etiological agents are bacterial, viral, or parasitic. Recently, 40-50% of severe cases of childhood watery diarrhea are attributed to rotavirus worldwide causing 600,000 deaths per year in African and Asian countries [4]. In a 2015 WHO report, 1.7 billion reported cases represent 9% of cumulative child deaths resulting in a high health budget. According to previous studies, 5.2 million bacterial and etiological agents as well as 2.5 million parasitic agents and 30.9 million viruses cause </w:t>
      </w:r>
      <w:r w:rsidRPr="003157EF">
        <w:rPr>
          <w:rFonts w:ascii="Times New Roman" w:hAnsi="Times New Roman" w:cs="Times New Roman"/>
        </w:rPr>
        <w:lastRenderedPageBreak/>
        <w:t xml:space="preserve">diarrheal episodes [5]. Rotavirus A (RVA) is a public health problem, not only in developing countries where all children are infected before the age of two to three years but also in developed countries where hygienic conditions are good. In Africa, nearly 30% of all diarrheal hospitalizations in children under five are caused by RVA. The majority of countries with the highest rotavirus mortality rates are in sub-Saharan Africa [6]. The problem remains significant due to factors such as dysfunctional health systems, malnutrition number of children, low budgets allocated to health, insufficient equipment, and highly qualified personnel to properly care for sick children [7][8]. Vaccination is the best strategy against rotavirus, and its implementation has been recommended by the World Health Organization [9]. However, in low-income African countries, significantly lower efficacy is observed, corresponding to an overall reduction in RV infections of 59%) [10]. Indeed, the effectiveness of Rotarix TM may be influenced by factors such as the nutritional status of the child, the presence of other pathologies (HIV, gastroenteritis, etc.), the genotypes of RV present in the environment [11] [3]. In Cameroon, one-third of all diarrhea-related hospitalizations in children under five are due to rotavirus, causing more than 7400 deaths per year. To deal with this situation, Cameroon introduced the ROTARIX vaccine in the expanded immunization </w:t>
      </w:r>
      <w:proofErr w:type="spellStart"/>
      <w:r w:rsidRPr="003157EF">
        <w:rPr>
          <w:rFonts w:ascii="Times New Roman" w:hAnsi="Times New Roman" w:cs="Times New Roman"/>
        </w:rPr>
        <w:t>programme</w:t>
      </w:r>
      <w:proofErr w:type="spellEnd"/>
      <w:r w:rsidRPr="003157EF">
        <w:rPr>
          <w:rFonts w:ascii="Times New Roman" w:hAnsi="Times New Roman" w:cs="Times New Roman"/>
        </w:rPr>
        <w:t>. Eight years after the introduction of this vaccine, we were interested in making an inventory of the surveillance of RV gastroenteritis in children under five years of age in the North Cameroon region. This study aims to know the prevalence RVA associated with gastroenteritis and their epidemiology, after the introduction of the anti-rotavirus vaccine.</w:t>
      </w:r>
    </w:p>
    <w:p w:rsidR="00F52A0B" w:rsidRPr="003157EF" w:rsidRDefault="00F52A0B" w:rsidP="004A68FC">
      <w:pPr>
        <w:spacing w:after="0"/>
        <w:jc w:val="both"/>
        <w:rPr>
          <w:rFonts w:ascii="Times New Roman" w:hAnsi="Times New Roman" w:cs="Times New Roman"/>
          <w:b/>
        </w:rPr>
      </w:pPr>
      <w:r w:rsidRPr="003157EF">
        <w:rPr>
          <w:rFonts w:ascii="Times New Roman" w:hAnsi="Times New Roman" w:cs="Times New Roman"/>
          <w:b/>
        </w:rPr>
        <w:t>Methods</w:t>
      </w:r>
    </w:p>
    <w:p w:rsidR="00F52A0B" w:rsidRPr="003157EF" w:rsidRDefault="00F52A0B" w:rsidP="00DD520B">
      <w:pPr>
        <w:spacing w:after="0"/>
        <w:jc w:val="both"/>
        <w:rPr>
          <w:rFonts w:ascii="Times New Roman" w:hAnsi="Times New Roman" w:cs="Times New Roman"/>
        </w:rPr>
      </w:pPr>
      <w:r w:rsidRPr="003157EF">
        <w:rPr>
          <w:rFonts w:ascii="Times New Roman" w:hAnsi="Times New Roman" w:cs="Times New Roman"/>
        </w:rPr>
        <w:t xml:space="preserve">From March 2023 to February 2024, we conducted a descriptive cross-sectional study of children under 5 years of age presenting with acute gastroenteritis in healthcare facilities in the city of Garoua: Garoua Regional Hospital (HRG), Notre Dame Hospital (HND), </w:t>
      </w:r>
      <w:proofErr w:type="spellStart"/>
      <w:r w:rsidRPr="003157EF">
        <w:rPr>
          <w:rFonts w:ascii="Times New Roman" w:hAnsi="Times New Roman" w:cs="Times New Roman"/>
        </w:rPr>
        <w:t>Roumde</w:t>
      </w:r>
      <w:proofErr w:type="spellEnd"/>
      <w:r w:rsidRPr="003157EF">
        <w:rPr>
          <w:rFonts w:ascii="Times New Roman" w:hAnsi="Times New Roman" w:cs="Times New Roman"/>
        </w:rPr>
        <w:t xml:space="preserve"> Integrated Health Center (CSR), and </w:t>
      </w:r>
      <w:proofErr w:type="spellStart"/>
      <w:r w:rsidRPr="003157EF">
        <w:rPr>
          <w:rFonts w:ascii="Times New Roman" w:hAnsi="Times New Roman" w:cs="Times New Roman"/>
        </w:rPr>
        <w:t>Laindé</w:t>
      </w:r>
      <w:proofErr w:type="spellEnd"/>
      <w:r w:rsidRPr="003157EF">
        <w:rPr>
          <w:rFonts w:ascii="Times New Roman" w:hAnsi="Times New Roman" w:cs="Times New Roman"/>
        </w:rPr>
        <w:t xml:space="preserve"> Medical Center (CML). A stool sample was collected from each hospitalized child or child presenting for consultation, along with sociodemographic information, including RVA vaccination status and breastfeeding status, which were obtained from the patient's medical record and/or caregivers. Stool samples were transported in a cooler (4°C to 8°C) according to recommended standards to the laboratory of the Pasteur Center Annex in Garoua and stored in 1.5 ml aliquots at -80°C until analysis.</w:t>
      </w:r>
    </w:p>
    <w:p w:rsidR="00F52A0B" w:rsidRPr="004A238E" w:rsidRDefault="00F52A0B" w:rsidP="004A68FC">
      <w:pPr>
        <w:pStyle w:val="ListParagraph"/>
        <w:numPr>
          <w:ilvl w:val="0"/>
          <w:numId w:val="2"/>
        </w:numPr>
        <w:spacing w:after="0"/>
        <w:jc w:val="both"/>
        <w:rPr>
          <w:rFonts w:ascii="Times New Roman" w:hAnsi="Times New Roman" w:cs="Times New Roman"/>
          <w:b/>
        </w:rPr>
      </w:pPr>
      <w:r w:rsidRPr="004A238E">
        <w:rPr>
          <w:rFonts w:ascii="Times New Roman" w:hAnsi="Times New Roman" w:cs="Times New Roman"/>
          <w:b/>
        </w:rPr>
        <w:t>RVA antigen screening was performed using a sandwich ELISA. (</w:t>
      </w:r>
      <w:proofErr w:type="spellStart"/>
      <w:r w:rsidRPr="004A238E">
        <w:rPr>
          <w:rFonts w:ascii="Times New Roman" w:hAnsi="Times New Roman" w:cs="Times New Roman"/>
          <w:b/>
        </w:rPr>
        <w:t>RotaClone</w:t>
      </w:r>
      <w:proofErr w:type="spellEnd"/>
      <w:r w:rsidRPr="004A238E">
        <w:rPr>
          <w:rFonts w:ascii="Times New Roman" w:hAnsi="Times New Roman" w:cs="Times New Roman"/>
          <w:b/>
        </w:rPr>
        <w:t xml:space="preserve"> first kit)</w:t>
      </w:r>
    </w:p>
    <w:p w:rsidR="00F52A0B" w:rsidRPr="003157EF" w:rsidRDefault="00F52A0B" w:rsidP="00DD520B">
      <w:pPr>
        <w:spacing w:after="0"/>
        <w:jc w:val="both"/>
        <w:rPr>
          <w:rFonts w:ascii="Times New Roman" w:hAnsi="Times New Roman" w:cs="Times New Roman"/>
        </w:rPr>
      </w:pPr>
      <w:r w:rsidRPr="003157EF">
        <w:rPr>
          <w:rFonts w:ascii="Times New Roman" w:hAnsi="Times New Roman" w:cs="Times New Roman"/>
        </w:rPr>
        <w:t xml:space="preserve">RVA detection was performed using the PREMIER </w:t>
      </w:r>
      <w:proofErr w:type="spellStart"/>
      <w:r w:rsidRPr="003157EF">
        <w:rPr>
          <w:rFonts w:ascii="Times New Roman" w:hAnsi="Times New Roman" w:cs="Times New Roman"/>
        </w:rPr>
        <w:t>Rotaclone</w:t>
      </w:r>
      <w:proofErr w:type="spellEnd"/>
      <w:r w:rsidRPr="003157EF">
        <w:rPr>
          <w:rFonts w:ascii="Times New Roman" w:hAnsi="Times New Roman" w:cs="Times New Roman"/>
        </w:rPr>
        <w:t>, which utilizes monoclonal antibodies fixed to a solid phase in a sandwich-type ELISA assay, following the manufacturer's protocol. All samples and reagents were brought to room temperature before use. The plastic microwells are coated with a monoclonal antibody directed against the product of the 6th viral gene (VP6), the group-specific antigen for all known human rotaviruses [12]. An aliquot of fecal suspension is added to the wells and incubated simultaneously with a horseradish peroxidase-conjugated anti-rotavirus monoclonal antibody; subsequent reaction steps were performed according to the manufacturer's protocol. The rotavirus antigen is thus sandwiched between the solid phase and the enzyme-bound antibody. After 60 minutes of incubation at room temperature, the sample wells are washed to remove unbound labeled antibodies. Enzymatic substrate A (urea peroxide) and substrate B (TMB) were added to the wells and incubated for 10 minutes at room temperature. The enzyme bound in the wells converted the colorless substrate to a blue color. The intensity of the blue color was directly proportional to the concentration of Rotavirus antigen present in the sample. Initially, the results after the addition of TMB substrate were read by visually observing the color change in the wells containing the positive samples and comparing it with the negative control. Confirmation of the results was performed by spectrophotometric reading at 450 nm after the reaction. The reaction was stopped with a 1 M sulfuric acid solution. Samples with an absorbance (OD450) greater than 0.150 were considered positive. Samples with an absorbance equal to or less than 0.150 were considered negative.</w:t>
      </w:r>
    </w:p>
    <w:p w:rsidR="00F52A0B" w:rsidRPr="004A238E" w:rsidRDefault="00F52A0B" w:rsidP="004A68FC">
      <w:pPr>
        <w:pStyle w:val="ListParagraph"/>
        <w:numPr>
          <w:ilvl w:val="0"/>
          <w:numId w:val="2"/>
        </w:numPr>
        <w:spacing w:after="0"/>
        <w:jc w:val="both"/>
        <w:rPr>
          <w:rFonts w:ascii="Times New Roman" w:hAnsi="Times New Roman" w:cs="Times New Roman"/>
          <w:b/>
        </w:rPr>
      </w:pPr>
      <w:r w:rsidRPr="004A238E">
        <w:rPr>
          <w:rFonts w:ascii="Times New Roman" w:hAnsi="Times New Roman" w:cs="Times New Roman"/>
          <w:b/>
        </w:rPr>
        <w:t>Statistical Analysis</w:t>
      </w:r>
    </w:p>
    <w:p w:rsidR="003157EF" w:rsidRPr="003157EF" w:rsidRDefault="00F52A0B" w:rsidP="00DD520B">
      <w:pPr>
        <w:spacing w:after="0"/>
        <w:jc w:val="both"/>
        <w:rPr>
          <w:rFonts w:ascii="Times New Roman" w:hAnsi="Times New Roman" w:cs="Times New Roman"/>
        </w:rPr>
      </w:pPr>
      <w:r w:rsidRPr="003157EF">
        <w:rPr>
          <w:rFonts w:ascii="Times New Roman" w:hAnsi="Times New Roman" w:cs="Times New Roman"/>
        </w:rPr>
        <w:lastRenderedPageBreak/>
        <w:t xml:space="preserve">Statistical analyses were performed using SPSS 20 software (IBM SPSS Statistics 23.0). Statistical distributions were compared using the chi-square test with a 95% confidence interval and a p-value of 5%. The distribution of the </w:t>
      </w:r>
      <w:proofErr w:type="spellStart"/>
      <w:r w:rsidRPr="003157EF">
        <w:rPr>
          <w:rFonts w:ascii="Times New Roman" w:hAnsi="Times New Roman" w:cs="Times New Roman"/>
        </w:rPr>
        <w:t>Vesikari</w:t>
      </w:r>
      <w:proofErr w:type="spellEnd"/>
      <w:r w:rsidRPr="003157EF">
        <w:rPr>
          <w:rFonts w:ascii="Times New Roman" w:hAnsi="Times New Roman" w:cs="Times New Roman"/>
        </w:rPr>
        <w:t xml:space="preserve"> clinical severity score was compared between children who tested positive for RVA and those who tested negative. The </w:t>
      </w:r>
      <w:proofErr w:type="spellStart"/>
      <w:r w:rsidRPr="003157EF">
        <w:rPr>
          <w:rFonts w:ascii="Times New Roman" w:hAnsi="Times New Roman" w:cs="Times New Roman"/>
        </w:rPr>
        <w:t>Vesikari</w:t>
      </w:r>
      <w:proofErr w:type="spellEnd"/>
      <w:r w:rsidRPr="003157EF">
        <w:rPr>
          <w:rFonts w:ascii="Times New Roman" w:hAnsi="Times New Roman" w:cs="Times New Roman"/>
        </w:rPr>
        <w:t xml:space="preserve"> clinical severity score was categorized as moderate, less severe, and severe. </w:t>
      </w:r>
    </w:p>
    <w:p w:rsidR="003157EF" w:rsidRPr="003157EF" w:rsidRDefault="003157EF" w:rsidP="003157EF">
      <w:pPr>
        <w:spacing w:after="0" w:line="235" w:lineRule="atLeast"/>
        <w:jc w:val="both"/>
        <w:rPr>
          <w:rFonts w:ascii="Times New Roman" w:eastAsia="Times New Roman" w:hAnsi="Times New Roman" w:cs="Times New Roman"/>
        </w:rPr>
      </w:pPr>
      <w:r w:rsidRPr="003157EF">
        <w:rPr>
          <w:rFonts w:ascii="Times New Roman" w:eastAsia="Times New Roman" w:hAnsi="Times New Roman" w:cs="Times New Roman"/>
          <w:sz w:val="24"/>
          <w:szCs w:val="24"/>
        </w:rPr>
        <w:t xml:space="preserve">The study was conducted in full compliance with established ethical principles for research involving human participants. Ethical approval was obtained from the Ethics Committee of </w:t>
      </w:r>
      <w:proofErr w:type="spellStart"/>
      <w:r w:rsidRPr="003157EF">
        <w:rPr>
          <w:rFonts w:ascii="Times New Roman" w:eastAsia="Times New Roman" w:hAnsi="Times New Roman" w:cs="Times New Roman"/>
          <w:sz w:val="24"/>
          <w:szCs w:val="24"/>
        </w:rPr>
        <w:t>Kesmonds</w:t>
      </w:r>
      <w:proofErr w:type="spellEnd"/>
      <w:r w:rsidRPr="003157EF">
        <w:rPr>
          <w:rFonts w:ascii="Times New Roman" w:eastAsia="Times New Roman" w:hAnsi="Times New Roman" w:cs="Times New Roman"/>
          <w:sz w:val="24"/>
          <w:szCs w:val="24"/>
        </w:rPr>
        <w:t xml:space="preserve"> International Research Institute (Ref. No: 0040123/SG/KIU) prior to the initiation of the </w:t>
      </w:r>
      <w:r w:rsidR="004A238E" w:rsidRPr="003157EF">
        <w:rPr>
          <w:rFonts w:ascii="Times New Roman" w:eastAsia="Times New Roman" w:hAnsi="Times New Roman" w:cs="Times New Roman"/>
          <w:sz w:val="24"/>
          <w:szCs w:val="24"/>
        </w:rPr>
        <w:t>study. All</w:t>
      </w:r>
      <w:r w:rsidRPr="003157EF">
        <w:rPr>
          <w:rFonts w:ascii="Times New Roman" w:eastAsia="Times New Roman" w:hAnsi="Times New Roman" w:cs="Times New Roman"/>
          <w:sz w:val="24"/>
          <w:szCs w:val="24"/>
        </w:rPr>
        <w:t xml:space="preserve"> participants were fully informed about the objectives, procedures, and potential risks or benefits of the study before participation. Written informed consent was obtained from all participants. Participation was voluntary, and the confidentiality and privacy of personal data were strictly maintained throughout the study.</w:t>
      </w:r>
    </w:p>
    <w:p w:rsidR="00F52A0B" w:rsidRPr="003157EF" w:rsidRDefault="004A68FC" w:rsidP="004A68FC">
      <w:pPr>
        <w:spacing w:after="0"/>
        <w:jc w:val="both"/>
        <w:rPr>
          <w:rFonts w:ascii="Times New Roman" w:hAnsi="Times New Roman" w:cs="Times New Roman"/>
          <w:b/>
        </w:rPr>
      </w:pPr>
      <w:r w:rsidRPr="003157EF">
        <w:rPr>
          <w:rFonts w:ascii="Times New Roman" w:hAnsi="Times New Roman" w:cs="Times New Roman"/>
          <w:b/>
        </w:rPr>
        <w:t>Results</w:t>
      </w:r>
      <w:r w:rsidR="00F52A0B" w:rsidRPr="003157EF">
        <w:rPr>
          <w:rFonts w:ascii="Times New Roman" w:hAnsi="Times New Roman" w:cs="Times New Roman"/>
          <w:b/>
        </w:rPr>
        <w:t xml:space="preserve"> </w:t>
      </w:r>
    </w:p>
    <w:p w:rsidR="004A68FC" w:rsidRPr="003157EF" w:rsidRDefault="00F52A0B" w:rsidP="00F52A0B">
      <w:pPr>
        <w:jc w:val="both"/>
        <w:rPr>
          <w:rFonts w:ascii="Times New Roman" w:hAnsi="Times New Roman" w:cs="Times New Roman"/>
        </w:rPr>
      </w:pPr>
      <w:r w:rsidRPr="003157EF">
        <w:rPr>
          <w:rFonts w:ascii="Times New Roman" w:hAnsi="Times New Roman" w:cs="Times New Roman"/>
        </w:rPr>
        <w:t>A total of 200 children under 5 years of age with gastroenteritis were enrolled in the study. Of the 200 children studied, 110 (55%) were male and 90 (45%) were female, resulting in a male-to-female ratio of 1.22 for all cases of diarrhea. Seventy-nine (77.5%) of the children had received both doses of the Rotarix vaccine, 2% (4/200) had received one dose, and 20.5% (41/200) had an unknown vaccination status. The ELISA test detected the RVA antigen in 17% (34/200) of the diarrheal stool samples (Fig. 1). The current study clearly demonstrates the continued circulation of RVA among children in the community of Northern Cameroon.</w:t>
      </w:r>
    </w:p>
    <w:p w:rsidR="00592691" w:rsidRDefault="00592691" w:rsidP="00F52A0B">
      <w:pPr>
        <w:jc w:val="both"/>
        <w:rPr>
          <w:rFonts w:ascii="Times New Roman" w:hAnsi="Times New Roman" w:cs="Times New Roman"/>
        </w:rPr>
      </w:pPr>
      <w:r w:rsidRPr="007F23D9">
        <w:rPr>
          <w:noProof/>
        </w:rPr>
        <w:drawing>
          <wp:inline distT="0" distB="0" distL="0" distR="0" wp14:anchorId="708225ED" wp14:editId="4BF5F9DF">
            <wp:extent cx="5638800" cy="1838325"/>
            <wp:effectExtent l="0" t="0" r="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92691" w:rsidRDefault="00592691" w:rsidP="00F52A0B">
      <w:pPr>
        <w:jc w:val="both"/>
        <w:rPr>
          <w:rFonts w:ascii="Times New Roman" w:hAnsi="Times New Roman" w:cs="Times New Roman"/>
        </w:rPr>
      </w:pPr>
      <w:r w:rsidRPr="00DF0F70">
        <w:rPr>
          <w:rFonts w:ascii="Times New Roman" w:hAnsi="Times New Roman" w:cs="Times New Roman"/>
          <w:b/>
        </w:rPr>
        <w:t>Figure 1:</w:t>
      </w:r>
      <w:r w:rsidRPr="00DF0F70">
        <w:rPr>
          <w:rFonts w:ascii="Times New Roman" w:hAnsi="Times New Roman" w:cs="Times New Roman"/>
        </w:rPr>
        <w:t xml:space="preserve"> Overall positivity rate for RVA in the study population</w:t>
      </w:r>
    </w:p>
    <w:p w:rsidR="00C9600E" w:rsidRPr="00592691" w:rsidRDefault="002D55BF" w:rsidP="00592691">
      <w:pPr>
        <w:jc w:val="both"/>
        <w:rPr>
          <w:rFonts w:ascii="Times New Roman" w:hAnsi="Times New Roman" w:cs="Times New Roman"/>
        </w:rPr>
      </w:pPr>
      <w:r w:rsidRPr="003157EF">
        <w:rPr>
          <w:rFonts w:ascii="Times New Roman" w:hAnsi="Times New Roman" w:cs="Times New Roman"/>
        </w:rPr>
        <w:t xml:space="preserve">Similarly, of the 34 RVA antigen-positive cases, 23.5% were male and 76.5% were female (P=0.04), resulting in a male-to-female ratio of 3.25. The percentage of RVA positivity in healthcare facilities was 14.7% for CML, 14.7% for HND, 70.6% for HRG, and 0% for CSR. The variation was not statistically significant (P = 0.365). All age groups were affected. The vast majority of RVA infections were observed in very young children. On average, 73.5% of infections affected children under 24 months of age during the study period, with no statistically significant difference (P = 0.186) (Table I). Among children who received two doses of the Rotarix vaccine, 88.2% tested positive for RVA, compared to 11.8% of those who received one dose (0%) with unknown vaccination status (P=0.254). RVA infection was also more frequently observed in children with severe acute malnutrition (44.1%) compared to those with moderate acute malnutrition (17.6%). This difference was not statistically significant (p=0.485) (Table 1). The </w:t>
      </w:r>
      <w:proofErr w:type="spellStart"/>
      <w:r w:rsidRPr="003157EF">
        <w:rPr>
          <w:rFonts w:ascii="Times New Roman" w:hAnsi="Times New Roman" w:cs="Times New Roman"/>
        </w:rPr>
        <w:t>Vesikari</w:t>
      </w:r>
      <w:proofErr w:type="spellEnd"/>
      <w:r w:rsidRPr="003157EF">
        <w:rPr>
          <w:rFonts w:ascii="Times New Roman" w:hAnsi="Times New Roman" w:cs="Times New Roman"/>
        </w:rPr>
        <w:t xml:space="preserve"> score was calculated based on several listed criteria. It provides information on the severity of RVA gastroenteritis. During the study period, three deaths were recorded among children infected with RVA.</w:t>
      </w:r>
    </w:p>
    <w:p w:rsidR="00C9600E" w:rsidRPr="00C9600E" w:rsidRDefault="00C9600E" w:rsidP="00C9600E">
      <w:r w:rsidRPr="00762A8B">
        <w:rPr>
          <w:rFonts w:ascii="Times New Roman" w:hAnsi="Times New Roman" w:cs="Times New Roman"/>
          <w:b/>
        </w:rPr>
        <w:lastRenderedPageBreak/>
        <w:t>Table I:</w:t>
      </w:r>
      <w:r w:rsidRPr="00481261">
        <w:rPr>
          <w:rFonts w:ascii="Times New Roman" w:hAnsi="Times New Roman" w:cs="Times New Roman"/>
        </w:rPr>
        <w:t xml:space="preserve"> Sociodemographic characteristics of children less than or equal to 5 years with acute diarrhea</w:t>
      </w:r>
      <w:r w:rsidRPr="00C105D2">
        <w:t>,</w:t>
      </w:r>
    </w:p>
    <w:tbl>
      <w:tblPr>
        <w:tblStyle w:val="TableGrid"/>
        <w:tblW w:w="4771" w:type="pct"/>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5"/>
        <w:gridCol w:w="2976"/>
        <w:gridCol w:w="1418"/>
        <w:gridCol w:w="1702"/>
        <w:gridCol w:w="990"/>
      </w:tblGrid>
      <w:tr w:rsidR="00C9600E" w:rsidRPr="00D02F4B" w:rsidTr="004E1245">
        <w:trPr>
          <w:trHeight w:val="300"/>
        </w:trPr>
        <w:tc>
          <w:tcPr>
            <w:tcW w:w="1033" w:type="pct"/>
            <w:vMerge w:val="restart"/>
            <w:noWrap/>
          </w:tcPr>
          <w:p w:rsidR="00C9600E" w:rsidRPr="00D02F4B" w:rsidRDefault="00C9600E" w:rsidP="004E1245">
            <w:pPr>
              <w:spacing w:line="276" w:lineRule="auto"/>
              <w:jc w:val="both"/>
              <w:rPr>
                <w:rFonts w:ascii="Times New Roman" w:hAnsi="Times New Roman" w:cs="Times New Roman"/>
                <w:b/>
              </w:rPr>
            </w:pPr>
            <w:r w:rsidRPr="00D02F4B">
              <w:rPr>
                <w:rFonts w:ascii="Times New Roman" w:hAnsi="Times New Roman" w:cs="Times New Roman"/>
                <w:b/>
              </w:rPr>
              <w:t xml:space="preserve">Variables </w:t>
            </w:r>
          </w:p>
        </w:tc>
        <w:tc>
          <w:tcPr>
            <w:tcW w:w="1666" w:type="pct"/>
            <w:vMerge w:val="restart"/>
            <w:noWrap/>
          </w:tcPr>
          <w:p w:rsidR="00C9600E" w:rsidRPr="00D02F4B" w:rsidRDefault="00C9600E" w:rsidP="004E1245">
            <w:pPr>
              <w:spacing w:line="276" w:lineRule="auto"/>
              <w:rPr>
                <w:rFonts w:ascii="Times New Roman" w:hAnsi="Times New Roman" w:cs="Times New Roman"/>
                <w:b/>
                <w:lang w:val="en-US"/>
              </w:rPr>
            </w:pPr>
            <w:r w:rsidRPr="00D02F4B">
              <w:rPr>
                <w:rFonts w:ascii="Times New Roman" w:hAnsi="Times New Roman" w:cs="Times New Roman"/>
                <w:b/>
                <w:bCs/>
                <w:lang w:val="en-US"/>
              </w:rPr>
              <w:t xml:space="preserve">Categories     </w:t>
            </w:r>
            <w:r w:rsidRPr="00D02F4B">
              <w:rPr>
                <w:rFonts w:ascii="Times New Roman" w:hAnsi="Times New Roman" w:cs="Times New Roman"/>
                <w:b/>
                <w:lang w:val="en-US"/>
              </w:rPr>
              <w:t>Nb of GE cases</w:t>
            </w:r>
          </w:p>
        </w:tc>
        <w:tc>
          <w:tcPr>
            <w:tcW w:w="1747" w:type="pct"/>
            <w:gridSpan w:val="2"/>
            <w:noWrap/>
          </w:tcPr>
          <w:p w:rsidR="00C9600E" w:rsidRPr="00D02F4B" w:rsidRDefault="00C9600E" w:rsidP="004E1245">
            <w:pPr>
              <w:tabs>
                <w:tab w:val="left" w:pos="1875"/>
              </w:tabs>
              <w:spacing w:line="276" w:lineRule="auto"/>
              <w:rPr>
                <w:rFonts w:ascii="Times New Roman" w:hAnsi="Times New Roman" w:cs="Times New Roman"/>
                <w:b/>
                <w:lang w:val="en-US"/>
              </w:rPr>
            </w:pPr>
            <w:r w:rsidRPr="00D02F4B">
              <w:rPr>
                <w:rFonts w:ascii="Times New Roman" w:hAnsi="Times New Roman" w:cs="Times New Roman"/>
                <w:b/>
                <w:lang w:val="en-US"/>
              </w:rPr>
              <w:t>RVA+ (%)</w:t>
            </w:r>
            <w:r>
              <w:rPr>
                <w:rFonts w:ascii="Times New Roman" w:hAnsi="Times New Roman" w:cs="Times New Roman"/>
                <w:b/>
                <w:lang w:val="en-US"/>
              </w:rPr>
              <w:t xml:space="preserve">        </w:t>
            </w:r>
            <w:r w:rsidRPr="00D02F4B">
              <w:rPr>
                <w:rFonts w:ascii="Times New Roman" w:hAnsi="Times New Roman" w:cs="Times New Roman"/>
                <w:b/>
                <w:lang w:val="en-US"/>
              </w:rPr>
              <w:t>RVA-(%)</w:t>
            </w:r>
          </w:p>
        </w:tc>
        <w:tc>
          <w:tcPr>
            <w:tcW w:w="554" w:type="pct"/>
            <w:vMerge w:val="restart"/>
          </w:tcPr>
          <w:p w:rsidR="00C9600E" w:rsidRPr="00D02F4B" w:rsidRDefault="00C9600E" w:rsidP="004E1245">
            <w:pPr>
              <w:tabs>
                <w:tab w:val="left" w:pos="2040"/>
                <w:tab w:val="left" w:pos="3225"/>
              </w:tabs>
              <w:spacing w:line="276" w:lineRule="auto"/>
              <w:jc w:val="center"/>
              <w:rPr>
                <w:rFonts w:ascii="Times New Roman" w:hAnsi="Times New Roman" w:cs="Times New Roman"/>
                <w:b/>
                <w:lang w:val="en-US"/>
              </w:rPr>
            </w:pPr>
            <w:r w:rsidRPr="00D02F4B">
              <w:rPr>
                <w:rFonts w:ascii="Times New Roman" w:hAnsi="Times New Roman" w:cs="Times New Roman"/>
                <w:b/>
                <w:lang w:val="en-US"/>
              </w:rPr>
              <w:t>P.V</w:t>
            </w:r>
          </w:p>
        </w:tc>
      </w:tr>
      <w:tr w:rsidR="00C9600E" w:rsidRPr="00D02F4B" w:rsidTr="004E1245">
        <w:trPr>
          <w:trHeight w:val="300"/>
        </w:trPr>
        <w:tc>
          <w:tcPr>
            <w:tcW w:w="1033" w:type="pct"/>
            <w:vMerge/>
            <w:noWrap/>
          </w:tcPr>
          <w:p w:rsidR="00C9600E" w:rsidRPr="00D02F4B" w:rsidRDefault="00C9600E" w:rsidP="004E1245">
            <w:pPr>
              <w:spacing w:line="276" w:lineRule="auto"/>
              <w:jc w:val="both"/>
              <w:rPr>
                <w:rFonts w:ascii="Times New Roman" w:hAnsi="Times New Roman" w:cs="Times New Roman"/>
                <w:b/>
                <w:lang w:val="en-US"/>
              </w:rPr>
            </w:pPr>
          </w:p>
        </w:tc>
        <w:tc>
          <w:tcPr>
            <w:tcW w:w="1666" w:type="pct"/>
            <w:vMerge/>
            <w:noWrap/>
          </w:tcPr>
          <w:p w:rsidR="00C9600E" w:rsidRPr="00D02F4B" w:rsidRDefault="00C9600E" w:rsidP="004E1245">
            <w:pPr>
              <w:spacing w:line="276" w:lineRule="auto"/>
              <w:rPr>
                <w:rFonts w:ascii="Times New Roman" w:hAnsi="Times New Roman" w:cs="Times New Roman"/>
                <w:b/>
                <w:lang w:val="en-US"/>
              </w:rPr>
            </w:pPr>
          </w:p>
        </w:tc>
        <w:tc>
          <w:tcPr>
            <w:tcW w:w="794" w:type="pct"/>
            <w:noWrap/>
          </w:tcPr>
          <w:p w:rsidR="00C9600E" w:rsidRPr="00D02F4B" w:rsidRDefault="00C9600E" w:rsidP="004E1245">
            <w:pPr>
              <w:spacing w:line="276" w:lineRule="auto"/>
              <w:jc w:val="center"/>
              <w:rPr>
                <w:rFonts w:ascii="Times New Roman" w:hAnsi="Times New Roman" w:cs="Times New Roman"/>
                <w:b/>
                <w:lang w:val="en-US"/>
              </w:rPr>
            </w:pPr>
          </w:p>
        </w:tc>
        <w:tc>
          <w:tcPr>
            <w:tcW w:w="953" w:type="pct"/>
            <w:noWrap/>
          </w:tcPr>
          <w:p w:rsidR="00C9600E" w:rsidRPr="00D02F4B" w:rsidRDefault="00C9600E" w:rsidP="004E1245">
            <w:pPr>
              <w:spacing w:line="276" w:lineRule="auto"/>
              <w:jc w:val="center"/>
              <w:rPr>
                <w:rFonts w:ascii="Times New Roman" w:hAnsi="Times New Roman" w:cs="Times New Roman"/>
                <w:b/>
                <w:lang w:val="en-US"/>
              </w:rPr>
            </w:pPr>
          </w:p>
        </w:tc>
        <w:tc>
          <w:tcPr>
            <w:tcW w:w="554" w:type="pct"/>
            <w:vMerge/>
            <w:noWrap/>
          </w:tcPr>
          <w:p w:rsidR="00C9600E" w:rsidRPr="00D02F4B" w:rsidRDefault="00C9600E" w:rsidP="004E1245">
            <w:pPr>
              <w:spacing w:line="276" w:lineRule="auto"/>
              <w:jc w:val="center"/>
              <w:rPr>
                <w:rFonts w:ascii="Times New Roman" w:hAnsi="Times New Roman" w:cs="Times New Roman"/>
                <w:b/>
                <w:lang w:val="en-US"/>
              </w:rPr>
            </w:pPr>
          </w:p>
        </w:tc>
      </w:tr>
      <w:tr w:rsidR="00C9600E" w:rsidRPr="00D02F4B" w:rsidTr="004E1245">
        <w:trPr>
          <w:trHeight w:val="372"/>
        </w:trPr>
        <w:tc>
          <w:tcPr>
            <w:tcW w:w="1033" w:type="pct"/>
            <w:vMerge w:val="restart"/>
            <w:noWrap/>
            <w:vAlign w:val="center"/>
            <w:hideMark/>
          </w:tcPr>
          <w:p w:rsidR="00C9600E" w:rsidRPr="00D02F4B" w:rsidRDefault="00C9600E" w:rsidP="004E1245">
            <w:pPr>
              <w:spacing w:line="276" w:lineRule="auto"/>
              <w:jc w:val="center"/>
              <w:rPr>
                <w:rFonts w:ascii="Times New Roman" w:hAnsi="Times New Roman" w:cs="Times New Roman"/>
                <w:b/>
                <w:lang w:val="en-US"/>
              </w:rPr>
            </w:pPr>
            <w:r w:rsidRPr="00D02F4B">
              <w:rPr>
                <w:rFonts w:ascii="Times New Roman" w:hAnsi="Times New Roman" w:cs="Times New Roman"/>
                <w:b/>
                <w:lang w:val="en-US"/>
              </w:rPr>
              <w:t>Age     (</w:t>
            </w:r>
            <w:r w:rsidRPr="00D02F4B">
              <w:rPr>
                <w:rFonts w:ascii="Times New Roman" w:eastAsia="Times New Roman" w:hAnsi="Times New Roman" w:cs="Times New Roman"/>
                <w:lang w:val="en-US" w:eastAsia="fr-FR"/>
              </w:rPr>
              <w:t>years)</w:t>
            </w:r>
          </w:p>
        </w:tc>
        <w:tc>
          <w:tcPr>
            <w:tcW w:w="1666" w:type="pct"/>
            <w:noWrap/>
          </w:tcPr>
          <w:p w:rsidR="00C9600E" w:rsidRPr="00D02F4B" w:rsidRDefault="00C9600E" w:rsidP="004E1245">
            <w:pPr>
              <w:tabs>
                <w:tab w:val="left" w:pos="1755"/>
              </w:tabs>
              <w:rPr>
                <w:rFonts w:ascii="Times New Roman" w:hAnsi="Times New Roman" w:cs="Times New Roman"/>
              </w:rPr>
            </w:pPr>
            <w:r w:rsidRPr="00D02F4B">
              <w:rPr>
                <w:rFonts w:ascii="Times New Roman" w:hAnsi="Times New Roman" w:cs="Times New Roman"/>
              </w:rPr>
              <w:t>0-11</w:t>
            </w:r>
            <w:r w:rsidRPr="00D02F4B">
              <w:rPr>
                <w:rFonts w:ascii="Times New Roman" w:hAnsi="Times New Roman" w:cs="Times New Roman"/>
              </w:rPr>
              <w:tab/>
            </w:r>
            <w:r>
              <w:rPr>
                <w:rFonts w:ascii="Times New Roman" w:hAnsi="Times New Roman" w:cs="Times New Roman"/>
              </w:rPr>
              <w:t xml:space="preserve"> </w:t>
            </w:r>
            <w:r w:rsidRPr="00D02F4B">
              <w:rPr>
                <w:rFonts w:ascii="Times New Roman" w:hAnsi="Times New Roman" w:cs="Times New Roman"/>
              </w:rPr>
              <w:t>86</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10(29.4)</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76(45.8)</w:t>
            </w:r>
          </w:p>
        </w:tc>
        <w:tc>
          <w:tcPr>
            <w:tcW w:w="554" w:type="pct"/>
            <w:vMerge w:val="restart"/>
            <w:noWrap/>
          </w:tcPr>
          <w:p w:rsidR="00C9600E" w:rsidRPr="00D02F4B" w:rsidRDefault="00C9600E" w:rsidP="004E1245">
            <w:pPr>
              <w:jc w:val="center"/>
              <w:rPr>
                <w:rFonts w:ascii="Times New Roman" w:hAnsi="Times New Roman" w:cs="Times New Roman"/>
                <w:lang w:val="en-US"/>
              </w:rPr>
            </w:pPr>
          </w:p>
          <w:p w:rsidR="00C9600E" w:rsidRPr="00D02F4B" w:rsidRDefault="00C9600E" w:rsidP="004E1245">
            <w:pPr>
              <w:jc w:val="center"/>
              <w:rPr>
                <w:rFonts w:ascii="Times New Roman" w:hAnsi="Times New Roman" w:cs="Times New Roman"/>
                <w:lang w:val="en-US"/>
              </w:rPr>
            </w:pPr>
            <w:r w:rsidRPr="00D02F4B">
              <w:rPr>
                <w:rFonts w:ascii="Times New Roman" w:hAnsi="Times New Roman" w:cs="Times New Roman"/>
                <w:lang w:val="en-US"/>
              </w:rPr>
              <w:t>0.186</w:t>
            </w:r>
          </w:p>
        </w:tc>
      </w:tr>
      <w:tr w:rsidR="00C9600E" w:rsidRPr="00D02F4B" w:rsidTr="004E1245">
        <w:trPr>
          <w:trHeight w:val="300"/>
        </w:trPr>
        <w:tc>
          <w:tcPr>
            <w:tcW w:w="1033" w:type="pct"/>
            <w:vMerge/>
            <w:noWrap/>
            <w:vAlign w:val="center"/>
          </w:tcPr>
          <w:p w:rsidR="00C9600E" w:rsidRPr="00D02F4B" w:rsidRDefault="00C9600E" w:rsidP="004E1245">
            <w:pPr>
              <w:spacing w:line="276" w:lineRule="auto"/>
              <w:jc w:val="center"/>
              <w:rPr>
                <w:rFonts w:ascii="Times New Roman" w:hAnsi="Times New Roman" w:cs="Times New Roman"/>
                <w:b/>
              </w:rPr>
            </w:pPr>
          </w:p>
        </w:tc>
        <w:tc>
          <w:tcPr>
            <w:tcW w:w="1666" w:type="pct"/>
            <w:noWrap/>
          </w:tcPr>
          <w:p w:rsidR="00C9600E" w:rsidRPr="00D02F4B" w:rsidRDefault="00C9600E" w:rsidP="004E1245">
            <w:pPr>
              <w:tabs>
                <w:tab w:val="left" w:pos="1785"/>
              </w:tabs>
              <w:rPr>
                <w:rFonts w:ascii="Times New Roman" w:hAnsi="Times New Roman" w:cs="Times New Roman"/>
              </w:rPr>
            </w:pPr>
            <w:r w:rsidRPr="00D02F4B">
              <w:rPr>
                <w:rFonts w:ascii="Times New Roman" w:hAnsi="Times New Roman" w:cs="Times New Roman"/>
              </w:rPr>
              <w:t>12-23</w:t>
            </w:r>
            <w:r w:rsidRPr="00D02F4B">
              <w:rPr>
                <w:rFonts w:ascii="Times New Roman" w:hAnsi="Times New Roman" w:cs="Times New Roman"/>
              </w:rPr>
              <w:tab/>
            </w:r>
            <w:r>
              <w:rPr>
                <w:rFonts w:ascii="Times New Roman" w:hAnsi="Times New Roman" w:cs="Times New Roman"/>
              </w:rPr>
              <w:t xml:space="preserve"> </w:t>
            </w:r>
            <w:r w:rsidRPr="00D02F4B">
              <w:rPr>
                <w:rFonts w:ascii="Times New Roman" w:hAnsi="Times New Roman" w:cs="Times New Roman"/>
              </w:rPr>
              <w:t>76</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15(44.1)</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61(36.7)</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noWrap/>
            <w:vAlign w:val="center"/>
            <w:hideMark/>
          </w:tcPr>
          <w:p w:rsidR="00C9600E" w:rsidRPr="00D02F4B" w:rsidRDefault="00C9600E" w:rsidP="004E1245">
            <w:pPr>
              <w:spacing w:line="276" w:lineRule="auto"/>
              <w:jc w:val="center"/>
              <w:rPr>
                <w:rFonts w:ascii="Times New Roman" w:hAnsi="Times New Roman" w:cs="Times New Roman"/>
                <w:b/>
              </w:rPr>
            </w:pPr>
          </w:p>
        </w:tc>
        <w:tc>
          <w:tcPr>
            <w:tcW w:w="1666" w:type="pct"/>
            <w:noWrap/>
          </w:tcPr>
          <w:p w:rsidR="00C9600E" w:rsidRPr="00D02F4B" w:rsidRDefault="00C9600E" w:rsidP="004E1245">
            <w:pPr>
              <w:tabs>
                <w:tab w:val="left" w:pos="1785"/>
              </w:tabs>
              <w:rPr>
                <w:rFonts w:ascii="Times New Roman" w:hAnsi="Times New Roman" w:cs="Times New Roman"/>
              </w:rPr>
            </w:pPr>
            <w:r w:rsidRPr="00D02F4B">
              <w:rPr>
                <w:rFonts w:ascii="Times New Roman" w:hAnsi="Times New Roman" w:cs="Times New Roman"/>
              </w:rPr>
              <w:t xml:space="preserve">23-59           </w:t>
            </w:r>
            <w:r w:rsidRPr="00D02F4B">
              <w:rPr>
                <w:rFonts w:ascii="Times New Roman" w:hAnsi="Times New Roman" w:cs="Times New Roman"/>
              </w:rPr>
              <w:tab/>
            </w:r>
            <w:r>
              <w:rPr>
                <w:rFonts w:ascii="Times New Roman" w:hAnsi="Times New Roman" w:cs="Times New Roman"/>
              </w:rPr>
              <w:t xml:space="preserve"> </w:t>
            </w:r>
            <w:r w:rsidRPr="00D02F4B">
              <w:rPr>
                <w:rFonts w:ascii="Times New Roman" w:hAnsi="Times New Roman" w:cs="Times New Roman"/>
              </w:rPr>
              <w:t>38</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09(26.5)</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29(17.5)</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val="restart"/>
            <w:noWrap/>
            <w:vAlign w:val="center"/>
            <w:hideMark/>
          </w:tcPr>
          <w:p w:rsidR="00C9600E" w:rsidRPr="00D02F4B" w:rsidRDefault="00C9600E" w:rsidP="004E1245">
            <w:pPr>
              <w:spacing w:line="276" w:lineRule="auto"/>
              <w:jc w:val="center"/>
              <w:rPr>
                <w:rFonts w:ascii="Times New Roman" w:hAnsi="Times New Roman" w:cs="Times New Roman"/>
                <w:b/>
              </w:rPr>
            </w:pPr>
            <w:r w:rsidRPr="00D02F4B">
              <w:rPr>
                <w:rFonts w:ascii="Times New Roman" w:hAnsi="Times New Roman" w:cs="Times New Roman"/>
                <w:b/>
              </w:rPr>
              <w:t>Gender</w:t>
            </w:r>
          </w:p>
        </w:tc>
        <w:tc>
          <w:tcPr>
            <w:tcW w:w="1666" w:type="pct"/>
            <w:noWrap/>
            <w:vAlign w:val="center"/>
          </w:tcPr>
          <w:p w:rsidR="00C9600E" w:rsidRPr="00D02F4B" w:rsidRDefault="00C9600E" w:rsidP="004E1245">
            <w:pPr>
              <w:rPr>
                <w:rFonts w:ascii="Times New Roman" w:hAnsi="Times New Roman" w:cs="Times New Roman"/>
              </w:rPr>
            </w:pPr>
            <w:r w:rsidRPr="00D02F4B">
              <w:rPr>
                <w:rFonts w:ascii="Times New Roman" w:hAnsi="Times New Roman" w:cs="Times New Roman"/>
              </w:rPr>
              <w:t xml:space="preserve">Masculin                 </w:t>
            </w:r>
            <w:r>
              <w:rPr>
                <w:rFonts w:ascii="Times New Roman" w:hAnsi="Times New Roman" w:cs="Times New Roman"/>
              </w:rPr>
              <w:t xml:space="preserve"> </w:t>
            </w:r>
            <w:r w:rsidRPr="00D02F4B">
              <w:rPr>
                <w:rFonts w:ascii="Times New Roman" w:hAnsi="Times New Roman" w:cs="Times New Roman"/>
              </w:rPr>
              <w:t>110</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lang w:val="en-US"/>
              </w:rPr>
              <w:t>26(76.55)</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84(50.6)</w:t>
            </w:r>
          </w:p>
        </w:tc>
        <w:tc>
          <w:tcPr>
            <w:tcW w:w="554" w:type="pct"/>
            <w:vMerge w:val="restart"/>
            <w:noWrap/>
          </w:tcPr>
          <w:p w:rsidR="00C9600E" w:rsidRPr="00D02F4B" w:rsidRDefault="00C9600E" w:rsidP="004E1245">
            <w:pPr>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rPr>
              <w:t>0.004</w:t>
            </w:r>
          </w:p>
        </w:tc>
      </w:tr>
      <w:tr w:rsidR="00C9600E" w:rsidRPr="00D02F4B" w:rsidTr="004E1245">
        <w:trPr>
          <w:trHeight w:val="212"/>
        </w:trPr>
        <w:tc>
          <w:tcPr>
            <w:tcW w:w="1033" w:type="pct"/>
            <w:vMerge/>
            <w:noWrap/>
            <w:vAlign w:val="center"/>
            <w:hideMark/>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rPr>
            </w:pPr>
            <w:r w:rsidRPr="00D02F4B">
              <w:rPr>
                <w:rFonts w:ascii="Times New Roman" w:hAnsi="Times New Roman" w:cs="Times New Roman"/>
              </w:rPr>
              <w:t xml:space="preserve">Féminin                 </w:t>
            </w:r>
            <w:r>
              <w:rPr>
                <w:rFonts w:ascii="Times New Roman" w:hAnsi="Times New Roman" w:cs="Times New Roman"/>
              </w:rPr>
              <w:t xml:space="preserve"> </w:t>
            </w:r>
            <w:r w:rsidRPr="00D02F4B">
              <w:rPr>
                <w:rFonts w:ascii="Times New Roman" w:hAnsi="Times New Roman" w:cs="Times New Roman"/>
              </w:rPr>
              <w:t xml:space="preserve">  90</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08(23.5)</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82(49.4)</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262"/>
        </w:trPr>
        <w:tc>
          <w:tcPr>
            <w:tcW w:w="1033" w:type="pct"/>
            <w:vMerge w:val="restart"/>
            <w:noWrap/>
            <w:vAlign w:val="center"/>
            <w:hideMark/>
          </w:tcPr>
          <w:p w:rsidR="00C9600E" w:rsidRPr="00D02F4B" w:rsidRDefault="00C9600E" w:rsidP="004E1245">
            <w:pPr>
              <w:jc w:val="center"/>
              <w:rPr>
                <w:rFonts w:ascii="Times New Roman" w:eastAsia="Times New Roman" w:hAnsi="Times New Roman" w:cs="Times New Roman"/>
                <w:b/>
                <w:bCs/>
                <w:lang w:eastAsia="fr-FR"/>
              </w:rPr>
            </w:pPr>
            <w:r w:rsidRPr="00D02F4B">
              <w:rPr>
                <w:rFonts w:ascii="Times New Roman" w:eastAsia="Times New Roman" w:hAnsi="Times New Roman" w:cs="Times New Roman"/>
                <w:b/>
                <w:bCs/>
                <w:lang w:eastAsia="fr-FR"/>
              </w:rPr>
              <w:t xml:space="preserve">Area of </w:t>
            </w:r>
            <w:proofErr w:type="spellStart"/>
            <w:r w:rsidRPr="00D02F4B">
              <w:rPr>
                <w:rFonts w:ascii="Times New Roman" w:eastAsia="Times New Roman" w:hAnsi="Times New Roman" w:cs="Times New Roman"/>
                <w:b/>
                <w:bCs/>
                <w:lang w:eastAsia="fr-FR"/>
              </w:rPr>
              <w:t>residence</w:t>
            </w:r>
            <w:proofErr w:type="spellEnd"/>
          </w:p>
        </w:tc>
        <w:tc>
          <w:tcPr>
            <w:tcW w:w="1666" w:type="pct"/>
            <w:noWrap/>
            <w:vAlign w:val="center"/>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Urbaine</w:t>
            </w:r>
            <w:r>
              <w:rPr>
                <w:rFonts w:ascii="Times New Roman" w:hAnsi="Times New Roman" w:cs="Times New Roman"/>
              </w:rPr>
              <w:t xml:space="preserve">                    148</w:t>
            </w:r>
          </w:p>
        </w:tc>
        <w:tc>
          <w:tcPr>
            <w:tcW w:w="794"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24(70.6)</w:t>
            </w:r>
          </w:p>
        </w:tc>
        <w:tc>
          <w:tcPr>
            <w:tcW w:w="953"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124(74.7)</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spacing w:line="276" w:lineRule="auto"/>
              <w:jc w:val="center"/>
              <w:rPr>
                <w:rFonts w:ascii="Times New Roman" w:hAnsi="Times New Roman" w:cs="Times New Roman"/>
              </w:rPr>
            </w:pPr>
            <w:r w:rsidRPr="00D02F4B">
              <w:rPr>
                <w:rFonts w:ascii="Times New Roman" w:hAnsi="Times New Roman" w:cs="Times New Roman"/>
              </w:rPr>
              <w:t>0.381</w:t>
            </w:r>
          </w:p>
        </w:tc>
      </w:tr>
      <w:tr w:rsidR="00C9600E" w:rsidRPr="00D02F4B" w:rsidTr="004E1245">
        <w:trPr>
          <w:trHeight w:val="300"/>
        </w:trPr>
        <w:tc>
          <w:tcPr>
            <w:tcW w:w="1033" w:type="pct"/>
            <w:vMerge/>
            <w:noWrap/>
            <w:vAlign w:val="center"/>
            <w:hideMark/>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rPr>
            </w:pPr>
            <w:r w:rsidRPr="00D02F4B">
              <w:rPr>
                <w:rFonts w:ascii="Times New Roman" w:hAnsi="Times New Roman" w:cs="Times New Roman"/>
              </w:rPr>
              <w:t>Rurale</w:t>
            </w:r>
            <w:r>
              <w:rPr>
                <w:rFonts w:ascii="Times New Roman" w:hAnsi="Times New Roman" w:cs="Times New Roman"/>
              </w:rPr>
              <w:t xml:space="preserve">                       52</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10(29.4)</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42(25.3)</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val="restart"/>
            <w:noWrap/>
            <w:vAlign w:val="center"/>
            <w:hideMark/>
          </w:tcPr>
          <w:p w:rsidR="00C9600E" w:rsidRPr="00D02F4B" w:rsidRDefault="00C9600E" w:rsidP="004E1245">
            <w:pPr>
              <w:spacing w:line="276" w:lineRule="auto"/>
              <w:jc w:val="center"/>
              <w:rPr>
                <w:rFonts w:ascii="Times New Roman" w:hAnsi="Times New Roman" w:cs="Times New Roman"/>
                <w:b/>
              </w:rPr>
            </w:pPr>
            <w:r w:rsidRPr="00D02F4B">
              <w:rPr>
                <w:rFonts w:ascii="Times New Roman" w:hAnsi="Times New Roman" w:cs="Times New Roman"/>
                <w:b/>
                <w:bCs/>
                <w:lang w:val="en-US"/>
              </w:rPr>
              <w:t>Vaccination status</w:t>
            </w:r>
          </w:p>
        </w:tc>
        <w:tc>
          <w:tcPr>
            <w:tcW w:w="1666" w:type="pct"/>
            <w:noWrap/>
            <w:vAlign w:val="center"/>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DOSE 0</w:t>
            </w:r>
            <w:r>
              <w:rPr>
                <w:rFonts w:ascii="Times New Roman" w:hAnsi="Times New Roman" w:cs="Times New Roman"/>
                <w:lang w:val="en-US"/>
              </w:rPr>
              <w:t xml:space="preserve">                    04</w:t>
            </w:r>
          </w:p>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 xml:space="preserve">(non </w:t>
            </w:r>
            <w:proofErr w:type="spellStart"/>
            <w:r w:rsidRPr="00D02F4B">
              <w:rPr>
                <w:rFonts w:ascii="Times New Roman" w:hAnsi="Times New Roman" w:cs="Times New Roman"/>
                <w:lang w:val="en-US"/>
              </w:rPr>
              <w:t>Vacciné</w:t>
            </w:r>
            <w:proofErr w:type="spellEnd"/>
            <w:r w:rsidRPr="00D02F4B">
              <w:rPr>
                <w:rFonts w:ascii="Times New Roman" w:hAnsi="Times New Roman" w:cs="Times New Roman"/>
                <w:lang w:val="en-US"/>
              </w:rPr>
              <w:t>)</w:t>
            </w:r>
          </w:p>
        </w:tc>
        <w:tc>
          <w:tcPr>
            <w:tcW w:w="794"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04(11.8)</w:t>
            </w:r>
          </w:p>
        </w:tc>
        <w:tc>
          <w:tcPr>
            <w:tcW w:w="953"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37(22.3)</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lang w:val="en-US"/>
              </w:rPr>
              <w:t>0.228</w:t>
            </w:r>
          </w:p>
        </w:tc>
      </w:tr>
      <w:tr w:rsidR="00C9600E" w:rsidRPr="00D02F4B" w:rsidTr="004E1245">
        <w:trPr>
          <w:trHeight w:val="300"/>
        </w:trPr>
        <w:tc>
          <w:tcPr>
            <w:tcW w:w="1033" w:type="pct"/>
            <w:vMerge/>
            <w:noWrap/>
            <w:vAlign w:val="center"/>
          </w:tcPr>
          <w:p w:rsidR="00C9600E" w:rsidRPr="00D02F4B" w:rsidRDefault="00C9600E" w:rsidP="004E1245">
            <w:pPr>
              <w:spacing w:line="276" w:lineRule="auto"/>
              <w:jc w:val="center"/>
              <w:rPr>
                <w:rFonts w:ascii="Times New Roman" w:hAnsi="Times New Roman" w:cs="Times New Roman"/>
                <w:b/>
                <w:bCs/>
              </w:rPr>
            </w:pPr>
          </w:p>
        </w:tc>
        <w:tc>
          <w:tcPr>
            <w:tcW w:w="1666" w:type="pct"/>
            <w:noWrap/>
            <w:vAlign w:val="center"/>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DOSE 1</w:t>
            </w:r>
            <w:r>
              <w:rPr>
                <w:rFonts w:ascii="Times New Roman" w:hAnsi="Times New Roman" w:cs="Times New Roman"/>
                <w:lang w:val="en-US"/>
              </w:rPr>
              <w:t xml:space="preserve">                    155</w:t>
            </w:r>
          </w:p>
        </w:tc>
        <w:tc>
          <w:tcPr>
            <w:tcW w:w="794" w:type="pct"/>
            <w:noWrap/>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00(0)</w:t>
            </w:r>
          </w:p>
        </w:tc>
        <w:tc>
          <w:tcPr>
            <w:tcW w:w="953" w:type="pct"/>
            <w:noWrap/>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04(2.4)</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noWrap/>
            <w:vAlign w:val="center"/>
            <w:hideMark/>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rPr>
            </w:pPr>
            <w:r w:rsidRPr="00D02F4B">
              <w:rPr>
                <w:rFonts w:ascii="Times New Roman" w:hAnsi="Times New Roman" w:cs="Times New Roman"/>
              </w:rPr>
              <w:t>DOSE 2</w:t>
            </w:r>
            <w:r>
              <w:rPr>
                <w:rFonts w:ascii="Times New Roman" w:hAnsi="Times New Roman" w:cs="Times New Roman"/>
              </w:rPr>
              <w:t xml:space="preserve">                    41</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lang w:val="en-US"/>
              </w:rPr>
              <w:t>30(88.2)</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lang w:val="en-US"/>
              </w:rPr>
              <w:t>125(75.3)</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246"/>
        </w:trPr>
        <w:tc>
          <w:tcPr>
            <w:tcW w:w="1033" w:type="pct"/>
            <w:vMerge w:val="restart"/>
            <w:noWrap/>
            <w:vAlign w:val="center"/>
          </w:tcPr>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proofErr w:type="spellStart"/>
            <w:r w:rsidRPr="00D02F4B">
              <w:rPr>
                <w:rFonts w:ascii="Times New Roman" w:eastAsia="Times New Roman" w:hAnsi="Times New Roman" w:cs="Times New Roman"/>
                <w:b/>
                <w:lang w:eastAsia="fr-FR"/>
              </w:rPr>
              <w:t>Breastfeeding</w:t>
            </w:r>
            <w:proofErr w:type="spellEnd"/>
            <w:r w:rsidRPr="00D02F4B">
              <w:rPr>
                <w:rFonts w:ascii="Times New Roman" w:eastAsia="Times New Roman" w:hAnsi="Times New Roman" w:cs="Times New Roman"/>
                <w:b/>
                <w:lang w:eastAsia="fr-FR"/>
              </w:rPr>
              <w:t xml:space="preserve"> Fashion</w:t>
            </w:r>
          </w:p>
          <w:p w:rsidR="00C9600E" w:rsidRPr="00D02F4B" w:rsidRDefault="00C9600E" w:rsidP="004E1245">
            <w:pPr>
              <w:tabs>
                <w:tab w:val="left" w:pos="2985"/>
                <w:tab w:val="center" w:pos="4528"/>
                <w:tab w:val="left" w:pos="6990"/>
              </w:tabs>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lang w:val="en-US"/>
              </w:rPr>
            </w:pPr>
            <w:proofErr w:type="spellStart"/>
            <w:r w:rsidRPr="00D02F4B">
              <w:rPr>
                <w:rFonts w:ascii="Times New Roman" w:hAnsi="Times New Roman" w:cs="Times New Roman"/>
                <w:lang w:val="en-US"/>
              </w:rPr>
              <w:t>Exclusif</w:t>
            </w:r>
            <w:proofErr w:type="spellEnd"/>
            <w:r>
              <w:rPr>
                <w:rFonts w:ascii="Times New Roman" w:hAnsi="Times New Roman" w:cs="Times New Roman"/>
                <w:lang w:val="en-US"/>
              </w:rPr>
              <w:t xml:space="preserve">                    06</w:t>
            </w:r>
          </w:p>
        </w:tc>
        <w:tc>
          <w:tcPr>
            <w:tcW w:w="794"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11(32.4)</w:t>
            </w:r>
          </w:p>
        </w:tc>
        <w:tc>
          <w:tcPr>
            <w:tcW w:w="953"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34(20.5)</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rPr>
              <w:t>0.196</w:t>
            </w:r>
          </w:p>
        </w:tc>
      </w:tr>
      <w:tr w:rsidR="00C9600E" w:rsidRPr="00D02F4B" w:rsidTr="004E1245">
        <w:trPr>
          <w:trHeight w:val="246"/>
        </w:trPr>
        <w:tc>
          <w:tcPr>
            <w:tcW w:w="1033" w:type="pct"/>
            <w:vMerge/>
            <w:noWrap/>
            <w:vAlign w:val="center"/>
          </w:tcPr>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p>
        </w:tc>
        <w:tc>
          <w:tcPr>
            <w:tcW w:w="1666" w:type="pct"/>
            <w:noWrap/>
            <w:vAlign w:val="center"/>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Mixte</w:t>
            </w:r>
            <w:r>
              <w:rPr>
                <w:rFonts w:ascii="Times New Roman" w:hAnsi="Times New Roman" w:cs="Times New Roman"/>
                <w:lang w:val="en-US"/>
              </w:rPr>
              <w:t xml:space="preserve">                        45</w:t>
            </w:r>
          </w:p>
        </w:tc>
        <w:tc>
          <w:tcPr>
            <w:tcW w:w="794" w:type="pct"/>
            <w:noWrap/>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23(67.6)</w:t>
            </w:r>
          </w:p>
        </w:tc>
        <w:tc>
          <w:tcPr>
            <w:tcW w:w="953" w:type="pct"/>
            <w:noWrap/>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126(75.9)</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noWrap/>
            <w:hideMark/>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rPr>
            </w:pPr>
            <w:r w:rsidRPr="00D02F4B">
              <w:rPr>
                <w:rFonts w:ascii="Times New Roman" w:hAnsi="Times New Roman" w:cs="Times New Roman"/>
              </w:rPr>
              <w:t>Artificiel</w:t>
            </w:r>
            <w:r>
              <w:rPr>
                <w:rFonts w:ascii="Times New Roman" w:hAnsi="Times New Roman" w:cs="Times New Roman"/>
              </w:rPr>
              <w:t xml:space="preserve">                   149</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lang w:val="en-US"/>
              </w:rPr>
              <w:t>00(0)</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lang w:val="en-US"/>
              </w:rPr>
              <w:t>06(3.6)</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val="restart"/>
            <w:noWrap/>
          </w:tcPr>
          <w:p w:rsidR="00C9600E" w:rsidRPr="00D02F4B" w:rsidRDefault="00C9600E" w:rsidP="004E1245">
            <w:pPr>
              <w:tabs>
                <w:tab w:val="left" w:pos="2535"/>
                <w:tab w:val="left" w:pos="6990"/>
              </w:tabs>
              <w:jc w:val="center"/>
              <w:rPr>
                <w:rFonts w:ascii="Times New Roman" w:hAnsi="Times New Roman" w:cs="Times New Roman"/>
                <w:b/>
                <w:bCs/>
              </w:rPr>
            </w:pPr>
          </w:p>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p>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r w:rsidRPr="00D02F4B">
              <w:rPr>
                <w:rFonts w:ascii="Times New Roman" w:eastAsia="Times New Roman" w:hAnsi="Times New Roman" w:cs="Times New Roman"/>
                <w:b/>
                <w:lang w:eastAsia="fr-FR"/>
              </w:rPr>
              <w:t>Sites</w:t>
            </w:r>
          </w:p>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CMA.L</w:t>
            </w:r>
            <w:r>
              <w:rPr>
                <w:rFonts w:ascii="Times New Roman" w:hAnsi="Times New Roman" w:cs="Times New Roman"/>
                <w:lang w:val="en-US"/>
              </w:rPr>
              <w:t xml:space="preserve">                     19</w:t>
            </w:r>
          </w:p>
        </w:tc>
        <w:tc>
          <w:tcPr>
            <w:tcW w:w="794"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05(14.7)</w:t>
            </w:r>
          </w:p>
        </w:tc>
        <w:tc>
          <w:tcPr>
            <w:tcW w:w="953"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14(8.4)</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rPr>
              <w:t>0.367</w:t>
            </w:r>
          </w:p>
        </w:tc>
      </w:tr>
      <w:tr w:rsidR="00C9600E" w:rsidRPr="00D02F4B" w:rsidTr="004E1245">
        <w:trPr>
          <w:trHeight w:val="300"/>
        </w:trPr>
        <w:tc>
          <w:tcPr>
            <w:tcW w:w="1033" w:type="pct"/>
            <w:vMerge/>
            <w:noWrap/>
          </w:tcPr>
          <w:p w:rsidR="00C9600E" w:rsidRPr="00D02F4B" w:rsidRDefault="00C9600E" w:rsidP="004E1245">
            <w:pPr>
              <w:tabs>
                <w:tab w:val="left" w:pos="2535"/>
                <w:tab w:val="left" w:pos="6990"/>
              </w:tabs>
              <w:jc w:val="center"/>
              <w:rPr>
                <w:rFonts w:ascii="Times New Roman" w:hAnsi="Times New Roman" w:cs="Times New Roman"/>
                <w:b/>
                <w:bCs/>
              </w:rPr>
            </w:pPr>
          </w:p>
        </w:tc>
        <w:tc>
          <w:tcPr>
            <w:tcW w:w="1666" w:type="pct"/>
            <w:noWrap/>
            <w:vAlign w:val="center"/>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HDS</w:t>
            </w:r>
            <w:r>
              <w:rPr>
                <w:rFonts w:ascii="Times New Roman" w:hAnsi="Times New Roman" w:cs="Times New Roman"/>
                <w:lang w:val="en-US"/>
              </w:rPr>
              <w:t xml:space="preserve">                          37</w:t>
            </w:r>
          </w:p>
        </w:tc>
        <w:tc>
          <w:tcPr>
            <w:tcW w:w="794"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05(14.7)</w:t>
            </w:r>
          </w:p>
        </w:tc>
        <w:tc>
          <w:tcPr>
            <w:tcW w:w="953"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32(19.3)</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noWrap/>
          </w:tcPr>
          <w:p w:rsidR="00C9600E" w:rsidRPr="00D02F4B" w:rsidRDefault="00C9600E" w:rsidP="004E1245">
            <w:pPr>
              <w:tabs>
                <w:tab w:val="left" w:pos="2535"/>
                <w:tab w:val="left" w:pos="6990"/>
              </w:tabs>
              <w:jc w:val="center"/>
              <w:rPr>
                <w:rFonts w:ascii="Times New Roman" w:hAnsi="Times New Roman" w:cs="Times New Roman"/>
                <w:b/>
                <w:bCs/>
              </w:rPr>
            </w:pPr>
          </w:p>
        </w:tc>
        <w:tc>
          <w:tcPr>
            <w:tcW w:w="1666" w:type="pct"/>
            <w:noWrap/>
            <w:vAlign w:val="center"/>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rPr>
              <w:t>HGR</w:t>
            </w:r>
            <w:r>
              <w:rPr>
                <w:rFonts w:ascii="Times New Roman" w:hAnsi="Times New Roman" w:cs="Times New Roman"/>
              </w:rPr>
              <w:t xml:space="preserve">                         136</w:t>
            </w:r>
          </w:p>
        </w:tc>
        <w:tc>
          <w:tcPr>
            <w:tcW w:w="794"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24(70.6)</w:t>
            </w:r>
          </w:p>
        </w:tc>
        <w:tc>
          <w:tcPr>
            <w:tcW w:w="953"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112(65.5)</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rPr>
            </w:pPr>
            <w:r w:rsidRPr="00D02F4B">
              <w:rPr>
                <w:rFonts w:ascii="Times New Roman" w:hAnsi="Times New Roman" w:cs="Times New Roman"/>
              </w:rPr>
              <w:t>CSR</w:t>
            </w:r>
            <w:r>
              <w:rPr>
                <w:rFonts w:ascii="Times New Roman" w:hAnsi="Times New Roman" w:cs="Times New Roman"/>
              </w:rPr>
              <w:t xml:space="preserve">                          08</w:t>
            </w:r>
          </w:p>
        </w:tc>
        <w:tc>
          <w:tcPr>
            <w:tcW w:w="794"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00(0)</w:t>
            </w:r>
          </w:p>
        </w:tc>
        <w:tc>
          <w:tcPr>
            <w:tcW w:w="953"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08(4.8)</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val="restart"/>
            <w:noWrap/>
          </w:tcPr>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p>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proofErr w:type="spellStart"/>
            <w:r w:rsidRPr="00D02F4B">
              <w:rPr>
                <w:rFonts w:ascii="Times New Roman" w:eastAsia="Times New Roman" w:hAnsi="Times New Roman" w:cs="Times New Roman"/>
                <w:b/>
                <w:lang w:eastAsia="fr-FR"/>
              </w:rPr>
              <w:t>Hospitalization</w:t>
            </w:r>
            <w:proofErr w:type="spellEnd"/>
          </w:p>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rPr>
            </w:pPr>
            <w:r w:rsidRPr="00D02F4B">
              <w:rPr>
                <w:rFonts w:ascii="Times New Roman" w:hAnsi="Times New Roman" w:cs="Times New Roman"/>
                <w:bCs/>
              </w:rPr>
              <w:t>Hospitalisés</w:t>
            </w:r>
            <w:r>
              <w:rPr>
                <w:rFonts w:ascii="Times New Roman" w:hAnsi="Times New Roman" w:cs="Times New Roman"/>
                <w:bCs/>
              </w:rPr>
              <w:t xml:space="preserve">              148</w:t>
            </w:r>
          </w:p>
        </w:tc>
        <w:tc>
          <w:tcPr>
            <w:tcW w:w="794"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25(73.5)</w:t>
            </w:r>
          </w:p>
        </w:tc>
        <w:tc>
          <w:tcPr>
            <w:tcW w:w="953"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123(74.1)</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rPr>
              <w:t>0.549</w:t>
            </w:r>
          </w:p>
        </w:tc>
      </w:tr>
      <w:tr w:rsidR="00C9600E" w:rsidRPr="00D02F4B" w:rsidTr="004E1245">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rPr>
            </w:pPr>
            <w:r w:rsidRPr="00D02F4B">
              <w:rPr>
                <w:rFonts w:ascii="Times New Roman" w:hAnsi="Times New Roman" w:cs="Times New Roman"/>
              </w:rPr>
              <w:t>Consultations</w:t>
            </w:r>
            <w:r>
              <w:rPr>
                <w:rFonts w:ascii="Times New Roman" w:hAnsi="Times New Roman" w:cs="Times New Roman"/>
              </w:rPr>
              <w:t xml:space="preserve">           52</w:t>
            </w:r>
          </w:p>
        </w:tc>
        <w:tc>
          <w:tcPr>
            <w:tcW w:w="794"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09(26.6)</w:t>
            </w:r>
          </w:p>
        </w:tc>
        <w:tc>
          <w:tcPr>
            <w:tcW w:w="953"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43(25.9)</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val="restart"/>
            <w:noWrap/>
          </w:tcPr>
          <w:p w:rsidR="00C9600E" w:rsidRPr="00D02F4B" w:rsidRDefault="00C9600E" w:rsidP="004E1245">
            <w:pPr>
              <w:tabs>
                <w:tab w:val="left" w:pos="3345"/>
                <w:tab w:val="center" w:pos="4528"/>
              </w:tabs>
              <w:jc w:val="center"/>
              <w:rPr>
                <w:rFonts w:ascii="Times New Roman" w:eastAsia="Times New Roman" w:hAnsi="Times New Roman" w:cs="Times New Roman"/>
                <w:b/>
                <w:lang w:eastAsia="fr-FR"/>
              </w:rPr>
            </w:pPr>
          </w:p>
          <w:p w:rsidR="00C9600E" w:rsidRPr="00D02F4B" w:rsidRDefault="00C9600E" w:rsidP="004E1245">
            <w:pPr>
              <w:tabs>
                <w:tab w:val="left" w:pos="3345"/>
                <w:tab w:val="center" w:pos="4528"/>
              </w:tabs>
              <w:jc w:val="center"/>
              <w:rPr>
                <w:rFonts w:ascii="Times New Roman" w:eastAsia="Times New Roman" w:hAnsi="Times New Roman" w:cs="Times New Roman"/>
                <w:b/>
                <w:lang w:eastAsia="fr-FR"/>
              </w:rPr>
            </w:pPr>
            <w:proofErr w:type="spellStart"/>
            <w:r w:rsidRPr="00D02F4B">
              <w:rPr>
                <w:rFonts w:ascii="Times New Roman" w:eastAsia="Times New Roman" w:hAnsi="Times New Roman" w:cs="Times New Roman"/>
                <w:b/>
                <w:lang w:eastAsia="fr-FR"/>
              </w:rPr>
              <w:t>Nutritional</w:t>
            </w:r>
            <w:proofErr w:type="spellEnd"/>
            <w:r w:rsidRPr="00D02F4B">
              <w:rPr>
                <w:rFonts w:ascii="Times New Roman" w:eastAsia="Times New Roman" w:hAnsi="Times New Roman" w:cs="Times New Roman"/>
                <w:b/>
                <w:lang w:eastAsia="fr-FR"/>
              </w:rPr>
              <w:t xml:space="preserve"> </w:t>
            </w:r>
            <w:proofErr w:type="spellStart"/>
            <w:r w:rsidRPr="00D02F4B">
              <w:rPr>
                <w:rFonts w:ascii="Times New Roman" w:eastAsia="Times New Roman" w:hAnsi="Times New Roman" w:cs="Times New Roman"/>
                <w:b/>
                <w:lang w:eastAsia="fr-FR"/>
              </w:rPr>
              <w:t>status</w:t>
            </w:r>
            <w:proofErr w:type="spellEnd"/>
          </w:p>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R.A.S (Stable</w:t>
            </w:r>
            <w:r>
              <w:rPr>
                <w:rFonts w:ascii="Times New Roman" w:hAnsi="Times New Roman" w:cs="Times New Roman"/>
              </w:rPr>
              <w:t xml:space="preserve">           79</w:t>
            </w:r>
          </w:p>
        </w:tc>
        <w:tc>
          <w:tcPr>
            <w:tcW w:w="794"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13(38.2)</w:t>
            </w:r>
          </w:p>
        </w:tc>
        <w:tc>
          <w:tcPr>
            <w:tcW w:w="953"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63(38.0)</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rPr>
              <w:t>0.485</w:t>
            </w:r>
          </w:p>
        </w:tc>
      </w:tr>
      <w:tr w:rsidR="00C9600E" w:rsidRPr="00D02F4B" w:rsidTr="004E1245">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rPr>
            </w:pPr>
            <w:r w:rsidRPr="00D02F4B">
              <w:rPr>
                <w:rFonts w:ascii="Times New Roman" w:hAnsi="Times New Roman" w:cs="Times New Roman"/>
              </w:rPr>
              <w:t>M.AM</w:t>
            </w:r>
            <w:r>
              <w:rPr>
                <w:rFonts w:ascii="Times New Roman" w:hAnsi="Times New Roman" w:cs="Times New Roman"/>
              </w:rPr>
              <w:t xml:space="preserve">                       67</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06(17.6)</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44(26.5)</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rPr>
            </w:pPr>
            <w:r w:rsidRPr="00D02F4B">
              <w:rPr>
                <w:rFonts w:ascii="Times New Roman" w:hAnsi="Times New Roman" w:cs="Times New Roman"/>
              </w:rPr>
              <w:t>M.A.S</w:t>
            </w:r>
            <w:r>
              <w:rPr>
                <w:rFonts w:ascii="Times New Roman" w:hAnsi="Times New Roman" w:cs="Times New Roman"/>
              </w:rPr>
              <w:t xml:space="preserve">                       54</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15(41.1)</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59(35.5)</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val="restart"/>
            <w:noWrap/>
          </w:tcPr>
          <w:p w:rsidR="00C9600E" w:rsidRPr="00D02F4B" w:rsidRDefault="00C9600E" w:rsidP="004E1245">
            <w:pPr>
              <w:tabs>
                <w:tab w:val="left" w:pos="2985"/>
                <w:tab w:val="center" w:pos="4528"/>
              </w:tabs>
              <w:jc w:val="center"/>
              <w:rPr>
                <w:rFonts w:ascii="Times New Roman" w:eastAsia="Times New Roman" w:hAnsi="Times New Roman" w:cs="Times New Roman"/>
                <w:b/>
                <w:bCs/>
                <w:lang w:eastAsia="fr-FR"/>
              </w:rPr>
            </w:pPr>
          </w:p>
          <w:p w:rsidR="00C9600E" w:rsidRPr="00D02F4B" w:rsidRDefault="00C9600E" w:rsidP="004E1245">
            <w:pPr>
              <w:tabs>
                <w:tab w:val="left" w:pos="2985"/>
                <w:tab w:val="center" w:pos="4528"/>
              </w:tabs>
              <w:jc w:val="center"/>
              <w:rPr>
                <w:rFonts w:ascii="Times New Roman" w:eastAsia="Times New Roman" w:hAnsi="Times New Roman" w:cs="Times New Roman"/>
                <w:b/>
                <w:bCs/>
                <w:lang w:eastAsia="fr-FR"/>
              </w:rPr>
            </w:pPr>
            <w:r w:rsidRPr="00D02F4B">
              <w:rPr>
                <w:rFonts w:ascii="Times New Roman" w:eastAsia="Times New Roman" w:hAnsi="Times New Roman" w:cs="Times New Roman"/>
                <w:b/>
                <w:bCs/>
                <w:lang w:eastAsia="fr-FR"/>
              </w:rPr>
              <w:t>Score Vesikari</w:t>
            </w:r>
          </w:p>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lang w:val="en-US"/>
              </w:rPr>
            </w:pPr>
            <w:proofErr w:type="spellStart"/>
            <w:r w:rsidRPr="00D02F4B">
              <w:rPr>
                <w:rFonts w:ascii="Times New Roman" w:hAnsi="Times New Roman" w:cs="Times New Roman"/>
                <w:lang w:val="en-US"/>
              </w:rPr>
              <w:t>Modéré</w:t>
            </w:r>
            <w:proofErr w:type="spellEnd"/>
            <w:r>
              <w:rPr>
                <w:rFonts w:ascii="Times New Roman" w:hAnsi="Times New Roman" w:cs="Times New Roman"/>
                <w:lang w:val="en-US"/>
              </w:rPr>
              <w:t xml:space="preserve">                     79</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17(50)</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62(37.3)</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lang w:val="en-US"/>
              </w:rPr>
              <w:t>0.97</w:t>
            </w:r>
          </w:p>
        </w:tc>
      </w:tr>
      <w:tr w:rsidR="00C9600E" w:rsidRPr="00D02F4B" w:rsidTr="004E1245">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lang w:val="en-US"/>
              </w:rPr>
            </w:pPr>
            <w:proofErr w:type="spellStart"/>
            <w:r w:rsidRPr="00D02F4B">
              <w:rPr>
                <w:rFonts w:ascii="Times New Roman" w:hAnsi="Times New Roman" w:cs="Times New Roman"/>
                <w:lang w:val="en-US"/>
              </w:rPr>
              <w:t>Moins</w:t>
            </w:r>
            <w:proofErr w:type="spellEnd"/>
            <w:r w:rsidRPr="00D02F4B">
              <w:rPr>
                <w:rFonts w:ascii="Times New Roman" w:hAnsi="Times New Roman" w:cs="Times New Roman"/>
                <w:lang w:val="en-US"/>
              </w:rPr>
              <w:t xml:space="preserve"> </w:t>
            </w:r>
            <w:proofErr w:type="spellStart"/>
            <w:r w:rsidRPr="00D02F4B">
              <w:rPr>
                <w:rFonts w:ascii="Times New Roman" w:hAnsi="Times New Roman" w:cs="Times New Roman"/>
                <w:lang w:val="en-US"/>
              </w:rPr>
              <w:t>Sévere</w:t>
            </w:r>
            <w:proofErr w:type="spellEnd"/>
            <w:r>
              <w:rPr>
                <w:rFonts w:ascii="Times New Roman" w:hAnsi="Times New Roman" w:cs="Times New Roman"/>
                <w:lang w:val="en-US"/>
              </w:rPr>
              <w:t xml:space="preserve">           17</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0(0)</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17(10.2)</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E1245">
            <w:pPr>
              <w:rPr>
                <w:rFonts w:ascii="Times New Roman" w:hAnsi="Times New Roman" w:cs="Times New Roman"/>
              </w:rPr>
            </w:pPr>
            <w:proofErr w:type="spellStart"/>
            <w:r w:rsidRPr="00D02F4B">
              <w:rPr>
                <w:rFonts w:ascii="Times New Roman" w:hAnsi="Times New Roman" w:cs="Times New Roman"/>
              </w:rPr>
              <w:t>Sévere</w:t>
            </w:r>
            <w:proofErr w:type="spellEnd"/>
            <w:r>
              <w:rPr>
                <w:rFonts w:ascii="Times New Roman" w:hAnsi="Times New Roman" w:cs="Times New Roman"/>
              </w:rPr>
              <w:t xml:space="preserve">                      104</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17(50)</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87(52.4)</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4E1245">
        <w:trPr>
          <w:trHeight w:val="300"/>
        </w:trPr>
        <w:tc>
          <w:tcPr>
            <w:tcW w:w="1033" w:type="pct"/>
            <w:vMerge w:val="restart"/>
            <w:noWrap/>
          </w:tcPr>
          <w:p w:rsidR="00C9600E" w:rsidRPr="00D02F4B" w:rsidRDefault="00C9600E" w:rsidP="004E1245">
            <w:pPr>
              <w:tabs>
                <w:tab w:val="left" w:pos="3540"/>
                <w:tab w:val="left" w:pos="6480"/>
              </w:tabs>
              <w:jc w:val="center"/>
              <w:rPr>
                <w:rFonts w:ascii="Times New Roman" w:hAnsi="Times New Roman" w:cs="Times New Roman"/>
                <w:b/>
              </w:rPr>
            </w:pPr>
          </w:p>
          <w:p w:rsidR="00C9600E" w:rsidRPr="00D02F4B" w:rsidRDefault="00C9600E" w:rsidP="004E1245">
            <w:pPr>
              <w:tabs>
                <w:tab w:val="left" w:pos="3540"/>
                <w:tab w:val="left" w:pos="6480"/>
              </w:tabs>
              <w:jc w:val="center"/>
              <w:rPr>
                <w:rFonts w:ascii="Times New Roman" w:hAnsi="Times New Roman" w:cs="Times New Roman"/>
                <w:b/>
              </w:rPr>
            </w:pPr>
            <w:r w:rsidRPr="00D02F4B">
              <w:rPr>
                <w:rFonts w:ascii="Times New Roman" w:hAnsi="Times New Roman" w:cs="Times New Roman"/>
                <w:b/>
              </w:rPr>
              <w:t>Season</w:t>
            </w:r>
          </w:p>
        </w:tc>
        <w:tc>
          <w:tcPr>
            <w:tcW w:w="1666" w:type="pct"/>
            <w:noWrap/>
            <w:vAlign w:val="center"/>
          </w:tcPr>
          <w:p w:rsidR="00C9600E" w:rsidRPr="00D02F4B" w:rsidRDefault="00C9600E" w:rsidP="004E1245">
            <w:pPr>
              <w:rPr>
                <w:rFonts w:ascii="Times New Roman" w:eastAsia="Times New Roman" w:hAnsi="Times New Roman" w:cs="Times New Roman"/>
                <w:lang w:eastAsia="fr-FR"/>
              </w:rPr>
            </w:pPr>
            <w:r w:rsidRPr="00D02F4B">
              <w:rPr>
                <w:rFonts w:ascii="Times New Roman" w:eastAsia="Times New Roman" w:hAnsi="Times New Roman" w:cs="Times New Roman"/>
                <w:lang w:eastAsia="fr-FR"/>
              </w:rPr>
              <w:t xml:space="preserve">Dried                  </w:t>
            </w:r>
            <w:r>
              <w:rPr>
                <w:rFonts w:ascii="Times New Roman" w:eastAsia="Times New Roman" w:hAnsi="Times New Roman" w:cs="Times New Roman"/>
                <w:lang w:eastAsia="fr-FR"/>
              </w:rPr>
              <w:t xml:space="preserve">    </w:t>
            </w:r>
            <w:r w:rsidRPr="00D02F4B">
              <w:rPr>
                <w:rFonts w:ascii="Times New Roman" w:eastAsia="Times New Roman" w:hAnsi="Times New Roman" w:cs="Times New Roman"/>
                <w:lang w:eastAsia="fr-FR"/>
              </w:rPr>
              <w:t xml:space="preserve">  174</w:t>
            </w:r>
          </w:p>
        </w:tc>
        <w:tc>
          <w:tcPr>
            <w:tcW w:w="794" w:type="pct"/>
            <w:noWrap/>
          </w:tcPr>
          <w:p w:rsidR="00C9600E" w:rsidRPr="00D02F4B" w:rsidRDefault="00C9600E" w:rsidP="004E1245">
            <w:pPr>
              <w:spacing w:line="276" w:lineRule="auto"/>
              <w:jc w:val="both"/>
              <w:rPr>
                <w:rFonts w:ascii="Times New Roman" w:hAnsi="Times New Roman" w:cs="Times New Roman"/>
              </w:rPr>
            </w:pPr>
            <w:r w:rsidRPr="00D02F4B">
              <w:rPr>
                <w:rFonts w:ascii="Times New Roman" w:hAnsi="Times New Roman" w:cs="Times New Roman"/>
              </w:rPr>
              <w:t>26(76,5)</w:t>
            </w:r>
          </w:p>
        </w:tc>
        <w:tc>
          <w:tcPr>
            <w:tcW w:w="953" w:type="pct"/>
            <w:noWrap/>
          </w:tcPr>
          <w:p w:rsidR="00C9600E" w:rsidRPr="00D02F4B" w:rsidRDefault="00C9600E" w:rsidP="004E1245">
            <w:pPr>
              <w:spacing w:line="276" w:lineRule="auto"/>
              <w:jc w:val="both"/>
              <w:rPr>
                <w:rFonts w:ascii="Times New Roman" w:hAnsi="Times New Roman" w:cs="Times New Roman"/>
              </w:rPr>
            </w:pPr>
            <w:r w:rsidRPr="00D02F4B">
              <w:rPr>
                <w:rFonts w:ascii="Times New Roman" w:hAnsi="Times New Roman" w:cs="Times New Roman"/>
              </w:rPr>
              <w:t>148(89,2)</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spacing w:line="276" w:lineRule="auto"/>
              <w:jc w:val="center"/>
              <w:rPr>
                <w:rFonts w:ascii="Times New Roman" w:hAnsi="Times New Roman" w:cs="Times New Roman"/>
              </w:rPr>
            </w:pPr>
            <w:r w:rsidRPr="00D02F4B">
              <w:rPr>
                <w:rFonts w:ascii="Times New Roman" w:hAnsi="Times New Roman" w:cs="Times New Roman"/>
              </w:rPr>
              <w:t>0,048</w:t>
            </w:r>
          </w:p>
        </w:tc>
      </w:tr>
      <w:tr w:rsidR="00C9600E" w:rsidRPr="00D02F4B" w:rsidTr="004E1245">
        <w:trPr>
          <w:trHeight w:val="300"/>
        </w:trPr>
        <w:tc>
          <w:tcPr>
            <w:tcW w:w="1033" w:type="pct"/>
            <w:vMerge/>
            <w:noWrap/>
          </w:tcPr>
          <w:p w:rsidR="00C9600E" w:rsidRPr="00D02F4B" w:rsidRDefault="00C9600E" w:rsidP="004E1245">
            <w:pPr>
              <w:spacing w:line="276" w:lineRule="auto"/>
              <w:jc w:val="both"/>
              <w:rPr>
                <w:rFonts w:ascii="Times New Roman" w:hAnsi="Times New Roman" w:cs="Times New Roman"/>
                <w:b/>
              </w:rPr>
            </w:pPr>
          </w:p>
        </w:tc>
        <w:tc>
          <w:tcPr>
            <w:tcW w:w="1666" w:type="pct"/>
            <w:noWrap/>
            <w:vAlign w:val="center"/>
          </w:tcPr>
          <w:p w:rsidR="00C9600E" w:rsidRPr="00D02F4B" w:rsidRDefault="00C9600E" w:rsidP="004E1245">
            <w:pPr>
              <w:rPr>
                <w:rFonts w:ascii="Times New Roman" w:eastAsia="Times New Roman" w:hAnsi="Times New Roman" w:cs="Times New Roman"/>
                <w:lang w:eastAsia="fr-FR"/>
              </w:rPr>
            </w:pPr>
            <w:r w:rsidRPr="00D02F4B">
              <w:rPr>
                <w:rFonts w:ascii="Times New Roman" w:eastAsia="Times New Roman" w:hAnsi="Times New Roman" w:cs="Times New Roman"/>
                <w:lang w:eastAsia="fr-FR"/>
              </w:rPr>
              <w:t xml:space="preserve">Rainy                    </w:t>
            </w:r>
            <w:r>
              <w:rPr>
                <w:rFonts w:ascii="Times New Roman" w:eastAsia="Times New Roman" w:hAnsi="Times New Roman" w:cs="Times New Roman"/>
                <w:lang w:eastAsia="fr-FR"/>
              </w:rPr>
              <w:t xml:space="preserve">    </w:t>
            </w:r>
            <w:r w:rsidRPr="00D02F4B">
              <w:rPr>
                <w:rFonts w:ascii="Times New Roman" w:eastAsia="Times New Roman" w:hAnsi="Times New Roman" w:cs="Times New Roman"/>
                <w:lang w:eastAsia="fr-FR"/>
              </w:rPr>
              <w:t>26</w:t>
            </w:r>
          </w:p>
        </w:tc>
        <w:tc>
          <w:tcPr>
            <w:tcW w:w="794" w:type="pct"/>
            <w:noWrap/>
          </w:tcPr>
          <w:p w:rsidR="00C9600E" w:rsidRPr="00D02F4B" w:rsidRDefault="00C9600E" w:rsidP="004E1245">
            <w:pPr>
              <w:spacing w:line="276" w:lineRule="auto"/>
              <w:jc w:val="both"/>
              <w:rPr>
                <w:rFonts w:ascii="Times New Roman" w:hAnsi="Times New Roman" w:cs="Times New Roman"/>
              </w:rPr>
            </w:pPr>
            <w:r w:rsidRPr="00D02F4B">
              <w:rPr>
                <w:rFonts w:ascii="Times New Roman" w:hAnsi="Times New Roman" w:cs="Times New Roman"/>
              </w:rPr>
              <w:t xml:space="preserve">08(23,5)                   </w:t>
            </w:r>
          </w:p>
        </w:tc>
        <w:tc>
          <w:tcPr>
            <w:tcW w:w="953" w:type="pct"/>
            <w:noWrap/>
          </w:tcPr>
          <w:p w:rsidR="00C9600E" w:rsidRPr="00D02F4B" w:rsidRDefault="00C9600E" w:rsidP="004E1245">
            <w:pPr>
              <w:spacing w:line="276" w:lineRule="auto"/>
              <w:jc w:val="both"/>
              <w:rPr>
                <w:rFonts w:ascii="Times New Roman" w:hAnsi="Times New Roman" w:cs="Times New Roman"/>
              </w:rPr>
            </w:pPr>
            <w:r w:rsidRPr="00D02F4B">
              <w:rPr>
                <w:rFonts w:ascii="Times New Roman" w:hAnsi="Times New Roman" w:cs="Times New Roman"/>
              </w:rPr>
              <w:t xml:space="preserve">18(10,8)              </w:t>
            </w:r>
          </w:p>
        </w:tc>
        <w:tc>
          <w:tcPr>
            <w:tcW w:w="554" w:type="pct"/>
            <w:vMerge/>
            <w:noWrap/>
          </w:tcPr>
          <w:p w:rsidR="00C9600E" w:rsidRPr="00D02F4B" w:rsidRDefault="00C9600E" w:rsidP="004E1245">
            <w:pPr>
              <w:spacing w:line="276" w:lineRule="auto"/>
              <w:jc w:val="both"/>
              <w:rPr>
                <w:rFonts w:ascii="Times New Roman" w:hAnsi="Times New Roman" w:cs="Times New Roman"/>
              </w:rPr>
            </w:pPr>
          </w:p>
        </w:tc>
      </w:tr>
    </w:tbl>
    <w:p w:rsidR="00C9600E" w:rsidRDefault="00C9600E" w:rsidP="00396357">
      <w:pPr>
        <w:spacing w:line="240" w:lineRule="auto"/>
        <w:jc w:val="both"/>
        <w:rPr>
          <w:rFonts w:ascii="Times New Roman" w:hAnsi="Times New Roman" w:cs="Times New Roman"/>
          <w:sz w:val="24"/>
          <w:szCs w:val="24"/>
        </w:rPr>
      </w:pPr>
    </w:p>
    <w:p w:rsidR="00C9600E" w:rsidRPr="000B239A" w:rsidRDefault="005C31AE" w:rsidP="000B239A">
      <w:pPr>
        <w:spacing w:line="240" w:lineRule="auto"/>
        <w:jc w:val="both"/>
        <w:rPr>
          <w:rFonts w:ascii="Times New Roman" w:hAnsi="Times New Roman" w:cs="Times New Roman"/>
          <w:sz w:val="24"/>
          <w:szCs w:val="24"/>
        </w:rPr>
      </w:pPr>
      <w:r w:rsidRPr="003157EF">
        <w:rPr>
          <w:rFonts w:ascii="Times New Roman" w:hAnsi="Times New Roman" w:cs="Times New Roman"/>
          <w:sz w:val="24"/>
          <w:szCs w:val="24"/>
        </w:rPr>
        <w:t>Table II summarizes the descriptive statistics for each variable. According to meteorological variables, the city of Garoua had relatively high temperatures ranging from 25.1 to 33.5°C (average: 29.25) with average rainfall around 44.44 mm/month and high variations in temperature. Humidity between 32 and 80%</w:t>
      </w:r>
    </w:p>
    <w:p w:rsidR="00C9600E" w:rsidRPr="00762A8B" w:rsidRDefault="00C9600E" w:rsidP="00C9600E">
      <w:pPr>
        <w:spacing w:after="0"/>
        <w:rPr>
          <w:rFonts w:ascii="Times New Roman" w:hAnsi="Times New Roman" w:cs="Times New Roman"/>
        </w:rPr>
      </w:pPr>
      <w:r w:rsidRPr="00762A8B">
        <w:rPr>
          <w:rFonts w:ascii="Times New Roman" w:hAnsi="Times New Roman" w:cs="Times New Roman"/>
          <w:b/>
        </w:rPr>
        <w:t>Table II</w:t>
      </w:r>
      <w:r w:rsidRPr="00762A8B">
        <w:rPr>
          <w:rFonts w:ascii="Times New Roman" w:hAnsi="Times New Roman" w:cs="Times New Roman"/>
        </w:rPr>
        <w:t>: Characteristics of meteorological variables of the study</w:t>
      </w:r>
    </w:p>
    <w:tbl>
      <w:tblPr>
        <w:tblpPr w:leftFromText="141" w:rightFromText="141" w:vertAnchor="text" w:horzAnchor="margin" w:tblpY="9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9"/>
        <w:gridCol w:w="908"/>
        <w:gridCol w:w="850"/>
        <w:gridCol w:w="992"/>
        <w:gridCol w:w="1134"/>
        <w:gridCol w:w="1560"/>
      </w:tblGrid>
      <w:tr w:rsidR="00C9600E" w:rsidRPr="00762A8B" w:rsidTr="004E1245">
        <w:trPr>
          <w:trHeight w:val="300"/>
        </w:trPr>
        <w:tc>
          <w:tcPr>
            <w:tcW w:w="4049"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Monthly weather variables</w:t>
            </w:r>
          </w:p>
        </w:tc>
        <w:tc>
          <w:tcPr>
            <w:tcW w:w="908"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Min</w:t>
            </w:r>
          </w:p>
        </w:tc>
        <w:tc>
          <w:tcPr>
            <w:tcW w:w="850"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Max</w:t>
            </w:r>
          </w:p>
        </w:tc>
        <w:tc>
          <w:tcPr>
            <w:tcW w:w="992"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Sig</w:t>
            </w:r>
          </w:p>
        </w:tc>
        <w:tc>
          <w:tcPr>
            <w:tcW w:w="1134" w:type="dxa"/>
            <w:noWrap/>
            <w:vAlign w:val="bottom"/>
            <w:hideMark/>
          </w:tcPr>
          <w:p w:rsidR="00C9600E" w:rsidRPr="00762A8B" w:rsidRDefault="00C9600E" w:rsidP="004E1245">
            <w:pPr>
              <w:spacing w:after="0" w:line="240" w:lineRule="auto"/>
              <w:rPr>
                <w:rFonts w:ascii="Times New Roman" w:hAnsi="Times New Roman" w:cs="Times New Roman"/>
                <w:b/>
              </w:rPr>
            </w:pPr>
            <w:proofErr w:type="spellStart"/>
            <w:r w:rsidRPr="00762A8B">
              <w:rPr>
                <w:rFonts w:ascii="Times New Roman" w:hAnsi="Times New Roman" w:cs="Times New Roman"/>
                <w:b/>
              </w:rPr>
              <w:t>Médian</w:t>
            </w:r>
            <w:proofErr w:type="spellEnd"/>
          </w:p>
        </w:tc>
        <w:tc>
          <w:tcPr>
            <w:tcW w:w="1560"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Std Dev.</w:t>
            </w:r>
          </w:p>
        </w:tc>
      </w:tr>
      <w:tr w:rsidR="00C9600E" w:rsidRPr="00762A8B" w:rsidTr="004E1245">
        <w:trPr>
          <w:trHeight w:val="300"/>
        </w:trPr>
        <w:tc>
          <w:tcPr>
            <w:tcW w:w="4049"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lastRenderedPageBreak/>
              <w:t>Average temperature (°C)</w:t>
            </w:r>
          </w:p>
        </w:tc>
        <w:tc>
          <w:tcPr>
            <w:tcW w:w="908"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25,1</w:t>
            </w:r>
          </w:p>
        </w:tc>
        <w:tc>
          <w:tcPr>
            <w:tcW w:w="85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34,0</w:t>
            </w:r>
          </w:p>
        </w:tc>
        <w:tc>
          <w:tcPr>
            <w:tcW w:w="992"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29,25</w:t>
            </w:r>
          </w:p>
        </w:tc>
        <w:tc>
          <w:tcPr>
            <w:tcW w:w="1134"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28,75</w:t>
            </w:r>
          </w:p>
        </w:tc>
        <w:tc>
          <w:tcPr>
            <w:tcW w:w="156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2,77</w:t>
            </w:r>
          </w:p>
        </w:tc>
      </w:tr>
      <w:tr w:rsidR="00C9600E" w:rsidRPr="00762A8B" w:rsidTr="004E1245">
        <w:trPr>
          <w:trHeight w:val="300"/>
        </w:trPr>
        <w:tc>
          <w:tcPr>
            <w:tcW w:w="4049"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Average relative humidity (%)</w:t>
            </w:r>
          </w:p>
        </w:tc>
        <w:tc>
          <w:tcPr>
            <w:tcW w:w="908"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32</w:t>
            </w:r>
          </w:p>
        </w:tc>
        <w:tc>
          <w:tcPr>
            <w:tcW w:w="85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80</w:t>
            </w:r>
          </w:p>
        </w:tc>
        <w:tc>
          <w:tcPr>
            <w:tcW w:w="992"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54,83</w:t>
            </w:r>
          </w:p>
        </w:tc>
        <w:tc>
          <w:tcPr>
            <w:tcW w:w="1134"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56,00</w:t>
            </w:r>
          </w:p>
        </w:tc>
        <w:tc>
          <w:tcPr>
            <w:tcW w:w="156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19,64</w:t>
            </w:r>
          </w:p>
        </w:tc>
      </w:tr>
      <w:tr w:rsidR="00C9600E" w:rsidRPr="00762A8B" w:rsidTr="004E1245">
        <w:trPr>
          <w:trHeight w:val="300"/>
        </w:trPr>
        <w:tc>
          <w:tcPr>
            <w:tcW w:w="4049"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Accumulated rainfall</w:t>
            </w:r>
          </w:p>
        </w:tc>
        <w:tc>
          <w:tcPr>
            <w:tcW w:w="908"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0</w:t>
            </w:r>
          </w:p>
        </w:tc>
        <w:tc>
          <w:tcPr>
            <w:tcW w:w="85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178,5</w:t>
            </w:r>
          </w:p>
        </w:tc>
        <w:tc>
          <w:tcPr>
            <w:tcW w:w="992"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44,44</w:t>
            </w:r>
          </w:p>
        </w:tc>
        <w:tc>
          <w:tcPr>
            <w:tcW w:w="1134"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17</w:t>
            </w:r>
          </w:p>
        </w:tc>
        <w:tc>
          <w:tcPr>
            <w:tcW w:w="156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NA</w:t>
            </w:r>
          </w:p>
        </w:tc>
      </w:tr>
      <w:tr w:rsidR="00C9600E" w:rsidRPr="00762A8B" w:rsidTr="004E1245">
        <w:trPr>
          <w:trHeight w:val="220"/>
        </w:trPr>
        <w:tc>
          <w:tcPr>
            <w:tcW w:w="4049" w:type="dxa"/>
            <w:noWrap/>
            <w:vAlign w:val="bottom"/>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Laboratory data</w:t>
            </w:r>
          </w:p>
        </w:tc>
        <w:tc>
          <w:tcPr>
            <w:tcW w:w="5444" w:type="dxa"/>
            <w:gridSpan w:val="5"/>
            <w:noWrap/>
            <w:vAlign w:val="bottom"/>
          </w:tcPr>
          <w:p w:rsidR="00C9600E" w:rsidRPr="00762A8B" w:rsidRDefault="00C9600E" w:rsidP="004E1245">
            <w:pPr>
              <w:spacing w:after="0" w:line="240" w:lineRule="auto"/>
              <w:rPr>
                <w:rFonts w:ascii="Times New Roman" w:hAnsi="Times New Roman" w:cs="Times New Roman"/>
              </w:rPr>
            </w:pPr>
          </w:p>
        </w:tc>
      </w:tr>
      <w:tr w:rsidR="00C9600E" w:rsidRPr="00762A8B" w:rsidTr="004E1245">
        <w:trPr>
          <w:trHeight w:val="300"/>
        </w:trPr>
        <w:tc>
          <w:tcPr>
            <w:tcW w:w="4049"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Samples collected</w:t>
            </w:r>
          </w:p>
        </w:tc>
        <w:tc>
          <w:tcPr>
            <w:tcW w:w="908"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05</w:t>
            </w:r>
          </w:p>
        </w:tc>
        <w:tc>
          <w:tcPr>
            <w:tcW w:w="850"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39</w:t>
            </w:r>
          </w:p>
        </w:tc>
        <w:tc>
          <w:tcPr>
            <w:tcW w:w="992"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16,67</w:t>
            </w:r>
          </w:p>
        </w:tc>
        <w:tc>
          <w:tcPr>
            <w:tcW w:w="1134"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18</w:t>
            </w:r>
          </w:p>
        </w:tc>
        <w:tc>
          <w:tcPr>
            <w:tcW w:w="1560"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9,73</w:t>
            </w:r>
          </w:p>
        </w:tc>
      </w:tr>
      <w:tr w:rsidR="00C9600E" w:rsidRPr="00762A8B" w:rsidTr="004E1245">
        <w:trPr>
          <w:trHeight w:val="292"/>
        </w:trPr>
        <w:tc>
          <w:tcPr>
            <w:tcW w:w="4049"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Global Rotavirus Cases</w:t>
            </w:r>
          </w:p>
        </w:tc>
        <w:tc>
          <w:tcPr>
            <w:tcW w:w="908"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00</w:t>
            </w:r>
          </w:p>
        </w:tc>
        <w:tc>
          <w:tcPr>
            <w:tcW w:w="850"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12</w:t>
            </w:r>
          </w:p>
        </w:tc>
        <w:tc>
          <w:tcPr>
            <w:tcW w:w="992"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2,83</w:t>
            </w:r>
          </w:p>
        </w:tc>
        <w:tc>
          <w:tcPr>
            <w:tcW w:w="1134"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02</w:t>
            </w:r>
          </w:p>
        </w:tc>
        <w:tc>
          <w:tcPr>
            <w:tcW w:w="1560"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3,09</w:t>
            </w:r>
          </w:p>
        </w:tc>
      </w:tr>
    </w:tbl>
    <w:p w:rsidR="00C9600E" w:rsidRDefault="00C9600E" w:rsidP="00396357">
      <w:pPr>
        <w:jc w:val="both"/>
        <w:rPr>
          <w:rFonts w:ascii="Times New Roman" w:hAnsi="Times New Roman" w:cs="Times New Roman"/>
        </w:rPr>
      </w:pPr>
    </w:p>
    <w:p w:rsidR="00396357" w:rsidRDefault="00396357" w:rsidP="00396357">
      <w:pPr>
        <w:jc w:val="both"/>
        <w:rPr>
          <w:rFonts w:ascii="Times New Roman" w:hAnsi="Times New Roman" w:cs="Times New Roman"/>
        </w:rPr>
      </w:pPr>
      <w:r w:rsidRPr="003157EF">
        <w:rPr>
          <w:rFonts w:ascii="Times New Roman" w:hAnsi="Times New Roman" w:cs="Times New Roman"/>
        </w:rPr>
        <w:t>The peak season for RVA coincided with the peak season for diarrhea during the cold, dry period from December to April, during which 95% of all cases occurred (Fig. 2). Although the number of diarrhea cases was high for five months of the year (December to April), the percentage of RVA positivity in diarrheal stool samples was highest in February and March (Fig. 2).</w:t>
      </w:r>
    </w:p>
    <w:p w:rsidR="000B239A" w:rsidRDefault="000B239A" w:rsidP="00396357">
      <w:pPr>
        <w:jc w:val="both"/>
        <w:rPr>
          <w:rFonts w:ascii="Times New Roman" w:hAnsi="Times New Roman" w:cs="Times New Roman"/>
        </w:rPr>
      </w:pPr>
      <w:r w:rsidRPr="007F23D9">
        <w:rPr>
          <w:rFonts w:ascii="Times New Roman" w:hAnsi="Times New Roman" w:cs="Times New Roman"/>
          <w:noProof/>
        </w:rPr>
        <w:drawing>
          <wp:inline distT="0" distB="0" distL="0" distR="0" wp14:anchorId="045133CC" wp14:editId="3A3CCED6">
            <wp:extent cx="5943600" cy="268605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239A" w:rsidRPr="00DF0F70" w:rsidRDefault="000B239A" w:rsidP="000B239A">
      <w:pPr>
        <w:rPr>
          <w:rFonts w:ascii="Times New Roman" w:hAnsi="Times New Roman" w:cs="Times New Roman"/>
        </w:rPr>
      </w:pPr>
      <w:r w:rsidRPr="00DF0F70">
        <w:rPr>
          <w:rFonts w:ascii="Times New Roman" w:hAnsi="Times New Roman" w:cs="Times New Roman"/>
          <w:b/>
        </w:rPr>
        <w:t>Figure 2:</w:t>
      </w:r>
      <w:r w:rsidRPr="00DF0F70">
        <w:rPr>
          <w:rFonts w:ascii="Times New Roman" w:hAnsi="Times New Roman" w:cs="Times New Roman"/>
        </w:rPr>
        <w:t xml:space="preserve"> RVA positivity rate according to meteorological parameters between March 2023 and February 2024.</w:t>
      </w:r>
    </w:p>
    <w:p w:rsidR="000B239A" w:rsidRDefault="000B239A" w:rsidP="00396357">
      <w:pPr>
        <w:jc w:val="both"/>
        <w:rPr>
          <w:rFonts w:ascii="Times New Roman" w:hAnsi="Times New Roman" w:cs="Times New Roman"/>
        </w:rPr>
      </w:pPr>
    </w:p>
    <w:p w:rsidR="000B239A" w:rsidRDefault="000B239A" w:rsidP="00DD520B">
      <w:pPr>
        <w:spacing w:after="0"/>
        <w:rPr>
          <w:rFonts w:ascii="Times New Roman" w:hAnsi="Times New Roman" w:cs="Times New Roman"/>
        </w:rPr>
      </w:pPr>
    </w:p>
    <w:p w:rsidR="006131A7" w:rsidRPr="003157EF" w:rsidRDefault="006131A7" w:rsidP="00DD520B">
      <w:pPr>
        <w:spacing w:after="0"/>
        <w:rPr>
          <w:rFonts w:ascii="Times New Roman" w:hAnsi="Times New Roman" w:cs="Times New Roman"/>
          <w:b/>
        </w:rPr>
      </w:pPr>
      <w:r w:rsidRPr="003157EF">
        <w:rPr>
          <w:rFonts w:ascii="Times New Roman" w:hAnsi="Times New Roman" w:cs="Times New Roman"/>
          <w:b/>
        </w:rPr>
        <w:t>Discussion:</w:t>
      </w:r>
    </w:p>
    <w:p w:rsidR="006131A7" w:rsidRPr="003157EF" w:rsidRDefault="006131A7" w:rsidP="006131A7">
      <w:pPr>
        <w:spacing w:after="0"/>
        <w:jc w:val="both"/>
        <w:rPr>
          <w:rFonts w:ascii="Times New Roman" w:hAnsi="Times New Roman" w:cs="Times New Roman"/>
        </w:rPr>
      </w:pPr>
      <w:r w:rsidRPr="003157EF">
        <w:rPr>
          <w:rFonts w:ascii="Times New Roman" w:hAnsi="Times New Roman" w:cs="Times New Roman"/>
        </w:rPr>
        <w:t xml:space="preserve">Overall, our study shows that RVA, despite the introduction of the rotavirus vaccine (Rotarix) in 2014, is still circulating in northern Cameroon (Garoua) at a low level. RVA is a frequent cause of sporadic cases of acute gastroenteritis in both developed and developing countries, as shown in several studies. The RVA antigen was identified, using an ELISA test, in 34 (17%) of 200 stool samples collected from children under five years of age with acute gastroenteritis (AGE) (Fig. 1). Our result is close to that of Junaid et al. 2011 [13] in a study conducted in Nigeria, which recorded 13.8%. However, it is lower than that of </w:t>
      </w:r>
      <w:proofErr w:type="spellStart"/>
      <w:r w:rsidRPr="003157EF">
        <w:rPr>
          <w:rFonts w:ascii="Times New Roman" w:hAnsi="Times New Roman" w:cs="Times New Roman"/>
        </w:rPr>
        <w:t>Ghapoutsa</w:t>
      </w:r>
      <w:proofErr w:type="spellEnd"/>
      <w:r w:rsidRPr="003157EF">
        <w:rPr>
          <w:rFonts w:ascii="Times New Roman" w:hAnsi="Times New Roman" w:cs="Times New Roman"/>
        </w:rPr>
        <w:t xml:space="preserve"> et al. (54.6%) in the Littoral region of Cameroon [14], and </w:t>
      </w:r>
      <w:proofErr w:type="spellStart"/>
      <w:r w:rsidRPr="003157EF">
        <w:rPr>
          <w:rFonts w:ascii="Times New Roman" w:hAnsi="Times New Roman" w:cs="Times New Roman"/>
        </w:rPr>
        <w:t>Esona</w:t>
      </w:r>
      <w:proofErr w:type="spellEnd"/>
      <w:r w:rsidRPr="003157EF">
        <w:rPr>
          <w:rFonts w:ascii="Times New Roman" w:hAnsi="Times New Roman" w:cs="Times New Roman"/>
        </w:rPr>
        <w:t xml:space="preserve"> et al. (2003) [15] in the Southwest and West (21.9%), Mbuh et al. (2012) [16] in the Northwest (28.7%), and </w:t>
      </w:r>
      <w:proofErr w:type="spellStart"/>
      <w:r w:rsidRPr="003157EF">
        <w:rPr>
          <w:rFonts w:ascii="Times New Roman" w:hAnsi="Times New Roman" w:cs="Times New Roman"/>
        </w:rPr>
        <w:t>Ndzé</w:t>
      </w:r>
      <w:proofErr w:type="spellEnd"/>
      <w:r w:rsidRPr="003157EF">
        <w:rPr>
          <w:rFonts w:ascii="Times New Roman" w:hAnsi="Times New Roman" w:cs="Times New Roman"/>
        </w:rPr>
        <w:t xml:space="preserve"> et al. (2012) [17] in the Far North and Northwest of Cameroon (42.8%). Some differences in the recorded prevalence rates could be explained by the laboratory technique used to detect RVA, as some use RT-PCR (reserved transcription polymerase chain reaction) and others, like us, use the enzyme-linked immunosorbent assay (ELISA).</w:t>
      </w:r>
    </w:p>
    <w:p w:rsidR="006131A7" w:rsidRPr="003157EF" w:rsidRDefault="006131A7" w:rsidP="006131A7">
      <w:pPr>
        <w:spacing w:after="0"/>
        <w:jc w:val="both"/>
        <w:rPr>
          <w:rFonts w:ascii="Times New Roman" w:hAnsi="Times New Roman" w:cs="Times New Roman"/>
        </w:rPr>
      </w:pPr>
      <w:r w:rsidRPr="003157EF">
        <w:rPr>
          <w:rFonts w:ascii="Times New Roman" w:hAnsi="Times New Roman" w:cs="Times New Roman"/>
        </w:rPr>
        <w:lastRenderedPageBreak/>
        <w:t>Furthermore, our work showed that RVA leads to hospitalizations in 73.5% of cases. This result is consistent with a report from Shanghai [18]</w:t>
      </w:r>
      <w:r w:rsidR="009E32E9" w:rsidRPr="003157EF">
        <w:rPr>
          <w:rFonts w:ascii="Times New Roman" w:hAnsi="Times New Roman" w:cs="Times New Roman"/>
        </w:rPr>
        <w:t xml:space="preserve"> </w:t>
      </w:r>
      <w:r w:rsidRPr="003157EF">
        <w:rPr>
          <w:rFonts w:ascii="Times New Roman" w:hAnsi="Times New Roman" w:cs="Times New Roman"/>
        </w:rPr>
        <w:t>[19]. This is likely due to the fact that RVA is more likely associated with cases of acute gastroenteritis that lead to hospitalizations in children [20]. Globally, the proportion of RVA gastroenteritis in hospitalized children under 5 years of age has been estimated at 30–40% in both low- and high-income countries [19].</w:t>
      </w:r>
    </w:p>
    <w:p w:rsidR="008761F1" w:rsidRPr="003157EF" w:rsidRDefault="006131A7" w:rsidP="008761F1">
      <w:pPr>
        <w:spacing w:after="0"/>
        <w:jc w:val="both"/>
        <w:rPr>
          <w:rFonts w:ascii="Times New Roman" w:hAnsi="Times New Roman" w:cs="Times New Roman"/>
        </w:rPr>
      </w:pPr>
      <w:r w:rsidRPr="003157EF">
        <w:rPr>
          <w:rFonts w:ascii="Times New Roman" w:hAnsi="Times New Roman" w:cs="Times New Roman"/>
        </w:rPr>
        <w:t xml:space="preserve">The WHO estimates that RVA is responsible for 38% of gastroenteritis cases worldwide, with a higher prevalence of the virus in low-income areas of Africa (34%) compared to high-income areas of the Americas (22%) and Europe (29%) [3]. However, following the introduction of the rotavirus vaccine, the hospitalization rate for RVA has been halved in Cameroon, as has been the case in several countries that have introduced the RV vaccine into their immunization schedules [21][22][23]. </w:t>
      </w:r>
      <w:r w:rsidR="008761F1" w:rsidRPr="003157EF">
        <w:rPr>
          <w:rFonts w:ascii="Times New Roman" w:hAnsi="Times New Roman" w:cs="Times New Roman"/>
        </w:rPr>
        <w:t>These differences in prevalence can also be attributed to several factors, including the population studied, different study designs, socioeconomic status, sampling period (during the peak RVA season or throughout the year), the type of diagnostic procedures used, and patient age.</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 xml:space="preserve">In our work, the results obtained according to sex show that the detection rate of RVA gastroenteritis was higher in men than in women (76.5% vs. 23.5%); P=0.004. This is also consistent with previous work conducted in Morocco by </w:t>
      </w:r>
      <w:proofErr w:type="spellStart"/>
      <w:r w:rsidRPr="003157EF">
        <w:rPr>
          <w:rFonts w:ascii="Times New Roman" w:hAnsi="Times New Roman" w:cs="Times New Roman"/>
        </w:rPr>
        <w:t>d’El</w:t>
      </w:r>
      <w:proofErr w:type="spellEnd"/>
      <w:r w:rsidRPr="003157EF">
        <w:rPr>
          <w:rFonts w:ascii="Times New Roman" w:hAnsi="Times New Roman" w:cs="Times New Roman"/>
        </w:rPr>
        <w:t xml:space="preserve"> </w:t>
      </w:r>
      <w:proofErr w:type="spellStart"/>
      <w:r w:rsidRPr="003157EF">
        <w:rPr>
          <w:rFonts w:ascii="Times New Roman" w:hAnsi="Times New Roman" w:cs="Times New Roman"/>
        </w:rPr>
        <w:t>Quazoui</w:t>
      </w:r>
      <w:proofErr w:type="spellEnd"/>
      <w:r w:rsidRPr="003157EF">
        <w:rPr>
          <w:rFonts w:ascii="Times New Roman" w:hAnsi="Times New Roman" w:cs="Times New Roman"/>
        </w:rPr>
        <w:t>, in Egypt, and in other countries, suggesting that men are more susceptible to RVA infection because they may have a high rate of RVA infection in their fecal excretion [24][25][26][27][28].</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Micronutrient deficiencies, particularly in zinc and vitamin A, have been shown to be a contributing factor to the development of gastroenteritis. Boys' growth is associated with the development of generally greater muscle mass than girls'. Thus, micronutrient requirements may be higher in boys, exposing them to more dietary imbalances, particularly zinc and vitamin A deficiencies [29].</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On average, 73.5% of respiratory varicella (RVA) infections affected children under 24 months of age during the study period. The difference was not statistically significant (P=0.184). This study suggests that younger children are more susceptible to RV infection than the older group. The predominance of gastroenteritis in children under 24 months of age could be due to greater susceptibility to infectious agents in this age group. Indeed, the low prevalence of gastroenteritis before the age of 12 months can be explained by residual specific immunity, transmitted from mother to child through the placenta during embryonic development. This immunity consists of serum immunoglobulins that can persist in the child's bloodstream until the age of 6 months. Furthermore, breast milk, which is often the infant's primary (if not sole) food until 6 months of age, confers immunity against gastroenteritis [30]. The introduction of complementary foods, which begins around 6 months, significantly increases the likelihood of infectious contact between the child and microbial agents. Moreover, if the introduction of complementary foods is poorly managed, it exposes the child to malnutrition that can lead to gastroenteritis. After the age of 24 months, the progressive development of the young child's immune system and repeated contact with infectious agents reduce the number of cases of infectious gastroenteritis. Similar observations have been made by some authors [31]</w:t>
      </w:r>
      <w:r w:rsidR="009E32E9" w:rsidRPr="003157EF">
        <w:rPr>
          <w:rFonts w:ascii="Times New Roman" w:hAnsi="Times New Roman" w:cs="Times New Roman"/>
        </w:rPr>
        <w:t xml:space="preserve"> </w:t>
      </w:r>
      <w:r w:rsidRPr="003157EF">
        <w:rPr>
          <w:rFonts w:ascii="Times New Roman" w:hAnsi="Times New Roman" w:cs="Times New Roman"/>
        </w:rPr>
        <w:t>[16][17][32].</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During this study, the Garoua Regional Hospital (HRG) was the most frequently visited hospital for acute gastroenteritis among children under 5 years of age. This observation is supported by the fact that the HRG is a leading healthcare facility in the Northern region, with a pediatrics and neonatology department. It also has a nutritional and therapeutic unit dedicated to infant and child health, making it one of the referral hospitals for children in this part of the country. Furthermore, its central location provides good geographical accessibility, complemented by the relatively low cost of the care and services it offers.</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 xml:space="preserve">Nutritional status has a significant impact on immune system development; 44.1% of infected children suffered from severe acute malnutrition and 17.6% from moderate acute malnutrition, with no significant difference (P=0.485) (Table 1). Severe acute malnutrition can lead to impaired development of protective immune responses after vaccination and increase host susceptibility to RVA infection. Furthermore, poor </w:t>
      </w:r>
      <w:r w:rsidRPr="003157EF">
        <w:rPr>
          <w:rFonts w:ascii="Times New Roman" w:hAnsi="Times New Roman" w:cs="Times New Roman"/>
        </w:rPr>
        <w:lastRenderedPageBreak/>
        <w:t>sanitation and a lack of clean water increase exposure to other enteric pathogens, a condition known to inhibit immune responses to the RVA vaccine [33].</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 xml:space="preserve">The </w:t>
      </w:r>
      <w:proofErr w:type="spellStart"/>
      <w:r w:rsidRPr="003157EF">
        <w:rPr>
          <w:rFonts w:ascii="Times New Roman" w:hAnsi="Times New Roman" w:cs="Times New Roman"/>
        </w:rPr>
        <w:t>Vesikari</w:t>
      </w:r>
      <w:proofErr w:type="spellEnd"/>
      <w:r w:rsidRPr="003157EF">
        <w:rPr>
          <w:rFonts w:ascii="Times New Roman" w:hAnsi="Times New Roman" w:cs="Times New Roman"/>
        </w:rPr>
        <w:t xml:space="preserve"> clinical severity score among RVA-infected children shows that 50% were classified as moderate and 50% as severe. This demonstrates the severity of RVA infection in these children with very poor nutritional status. This may be explained by the young age of the infected children, making them more susceptible to severe illness. According to the World Health Organization's scientific working group, most cases of RVA infection occur in children under 24 months of age, with a peak incidence between 9 and 12 months. It is assumed that young children tend to be at increased risk of developing severe dehydration due to their small body size, as they lose a greater proportion of their total fluid volume during illness [34]. Although our results show the presence of RVA infection throughout the year, high rates are recorded during the dry season compared to the rainy season, which shows low rates. We noted a statistically significant difference. We assessed the association between rotaviral activity and three meteorological variables (temperature, relative humidity, and rainfall) in the city of Garoua, which has a tropical Sudanese climate. Data from 2020 indicate a major peak in RVA circulation (February). Some studies suggest that the most favorable conditions for RVA persistence and transmission occur during the winter months [35].</w:t>
      </w:r>
    </w:p>
    <w:p w:rsidR="009E7C05" w:rsidRPr="003157EF" w:rsidRDefault="008761F1" w:rsidP="008761F1">
      <w:pPr>
        <w:jc w:val="both"/>
        <w:rPr>
          <w:rFonts w:ascii="Times New Roman" w:hAnsi="Times New Roman" w:cs="Times New Roman"/>
        </w:rPr>
      </w:pPr>
      <w:r w:rsidRPr="003157EF">
        <w:rPr>
          <w:rFonts w:ascii="Times New Roman" w:hAnsi="Times New Roman" w:cs="Times New Roman"/>
        </w:rPr>
        <w:t>This contradicts our results, as the seasonal distribution of RVA observed in this study is predominantly summer-based. RVA infections occurred throughout the year in our study; however, the majority of infections were detected during the dry season. This change in the seasonal circulation of the RVA could have been influenced by unprecedented global disturbances and human behavior. In Cameroon, and especially in the northern region, the climate is semi-arid, unlike the temperate climate of France, which may explain this difference. The seasonality observed in our study is similar to that recorded in Southern Hemisphere countries such as Australia and Brazil, where there is a peak in the incidence of the RVA during the su</w:t>
      </w:r>
      <w:r w:rsidR="00254CB6" w:rsidRPr="003157EF">
        <w:rPr>
          <w:rFonts w:ascii="Times New Roman" w:hAnsi="Times New Roman" w:cs="Times New Roman"/>
        </w:rPr>
        <w:t>mmer (January, February, March)</w:t>
      </w:r>
      <w:r w:rsidRPr="003157EF">
        <w:rPr>
          <w:rFonts w:ascii="Times New Roman" w:hAnsi="Times New Roman" w:cs="Times New Roman"/>
        </w:rPr>
        <w:t xml:space="preserve"> [36] [37]</w:t>
      </w:r>
    </w:p>
    <w:p w:rsidR="009E7C05" w:rsidRPr="003157EF" w:rsidRDefault="009E7C05" w:rsidP="00DD520B">
      <w:pPr>
        <w:spacing w:after="0"/>
        <w:jc w:val="both"/>
        <w:rPr>
          <w:rFonts w:ascii="Times New Roman" w:hAnsi="Times New Roman" w:cs="Times New Roman"/>
          <w:b/>
        </w:rPr>
      </w:pPr>
      <w:r w:rsidRPr="003157EF">
        <w:rPr>
          <w:rFonts w:ascii="Times New Roman" w:hAnsi="Times New Roman" w:cs="Times New Roman"/>
          <w:b/>
        </w:rPr>
        <w:t xml:space="preserve">Conclusion: </w:t>
      </w:r>
    </w:p>
    <w:p w:rsidR="009E7C05" w:rsidRPr="003157EF" w:rsidRDefault="009E7C05" w:rsidP="009E7C05">
      <w:pPr>
        <w:jc w:val="both"/>
        <w:rPr>
          <w:rFonts w:ascii="Times New Roman" w:hAnsi="Times New Roman" w:cs="Times New Roman"/>
        </w:rPr>
      </w:pPr>
      <w:r w:rsidRPr="003157EF">
        <w:rPr>
          <w:rFonts w:ascii="Times New Roman" w:hAnsi="Times New Roman" w:cs="Times New Roman"/>
        </w:rPr>
        <w:t>A spectrum of etiological agents are implicated in diarrhea, which constitutes a significant health burden worldwide, including in Cameroon. Data from the current study indicate that by conducting prevalence studies and identifying risk factors, the disease can be prevented or managed in a timely manner. This, in turn, can reduce morbidity and the high mortality rate among infants. This issue warrants a broad-spectrum investigation. It is imperative to establish and maintain an active surveillance network for RVA typing to monitor the potential emergence of new strains and changes in clinical and epidemiological characteristics. Furthermore, data on the circulation of RVA strains will play a central role in informing the improvement and design of new vaccines.</w:t>
      </w:r>
    </w:p>
    <w:p w:rsidR="009E7C05" w:rsidRPr="003157EF" w:rsidRDefault="009E7C05" w:rsidP="009E7C05">
      <w:pPr>
        <w:spacing w:after="0" w:line="276" w:lineRule="auto"/>
        <w:jc w:val="both"/>
        <w:rPr>
          <w:rFonts w:ascii="Times New Roman" w:hAnsi="Times New Roman" w:cs="Times New Roman"/>
          <w:b/>
        </w:rPr>
      </w:pPr>
      <w:bookmarkStart w:id="0" w:name="_GoBack"/>
      <w:bookmarkEnd w:id="0"/>
      <w:r w:rsidRPr="003157EF">
        <w:rPr>
          <w:rFonts w:ascii="Times New Roman" w:hAnsi="Times New Roman" w:cs="Times New Roman"/>
          <w:b/>
        </w:rPr>
        <w:t>List of Abbreviations</w:t>
      </w:r>
    </w:p>
    <w:p w:rsidR="009E7C05" w:rsidRPr="003157EF" w:rsidRDefault="009E7C05" w:rsidP="009E7C05">
      <w:pPr>
        <w:spacing w:after="0" w:line="276" w:lineRule="auto"/>
        <w:jc w:val="both"/>
        <w:rPr>
          <w:rFonts w:ascii="Times New Roman" w:hAnsi="Times New Roman" w:cs="Times New Roman"/>
        </w:rPr>
      </w:pPr>
      <w:r w:rsidRPr="003157EF">
        <w:rPr>
          <w:rFonts w:ascii="Times New Roman" w:hAnsi="Times New Roman" w:cs="Times New Roman"/>
        </w:rPr>
        <w:t xml:space="preserve">ELISA: Enzyme Linked </w:t>
      </w:r>
      <w:proofErr w:type="spellStart"/>
      <w:r w:rsidRPr="003157EF">
        <w:rPr>
          <w:rFonts w:ascii="Times New Roman" w:hAnsi="Times New Roman" w:cs="Times New Roman"/>
        </w:rPr>
        <w:t>ImmunoSorbent</w:t>
      </w:r>
      <w:proofErr w:type="spellEnd"/>
      <w:r w:rsidRPr="003157EF">
        <w:rPr>
          <w:rFonts w:ascii="Times New Roman" w:hAnsi="Times New Roman" w:cs="Times New Roman"/>
        </w:rPr>
        <w:t xml:space="preserve"> Assay</w:t>
      </w:r>
    </w:p>
    <w:p w:rsidR="009E7C05" w:rsidRPr="003157EF" w:rsidRDefault="009E7C05" w:rsidP="009E7C05">
      <w:pPr>
        <w:spacing w:after="0" w:line="276" w:lineRule="auto"/>
        <w:jc w:val="both"/>
        <w:rPr>
          <w:rFonts w:ascii="Times New Roman" w:hAnsi="Times New Roman" w:cs="Times New Roman"/>
          <w:lang w:val="fr-FR"/>
        </w:rPr>
      </w:pPr>
      <w:r w:rsidRPr="003157EF">
        <w:rPr>
          <w:rFonts w:ascii="Times New Roman" w:hAnsi="Times New Roman" w:cs="Times New Roman"/>
          <w:lang w:val="fr-FR"/>
        </w:rPr>
        <w:t xml:space="preserve">HRG : Hôpital Régional de Garoua </w:t>
      </w:r>
    </w:p>
    <w:p w:rsidR="009E7C05" w:rsidRPr="003157EF" w:rsidRDefault="009E7C05" w:rsidP="009E7C05">
      <w:pPr>
        <w:spacing w:after="0" w:line="276" w:lineRule="auto"/>
        <w:jc w:val="both"/>
        <w:rPr>
          <w:rFonts w:ascii="Times New Roman" w:hAnsi="Times New Roman" w:cs="Times New Roman"/>
          <w:lang w:val="fr-FR"/>
        </w:rPr>
      </w:pPr>
      <w:r w:rsidRPr="003157EF">
        <w:rPr>
          <w:rFonts w:ascii="Times New Roman" w:hAnsi="Times New Roman" w:cs="Times New Roman"/>
          <w:lang w:val="fr-FR"/>
        </w:rPr>
        <w:t xml:space="preserve">CSR : Centre de Sante </w:t>
      </w:r>
      <w:proofErr w:type="spellStart"/>
      <w:r w:rsidRPr="003157EF">
        <w:rPr>
          <w:rFonts w:ascii="Times New Roman" w:hAnsi="Times New Roman" w:cs="Times New Roman"/>
          <w:lang w:val="fr-FR"/>
        </w:rPr>
        <w:t>Roumde</w:t>
      </w:r>
      <w:proofErr w:type="spellEnd"/>
    </w:p>
    <w:p w:rsidR="009E7C05" w:rsidRPr="00463B9A" w:rsidRDefault="009E7C05" w:rsidP="009E7C05">
      <w:pPr>
        <w:spacing w:after="0" w:line="276" w:lineRule="auto"/>
        <w:jc w:val="both"/>
        <w:rPr>
          <w:rFonts w:ascii="Times New Roman" w:hAnsi="Times New Roman" w:cs="Times New Roman"/>
          <w:lang w:val="fr-CM"/>
        </w:rPr>
      </w:pPr>
      <w:r w:rsidRPr="00463B9A">
        <w:rPr>
          <w:rFonts w:ascii="Times New Roman" w:hAnsi="Times New Roman" w:cs="Times New Roman"/>
          <w:lang w:val="fr-CM"/>
        </w:rPr>
        <w:t xml:space="preserve">HND : Hôpital Notre Dame </w:t>
      </w:r>
    </w:p>
    <w:p w:rsidR="00CF4D26" w:rsidRPr="00463B9A" w:rsidRDefault="00CF4D26" w:rsidP="009E7C05">
      <w:pPr>
        <w:spacing w:after="0" w:line="276" w:lineRule="auto"/>
        <w:jc w:val="both"/>
        <w:rPr>
          <w:rFonts w:ascii="Times New Roman" w:hAnsi="Times New Roman" w:cs="Times New Roman"/>
          <w:lang w:val="fr-CM"/>
        </w:rPr>
      </w:pPr>
      <w:r w:rsidRPr="00463B9A">
        <w:rPr>
          <w:rFonts w:ascii="Times New Roman" w:hAnsi="Times New Roman" w:cs="Times New Roman"/>
          <w:lang w:val="fr-CM"/>
        </w:rPr>
        <w:t xml:space="preserve">PV: </w:t>
      </w:r>
      <w:proofErr w:type="spellStart"/>
      <w:r w:rsidRPr="00463B9A">
        <w:rPr>
          <w:rFonts w:ascii="Times New Roman" w:hAnsi="Times New Roman" w:cs="Times New Roman"/>
          <w:lang w:val="fr-CM"/>
        </w:rPr>
        <w:t>P.Value</w:t>
      </w:r>
      <w:proofErr w:type="spellEnd"/>
    </w:p>
    <w:p w:rsidR="009E7C05" w:rsidRPr="003157EF" w:rsidRDefault="009E7C05" w:rsidP="009E7C05">
      <w:pPr>
        <w:spacing w:after="0" w:line="276" w:lineRule="auto"/>
        <w:jc w:val="both"/>
        <w:rPr>
          <w:rFonts w:ascii="Times New Roman" w:hAnsi="Times New Roman" w:cs="Times New Roman"/>
        </w:rPr>
      </w:pPr>
      <w:proofErr w:type="gramStart"/>
      <w:r w:rsidRPr="003157EF">
        <w:rPr>
          <w:rFonts w:ascii="Times New Roman" w:hAnsi="Times New Roman" w:cs="Times New Roman"/>
        </w:rPr>
        <w:t>RV :</w:t>
      </w:r>
      <w:proofErr w:type="gramEnd"/>
      <w:r w:rsidRPr="003157EF">
        <w:rPr>
          <w:rFonts w:ascii="Times New Roman" w:hAnsi="Times New Roman" w:cs="Times New Roman"/>
        </w:rPr>
        <w:t xml:space="preserve"> Rotavirus</w:t>
      </w:r>
    </w:p>
    <w:p w:rsidR="009E7C05" w:rsidRPr="003157EF" w:rsidRDefault="009E7C05" w:rsidP="009E7C05">
      <w:pPr>
        <w:spacing w:after="0" w:line="276" w:lineRule="auto"/>
        <w:jc w:val="both"/>
        <w:rPr>
          <w:rFonts w:ascii="Times New Roman" w:hAnsi="Times New Roman" w:cs="Times New Roman"/>
        </w:rPr>
      </w:pPr>
      <w:r w:rsidRPr="003157EF">
        <w:rPr>
          <w:rFonts w:ascii="Times New Roman" w:hAnsi="Times New Roman" w:cs="Times New Roman"/>
        </w:rPr>
        <w:t>RVA: Group A Rotavirus</w:t>
      </w:r>
    </w:p>
    <w:p w:rsidR="009E7C05" w:rsidRPr="003157EF" w:rsidRDefault="009E7C05" w:rsidP="009E7C05">
      <w:pPr>
        <w:spacing w:after="0" w:line="276" w:lineRule="auto"/>
        <w:jc w:val="both"/>
        <w:rPr>
          <w:rFonts w:ascii="Times New Roman" w:hAnsi="Times New Roman" w:cs="Times New Roman"/>
        </w:rPr>
      </w:pPr>
      <w:r w:rsidRPr="003157EF">
        <w:rPr>
          <w:rFonts w:ascii="Times New Roman" w:hAnsi="Times New Roman" w:cs="Times New Roman"/>
        </w:rPr>
        <w:t>VP</w:t>
      </w:r>
      <w:proofErr w:type="gramStart"/>
      <w:r w:rsidRPr="003157EF">
        <w:rPr>
          <w:rFonts w:ascii="Times New Roman" w:hAnsi="Times New Roman" w:cs="Times New Roman"/>
        </w:rPr>
        <w:t>6 :</w:t>
      </w:r>
      <w:proofErr w:type="gramEnd"/>
      <w:r w:rsidRPr="003157EF">
        <w:rPr>
          <w:rFonts w:ascii="Times New Roman" w:hAnsi="Times New Roman" w:cs="Times New Roman"/>
        </w:rPr>
        <w:t xml:space="preserve"> Viral Protein 6</w:t>
      </w:r>
    </w:p>
    <w:p w:rsidR="009E7C05" w:rsidRPr="003157EF" w:rsidRDefault="009E7C05" w:rsidP="009E7C05">
      <w:pPr>
        <w:spacing w:after="0" w:line="276" w:lineRule="auto"/>
        <w:jc w:val="both"/>
        <w:rPr>
          <w:rFonts w:ascii="Times New Roman" w:hAnsi="Times New Roman" w:cs="Times New Roman"/>
        </w:rPr>
      </w:pPr>
    </w:p>
    <w:p w:rsidR="009E7C05" w:rsidRPr="003157EF" w:rsidRDefault="009E7C05" w:rsidP="009E7C05">
      <w:pPr>
        <w:spacing w:after="0" w:line="276" w:lineRule="auto"/>
        <w:jc w:val="both"/>
        <w:rPr>
          <w:rFonts w:ascii="Times New Roman" w:hAnsi="Times New Roman" w:cs="Times New Roman"/>
          <w:b/>
        </w:rPr>
      </w:pPr>
      <w:r w:rsidRPr="003157EF">
        <w:rPr>
          <w:rFonts w:ascii="Times New Roman" w:hAnsi="Times New Roman" w:cs="Times New Roman"/>
          <w:b/>
        </w:rPr>
        <w:t>Conflicts of interest</w:t>
      </w:r>
    </w:p>
    <w:p w:rsidR="009E7C05" w:rsidRPr="003157EF" w:rsidRDefault="009E7C05" w:rsidP="009E7C05">
      <w:pPr>
        <w:spacing w:after="0" w:line="276" w:lineRule="auto"/>
        <w:jc w:val="both"/>
        <w:rPr>
          <w:rFonts w:ascii="Times New Roman" w:hAnsi="Times New Roman" w:cs="Times New Roman"/>
        </w:rPr>
      </w:pPr>
      <w:r w:rsidRPr="003157EF">
        <w:rPr>
          <w:rFonts w:ascii="Times New Roman" w:hAnsi="Times New Roman" w:cs="Times New Roman"/>
        </w:rPr>
        <w:t>The authors declare that they have no conflicts of interest.</w:t>
      </w:r>
    </w:p>
    <w:p w:rsidR="009E7C05" w:rsidRPr="003157EF" w:rsidRDefault="009E7C05" w:rsidP="009E7C05">
      <w:pPr>
        <w:spacing w:after="0" w:line="276" w:lineRule="auto"/>
        <w:jc w:val="both"/>
        <w:rPr>
          <w:rFonts w:ascii="Times New Roman" w:hAnsi="Times New Roman" w:cs="Times New Roman"/>
          <w:b/>
        </w:rPr>
      </w:pPr>
      <w:r w:rsidRPr="003157EF">
        <w:rPr>
          <w:rFonts w:ascii="Times New Roman" w:hAnsi="Times New Roman" w:cs="Times New Roman"/>
          <w:b/>
        </w:rPr>
        <w:t>Data availability</w:t>
      </w:r>
    </w:p>
    <w:p w:rsidR="009E7C05" w:rsidRPr="003157EF" w:rsidRDefault="009E7C05" w:rsidP="009E7C05">
      <w:pPr>
        <w:spacing w:after="0"/>
        <w:jc w:val="both"/>
        <w:rPr>
          <w:rFonts w:ascii="Times New Roman" w:hAnsi="Times New Roman" w:cs="Times New Roman"/>
        </w:rPr>
      </w:pPr>
      <w:r w:rsidRPr="003157EF">
        <w:rPr>
          <w:rFonts w:ascii="Times New Roman" w:hAnsi="Times New Roman" w:cs="Times New Roman"/>
        </w:rPr>
        <w:lastRenderedPageBreak/>
        <w:t>The datasets used and analyzed in this study are available from the corresponding author.</w:t>
      </w:r>
    </w:p>
    <w:p w:rsidR="003157EF" w:rsidRPr="00C9600E" w:rsidRDefault="003157EF" w:rsidP="00CA703D">
      <w:pPr>
        <w:jc w:val="both"/>
        <w:rPr>
          <w:b/>
        </w:rPr>
      </w:pPr>
    </w:p>
    <w:p w:rsidR="003157EF" w:rsidRPr="00C9600E" w:rsidRDefault="003157EF" w:rsidP="00CA703D">
      <w:pPr>
        <w:jc w:val="both"/>
        <w:rPr>
          <w:b/>
        </w:rPr>
      </w:pPr>
    </w:p>
    <w:p w:rsidR="00777003" w:rsidRPr="00C9600E" w:rsidRDefault="00777003" w:rsidP="00CA703D">
      <w:pPr>
        <w:jc w:val="both"/>
        <w:rPr>
          <w:b/>
        </w:rPr>
      </w:pPr>
    </w:p>
    <w:p w:rsidR="003157EF" w:rsidRPr="00C9600E" w:rsidRDefault="003157EF" w:rsidP="00CA703D">
      <w:pPr>
        <w:jc w:val="both"/>
        <w:rPr>
          <w:b/>
        </w:rPr>
      </w:pPr>
    </w:p>
    <w:p w:rsidR="00CA703D" w:rsidRPr="003157EF" w:rsidRDefault="00CA703D" w:rsidP="00CA703D">
      <w:pPr>
        <w:jc w:val="both"/>
        <w:rPr>
          <w:rFonts w:ascii="Times New Roman" w:hAnsi="Times New Roman" w:cs="Times New Roman"/>
          <w:b/>
          <w:lang w:val="fr-FR"/>
        </w:rPr>
      </w:pPr>
      <w:r w:rsidRPr="003157EF">
        <w:rPr>
          <w:rFonts w:ascii="Times New Roman" w:hAnsi="Times New Roman" w:cs="Times New Roman"/>
          <w:b/>
          <w:lang w:val="fr-FR"/>
        </w:rPr>
        <w:t xml:space="preserve">Références </w:t>
      </w:r>
    </w:p>
    <w:p w:rsidR="00CA703D" w:rsidRPr="003157EF" w:rsidRDefault="00CA703D" w:rsidP="00CA703D">
      <w:pPr>
        <w:numPr>
          <w:ilvl w:val="0"/>
          <w:numId w:val="3"/>
        </w:numPr>
        <w:spacing w:after="0" w:line="240" w:lineRule="auto"/>
        <w:jc w:val="both"/>
        <w:rPr>
          <w:rFonts w:ascii="Times New Roman" w:hAnsi="Times New Roman" w:cs="Times New Roman"/>
          <w:lang w:val="fr-FR"/>
        </w:rPr>
      </w:pPr>
      <w:r w:rsidRPr="003157EF">
        <w:rPr>
          <w:rFonts w:ascii="Times New Roman" w:hAnsi="Times New Roman" w:cs="Times New Roman"/>
          <w:lang w:val="fr-FR"/>
        </w:rPr>
        <w:t>1. Dupeyron, C. « Les diarrhées aiguës bactériennes : causes et mécanismes ». Avril 201</w:t>
      </w:r>
      <w:r w:rsidR="00B84A27" w:rsidRPr="003157EF">
        <w:rPr>
          <w:rFonts w:ascii="Times New Roman" w:hAnsi="Times New Roman" w:cs="Times New Roman"/>
          <w:lang w:val="fr-FR"/>
        </w:rPr>
        <w:t>5. Consulté le 20 Novembre 2024</w:t>
      </w:r>
      <w:r w:rsidRPr="003157EF">
        <w:rPr>
          <w:rFonts w:ascii="Times New Roman" w:hAnsi="Times New Roman" w:cs="Times New Roman"/>
          <w:lang w:val="fr-FR"/>
        </w:rPr>
        <w:t>.</w:t>
      </w:r>
    </w:p>
    <w:p w:rsidR="00CA703D" w:rsidRPr="003157EF" w:rsidRDefault="00D56832" w:rsidP="00CA703D">
      <w:pPr>
        <w:numPr>
          <w:ilvl w:val="0"/>
          <w:numId w:val="3"/>
        </w:numPr>
        <w:spacing w:after="0" w:line="240" w:lineRule="auto"/>
        <w:jc w:val="both"/>
        <w:rPr>
          <w:rFonts w:ascii="Times New Roman" w:hAnsi="Times New Roman" w:cs="Times New Roman"/>
          <w:lang w:val="fr-FR"/>
        </w:rPr>
      </w:pPr>
      <w:r w:rsidRPr="003157EF">
        <w:rPr>
          <w:rFonts w:ascii="Times New Roman" w:hAnsi="Times New Roman" w:cs="Times New Roman"/>
          <w:lang w:val="fr-FR"/>
        </w:rPr>
        <w:t>2. Alain, S., Denis, F</w:t>
      </w:r>
      <w:r w:rsidR="00CA703D" w:rsidRPr="003157EF">
        <w:rPr>
          <w:rFonts w:ascii="Times New Roman" w:hAnsi="Times New Roman" w:cs="Times New Roman"/>
          <w:lang w:val="fr-FR"/>
        </w:rPr>
        <w:t xml:space="preserve">. Epidémiologie de la diarrhée infectieuse en France et en Europe. </w:t>
      </w:r>
      <w:r w:rsidR="00CA703D" w:rsidRPr="003157EF">
        <w:rPr>
          <w:rFonts w:ascii="Times New Roman" w:hAnsi="Times New Roman" w:cs="Times New Roman"/>
          <w:i/>
          <w:lang w:val="fr-FR"/>
        </w:rPr>
        <w:t>Archives de Pédiatrie</w:t>
      </w:r>
      <w:r w:rsidRPr="003157EF">
        <w:rPr>
          <w:rFonts w:ascii="Times New Roman" w:hAnsi="Times New Roman" w:cs="Times New Roman"/>
          <w:lang w:val="fr-FR"/>
        </w:rPr>
        <w:t xml:space="preserve"> ;</w:t>
      </w:r>
      <w:r w:rsidR="004D5389" w:rsidRPr="003157EF">
        <w:rPr>
          <w:rFonts w:ascii="Times New Roman" w:hAnsi="Times New Roman" w:cs="Times New Roman"/>
          <w:lang w:val="fr-FR"/>
        </w:rPr>
        <w:t xml:space="preserve"> (2007)</w:t>
      </w:r>
      <w:r w:rsidR="0053745C" w:rsidRPr="003157EF">
        <w:rPr>
          <w:rFonts w:ascii="Times New Roman" w:hAnsi="Times New Roman" w:cs="Times New Roman"/>
          <w:lang w:val="fr-FR"/>
        </w:rPr>
        <w:t> ;</w:t>
      </w:r>
      <w:r w:rsidRPr="003157EF">
        <w:rPr>
          <w:rFonts w:ascii="Times New Roman" w:hAnsi="Times New Roman" w:cs="Times New Roman"/>
          <w:lang w:val="fr-FR"/>
        </w:rPr>
        <w:t xml:space="preserve"> 14 (</w:t>
      </w:r>
      <w:proofErr w:type="spellStart"/>
      <w:r w:rsidRPr="003157EF">
        <w:rPr>
          <w:rFonts w:ascii="Times New Roman" w:hAnsi="Times New Roman" w:cs="Times New Roman"/>
          <w:lang w:val="fr-FR"/>
        </w:rPr>
        <w:t>Suppl</w:t>
      </w:r>
      <w:proofErr w:type="spellEnd"/>
      <w:r w:rsidRPr="003157EF">
        <w:rPr>
          <w:rFonts w:ascii="Times New Roman" w:hAnsi="Times New Roman" w:cs="Times New Roman"/>
          <w:lang w:val="fr-FR"/>
        </w:rPr>
        <w:t xml:space="preserve"> 3) </w:t>
      </w:r>
      <w:r w:rsidR="00CA703D" w:rsidRPr="003157EF">
        <w:rPr>
          <w:rFonts w:ascii="Times New Roman" w:hAnsi="Times New Roman" w:cs="Times New Roman"/>
          <w:lang w:val="fr-FR"/>
        </w:rPr>
        <w:t xml:space="preserve">132-144. </w:t>
      </w:r>
    </w:p>
    <w:p w:rsidR="00CA703D" w:rsidRPr="003157EF" w:rsidRDefault="00CA703D" w:rsidP="00CA703D">
      <w:pPr>
        <w:numPr>
          <w:ilvl w:val="0"/>
          <w:numId w:val="3"/>
        </w:numPr>
        <w:spacing w:after="0" w:line="240" w:lineRule="auto"/>
        <w:jc w:val="both"/>
        <w:rPr>
          <w:rFonts w:ascii="Times New Roman" w:hAnsi="Times New Roman" w:cs="Times New Roman"/>
          <w:lang w:val="fr-FR"/>
        </w:rPr>
      </w:pPr>
      <w:r w:rsidRPr="003157EF">
        <w:rPr>
          <w:rFonts w:ascii="Times New Roman" w:hAnsi="Times New Roman" w:cs="Times New Roman"/>
          <w:lang w:val="fr-FR"/>
        </w:rPr>
        <w:t xml:space="preserve">3. Organisation Mondiale de la Santé. Les maladies diarrhéiques. </w:t>
      </w:r>
      <w:r w:rsidRPr="003157EF">
        <w:rPr>
          <w:rFonts w:ascii="Times New Roman" w:hAnsi="Times New Roman" w:cs="Times New Roman"/>
          <w:i/>
          <w:lang w:val="fr-FR"/>
        </w:rPr>
        <w:t>Aide-mémoire</w:t>
      </w:r>
      <w:r w:rsidRPr="003157EF">
        <w:rPr>
          <w:rFonts w:ascii="Times New Roman" w:hAnsi="Times New Roman" w:cs="Times New Roman"/>
          <w:lang w:val="fr-FR"/>
        </w:rPr>
        <w:t xml:space="preserve"> N°330, 2013. Accessible à http://www.who.int/mediacentre/factsheets/fs330/fr/ </w:t>
      </w:r>
    </w:p>
    <w:p w:rsidR="00CA703D" w:rsidRPr="003157EF" w:rsidRDefault="00CA703D" w:rsidP="00CA703D">
      <w:pPr>
        <w:numPr>
          <w:ilvl w:val="0"/>
          <w:numId w:val="3"/>
        </w:numPr>
        <w:spacing w:after="0" w:line="240" w:lineRule="auto"/>
        <w:jc w:val="both"/>
        <w:rPr>
          <w:rFonts w:ascii="Times New Roman" w:hAnsi="Times New Roman" w:cs="Times New Roman"/>
          <w:lang w:val="fr-FR"/>
        </w:rPr>
      </w:pPr>
      <w:r w:rsidRPr="003157EF">
        <w:rPr>
          <w:rFonts w:ascii="Times New Roman" w:hAnsi="Times New Roman" w:cs="Times New Roman"/>
          <w:lang w:val="fr-FR"/>
        </w:rPr>
        <w:t xml:space="preserve">4. </w:t>
      </w:r>
      <w:proofErr w:type="spellStart"/>
      <w:r w:rsidRPr="003157EF">
        <w:rPr>
          <w:rFonts w:ascii="Times New Roman" w:hAnsi="Times New Roman" w:cs="Times New Roman"/>
          <w:lang w:val="fr-FR"/>
        </w:rPr>
        <w:t>Nguendo</w:t>
      </w:r>
      <w:proofErr w:type="spellEnd"/>
      <w:r w:rsidRPr="003157EF">
        <w:rPr>
          <w:rFonts w:ascii="Times New Roman" w:hAnsi="Times New Roman" w:cs="Times New Roman"/>
          <w:lang w:val="fr-FR"/>
        </w:rPr>
        <w:t>, Y., Gé</w:t>
      </w:r>
      <w:r w:rsidR="00D56832" w:rsidRPr="003157EF">
        <w:rPr>
          <w:rFonts w:ascii="Times New Roman" w:hAnsi="Times New Roman" w:cs="Times New Roman"/>
          <w:lang w:val="fr-FR"/>
        </w:rPr>
        <w:t>rard, S., Jean-Claude, B</w:t>
      </w:r>
      <w:r w:rsidRPr="003157EF">
        <w:rPr>
          <w:rFonts w:ascii="Times New Roman" w:hAnsi="Times New Roman" w:cs="Times New Roman"/>
          <w:lang w:val="fr-FR"/>
        </w:rPr>
        <w:t>. Epidémiologie géographique des maladies diarrhéiques à Yaoundé (Cameroun).</w:t>
      </w:r>
      <w:r w:rsidR="00D56832" w:rsidRPr="003157EF">
        <w:rPr>
          <w:rFonts w:ascii="Times New Roman" w:hAnsi="Times New Roman" w:cs="Times New Roman"/>
          <w:lang w:val="fr-FR"/>
        </w:rPr>
        <w:t xml:space="preserve"> (2011)</w:t>
      </w:r>
      <w:r w:rsidRPr="003157EF">
        <w:rPr>
          <w:rFonts w:ascii="Times New Roman" w:hAnsi="Times New Roman" w:cs="Times New Roman"/>
          <w:lang w:val="fr-FR"/>
        </w:rPr>
        <w:t xml:space="preserve">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5. Peery, S. D., </w:t>
      </w:r>
      <w:r w:rsidR="00D56832" w:rsidRPr="003157EF">
        <w:rPr>
          <w:rFonts w:ascii="Times New Roman" w:hAnsi="Times New Roman" w:cs="Times New Roman"/>
        </w:rPr>
        <w:t xml:space="preserve">Crockett, C. C., Murphy </w:t>
      </w:r>
      <w:proofErr w:type="gramStart"/>
      <w:r w:rsidR="00D56832" w:rsidRPr="003157EF">
        <w:rPr>
          <w:rFonts w:ascii="Times New Roman" w:hAnsi="Times New Roman" w:cs="Times New Roman"/>
        </w:rPr>
        <w:t xml:space="preserve">et </w:t>
      </w:r>
      <w:proofErr w:type="spellStart"/>
      <w:r w:rsidR="00D56832" w:rsidRPr="003157EF">
        <w:rPr>
          <w:rFonts w:ascii="Times New Roman" w:hAnsi="Times New Roman" w:cs="Times New Roman"/>
        </w:rPr>
        <w:t>al</w:t>
      </w:r>
      <w:r w:rsidR="004D5389" w:rsidRPr="003157EF">
        <w:rPr>
          <w:rFonts w:ascii="Times New Roman" w:hAnsi="Times New Roman" w:cs="Times New Roman"/>
        </w:rPr>
        <w:t>.</w:t>
      </w:r>
      <w:r w:rsidRPr="003157EF">
        <w:rPr>
          <w:rFonts w:ascii="Times New Roman" w:hAnsi="Times New Roman" w:cs="Times New Roman"/>
        </w:rPr>
        <w:t>“</w:t>
      </w:r>
      <w:proofErr w:type="gramEnd"/>
      <w:r w:rsidRPr="003157EF">
        <w:rPr>
          <w:rFonts w:ascii="Times New Roman" w:hAnsi="Times New Roman" w:cs="Times New Roman"/>
        </w:rPr>
        <w:t>Burden</w:t>
      </w:r>
      <w:proofErr w:type="spellEnd"/>
      <w:r w:rsidRPr="003157EF">
        <w:rPr>
          <w:rFonts w:ascii="Times New Roman" w:hAnsi="Times New Roman" w:cs="Times New Roman"/>
        </w:rPr>
        <w:t xml:space="preserve"> and cost of gastrointestinal, liver, and pancreatic diseases in the United </w:t>
      </w:r>
      <w:r w:rsidR="00551DF4" w:rsidRPr="003157EF">
        <w:rPr>
          <w:rFonts w:ascii="Times New Roman" w:hAnsi="Times New Roman" w:cs="Times New Roman"/>
        </w:rPr>
        <w:t>States:</w:t>
      </w:r>
      <w:r w:rsidRPr="003157EF">
        <w:rPr>
          <w:rFonts w:ascii="Times New Roman" w:hAnsi="Times New Roman" w:cs="Times New Roman"/>
        </w:rPr>
        <w:t xml:space="preserve"> </w:t>
      </w:r>
      <w:r w:rsidRPr="003157EF">
        <w:rPr>
          <w:rFonts w:ascii="Times New Roman" w:hAnsi="Times New Roman" w:cs="Times New Roman"/>
          <w:i/>
        </w:rPr>
        <w:t>Gastroenterology,</w:t>
      </w:r>
      <w:r w:rsidR="000633F1" w:rsidRPr="003157EF">
        <w:rPr>
          <w:rFonts w:ascii="Times New Roman" w:hAnsi="Times New Roman" w:cs="Times New Roman"/>
        </w:rPr>
        <w:t xml:space="preserve"> </w:t>
      </w:r>
      <w:r w:rsidR="004D5389" w:rsidRPr="003157EF">
        <w:rPr>
          <w:rFonts w:ascii="Times New Roman" w:hAnsi="Times New Roman" w:cs="Times New Roman"/>
        </w:rPr>
        <w:t>(</w:t>
      </w:r>
      <w:r w:rsidR="0053745C" w:rsidRPr="003157EF">
        <w:rPr>
          <w:rFonts w:ascii="Times New Roman" w:hAnsi="Times New Roman" w:cs="Times New Roman"/>
        </w:rPr>
        <w:t xml:space="preserve">2019); </w:t>
      </w:r>
      <w:r w:rsidR="000633F1" w:rsidRPr="003157EF">
        <w:rPr>
          <w:rFonts w:ascii="Times New Roman" w:hAnsi="Times New Roman" w:cs="Times New Roman"/>
        </w:rPr>
        <w:t xml:space="preserve">vol. 156, </w:t>
      </w:r>
      <w:r w:rsidRPr="003157EF">
        <w:rPr>
          <w:rFonts w:ascii="Times New Roman" w:hAnsi="Times New Roman" w:cs="Times New Roman"/>
        </w:rPr>
        <w:t>1</w:t>
      </w:r>
      <w:r w:rsidR="000633F1" w:rsidRPr="003157EF">
        <w:rPr>
          <w:rFonts w:ascii="Times New Roman" w:hAnsi="Times New Roman" w:cs="Times New Roman"/>
        </w:rPr>
        <w:t>pp. 254–272.e11</w:t>
      </w:r>
      <w:r w:rsidRPr="003157EF">
        <w:rPr>
          <w:rFonts w:ascii="Times New Roman" w:hAnsi="Times New Roman" w:cs="Times New Roman"/>
        </w:rPr>
        <w:t>.</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lang w:val="fr-CM"/>
        </w:rPr>
        <w:t xml:space="preserve">6. Tate, J., </w:t>
      </w:r>
      <w:r w:rsidR="004D5389" w:rsidRPr="003157EF">
        <w:rPr>
          <w:rFonts w:ascii="Times New Roman" w:hAnsi="Times New Roman" w:cs="Times New Roman"/>
          <w:lang w:val="fr-CM"/>
        </w:rPr>
        <w:t>Burton, A., Boschi-Pinto, C et al</w:t>
      </w:r>
      <w:r w:rsidRPr="003157EF">
        <w:rPr>
          <w:rFonts w:ascii="Times New Roman" w:hAnsi="Times New Roman" w:cs="Times New Roman"/>
          <w:lang w:val="fr-CM"/>
        </w:rPr>
        <w:t>.</w:t>
      </w:r>
      <w:r w:rsidR="004D5389" w:rsidRPr="003157EF">
        <w:rPr>
          <w:rFonts w:ascii="Times New Roman" w:hAnsi="Times New Roman" w:cs="Times New Roman"/>
          <w:lang w:val="fr-CM"/>
        </w:rPr>
        <w:t xml:space="preserve"> </w:t>
      </w:r>
      <w:r w:rsidRPr="003157EF">
        <w:rPr>
          <w:rFonts w:ascii="Times New Roman" w:hAnsi="Times New Roman" w:cs="Times New Roman"/>
        </w:rPr>
        <w:t>Global, Regional, and National Estimates of Rotavirus Mortality in Children &lt;5 Years of Age, 2000–2013</w:t>
      </w:r>
      <w:r w:rsidRPr="003157EF">
        <w:rPr>
          <w:rFonts w:ascii="Times New Roman" w:hAnsi="Times New Roman" w:cs="Times New Roman"/>
          <w:i/>
        </w:rPr>
        <w:t>. Clinical Infectious Diseases</w:t>
      </w:r>
      <w:r w:rsidRPr="003157EF">
        <w:rPr>
          <w:rFonts w:ascii="Times New Roman" w:hAnsi="Times New Roman" w:cs="Times New Roman"/>
        </w:rPr>
        <w:t xml:space="preserve">. </w:t>
      </w:r>
      <w:r w:rsidR="0053745C" w:rsidRPr="003157EF">
        <w:rPr>
          <w:rFonts w:ascii="Times New Roman" w:hAnsi="Times New Roman" w:cs="Times New Roman"/>
        </w:rPr>
        <w:t>2016; 62</w:t>
      </w:r>
      <w:r w:rsidRPr="003157EF">
        <w:rPr>
          <w:rFonts w:ascii="Times New Roman" w:hAnsi="Times New Roman" w:cs="Times New Roman"/>
        </w:rPr>
        <w:t xml:space="preserve"> (2</w:t>
      </w:r>
      <w:r w:rsidR="004D5389" w:rsidRPr="003157EF">
        <w:rPr>
          <w:rFonts w:ascii="Times New Roman" w:hAnsi="Times New Roman" w:cs="Times New Roman"/>
        </w:rPr>
        <w:t>):</w:t>
      </w:r>
      <w:r w:rsidRPr="003157EF">
        <w:rPr>
          <w:rFonts w:ascii="Times New Roman" w:hAnsi="Times New Roman" w:cs="Times New Roman"/>
        </w:rPr>
        <w:t xml:space="preserve"> 96-105.</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7. Banga-Mingo, D., Waku-</w:t>
      </w:r>
      <w:proofErr w:type="spellStart"/>
      <w:r w:rsidRPr="003157EF">
        <w:rPr>
          <w:rFonts w:ascii="Times New Roman" w:hAnsi="Times New Roman" w:cs="Times New Roman"/>
        </w:rPr>
        <w:t>Ko</w:t>
      </w:r>
      <w:r w:rsidR="0053745C" w:rsidRPr="003157EF">
        <w:rPr>
          <w:rFonts w:ascii="Times New Roman" w:hAnsi="Times New Roman" w:cs="Times New Roman"/>
        </w:rPr>
        <w:t>uomou</w:t>
      </w:r>
      <w:proofErr w:type="spellEnd"/>
      <w:r w:rsidR="0053745C" w:rsidRPr="003157EF">
        <w:rPr>
          <w:rFonts w:ascii="Times New Roman" w:hAnsi="Times New Roman" w:cs="Times New Roman"/>
        </w:rPr>
        <w:t xml:space="preserve">, J. C., </w:t>
      </w:r>
      <w:proofErr w:type="spellStart"/>
      <w:r w:rsidR="0053745C" w:rsidRPr="003157EF">
        <w:rPr>
          <w:rFonts w:ascii="Times New Roman" w:hAnsi="Times New Roman" w:cs="Times New Roman"/>
        </w:rPr>
        <w:t>Gody</w:t>
      </w:r>
      <w:proofErr w:type="spellEnd"/>
      <w:r w:rsidR="0053745C" w:rsidRPr="003157EF">
        <w:rPr>
          <w:rFonts w:ascii="Times New Roman" w:hAnsi="Times New Roman" w:cs="Times New Roman"/>
        </w:rPr>
        <w:t xml:space="preserve"> et al</w:t>
      </w:r>
      <w:r w:rsidRPr="003157EF">
        <w:rPr>
          <w:rFonts w:ascii="Times New Roman" w:hAnsi="Times New Roman" w:cs="Times New Roman"/>
        </w:rPr>
        <w:t xml:space="preserve">. Molecular surveillance of rotavirus infection in Bangui, Central African Republic, October 2011-September 2013, </w:t>
      </w:r>
      <w:r w:rsidRPr="003157EF">
        <w:rPr>
          <w:rFonts w:ascii="Times New Roman" w:hAnsi="Times New Roman" w:cs="Times New Roman"/>
          <w:i/>
        </w:rPr>
        <w:t>In</w:t>
      </w:r>
      <w:r w:rsidR="0053745C" w:rsidRPr="003157EF">
        <w:rPr>
          <w:rFonts w:ascii="Times New Roman" w:hAnsi="Times New Roman" w:cs="Times New Roman"/>
          <w:i/>
        </w:rPr>
        <w:t xml:space="preserve">fection, Genetics and Evolution. </w:t>
      </w:r>
      <w:r w:rsidR="0053745C" w:rsidRPr="003157EF">
        <w:rPr>
          <w:rFonts w:ascii="Times New Roman" w:hAnsi="Times New Roman" w:cs="Times New Roman"/>
        </w:rPr>
        <w:t xml:space="preserve">2014; </w:t>
      </w:r>
      <w:r w:rsidRPr="003157EF">
        <w:rPr>
          <w:rFonts w:ascii="Times New Roman" w:hAnsi="Times New Roman" w:cs="Times New Roman"/>
        </w:rPr>
        <w:t>vol. 28, pp. 476–479.</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lang w:val="fr-FR"/>
        </w:rPr>
        <w:t>8. Ouermi, D., Soube</w:t>
      </w:r>
      <w:r w:rsidR="0053745C" w:rsidRPr="003157EF">
        <w:rPr>
          <w:rFonts w:ascii="Times New Roman" w:hAnsi="Times New Roman" w:cs="Times New Roman"/>
          <w:lang w:val="fr-FR"/>
        </w:rPr>
        <w:t>iga, W. M., Nadembega, C et al</w:t>
      </w:r>
      <w:r w:rsidRPr="003157EF">
        <w:rPr>
          <w:rFonts w:ascii="Times New Roman" w:hAnsi="Times New Roman" w:cs="Times New Roman"/>
          <w:lang w:val="fr-CM"/>
        </w:rPr>
        <w:t xml:space="preserve">. </w:t>
      </w:r>
      <w:r w:rsidRPr="003157EF">
        <w:rPr>
          <w:rFonts w:ascii="Times New Roman" w:hAnsi="Times New Roman" w:cs="Times New Roman"/>
        </w:rPr>
        <w:t>Molecular epidemiology of rotavirus in children under five in Africa (2006-2016</w:t>
      </w:r>
      <w:proofErr w:type="gramStart"/>
      <w:r w:rsidRPr="003157EF">
        <w:rPr>
          <w:rFonts w:ascii="Times New Roman" w:hAnsi="Times New Roman" w:cs="Times New Roman"/>
        </w:rPr>
        <w:t>) :</w:t>
      </w:r>
      <w:proofErr w:type="gramEnd"/>
      <w:r w:rsidRPr="003157EF">
        <w:rPr>
          <w:rFonts w:ascii="Times New Roman" w:hAnsi="Times New Roman" w:cs="Times New Roman"/>
        </w:rPr>
        <w:t xml:space="preserve"> a systematic review,” </w:t>
      </w:r>
      <w:r w:rsidRPr="003157EF">
        <w:rPr>
          <w:rFonts w:ascii="Times New Roman" w:hAnsi="Times New Roman" w:cs="Times New Roman"/>
          <w:i/>
        </w:rPr>
        <w:t>Pakistan journ</w:t>
      </w:r>
      <w:r w:rsidR="0053745C" w:rsidRPr="003157EF">
        <w:rPr>
          <w:rFonts w:ascii="Times New Roman" w:hAnsi="Times New Roman" w:cs="Times New Roman"/>
          <w:i/>
        </w:rPr>
        <w:t>al of biological sciences. 2017;</w:t>
      </w:r>
      <w:r w:rsidRPr="003157EF">
        <w:rPr>
          <w:rFonts w:ascii="Times New Roman" w:hAnsi="Times New Roman" w:cs="Times New Roman"/>
        </w:rPr>
        <w:t xml:space="preserve"> vol. 20, no. 2, pp. 59–69, 2017.</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9. </w:t>
      </w:r>
      <w:proofErr w:type="spellStart"/>
      <w:proofErr w:type="gramStart"/>
      <w:r w:rsidRPr="003157EF">
        <w:rPr>
          <w:rFonts w:ascii="Times New Roman" w:hAnsi="Times New Roman" w:cs="Times New Roman"/>
        </w:rPr>
        <w:t>Aballéa</w:t>
      </w:r>
      <w:proofErr w:type="spellEnd"/>
      <w:r w:rsidRPr="003157EF">
        <w:rPr>
          <w:rFonts w:ascii="Times New Roman" w:hAnsi="Times New Roman" w:cs="Times New Roman"/>
        </w:rPr>
        <w:t xml:space="preserve"> ,</w:t>
      </w:r>
      <w:proofErr w:type="gramEnd"/>
      <w:r w:rsidRPr="003157EF">
        <w:rPr>
          <w:rFonts w:ascii="Times New Roman" w:hAnsi="Times New Roman" w:cs="Times New Roman"/>
        </w:rPr>
        <w:t>S., Millier A., Quilici, S., Caroll ,</w:t>
      </w:r>
      <w:r w:rsidR="0053745C" w:rsidRPr="003157EF">
        <w:rPr>
          <w:rFonts w:ascii="Times New Roman" w:hAnsi="Times New Roman" w:cs="Times New Roman"/>
        </w:rPr>
        <w:t>S., Petrou, S., Toumi, M</w:t>
      </w:r>
      <w:r w:rsidRPr="003157EF">
        <w:rPr>
          <w:rFonts w:ascii="Times New Roman" w:hAnsi="Times New Roman" w:cs="Times New Roman"/>
        </w:rPr>
        <w:t xml:space="preserve">. A critical literature review of health economic evaluations of rotavirus vaccination. </w:t>
      </w:r>
      <w:r w:rsidRPr="003157EF">
        <w:rPr>
          <w:rFonts w:ascii="Times New Roman" w:hAnsi="Times New Roman" w:cs="Times New Roman"/>
          <w:i/>
        </w:rPr>
        <w:t xml:space="preserve">Hum </w:t>
      </w:r>
      <w:proofErr w:type="spellStart"/>
      <w:r w:rsidRPr="003157EF">
        <w:rPr>
          <w:rFonts w:ascii="Times New Roman" w:hAnsi="Times New Roman" w:cs="Times New Roman"/>
          <w:i/>
        </w:rPr>
        <w:t>Vaccin</w:t>
      </w:r>
      <w:proofErr w:type="spellEnd"/>
      <w:r w:rsidRPr="003157EF">
        <w:rPr>
          <w:rFonts w:ascii="Times New Roman" w:hAnsi="Times New Roman" w:cs="Times New Roman"/>
          <w:i/>
        </w:rPr>
        <w:t xml:space="preserve"> </w:t>
      </w:r>
      <w:proofErr w:type="spellStart"/>
      <w:r w:rsidRPr="003157EF">
        <w:rPr>
          <w:rFonts w:ascii="Times New Roman" w:hAnsi="Times New Roman" w:cs="Times New Roman"/>
          <w:i/>
        </w:rPr>
        <w:t>Immunother</w:t>
      </w:r>
      <w:proofErr w:type="spellEnd"/>
      <w:r w:rsidR="0053745C" w:rsidRPr="003157EF">
        <w:rPr>
          <w:rFonts w:ascii="Times New Roman" w:hAnsi="Times New Roman" w:cs="Times New Roman"/>
        </w:rPr>
        <w:t>. 2013;</w:t>
      </w:r>
      <w:r w:rsidRPr="003157EF">
        <w:rPr>
          <w:rFonts w:ascii="Times New Roman" w:hAnsi="Times New Roman" w:cs="Times New Roman"/>
        </w:rPr>
        <w:t xml:space="preserve"> 9(6): 1272.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10. Madhi ,S.A., Cunliffe, N.A., Steele, D., Witte, D., Kirsten, M., Louw, C., Ngwira, B., Victor, JC., Gillard, PH.,, </w:t>
      </w:r>
      <w:proofErr w:type="spellStart"/>
      <w:r w:rsidRPr="003157EF">
        <w:rPr>
          <w:rFonts w:ascii="Times New Roman" w:hAnsi="Times New Roman" w:cs="Times New Roman"/>
        </w:rPr>
        <w:t>Cheuvart</w:t>
      </w:r>
      <w:proofErr w:type="spellEnd"/>
      <w:r w:rsidRPr="003157EF">
        <w:rPr>
          <w:rFonts w:ascii="Times New Roman" w:hAnsi="Times New Roman" w:cs="Times New Roman"/>
        </w:rPr>
        <w:t xml:space="preserve"> B</w:t>
      </w:r>
      <w:r w:rsidR="0053745C" w:rsidRPr="003157EF">
        <w:rPr>
          <w:rFonts w:ascii="Times New Roman" w:hAnsi="Times New Roman" w:cs="Times New Roman"/>
        </w:rPr>
        <w:t>B., Han, HH., Neuzil ,KM</w:t>
      </w:r>
      <w:r w:rsidRPr="003157EF">
        <w:rPr>
          <w:rFonts w:ascii="Times New Roman" w:hAnsi="Times New Roman" w:cs="Times New Roman"/>
        </w:rPr>
        <w:t xml:space="preserve">. Effect of Human Rotavirus Vaccine on Severe Diarrhea in African Infants. </w:t>
      </w:r>
      <w:r w:rsidRPr="003157EF">
        <w:rPr>
          <w:rFonts w:ascii="Times New Roman" w:hAnsi="Times New Roman" w:cs="Times New Roman"/>
          <w:i/>
        </w:rPr>
        <w:t>New England Journal of Medicine</w:t>
      </w:r>
      <w:r w:rsidR="0053745C" w:rsidRPr="003157EF">
        <w:rPr>
          <w:rFonts w:ascii="Times New Roman" w:hAnsi="Times New Roman" w:cs="Times New Roman"/>
          <w:i/>
        </w:rPr>
        <w:t xml:space="preserve">. 2010; </w:t>
      </w:r>
      <w:r w:rsidRPr="003157EF">
        <w:rPr>
          <w:rFonts w:ascii="Times New Roman" w:hAnsi="Times New Roman" w:cs="Times New Roman"/>
        </w:rPr>
        <w:t xml:space="preserve">362(4): 289-298.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11. Kang, G., </w:t>
      </w:r>
      <w:proofErr w:type="gramStart"/>
      <w:r w:rsidRPr="003157EF">
        <w:rPr>
          <w:rFonts w:ascii="Times New Roman" w:hAnsi="Times New Roman" w:cs="Times New Roman"/>
        </w:rPr>
        <w:t>Kelkar ,</w:t>
      </w:r>
      <w:proofErr w:type="gramEnd"/>
      <w:r w:rsidRPr="003157EF">
        <w:rPr>
          <w:rFonts w:ascii="Times New Roman" w:hAnsi="Times New Roman" w:cs="Times New Roman"/>
        </w:rPr>
        <w:t xml:space="preserve">S.D., </w:t>
      </w:r>
      <w:proofErr w:type="spellStart"/>
      <w:r w:rsidRPr="003157EF">
        <w:rPr>
          <w:rFonts w:ascii="Times New Roman" w:hAnsi="Times New Roman" w:cs="Times New Roman"/>
        </w:rPr>
        <w:t>Chitambar</w:t>
      </w:r>
      <w:proofErr w:type="spellEnd"/>
      <w:r w:rsidR="00454438" w:rsidRPr="003157EF">
        <w:rPr>
          <w:rFonts w:ascii="Times New Roman" w:hAnsi="Times New Roman" w:cs="Times New Roman"/>
        </w:rPr>
        <w:t>, S.D., Ray ,P., Naik, T</w:t>
      </w:r>
      <w:r w:rsidRPr="003157EF">
        <w:rPr>
          <w:rFonts w:ascii="Times New Roman" w:hAnsi="Times New Roman" w:cs="Times New Roman"/>
        </w:rPr>
        <w:t xml:space="preserve">. Epidemiological Profile of Rotaviral Infection in India: Challenges for the 21st Century. </w:t>
      </w:r>
      <w:r w:rsidR="00454438" w:rsidRPr="003157EF">
        <w:rPr>
          <w:rFonts w:ascii="Times New Roman" w:hAnsi="Times New Roman" w:cs="Times New Roman"/>
          <w:i/>
        </w:rPr>
        <w:t xml:space="preserve">Journal of Infectious Diseases. </w:t>
      </w:r>
      <w:r w:rsidR="00454438" w:rsidRPr="003157EF">
        <w:rPr>
          <w:rFonts w:ascii="Times New Roman" w:hAnsi="Times New Roman" w:cs="Times New Roman"/>
        </w:rPr>
        <w:t>2005</w:t>
      </w:r>
      <w:r w:rsidR="00454438" w:rsidRPr="003157EF">
        <w:rPr>
          <w:rFonts w:ascii="Times New Roman" w:hAnsi="Times New Roman" w:cs="Times New Roman"/>
          <w:i/>
        </w:rPr>
        <w:t>;</w:t>
      </w:r>
      <w:r w:rsidRPr="003157EF">
        <w:rPr>
          <w:rFonts w:ascii="Times New Roman" w:hAnsi="Times New Roman" w:cs="Times New Roman"/>
        </w:rPr>
        <w:t xml:space="preserve"> 192(1</w:t>
      </w:r>
      <w:proofErr w:type="gramStart"/>
      <w:r w:rsidRPr="003157EF">
        <w:rPr>
          <w:rFonts w:ascii="Times New Roman" w:hAnsi="Times New Roman" w:cs="Times New Roman"/>
        </w:rPr>
        <w:t>) :</w:t>
      </w:r>
      <w:proofErr w:type="gramEnd"/>
      <w:r w:rsidRPr="003157EF">
        <w:rPr>
          <w:rFonts w:ascii="Times New Roman" w:hAnsi="Times New Roman" w:cs="Times New Roman"/>
        </w:rPr>
        <w:t xml:space="preserve"> S120-S126.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12. </w:t>
      </w:r>
      <w:proofErr w:type="gramStart"/>
      <w:r w:rsidRPr="003157EF">
        <w:rPr>
          <w:rFonts w:ascii="Times New Roman" w:hAnsi="Times New Roman" w:cs="Times New Roman"/>
        </w:rPr>
        <w:t>Cukor,G.</w:t>
      </w:r>
      <w:proofErr w:type="gramEnd"/>
      <w:r w:rsidRPr="003157EF">
        <w:rPr>
          <w:rFonts w:ascii="Times New Roman" w:hAnsi="Times New Roman" w:cs="Times New Roman"/>
        </w:rPr>
        <w:t>,Perron,D.M.,</w:t>
      </w:r>
      <w:proofErr w:type="spellStart"/>
      <w:r w:rsidRPr="003157EF">
        <w:rPr>
          <w:rFonts w:ascii="Times New Roman" w:hAnsi="Times New Roman" w:cs="Times New Roman"/>
        </w:rPr>
        <w:t>Hudson,R</w:t>
      </w:r>
      <w:proofErr w:type="spellEnd"/>
      <w:r w:rsidRPr="003157EF">
        <w:rPr>
          <w:rFonts w:ascii="Times New Roman" w:hAnsi="Times New Roman" w:cs="Times New Roman"/>
        </w:rPr>
        <w:t xml:space="preserve">., </w:t>
      </w:r>
      <w:proofErr w:type="spellStart"/>
      <w:r w:rsidRPr="003157EF">
        <w:rPr>
          <w:rFonts w:ascii="Times New Roman" w:hAnsi="Times New Roman" w:cs="Times New Roman"/>
        </w:rPr>
        <w:t>Blacklow,N.</w:t>
      </w:r>
      <w:r w:rsidR="00454438" w:rsidRPr="003157EF">
        <w:rPr>
          <w:rFonts w:ascii="Times New Roman" w:hAnsi="Times New Roman" w:cs="Times New Roman"/>
        </w:rPr>
        <w:t>R</w:t>
      </w:r>
      <w:proofErr w:type="spellEnd"/>
      <w:r w:rsidRPr="003157EF">
        <w:rPr>
          <w:rFonts w:ascii="Times New Roman" w:hAnsi="Times New Roman" w:cs="Times New Roman"/>
        </w:rPr>
        <w:t xml:space="preserve">. Detection of rotavirus human tools by using monoclonal antibody. </w:t>
      </w:r>
      <w:proofErr w:type="spellStart"/>
      <w:r w:rsidRPr="003157EF">
        <w:rPr>
          <w:rFonts w:ascii="Times New Roman" w:hAnsi="Times New Roman" w:cs="Times New Roman"/>
          <w:i/>
        </w:rPr>
        <w:t>J.Clin</w:t>
      </w:r>
      <w:proofErr w:type="spellEnd"/>
      <w:r w:rsidRPr="003157EF">
        <w:rPr>
          <w:rFonts w:ascii="Times New Roman" w:hAnsi="Times New Roman" w:cs="Times New Roman"/>
          <w:i/>
        </w:rPr>
        <w:t>. Micro.</w:t>
      </w:r>
      <w:r w:rsidR="00454438" w:rsidRPr="003157EF">
        <w:rPr>
          <w:rFonts w:ascii="Times New Roman" w:hAnsi="Times New Roman" w:cs="Times New Roman"/>
          <w:i/>
        </w:rPr>
        <w:t>1984</w:t>
      </w:r>
      <w:r w:rsidRPr="003157EF">
        <w:rPr>
          <w:rFonts w:ascii="Times New Roman" w:hAnsi="Times New Roman" w:cs="Times New Roman"/>
        </w:rPr>
        <w:t>;19:888-892</w:t>
      </w:r>
    </w:p>
    <w:p w:rsidR="00CA703D" w:rsidRPr="003157EF" w:rsidRDefault="007A1E44"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lang w:val="fr-FR"/>
        </w:rPr>
        <w:t>13. Junaid, S.A.</w:t>
      </w:r>
      <w:r w:rsidR="00CA703D" w:rsidRPr="003157EF">
        <w:rPr>
          <w:rFonts w:ascii="Times New Roman" w:hAnsi="Times New Roman" w:cs="Times New Roman"/>
          <w:lang w:val="fr-FR"/>
        </w:rPr>
        <w:t xml:space="preserve"> Incidence de l'infection par le rotavirus chez les enfants atteints d'une gastro-</w:t>
      </w:r>
      <w:proofErr w:type="spellStart"/>
      <w:r w:rsidR="00CA703D" w:rsidRPr="003157EF">
        <w:rPr>
          <w:rFonts w:ascii="Times New Roman" w:hAnsi="Times New Roman" w:cs="Times New Roman"/>
          <w:lang w:val="fr-FR"/>
        </w:rPr>
        <w:t>esty</w:t>
      </w:r>
      <w:proofErr w:type="spellEnd"/>
      <w:r w:rsidR="00CA703D" w:rsidRPr="003157EF">
        <w:rPr>
          <w:rFonts w:ascii="Times New Roman" w:hAnsi="Times New Roman" w:cs="Times New Roman"/>
          <w:lang w:val="fr-FR"/>
        </w:rPr>
        <w:t xml:space="preserve"> ouest à l'hôpital universitaire de Jos, Nigéria. </w:t>
      </w:r>
      <w:r w:rsidRPr="003157EF">
        <w:rPr>
          <w:rFonts w:ascii="Times New Roman" w:hAnsi="Times New Roman" w:cs="Times New Roman"/>
          <w:i/>
        </w:rPr>
        <w:t>Virology Journal. 2011;</w:t>
      </w:r>
      <w:r w:rsidR="00CA703D" w:rsidRPr="003157EF">
        <w:rPr>
          <w:rFonts w:ascii="Times New Roman" w:hAnsi="Times New Roman" w:cs="Times New Roman"/>
        </w:rPr>
        <w:t xml:space="preserve"> 8, 233. https://doi.org/10.1186/1743-422X-8-233</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14. </w:t>
      </w:r>
      <w:proofErr w:type="spellStart"/>
      <w:r w:rsidRPr="003157EF">
        <w:rPr>
          <w:rFonts w:ascii="Times New Roman" w:hAnsi="Times New Roman" w:cs="Times New Roman"/>
        </w:rPr>
        <w:t>Ghapoutsa</w:t>
      </w:r>
      <w:proofErr w:type="spellEnd"/>
      <w:r w:rsidRPr="003157EF">
        <w:rPr>
          <w:rFonts w:ascii="Times New Roman" w:hAnsi="Times New Roman" w:cs="Times New Roman"/>
        </w:rPr>
        <w:t xml:space="preserve">, R.N., </w:t>
      </w:r>
      <w:proofErr w:type="spellStart"/>
      <w:r w:rsidRPr="003157EF">
        <w:rPr>
          <w:rFonts w:ascii="Times New Roman" w:hAnsi="Times New Roman" w:cs="Times New Roman"/>
        </w:rPr>
        <w:t>Boda</w:t>
      </w:r>
      <w:proofErr w:type="spellEnd"/>
      <w:r w:rsidRPr="003157EF">
        <w:rPr>
          <w:rFonts w:ascii="Times New Roman" w:hAnsi="Times New Roman" w:cs="Times New Roman"/>
        </w:rPr>
        <w:t>, M</w:t>
      </w:r>
      <w:r w:rsidR="006674C4" w:rsidRPr="003157EF">
        <w:rPr>
          <w:rFonts w:ascii="Times New Roman" w:hAnsi="Times New Roman" w:cs="Times New Roman"/>
        </w:rPr>
        <w:t>., Gautam, R., Ndze, V.N</w:t>
      </w:r>
      <w:r w:rsidRPr="003157EF">
        <w:rPr>
          <w:rFonts w:ascii="Times New Roman" w:hAnsi="Times New Roman" w:cs="Times New Roman"/>
        </w:rPr>
        <w:t>. «Detection of diarrhea associated rotavirus and co-infection with diarrhoeagenic pathogens in the Littoral region of Cameroon using ELISA, RT-</w:t>
      </w:r>
      <w:proofErr w:type="gramStart"/>
      <w:r w:rsidRPr="003157EF">
        <w:rPr>
          <w:rFonts w:ascii="Times New Roman" w:hAnsi="Times New Roman" w:cs="Times New Roman"/>
        </w:rPr>
        <w:t>PCR,»</w:t>
      </w:r>
      <w:proofErr w:type="gramEnd"/>
      <w:r w:rsidRPr="003157EF">
        <w:rPr>
          <w:rFonts w:ascii="Times New Roman" w:hAnsi="Times New Roman" w:cs="Times New Roman"/>
        </w:rPr>
        <w:t xml:space="preserve"> </w:t>
      </w:r>
      <w:r w:rsidRPr="003157EF">
        <w:rPr>
          <w:rFonts w:ascii="Times New Roman" w:hAnsi="Times New Roman" w:cs="Times New Roman"/>
          <w:i/>
        </w:rPr>
        <w:t>BMC Infectious Diseases</w:t>
      </w:r>
      <w:r w:rsidR="006674C4" w:rsidRPr="003157EF">
        <w:rPr>
          <w:rFonts w:ascii="Times New Roman" w:hAnsi="Times New Roman" w:cs="Times New Roman"/>
        </w:rPr>
        <w:t>. 2021;</w:t>
      </w:r>
      <w:r w:rsidRPr="003157EF">
        <w:rPr>
          <w:rFonts w:ascii="Times New Roman" w:hAnsi="Times New Roman" w:cs="Times New Roman"/>
        </w:rPr>
        <w:t>24:111</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 15. </w:t>
      </w:r>
      <w:proofErr w:type="spellStart"/>
      <w:proofErr w:type="gramStart"/>
      <w:r w:rsidRPr="003157EF">
        <w:rPr>
          <w:rFonts w:ascii="Times New Roman" w:hAnsi="Times New Roman" w:cs="Times New Roman"/>
        </w:rPr>
        <w:t>Esona</w:t>
      </w:r>
      <w:proofErr w:type="spellEnd"/>
      <w:r w:rsidRPr="003157EF">
        <w:rPr>
          <w:rFonts w:ascii="Times New Roman" w:hAnsi="Times New Roman" w:cs="Times New Roman"/>
        </w:rPr>
        <w:t xml:space="preserve"> ,</w:t>
      </w:r>
      <w:proofErr w:type="gramEnd"/>
      <w:r w:rsidRPr="003157EF">
        <w:rPr>
          <w:rFonts w:ascii="Times New Roman" w:hAnsi="Times New Roman" w:cs="Times New Roman"/>
        </w:rPr>
        <w:t xml:space="preserve">M.D., Armah ,G.E., Steele, </w:t>
      </w:r>
      <w:proofErr w:type="spellStart"/>
      <w:r w:rsidRPr="003157EF">
        <w:rPr>
          <w:rFonts w:ascii="Times New Roman" w:hAnsi="Times New Roman" w:cs="Times New Roman"/>
        </w:rPr>
        <w:t>A.</w:t>
      </w:r>
      <w:r w:rsidR="00453190" w:rsidRPr="003157EF">
        <w:rPr>
          <w:rFonts w:ascii="Times New Roman" w:hAnsi="Times New Roman" w:cs="Times New Roman"/>
        </w:rPr>
        <w:t>D.</w:t>
      </w:r>
      <w:r w:rsidRPr="003157EF">
        <w:rPr>
          <w:rFonts w:ascii="Times New Roman" w:hAnsi="Times New Roman" w:cs="Times New Roman"/>
        </w:rPr>
        <w:t>Molecular</w:t>
      </w:r>
      <w:proofErr w:type="spellEnd"/>
      <w:r w:rsidRPr="003157EF">
        <w:rPr>
          <w:rFonts w:ascii="Times New Roman" w:hAnsi="Times New Roman" w:cs="Times New Roman"/>
        </w:rPr>
        <w:t xml:space="preserve"> epidemiology of rotavirus infection in Western Cameroon. </w:t>
      </w:r>
      <w:r w:rsidRPr="003157EF">
        <w:rPr>
          <w:rFonts w:ascii="Times New Roman" w:hAnsi="Times New Roman" w:cs="Times New Roman"/>
          <w:i/>
        </w:rPr>
        <w:t>J Trop Pediatr</w:t>
      </w:r>
      <w:r w:rsidRPr="003157EF">
        <w:rPr>
          <w:rFonts w:ascii="Times New Roman" w:hAnsi="Times New Roman" w:cs="Times New Roman"/>
        </w:rPr>
        <w:t xml:space="preserve"> </w:t>
      </w:r>
      <w:r w:rsidR="00453190" w:rsidRPr="003157EF">
        <w:rPr>
          <w:rFonts w:ascii="Times New Roman" w:hAnsi="Times New Roman" w:cs="Times New Roman"/>
        </w:rPr>
        <w:t>.2003</w:t>
      </w:r>
      <w:r w:rsidRPr="003157EF">
        <w:rPr>
          <w:rFonts w:ascii="Times New Roman" w:hAnsi="Times New Roman" w:cs="Times New Roman"/>
        </w:rPr>
        <w:t>; 49(3) :160-3.</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lastRenderedPageBreak/>
        <w:t>16. Mbuh, F.A., Armah, G.E., Omilabu, S.</w:t>
      </w:r>
      <w:r w:rsidR="00453190" w:rsidRPr="003157EF">
        <w:rPr>
          <w:rFonts w:ascii="Times New Roman" w:hAnsi="Times New Roman" w:cs="Times New Roman"/>
        </w:rPr>
        <w:t>A., Ahmad, A., Umoh, J.U</w:t>
      </w:r>
      <w:r w:rsidRPr="003157EF">
        <w:rPr>
          <w:rFonts w:ascii="Times New Roman" w:hAnsi="Times New Roman" w:cs="Times New Roman"/>
        </w:rPr>
        <w:t xml:space="preserve">. Molecular epidemiology of group A human rotavirus in North West region, Cameroon. </w:t>
      </w:r>
      <w:r w:rsidRPr="003157EF">
        <w:rPr>
          <w:rFonts w:ascii="Times New Roman" w:hAnsi="Times New Roman" w:cs="Times New Roman"/>
          <w:i/>
        </w:rPr>
        <w:t>Pan African Medical Journal</w:t>
      </w:r>
      <w:r w:rsidR="00453190" w:rsidRPr="003157EF">
        <w:rPr>
          <w:rFonts w:ascii="Times New Roman" w:hAnsi="Times New Roman" w:cs="Times New Roman"/>
          <w:i/>
        </w:rPr>
        <w:t>.2012;</w:t>
      </w:r>
      <w:r w:rsidRPr="003157EF">
        <w:rPr>
          <w:rFonts w:ascii="Times New Roman" w:hAnsi="Times New Roman" w:cs="Times New Roman"/>
        </w:rPr>
        <w:t xml:space="preserve"> 12(108):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17. </w:t>
      </w:r>
      <w:proofErr w:type="spellStart"/>
      <w:r w:rsidRPr="003157EF">
        <w:rPr>
          <w:rFonts w:ascii="Times New Roman" w:hAnsi="Times New Roman" w:cs="Times New Roman"/>
        </w:rPr>
        <w:t>Ndzé</w:t>
      </w:r>
      <w:proofErr w:type="spellEnd"/>
      <w:r w:rsidRPr="003157EF">
        <w:rPr>
          <w:rFonts w:ascii="Times New Roman" w:hAnsi="Times New Roman" w:cs="Times New Roman"/>
        </w:rPr>
        <w:t xml:space="preserve">, V.N., Akum, A.E., Kamga G.H., </w:t>
      </w:r>
      <w:proofErr w:type="spellStart"/>
      <w:r w:rsidRPr="003157EF">
        <w:rPr>
          <w:rFonts w:ascii="Times New Roman" w:hAnsi="Times New Roman" w:cs="Times New Roman"/>
        </w:rPr>
        <w:t>Enjema</w:t>
      </w:r>
      <w:proofErr w:type="spellEnd"/>
      <w:r w:rsidRPr="003157EF">
        <w:rPr>
          <w:rFonts w:ascii="Times New Roman" w:hAnsi="Times New Roman" w:cs="Times New Roman"/>
        </w:rPr>
        <w:t xml:space="preserve">, L.E., </w:t>
      </w:r>
      <w:proofErr w:type="spellStart"/>
      <w:r w:rsidRPr="003157EF">
        <w:rPr>
          <w:rFonts w:ascii="Times New Roman" w:hAnsi="Times New Roman" w:cs="Times New Roman"/>
        </w:rPr>
        <w:t>Esona</w:t>
      </w:r>
      <w:proofErr w:type="spellEnd"/>
      <w:r w:rsidRPr="003157EF">
        <w:rPr>
          <w:rFonts w:ascii="Times New Roman" w:hAnsi="Times New Roman" w:cs="Times New Roman"/>
        </w:rPr>
        <w:t>,</w:t>
      </w:r>
      <w:r w:rsidR="00453190" w:rsidRPr="003157EF">
        <w:rPr>
          <w:rFonts w:ascii="Times New Roman" w:hAnsi="Times New Roman" w:cs="Times New Roman"/>
        </w:rPr>
        <w:t xml:space="preserve"> M.D., Banyai, K., Therese, O.A</w:t>
      </w:r>
      <w:r w:rsidRPr="003157EF">
        <w:rPr>
          <w:rFonts w:ascii="Times New Roman" w:hAnsi="Times New Roman" w:cs="Times New Roman"/>
        </w:rPr>
        <w:t xml:space="preserve">. Epidemiology of rotavirus diarrhea in children under 5 years in Northern Cameroon. </w:t>
      </w:r>
      <w:r w:rsidRPr="003157EF">
        <w:rPr>
          <w:rFonts w:ascii="Times New Roman" w:hAnsi="Times New Roman" w:cs="Times New Roman"/>
          <w:i/>
        </w:rPr>
        <w:t xml:space="preserve">Pan </w:t>
      </w:r>
      <w:proofErr w:type="spellStart"/>
      <w:r w:rsidRPr="003157EF">
        <w:rPr>
          <w:rFonts w:ascii="Times New Roman" w:hAnsi="Times New Roman" w:cs="Times New Roman"/>
          <w:i/>
        </w:rPr>
        <w:t>Afr</w:t>
      </w:r>
      <w:proofErr w:type="spellEnd"/>
      <w:r w:rsidRPr="003157EF">
        <w:rPr>
          <w:rFonts w:ascii="Times New Roman" w:hAnsi="Times New Roman" w:cs="Times New Roman"/>
          <w:i/>
        </w:rPr>
        <w:t xml:space="preserve"> Med J.</w:t>
      </w:r>
      <w:r w:rsidR="00453190" w:rsidRPr="003157EF">
        <w:rPr>
          <w:rFonts w:ascii="Times New Roman" w:hAnsi="Times New Roman" w:cs="Times New Roman"/>
        </w:rPr>
        <w:t>2012; 11</w:t>
      </w:r>
      <w:r w:rsidRPr="003157EF">
        <w:rPr>
          <w:rFonts w:ascii="Times New Roman" w:hAnsi="Times New Roman" w:cs="Times New Roman"/>
        </w:rPr>
        <w:t xml:space="preserve">(73).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18. Kuang, X., Gong, X., Zha</w:t>
      </w:r>
      <w:r w:rsidR="00453190" w:rsidRPr="003157EF">
        <w:rPr>
          <w:rFonts w:ascii="Times New Roman" w:hAnsi="Times New Roman" w:cs="Times New Roman"/>
        </w:rPr>
        <w:t>ng, X., Pan, H., Teng, Z</w:t>
      </w:r>
      <w:r w:rsidRPr="003157EF">
        <w:rPr>
          <w:rFonts w:ascii="Times New Roman" w:hAnsi="Times New Roman" w:cs="Times New Roman"/>
        </w:rPr>
        <w:t xml:space="preserve">. Genetic diversity of group A rotavirus in acute gastroenteritis outpatients in Shanghai from 2017 to 2018. </w:t>
      </w:r>
      <w:r w:rsidRPr="003157EF">
        <w:rPr>
          <w:rFonts w:ascii="Times New Roman" w:hAnsi="Times New Roman" w:cs="Times New Roman"/>
          <w:i/>
        </w:rPr>
        <w:t>BMC Infect Dis</w:t>
      </w:r>
      <w:r w:rsidR="00453190" w:rsidRPr="003157EF">
        <w:rPr>
          <w:rFonts w:ascii="Times New Roman" w:hAnsi="Times New Roman" w:cs="Times New Roman"/>
          <w:i/>
        </w:rPr>
        <w:t>. 2020</w:t>
      </w:r>
      <w:r w:rsidRPr="003157EF">
        <w:rPr>
          <w:rFonts w:ascii="Times New Roman" w:hAnsi="Times New Roman" w:cs="Times New Roman"/>
        </w:rPr>
        <w:t>; 20:1–11</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19. Tate J.E., Burton AH, Boschi-Pinto C, Steele A.D.H, Duque J, Parashar UD. </w:t>
      </w:r>
      <w:r w:rsidR="00453190" w:rsidRPr="003157EF">
        <w:rPr>
          <w:rFonts w:ascii="Times New Roman" w:hAnsi="Times New Roman" w:cs="Times New Roman"/>
        </w:rPr>
        <w:t>Estimate</w:t>
      </w:r>
      <w:r w:rsidRPr="003157EF">
        <w:rPr>
          <w:rFonts w:ascii="Times New Roman" w:hAnsi="Times New Roman" w:cs="Times New Roman"/>
        </w:rPr>
        <w:t xml:space="preserve"> of worldwide rotavirus-associated mortality in children younger than 5 years before the introduction of universal rotavirus vaccination </w:t>
      </w:r>
      <w:proofErr w:type="spellStart"/>
      <w:r w:rsidRPr="003157EF">
        <w:rPr>
          <w:rFonts w:ascii="Times New Roman" w:hAnsi="Times New Roman" w:cs="Times New Roman"/>
        </w:rPr>
        <w:t>programmes</w:t>
      </w:r>
      <w:proofErr w:type="spellEnd"/>
      <w:r w:rsidRPr="003157EF">
        <w:rPr>
          <w:rFonts w:ascii="Times New Roman" w:hAnsi="Times New Roman" w:cs="Times New Roman"/>
        </w:rPr>
        <w:t xml:space="preserve">: a systematic review and meta-analysis. </w:t>
      </w:r>
      <w:r w:rsidRPr="003157EF">
        <w:rPr>
          <w:rFonts w:ascii="Times New Roman" w:hAnsi="Times New Roman" w:cs="Times New Roman"/>
          <w:i/>
        </w:rPr>
        <w:t>Lancet Infect Dis</w:t>
      </w:r>
      <w:r w:rsidRPr="003157EF">
        <w:rPr>
          <w:rFonts w:ascii="Times New Roman" w:hAnsi="Times New Roman" w:cs="Times New Roman"/>
        </w:rPr>
        <w:t xml:space="preserve"> 2008; 12:136-141.</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20. </w:t>
      </w:r>
      <w:proofErr w:type="spellStart"/>
      <w:r w:rsidRPr="003157EF">
        <w:rPr>
          <w:rFonts w:ascii="Times New Roman" w:hAnsi="Times New Roman" w:cs="Times New Roman"/>
        </w:rPr>
        <w:t>Kapikian</w:t>
      </w:r>
      <w:proofErr w:type="spellEnd"/>
      <w:r w:rsidRPr="003157EF">
        <w:rPr>
          <w:rFonts w:ascii="Times New Roman" w:hAnsi="Times New Roman" w:cs="Times New Roman"/>
        </w:rPr>
        <w:t>, A.</w:t>
      </w:r>
      <w:r w:rsidR="00453190" w:rsidRPr="003157EF">
        <w:rPr>
          <w:rFonts w:ascii="Times New Roman" w:hAnsi="Times New Roman" w:cs="Times New Roman"/>
        </w:rPr>
        <w:t>Z</w:t>
      </w:r>
      <w:r w:rsidRPr="003157EF">
        <w:rPr>
          <w:rFonts w:ascii="Times New Roman" w:hAnsi="Times New Roman" w:cs="Times New Roman"/>
        </w:rPr>
        <w:t xml:space="preserve">. Viral gastroenteritis. </w:t>
      </w:r>
      <w:r w:rsidRPr="003157EF">
        <w:rPr>
          <w:rFonts w:ascii="Times New Roman" w:hAnsi="Times New Roman" w:cs="Times New Roman"/>
          <w:i/>
        </w:rPr>
        <w:t>JAMA</w:t>
      </w:r>
      <w:r w:rsidR="00453190" w:rsidRPr="003157EF">
        <w:rPr>
          <w:rFonts w:ascii="Times New Roman" w:hAnsi="Times New Roman" w:cs="Times New Roman"/>
          <w:i/>
        </w:rPr>
        <w:t>.1993</w:t>
      </w:r>
      <w:r w:rsidRPr="003157EF">
        <w:rPr>
          <w:rFonts w:ascii="Times New Roman" w:hAnsi="Times New Roman" w:cs="Times New Roman"/>
        </w:rPr>
        <w:t>; 269:627–630</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21. Payne, D.C., </w:t>
      </w:r>
      <w:proofErr w:type="spellStart"/>
      <w:r w:rsidRPr="003157EF">
        <w:rPr>
          <w:rFonts w:ascii="Times New Roman" w:hAnsi="Times New Roman" w:cs="Times New Roman"/>
        </w:rPr>
        <w:t>Vinjé</w:t>
      </w:r>
      <w:proofErr w:type="spellEnd"/>
      <w:r w:rsidRPr="003157EF">
        <w:rPr>
          <w:rFonts w:ascii="Times New Roman" w:hAnsi="Times New Roman" w:cs="Times New Roman"/>
        </w:rPr>
        <w:t xml:space="preserve">, J., Szilagyi, P.G., Edwards, K.M., Staat, M.A., Weinberg, G.A., Hall C.B., Chappell, J., Bernstein, D.I., Curns, AT., </w:t>
      </w:r>
      <w:proofErr w:type="spellStart"/>
      <w:r w:rsidRPr="003157EF">
        <w:rPr>
          <w:rFonts w:ascii="Times New Roman" w:hAnsi="Times New Roman" w:cs="Times New Roman"/>
        </w:rPr>
        <w:t>Wikswo</w:t>
      </w:r>
      <w:proofErr w:type="spellEnd"/>
      <w:r w:rsidRPr="003157EF">
        <w:rPr>
          <w:rFonts w:ascii="Times New Roman" w:hAnsi="Times New Roman" w:cs="Times New Roman"/>
        </w:rPr>
        <w:t>, M., Shirley, SH., Hall, A.J.,</w:t>
      </w:r>
      <w:proofErr w:type="spellStart"/>
      <w:r w:rsidRPr="003157EF">
        <w:rPr>
          <w:rFonts w:ascii="Times New Roman" w:hAnsi="Times New Roman" w:cs="Times New Roman"/>
        </w:rPr>
        <w:t>Lopm</w:t>
      </w:r>
      <w:r w:rsidR="000A1A88" w:rsidRPr="003157EF">
        <w:rPr>
          <w:rFonts w:ascii="Times New Roman" w:hAnsi="Times New Roman" w:cs="Times New Roman"/>
        </w:rPr>
        <w:t>an</w:t>
      </w:r>
      <w:proofErr w:type="spellEnd"/>
      <w:r w:rsidR="000A1A88" w:rsidRPr="003157EF">
        <w:rPr>
          <w:rFonts w:ascii="Times New Roman" w:hAnsi="Times New Roman" w:cs="Times New Roman"/>
        </w:rPr>
        <w:t>, B. and Parashar, U.D</w:t>
      </w:r>
      <w:r w:rsidRPr="003157EF">
        <w:rPr>
          <w:rFonts w:ascii="Times New Roman" w:hAnsi="Times New Roman" w:cs="Times New Roman"/>
        </w:rPr>
        <w:t xml:space="preserve">. NV and Medically Attended Gastroenteritis in U.S. </w:t>
      </w:r>
      <w:r w:rsidRPr="003157EF">
        <w:rPr>
          <w:rFonts w:ascii="Times New Roman" w:hAnsi="Times New Roman" w:cs="Times New Roman"/>
          <w:i/>
        </w:rPr>
        <w:t>Children Journal Medical</w:t>
      </w:r>
      <w:r w:rsidR="000A1A88" w:rsidRPr="003157EF">
        <w:rPr>
          <w:rFonts w:ascii="Times New Roman" w:hAnsi="Times New Roman" w:cs="Times New Roman"/>
          <w:i/>
        </w:rPr>
        <w:t>.2013</w:t>
      </w:r>
      <w:r w:rsidRPr="003157EF">
        <w:rPr>
          <w:rFonts w:ascii="Times New Roman" w:hAnsi="Times New Roman" w:cs="Times New Roman"/>
        </w:rPr>
        <w:t xml:space="preserve">; 368:1121-30.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22. </w:t>
      </w:r>
      <w:proofErr w:type="spellStart"/>
      <w:r w:rsidRPr="003157EF">
        <w:rPr>
          <w:rFonts w:ascii="Times New Roman" w:hAnsi="Times New Roman" w:cs="Times New Roman"/>
        </w:rPr>
        <w:t>Wikswo</w:t>
      </w:r>
      <w:proofErr w:type="spellEnd"/>
      <w:r w:rsidRPr="003157EF">
        <w:rPr>
          <w:rFonts w:ascii="Times New Roman" w:hAnsi="Times New Roman" w:cs="Times New Roman"/>
        </w:rPr>
        <w:t xml:space="preserve"> , M.E., Desai, R., Edwards, K.M., Staat, M.A., Szilagyi, P.G., Weinberg ,G.A., </w:t>
      </w:r>
      <w:proofErr w:type="spellStart"/>
      <w:r w:rsidRPr="003157EF">
        <w:rPr>
          <w:rFonts w:ascii="Times New Roman" w:hAnsi="Times New Roman" w:cs="Times New Roman"/>
        </w:rPr>
        <w:t>Curns</w:t>
      </w:r>
      <w:proofErr w:type="spellEnd"/>
      <w:r w:rsidRPr="003157EF">
        <w:rPr>
          <w:rFonts w:ascii="Times New Roman" w:hAnsi="Times New Roman" w:cs="Times New Roman"/>
        </w:rPr>
        <w:t xml:space="preserve">, A.T., </w:t>
      </w:r>
      <w:proofErr w:type="spellStart"/>
      <w:r w:rsidRPr="003157EF">
        <w:rPr>
          <w:rFonts w:ascii="Times New Roman" w:hAnsi="Times New Roman" w:cs="Times New Roman"/>
        </w:rPr>
        <w:t>Lopman</w:t>
      </w:r>
      <w:proofErr w:type="spellEnd"/>
      <w:r w:rsidRPr="003157EF">
        <w:rPr>
          <w:rFonts w:ascii="Times New Roman" w:hAnsi="Times New Roman" w:cs="Times New Roman"/>
        </w:rPr>
        <w:t xml:space="preserve">, B., </w:t>
      </w:r>
      <w:proofErr w:type="spellStart"/>
      <w:r w:rsidRPr="003157EF">
        <w:rPr>
          <w:rFonts w:ascii="Times New Roman" w:hAnsi="Times New Roman" w:cs="Times New Roman"/>
        </w:rPr>
        <w:t>Vinjé</w:t>
      </w:r>
      <w:proofErr w:type="spellEnd"/>
      <w:r w:rsidRPr="003157EF">
        <w:rPr>
          <w:rFonts w:ascii="Times New Roman" w:hAnsi="Times New Roman" w:cs="Times New Roman"/>
        </w:rPr>
        <w:t xml:space="preserve"> ,J., Parashar, U.D</w:t>
      </w:r>
      <w:r w:rsidR="000A1A88" w:rsidRPr="003157EF">
        <w:rPr>
          <w:rFonts w:ascii="Times New Roman" w:hAnsi="Times New Roman" w:cs="Times New Roman"/>
        </w:rPr>
        <w:t xml:space="preserve">., Payne, D.C., Hall, </w:t>
      </w:r>
      <w:proofErr w:type="spellStart"/>
      <w:r w:rsidR="000A1A88" w:rsidRPr="003157EF">
        <w:rPr>
          <w:rFonts w:ascii="Times New Roman" w:hAnsi="Times New Roman" w:cs="Times New Roman"/>
        </w:rPr>
        <w:t>A.J</w:t>
      </w:r>
      <w:r w:rsidRPr="003157EF">
        <w:rPr>
          <w:rFonts w:ascii="Times New Roman" w:hAnsi="Times New Roman" w:cs="Times New Roman"/>
        </w:rPr>
        <w:t>.Clinical</w:t>
      </w:r>
      <w:proofErr w:type="spellEnd"/>
      <w:r w:rsidRPr="003157EF">
        <w:rPr>
          <w:rFonts w:ascii="Times New Roman" w:hAnsi="Times New Roman" w:cs="Times New Roman"/>
        </w:rPr>
        <w:t xml:space="preserve"> profile of children with NV disease in RV vaccine. </w:t>
      </w:r>
      <w:r w:rsidRPr="003157EF">
        <w:rPr>
          <w:rFonts w:ascii="Times New Roman" w:hAnsi="Times New Roman" w:cs="Times New Roman"/>
          <w:i/>
        </w:rPr>
        <w:t>Emerg Infectious Diseases.</w:t>
      </w:r>
      <w:r w:rsidR="000A1A88" w:rsidRPr="003157EF">
        <w:rPr>
          <w:rFonts w:ascii="Times New Roman" w:hAnsi="Times New Roman" w:cs="Times New Roman"/>
          <w:i/>
        </w:rPr>
        <w:t xml:space="preserve">2013; </w:t>
      </w:r>
      <w:r w:rsidRPr="003157EF">
        <w:rPr>
          <w:rFonts w:ascii="Times New Roman" w:hAnsi="Times New Roman" w:cs="Times New Roman"/>
        </w:rPr>
        <w:t xml:space="preserve">19(10):1691-3.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23. </w:t>
      </w:r>
      <w:r w:rsidR="000A1A88" w:rsidRPr="003157EF">
        <w:rPr>
          <w:rFonts w:ascii="Times New Roman" w:hAnsi="Times New Roman" w:cs="Times New Roman"/>
        </w:rPr>
        <w:t xml:space="preserve">Bucardo, F., </w:t>
      </w:r>
      <w:proofErr w:type="spellStart"/>
      <w:r w:rsidR="000A1A88" w:rsidRPr="003157EF">
        <w:rPr>
          <w:rFonts w:ascii="Times New Roman" w:hAnsi="Times New Roman" w:cs="Times New Roman"/>
        </w:rPr>
        <w:t>Nordgren</w:t>
      </w:r>
      <w:proofErr w:type="spellEnd"/>
      <w:r w:rsidR="000A1A88" w:rsidRPr="003157EF">
        <w:rPr>
          <w:rFonts w:ascii="Times New Roman" w:hAnsi="Times New Roman" w:cs="Times New Roman"/>
        </w:rPr>
        <w:t xml:space="preserve">, </w:t>
      </w:r>
      <w:proofErr w:type="spellStart"/>
      <w:proofErr w:type="gramStart"/>
      <w:r w:rsidR="000A1A88" w:rsidRPr="003157EF">
        <w:rPr>
          <w:rFonts w:ascii="Times New Roman" w:hAnsi="Times New Roman" w:cs="Times New Roman"/>
        </w:rPr>
        <w:t>J</w:t>
      </w:r>
      <w:r w:rsidRPr="003157EF">
        <w:rPr>
          <w:rFonts w:ascii="Times New Roman" w:hAnsi="Times New Roman" w:cs="Times New Roman"/>
        </w:rPr>
        <w:t>.Impact</w:t>
      </w:r>
      <w:proofErr w:type="spellEnd"/>
      <w:proofErr w:type="gramEnd"/>
      <w:r w:rsidRPr="003157EF">
        <w:rPr>
          <w:rFonts w:ascii="Times New Roman" w:hAnsi="Times New Roman" w:cs="Times New Roman"/>
        </w:rPr>
        <w:t xml:space="preserve"> of vaccination on the </w:t>
      </w:r>
      <w:proofErr w:type="spellStart"/>
      <w:r w:rsidRPr="003157EF">
        <w:rPr>
          <w:rFonts w:ascii="Times New Roman" w:hAnsi="Times New Roman" w:cs="Times New Roman"/>
        </w:rPr>
        <w:t>molecularepidemiology</w:t>
      </w:r>
      <w:proofErr w:type="spellEnd"/>
      <w:r w:rsidRPr="003157EF">
        <w:rPr>
          <w:rFonts w:ascii="Times New Roman" w:hAnsi="Times New Roman" w:cs="Times New Roman"/>
        </w:rPr>
        <w:t xml:space="preserve"> and evolution of group A rotaviruses in </w:t>
      </w:r>
      <w:proofErr w:type="spellStart"/>
      <w:r w:rsidRPr="003157EF">
        <w:rPr>
          <w:rFonts w:ascii="Times New Roman" w:hAnsi="Times New Roman" w:cs="Times New Roman"/>
        </w:rPr>
        <w:t>LatinAmerica</w:t>
      </w:r>
      <w:proofErr w:type="spellEnd"/>
      <w:r w:rsidRPr="003157EF">
        <w:rPr>
          <w:rFonts w:ascii="Times New Roman" w:hAnsi="Times New Roman" w:cs="Times New Roman"/>
        </w:rPr>
        <w:t xml:space="preserve"> and factors a</w:t>
      </w:r>
      <w:r w:rsidRPr="003157EF">
        <w:rPr>
          <w:rFonts w:ascii="Times New Roman" w:hAnsi="Times New Roman" w:cs="Times New Roman"/>
          <w:lang w:val="fr-FR"/>
        </w:rPr>
        <w:t>ﬀ</w:t>
      </w:r>
      <w:proofErr w:type="spellStart"/>
      <w:r w:rsidRPr="003157EF">
        <w:rPr>
          <w:rFonts w:ascii="Times New Roman" w:hAnsi="Times New Roman" w:cs="Times New Roman"/>
        </w:rPr>
        <w:t>ecting</w:t>
      </w:r>
      <w:proofErr w:type="spellEnd"/>
      <w:r w:rsidRPr="003157EF">
        <w:rPr>
          <w:rFonts w:ascii="Times New Roman" w:hAnsi="Times New Roman" w:cs="Times New Roman"/>
        </w:rPr>
        <w:t xml:space="preserve"> vaccine </w:t>
      </w:r>
      <w:proofErr w:type="spellStart"/>
      <w:r w:rsidRPr="003157EF">
        <w:rPr>
          <w:rFonts w:ascii="Times New Roman" w:hAnsi="Times New Roman" w:cs="Times New Roman"/>
        </w:rPr>
        <w:t>efcacy</w:t>
      </w:r>
      <w:proofErr w:type="spellEnd"/>
      <w:r w:rsidRPr="003157EF">
        <w:rPr>
          <w:rFonts w:ascii="Times New Roman" w:hAnsi="Times New Roman" w:cs="Times New Roman"/>
        </w:rPr>
        <w:t xml:space="preserve">. </w:t>
      </w:r>
      <w:r w:rsidRPr="003157EF">
        <w:rPr>
          <w:rFonts w:ascii="Times New Roman" w:hAnsi="Times New Roman" w:cs="Times New Roman"/>
          <w:i/>
        </w:rPr>
        <w:t xml:space="preserve">Infect Genet </w:t>
      </w:r>
      <w:r w:rsidR="000A1A88" w:rsidRPr="003157EF">
        <w:rPr>
          <w:rFonts w:ascii="Times New Roman" w:hAnsi="Times New Roman" w:cs="Times New Roman"/>
          <w:i/>
        </w:rPr>
        <w:t>Evol.2015;</w:t>
      </w:r>
      <w:r w:rsidRPr="003157EF">
        <w:rPr>
          <w:rFonts w:ascii="Times New Roman" w:hAnsi="Times New Roman" w:cs="Times New Roman"/>
        </w:rPr>
        <w:t xml:space="preserve"> 34: 106-113.</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lang w:val="fr-CM"/>
        </w:rPr>
        <w:t xml:space="preserve">24. El </w:t>
      </w:r>
      <w:proofErr w:type="spellStart"/>
      <w:r w:rsidRPr="003157EF">
        <w:rPr>
          <w:rFonts w:ascii="Times New Roman" w:hAnsi="Times New Roman" w:cs="Times New Roman"/>
          <w:lang w:val="fr-CM"/>
        </w:rPr>
        <w:t>Qazoui</w:t>
      </w:r>
      <w:proofErr w:type="spellEnd"/>
      <w:r w:rsidRPr="003157EF">
        <w:rPr>
          <w:rFonts w:ascii="Times New Roman" w:hAnsi="Times New Roman" w:cs="Times New Roman"/>
          <w:lang w:val="fr-CM"/>
        </w:rPr>
        <w:t xml:space="preserve"> ,M.,</w:t>
      </w:r>
      <w:proofErr w:type="spellStart"/>
      <w:r w:rsidRPr="003157EF">
        <w:rPr>
          <w:rFonts w:ascii="Times New Roman" w:hAnsi="Times New Roman" w:cs="Times New Roman"/>
          <w:lang w:val="fr-CM"/>
        </w:rPr>
        <w:t>Oumzil</w:t>
      </w:r>
      <w:proofErr w:type="spellEnd"/>
      <w:r w:rsidRPr="003157EF">
        <w:rPr>
          <w:rFonts w:ascii="Times New Roman" w:hAnsi="Times New Roman" w:cs="Times New Roman"/>
          <w:lang w:val="fr-CM"/>
        </w:rPr>
        <w:t xml:space="preserve">, H., </w:t>
      </w:r>
      <w:proofErr w:type="spellStart"/>
      <w:r w:rsidRPr="003157EF">
        <w:rPr>
          <w:rFonts w:ascii="Times New Roman" w:hAnsi="Times New Roman" w:cs="Times New Roman"/>
          <w:lang w:val="fr-CM"/>
        </w:rPr>
        <w:t>Baassi</w:t>
      </w:r>
      <w:proofErr w:type="spellEnd"/>
      <w:r w:rsidRPr="003157EF">
        <w:rPr>
          <w:rFonts w:ascii="Times New Roman" w:hAnsi="Times New Roman" w:cs="Times New Roman"/>
          <w:lang w:val="fr-CM"/>
        </w:rPr>
        <w:t>, L., El Omari, N., S</w:t>
      </w:r>
      <w:r w:rsidR="000A1A88" w:rsidRPr="003157EF">
        <w:rPr>
          <w:rFonts w:ascii="Times New Roman" w:hAnsi="Times New Roman" w:cs="Times New Roman"/>
          <w:lang w:val="fr-CM"/>
        </w:rPr>
        <w:t xml:space="preserve">adki ,K., </w:t>
      </w:r>
      <w:proofErr w:type="spellStart"/>
      <w:r w:rsidR="000A1A88" w:rsidRPr="003157EF">
        <w:rPr>
          <w:rFonts w:ascii="Times New Roman" w:hAnsi="Times New Roman" w:cs="Times New Roman"/>
          <w:lang w:val="fr-CM"/>
        </w:rPr>
        <w:t>Amzazi</w:t>
      </w:r>
      <w:proofErr w:type="spellEnd"/>
      <w:r w:rsidR="000A1A88" w:rsidRPr="003157EF">
        <w:rPr>
          <w:rFonts w:ascii="Times New Roman" w:hAnsi="Times New Roman" w:cs="Times New Roman"/>
          <w:lang w:val="fr-CM"/>
        </w:rPr>
        <w:t>, S et al.</w:t>
      </w:r>
      <w:r w:rsidRPr="003157EF">
        <w:rPr>
          <w:rFonts w:ascii="Times New Roman" w:hAnsi="Times New Roman" w:cs="Times New Roman"/>
          <w:lang w:val="fr-CM"/>
        </w:rPr>
        <w:t xml:space="preserve"> </w:t>
      </w:r>
      <w:r w:rsidRPr="003157EF">
        <w:rPr>
          <w:rFonts w:ascii="Times New Roman" w:hAnsi="Times New Roman" w:cs="Times New Roman"/>
        </w:rPr>
        <w:t xml:space="preserve">Rotavirus and norovirus infections among acute gastroenteritis children in Morocco. </w:t>
      </w:r>
      <w:r w:rsidRPr="003157EF">
        <w:rPr>
          <w:rFonts w:ascii="Times New Roman" w:hAnsi="Times New Roman" w:cs="Times New Roman"/>
          <w:i/>
        </w:rPr>
        <w:t>BMC Infect Dis</w:t>
      </w:r>
      <w:r w:rsidR="000A1A88" w:rsidRPr="003157EF">
        <w:rPr>
          <w:rFonts w:ascii="Times New Roman" w:hAnsi="Times New Roman" w:cs="Times New Roman"/>
          <w:i/>
        </w:rPr>
        <w:t>.2014</w:t>
      </w:r>
      <w:r w:rsidRPr="003157EF">
        <w:rPr>
          <w:rFonts w:ascii="Times New Roman" w:hAnsi="Times New Roman" w:cs="Times New Roman"/>
        </w:rPr>
        <w:t>; 14:300.)</w:t>
      </w:r>
    </w:p>
    <w:p w:rsidR="00CA703D" w:rsidRPr="003157EF" w:rsidRDefault="000A1A88"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25. </w:t>
      </w:r>
      <w:proofErr w:type="spellStart"/>
      <w:r w:rsidRPr="003157EF">
        <w:rPr>
          <w:rFonts w:ascii="Times New Roman" w:hAnsi="Times New Roman" w:cs="Times New Roman"/>
        </w:rPr>
        <w:t>Almalky</w:t>
      </w:r>
      <w:proofErr w:type="spellEnd"/>
      <w:r w:rsidRPr="003157EF">
        <w:rPr>
          <w:rFonts w:ascii="Times New Roman" w:hAnsi="Times New Roman" w:cs="Times New Roman"/>
        </w:rPr>
        <w:t>, M.A,</w:t>
      </w:r>
      <w:r w:rsidR="00CA703D" w:rsidRPr="003157EF">
        <w:rPr>
          <w:rFonts w:ascii="Times New Roman" w:hAnsi="Times New Roman" w:cs="Times New Roman"/>
        </w:rPr>
        <w:t xml:space="preserve"> Amer, R.E., Abd Elraouf</w:t>
      </w:r>
      <w:r w:rsidR="00C977EE" w:rsidRPr="003157EF">
        <w:rPr>
          <w:rFonts w:ascii="Times New Roman" w:hAnsi="Times New Roman" w:cs="Times New Roman"/>
        </w:rPr>
        <w:t>, H.A</w:t>
      </w:r>
      <w:r w:rsidR="00CA703D" w:rsidRPr="003157EF">
        <w:rPr>
          <w:rFonts w:ascii="Times New Roman" w:hAnsi="Times New Roman" w:cs="Times New Roman"/>
        </w:rPr>
        <w:t xml:space="preserve">. Genotyping of Rotavirus RNA by Sequencing among Children with Diarrhea at Zagazig University Hospital. </w:t>
      </w:r>
      <w:r w:rsidR="00CA703D" w:rsidRPr="003157EF">
        <w:rPr>
          <w:rFonts w:ascii="Times New Roman" w:hAnsi="Times New Roman" w:cs="Times New Roman"/>
          <w:i/>
        </w:rPr>
        <w:t>The Egyptian J of Hosp Med</w:t>
      </w:r>
      <w:r w:rsidR="00C977EE" w:rsidRPr="003157EF">
        <w:rPr>
          <w:rFonts w:ascii="Times New Roman" w:hAnsi="Times New Roman" w:cs="Times New Roman"/>
          <w:i/>
        </w:rPr>
        <w:t>.2022</w:t>
      </w:r>
      <w:r w:rsidR="00CA703D" w:rsidRPr="003157EF">
        <w:rPr>
          <w:rFonts w:ascii="Times New Roman" w:hAnsi="Times New Roman" w:cs="Times New Roman"/>
        </w:rPr>
        <w:t>; 88:2710–2715</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26. </w:t>
      </w:r>
      <w:proofErr w:type="spellStart"/>
      <w:r w:rsidRPr="003157EF">
        <w:rPr>
          <w:rFonts w:ascii="Times New Roman" w:hAnsi="Times New Roman" w:cs="Times New Roman"/>
        </w:rPr>
        <w:t>Bawa</w:t>
      </w:r>
      <w:proofErr w:type="spellEnd"/>
      <w:r w:rsidRPr="003157EF">
        <w:rPr>
          <w:rFonts w:ascii="Times New Roman" w:hAnsi="Times New Roman" w:cs="Times New Roman"/>
        </w:rPr>
        <w:t xml:space="preserve">, F.K, </w:t>
      </w:r>
      <w:proofErr w:type="spellStart"/>
      <w:r w:rsidRPr="003157EF">
        <w:rPr>
          <w:rFonts w:ascii="Times New Roman" w:hAnsi="Times New Roman" w:cs="Times New Roman"/>
        </w:rPr>
        <w:t>Mutocheluh</w:t>
      </w:r>
      <w:proofErr w:type="spellEnd"/>
      <w:r w:rsidRPr="003157EF">
        <w:rPr>
          <w:rFonts w:ascii="Times New Roman" w:hAnsi="Times New Roman" w:cs="Times New Roman"/>
        </w:rPr>
        <w:t xml:space="preserve">, M., Dassah, S.D., Ansah, P., Oduro, A.R. Genetic diversity of rotavirus infection among young children with </w:t>
      </w:r>
      <w:proofErr w:type="spellStart"/>
      <w:r w:rsidRPr="003157EF">
        <w:rPr>
          <w:rFonts w:ascii="Times New Roman" w:hAnsi="Times New Roman" w:cs="Times New Roman"/>
        </w:rPr>
        <w:t>diarrhoea</w:t>
      </w:r>
      <w:proofErr w:type="spellEnd"/>
      <w:r w:rsidRPr="003157EF">
        <w:rPr>
          <w:rFonts w:ascii="Times New Roman" w:hAnsi="Times New Roman" w:cs="Times New Roman"/>
        </w:rPr>
        <w:t xml:space="preserve"> in the </w:t>
      </w:r>
      <w:proofErr w:type="spellStart"/>
      <w:r w:rsidRPr="003157EF">
        <w:rPr>
          <w:rFonts w:ascii="Times New Roman" w:hAnsi="Times New Roman" w:cs="Times New Roman"/>
        </w:rPr>
        <w:t>Kassena-Nankana</w:t>
      </w:r>
      <w:proofErr w:type="spellEnd"/>
      <w:r w:rsidRPr="003157EF">
        <w:rPr>
          <w:rFonts w:ascii="Times New Roman" w:hAnsi="Times New Roman" w:cs="Times New Roman"/>
        </w:rPr>
        <w:t xml:space="preserve"> Districts of Northern Ghana: a seasonal </w:t>
      </w:r>
      <w:proofErr w:type="spellStart"/>
      <w:r w:rsidRPr="003157EF">
        <w:rPr>
          <w:rFonts w:ascii="Times New Roman" w:hAnsi="Times New Roman" w:cs="Times New Roman"/>
        </w:rPr>
        <w:t>crosssectional</w:t>
      </w:r>
      <w:proofErr w:type="spellEnd"/>
      <w:r w:rsidRPr="003157EF">
        <w:rPr>
          <w:rFonts w:ascii="Times New Roman" w:hAnsi="Times New Roman" w:cs="Times New Roman"/>
        </w:rPr>
        <w:t xml:space="preserve"> survey. </w:t>
      </w:r>
      <w:r w:rsidRPr="003157EF">
        <w:rPr>
          <w:rFonts w:ascii="Times New Roman" w:hAnsi="Times New Roman" w:cs="Times New Roman"/>
          <w:i/>
        </w:rPr>
        <w:t xml:space="preserve">The Pan </w:t>
      </w:r>
      <w:proofErr w:type="spellStart"/>
      <w:r w:rsidRPr="003157EF">
        <w:rPr>
          <w:rFonts w:ascii="Times New Roman" w:hAnsi="Times New Roman" w:cs="Times New Roman"/>
          <w:i/>
        </w:rPr>
        <w:t>Afri</w:t>
      </w:r>
      <w:proofErr w:type="spellEnd"/>
      <w:r w:rsidRPr="003157EF">
        <w:rPr>
          <w:rFonts w:ascii="Times New Roman" w:hAnsi="Times New Roman" w:cs="Times New Roman"/>
          <w:i/>
        </w:rPr>
        <w:t xml:space="preserve"> Med J</w:t>
      </w:r>
      <w:r w:rsidR="00C977EE" w:rsidRPr="003157EF">
        <w:rPr>
          <w:rFonts w:ascii="Times New Roman" w:hAnsi="Times New Roman" w:cs="Times New Roman"/>
        </w:rPr>
        <w:t xml:space="preserve">. </w:t>
      </w:r>
      <w:r w:rsidRPr="003157EF">
        <w:rPr>
          <w:rFonts w:ascii="Times New Roman" w:hAnsi="Times New Roman" w:cs="Times New Roman"/>
        </w:rPr>
        <w:t xml:space="preserve">2023; 44:148.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27. </w:t>
      </w:r>
      <w:proofErr w:type="spellStart"/>
      <w:r w:rsidRPr="003157EF">
        <w:rPr>
          <w:rFonts w:ascii="Times New Roman" w:hAnsi="Times New Roman" w:cs="Times New Roman"/>
        </w:rPr>
        <w:t>Temori</w:t>
      </w:r>
      <w:proofErr w:type="spellEnd"/>
      <w:r w:rsidRPr="003157EF">
        <w:rPr>
          <w:rFonts w:ascii="Times New Roman" w:hAnsi="Times New Roman" w:cs="Times New Roman"/>
        </w:rPr>
        <w:t xml:space="preserve">, A., </w:t>
      </w:r>
      <w:proofErr w:type="spellStart"/>
      <w:r w:rsidRPr="003157EF">
        <w:rPr>
          <w:rFonts w:ascii="Times New Roman" w:hAnsi="Times New Roman" w:cs="Times New Roman"/>
        </w:rPr>
        <w:t>Mehrpoor</w:t>
      </w:r>
      <w:proofErr w:type="spellEnd"/>
      <w:r w:rsidRPr="003157EF">
        <w:rPr>
          <w:rFonts w:ascii="Times New Roman" w:hAnsi="Times New Roman" w:cs="Times New Roman"/>
        </w:rPr>
        <w:t xml:space="preserve">, A.J., </w:t>
      </w:r>
      <w:proofErr w:type="spellStart"/>
      <w:r w:rsidRPr="003157EF">
        <w:rPr>
          <w:rFonts w:ascii="Times New Roman" w:hAnsi="Times New Roman" w:cs="Times New Roman"/>
        </w:rPr>
        <w:t>Niazi</w:t>
      </w:r>
      <w:proofErr w:type="spellEnd"/>
      <w:r w:rsidRPr="003157EF">
        <w:rPr>
          <w:rFonts w:ascii="Times New Roman" w:hAnsi="Times New Roman" w:cs="Times New Roman"/>
        </w:rPr>
        <w:t>, A., Qa</w:t>
      </w:r>
      <w:r w:rsidR="00C977EE" w:rsidRPr="003157EF">
        <w:rPr>
          <w:rFonts w:ascii="Times New Roman" w:hAnsi="Times New Roman" w:cs="Times New Roman"/>
        </w:rPr>
        <w:t xml:space="preserve">rluq, A.W., </w:t>
      </w:r>
      <w:proofErr w:type="spellStart"/>
      <w:r w:rsidR="00C977EE" w:rsidRPr="003157EF">
        <w:rPr>
          <w:rFonts w:ascii="Times New Roman" w:hAnsi="Times New Roman" w:cs="Times New Roman"/>
        </w:rPr>
        <w:t>Danishyar</w:t>
      </w:r>
      <w:proofErr w:type="spellEnd"/>
      <w:r w:rsidR="00C977EE" w:rsidRPr="003157EF">
        <w:rPr>
          <w:rFonts w:ascii="Times New Roman" w:hAnsi="Times New Roman" w:cs="Times New Roman"/>
        </w:rPr>
        <w:t>, A</w:t>
      </w:r>
      <w:r w:rsidRPr="003157EF">
        <w:rPr>
          <w:rFonts w:ascii="Times New Roman" w:hAnsi="Times New Roman" w:cs="Times New Roman"/>
        </w:rPr>
        <w:t xml:space="preserve">. Prevalence of rotavirus infection in children under five years, referring to Indira Gandhi Children’s Health Hospital, Kabul, Afghanistan. </w:t>
      </w:r>
      <w:proofErr w:type="spellStart"/>
      <w:r w:rsidRPr="003157EF">
        <w:rPr>
          <w:rFonts w:ascii="Times New Roman" w:hAnsi="Times New Roman" w:cs="Times New Roman"/>
          <w:i/>
        </w:rPr>
        <w:t>Afgh</w:t>
      </w:r>
      <w:proofErr w:type="spellEnd"/>
      <w:r w:rsidRPr="003157EF">
        <w:rPr>
          <w:rFonts w:ascii="Times New Roman" w:hAnsi="Times New Roman" w:cs="Times New Roman"/>
          <w:i/>
        </w:rPr>
        <w:t xml:space="preserve"> J of Infect Dis</w:t>
      </w:r>
      <w:r w:rsidR="00C977EE" w:rsidRPr="003157EF">
        <w:rPr>
          <w:rFonts w:ascii="Times New Roman" w:hAnsi="Times New Roman" w:cs="Times New Roman"/>
          <w:i/>
        </w:rPr>
        <w:t>.2023</w:t>
      </w:r>
      <w:r w:rsidRPr="003157EF">
        <w:rPr>
          <w:rFonts w:ascii="Times New Roman" w:hAnsi="Times New Roman" w:cs="Times New Roman"/>
        </w:rPr>
        <w:t>; 1:9–13</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28. Salim, H., Karyana, I.P., Sanjaya-Putra, I.G., </w:t>
      </w:r>
      <w:proofErr w:type="spellStart"/>
      <w:r w:rsidRPr="003157EF">
        <w:rPr>
          <w:rFonts w:ascii="Times New Roman" w:hAnsi="Times New Roman" w:cs="Times New Roman"/>
        </w:rPr>
        <w:t>B</w:t>
      </w:r>
      <w:r w:rsidR="00C977EE" w:rsidRPr="003157EF">
        <w:rPr>
          <w:rFonts w:ascii="Times New Roman" w:hAnsi="Times New Roman" w:cs="Times New Roman"/>
        </w:rPr>
        <w:t>udiarsa</w:t>
      </w:r>
      <w:proofErr w:type="spellEnd"/>
      <w:r w:rsidR="00C977EE" w:rsidRPr="003157EF">
        <w:rPr>
          <w:rFonts w:ascii="Times New Roman" w:hAnsi="Times New Roman" w:cs="Times New Roman"/>
        </w:rPr>
        <w:t xml:space="preserve">, S., </w:t>
      </w:r>
      <w:proofErr w:type="spellStart"/>
      <w:r w:rsidR="00C977EE" w:rsidRPr="003157EF">
        <w:rPr>
          <w:rFonts w:ascii="Times New Roman" w:hAnsi="Times New Roman" w:cs="Times New Roman"/>
        </w:rPr>
        <w:t>Soenarto</w:t>
      </w:r>
      <w:proofErr w:type="spellEnd"/>
      <w:r w:rsidR="00C977EE" w:rsidRPr="003157EF">
        <w:rPr>
          <w:rFonts w:ascii="Times New Roman" w:hAnsi="Times New Roman" w:cs="Times New Roman"/>
        </w:rPr>
        <w:t>, Y</w:t>
      </w:r>
      <w:r w:rsidRPr="003157EF">
        <w:rPr>
          <w:rFonts w:ascii="Times New Roman" w:hAnsi="Times New Roman" w:cs="Times New Roman"/>
        </w:rPr>
        <w:t xml:space="preserve">. Risk factors of rotavirus diarrhea in hospitalized children in </w:t>
      </w:r>
      <w:proofErr w:type="spellStart"/>
      <w:r w:rsidRPr="003157EF">
        <w:rPr>
          <w:rFonts w:ascii="Times New Roman" w:hAnsi="Times New Roman" w:cs="Times New Roman"/>
        </w:rPr>
        <w:t>Sanglah</w:t>
      </w:r>
      <w:proofErr w:type="spellEnd"/>
      <w:r w:rsidRPr="003157EF">
        <w:rPr>
          <w:rFonts w:ascii="Times New Roman" w:hAnsi="Times New Roman" w:cs="Times New Roman"/>
        </w:rPr>
        <w:t xml:space="preserve"> Hospital, Denpasar: a prospective cohort study. </w:t>
      </w:r>
      <w:r w:rsidRPr="003157EF">
        <w:rPr>
          <w:rFonts w:ascii="Times New Roman" w:hAnsi="Times New Roman" w:cs="Times New Roman"/>
          <w:i/>
        </w:rPr>
        <w:t>BMC Gastroenterol</w:t>
      </w:r>
      <w:r w:rsidR="00C977EE" w:rsidRPr="003157EF">
        <w:rPr>
          <w:rFonts w:ascii="Times New Roman" w:hAnsi="Times New Roman" w:cs="Times New Roman"/>
          <w:i/>
        </w:rPr>
        <w:t>.2014</w:t>
      </w:r>
      <w:r w:rsidRPr="003157EF">
        <w:rPr>
          <w:rFonts w:ascii="Times New Roman" w:hAnsi="Times New Roman" w:cs="Times New Roman"/>
        </w:rPr>
        <w:t>; 14:54</w:t>
      </w:r>
    </w:p>
    <w:p w:rsidR="00CA703D" w:rsidRPr="003157EF" w:rsidRDefault="00C977EE"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29. </w:t>
      </w:r>
      <w:proofErr w:type="spellStart"/>
      <w:r w:rsidRPr="003157EF">
        <w:rPr>
          <w:rFonts w:ascii="Times New Roman" w:hAnsi="Times New Roman" w:cs="Times New Roman"/>
        </w:rPr>
        <w:t>Molbak</w:t>
      </w:r>
      <w:proofErr w:type="spellEnd"/>
      <w:r w:rsidRPr="003157EF">
        <w:rPr>
          <w:rFonts w:ascii="Times New Roman" w:hAnsi="Times New Roman" w:cs="Times New Roman"/>
        </w:rPr>
        <w:t>, K</w:t>
      </w:r>
      <w:r w:rsidR="00CA703D" w:rsidRPr="003157EF">
        <w:rPr>
          <w:rFonts w:ascii="Times New Roman" w:hAnsi="Times New Roman" w:cs="Times New Roman"/>
        </w:rPr>
        <w:t xml:space="preserve">. The epidemiology of </w:t>
      </w:r>
      <w:proofErr w:type="spellStart"/>
      <w:r w:rsidR="00CA703D" w:rsidRPr="003157EF">
        <w:rPr>
          <w:rFonts w:ascii="Times New Roman" w:hAnsi="Times New Roman" w:cs="Times New Roman"/>
        </w:rPr>
        <w:t>diarrhoeal</w:t>
      </w:r>
      <w:proofErr w:type="spellEnd"/>
      <w:r w:rsidR="00CA703D" w:rsidRPr="003157EF">
        <w:rPr>
          <w:rFonts w:ascii="Times New Roman" w:hAnsi="Times New Roman" w:cs="Times New Roman"/>
        </w:rPr>
        <w:t xml:space="preserve"> diseases in early childhood A review of community studies in Guinea-Bissau. </w:t>
      </w:r>
      <w:r w:rsidR="00CA703D" w:rsidRPr="003157EF">
        <w:rPr>
          <w:rFonts w:ascii="Times New Roman" w:hAnsi="Times New Roman" w:cs="Times New Roman"/>
          <w:i/>
        </w:rPr>
        <w:t>Dan Med B</w:t>
      </w:r>
      <w:r w:rsidRPr="003157EF">
        <w:rPr>
          <w:rFonts w:ascii="Times New Roman" w:hAnsi="Times New Roman" w:cs="Times New Roman"/>
          <w:i/>
        </w:rPr>
        <w:t>.2000;</w:t>
      </w:r>
      <w:r w:rsidR="00CA703D" w:rsidRPr="003157EF">
        <w:rPr>
          <w:rFonts w:ascii="Times New Roman" w:hAnsi="Times New Roman" w:cs="Times New Roman"/>
        </w:rPr>
        <w:t xml:space="preserve"> 47(5): 340-358.</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30. Ehlayel, M.S., Ben</w:t>
      </w:r>
      <w:r w:rsidR="00BF2DE2" w:rsidRPr="003157EF">
        <w:rPr>
          <w:rFonts w:ascii="Times New Roman" w:hAnsi="Times New Roman" w:cs="Times New Roman"/>
        </w:rPr>
        <w:t>er, A., Abdulrahman, H.M</w:t>
      </w:r>
      <w:r w:rsidRPr="003157EF">
        <w:rPr>
          <w:rFonts w:ascii="Times New Roman" w:hAnsi="Times New Roman" w:cs="Times New Roman"/>
        </w:rPr>
        <w:t xml:space="preserve">. Protective effect of breastfeeding on diarrhea among children in a rapidly growing newly developed society. </w:t>
      </w:r>
      <w:r w:rsidRPr="003157EF">
        <w:rPr>
          <w:rFonts w:ascii="Times New Roman" w:hAnsi="Times New Roman" w:cs="Times New Roman"/>
          <w:i/>
        </w:rPr>
        <w:t>Turk J Pediatr.</w:t>
      </w:r>
      <w:r w:rsidR="00BF2DE2" w:rsidRPr="003157EF">
        <w:rPr>
          <w:rFonts w:ascii="Times New Roman" w:hAnsi="Times New Roman" w:cs="Times New Roman"/>
          <w:i/>
        </w:rPr>
        <w:t xml:space="preserve">2009; </w:t>
      </w:r>
      <w:r w:rsidRPr="003157EF">
        <w:rPr>
          <w:rFonts w:ascii="Times New Roman" w:hAnsi="Times New Roman" w:cs="Times New Roman"/>
        </w:rPr>
        <w:t xml:space="preserve">51(6): 527-533.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31. Kosek, M.,</w:t>
      </w:r>
      <w:r w:rsidR="00BF2DE2" w:rsidRPr="003157EF">
        <w:rPr>
          <w:rFonts w:ascii="Times New Roman" w:hAnsi="Times New Roman" w:cs="Times New Roman"/>
        </w:rPr>
        <w:t xml:space="preserve"> Bern, C., Guerrant, R.L</w:t>
      </w:r>
      <w:r w:rsidRPr="003157EF">
        <w:rPr>
          <w:rFonts w:ascii="Times New Roman" w:hAnsi="Times New Roman" w:cs="Times New Roman"/>
        </w:rPr>
        <w:t xml:space="preserve">. The global burden of </w:t>
      </w:r>
      <w:proofErr w:type="spellStart"/>
      <w:r w:rsidRPr="003157EF">
        <w:rPr>
          <w:rFonts w:ascii="Times New Roman" w:hAnsi="Times New Roman" w:cs="Times New Roman"/>
        </w:rPr>
        <w:t>diarrhoeal</w:t>
      </w:r>
      <w:proofErr w:type="spellEnd"/>
      <w:r w:rsidRPr="003157EF">
        <w:rPr>
          <w:rFonts w:ascii="Times New Roman" w:hAnsi="Times New Roman" w:cs="Times New Roman"/>
        </w:rPr>
        <w:t xml:space="preserve"> disease, as estimated from studies published between 1992 and 2000. </w:t>
      </w:r>
      <w:r w:rsidRPr="003157EF">
        <w:rPr>
          <w:rFonts w:ascii="Times New Roman" w:hAnsi="Times New Roman" w:cs="Times New Roman"/>
          <w:i/>
        </w:rPr>
        <w:t>Bulletin of the World Health Organization</w:t>
      </w:r>
      <w:r w:rsidR="00BF2DE2" w:rsidRPr="003157EF">
        <w:rPr>
          <w:rFonts w:ascii="Times New Roman" w:hAnsi="Times New Roman" w:cs="Times New Roman"/>
          <w:i/>
        </w:rPr>
        <w:t>.2003</w:t>
      </w:r>
      <w:r w:rsidR="00BF2DE2" w:rsidRPr="003157EF">
        <w:rPr>
          <w:rFonts w:ascii="Times New Roman" w:hAnsi="Times New Roman" w:cs="Times New Roman"/>
        </w:rPr>
        <w:t>; 81</w:t>
      </w:r>
      <w:r w:rsidRPr="003157EF">
        <w:rPr>
          <w:rFonts w:ascii="Times New Roman" w:hAnsi="Times New Roman" w:cs="Times New Roman"/>
        </w:rPr>
        <w:t xml:space="preserve">(3): 197-204.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32. Becker-Dreps, S., Meléndez, M</w:t>
      </w:r>
      <w:r w:rsidR="00BF2DE2" w:rsidRPr="003157EF">
        <w:rPr>
          <w:rFonts w:ascii="Times New Roman" w:hAnsi="Times New Roman" w:cs="Times New Roman"/>
        </w:rPr>
        <w:t xml:space="preserve">., Liu, </w:t>
      </w:r>
      <w:proofErr w:type="gramStart"/>
      <w:r w:rsidR="00BF2DE2" w:rsidRPr="003157EF">
        <w:rPr>
          <w:rFonts w:ascii="Times New Roman" w:hAnsi="Times New Roman" w:cs="Times New Roman"/>
        </w:rPr>
        <w:t>L.</w:t>
      </w:r>
      <w:r w:rsidRPr="003157EF">
        <w:rPr>
          <w:rFonts w:ascii="Times New Roman" w:hAnsi="Times New Roman" w:cs="Times New Roman"/>
        </w:rPr>
        <w:t>,</w:t>
      </w:r>
      <w:proofErr w:type="spellStart"/>
      <w:r w:rsidRPr="003157EF">
        <w:rPr>
          <w:rFonts w:ascii="Times New Roman" w:hAnsi="Times New Roman" w:cs="Times New Roman"/>
        </w:rPr>
        <w:t>Zambrana</w:t>
      </w:r>
      <w:proofErr w:type="spellEnd"/>
      <w:r w:rsidRPr="003157EF">
        <w:rPr>
          <w:rFonts w:ascii="Times New Roman" w:hAnsi="Times New Roman" w:cs="Times New Roman"/>
        </w:rPr>
        <w:t>,.</w:t>
      </w:r>
      <w:proofErr w:type="gramEnd"/>
      <w:r w:rsidRPr="003157EF">
        <w:rPr>
          <w:rFonts w:ascii="Times New Roman" w:hAnsi="Times New Roman" w:cs="Times New Roman"/>
        </w:rPr>
        <w:t xml:space="preserve"> LE., </w:t>
      </w:r>
      <w:proofErr w:type="gramStart"/>
      <w:r w:rsidRPr="003157EF">
        <w:rPr>
          <w:rFonts w:ascii="Times New Roman" w:hAnsi="Times New Roman" w:cs="Times New Roman"/>
        </w:rPr>
        <w:t>Paniagua ,</w:t>
      </w:r>
      <w:proofErr w:type="gramEnd"/>
      <w:r w:rsidRPr="003157EF">
        <w:rPr>
          <w:rFonts w:ascii="Times New Roman" w:hAnsi="Times New Roman" w:cs="Times New Roman"/>
        </w:rPr>
        <w:t xml:space="preserve">M., Weber, D.J., Hudgens, M.G., Cáceres, M., </w:t>
      </w:r>
      <w:proofErr w:type="spellStart"/>
      <w:r w:rsidRPr="003157EF">
        <w:rPr>
          <w:rFonts w:ascii="Times New Roman" w:hAnsi="Times New Roman" w:cs="Times New Roman"/>
        </w:rPr>
        <w:t>Källeståll</w:t>
      </w:r>
      <w:proofErr w:type="spellEnd"/>
      <w:r w:rsidRPr="003157EF">
        <w:rPr>
          <w:rFonts w:ascii="Times New Roman" w:hAnsi="Times New Roman" w:cs="Times New Roman"/>
        </w:rPr>
        <w:t>, C., Morgan, D.R</w:t>
      </w:r>
      <w:r w:rsidR="006776E0" w:rsidRPr="003157EF">
        <w:rPr>
          <w:rFonts w:ascii="Times New Roman" w:hAnsi="Times New Roman" w:cs="Times New Roman"/>
        </w:rPr>
        <w:t>., Espinoza ,F., Peña, R</w:t>
      </w:r>
      <w:r w:rsidRPr="003157EF">
        <w:rPr>
          <w:rFonts w:ascii="Times New Roman" w:hAnsi="Times New Roman" w:cs="Times New Roman"/>
        </w:rPr>
        <w:t xml:space="preserve">. Community Diarrhea Incidence Before and After Rotavirus Vaccine Introduction in Nicaragua. </w:t>
      </w:r>
      <w:r w:rsidRPr="003157EF">
        <w:rPr>
          <w:rFonts w:ascii="Times New Roman" w:hAnsi="Times New Roman" w:cs="Times New Roman"/>
          <w:i/>
        </w:rPr>
        <w:t>Am J Trop Med Hyg</w:t>
      </w:r>
      <w:r w:rsidR="006776E0" w:rsidRPr="003157EF">
        <w:rPr>
          <w:rFonts w:ascii="Times New Roman" w:hAnsi="Times New Roman" w:cs="Times New Roman"/>
          <w:i/>
        </w:rPr>
        <w:t>.2013;</w:t>
      </w:r>
      <w:r w:rsidRPr="003157EF">
        <w:rPr>
          <w:rFonts w:ascii="Times New Roman" w:hAnsi="Times New Roman" w:cs="Times New Roman"/>
        </w:rPr>
        <w:t xml:space="preserve"> 89(2): 246.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lastRenderedPageBreak/>
        <w:t>33. Wang, H., Moon</w:t>
      </w:r>
      <w:r w:rsidR="000633F1" w:rsidRPr="003157EF">
        <w:rPr>
          <w:rFonts w:ascii="Times New Roman" w:hAnsi="Times New Roman" w:cs="Times New Roman"/>
        </w:rPr>
        <w:t>, S., Wang, Y., Jiang, B</w:t>
      </w:r>
      <w:r w:rsidRPr="003157EF">
        <w:rPr>
          <w:rFonts w:ascii="Times New Roman" w:hAnsi="Times New Roman" w:cs="Times New Roman"/>
        </w:rPr>
        <w:t xml:space="preserve">. Multiple virus infection alters rotavirus replication and expression of cytokines and toll-like receptors in intestinal epithelial cells. </w:t>
      </w:r>
      <w:r w:rsidRPr="003157EF">
        <w:rPr>
          <w:rFonts w:ascii="Times New Roman" w:hAnsi="Times New Roman" w:cs="Times New Roman"/>
          <w:i/>
        </w:rPr>
        <w:t>Virus Res</w:t>
      </w:r>
      <w:r w:rsidR="00340FD5" w:rsidRPr="003157EF">
        <w:rPr>
          <w:rFonts w:ascii="Times New Roman" w:hAnsi="Times New Roman" w:cs="Times New Roman"/>
        </w:rPr>
        <w:t>.;167 (2012)</w:t>
      </w:r>
      <w:r w:rsidRPr="003157EF">
        <w:rPr>
          <w:rFonts w:ascii="Times New Roman" w:hAnsi="Times New Roman" w:cs="Times New Roman"/>
        </w:rPr>
        <w:t xml:space="preserve">:48–55. </w:t>
      </w:r>
      <w:hyperlink r:id="rId9" w:history="1">
        <w:r w:rsidRPr="003157EF">
          <w:rPr>
            <w:rStyle w:val="Hyperlink"/>
            <w:rFonts w:ascii="Times New Roman" w:hAnsi="Times New Roman" w:cs="Times New Roman"/>
            <w:color w:val="auto"/>
          </w:rPr>
          <w:t>https://doi.org/10.1016/j. virusres.2012.04.00</w:t>
        </w:r>
      </w:hyperlink>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34. Guarino, A., Ashkenazi, S., </w:t>
      </w:r>
      <w:proofErr w:type="spellStart"/>
      <w:r w:rsidRPr="003157EF">
        <w:rPr>
          <w:rFonts w:ascii="Times New Roman" w:hAnsi="Times New Roman" w:cs="Times New Roman"/>
        </w:rPr>
        <w:t>Gendrel</w:t>
      </w:r>
      <w:proofErr w:type="spellEnd"/>
      <w:r w:rsidRPr="003157EF">
        <w:rPr>
          <w:rFonts w:ascii="Times New Roman" w:hAnsi="Times New Roman" w:cs="Times New Roman"/>
        </w:rPr>
        <w:t xml:space="preserve">, D., Lo Vecchio, A., </w:t>
      </w:r>
      <w:r w:rsidR="00340FD5" w:rsidRPr="003157EF">
        <w:rPr>
          <w:rFonts w:ascii="Times New Roman" w:hAnsi="Times New Roman" w:cs="Times New Roman"/>
        </w:rPr>
        <w:t xml:space="preserve">Shamir, R., </w:t>
      </w:r>
      <w:proofErr w:type="spellStart"/>
      <w:r w:rsidR="00340FD5" w:rsidRPr="003157EF">
        <w:rPr>
          <w:rFonts w:ascii="Times New Roman" w:hAnsi="Times New Roman" w:cs="Times New Roman"/>
        </w:rPr>
        <w:t>Szajewska</w:t>
      </w:r>
      <w:proofErr w:type="spellEnd"/>
      <w:r w:rsidR="00340FD5" w:rsidRPr="003157EF">
        <w:rPr>
          <w:rFonts w:ascii="Times New Roman" w:hAnsi="Times New Roman" w:cs="Times New Roman"/>
        </w:rPr>
        <w:t>, H</w:t>
      </w:r>
      <w:r w:rsidRPr="003157EF">
        <w:rPr>
          <w:rFonts w:ascii="Times New Roman" w:hAnsi="Times New Roman" w:cs="Times New Roman"/>
        </w:rPr>
        <w:t>. «European society for pediatric gastroenterology, hepatology, and nutrition/</w:t>
      </w:r>
      <w:proofErr w:type="spellStart"/>
      <w:r w:rsidRPr="003157EF">
        <w:rPr>
          <w:rFonts w:ascii="Times New Roman" w:hAnsi="Times New Roman" w:cs="Times New Roman"/>
        </w:rPr>
        <w:t>european</w:t>
      </w:r>
      <w:proofErr w:type="spellEnd"/>
      <w:r w:rsidRPr="003157EF">
        <w:rPr>
          <w:rFonts w:ascii="Times New Roman" w:hAnsi="Times New Roman" w:cs="Times New Roman"/>
        </w:rPr>
        <w:t xml:space="preserve"> society for pediatric infectious diseases evidence-based guidelines: </w:t>
      </w:r>
      <w:proofErr w:type="gramStart"/>
      <w:r w:rsidRPr="003157EF">
        <w:rPr>
          <w:rFonts w:ascii="Times New Roman" w:hAnsi="Times New Roman" w:cs="Times New Roman"/>
        </w:rPr>
        <w:t>update,»</w:t>
      </w:r>
      <w:proofErr w:type="gramEnd"/>
      <w:r w:rsidRPr="003157EF">
        <w:rPr>
          <w:rFonts w:ascii="Times New Roman" w:hAnsi="Times New Roman" w:cs="Times New Roman"/>
        </w:rPr>
        <w:t xml:space="preserve">. </w:t>
      </w:r>
      <w:r w:rsidR="00312C86" w:rsidRPr="003157EF">
        <w:rPr>
          <w:rFonts w:ascii="Times New Roman" w:hAnsi="Times New Roman" w:cs="Times New Roman"/>
          <w:i/>
        </w:rPr>
        <w:t>J Pediatr Gastroenterol Nutr,</w:t>
      </w:r>
      <w:r w:rsidR="00715914" w:rsidRPr="003157EF">
        <w:rPr>
          <w:rFonts w:ascii="Times New Roman" w:hAnsi="Times New Roman" w:cs="Times New Roman"/>
        </w:rPr>
        <w:t>159(2014)</w:t>
      </w:r>
      <w:r w:rsidRPr="003157EF">
        <w:rPr>
          <w:rFonts w:ascii="Times New Roman" w:hAnsi="Times New Roman" w:cs="Times New Roman"/>
        </w:rPr>
        <w:t>:132</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35. Colas, N.A., </w:t>
      </w:r>
      <w:proofErr w:type="spellStart"/>
      <w:r w:rsidRPr="003157EF">
        <w:rPr>
          <w:rFonts w:ascii="Times New Roman" w:hAnsi="Times New Roman" w:cs="Times New Roman"/>
        </w:rPr>
        <w:t>Estienney</w:t>
      </w:r>
      <w:proofErr w:type="spellEnd"/>
      <w:r w:rsidRPr="003157EF">
        <w:rPr>
          <w:rFonts w:ascii="Times New Roman" w:hAnsi="Times New Roman" w:cs="Times New Roman"/>
        </w:rPr>
        <w:t xml:space="preserve">, M., Aho, S., Perrier-Cornet, J.M., de Rougemont, A., Pothier, P., </w:t>
      </w:r>
      <w:r w:rsidR="00715914" w:rsidRPr="003157EF">
        <w:rPr>
          <w:rFonts w:ascii="Times New Roman" w:hAnsi="Times New Roman" w:cs="Times New Roman"/>
        </w:rPr>
        <w:t xml:space="preserve">Gervais, </w:t>
      </w:r>
      <w:proofErr w:type="gramStart"/>
      <w:r w:rsidR="00715914" w:rsidRPr="003157EF">
        <w:rPr>
          <w:rFonts w:ascii="Times New Roman" w:hAnsi="Times New Roman" w:cs="Times New Roman"/>
        </w:rPr>
        <w:t>P,.</w:t>
      </w:r>
      <w:proofErr w:type="gramEnd"/>
      <w:r w:rsidR="00715914" w:rsidRPr="003157EF">
        <w:rPr>
          <w:rFonts w:ascii="Times New Roman" w:hAnsi="Times New Roman" w:cs="Times New Roman"/>
        </w:rPr>
        <w:t xml:space="preserve"> </w:t>
      </w:r>
      <w:r w:rsidR="009924D5" w:rsidRPr="003157EF">
        <w:rPr>
          <w:rFonts w:ascii="Times New Roman" w:hAnsi="Times New Roman" w:cs="Times New Roman"/>
        </w:rPr>
        <w:t>and</w:t>
      </w:r>
      <w:r w:rsidR="00715914" w:rsidRPr="003157EF">
        <w:rPr>
          <w:rFonts w:ascii="Times New Roman" w:hAnsi="Times New Roman" w:cs="Times New Roman"/>
        </w:rPr>
        <w:t xml:space="preserve"> </w:t>
      </w:r>
      <w:proofErr w:type="spellStart"/>
      <w:r w:rsidR="00715914" w:rsidRPr="003157EF">
        <w:rPr>
          <w:rFonts w:ascii="Times New Roman" w:hAnsi="Times New Roman" w:cs="Times New Roman"/>
        </w:rPr>
        <w:t>Belliot</w:t>
      </w:r>
      <w:proofErr w:type="spellEnd"/>
      <w:r w:rsidR="00715914" w:rsidRPr="003157EF">
        <w:rPr>
          <w:rFonts w:ascii="Times New Roman" w:hAnsi="Times New Roman" w:cs="Times New Roman"/>
        </w:rPr>
        <w:t>, G</w:t>
      </w:r>
      <w:r w:rsidRPr="003157EF">
        <w:rPr>
          <w:rFonts w:ascii="Times New Roman" w:hAnsi="Times New Roman" w:cs="Times New Roman"/>
        </w:rPr>
        <w:t xml:space="preserve">. Absolute humidity influences the seasonal persistence and infectivity of human NV. </w:t>
      </w:r>
      <w:r w:rsidRPr="003157EF">
        <w:rPr>
          <w:rFonts w:ascii="Times New Roman" w:hAnsi="Times New Roman" w:cs="Times New Roman"/>
          <w:i/>
        </w:rPr>
        <w:t>Applied and Environmental Microbiology</w:t>
      </w:r>
      <w:r w:rsidR="00715914" w:rsidRPr="003157EF">
        <w:rPr>
          <w:rFonts w:ascii="Times New Roman" w:hAnsi="Times New Roman" w:cs="Times New Roman"/>
        </w:rPr>
        <w:t>,(2014)</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36. Marshall, J.A., </w:t>
      </w:r>
      <w:proofErr w:type="spellStart"/>
      <w:proofErr w:type="gramStart"/>
      <w:r w:rsidRPr="003157EF">
        <w:rPr>
          <w:rFonts w:ascii="Times New Roman" w:hAnsi="Times New Roman" w:cs="Times New Roman"/>
        </w:rPr>
        <w:t>Bruggink,L.</w:t>
      </w:r>
      <w:r w:rsidR="00715914" w:rsidRPr="003157EF">
        <w:rPr>
          <w:rFonts w:ascii="Times New Roman" w:hAnsi="Times New Roman" w:cs="Times New Roman"/>
        </w:rPr>
        <w:t>D</w:t>
      </w:r>
      <w:proofErr w:type="spellEnd"/>
      <w:r w:rsidRPr="003157EF">
        <w:rPr>
          <w:rFonts w:ascii="Times New Roman" w:hAnsi="Times New Roman" w:cs="Times New Roman"/>
        </w:rPr>
        <w:t>.</w:t>
      </w:r>
      <w:proofErr w:type="gramEnd"/>
      <w:r w:rsidRPr="003157EF">
        <w:rPr>
          <w:rFonts w:ascii="Times New Roman" w:hAnsi="Times New Roman" w:cs="Times New Roman"/>
        </w:rPr>
        <w:t xml:space="preserve"> The dynamics of NV outbreak epidemics: recent insights. </w:t>
      </w:r>
      <w:r w:rsidRPr="003157EF">
        <w:rPr>
          <w:rFonts w:ascii="Times New Roman" w:hAnsi="Times New Roman" w:cs="Times New Roman"/>
          <w:i/>
        </w:rPr>
        <w:t>International Journal Environ Res Public Health</w:t>
      </w:r>
      <w:r w:rsidR="009924D5" w:rsidRPr="003157EF">
        <w:rPr>
          <w:rFonts w:ascii="Times New Roman" w:hAnsi="Times New Roman" w:cs="Times New Roman"/>
          <w:i/>
        </w:rPr>
        <w:t>.2011</w:t>
      </w:r>
      <w:r w:rsidRPr="003157EF">
        <w:rPr>
          <w:rFonts w:ascii="Times New Roman" w:hAnsi="Times New Roman" w:cs="Times New Roman"/>
        </w:rPr>
        <w:t>; 8:1141–1149.doi: 10.3390/ijerph8041141.</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37. Monteiro, S.J., Linhares, A.C., Nascimento ,T/C., </w:t>
      </w:r>
      <w:proofErr w:type="spellStart"/>
      <w:r w:rsidRPr="003157EF">
        <w:rPr>
          <w:rFonts w:ascii="Times New Roman" w:hAnsi="Times New Roman" w:cs="Times New Roman"/>
        </w:rPr>
        <w:t>Aragăo</w:t>
      </w:r>
      <w:proofErr w:type="spellEnd"/>
      <w:r w:rsidRPr="003157EF">
        <w:rPr>
          <w:rFonts w:ascii="Times New Roman" w:hAnsi="Times New Roman" w:cs="Times New Roman"/>
        </w:rPr>
        <w:t>, G.C., Oliv</w:t>
      </w:r>
      <w:r w:rsidR="00715914" w:rsidRPr="003157EF">
        <w:rPr>
          <w:rFonts w:ascii="Times New Roman" w:hAnsi="Times New Roman" w:cs="Times New Roman"/>
        </w:rPr>
        <w:t>eira, D.S., Cordeiro, D.S</w:t>
      </w:r>
      <w:r w:rsidRPr="003157EF">
        <w:rPr>
          <w:rFonts w:ascii="Times New Roman" w:hAnsi="Times New Roman" w:cs="Times New Roman"/>
        </w:rPr>
        <w:t xml:space="preserve">.NV Infection in Children Admitted to Hospital for Acute Gastroenteritis in Belém, Para, </w:t>
      </w:r>
      <w:r w:rsidRPr="003157EF">
        <w:rPr>
          <w:rFonts w:ascii="Times New Roman" w:hAnsi="Times New Roman" w:cs="Times New Roman"/>
          <w:i/>
        </w:rPr>
        <w:t>Northern Brazil Journal of Medical Virology</w:t>
      </w:r>
      <w:r w:rsidR="009924D5" w:rsidRPr="003157EF">
        <w:rPr>
          <w:rFonts w:ascii="Times New Roman" w:hAnsi="Times New Roman" w:cs="Times New Roman"/>
          <w:i/>
        </w:rPr>
        <w:t>.2013</w:t>
      </w:r>
      <w:r w:rsidRPr="003157EF">
        <w:rPr>
          <w:rFonts w:ascii="Times New Roman" w:hAnsi="Times New Roman" w:cs="Times New Roman"/>
        </w:rPr>
        <w:t>; 85:737-744</w:t>
      </w:r>
    </w:p>
    <w:p w:rsidR="00396357" w:rsidRPr="00CA703D" w:rsidRDefault="00396357" w:rsidP="00CA703D"/>
    <w:sectPr w:rsidR="00396357" w:rsidRPr="00CA703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9F4" w:rsidRDefault="006E49F4" w:rsidP="000A7C22">
      <w:pPr>
        <w:spacing w:after="0" w:line="240" w:lineRule="auto"/>
      </w:pPr>
      <w:r>
        <w:separator/>
      </w:r>
    </w:p>
  </w:endnote>
  <w:endnote w:type="continuationSeparator" w:id="0">
    <w:p w:rsidR="006E49F4" w:rsidRDefault="006E49F4" w:rsidP="000A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A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A7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A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9F4" w:rsidRDefault="006E49F4" w:rsidP="000A7C22">
      <w:pPr>
        <w:spacing w:after="0" w:line="240" w:lineRule="auto"/>
      </w:pPr>
      <w:r>
        <w:separator/>
      </w:r>
    </w:p>
  </w:footnote>
  <w:footnote w:type="continuationSeparator" w:id="0">
    <w:p w:rsidR="006E49F4" w:rsidRDefault="006E49F4" w:rsidP="000A7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A7C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A7C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A7C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3BD1"/>
    <w:multiLevelType w:val="hybridMultilevel"/>
    <w:tmpl w:val="C2C0C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40E65"/>
    <w:multiLevelType w:val="hybridMultilevel"/>
    <w:tmpl w:val="C47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A5B98"/>
    <w:multiLevelType w:val="hybridMultilevel"/>
    <w:tmpl w:val="E038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65"/>
    <w:rsid w:val="00007DC7"/>
    <w:rsid w:val="0006007F"/>
    <w:rsid w:val="000633F1"/>
    <w:rsid w:val="000A1A88"/>
    <w:rsid w:val="000A7C22"/>
    <w:rsid w:val="000B239A"/>
    <w:rsid w:val="001619B4"/>
    <w:rsid w:val="001B3B32"/>
    <w:rsid w:val="001B52E2"/>
    <w:rsid w:val="00201D62"/>
    <w:rsid w:val="00227780"/>
    <w:rsid w:val="00254CB6"/>
    <w:rsid w:val="002D55BF"/>
    <w:rsid w:val="00312C86"/>
    <w:rsid w:val="003157EF"/>
    <w:rsid w:val="00340FD5"/>
    <w:rsid w:val="00350F63"/>
    <w:rsid w:val="003600FA"/>
    <w:rsid w:val="00396357"/>
    <w:rsid w:val="003E033C"/>
    <w:rsid w:val="00453190"/>
    <w:rsid w:val="00454438"/>
    <w:rsid w:val="00463B9A"/>
    <w:rsid w:val="004A238E"/>
    <w:rsid w:val="004A638A"/>
    <w:rsid w:val="004A68FC"/>
    <w:rsid w:val="004D5389"/>
    <w:rsid w:val="0053745C"/>
    <w:rsid w:val="00551DF4"/>
    <w:rsid w:val="00592691"/>
    <w:rsid w:val="005C31AE"/>
    <w:rsid w:val="006131A7"/>
    <w:rsid w:val="006674C4"/>
    <w:rsid w:val="006776E0"/>
    <w:rsid w:val="006C3F85"/>
    <w:rsid w:val="006E49F4"/>
    <w:rsid w:val="006E6765"/>
    <w:rsid w:val="00715914"/>
    <w:rsid w:val="0074535B"/>
    <w:rsid w:val="007701AB"/>
    <w:rsid w:val="00777003"/>
    <w:rsid w:val="0078122C"/>
    <w:rsid w:val="007A1E44"/>
    <w:rsid w:val="007A429D"/>
    <w:rsid w:val="007E7AB0"/>
    <w:rsid w:val="008761F1"/>
    <w:rsid w:val="00895DD2"/>
    <w:rsid w:val="00980772"/>
    <w:rsid w:val="009924D5"/>
    <w:rsid w:val="009E32E9"/>
    <w:rsid w:val="009E7C05"/>
    <w:rsid w:val="00A03A03"/>
    <w:rsid w:val="00A126FC"/>
    <w:rsid w:val="00A65250"/>
    <w:rsid w:val="00AD4EF3"/>
    <w:rsid w:val="00B15266"/>
    <w:rsid w:val="00B56A97"/>
    <w:rsid w:val="00B84A27"/>
    <w:rsid w:val="00BA2F06"/>
    <w:rsid w:val="00BF2DE2"/>
    <w:rsid w:val="00C72782"/>
    <w:rsid w:val="00C9600E"/>
    <w:rsid w:val="00C977EE"/>
    <w:rsid w:val="00CA703D"/>
    <w:rsid w:val="00CB4B93"/>
    <w:rsid w:val="00CD13A5"/>
    <w:rsid w:val="00CF4D26"/>
    <w:rsid w:val="00D23306"/>
    <w:rsid w:val="00D56832"/>
    <w:rsid w:val="00D76A54"/>
    <w:rsid w:val="00DD48A0"/>
    <w:rsid w:val="00DD520B"/>
    <w:rsid w:val="00E30C81"/>
    <w:rsid w:val="00E34834"/>
    <w:rsid w:val="00E41EEF"/>
    <w:rsid w:val="00EC56A4"/>
    <w:rsid w:val="00F52A0B"/>
    <w:rsid w:val="00F969A5"/>
    <w:rsid w:val="00FB32B0"/>
    <w:rsid w:val="00FD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0205BBB-00EB-4B96-B1B7-CF2D08ED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A0B"/>
    <w:pPr>
      <w:ind w:left="720"/>
      <w:contextualSpacing/>
    </w:pPr>
  </w:style>
  <w:style w:type="character" w:styleId="Hyperlink">
    <w:name w:val="Hyperlink"/>
    <w:basedOn w:val="DefaultParagraphFont"/>
    <w:uiPriority w:val="99"/>
    <w:unhideWhenUsed/>
    <w:rsid w:val="00CA703D"/>
    <w:rPr>
      <w:color w:val="0563C1" w:themeColor="hyperlink"/>
      <w:u w:val="single"/>
    </w:rPr>
  </w:style>
  <w:style w:type="table" w:styleId="TableGrid">
    <w:name w:val="Table Grid"/>
    <w:basedOn w:val="TableNormal"/>
    <w:uiPriority w:val="39"/>
    <w:rsid w:val="00C9600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0C81"/>
    <w:rPr>
      <w:color w:val="605E5C"/>
      <w:shd w:val="clear" w:color="auto" w:fill="E1DFDD"/>
    </w:rPr>
  </w:style>
  <w:style w:type="paragraph" w:styleId="Header">
    <w:name w:val="header"/>
    <w:basedOn w:val="Normal"/>
    <w:link w:val="HeaderChar"/>
    <w:uiPriority w:val="99"/>
    <w:unhideWhenUsed/>
    <w:rsid w:val="000A7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C22"/>
  </w:style>
  <w:style w:type="paragraph" w:styleId="Footer">
    <w:name w:val="footer"/>
    <w:basedOn w:val="Normal"/>
    <w:link w:val="FooterChar"/>
    <w:uiPriority w:val="99"/>
    <w:unhideWhenUsed/>
    <w:rsid w:val="000A7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253054">
      <w:bodyDiv w:val="1"/>
      <w:marLeft w:val="0"/>
      <w:marRight w:val="0"/>
      <w:marTop w:val="0"/>
      <w:marBottom w:val="0"/>
      <w:divBdr>
        <w:top w:val="none" w:sz="0" w:space="0" w:color="auto"/>
        <w:left w:val="none" w:sz="0" w:space="0" w:color="auto"/>
        <w:bottom w:val="none" w:sz="0" w:space="0" w:color="auto"/>
        <w:right w:val="none" w:sz="0" w:space="0" w:color="auto"/>
      </w:divBdr>
      <w:divsChild>
        <w:div w:id="2038071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20virusres.2012.04.00"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96382282111642"/>
          <c:y val="0.1422812425895186"/>
          <c:w val="0.40983846091403525"/>
          <c:h val="0.70703694644287562"/>
        </c:manualLayout>
      </c:layout>
      <c:pieChart>
        <c:varyColors val="1"/>
        <c:ser>
          <c:idx val="0"/>
          <c:order val="0"/>
          <c:tx>
            <c:strRef>
              <c:f>Feuil1!$H$357</c:f>
              <c:strCache>
                <c:ptCount val="1"/>
                <c:pt idx="0">
                  <c:v>Pourcentage</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435-4129-8891-630447C627A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435-4129-8891-630447C627A1}"/>
              </c:ext>
            </c:extLst>
          </c:dPt>
          <c:dLbls>
            <c:dLbl>
              <c:idx val="0"/>
              <c:layout>
                <c:manualLayout>
                  <c:x val="-0.23673165115040506"/>
                  <c:y val="-0.16750714267207775"/>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166 (83%)</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25354255395263542"/>
                      <c:h val="9.4408577330466065E-2"/>
                    </c:manualLayout>
                  </c15:layout>
                </c:ext>
                <c:ext xmlns:c16="http://schemas.microsoft.com/office/drawing/2014/chart" uri="{C3380CC4-5D6E-409C-BE32-E72D297353CC}">
                  <c16:uniqueId val="{00000001-3435-4129-8891-630447C627A1}"/>
                </c:ext>
              </c:extLst>
            </c:dLbl>
            <c:dLbl>
              <c:idx val="1"/>
              <c:layout>
                <c:manualLayout>
                  <c:x val="0.11873349394629035"/>
                  <c:y val="0.15903038668177247"/>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34 (</a:t>
                    </a:r>
                    <a:fld id="{0F81105B-8333-4348-9427-EE1C7A213A09}" type="VALUE">
                      <a:rPr lang="en-US" sz="900">
                        <a:solidFill>
                          <a:sysClr val="windowText" lastClr="000000"/>
                        </a:solidFill>
                      </a:rPr>
                      <a:pPr>
                        <a:defRPr b="1">
                          <a:solidFill>
                            <a:sysClr val="windowText" lastClr="000000"/>
                          </a:solidFill>
                          <a:latin typeface="Times New Roman" panose="02020603050405020304" pitchFamily="18" charset="0"/>
                          <a:cs typeface="Times New Roman" panose="02020603050405020304" pitchFamily="18" charset="0"/>
                        </a:defRPr>
                      </a:pPr>
                      <a:t>[VALUE]</a:t>
                    </a:fld>
                    <a:r>
                      <a:rPr lang="en-US" sz="900">
                        <a:solidFill>
                          <a:sysClr val="windowText" lastClr="000000"/>
                        </a:solidFill>
                      </a:rPr>
                      <a:t>%)</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184734727384328"/>
                      <c:h val="0.13030447921500088"/>
                    </c:manualLayout>
                  </c15:layout>
                  <c15:dlblFieldTable/>
                  <c15:showDataLabelsRange val="0"/>
                </c:ext>
                <c:ext xmlns:c16="http://schemas.microsoft.com/office/drawing/2014/chart" uri="{C3380CC4-5D6E-409C-BE32-E72D297353CC}">
                  <c16:uniqueId val="{00000003-3435-4129-8891-630447C627A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Feuil1!$F$358:$G$359</c:f>
              <c:strCache>
                <c:ptCount val="2"/>
                <c:pt idx="0">
                  <c:v>Negative</c:v>
                </c:pt>
                <c:pt idx="1">
                  <c:v>Positive</c:v>
                </c:pt>
              </c:strCache>
            </c:strRef>
          </c:cat>
          <c:val>
            <c:numRef>
              <c:f>Feuil1!$H$358:$H$359</c:f>
              <c:numCache>
                <c:formatCode>General</c:formatCode>
                <c:ptCount val="2"/>
                <c:pt idx="0">
                  <c:v>83</c:v>
                </c:pt>
                <c:pt idx="1">
                  <c:v>17</c:v>
                </c:pt>
              </c:numCache>
            </c:numRef>
          </c:val>
          <c:extLst>
            <c:ext xmlns:c16="http://schemas.microsoft.com/office/drawing/2014/chart" uri="{C3380CC4-5D6E-409C-BE32-E72D297353CC}">
              <c16:uniqueId val="{00000004-3435-4129-8891-630447C627A1}"/>
            </c:ext>
          </c:extLst>
        </c:ser>
        <c:dLbls>
          <c:dLblPos val="inEnd"/>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Feuil1!$I$357</c15:sqref>
                        </c15:formulaRef>
                      </c:ext>
                    </c:extLst>
                    <c:strCache>
                      <c:ptCount val="1"/>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3435-4129-8891-630447C627A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8-3435-4129-8891-630447C627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Feuil1!$F$358:$G$359</c15:sqref>
                        </c15:formulaRef>
                      </c:ext>
                    </c:extLst>
                    <c:strCache>
                      <c:ptCount val="2"/>
                      <c:pt idx="0">
                        <c:v>Negative</c:v>
                      </c:pt>
                      <c:pt idx="1">
                        <c:v>Positive</c:v>
                      </c:pt>
                    </c:strCache>
                  </c:strRef>
                </c:cat>
                <c:val>
                  <c:numRef>
                    <c:extLst>
                      <c:ext uri="{02D57815-91ED-43cb-92C2-25804820EDAC}">
                        <c15:formulaRef>
                          <c15:sqref>Feuil1!$I$358:$I$359</c15:sqref>
                        </c15:formulaRef>
                      </c:ext>
                    </c:extLst>
                    <c:numCache>
                      <c:formatCode>General</c:formatCode>
                      <c:ptCount val="2"/>
                    </c:numCache>
                  </c:numRef>
                </c:val>
                <c:extLst>
                  <c:ext xmlns:c16="http://schemas.microsoft.com/office/drawing/2014/chart" uri="{C3380CC4-5D6E-409C-BE32-E72D297353CC}">
                    <c16:uniqueId val="{00000009-3435-4129-8891-630447C627A1}"/>
                  </c:ext>
                </c:extLst>
              </c15:ser>
            </c15:filteredPieSeries>
          </c:ext>
        </c:extLst>
      </c:pieChart>
      <c:spPr>
        <a:noFill/>
        <a:ln>
          <a:noFill/>
        </a:ln>
        <a:effectLst/>
      </c:spPr>
    </c:plotArea>
    <c:legend>
      <c:legendPos val="b"/>
      <c:layout>
        <c:manualLayout>
          <c:xMode val="edge"/>
          <c:yMode val="edge"/>
          <c:x val="0.32451239711540913"/>
          <c:y val="0.86689048484324072"/>
          <c:w val="0.31049826905608086"/>
          <c:h val="6.97086354059447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Feuil1!$C$1</c:f>
              <c:strCache>
                <c:ptCount val="1"/>
                <c:pt idx="0">
                  <c:v>MoyT(°)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Feuil1!$C$2:$C$13</c:f>
              <c:numCache>
                <c:formatCode>General</c:formatCode>
                <c:ptCount val="12"/>
                <c:pt idx="0">
                  <c:v>33.5</c:v>
                </c:pt>
                <c:pt idx="1">
                  <c:v>33.600000000000009</c:v>
                </c:pt>
                <c:pt idx="2">
                  <c:v>31</c:v>
                </c:pt>
                <c:pt idx="3">
                  <c:v>29.2</c:v>
                </c:pt>
                <c:pt idx="4">
                  <c:v>28</c:v>
                </c:pt>
                <c:pt idx="5">
                  <c:v>27</c:v>
                </c:pt>
                <c:pt idx="6">
                  <c:v>26.899999999999988</c:v>
                </c:pt>
                <c:pt idx="7">
                  <c:v>29.1</c:v>
                </c:pt>
                <c:pt idx="8">
                  <c:v>27.5</c:v>
                </c:pt>
                <c:pt idx="9">
                  <c:v>25.099999999999998</c:v>
                </c:pt>
                <c:pt idx="10">
                  <c:v>28.399999999999995</c:v>
                </c:pt>
                <c:pt idx="11">
                  <c:v>31.599999999999966</c:v>
                </c:pt>
              </c:numCache>
            </c:numRef>
          </c:val>
          <c:extLst>
            <c:ext xmlns:c16="http://schemas.microsoft.com/office/drawing/2014/chart" uri="{C3380CC4-5D6E-409C-BE32-E72D297353CC}">
              <c16:uniqueId val="{00000000-BF07-4FAB-9A84-CD391FB58C85}"/>
            </c:ext>
          </c:extLst>
        </c:ser>
        <c:ser>
          <c:idx val="2"/>
          <c:order val="2"/>
          <c:tx>
            <c:strRef>
              <c:f>Feuil1!$D$1</c:f>
              <c:strCache>
                <c:ptCount val="1"/>
                <c:pt idx="0">
                  <c:v>Mhum(%)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Feuil1!$D$2:$D$13</c:f>
              <c:numCache>
                <c:formatCode>General</c:formatCode>
                <c:ptCount val="12"/>
                <c:pt idx="0">
                  <c:v>32</c:v>
                </c:pt>
                <c:pt idx="1">
                  <c:v>38</c:v>
                </c:pt>
                <c:pt idx="2">
                  <c:v>65</c:v>
                </c:pt>
                <c:pt idx="3">
                  <c:v>72</c:v>
                </c:pt>
                <c:pt idx="4">
                  <c:v>76</c:v>
                </c:pt>
                <c:pt idx="5">
                  <c:v>80</c:v>
                </c:pt>
                <c:pt idx="6">
                  <c:v>75</c:v>
                </c:pt>
                <c:pt idx="7">
                  <c:v>70</c:v>
                </c:pt>
                <c:pt idx="8">
                  <c:v>47</c:v>
                </c:pt>
                <c:pt idx="9">
                  <c:v>35</c:v>
                </c:pt>
                <c:pt idx="10">
                  <c:v>34</c:v>
                </c:pt>
                <c:pt idx="11">
                  <c:v>34</c:v>
                </c:pt>
              </c:numCache>
            </c:numRef>
          </c:val>
          <c:extLst>
            <c:ext xmlns:c16="http://schemas.microsoft.com/office/drawing/2014/chart" uri="{C3380CC4-5D6E-409C-BE32-E72D297353CC}">
              <c16:uniqueId val="{00000001-BF07-4FAB-9A84-CD391FB58C85}"/>
            </c:ext>
          </c:extLst>
        </c:ser>
        <c:dLbls>
          <c:showLegendKey val="0"/>
          <c:showVal val="0"/>
          <c:showCatName val="0"/>
          <c:showSerName val="0"/>
          <c:showPercent val="0"/>
          <c:showBubbleSize val="0"/>
        </c:dLbls>
        <c:gapWidth val="269"/>
        <c:axId val="788205408"/>
        <c:axId val="788206976"/>
      </c:barChart>
      <c:lineChart>
        <c:grouping val="standard"/>
        <c:varyColors val="0"/>
        <c:ser>
          <c:idx val="0"/>
          <c:order val="0"/>
          <c:tx>
            <c:strRef>
              <c:f>Feuil1!$B$1</c:f>
              <c:strCache>
                <c:ptCount val="1"/>
                <c:pt idx="0">
                  <c:v>% Rotavirus</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Feuil1!$B$2:$B$13</c:f>
              <c:numCache>
                <c:formatCode>0.00%</c:formatCode>
                <c:ptCount val="12"/>
                <c:pt idx="0">
                  <c:v>12.5</c:v>
                </c:pt>
                <c:pt idx="1">
                  <c:v>11</c:v>
                </c:pt>
                <c:pt idx="2">
                  <c:v>7</c:v>
                </c:pt>
                <c:pt idx="3">
                  <c:v>3.5</c:v>
                </c:pt>
                <c:pt idx="4" formatCode="General">
                  <c:v>2.5</c:v>
                </c:pt>
                <c:pt idx="5">
                  <c:v>2.5</c:v>
                </c:pt>
                <c:pt idx="6" formatCode="General">
                  <c:v>4.5</c:v>
                </c:pt>
                <c:pt idx="7">
                  <c:v>9.5</c:v>
                </c:pt>
                <c:pt idx="8" formatCode="0%">
                  <c:v>0</c:v>
                </c:pt>
                <c:pt idx="9" formatCode="0%">
                  <c:v>9</c:v>
                </c:pt>
                <c:pt idx="10">
                  <c:v>5.41</c:v>
                </c:pt>
                <c:pt idx="11">
                  <c:v>19.5</c:v>
                </c:pt>
              </c:numCache>
            </c:numRef>
          </c:val>
          <c:smooth val="0"/>
          <c:extLst>
            <c:ext xmlns:c16="http://schemas.microsoft.com/office/drawing/2014/chart" uri="{C3380CC4-5D6E-409C-BE32-E72D297353CC}">
              <c16:uniqueId val="{00000002-BF07-4FAB-9A84-CD391FB58C85}"/>
            </c:ext>
          </c:extLst>
        </c:ser>
        <c:dLbls>
          <c:showLegendKey val="0"/>
          <c:showVal val="0"/>
          <c:showCatName val="0"/>
          <c:showSerName val="0"/>
          <c:showPercent val="0"/>
          <c:showBubbleSize val="0"/>
        </c:dLbls>
        <c:marker val="1"/>
        <c:smooth val="0"/>
        <c:axId val="788205408"/>
        <c:axId val="788206976"/>
      </c:lineChart>
      <c:lineChart>
        <c:grouping val="standard"/>
        <c:varyColors val="0"/>
        <c:ser>
          <c:idx val="3"/>
          <c:order val="3"/>
          <c:tx>
            <c:strRef>
              <c:f>Feuil1!$E$1</c:f>
              <c:strCache>
                <c:ptCount val="1"/>
                <c:pt idx="0">
                  <c:v>Splu(mm)</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Feuil1!$E$2:$E$13</c:f>
              <c:numCache>
                <c:formatCode>General</c:formatCode>
                <c:ptCount val="12"/>
                <c:pt idx="0">
                  <c:v>0</c:v>
                </c:pt>
                <c:pt idx="1">
                  <c:v>22</c:v>
                </c:pt>
                <c:pt idx="2">
                  <c:v>76.599999999999994</c:v>
                </c:pt>
                <c:pt idx="3">
                  <c:v>12</c:v>
                </c:pt>
                <c:pt idx="4">
                  <c:v>63</c:v>
                </c:pt>
                <c:pt idx="5">
                  <c:v>124.2</c:v>
                </c:pt>
                <c:pt idx="6">
                  <c:v>178.5</c:v>
                </c:pt>
                <c:pt idx="7">
                  <c:v>57</c:v>
                </c:pt>
                <c:pt idx="8">
                  <c:v>0</c:v>
                </c:pt>
                <c:pt idx="9">
                  <c:v>0</c:v>
                </c:pt>
                <c:pt idx="10">
                  <c:v>0</c:v>
                </c:pt>
                <c:pt idx="11">
                  <c:v>0</c:v>
                </c:pt>
              </c:numCache>
            </c:numRef>
          </c:val>
          <c:smooth val="0"/>
          <c:extLst>
            <c:ext xmlns:c16="http://schemas.microsoft.com/office/drawing/2014/chart" uri="{C3380CC4-5D6E-409C-BE32-E72D297353CC}">
              <c16:uniqueId val="{00000003-BF07-4FAB-9A84-CD391FB58C85}"/>
            </c:ext>
          </c:extLst>
        </c:ser>
        <c:dLbls>
          <c:showLegendKey val="0"/>
          <c:showVal val="0"/>
          <c:showCatName val="0"/>
          <c:showSerName val="0"/>
          <c:showPercent val="0"/>
          <c:showBubbleSize val="0"/>
        </c:dLbls>
        <c:marker val="1"/>
        <c:smooth val="0"/>
        <c:axId val="788201488"/>
        <c:axId val="788205800"/>
      </c:lineChart>
      <c:catAx>
        <c:axId val="78820540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206976"/>
        <c:crosses val="autoZero"/>
        <c:auto val="1"/>
        <c:lblAlgn val="ctr"/>
        <c:lblOffset val="100"/>
        <c:noMultiLvlLbl val="0"/>
      </c:catAx>
      <c:valAx>
        <c:axId val="788206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Moy T(°c)     Mhum (%)     RV+ (%)</a:t>
                </a:r>
              </a:p>
            </c:rich>
          </c:tx>
          <c:layout>
            <c:manualLayout>
              <c:xMode val="edge"/>
              <c:yMode val="edge"/>
              <c:x val="1.5783540022547914E-2"/>
              <c:y val="0.1686198616222128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205408"/>
        <c:crosses val="autoZero"/>
        <c:crossBetween val="between"/>
      </c:valAx>
      <c:valAx>
        <c:axId val="788205800"/>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Splu(mm)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8201488"/>
        <c:crosses val="max"/>
        <c:crossBetween val="between"/>
      </c:valAx>
      <c:catAx>
        <c:axId val="788201488"/>
        <c:scaling>
          <c:orientation val="minMax"/>
        </c:scaling>
        <c:delete val="1"/>
        <c:axPos val="b"/>
        <c:numFmt formatCode="General" sourceLinked="1"/>
        <c:majorTickMark val="none"/>
        <c:minorTickMark val="none"/>
        <c:tickLblPos val="nextTo"/>
        <c:crossAx val="7882058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2162</TotalTime>
  <Pages>10</Pages>
  <Words>4651</Words>
  <Characters>26511</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19</cp:revision>
  <cp:lastPrinted>2025-12-21T22:06:00Z</cp:lastPrinted>
  <dcterms:created xsi:type="dcterms:W3CDTF">2026-01-27T19:42:00Z</dcterms:created>
  <dcterms:modified xsi:type="dcterms:W3CDTF">2026-02-07T07:22:00Z</dcterms:modified>
</cp:coreProperties>
</file>